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0D54C">
      <w:pPr>
        <w:jc w:val="center"/>
        <w:rPr>
          <w:rFonts w:eastAsia="黑体"/>
          <w:sz w:val="52"/>
          <w:szCs w:val="22"/>
        </w:rPr>
      </w:pPr>
    </w:p>
    <w:p w14:paraId="17DAFAE9">
      <w:pPr>
        <w:jc w:val="center"/>
        <w:rPr>
          <w:rFonts w:eastAsia="黑体"/>
          <w:sz w:val="52"/>
          <w:szCs w:val="22"/>
        </w:rPr>
      </w:pPr>
    </w:p>
    <w:p w14:paraId="14BC36A0">
      <w:pPr>
        <w:jc w:val="center"/>
        <w:rPr>
          <w:rFonts w:eastAsia="黑体"/>
          <w:sz w:val="52"/>
          <w:szCs w:val="22"/>
        </w:rPr>
      </w:pPr>
    </w:p>
    <w:p w14:paraId="6A93C3EB">
      <w:pPr>
        <w:jc w:val="center"/>
        <w:rPr>
          <w:rFonts w:eastAsia="黑体"/>
          <w:sz w:val="52"/>
          <w:szCs w:val="22"/>
        </w:rPr>
      </w:pPr>
    </w:p>
    <w:p w14:paraId="7C389F65">
      <w:pPr>
        <w:jc w:val="center"/>
        <w:rPr>
          <w:rFonts w:eastAsia="黑体"/>
          <w:sz w:val="52"/>
          <w:szCs w:val="22"/>
        </w:rPr>
      </w:pPr>
    </w:p>
    <w:p w14:paraId="4C108ED6">
      <w:pPr>
        <w:jc w:val="center"/>
        <w:rPr>
          <w:rFonts w:eastAsia="黑体"/>
          <w:sz w:val="52"/>
          <w:szCs w:val="22"/>
        </w:rPr>
      </w:pPr>
    </w:p>
    <w:p w14:paraId="42EC7BC2">
      <w:pPr>
        <w:jc w:val="center"/>
        <w:rPr>
          <w:rFonts w:eastAsia="黑体"/>
          <w:sz w:val="52"/>
          <w:szCs w:val="22"/>
        </w:rPr>
      </w:pPr>
      <w:bookmarkStart w:id="0" w:name="OLE_LINK12"/>
      <w:r>
        <w:rPr>
          <w:rFonts w:eastAsia="黑体"/>
          <w:sz w:val="52"/>
          <w:szCs w:val="22"/>
        </w:rPr>
        <w:t>酶-电极法生物传感器分析仪校准规范</w:t>
      </w:r>
    </w:p>
    <w:p w14:paraId="5F08CD88">
      <w:pPr>
        <w:jc w:val="center"/>
        <w:rPr>
          <w:rFonts w:eastAsia="黑体"/>
          <w:sz w:val="52"/>
          <w:szCs w:val="22"/>
        </w:rPr>
      </w:pPr>
    </w:p>
    <w:p w14:paraId="2D6939AC">
      <w:pPr>
        <w:jc w:val="center"/>
        <w:rPr>
          <w:rFonts w:eastAsia="黑体"/>
          <w:sz w:val="52"/>
          <w:szCs w:val="22"/>
        </w:rPr>
      </w:pPr>
      <w:r>
        <w:rPr>
          <w:rFonts w:eastAsia="黑体"/>
          <w:sz w:val="52"/>
          <w:szCs w:val="22"/>
        </w:rPr>
        <w:t>不确定度</w:t>
      </w:r>
      <w:r>
        <w:rPr>
          <w:rFonts w:hint="eastAsia" w:eastAsia="黑体"/>
          <w:sz w:val="52"/>
          <w:szCs w:val="22"/>
          <w:lang w:val="en-US" w:eastAsia="zh-CN"/>
        </w:rPr>
        <w:t>评定</w:t>
      </w:r>
      <w:bookmarkStart w:id="13" w:name="_GoBack"/>
      <w:bookmarkEnd w:id="13"/>
      <w:r>
        <w:rPr>
          <w:rFonts w:eastAsia="黑体"/>
          <w:sz w:val="52"/>
          <w:szCs w:val="22"/>
        </w:rPr>
        <w:t>报告</w:t>
      </w:r>
    </w:p>
    <w:bookmarkEnd w:id="0"/>
    <w:p w14:paraId="58E6FD15">
      <w:pPr>
        <w:jc w:val="center"/>
        <w:rPr>
          <w:sz w:val="52"/>
          <w:szCs w:val="22"/>
        </w:rPr>
      </w:pPr>
    </w:p>
    <w:p w14:paraId="2A11925F">
      <w:pPr>
        <w:jc w:val="center"/>
        <w:rPr>
          <w:sz w:val="52"/>
          <w:szCs w:val="22"/>
        </w:rPr>
      </w:pPr>
    </w:p>
    <w:p w14:paraId="7C63D82C">
      <w:pPr>
        <w:jc w:val="center"/>
        <w:rPr>
          <w:sz w:val="52"/>
          <w:szCs w:val="22"/>
        </w:rPr>
      </w:pPr>
    </w:p>
    <w:p w14:paraId="7E29A18E">
      <w:pPr>
        <w:jc w:val="center"/>
        <w:rPr>
          <w:sz w:val="52"/>
          <w:szCs w:val="22"/>
        </w:rPr>
      </w:pPr>
    </w:p>
    <w:p w14:paraId="4F5A0C96">
      <w:pPr>
        <w:jc w:val="center"/>
        <w:rPr>
          <w:sz w:val="52"/>
          <w:szCs w:val="22"/>
        </w:rPr>
      </w:pPr>
    </w:p>
    <w:p w14:paraId="171B4D53">
      <w:pPr>
        <w:jc w:val="center"/>
        <w:rPr>
          <w:sz w:val="52"/>
          <w:szCs w:val="22"/>
        </w:rPr>
      </w:pPr>
    </w:p>
    <w:p w14:paraId="70AB47C2">
      <w:pPr>
        <w:jc w:val="center"/>
        <w:rPr>
          <w:sz w:val="52"/>
          <w:szCs w:val="22"/>
        </w:rPr>
      </w:pPr>
    </w:p>
    <w:p w14:paraId="4E518FC9">
      <w:pPr>
        <w:jc w:val="center"/>
        <w:rPr>
          <w:sz w:val="30"/>
          <w:szCs w:val="30"/>
        </w:rPr>
      </w:pPr>
    </w:p>
    <w:p w14:paraId="46757B3E">
      <w:pPr>
        <w:jc w:val="center"/>
        <w:rPr>
          <w:sz w:val="30"/>
          <w:szCs w:val="30"/>
        </w:rPr>
      </w:pPr>
      <w:r>
        <w:rPr>
          <w:sz w:val="30"/>
          <w:szCs w:val="30"/>
        </w:rPr>
        <w:t>遵义市产品质量检验检测院</w:t>
      </w:r>
    </w:p>
    <w:p w14:paraId="0E091209">
      <w:pPr>
        <w:jc w:val="center"/>
        <w:rPr>
          <w:sz w:val="30"/>
          <w:szCs w:val="30"/>
        </w:rPr>
      </w:pPr>
      <w:r>
        <w:rPr>
          <w:sz w:val="30"/>
          <w:szCs w:val="30"/>
        </w:rPr>
        <w:t>（遵义市综合检验检测中心）</w:t>
      </w:r>
    </w:p>
    <w:p w14:paraId="06BFA863">
      <w:pPr>
        <w:jc w:val="center"/>
        <w:rPr>
          <w:sz w:val="52"/>
          <w:szCs w:val="22"/>
        </w:rPr>
      </w:pPr>
      <w:r>
        <w:rPr>
          <w:sz w:val="28"/>
          <w:szCs w:val="28"/>
        </w:rPr>
        <w:t>2026年05月</w:t>
      </w:r>
    </w:p>
    <w:p w14:paraId="32092EB7">
      <w:pPr>
        <w:rPr>
          <w:rFonts w:eastAsia="等线"/>
          <w:szCs w:val="22"/>
        </w:rPr>
      </w:pPr>
    </w:p>
    <w:p w14:paraId="1A3C06C3">
      <w:pPr>
        <w:spacing w:line="360" w:lineRule="auto"/>
        <w:rPr>
          <w:rFonts w:eastAsiaTheme="minorEastAsia"/>
          <w:b/>
          <w:sz w:val="24"/>
        </w:rPr>
      </w:pPr>
      <w:r>
        <w:rPr>
          <w:rFonts w:eastAsiaTheme="minorEastAsia"/>
          <w:b/>
          <w:sz w:val="24"/>
        </w:rPr>
        <w:br w:type="page"/>
      </w:r>
    </w:p>
    <w:p w14:paraId="6FE3167C">
      <w:pPr>
        <w:spacing w:before="156" w:beforeLines="50" w:line="360" w:lineRule="auto"/>
        <w:jc w:val="center"/>
        <w:rPr>
          <w:rFonts w:eastAsia="黑体"/>
          <w:kern w:val="0"/>
          <w:sz w:val="28"/>
          <w:szCs w:val="28"/>
        </w:rPr>
      </w:pPr>
      <w:bookmarkStart w:id="1" w:name="OLE_LINK97"/>
      <w:bookmarkStart w:id="2" w:name="OLE_LINK96"/>
      <w:bookmarkStart w:id="3" w:name="OLE_LINK170"/>
      <w:bookmarkStart w:id="4" w:name="OLE_LINK171"/>
      <w:bookmarkStart w:id="5" w:name="OLE_LINK113"/>
      <w:r>
        <w:rPr>
          <w:rFonts w:eastAsia="黑体"/>
          <w:kern w:val="0"/>
          <w:sz w:val="28"/>
          <w:szCs w:val="28"/>
        </w:rPr>
        <w:t>前  言</w:t>
      </w:r>
    </w:p>
    <w:p w14:paraId="00D24961">
      <w:pPr>
        <w:spacing w:before="156" w:beforeLines="50" w:line="360" w:lineRule="auto"/>
        <w:ind w:firstLine="480" w:firstLineChars="200"/>
        <w:jc w:val="left"/>
        <w:rPr>
          <w:iCs/>
          <w:sz w:val="24"/>
        </w:rPr>
      </w:pPr>
      <w:r>
        <w:rPr>
          <w:sz w:val="24"/>
        </w:rPr>
        <w:t>本分析报告选取了一台常见的生产厂家、型号和测量范围的具有代表性的酶-电极法生物传感器分析仪，根据校准规范的方法对葡萄糖项目的示值误差、测量重复性、测</w:t>
      </w:r>
      <w:r>
        <w:rPr>
          <w:iCs/>
          <w:sz w:val="24"/>
        </w:rPr>
        <w:t>量线性等技术指标进行校准，给出示值误差测量结果的不确定度分析报告。</w:t>
      </w:r>
      <w:r>
        <w:rPr>
          <w:iCs/>
          <w:sz w:val="24"/>
        </w:rPr>
        <w:br w:type="page"/>
      </w:r>
    </w:p>
    <w:bookmarkEnd w:id="1"/>
    <w:bookmarkEnd w:id="2"/>
    <w:p w14:paraId="7028C84F">
      <w:pPr>
        <w:spacing w:line="360" w:lineRule="auto"/>
        <w:jc w:val="center"/>
        <w:rPr>
          <w:rFonts w:eastAsia="黑体"/>
          <w:kern w:val="0"/>
          <w:sz w:val="28"/>
          <w:szCs w:val="28"/>
        </w:rPr>
      </w:pPr>
      <w:r>
        <w:rPr>
          <w:rFonts w:eastAsia="黑体"/>
          <w:kern w:val="0"/>
          <w:sz w:val="28"/>
          <w:szCs w:val="28"/>
        </w:rPr>
        <w:t>示值误差测量结果的不确定度分析报告</w:t>
      </w:r>
    </w:p>
    <w:bookmarkEnd w:id="3"/>
    <w:bookmarkEnd w:id="4"/>
    <w:bookmarkEnd w:id="5"/>
    <w:p w14:paraId="61D49385">
      <w:pPr>
        <w:spacing w:line="360" w:lineRule="auto"/>
        <w:rPr>
          <w:rFonts w:eastAsiaTheme="minorEastAsia"/>
          <w:b/>
          <w:sz w:val="24"/>
        </w:rPr>
      </w:pPr>
      <w:bookmarkStart w:id="6" w:name="OLE_LINK172"/>
      <w:bookmarkStart w:id="7" w:name="OLE_LINK169"/>
      <w:bookmarkStart w:id="8" w:name="OLE_LINK168"/>
      <w:r>
        <w:rPr>
          <w:rFonts w:eastAsiaTheme="minorEastAsia"/>
          <w:b/>
          <w:sz w:val="24"/>
        </w:rPr>
        <w:t>一、概述</w:t>
      </w:r>
    </w:p>
    <w:p w14:paraId="5042FB03">
      <w:pPr>
        <w:spacing w:line="360" w:lineRule="auto"/>
        <w:ind w:firstLine="240" w:firstLineChars="100"/>
        <w:rPr>
          <w:rFonts w:eastAsiaTheme="minorEastAsia"/>
          <w:sz w:val="24"/>
        </w:rPr>
      </w:pPr>
      <w:r>
        <w:rPr>
          <w:rFonts w:eastAsiaTheme="minorEastAsia"/>
          <w:sz w:val="24"/>
        </w:rPr>
        <w:t>1.环境条件</w:t>
      </w:r>
    </w:p>
    <w:p w14:paraId="6908B465">
      <w:pPr>
        <w:spacing w:line="360" w:lineRule="auto"/>
        <w:ind w:firstLine="480"/>
        <w:rPr>
          <w:sz w:val="24"/>
        </w:rPr>
      </w:pPr>
      <w:r>
        <w:rPr>
          <w:sz w:val="24"/>
        </w:rPr>
        <w:t>环境温度：（19~25）℃，相对湿度：（50~80）%。</w:t>
      </w:r>
    </w:p>
    <w:p w14:paraId="1BB4B03D">
      <w:pPr>
        <w:spacing w:line="360" w:lineRule="auto"/>
        <w:ind w:firstLine="240" w:firstLineChars="100"/>
        <w:rPr>
          <w:rFonts w:eastAsiaTheme="minorEastAsia"/>
          <w:sz w:val="24"/>
        </w:rPr>
      </w:pPr>
      <w:r>
        <w:rPr>
          <w:rFonts w:eastAsiaTheme="minorEastAsia"/>
          <w:sz w:val="24"/>
        </w:rPr>
        <w:t>2.被测对象</w:t>
      </w:r>
    </w:p>
    <w:p w14:paraId="20BE7E6A">
      <w:pPr>
        <w:spacing w:line="360" w:lineRule="auto"/>
        <w:ind w:firstLine="480"/>
        <w:rPr>
          <w:sz w:val="24"/>
        </w:rPr>
      </w:pPr>
      <w:r>
        <w:rPr>
          <w:sz w:val="24"/>
        </w:rPr>
        <w:t xml:space="preserve">仪器名称：酶-电极法生物传感器分析仪；型号：M-100；分辨力：0.01 </w:t>
      </w:r>
      <w:r>
        <w:rPr>
          <w:bCs/>
          <w:sz w:val="24"/>
        </w:rPr>
        <w:t>g/L；</w:t>
      </w:r>
    </w:p>
    <w:p w14:paraId="1CF54544">
      <w:pPr>
        <w:spacing w:line="360" w:lineRule="auto"/>
        <w:rPr>
          <w:sz w:val="24"/>
        </w:rPr>
      </w:pPr>
      <w:r>
        <w:rPr>
          <w:sz w:val="24"/>
        </w:rPr>
        <w:t>测量范围：</w:t>
      </w:r>
      <w:r>
        <w:rPr>
          <w:bCs/>
          <w:sz w:val="24"/>
        </w:rPr>
        <w:t>葡萄糖为（0.05~1）g/L；生产厂家：深圳市西尔曼科技有限公司。</w:t>
      </w:r>
    </w:p>
    <w:p w14:paraId="00FFFA3B">
      <w:pPr>
        <w:spacing w:line="360" w:lineRule="auto"/>
        <w:ind w:firstLine="240" w:firstLineChars="100"/>
        <w:rPr>
          <w:rFonts w:eastAsiaTheme="minorEastAsia"/>
          <w:sz w:val="24"/>
        </w:rPr>
      </w:pPr>
      <w:r>
        <w:rPr>
          <w:rFonts w:eastAsiaTheme="minorEastAsia"/>
          <w:sz w:val="24"/>
        </w:rPr>
        <w:t>3.测量标准</w:t>
      </w:r>
    </w:p>
    <w:p w14:paraId="203C86F6">
      <w:pPr>
        <w:spacing w:line="360" w:lineRule="auto"/>
        <w:ind w:firstLine="480" w:firstLineChars="200"/>
        <w:rPr>
          <w:bCs/>
          <w:sz w:val="24"/>
        </w:rPr>
      </w:pPr>
      <w:r>
        <w:rPr>
          <w:rFonts w:eastAsiaTheme="minorEastAsia"/>
          <w:sz w:val="24"/>
        </w:rPr>
        <w:t>3.1</w:t>
      </w:r>
      <w:r>
        <w:rPr>
          <w:rFonts w:eastAsiaTheme="minorEastAsia"/>
          <w:bCs/>
          <w:sz w:val="24"/>
        </w:rPr>
        <w:t>标准物质：</w:t>
      </w:r>
      <w:r>
        <w:rPr>
          <w:bCs/>
          <w:sz w:val="24"/>
        </w:rPr>
        <w:t>葡萄糖纯度标准物质，纯度为99.7 %，扩展不确定度</w:t>
      </w:r>
      <w:r>
        <w:rPr>
          <w:bCs/>
          <w:i/>
          <w:sz w:val="24"/>
        </w:rPr>
        <w:t>U</w:t>
      </w:r>
      <w:r>
        <w:rPr>
          <w:bCs/>
          <w:sz w:val="24"/>
          <w:vertAlign w:val="subscript"/>
        </w:rPr>
        <w:t>rel</w:t>
      </w:r>
      <w:r>
        <w:rPr>
          <w:bCs/>
          <w:sz w:val="24"/>
        </w:rPr>
        <w:t>=0.5 %（</w:t>
      </w:r>
      <w:r>
        <w:rPr>
          <w:bCs/>
          <w:i/>
          <w:sz w:val="24"/>
        </w:rPr>
        <w:t>k</w:t>
      </w:r>
      <w:r>
        <w:rPr>
          <w:bCs/>
          <w:sz w:val="24"/>
        </w:rPr>
        <w:t>=2）。</w:t>
      </w:r>
    </w:p>
    <w:p w14:paraId="7C0740DD">
      <w:pPr>
        <w:spacing w:line="360" w:lineRule="auto"/>
        <w:ind w:firstLine="480" w:firstLineChars="200"/>
        <w:rPr>
          <w:sz w:val="24"/>
        </w:rPr>
      </w:pPr>
      <w:r>
        <w:rPr>
          <w:rFonts w:eastAsiaTheme="minorEastAsia"/>
          <w:sz w:val="24"/>
        </w:rPr>
        <w:t>3.2电子</w:t>
      </w:r>
      <w:r>
        <w:rPr>
          <w:sz w:val="24"/>
        </w:rPr>
        <w:t>天平：测量范围为（0~200）g，最小分度值为0.1 mg。</w:t>
      </w:r>
    </w:p>
    <w:p w14:paraId="283AEA5C">
      <w:pPr>
        <w:spacing w:line="360" w:lineRule="auto"/>
        <w:ind w:firstLine="480" w:firstLineChars="200"/>
        <w:rPr>
          <w:sz w:val="24"/>
        </w:rPr>
      </w:pPr>
      <w:r>
        <w:rPr>
          <w:rFonts w:eastAsiaTheme="minorEastAsia"/>
          <w:sz w:val="24"/>
        </w:rPr>
        <w:t>3.3单标</w:t>
      </w:r>
      <w:r>
        <w:rPr>
          <w:sz w:val="24"/>
        </w:rPr>
        <w:t>线容量瓶：测量范围为100 mL，准确度等级为A级。</w:t>
      </w:r>
    </w:p>
    <w:p w14:paraId="2DDED7A7">
      <w:pPr>
        <w:spacing w:line="360" w:lineRule="auto"/>
        <w:ind w:firstLine="240" w:firstLineChars="100"/>
        <w:rPr>
          <w:rFonts w:eastAsiaTheme="minorEastAsia"/>
          <w:sz w:val="24"/>
        </w:rPr>
      </w:pPr>
      <w:r>
        <w:rPr>
          <w:rFonts w:eastAsiaTheme="minorEastAsia"/>
          <w:sz w:val="24"/>
        </w:rPr>
        <w:t>4.测量方法</w:t>
      </w:r>
    </w:p>
    <w:p w14:paraId="2BDFF775">
      <w:pPr>
        <w:spacing w:line="360" w:lineRule="auto"/>
        <w:ind w:firstLine="480"/>
        <w:rPr>
          <w:sz w:val="24"/>
          <w:lang w:val="zh-CN"/>
        </w:rPr>
      </w:pPr>
      <w:r>
        <w:rPr>
          <w:sz w:val="24"/>
          <w:lang w:val="zh-CN"/>
        </w:rPr>
        <w:t>仪器自校通过后，根据</w:t>
      </w:r>
      <w:r>
        <w:rPr>
          <w:sz w:val="24"/>
        </w:rPr>
        <w:t>生物传感器分析仪</w:t>
      </w:r>
      <w:r>
        <w:rPr>
          <w:bCs/>
          <w:sz w:val="24"/>
        </w:rPr>
        <w:t>葡萄糖项目的</w:t>
      </w:r>
      <w:r>
        <w:rPr>
          <w:sz w:val="24"/>
        </w:rPr>
        <w:t>测量范围，</w:t>
      </w:r>
      <w:r>
        <w:rPr>
          <w:sz w:val="24"/>
          <w:lang w:val="zh-CN"/>
        </w:rPr>
        <w:t>配制</w:t>
      </w:r>
      <w:r>
        <w:rPr>
          <w:bCs/>
          <w:sz w:val="24"/>
        </w:rPr>
        <w:t>葡萄糖</w:t>
      </w:r>
      <w:r>
        <w:rPr>
          <w:sz w:val="24"/>
          <w:lang w:val="zh-CN"/>
        </w:rPr>
        <w:t>标准物质的校准浓度点，逐一对</w:t>
      </w:r>
      <w:r>
        <w:rPr>
          <w:bCs/>
          <w:sz w:val="24"/>
        </w:rPr>
        <w:t>葡萄糖</w:t>
      </w:r>
      <w:r>
        <w:rPr>
          <w:sz w:val="24"/>
          <w:lang w:val="zh-CN"/>
        </w:rPr>
        <w:t>标准物质校准浓度点进行测定（测定时，进样量与仪器自校时保持一致），每个浓度点分别进行3次重复测量，取3次测量的算术平均值，按公式（1）计算</w:t>
      </w:r>
      <w:r>
        <w:rPr>
          <w:bCs/>
          <w:sz w:val="24"/>
        </w:rPr>
        <w:t>葡萄糖</w:t>
      </w:r>
      <w:r>
        <w:rPr>
          <w:sz w:val="24"/>
          <w:lang w:val="zh-CN"/>
        </w:rPr>
        <w:t>项目各校准浓度点的示值误差。</w:t>
      </w:r>
    </w:p>
    <w:p w14:paraId="6DAACF39">
      <w:pPr>
        <w:spacing w:line="360" w:lineRule="auto"/>
        <w:rPr>
          <w:rFonts w:eastAsiaTheme="minorEastAsia"/>
          <w:b/>
          <w:sz w:val="24"/>
        </w:rPr>
      </w:pPr>
      <w:r>
        <w:rPr>
          <w:rFonts w:eastAsiaTheme="minorEastAsia"/>
          <w:b/>
          <w:sz w:val="24"/>
        </w:rPr>
        <w:t>二、测量模型</w:t>
      </w:r>
    </w:p>
    <w:p w14:paraId="64E0EA74">
      <w:pPr>
        <w:spacing w:line="360" w:lineRule="auto"/>
        <w:ind w:firstLine="2640" w:firstLineChars="1100"/>
        <w:rPr>
          <w:sz w:val="24"/>
        </w:rPr>
      </w:pPr>
      <w:r>
        <w:rPr>
          <w:sz w:val="24"/>
        </w:rPr>
        <w:t xml:space="preserve"> </w:t>
      </w:r>
      <w:r>
        <w:rPr>
          <w:position w:val="-30"/>
          <w:sz w:val="24"/>
        </w:rPr>
        <w:object>
          <v:shape id="_x0000_i1025" o:spt="75" type="#_x0000_t75" style="height:36.85pt;width:100.8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sz w:val="24"/>
          <w:lang w:val="zh-CN"/>
        </w:rPr>
        <w:t xml:space="preserve">            （1）                </w:t>
      </w:r>
    </w:p>
    <w:p w14:paraId="1BDFD2A2">
      <w:pPr>
        <w:spacing w:line="360" w:lineRule="auto"/>
        <w:ind w:firstLine="435"/>
        <w:rPr>
          <w:sz w:val="24"/>
          <w:lang w:val="zh-CN"/>
        </w:rPr>
      </w:pPr>
      <w:r>
        <w:rPr>
          <w:sz w:val="24"/>
          <w:lang w:val="zh-CN"/>
        </w:rPr>
        <w:t>式中：</w:t>
      </w:r>
    </w:p>
    <w:p w14:paraId="15302514">
      <w:pPr>
        <w:spacing w:line="360" w:lineRule="auto"/>
        <w:ind w:firstLine="435"/>
        <w:rPr>
          <w:sz w:val="24"/>
          <w:lang w:val="zh-CN"/>
        </w:rPr>
      </w:pPr>
      <w:r>
        <w:rPr>
          <w:position w:val="-4"/>
          <w:sz w:val="24"/>
          <w:lang w:val="zh-CN"/>
        </w:rPr>
        <w:object>
          <v:shape id="_x0000_i1026" o:spt="75" type="#_x0000_t75" style="height:13.8pt;width:21.3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sz w:val="24"/>
          <w:lang w:val="zh-CN"/>
        </w:rPr>
        <w:t>——示值误差，%；</w:t>
      </w:r>
    </w:p>
    <w:p w14:paraId="31A1A950">
      <w:pPr>
        <w:spacing w:line="360" w:lineRule="auto"/>
        <w:ind w:firstLine="435"/>
        <w:rPr>
          <w:sz w:val="24"/>
          <w:lang w:val="zh-CN"/>
        </w:rPr>
      </w:pPr>
      <w:r>
        <w:rPr>
          <w:position w:val="-4"/>
          <w:sz w:val="24"/>
          <w:lang w:val="zh-CN"/>
        </w:rPr>
        <w:object>
          <v:shape id="_x0000_i1027" o:spt="75" type="#_x0000_t75" style="height:17.3pt;width:10.3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sz w:val="24"/>
          <w:lang w:val="zh-CN"/>
        </w:rPr>
        <w:t>——3次测量值的平均值，g/L；</w:t>
      </w:r>
    </w:p>
    <w:p w14:paraId="444D517B">
      <w:pPr>
        <w:spacing w:line="360" w:lineRule="auto"/>
        <w:ind w:firstLine="480" w:firstLineChars="200"/>
        <w:rPr>
          <w:sz w:val="24"/>
          <w:lang w:val="zh-CN"/>
        </w:rPr>
      </w:pPr>
      <w:r>
        <w:rPr>
          <w:position w:val="-10"/>
          <w:sz w:val="24"/>
          <w:lang w:val="zh-CN"/>
        </w:rPr>
        <w:object>
          <v:shape id="_x0000_i1028" o:spt="75" type="#_x0000_t75" style="height:17.3pt;width:13.8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sz w:val="24"/>
          <w:lang w:val="zh-CN"/>
        </w:rPr>
        <w:t>——标准物质的标称值，g/L。</w:t>
      </w:r>
    </w:p>
    <w:p w14:paraId="37C5F93E">
      <w:pPr>
        <w:spacing w:line="360" w:lineRule="auto"/>
        <w:rPr>
          <w:b/>
          <w:sz w:val="24"/>
          <w:lang w:val="zh-CN"/>
        </w:rPr>
      </w:pPr>
      <w:r>
        <w:rPr>
          <w:rFonts w:eastAsiaTheme="minorEastAsia"/>
          <w:b/>
          <w:sz w:val="24"/>
          <w:lang w:val="zh-CN"/>
        </w:rPr>
        <w:t>三、</w:t>
      </w:r>
      <w:r>
        <w:rPr>
          <w:b/>
          <w:sz w:val="24"/>
        </w:rPr>
        <w:t>不确定度计算</w:t>
      </w:r>
    </w:p>
    <w:p w14:paraId="6A1FB84B">
      <w:pPr>
        <w:spacing w:line="360" w:lineRule="auto"/>
        <w:ind w:firstLine="480" w:firstLineChars="200"/>
        <w:rPr>
          <w:rFonts w:eastAsiaTheme="minorEastAsia"/>
          <w:sz w:val="24"/>
        </w:rPr>
      </w:pPr>
      <w:r>
        <w:rPr>
          <w:sz w:val="24"/>
        </w:rPr>
        <w:t>式（1）中各输入量不确定度互不相关时，得到方差</w:t>
      </w:r>
      <w:r>
        <w:rPr>
          <w:rFonts w:eastAsiaTheme="minorEastAsia"/>
          <w:sz w:val="24"/>
        </w:rPr>
        <w:t>:</w:t>
      </w:r>
      <w:r>
        <w:t xml:space="preserve"> </w:t>
      </w:r>
    </w:p>
    <w:p w14:paraId="33446E4E">
      <w:pPr>
        <w:spacing w:line="360" w:lineRule="auto"/>
        <w:ind w:firstLine="1440" w:firstLineChars="600"/>
        <w:rPr>
          <w:sz w:val="24"/>
        </w:rPr>
      </w:pPr>
      <w:r>
        <w:rPr>
          <w:position w:val="-20"/>
          <w:sz w:val="24"/>
        </w:rPr>
        <w:object>
          <v:shape id="_x0000_i1029" o:spt="75" type="#_x0000_t75" style="height:28.8pt;width:191.25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p>
    <w:p w14:paraId="12039C60">
      <w:pPr>
        <w:spacing w:line="360" w:lineRule="auto"/>
        <w:ind w:firstLine="480" w:firstLineChars="200"/>
        <w:rPr>
          <w:sz w:val="24"/>
        </w:rPr>
      </w:pPr>
      <w:r>
        <w:rPr>
          <w:sz w:val="24"/>
        </w:rPr>
        <w:t>根据测量模型，计算灵敏系数：</w:t>
      </w:r>
    </w:p>
    <w:p w14:paraId="116D87A2">
      <w:pPr>
        <w:spacing w:line="360" w:lineRule="auto"/>
        <w:ind w:firstLine="480" w:firstLineChars="200"/>
        <w:rPr>
          <w:sz w:val="24"/>
        </w:rPr>
      </w:pPr>
    </w:p>
    <w:p w14:paraId="537F26D4">
      <w:pPr>
        <w:spacing w:line="200" w:lineRule="exact"/>
        <w:ind w:firstLine="480" w:firstLineChars="200"/>
        <w:rPr>
          <w:sz w:val="24"/>
        </w:rPr>
      </w:pPr>
    </w:p>
    <w:p w14:paraId="5BA2E7D9">
      <w:pPr>
        <w:spacing w:line="360" w:lineRule="auto"/>
        <w:ind w:firstLine="1440" w:firstLineChars="600"/>
        <w:rPr>
          <w:sz w:val="24"/>
        </w:rPr>
      </w:pPr>
      <w:r>
        <w:rPr>
          <w:position w:val="-30"/>
          <w:sz w:val="24"/>
        </w:rPr>
        <w:object>
          <v:shape id="_x0000_i1030" o:spt="75" type="#_x0000_t75" style="height:34pt;width:77.2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r>
        <w:rPr>
          <w:sz w:val="24"/>
        </w:rPr>
        <w:t>，</w:t>
      </w:r>
      <w:r>
        <w:rPr>
          <w:position w:val="-30"/>
          <w:sz w:val="24"/>
        </w:rPr>
        <w:object>
          <v:shape id="_x0000_i1031" o:spt="75" type="#_x0000_t75" style="height:36.3pt;width:88.15pt;" o:ole="t" filled="f" o:preferrelative="t" stroked="f" coordsize="21600,21600">
            <v:path/>
            <v:fill on="f" focussize="0,0"/>
            <v:stroke on="f" joinstyle="miter"/>
            <v:imagedata r:id="rId18" o:title=""/>
            <o:lock v:ext="edit" aspectratio="t"/>
            <w10:wrap type="none"/>
            <w10:anchorlock/>
          </v:shape>
          <o:OLEObject Type="Embed" ProgID="Equation.DSMT4" ShapeID="_x0000_i1031" DrawAspect="Content" ObjectID="_1468075731" r:id="rId17">
            <o:LockedField>false</o:LockedField>
          </o:OLEObject>
        </w:object>
      </w:r>
    </w:p>
    <w:p w14:paraId="6E946D6F">
      <w:pPr>
        <w:spacing w:line="360" w:lineRule="auto"/>
        <w:rPr>
          <w:b/>
          <w:sz w:val="24"/>
        </w:rPr>
      </w:pPr>
      <w:r>
        <w:rPr>
          <w:rFonts w:eastAsiaTheme="minorEastAsia"/>
          <w:b/>
          <w:sz w:val="24"/>
        </w:rPr>
        <w:t>四、标准不确定</w:t>
      </w:r>
      <w:r>
        <w:rPr>
          <w:b/>
          <w:sz w:val="24"/>
        </w:rPr>
        <w:t>度分量的来源分析</w:t>
      </w:r>
    </w:p>
    <w:p w14:paraId="4A1FDECB">
      <w:pPr>
        <w:spacing w:line="360" w:lineRule="auto"/>
        <w:ind w:firstLine="240" w:firstLineChars="100"/>
        <w:rPr>
          <w:sz w:val="24"/>
        </w:rPr>
      </w:pPr>
      <w:r>
        <w:rPr>
          <w:rFonts w:eastAsiaTheme="minorEastAsia"/>
          <w:sz w:val="24"/>
        </w:rPr>
        <w:t>1.由输</w:t>
      </w:r>
      <w:r>
        <w:rPr>
          <w:sz w:val="24"/>
        </w:rPr>
        <w:t>入量</w:t>
      </w:r>
      <w:r>
        <w:rPr>
          <w:i/>
          <w:sz w:val="24"/>
        </w:rPr>
        <w:t>C</w:t>
      </w:r>
      <w:r>
        <w:rPr>
          <w:sz w:val="24"/>
        </w:rPr>
        <w:t>引入的标准不确定度</w:t>
      </w:r>
      <w:r>
        <w:rPr>
          <w:i/>
          <w:sz w:val="24"/>
        </w:rPr>
        <w:t>u</w:t>
      </w:r>
      <w:r>
        <w:rPr>
          <w:sz w:val="24"/>
        </w:rPr>
        <w:t>(</w:t>
      </w:r>
      <w:r>
        <w:rPr>
          <w:i/>
          <w:sz w:val="24"/>
        </w:rPr>
        <w:t>C</w:t>
      </w:r>
      <w:r>
        <w:rPr>
          <w:sz w:val="24"/>
        </w:rPr>
        <w:t>)</w:t>
      </w:r>
    </w:p>
    <w:p w14:paraId="11B9BC5F">
      <w:pPr>
        <w:spacing w:line="360" w:lineRule="auto"/>
        <w:ind w:firstLine="480" w:firstLineChars="200"/>
        <w:rPr>
          <w:sz w:val="24"/>
        </w:rPr>
      </w:pPr>
      <w:r>
        <w:rPr>
          <w:rFonts w:eastAsiaTheme="minorEastAsia"/>
          <w:sz w:val="24"/>
        </w:rPr>
        <w:t>1.1</w:t>
      </w:r>
      <w:r>
        <w:rPr>
          <w:sz w:val="24"/>
        </w:rPr>
        <w:t>由酶-电极法生物传感器分析仪重复性引入的标准不确定度</w:t>
      </w:r>
      <w:r>
        <w:rPr>
          <w:i/>
          <w:sz w:val="24"/>
        </w:rPr>
        <w:t>u</w:t>
      </w:r>
      <w:r>
        <w:rPr>
          <w:sz w:val="24"/>
          <w:vertAlign w:val="subscript"/>
        </w:rPr>
        <w:t>1</w:t>
      </w:r>
      <w:r>
        <w:rPr>
          <w:sz w:val="24"/>
        </w:rPr>
        <w:t>(</w:t>
      </w:r>
      <w:r>
        <w:rPr>
          <w:i/>
          <w:sz w:val="24"/>
        </w:rPr>
        <w:t>C</w:t>
      </w:r>
      <w:r>
        <w:rPr>
          <w:sz w:val="24"/>
        </w:rPr>
        <w:t>)；</w:t>
      </w:r>
    </w:p>
    <w:p w14:paraId="23ADB8BF">
      <w:pPr>
        <w:spacing w:line="360" w:lineRule="auto"/>
        <w:ind w:firstLine="480" w:firstLineChars="200"/>
        <w:rPr>
          <w:sz w:val="24"/>
        </w:rPr>
      </w:pPr>
      <w:r>
        <w:rPr>
          <w:rFonts w:eastAsiaTheme="minorEastAsia"/>
          <w:sz w:val="24"/>
        </w:rPr>
        <w:t>1.2</w:t>
      </w:r>
      <w:r>
        <w:rPr>
          <w:sz w:val="24"/>
        </w:rPr>
        <w:t>由酶-电极法生物传感器分析仪分辨力引入的标准不确定度</w:t>
      </w:r>
      <w:r>
        <w:rPr>
          <w:i/>
          <w:sz w:val="24"/>
        </w:rPr>
        <w:t>u</w:t>
      </w:r>
      <w:r>
        <w:rPr>
          <w:sz w:val="24"/>
          <w:vertAlign w:val="subscript"/>
        </w:rPr>
        <w:t>2</w:t>
      </w:r>
      <w:r>
        <w:rPr>
          <w:sz w:val="24"/>
        </w:rPr>
        <w:t>(</w:t>
      </w:r>
      <w:r>
        <w:rPr>
          <w:i/>
          <w:sz w:val="24"/>
        </w:rPr>
        <w:t>C</w:t>
      </w:r>
      <w:r>
        <w:rPr>
          <w:sz w:val="24"/>
        </w:rPr>
        <w:t>)。</w:t>
      </w:r>
    </w:p>
    <w:p w14:paraId="4BE7FD87">
      <w:pPr>
        <w:spacing w:line="360" w:lineRule="auto"/>
        <w:ind w:firstLine="240" w:firstLineChars="100"/>
        <w:rPr>
          <w:sz w:val="24"/>
        </w:rPr>
      </w:pPr>
      <w:r>
        <w:rPr>
          <w:rFonts w:eastAsiaTheme="minorEastAsia"/>
          <w:sz w:val="24"/>
        </w:rPr>
        <w:t>2.</w:t>
      </w:r>
      <w:r>
        <w:rPr>
          <w:sz w:val="24"/>
        </w:rPr>
        <w:t>由输入量</w:t>
      </w:r>
      <w:r>
        <w:rPr>
          <w:i/>
          <w:sz w:val="24"/>
        </w:rPr>
        <w:t>C</w:t>
      </w:r>
      <w:r>
        <w:rPr>
          <w:sz w:val="24"/>
          <w:vertAlign w:val="subscript"/>
        </w:rPr>
        <w:t>s</w:t>
      </w:r>
      <w:r>
        <w:rPr>
          <w:sz w:val="24"/>
        </w:rPr>
        <w:t>引入的标准不确定度</w:t>
      </w:r>
      <w:r>
        <w:rPr>
          <w:i/>
          <w:sz w:val="24"/>
        </w:rPr>
        <w:t>u</w:t>
      </w:r>
      <w:r>
        <w:rPr>
          <w:sz w:val="24"/>
        </w:rPr>
        <w:t>(</w:t>
      </w:r>
      <w:r>
        <w:rPr>
          <w:i/>
          <w:sz w:val="24"/>
        </w:rPr>
        <w:t>C</w:t>
      </w:r>
      <w:r>
        <w:rPr>
          <w:sz w:val="24"/>
          <w:vertAlign w:val="subscript"/>
        </w:rPr>
        <w:t>s</w:t>
      </w:r>
      <w:r>
        <w:rPr>
          <w:sz w:val="24"/>
        </w:rPr>
        <w:t>)</w:t>
      </w:r>
    </w:p>
    <w:p w14:paraId="2549C5EB">
      <w:pPr>
        <w:spacing w:line="360" w:lineRule="auto"/>
        <w:ind w:firstLine="480" w:firstLineChars="200"/>
        <w:rPr>
          <w:sz w:val="24"/>
        </w:rPr>
      </w:pPr>
      <w:r>
        <w:rPr>
          <w:rFonts w:eastAsiaTheme="minorEastAsia"/>
          <w:sz w:val="24"/>
        </w:rPr>
        <w:t>2.1</w:t>
      </w:r>
      <w:r>
        <w:rPr>
          <w:sz w:val="24"/>
        </w:rPr>
        <w:t>由标准物质不确定度引入的标准不确定度</w:t>
      </w:r>
      <w:r>
        <w:rPr>
          <w:i/>
          <w:sz w:val="24"/>
        </w:rPr>
        <w:t>u</w:t>
      </w:r>
      <w:r>
        <w:rPr>
          <w:sz w:val="24"/>
          <w:vertAlign w:val="subscript"/>
        </w:rPr>
        <w:t>1</w:t>
      </w:r>
      <w:r>
        <w:rPr>
          <w:sz w:val="24"/>
        </w:rPr>
        <w:t>(</w:t>
      </w:r>
      <w:r>
        <w:rPr>
          <w:i/>
          <w:sz w:val="24"/>
        </w:rPr>
        <w:t>C</w:t>
      </w:r>
      <w:r>
        <w:rPr>
          <w:sz w:val="24"/>
          <w:vertAlign w:val="subscript"/>
        </w:rPr>
        <w:t>s</w:t>
      </w:r>
      <w:r>
        <w:rPr>
          <w:sz w:val="24"/>
        </w:rPr>
        <w:t>)；</w:t>
      </w:r>
    </w:p>
    <w:p w14:paraId="2E97E3FA">
      <w:pPr>
        <w:spacing w:line="360" w:lineRule="auto"/>
        <w:ind w:firstLine="480" w:firstLineChars="200"/>
        <w:rPr>
          <w:sz w:val="24"/>
        </w:rPr>
      </w:pPr>
      <w:r>
        <w:rPr>
          <w:rFonts w:eastAsiaTheme="minorEastAsia"/>
          <w:sz w:val="24"/>
        </w:rPr>
        <w:t>2.2</w:t>
      </w:r>
      <w:r>
        <w:rPr>
          <w:sz w:val="24"/>
        </w:rPr>
        <w:t>称量标准物质时由电子天平引入的标准不确定度</w:t>
      </w:r>
      <w:r>
        <w:rPr>
          <w:i/>
          <w:sz w:val="24"/>
        </w:rPr>
        <w:t>u</w:t>
      </w:r>
      <w:r>
        <w:rPr>
          <w:sz w:val="24"/>
          <w:vertAlign w:val="subscript"/>
        </w:rPr>
        <w:t>2</w:t>
      </w:r>
      <w:r>
        <w:rPr>
          <w:sz w:val="24"/>
        </w:rPr>
        <w:t>(</w:t>
      </w:r>
      <w:r>
        <w:rPr>
          <w:i/>
          <w:sz w:val="24"/>
        </w:rPr>
        <w:t>C</w:t>
      </w:r>
      <w:r>
        <w:rPr>
          <w:sz w:val="24"/>
          <w:vertAlign w:val="subscript"/>
        </w:rPr>
        <w:t>s</w:t>
      </w:r>
      <w:r>
        <w:rPr>
          <w:sz w:val="24"/>
        </w:rPr>
        <w:t>)；</w:t>
      </w:r>
    </w:p>
    <w:p w14:paraId="54D03E7C">
      <w:pPr>
        <w:spacing w:line="360" w:lineRule="auto"/>
        <w:ind w:firstLine="480" w:firstLineChars="200"/>
      </w:pPr>
      <w:r>
        <w:rPr>
          <w:rFonts w:eastAsiaTheme="minorEastAsia"/>
          <w:sz w:val="24"/>
        </w:rPr>
        <w:t>2.3</w:t>
      </w:r>
      <w:r>
        <w:rPr>
          <w:sz w:val="24"/>
        </w:rPr>
        <w:t>定容标准溶液时由单标线容量瓶引入的标准不确定度</w:t>
      </w:r>
      <w:r>
        <w:rPr>
          <w:i/>
          <w:sz w:val="24"/>
        </w:rPr>
        <w:t>u</w:t>
      </w:r>
      <w:r>
        <w:rPr>
          <w:sz w:val="24"/>
          <w:vertAlign w:val="subscript"/>
        </w:rPr>
        <w:t>3</w:t>
      </w:r>
      <w:r>
        <w:rPr>
          <w:sz w:val="24"/>
        </w:rPr>
        <w:t>(</w:t>
      </w:r>
      <w:r>
        <w:rPr>
          <w:i/>
          <w:sz w:val="24"/>
        </w:rPr>
        <w:t>C</w:t>
      </w:r>
      <w:r>
        <w:rPr>
          <w:sz w:val="24"/>
          <w:vertAlign w:val="subscript"/>
        </w:rPr>
        <w:t>s</w:t>
      </w:r>
      <w:r>
        <w:rPr>
          <w:sz w:val="24"/>
        </w:rPr>
        <w:t>)。</w:t>
      </w:r>
    </w:p>
    <w:p w14:paraId="75622604">
      <w:pPr>
        <w:spacing w:line="360" w:lineRule="auto"/>
        <w:rPr>
          <w:b/>
          <w:sz w:val="24"/>
        </w:rPr>
      </w:pPr>
      <w:r>
        <w:rPr>
          <w:rFonts w:eastAsiaTheme="minorEastAsia"/>
          <w:b/>
          <w:sz w:val="24"/>
        </w:rPr>
        <w:t>五、</w:t>
      </w:r>
      <w:r>
        <w:rPr>
          <w:b/>
          <w:sz w:val="24"/>
        </w:rPr>
        <w:t>标准不确定度分量的评定</w:t>
      </w:r>
    </w:p>
    <w:p w14:paraId="65CB7796">
      <w:pPr>
        <w:spacing w:line="360" w:lineRule="auto"/>
        <w:ind w:firstLine="240" w:firstLineChars="100"/>
        <w:rPr>
          <w:sz w:val="24"/>
        </w:rPr>
      </w:pPr>
      <w:r>
        <w:rPr>
          <w:rFonts w:eastAsiaTheme="minorEastAsia"/>
          <w:sz w:val="24"/>
        </w:rPr>
        <w:t>1.</w:t>
      </w:r>
      <w:r>
        <w:rPr>
          <w:sz w:val="24"/>
        </w:rPr>
        <w:t>由输入量</w:t>
      </w:r>
      <w:r>
        <w:rPr>
          <w:i/>
          <w:sz w:val="24"/>
        </w:rPr>
        <w:t>C</w:t>
      </w:r>
      <w:r>
        <w:rPr>
          <w:sz w:val="24"/>
        </w:rPr>
        <w:t>引入的标准不确定度分量</w:t>
      </w:r>
      <w:r>
        <w:rPr>
          <w:i/>
          <w:sz w:val="24"/>
        </w:rPr>
        <w:t>u</w:t>
      </w:r>
      <w:r>
        <w:rPr>
          <w:sz w:val="24"/>
        </w:rPr>
        <w:t>(</w:t>
      </w:r>
      <w:r>
        <w:rPr>
          <w:i/>
          <w:sz w:val="24"/>
        </w:rPr>
        <w:t>C</w:t>
      </w:r>
      <w:r>
        <w:rPr>
          <w:sz w:val="24"/>
        </w:rPr>
        <w:t>)的评定</w:t>
      </w:r>
    </w:p>
    <w:p w14:paraId="44B034D5">
      <w:pPr>
        <w:spacing w:line="360" w:lineRule="auto"/>
        <w:ind w:firstLine="480" w:firstLineChars="200"/>
        <w:rPr>
          <w:sz w:val="24"/>
        </w:rPr>
      </w:pPr>
      <w:r>
        <w:rPr>
          <w:rFonts w:eastAsiaTheme="minorEastAsia"/>
          <w:sz w:val="24"/>
        </w:rPr>
        <w:t>1.1</w:t>
      </w:r>
      <w:r>
        <w:rPr>
          <w:sz w:val="24"/>
        </w:rPr>
        <w:t>由酶-电极法生物传感器分析仪重复性引入的标准不确定度分量</w:t>
      </w:r>
      <w:r>
        <w:rPr>
          <w:i/>
          <w:sz w:val="24"/>
        </w:rPr>
        <w:t>u</w:t>
      </w:r>
      <w:r>
        <w:rPr>
          <w:sz w:val="24"/>
          <w:vertAlign w:val="subscript"/>
        </w:rPr>
        <w:t>1</w:t>
      </w:r>
      <w:r>
        <w:rPr>
          <w:sz w:val="24"/>
        </w:rPr>
        <w:t>(</w:t>
      </w:r>
      <w:r>
        <w:rPr>
          <w:i/>
          <w:sz w:val="24"/>
        </w:rPr>
        <w:t>C</w:t>
      </w:r>
      <w:r>
        <w:rPr>
          <w:sz w:val="24"/>
        </w:rPr>
        <w:t>)</w:t>
      </w:r>
    </w:p>
    <w:p w14:paraId="439AB7B5">
      <w:pPr>
        <w:widowControl/>
        <w:autoSpaceDE w:val="0"/>
        <w:spacing w:line="360" w:lineRule="auto"/>
        <w:ind w:firstLine="720" w:firstLineChars="300"/>
        <w:jc w:val="left"/>
        <w:rPr>
          <w:kern w:val="0"/>
          <w:sz w:val="24"/>
        </w:rPr>
      </w:pPr>
      <w:r>
        <w:rPr>
          <w:kern w:val="0"/>
          <w:sz w:val="24"/>
        </w:rPr>
        <w:t>输入量</w:t>
      </w:r>
      <w:r>
        <w:rPr>
          <w:i/>
          <w:sz w:val="24"/>
        </w:rPr>
        <w:t>C</w:t>
      </w:r>
      <w:r>
        <w:rPr>
          <w:kern w:val="0"/>
          <w:sz w:val="24"/>
        </w:rPr>
        <w:t>的不确定度来源于</w:t>
      </w:r>
      <w:r>
        <w:rPr>
          <w:sz w:val="24"/>
        </w:rPr>
        <w:t>酶-电极法生物传感器分析仪</w:t>
      </w:r>
      <w:r>
        <w:rPr>
          <w:kern w:val="0"/>
          <w:sz w:val="24"/>
        </w:rPr>
        <w:t>的测量重复性，可以通过重复测量得到测量列，采用A类方法进行评定。在重复性测量条件下，</w:t>
      </w:r>
      <w:r>
        <w:rPr>
          <w:sz w:val="24"/>
        </w:rPr>
        <w:t>用酶-电极法生物传感器分析仪</w:t>
      </w:r>
      <w:r>
        <w:rPr>
          <w:kern w:val="0"/>
          <w:sz w:val="24"/>
        </w:rPr>
        <w:t>对浓度为</w:t>
      </w:r>
      <w:r>
        <w:rPr>
          <w:sz w:val="24"/>
        </w:rPr>
        <w:t>1.00 g/L的葡萄糖标准溶液</w:t>
      </w:r>
      <w:r>
        <w:rPr>
          <w:kern w:val="0"/>
          <w:sz w:val="24"/>
        </w:rPr>
        <w:t>重复测量10次，测量结果见1表。</w:t>
      </w:r>
    </w:p>
    <w:p w14:paraId="43BBB79E">
      <w:pPr>
        <w:widowControl/>
        <w:spacing w:line="360" w:lineRule="auto"/>
        <w:ind w:firstLine="420" w:firstLineChars="200"/>
        <w:jc w:val="center"/>
        <w:rPr>
          <w:rFonts w:eastAsia="黑体"/>
          <w:kern w:val="0"/>
        </w:rPr>
      </w:pPr>
      <w:r>
        <w:rPr>
          <w:rFonts w:eastAsia="黑体"/>
          <w:kern w:val="0"/>
        </w:rPr>
        <w:t xml:space="preserve">表1 </w:t>
      </w:r>
      <w:r>
        <w:rPr>
          <w:rFonts w:eastAsia="黑体"/>
        </w:rPr>
        <w:t>葡萄糖标准溶液的测量结果</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637"/>
        <w:gridCol w:w="721"/>
        <w:gridCol w:w="722"/>
        <w:gridCol w:w="722"/>
        <w:gridCol w:w="722"/>
        <w:gridCol w:w="722"/>
        <w:gridCol w:w="722"/>
        <w:gridCol w:w="722"/>
        <w:gridCol w:w="722"/>
        <w:gridCol w:w="637"/>
        <w:gridCol w:w="1016"/>
      </w:tblGrid>
      <w:tr w14:paraId="037D3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6" w:type="dxa"/>
            <w:vMerge w:val="restart"/>
            <w:vAlign w:val="center"/>
          </w:tcPr>
          <w:p w14:paraId="714CAF54">
            <w:pPr>
              <w:jc w:val="center"/>
              <w:rPr>
                <w:rFonts w:ascii="Times New Roman" w:hAnsi="Times New Roman"/>
              </w:rPr>
            </w:pPr>
            <w:r>
              <w:rPr>
                <w:rFonts w:ascii="Times New Roman" w:hAnsi="Times New Roman"/>
              </w:rPr>
              <w:t>标准值</w:t>
            </w:r>
          </w:p>
          <w:p w14:paraId="40D1DA91">
            <w:pPr>
              <w:jc w:val="center"/>
              <w:rPr>
                <w:rFonts w:ascii="Times New Roman" w:hAnsi="Times New Roman"/>
              </w:rPr>
            </w:pPr>
            <w:r>
              <w:rPr>
                <w:rFonts w:ascii="Times New Roman" w:hAnsi="Times New Roman"/>
                <w:kern w:val="0"/>
              </w:rPr>
              <w:t>( g/L )</w:t>
            </w:r>
          </w:p>
        </w:tc>
        <w:tc>
          <w:tcPr>
            <w:tcW w:w="7049" w:type="dxa"/>
            <w:gridSpan w:val="10"/>
            <w:vAlign w:val="center"/>
          </w:tcPr>
          <w:p w14:paraId="533ED963">
            <w:pPr>
              <w:jc w:val="center"/>
              <w:rPr>
                <w:rFonts w:ascii="Times New Roman" w:hAnsi="Times New Roman"/>
              </w:rPr>
            </w:pPr>
            <w:r>
              <w:rPr>
                <w:rFonts w:ascii="Times New Roman" w:hAnsi="Times New Roman"/>
                <w:kern w:val="0"/>
              </w:rPr>
              <w:t>测得值( g/L )</w:t>
            </w:r>
          </w:p>
        </w:tc>
        <w:tc>
          <w:tcPr>
            <w:tcW w:w="1016" w:type="dxa"/>
            <w:vMerge w:val="restart"/>
            <w:vAlign w:val="center"/>
          </w:tcPr>
          <w:p w14:paraId="014F2D0F">
            <w:pPr>
              <w:jc w:val="center"/>
              <w:rPr>
                <w:rFonts w:ascii="Times New Roman" w:hAnsi="Times New Roman"/>
                <w:kern w:val="0"/>
              </w:rPr>
            </w:pPr>
            <w:r>
              <w:rPr>
                <w:rFonts w:ascii="Times New Roman" w:hAnsi="Times New Roman"/>
                <w:kern w:val="0"/>
              </w:rPr>
              <w:t>平均值</w:t>
            </w:r>
          </w:p>
          <w:p w14:paraId="126DC592">
            <w:pPr>
              <w:jc w:val="center"/>
              <w:rPr>
                <w:rFonts w:ascii="Times New Roman" w:hAnsi="Times New Roman"/>
              </w:rPr>
            </w:pPr>
            <w:r>
              <w:rPr>
                <w:rFonts w:ascii="Times New Roman" w:hAnsi="Times New Roman"/>
                <w:kern w:val="0"/>
              </w:rPr>
              <w:t>( g/L )</w:t>
            </w:r>
          </w:p>
        </w:tc>
      </w:tr>
      <w:tr w14:paraId="63F89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6" w:type="dxa"/>
            <w:vMerge w:val="continue"/>
            <w:vAlign w:val="center"/>
          </w:tcPr>
          <w:p w14:paraId="1A645907">
            <w:pPr>
              <w:jc w:val="center"/>
              <w:rPr>
                <w:rFonts w:ascii="Times New Roman" w:hAnsi="Times New Roman"/>
              </w:rPr>
            </w:pPr>
          </w:p>
        </w:tc>
        <w:tc>
          <w:tcPr>
            <w:tcW w:w="637" w:type="dxa"/>
            <w:vAlign w:val="center"/>
          </w:tcPr>
          <w:p w14:paraId="08814DFF">
            <w:pPr>
              <w:jc w:val="center"/>
              <w:rPr>
                <w:rFonts w:ascii="Times New Roman" w:hAnsi="Times New Roman"/>
              </w:rPr>
            </w:pPr>
            <w:r>
              <w:rPr>
                <w:rFonts w:ascii="Times New Roman" w:hAnsi="Times New Roman"/>
              </w:rPr>
              <w:t>1</w:t>
            </w:r>
          </w:p>
        </w:tc>
        <w:tc>
          <w:tcPr>
            <w:tcW w:w="721" w:type="dxa"/>
            <w:vAlign w:val="center"/>
          </w:tcPr>
          <w:p w14:paraId="70D0EC0B">
            <w:pPr>
              <w:jc w:val="center"/>
              <w:rPr>
                <w:rFonts w:ascii="Times New Roman" w:hAnsi="Times New Roman"/>
              </w:rPr>
            </w:pPr>
            <w:r>
              <w:rPr>
                <w:rFonts w:ascii="Times New Roman" w:hAnsi="Times New Roman"/>
              </w:rPr>
              <w:t>2</w:t>
            </w:r>
          </w:p>
        </w:tc>
        <w:tc>
          <w:tcPr>
            <w:tcW w:w="722" w:type="dxa"/>
            <w:vAlign w:val="center"/>
          </w:tcPr>
          <w:p w14:paraId="76D41A4F">
            <w:pPr>
              <w:jc w:val="center"/>
              <w:rPr>
                <w:rFonts w:ascii="Times New Roman" w:hAnsi="Times New Roman"/>
              </w:rPr>
            </w:pPr>
            <w:r>
              <w:rPr>
                <w:rFonts w:ascii="Times New Roman" w:hAnsi="Times New Roman"/>
              </w:rPr>
              <w:t>3</w:t>
            </w:r>
          </w:p>
        </w:tc>
        <w:tc>
          <w:tcPr>
            <w:tcW w:w="722" w:type="dxa"/>
            <w:vAlign w:val="center"/>
          </w:tcPr>
          <w:p w14:paraId="6664E6F8">
            <w:pPr>
              <w:jc w:val="center"/>
              <w:rPr>
                <w:rFonts w:ascii="Times New Roman" w:hAnsi="Times New Roman"/>
              </w:rPr>
            </w:pPr>
            <w:r>
              <w:rPr>
                <w:rFonts w:ascii="Times New Roman" w:hAnsi="Times New Roman"/>
              </w:rPr>
              <w:t>4</w:t>
            </w:r>
          </w:p>
        </w:tc>
        <w:tc>
          <w:tcPr>
            <w:tcW w:w="722" w:type="dxa"/>
            <w:vAlign w:val="center"/>
          </w:tcPr>
          <w:p w14:paraId="67FCFD1E">
            <w:pPr>
              <w:jc w:val="center"/>
              <w:rPr>
                <w:rFonts w:ascii="Times New Roman" w:hAnsi="Times New Roman"/>
              </w:rPr>
            </w:pPr>
            <w:r>
              <w:rPr>
                <w:rFonts w:ascii="Times New Roman" w:hAnsi="Times New Roman"/>
              </w:rPr>
              <w:t>5</w:t>
            </w:r>
          </w:p>
        </w:tc>
        <w:tc>
          <w:tcPr>
            <w:tcW w:w="722" w:type="dxa"/>
            <w:vAlign w:val="center"/>
          </w:tcPr>
          <w:p w14:paraId="16769760">
            <w:pPr>
              <w:jc w:val="center"/>
              <w:rPr>
                <w:rFonts w:ascii="Times New Roman" w:hAnsi="Times New Roman"/>
              </w:rPr>
            </w:pPr>
            <w:r>
              <w:rPr>
                <w:rFonts w:ascii="Times New Roman" w:hAnsi="Times New Roman"/>
              </w:rPr>
              <w:t>6</w:t>
            </w:r>
          </w:p>
        </w:tc>
        <w:tc>
          <w:tcPr>
            <w:tcW w:w="722" w:type="dxa"/>
            <w:vAlign w:val="center"/>
          </w:tcPr>
          <w:p w14:paraId="0205430A">
            <w:pPr>
              <w:jc w:val="center"/>
              <w:rPr>
                <w:rFonts w:ascii="Times New Roman" w:hAnsi="Times New Roman"/>
              </w:rPr>
            </w:pPr>
            <w:r>
              <w:rPr>
                <w:rFonts w:ascii="Times New Roman" w:hAnsi="Times New Roman"/>
              </w:rPr>
              <w:t>7</w:t>
            </w:r>
          </w:p>
        </w:tc>
        <w:tc>
          <w:tcPr>
            <w:tcW w:w="722" w:type="dxa"/>
            <w:vAlign w:val="center"/>
          </w:tcPr>
          <w:p w14:paraId="2E2311C5">
            <w:pPr>
              <w:jc w:val="center"/>
              <w:rPr>
                <w:rFonts w:ascii="Times New Roman" w:hAnsi="Times New Roman"/>
              </w:rPr>
            </w:pPr>
            <w:r>
              <w:rPr>
                <w:rFonts w:ascii="Times New Roman" w:hAnsi="Times New Roman"/>
              </w:rPr>
              <w:t>8</w:t>
            </w:r>
          </w:p>
        </w:tc>
        <w:tc>
          <w:tcPr>
            <w:tcW w:w="722" w:type="dxa"/>
            <w:vAlign w:val="center"/>
          </w:tcPr>
          <w:p w14:paraId="154CA233">
            <w:pPr>
              <w:jc w:val="center"/>
              <w:rPr>
                <w:rFonts w:ascii="Times New Roman" w:hAnsi="Times New Roman"/>
              </w:rPr>
            </w:pPr>
            <w:r>
              <w:rPr>
                <w:rFonts w:ascii="Times New Roman" w:hAnsi="Times New Roman"/>
              </w:rPr>
              <w:t>9</w:t>
            </w:r>
          </w:p>
        </w:tc>
        <w:tc>
          <w:tcPr>
            <w:tcW w:w="637" w:type="dxa"/>
            <w:vAlign w:val="center"/>
          </w:tcPr>
          <w:p w14:paraId="4D3EB385">
            <w:pPr>
              <w:jc w:val="center"/>
              <w:rPr>
                <w:rFonts w:ascii="Times New Roman" w:hAnsi="Times New Roman"/>
              </w:rPr>
            </w:pPr>
            <w:r>
              <w:rPr>
                <w:rFonts w:ascii="Times New Roman" w:hAnsi="Times New Roman"/>
              </w:rPr>
              <w:t>10</w:t>
            </w:r>
          </w:p>
        </w:tc>
        <w:tc>
          <w:tcPr>
            <w:tcW w:w="1016" w:type="dxa"/>
            <w:vMerge w:val="continue"/>
            <w:vAlign w:val="center"/>
          </w:tcPr>
          <w:p w14:paraId="62A99026">
            <w:pPr>
              <w:jc w:val="center"/>
              <w:rPr>
                <w:rFonts w:ascii="Times New Roman" w:hAnsi="Times New Roman"/>
              </w:rPr>
            </w:pPr>
          </w:p>
        </w:tc>
      </w:tr>
      <w:tr w14:paraId="6B82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6" w:type="dxa"/>
            <w:vAlign w:val="center"/>
          </w:tcPr>
          <w:p w14:paraId="4B1D6FD8">
            <w:pPr>
              <w:jc w:val="center"/>
              <w:rPr>
                <w:rFonts w:ascii="Times New Roman" w:hAnsi="Times New Roman"/>
              </w:rPr>
            </w:pPr>
            <w:r>
              <w:rPr>
                <w:rFonts w:ascii="Times New Roman" w:hAnsi="Times New Roman"/>
              </w:rPr>
              <w:t>1.00</w:t>
            </w:r>
          </w:p>
        </w:tc>
        <w:tc>
          <w:tcPr>
            <w:tcW w:w="637" w:type="dxa"/>
            <w:vAlign w:val="center"/>
          </w:tcPr>
          <w:p w14:paraId="6AC2C2D8">
            <w:pPr>
              <w:jc w:val="center"/>
              <w:rPr>
                <w:rFonts w:ascii="Times New Roman" w:hAnsi="Times New Roman"/>
                <w:color w:val="000000"/>
              </w:rPr>
            </w:pPr>
            <w:r>
              <w:rPr>
                <w:rFonts w:ascii="Times New Roman" w:hAnsi="Times New Roman"/>
                <w:color w:val="000000"/>
              </w:rPr>
              <w:t>0.98</w:t>
            </w:r>
          </w:p>
        </w:tc>
        <w:tc>
          <w:tcPr>
            <w:tcW w:w="721" w:type="dxa"/>
            <w:vAlign w:val="center"/>
          </w:tcPr>
          <w:p w14:paraId="6C953A58">
            <w:pPr>
              <w:jc w:val="center"/>
              <w:rPr>
                <w:rFonts w:ascii="Times New Roman" w:hAnsi="Times New Roman"/>
                <w:color w:val="000000"/>
              </w:rPr>
            </w:pPr>
            <w:r>
              <w:rPr>
                <w:rFonts w:ascii="Times New Roman" w:hAnsi="Times New Roman"/>
                <w:color w:val="000000"/>
              </w:rPr>
              <w:t>1.00</w:t>
            </w:r>
          </w:p>
        </w:tc>
        <w:tc>
          <w:tcPr>
            <w:tcW w:w="722" w:type="dxa"/>
            <w:vAlign w:val="center"/>
          </w:tcPr>
          <w:p w14:paraId="1EF2D7B0">
            <w:pPr>
              <w:jc w:val="center"/>
              <w:rPr>
                <w:rFonts w:ascii="Times New Roman" w:hAnsi="Times New Roman"/>
                <w:color w:val="000000"/>
              </w:rPr>
            </w:pPr>
            <w:r>
              <w:rPr>
                <w:rFonts w:ascii="Times New Roman" w:hAnsi="Times New Roman"/>
                <w:color w:val="000000"/>
              </w:rPr>
              <w:t>0.99</w:t>
            </w:r>
          </w:p>
        </w:tc>
        <w:tc>
          <w:tcPr>
            <w:tcW w:w="722" w:type="dxa"/>
            <w:vAlign w:val="center"/>
          </w:tcPr>
          <w:p w14:paraId="060E89A8">
            <w:pPr>
              <w:jc w:val="center"/>
              <w:rPr>
                <w:rFonts w:ascii="Times New Roman" w:hAnsi="Times New Roman"/>
                <w:color w:val="000000"/>
              </w:rPr>
            </w:pPr>
            <w:r>
              <w:rPr>
                <w:rFonts w:ascii="Times New Roman" w:hAnsi="Times New Roman"/>
                <w:color w:val="000000"/>
              </w:rPr>
              <w:t>1.00</w:t>
            </w:r>
          </w:p>
        </w:tc>
        <w:tc>
          <w:tcPr>
            <w:tcW w:w="722" w:type="dxa"/>
            <w:vAlign w:val="center"/>
          </w:tcPr>
          <w:p w14:paraId="2A2F313A">
            <w:pPr>
              <w:jc w:val="center"/>
              <w:rPr>
                <w:rFonts w:ascii="Times New Roman" w:hAnsi="Times New Roman"/>
                <w:color w:val="000000"/>
              </w:rPr>
            </w:pPr>
            <w:r>
              <w:rPr>
                <w:rFonts w:ascii="Times New Roman" w:hAnsi="Times New Roman"/>
                <w:color w:val="000000"/>
              </w:rPr>
              <w:t>1.04</w:t>
            </w:r>
          </w:p>
        </w:tc>
        <w:tc>
          <w:tcPr>
            <w:tcW w:w="722" w:type="dxa"/>
            <w:vAlign w:val="center"/>
          </w:tcPr>
          <w:p w14:paraId="01EEB270">
            <w:pPr>
              <w:jc w:val="center"/>
              <w:rPr>
                <w:rFonts w:ascii="Times New Roman" w:hAnsi="Times New Roman"/>
                <w:color w:val="000000"/>
              </w:rPr>
            </w:pPr>
            <w:r>
              <w:rPr>
                <w:rFonts w:ascii="Times New Roman" w:hAnsi="Times New Roman"/>
                <w:color w:val="000000"/>
              </w:rPr>
              <w:t>1.02</w:t>
            </w:r>
          </w:p>
        </w:tc>
        <w:tc>
          <w:tcPr>
            <w:tcW w:w="722" w:type="dxa"/>
            <w:vAlign w:val="center"/>
          </w:tcPr>
          <w:p w14:paraId="1D4EEAF4">
            <w:pPr>
              <w:jc w:val="center"/>
              <w:rPr>
                <w:rFonts w:ascii="Times New Roman" w:hAnsi="Times New Roman"/>
                <w:color w:val="000000"/>
              </w:rPr>
            </w:pPr>
            <w:r>
              <w:rPr>
                <w:rFonts w:ascii="Times New Roman" w:hAnsi="Times New Roman"/>
                <w:color w:val="000000"/>
              </w:rPr>
              <w:t>1.01</w:t>
            </w:r>
          </w:p>
        </w:tc>
        <w:tc>
          <w:tcPr>
            <w:tcW w:w="722" w:type="dxa"/>
            <w:vAlign w:val="center"/>
          </w:tcPr>
          <w:p w14:paraId="0C4FBF50">
            <w:pPr>
              <w:jc w:val="center"/>
              <w:rPr>
                <w:rFonts w:ascii="Times New Roman" w:hAnsi="Times New Roman"/>
                <w:color w:val="000000"/>
              </w:rPr>
            </w:pPr>
            <w:r>
              <w:rPr>
                <w:rFonts w:ascii="Times New Roman" w:hAnsi="Times New Roman"/>
                <w:color w:val="000000"/>
              </w:rPr>
              <w:t>0.98</w:t>
            </w:r>
          </w:p>
        </w:tc>
        <w:tc>
          <w:tcPr>
            <w:tcW w:w="722" w:type="dxa"/>
            <w:vAlign w:val="center"/>
          </w:tcPr>
          <w:p w14:paraId="070FFEEB">
            <w:pPr>
              <w:jc w:val="center"/>
              <w:rPr>
                <w:rFonts w:ascii="Times New Roman" w:hAnsi="Times New Roman"/>
                <w:color w:val="000000"/>
              </w:rPr>
            </w:pPr>
            <w:r>
              <w:rPr>
                <w:rFonts w:ascii="Times New Roman" w:hAnsi="Times New Roman"/>
                <w:color w:val="000000"/>
              </w:rPr>
              <w:t>1.02</w:t>
            </w:r>
          </w:p>
        </w:tc>
        <w:tc>
          <w:tcPr>
            <w:tcW w:w="637" w:type="dxa"/>
            <w:vAlign w:val="center"/>
          </w:tcPr>
          <w:p w14:paraId="1D0FB28C">
            <w:pPr>
              <w:jc w:val="center"/>
              <w:rPr>
                <w:rFonts w:ascii="Times New Roman" w:hAnsi="Times New Roman"/>
                <w:color w:val="000000"/>
              </w:rPr>
            </w:pPr>
            <w:r>
              <w:rPr>
                <w:rFonts w:ascii="Times New Roman" w:hAnsi="Times New Roman"/>
                <w:color w:val="000000"/>
              </w:rPr>
              <w:t>1.00</w:t>
            </w:r>
          </w:p>
        </w:tc>
        <w:tc>
          <w:tcPr>
            <w:tcW w:w="1016" w:type="dxa"/>
            <w:vAlign w:val="center"/>
          </w:tcPr>
          <w:p w14:paraId="18437231">
            <w:pPr>
              <w:jc w:val="center"/>
              <w:rPr>
                <w:rFonts w:ascii="Times New Roman" w:hAnsi="Times New Roman"/>
              </w:rPr>
            </w:pPr>
            <w:r>
              <w:rPr>
                <w:rFonts w:ascii="Times New Roman" w:hAnsi="Times New Roman"/>
              </w:rPr>
              <w:t>1.004</w:t>
            </w:r>
          </w:p>
        </w:tc>
      </w:tr>
    </w:tbl>
    <w:p w14:paraId="516A3CB3">
      <w:pPr>
        <w:spacing w:line="360" w:lineRule="auto"/>
        <w:rPr>
          <w:sz w:val="24"/>
          <w:lang w:val="zh-CN"/>
        </w:rPr>
      </w:pPr>
      <w:r>
        <w:rPr>
          <w:sz w:val="24"/>
          <w:lang w:val="zh-CN"/>
        </w:rPr>
        <w:t>单次测量实验标准偏差为：</w:t>
      </w:r>
    </w:p>
    <w:p w14:paraId="5A3BEE0F">
      <w:pPr>
        <w:spacing w:line="360" w:lineRule="auto"/>
        <w:ind w:firstLine="2880" w:firstLineChars="1200"/>
        <w:rPr>
          <w:sz w:val="24"/>
        </w:rPr>
      </w:pPr>
      <w:r>
        <w:rPr>
          <w:position w:val="-26"/>
          <w:sz w:val="24"/>
        </w:rPr>
        <w:object>
          <v:shape id="_x0000_i1032" o:spt="75" type="#_x0000_t75" style="height:51.85pt;width:155.5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2" r:id="rId19">
            <o:LockedField>false</o:LockedField>
          </o:OLEObject>
        </w:object>
      </w:r>
    </w:p>
    <w:p w14:paraId="1F03963B">
      <w:pPr>
        <w:spacing w:line="360" w:lineRule="auto"/>
        <w:rPr>
          <w:sz w:val="24"/>
        </w:rPr>
      </w:pPr>
      <w:r>
        <w:rPr>
          <w:kern w:val="0"/>
          <w:sz w:val="24"/>
        </w:rPr>
        <w:t>在实际测量时，以3次测量值的平均值作为测量结果，</w:t>
      </w:r>
      <w:r>
        <w:rPr>
          <w:sz w:val="24"/>
        </w:rPr>
        <w:t>故：</w:t>
      </w:r>
    </w:p>
    <w:p w14:paraId="37C8B948">
      <w:pPr>
        <w:spacing w:line="360" w:lineRule="auto"/>
        <w:ind w:firstLine="2880" w:firstLineChars="1200"/>
        <w:rPr>
          <w:sz w:val="24"/>
        </w:rPr>
      </w:pPr>
      <w:bookmarkStart w:id="9" w:name="OLE_LINK176"/>
      <w:bookmarkStart w:id="10" w:name="OLE_LINK175"/>
      <w:r>
        <w:rPr>
          <w:position w:val="-28"/>
          <w:sz w:val="24"/>
        </w:rPr>
        <w:object>
          <v:shape id="_x0000_i1033" o:spt="75" type="#_x0000_t75" style="height:33.4pt;width:178pt;" o:ole="t" filled="f" o:preferrelative="t" stroked="f" coordsize="21600,21600">
            <v:path/>
            <v:fill on="f" focussize="0,0"/>
            <v:stroke on="f" joinstyle="miter"/>
            <v:imagedata r:id="rId22" o:title=""/>
            <o:lock v:ext="edit" aspectratio="t"/>
            <w10:wrap type="none"/>
            <w10:anchorlock/>
          </v:shape>
          <o:OLEObject Type="Embed" ProgID="Equation.DSMT4" ShapeID="_x0000_i1033" DrawAspect="Content" ObjectID="_1468075733" r:id="rId21">
            <o:LockedField>false</o:LockedField>
          </o:OLEObject>
        </w:object>
      </w:r>
      <w:bookmarkEnd w:id="9"/>
      <w:bookmarkEnd w:id="10"/>
    </w:p>
    <w:p w14:paraId="0965C3F6">
      <w:pPr>
        <w:spacing w:line="360" w:lineRule="auto"/>
        <w:ind w:firstLine="480" w:firstLineChars="200"/>
        <w:rPr>
          <w:sz w:val="24"/>
        </w:rPr>
      </w:pPr>
      <w:r>
        <w:rPr>
          <w:rFonts w:eastAsiaTheme="minorEastAsia"/>
          <w:sz w:val="24"/>
        </w:rPr>
        <w:t>1.2</w:t>
      </w:r>
      <w:r>
        <w:rPr>
          <w:sz w:val="24"/>
        </w:rPr>
        <w:t>由酶-电极法生物传感器分析仪分辨力引入的标准不确定度分量</w:t>
      </w:r>
      <w:r>
        <w:rPr>
          <w:i/>
          <w:sz w:val="24"/>
        </w:rPr>
        <w:t>u</w:t>
      </w:r>
      <w:r>
        <w:rPr>
          <w:sz w:val="24"/>
          <w:vertAlign w:val="subscript"/>
        </w:rPr>
        <w:t>2</w:t>
      </w:r>
      <w:r>
        <w:rPr>
          <w:sz w:val="24"/>
        </w:rPr>
        <w:t>(</w:t>
      </w:r>
      <w:r>
        <w:rPr>
          <w:i/>
          <w:sz w:val="24"/>
        </w:rPr>
        <w:t>C</w:t>
      </w:r>
      <w:r>
        <w:rPr>
          <w:sz w:val="24"/>
        </w:rPr>
        <w:t>)</w:t>
      </w:r>
    </w:p>
    <w:p w14:paraId="28C35FFC">
      <w:pPr>
        <w:spacing w:line="360" w:lineRule="auto"/>
        <w:ind w:firstLine="720" w:firstLineChars="300"/>
        <w:rPr>
          <w:sz w:val="24"/>
          <w:lang w:val="zh-CN"/>
        </w:rPr>
      </w:pPr>
      <w:r>
        <w:rPr>
          <w:sz w:val="24"/>
        </w:rPr>
        <w:t>本次被测对象酶-电极法生物传感器分析仪的最小分辨力为0.01 g/L，故区间半宽</w:t>
      </w:r>
      <w:bookmarkStart w:id="11" w:name="OLE_LINK177"/>
      <w:bookmarkStart w:id="12" w:name="OLE_LINK178"/>
      <w:r>
        <w:rPr>
          <w:position w:val="-10"/>
          <w:sz w:val="24"/>
        </w:rPr>
        <w:object>
          <v:shape id="_x0000_i1034" o:spt="75" type="#_x0000_t75" style="height:16.15pt;width:61.65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bookmarkEnd w:id="11"/>
      <w:bookmarkEnd w:id="12"/>
      <w:r>
        <w:rPr>
          <w:sz w:val="24"/>
        </w:rPr>
        <w:t>，按均匀分布，包含因子取</w:t>
      </w:r>
      <w:r>
        <w:rPr>
          <w:i/>
          <w:sz w:val="24"/>
        </w:rPr>
        <w:t>k</w:t>
      </w:r>
      <w:r>
        <w:rPr>
          <w:sz w:val="24"/>
        </w:rPr>
        <w:t>=</w:t>
      </w:r>
      <w:r>
        <w:rPr>
          <w:position w:val="-6"/>
          <w:sz w:val="24"/>
          <w:lang w:val="zh-CN"/>
        </w:rPr>
        <w:object>
          <v:shape id="_x0000_i1035" o:spt="75" type="#_x0000_t75" style="height:17.3pt;width:17.3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r>
        <w:rPr>
          <w:rFonts w:eastAsiaTheme="majorEastAsia"/>
          <w:sz w:val="24"/>
          <w:lang w:val="zh-CN"/>
        </w:rPr>
        <w:t>,</w:t>
      </w:r>
      <w:r>
        <w:rPr>
          <w:sz w:val="24"/>
          <w:lang w:val="zh-CN"/>
        </w:rPr>
        <w:t>则由此引入的不确定度为：</w:t>
      </w:r>
    </w:p>
    <w:p w14:paraId="7CCA774A">
      <w:pPr>
        <w:spacing w:line="200" w:lineRule="exact"/>
        <w:ind w:firstLine="482"/>
        <w:rPr>
          <w:sz w:val="24"/>
          <w:lang w:val="zh-CN"/>
        </w:rPr>
      </w:pPr>
    </w:p>
    <w:p w14:paraId="1822E655">
      <w:pPr>
        <w:spacing w:line="360" w:lineRule="auto"/>
        <w:ind w:firstLine="2520" w:firstLineChars="1200"/>
        <w:rPr>
          <w:sz w:val="24"/>
        </w:rPr>
      </w:pPr>
      <w:r>
        <w:rPr>
          <w:szCs w:val="21"/>
        </w:rPr>
        <w:pict>
          <v:shape id="_x0000_s1027" o:spid="_x0000_s1027" o:spt="75" type="#_x0000_t75" style="position:absolute;left:0pt;margin-left:127.45pt;margin-top:3.25pt;height:33.2pt;width:172.85pt;z-index:251659264;mso-width-relative:page;mso-height-relative:page;" o:ole="t" filled="f" o:preferrelative="t" stroked="f" coordsize="21600,21600">
            <v:path/>
            <v:fill on="f" focussize="0,0"/>
            <v:stroke on="f" joinstyle="miter"/>
            <v:imagedata r:id="rId28" o:title=""/>
            <o:lock v:ext="edit" aspectratio="t"/>
          </v:shape>
          <o:OLEObject Type="Embed" ProgID="Equation.DSMT4" ShapeID="_x0000_s1027" DrawAspect="Content" ObjectID="_1468075736" r:id="rId27">
            <o:LockedField>false</o:LockedField>
          </o:OLEObject>
        </w:pict>
      </w:r>
      <w:r>
        <w:rPr>
          <w:sz w:val="24"/>
          <w:lang w:val="zh-CN"/>
        </w:rPr>
        <w:t xml:space="preserve">            </w:t>
      </w:r>
      <w:r>
        <w:rPr>
          <w:sz w:val="24"/>
        </w:rPr>
        <w:t xml:space="preserve">        </w:t>
      </w:r>
    </w:p>
    <w:p w14:paraId="78220A84">
      <w:pPr>
        <w:spacing w:line="360" w:lineRule="auto"/>
        <w:ind w:firstLine="480"/>
        <w:rPr>
          <w:sz w:val="24"/>
        </w:rPr>
      </w:pPr>
    </w:p>
    <w:p w14:paraId="3BF9750B">
      <w:pPr>
        <w:spacing w:line="360" w:lineRule="auto"/>
        <w:ind w:firstLine="480" w:firstLineChars="200"/>
        <w:rPr>
          <w:sz w:val="24"/>
        </w:rPr>
      </w:pPr>
      <w:r>
        <w:rPr>
          <w:rFonts w:eastAsiaTheme="minorEastAsia"/>
          <w:sz w:val="24"/>
        </w:rPr>
        <w:t>1.3</w:t>
      </w:r>
      <w:r>
        <w:rPr>
          <w:sz w:val="24"/>
        </w:rPr>
        <w:t>由输入量</w:t>
      </w:r>
      <w:r>
        <w:rPr>
          <w:i/>
          <w:sz w:val="24"/>
        </w:rPr>
        <w:t>C</w:t>
      </w:r>
      <w:r>
        <w:rPr>
          <w:sz w:val="24"/>
        </w:rPr>
        <w:t>引入的标准不确定度</w:t>
      </w:r>
      <w:r>
        <w:rPr>
          <w:i/>
          <w:sz w:val="24"/>
        </w:rPr>
        <w:t>u</w:t>
      </w:r>
      <w:r>
        <w:rPr>
          <w:sz w:val="24"/>
        </w:rPr>
        <w:t>(</w:t>
      </w:r>
      <w:r>
        <w:rPr>
          <w:i/>
          <w:sz w:val="24"/>
        </w:rPr>
        <w:t>C</w:t>
      </w:r>
      <w:r>
        <w:rPr>
          <w:sz w:val="24"/>
        </w:rPr>
        <w:t>)的计算</w:t>
      </w:r>
    </w:p>
    <w:p w14:paraId="20FCA422">
      <w:pPr>
        <w:widowControl/>
        <w:spacing w:line="360" w:lineRule="auto"/>
        <w:ind w:firstLine="720" w:firstLineChars="300"/>
        <w:jc w:val="left"/>
        <w:rPr>
          <w:sz w:val="24"/>
        </w:rPr>
      </w:pPr>
      <w:r>
        <w:rPr>
          <w:sz w:val="24"/>
        </w:rPr>
        <w:t>由于</w:t>
      </w:r>
      <w:r>
        <w:rPr>
          <w:kern w:val="0"/>
          <w:sz w:val="24"/>
        </w:rPr>
        <w:t>以上各输入量的标准不确定度</w:t>
      </w:r>
      <w:r>
        <w:rPr>
          <w:sz w:val="24"/>
        </w:rPr>
        <w:t>分量</w:t>
      </w:r>
      <w:r>
        <w:rPr>
          <w:kern w:val="0"/>
          <w:sz w:val="24"/>
        </w:rPr>
        <w:t>互不相关，</w:t>
      </w:r>
      <w:r>
        <w:rPr>
          <w:sz w:val="24"/>
        </w:rPr>
        <w:t>故由输入量</w:t>
      </w:r>
      <w:r>
        <w:rPr>
          <w:i/>
          <w:sz w:val="24"/>
        </w:rPr>
        <w:t>C</w:t>
      </w:r>
      <w:r>
        <w:rPr>
          <w:sz w:val="24"/>
        </w:rPr>
        <w:t>引入的标准不确定度分量为</w:t>
      </w:r>
    </w:p>
    <w:p w14:paraId="5DB02E32">
      <w:pPr>
        <w:spacing w:line="360" w:lineRule="auto"/>
        <w:ind w:firstLine="2520" w:firstLineChars="1200"/>
        <w:rPr>
          <w:sz w:val="24"/>
        </w:rPr>
      </w:pPr>
      <w:r>
        <w:rPr>
          <w:position w:val="-60"/>
        </w:rPr>
        <w:object>
          <v:shape id="_x0000_i1036" o:spt="75" type="#_x0000_t75" style="height:76.6pt;width:146.3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7" r:id="rId29">
            <o:LockedField>false</o:LockedField>
          </o:OLEObject>
        </w:object>
      </w:r>
    </w:p>
    <w:p w14:paraId="40AFEF1D">
      <w:pPr>
        <w:spacing w:line="360" w:lineRule="auto"/>
        <w:ind w:firstLine="240" w:firstLineChars="100"/>
        <w:rPr>
          <w:sz w:val="24"/>
        </w:rPr>
      </w:pPr>
      <w:r>
        <w:rPr>
          <w:rFonts w:eastAsiaTheme="minorEastAsia"/>
          <w:sz w:val="24"/>
        </w:rPr>
        <w:t>2.</w:t>
      </w:r>
      <w:r>
        <w:rPr>
          <w:sz w:val="24"/>
        </w:rPr>
        <w:t>由输入量</w:t>
      </w:r>
      <w:r>
        <w:rPr>
          <w:i/>
          <w:sz w:val="24"/>
        </w:rPr>
        <w:t>C</w:t>
      </w:r>
      <w:r>
        <w:rPr>
          <w:sz w:val="24"/>
          <w:vertAlign w:val="subscript"/>
        </w:rPr>
        <w:t>s</w:t>
      </w:r>
      <w:r>
        <w:rPr>
          <w:sz w:val="24"/>
        </w:rPr>
        <w:t>引入的标准不确定度分量</w:t>
      </w:r>
      <w:r>
        <w:rPr>
          <w:i/>
          <w:sz w:val="24"/>
        </w:rPr>
        <w:t>u</w:t>
      </w:r>
      <w:r>
        <w:rPr>
          <w:sz w:val="24"/>
        </w:rPr>
        <w:t>(</w:t>
      </w:r>
      <w:r>
        <w:rPr>
          <w:i/>
          <w:sz w:val="24"/>
        </w:rPr>
        <w:t>C</w:t>
      </w:r>
      <w:r>
        <w:rPr>
          <w:sz w:val="24"/>
          <w:vertAlign w:val="subscript"/>
        </w:rPr>
        <w:t>s</w:t>
      </w:r>
      <w:r>
        <w:rPr>
          <w:sz w:val="24"/>
        </w:rPr>
        <w:t>)评定</w:t>
      </w:r>
    </w:p>
    <w:p w14:paraId="1DAB7087">
      <w:pPr>
        <w:spacing w:line="360" w:lineRule="auto"/>
        <w:ind w:firstLine="480" w:firstLineChars="200"/>
        <w:rPr>
          <w:sz w:val="24"/>
        </w:rPr>
      </w:pPr>
      <w:r>
        <w:rPr>
          <w:rFonts w:eastAsiaTheme="minorEastAsia"/>
          <w:sz w:val="24"/>
        </w:rPr>
        <w:t>2.1</w:t>
      </w:r>
      <w:r>
        <w:rPr>
          <w:sz w:val="24"/>
        </w:rPr>
        <w:t>由葡萄糖标准物质引入的标准不确定度分量</w:t>
      </w:r>
      <w:r>
        <w:rPr>
          <w:i/>
          <w:sz w:val="24"/>
        </w:rPr>
        <w:t>u</w:t>
      </w:r>
      <w:r>
        <w:rPr>
          <w:sz w:val="24"/>
          <w:vertAlign w:val="subscript"/>
        </w:rPr>
        <w:t>1</w:t>
      </w:r>
      <w:r>
        <w:rPr>
          <w:sz w:val="24"/>
        </w:rPr>
        <w:t>(</w:t>
      </w:r>
      <w:r>
        <w:rPr>
          <w:i/>
          <w:sz w:val="24"/>
        </w:rPr>
        <w:t>C</w:t>
      </w:r>
      <w:r>
        <w:rPr>
          <w:sz w:val="24"/>
          <w:vertAlign w:val="subscript"/>
        </w:rPr>
        <w:t>s</w:t>
      </w:r>
      <w:r>
        <w:rPr>
          <w:sz w:val="24"/>
        </w:rPr>
        <w:t>)</w:t>
      </w:r>
    </w:p>
    <w:p w14:paraId="7157F06C">
      <w:pPr>
        <w:spacing w:line="360" w:lineRule="auto"/>
        <w:ind w:firstLine="720" w:firstLineChars="300"/>
        <w:rPr>
          <w:sz w:val="24"/>
        </w:rPr>
      </w:pPr>
      <w:r>
        <w:rPr>
          <w:sz w:val="24"/>
        </w:rPr>
        <w:t>本次测量使用的标准物质是由中国计量科学研究院研制的</w:t>
      </w:r>
      <w:r>
        <w:rPr>
          <w:bCs/>
          <w:sz w:val="24"/>
        </w:rPr>
        <w:t>葡萄糖纯度标准物质，</w:t>
      </w:r>
      <w:r>
        <w:rPr>
          <w:kern w:val="0"/>
          <w:sz w:val="24"/>
        </w:rPr>
        <w:t>据</w:t>
      </w:r>
      <w:r>
        <w:rPr>
          <w:sz w:val="24"/>
        </w:rPr>
        <w:t>标准</w:t>
      </w:r>
      <w:r>
        <w:rPr>
          <w:kern w:val="0"/>
          <w:sz w:val="24"/>
        </w:rPr>
        <w:t>物质证书信息知</w:t>
      </w:r>
      <w:r>
        <w:rPr>
          <w:bCs/>
          <w:i/>
          <w:sz w:val="24"/>
        </w:rPr>
        <w:t>U</w:t>
      </w:r>
      <w:r>
        <w:rPr>
          <w:bCs/>
          <w:sz w:val="24"/>
          <w:vertAlign w:val="subscript"/>
        </w:rPr>
        <w:t>rel</w:t>
      </w:r>
      <w:r>
        <w:rPr>
          <w:bCs/>
          <w:sz w:val="24"/>
        </w:rPr>
        <w:t>=0.5 %（</w:t>
      </w:r>
      <w:r>
        <w:rPr>
          <w:bCs/>
          <w:i/>
          <w:sz w:val="24"/>
        </w:rPr>
        <w:t>k</w:t>
      </w:r>
      <w:r>
        <w:rPr>
          <w:bCs/>
          <w:sz w:val="24"/>
        </w:rPr>
        <w:t>=2）</w:t>
      </w:r>
      <w:r>
        <w:rPr>
          <w:sz w:val="24"/>
        </w:rPr>
        <w:t>，</w:t>
      </w:r>
      <w:r>
        <w:rPr>
          <w:bCs/>
          <w:sz w:val="24"/>
        </w:rPr>
        <w:t>则</w:t>
      </w:r>
      <w:r>
        <w:rPr>
          <w:sz w:val="24"/>
        </w:rPr>
        <w:t>由标准物质</w:t>
      </w:r>
      <w:r>
        <w:rPr>
          <w:kern w:val="0"/>
          <w:sz w:val="24"/>
        </w:rPr>
        <w:t>引入的标准不确定度</w:t>
      </w:r>
      <w:r>
        <w:rPr>
          <w:sz w:val="24"/>
        </w:rPr>
        <w:t xml:space="preserve">分量为        </w:t>
      </w:r>
      <w:r>
        <w:rPr>
          <w:sz w:val="24"/>
          <w:lang w:val="zh-CN"/>
        </w:rPr>
        <w:t xml:space="preserve">             </w:t>
      </w:r>
    </w:p>
    <w:p w14:paraId="1FD5941E">
      <w:pPr>
        <w:spacing w:line="360" w:lineRule="auto"/>
        <w:ind w:firstLine="2520" w:firstLineChars="1200"/>
        <w:rPr>
          <w:sz w:val="24"/>
        </w:rPr>
      </w:pPr>
      <w:r>
        <w:rPr>
          <w:position w:val="-24"/>
        </w:rPr>
        <w:object>
          <v:shape id="_x0000_i1037" o:spt="75" type="#_x0000_t75" style="height:31.1pt;width:154.95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8" r:id="rId31">
            <o:LockedField>false</o:LockedField>
          </o:OLEObject>
        </w:object>
      </w:r>
    </w:p>
    <w:p w14:paraId="70F2013E">
      <w:pPr>
        <w:spacing w:line="360" w:lineRule="auto"/>
        <w:ind w:firstLine="480" w:firstLineChars="200"/>
        <w:rPr>
          <w:sz w:val="24"/>
        </w:rPr>
      </w:pPr>
      <w:r>
        <w:rPr>
          <w:rFonts w:eastAsiaTheme="minorEastAsia"/>
          <w:sz w:val="24"/>
        </w:rPr>
        <w:t>2.2</w:t>
      </w:r>
      <w:r>
        <w:rPr>
          <w:sz w:val="24"/>
        </w:rPr>
        <w:t>称量标准物质时由电子天平引入的标准不确定度分量</w:t>
      </w:r>
      <w:r>
        <w:rPr>
          <w:i/>
          <w:sz w:val="24"/>
        </w:rPr>
        <w:t>u</w:t>
      </w:r>
      <w:r>
        <w:rPr>
          <w:sz w:val="24"/>
          <w:vertAlign w:val="subscript"/>
        </w:rPr>
        <w:t>2</w:t>
      </w:r>
      <w:r>
        <w:rPr>
          <w:sz w:val="24"/>
        </w:rPr>
        <w:t>(</w:t>
      </w:r>
      <w:r>
        <w:rPr>
          <w:i/>
          <w:sz w:val="24"/>
        </w:rPr>
        <w:t>C</w:t>
      </w:r>
      <w:r>
        <w:rPr>
          <w:sz w:val="24"/>
          <w:vertAlign w:val="subscript"/>
        </w:rPr>
        <w:t>s</w:t>
      </w:r>
      <w:r>
        <w:rPr>
          <w:sz w:val="24"/>
        </w:rPr>
        <w:t>)</w:t>
      </w:r>
    </w:p>
    <w:p w14:paraId="3D38F8A9">
      <w:pPr>
        <w:spacing w:line="360" w:lineRule="auto"/>
        <w:rPr>
          <w:sz w:val="24"/>
        </w:rPr>
      </w:pPr>
      <w:r>
        <w:rPr>
          <w:sz w:val="24"/>
        </w:rPr>
        <w:t xml:space="preserve">    </w:t>
      </w:r>
      <w:r>
        <w:rPr>
          <w:rFonts w:hint="eastAsia"/>
          <w:sz w:val="24"/>
        </w:rPr>
        <w:t xml:space="preserve"> </w:t>
      </w:r>
      <w:r>
        <w:rPr>
          <w:sz w:val="24"/>
        </w:rPr>
        <w:t>称量葡萄糖纯度标准物质时，使用的是测量范围为（0～200）g、最小分度值为0.1mg的电子天平，其最大允许误差为±0.001 g，故区间半宽</w:t>
      </w:r>
      <w:r>
        <w:rPr>
          <w:position w:val="-10"/>
          <w:sz w:val="24"/>
        </w:rPr>
        <w:object>
          <v:shape id="_x0000_i1038" o:spt="75" type="#_x0000_t75" style="height:16.15pt;width:57.6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9" r:id="rId33">
            <o:LockedField>false</o:LockedField>
          </o:OLEObject>
        </w:object>
      </w:r>
      <w:r>
        <w:rPr>
          <w:sz w:val="24"/>
        </w:rPr>
        <w:t>，按均匀分布，包含因子取</w:t>
      </w:r>
      <w:r>
        <w:rPr>
          <w:i/>
          <w:sz w:val="24"/>
        </w:rPr>
        <w:t>k</w:t>
      </w:r>
      <w:r>
        <w:rPr>
          <w:sz w:val="24"/>
        </w:rPr>
        <w:t>=</w:t>
      </w:r>
      <w:r>
        <w:rPr>
          <w:position w:val="-6"/>
          <w:sz w:val="24"/>
          <w:lang w:val="zh-CN"/>
        </w:rPr>
        <w:object>
          <v:shape id="_x0000_i1039" o:spt="75" type="#_x0000_t75" style="height:17.3pt;width:17.3pt;" o:ole="t" filled="f" o:preferrelative="t" stroked="f" coordsize="21600,21600">
            <v:path/>
            <v:fill on="f" focussize="0,0"/>
            <v:stroke on="f" joinstyle="miter"/>
            <v:imagedata r:id="rId26" o:title=""/>
            <o:lock v:ext="edit" aspectratio="t"/>
            <w10:wrap type="none"/>
            <w10:anchorlock/>
          </v:shape>
          <o:OLEObject Type="Embed" ProgID="Equation.3" ShapeID="_x0000_i1039" DrawAspect="Content" ObjectID="_1468075740" r:id="rId35">
            <o:LockedField>false</o:LockedField>
          </o:OLEObject>
        </w:object>
      </w:r>
      <w:r>
        <w:rPr>
          <w:rFonts w:eastAsiaTheme="majorEastAsia"/>
          <w:sz w:val="24"/>
          <w:lang w:val="zh-CN"/>
        </w:rPr>
        <w:t>，</w:t>
      </w:r>
      <w:r>
        <w:rPr>
          <w:sz w:val="24"/>
          <w:lang w:val="zh-CN"/>
        </w:rPr>
        <w:t>则</w:t>
      </w:r>
      <w:r>
        <w:rPr>
          <w:sz w:val="24"/>
        </w:rPr>
        <w:t>称量标准物质时由电子天平引入的标准不确定度分量为</w:t>
      </w:r>
    </w:p>
    <w:p w14:paraId="6CBD68B5">
      <w:pPr>
        <w:spacing w:line="360" w:lineRule="auto"/>
        <w:ind w:firstLine="2520" w:firstLineChars="1200"/>
        <w:rPr>
          <w:sz w:val="24"/>
        </w:rPr>
      </w:pPr>
      <w:r>
        <w:rPr>
          <w:position w:val="-28"/>
        </w:rPr>
        <w:object>
          <v:shape id="_x0000_i1040" o:spt="75" type="#_x0000_t75" style="height:33.4pt;width:229.8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41" r:id="rId36">
            <o:LockedField>false</o:LockedField>
          </o:OLEObject>
        </w:object>
      </w:r>
    </w:p>
    <w:p w14:paraId="5E36A476">
      <w:pPr>
        <w:spacing w:line="360" w:lineRule="auto"/>
        <w:ind w:firstLine="480" w:firstLineChars="200"/>
      </w:pPr>
      <w:r>
        <w:rPr>
          <w:rFonts w:eastAsiaTheme="minorEastAsia"/>
          <w:sz w:val="24"/>
        </w:rPr>
        <w:t>2.3</w:t>
      </w:r>
      <w:r>
        <w:rPr>
          <w:sz w:val="24"/>
        </w:rPr>
        <w:t>配置标准溶液时由单标线容量瓶定容引入的标准不确定度分量</w:t>
      </w:r>
      <w:r>
        <w:rPr>
          <w:i/>
          <w:sz w:val="24"/>
        </w:rPr>
        <w:t>u</w:t>
      </w:r>
      <w:r>
        <w:rPr>
          <w:sz w:val="24"/>
          <w:vertAlign w:val="subscript"/>
        </w:rPr>
        <w:t>3</w:t>
      </w:r>
      <w:r>
        <w:rPr>
          <w:sz w:val="24"/>
        </w:rPr>
        <w:t>(</w:t>
      </w:r>
      <w:r>
        <w:rPr>
          <w:i/>
          <w:sz w:val="24"/>
        </w:rPr>
        <w:t>C</w:t>
      </w:r>
      <w:r>
        <w:rPr>
          <w:sz w:val="24"/>
          <w:vertAlign w:val="subscript"/>
        </w:rPr>
        <w:t>s</w:t>
      </w:r>
      <w:r>
        <w:rPr>
          <w:sz w:val="24"/>
        </w:rPr>
        <w:t>)</w:t>
      </w:r>
    </w:p>
    <w:p w14:paraId="3E51D598">
      <w:pPr>
        <w:overflowPunct w:val="0"/>
        <w:spacing w:line="360" w:lineRule="auto"/>
        <w:ind w:firstLine="720" w:firstLineChars="300"/>
        <w:rPr>
          <w:sz w:val="24"/>
        </w:rPr>
      </w:pPr>
      <w:r>
        <w:rPr>
          <w:sz w:val="24"/>
        </w:rPr>
        <w:t>定容葡萄糖标准溶液时，使用的是测量范围为100 mL、准确度等级为A级的单标线容量瓶，其容量的最大允许误差为±0.10 mL，故区间半宽</w:t>
      </w:r>
      <w:r>
        <w:rPr>
          <w:position w:val="-6"/>
          <w:sz w:val="24"/>
        </w:rPr>
        <w:object>
          <v:shape id="_x0000_i1041" o:spt="75" type="#_x0000_t75" style="height:13.8pt;width:62.8pt;" o:ole="t" filled="f" o:preferrelative="t" stroked="f" coordsize="21600,21600">
            <v:path/>
            <v:fill on="f" focussize="0,0"/>
            <v:stroke on="f" joinstyle="miter"/>
            <v:imagedata r:id="rId39" o:title=""/>
            <o:lock v:ext="edit" aspectratio="t"/>
            <w10:wrap type="none"/>
            <w10:anchorlock/>
          </v:shape>
          <o:OLEObject Type="Embed" ProgID="Equation.DSMT4" ShapeID="_x0000_i1041" DrawAspect="Content" ObjectID="_1468075742" r:id="rId38">
            <o:LockedField>false</o:LockedField>
          </o:OLEObject>
        </w:object>
      </w:r>
      <w:r>
        <w:rPr>
          <w:sz w:val="24"/>
        </w:rPr>
        <w:t>，按均匀分布，包含因子取</w:t>
      </w:r>
      <w:r>
        <w:rPr>
          <w:i/>
          <w:sz w:val="24"/>
        </w:rPr>
        <w:t>k</w:t>
      </w:r>
      <w:r>
        <w:rPr>
          <w:sz w:val="24"/>
        </w:rPr>
        <w:t>=</w:t>
      </w:r>
      <w:r>
        <w:rPr>
          <w:position w:val="-6"/>
          <w:sz w:val="24"/>
          <w:lang w:val="zh-CN"/>
        </w:rPr>
        <w:object>
          <v:shape id="_x0000_i1042" o:spt="75" type="#_x0000_t75" style="height:17.3pt;width:17.3pt;" o:ole="t" filled="f" o:preferrelative="t" stroked="f" coordsize="21600,21600">
            <v:path/>
            <v:fill on="f" focussize="0,0"/>
            <v:stroke on="f" joinstyle="miter"/>
            <v:imagedata r:id="rId26" o:title=""/>
            <o:lock v:ext="edit" aspectratio="t"/>
            <w10:wrap type="none"/>
            <w10:anchorlock/>
          </v:shape>
          <o:OLEObject Type="Embed" ProgID="Equation.3" ShapeID="_x0000_i1042" DrawAspect="Content" ObjectID="_1468075743" r:id="rId40">
            <o:LockedField>false</o:LockedField>
          </o:OLEObject>
        </w:object>
      </w:r>
      <w:r>
        <w:rPr>
          <w:rFonts w:eastAsiaTheme="minorEastAsia"/>
          <w:sz w:val="24"/>
          <w:lang w:val="zh-CN"/>
        </w:rPr>
        <w:t>,</w:t>
      </w:r>
      <w:r>
        <w:rPr>
          <w:sz w:val="24"/>
          <w:lang w:val="zh-CN"/>
        </w:rPr>
        <w:t>则</w:t>
      </w:r>
      <w:r>
        <w:rPr>
          <w:sz w:val="24"/>
        </w:rPr>
        <w:t>定容标准溶液时由单标线容量瓶引入的标准不确定度分量为</w:t>
      </w:r>
    </w:p>
    <w:p w14:paraId="42910323">
      <w:pPr>
        <w:spacing w:line="360" w:lineRule="auto"/>
        <w:ind w:firstLine="2520" w:firstLineChars="1200"/>
        <w:rPr>
          <w:sz w:val="24"/>
        </w:rPr>
      </w:pPr>
      <w:r>
        <w:rPr>
          <w:position w:val="-28"/>
        </w:rPr>
        <w:object>
          <v:shape id="_x0000_i1043" o:spt="75" type="#_x0000_t75" style="height:33.4pt;width:231pt;" o:ole="t" filled="f" o:preferrelative="t" stroked="f" coordsize="21600,21600">
            <v:path/>
            <v:fill on="f" focussize="0,0"/>
            <v:stroke on="f" joinstyle="miter"/>
            <v:imagedata r:id="rId42" o:title=""/>
            <o:lock v:ext="edit" aspectratio="t"/>
            <w10:wrap type="none"/>
            <w10:anchorlock/>
          </v:shape>
          <o:OLEObject Type="Embed" ProgID="Equation.DSMT4" ShapeID="_x0000_i1043" DrawAspect="Content" ObjectID="_1468075744" r:id="rId41">
            <o:LockedField>false</o:LockedField>
          </o:OLEObject>
        </w:object>
      </w:r>
    </w:p>
    <w:p w14:paraId="0758D164">
      <w:pPr>
        <w:spacing w:line="360" w:lineRule="auto"/>
        <w:ind w:firstLine="480" w:firstLineChars="200"/>
        <w:rPr>
          <w:sz w:val="24"/>
        </w:rPr>
      </w:pPr>
      <w:r>
        <w:rPr>
          <w:rFonts w:eastAsiaTheme="minorEastAsia"/>
          <w:sz w:val="24"/>
        </w:rPr>
        <w:t>2.4</w:t>
      </w:r>
      <w:r>
        <w:rPr>
          <w:sz w:val="24"/>
        </w:rPr>
        <w:t>由输入量</w:t>
      </w:r>
      <w:r>
        <w:rPr>
          <w:i/>
          <w:sz w:val="24"/>
        </w:rPr>
        <w:t>C</w:t>
      </w:r>
      <w:r>
        <w:rPr>
          <w:i/>
          <w:sz w:val="24"/>
          <w:vertAlign w:val="subscript"/>
        </w:rPr>
        <w:t>s</w:t>
      </w:r>
      <w:r>
        <w:rPr>
          <w:sz w:val="24"/>
        </w:rPr>
        <w:t>引入的标准不确定度分量</w:t>
      </w:r>
      <w:r>
        <w:rPr>
          <w:i/>
          <w:sz w:val="24"/>
        </w:rPr>
        <w:t>u</w:t>
      </w:r>
      <w:r>
        <w:rPr>
          <w:sz w:val="24"/>
        </w:rPr>
        <w:t>(</w:t>
      </w:r>
      <w:r>
        <w:rPr>
          <w:i/>
          <w:sz w:val="24"/>
        </w:rPr>
        <w:t>C</w:t>
      </w:r>
      <w:r>
        <w:rPr>
          <w:i/>
          <w:sz w:val="24"/>
          <w:vertAlign w:val="subscript"/>
        </w:rPr>
        <w:t>s</w:t>
      </w:r>
      <w:r>
        <w:rPr>
          <w:sz w:val="24"/>
        </w:rPr>
        <w:t>)的计算</w:t>
      </w:r>
    </w:p>
    <w:p w14:paraId="08E020FA">
      <w:pPr>
        <w:widowControl/>
        <w:spacing w:line="360" w:lineRule="auto"/>
        <w:ind w:firstLine="720" w:firstLineChars="300"/>
        <w:jc w:val="left"/>
        <w:rPr>
          <w:kern w:val="0"/>
          <w:sz w:val="24"/>
        </w:rPr>
      </w:pPr>
      <w:r>
        <w:rPr>
          <w:sz w:val="24"/>
        </w:rPr>
        <w:t>由于</w:t>
      </w:r>
      <w:r>
        <w:rPr>
          <w:kern w:val="0"/>
          <w:sz w:val="24"/>
        </w:rPr>
        <w:t>标准溶液配置过程中，以上各输入量的标准不确定度</w:t>
      </w:r>
      <w:r>
        <w:rPr>
          <w:sz w:val="24"/>
        </w:rPr>
        <w:t>分量</w:t>
      </w:r>
      <w:r>
        <w:rPr>
          <w:kern w:val="0"/>
          <w:sz w:val="24"/>
        </w:rPr>
        <w:t>互不相关，故标准溶液配置过程中引入的不确定度分量为</w:t>
      </w:r>
    </w:p>
    <w:p w14:paraId="6E3E3AF0">
      <w:pPr>
        <w:widowControl/>
        <w:spacing w:line="200" w:lineRule="exact"/>
        <w:ind w:firstLine="482"/>
        <w:jc w:val="left"/>
        <w:rPr>
          <w:kern w:val="0"/>
          <w:sz w:val="24"/>
        </w:rPr>
      </w:pPr>
    </w:p>
    <w:p w14:paraId="5E469629">
      <w:pPr>
        <w:widowControl/>
        <w:spacing w:line="360" w:lineRule="auto"/>
        <w:ind w:firstLine="2520" w:firstLineChars="1200"/>
        <w:rPr>
          <w:sz w:val="24"/>
        </w:rPr>
      </w:pPr>
      <w:r>
        <w:rPr>
          <w:position w:val="-56"/>
        </w:rPr>
        <w:object>
          <v:shape id="_x0000_i1044" o:spt="75" type="#_x0000_t75" style="height:78.35pt;width:252.3pt;" o:ole="t" filled="f" o:preferrelative="t" stroked="f" coordsize="21600,21600">
            <v:path/>
            <v:fill on="f" focussize="0,0"/>
            <v:stroke on="f" joinstyle="miter"/>
            <v:imagedata r:id="rId44" o:title=""/>
            <o:lock v:ext="edit" aspectratio="t"/>
            <w10:wrap type="none"/>
            <w10:anchorlock/>
          </v:shape>
          <o:OLEObject Type="Embed" ProgID="Equation.DSMT4" ShapeID="_x0000_i1044" DrawAspect="Content" ObjectID="_1468075745" r:id="rId43">
            <o:LockedField>false</o:LockedField>
          </o:OLEObject>
        </w:object>
      </w:r>
    </w:p>
    <w:p w14:paraId="3ECAEBDC">
      <w:pPr>
        <w:widowControl/>
        <w:spacing w:line="360" w:lineRule="auto"/>
        <w:jc w:val="left"/>
        <w:rPr>
          <w:sz w:val="24"/>
        </w:rPr>
      </w:pPr>
      <w:r>
        <w:rPr>
          <w:sz w:val="24"/>
        </w:rPr>
        <w:t>则，由输入量</w:t>
      </w:r>
      <w:r>
        <w:rPr>
          <w:i/>
          <w:sz w:val="24"/>
        </w:rPr>
        <w:t>C</w:t>
      </w:r>
      <w:r>
        <w:rPr>
          <w:sz w:val="24"/>
          <w:vertAlign w:val="subscript"/>
        </w:rPr>
        <w:t>s</w:t>
      </w:r>
      <w:r>
        <w:rPr>
          <w:sz w:val="24"/>
        </w:rPr>
        <w:t>引入的标准不确定度分量</w:t>
      </w:r>
      <w:r>
        <w:rPr>
          <w:i/>
          <w:sz w:val="24"/>
        </w:rPr>
        <w:t>u</w:t>
      </w:r>
      <w:r>
        <w:rPr>
          <w:sz w:val="24"/>
        </w:rPr>
        <w:t>(</w:t>
      </w:r>
      <w:r>
        <w:rPr>
          <w:i/>
          <w:sz w:val="24"/>
        </w:rPr>
        <w:t>C</w:t>
      </w:r>
      <w:r>
        <w:rPr>
          <w:sz w:val="24"/>
          <w:vertAlign w:val="subscript"/>
        </w:rPr>
        <w:t>s</w:t>
      </w:r>
      <w:r>
        <w:rPr>
          <w:sz w:val="24"/>
        </w:rPr>
        <w:t>)为</w:t>
      </w:r>
    </w:p>
    <w:p w14:paraId="223300FA">
      <w:pPr>
        <w:spacing w:line="360" w:lineRule="auto"/>
        <w:ind w:firstLine="2520" w:firstLineChars="1200"/>
        <w:rPr>
          <w:sz w:val="24"/>
        </w:rPr>
      </w:pPr>
      <w:r>
        <w:rPr>
          <w:position w:val="-14"/>
        </w:rPr>
        <w:object>
          <v:shape id="_x0000_i1045" o:spt="75" type="#_x0000_t75" style="height:21.3pt;width:262.65pt;" o:ole="t" filled="f" o:preferrelative="t" stroked="f" coordsize="21600,21600">
            <v:path/>
            <v:fill on="f" focussize="0,0"/>
            <v:stroke on="f" joinstyle="miter"/>
            <v:imagedata r:id="rId46" o:title=""/>
            <o:lock v:ext="edit" aspectratio="t"/>
            <w10:wrap type="none"/>
            <w10:anchorlock/>
          </v:shape>
          <o:OLEObject Type="Embed" ProgID="Equation.DSMT4" ShapeID="_x0000_i1045" DrawAspect="Content" ObjectID="_1468075746" r:id="rId45">
            <o:LockedField>false</o:LockedField>
          </o:OLEObject>
        </w:object>
      </w:r>
    </w:p>
    <w:p w14:paraId="0F0ED64E">
      <w:pPr>
        <w:spacing w:line="360" w:lineRule="auto"/>
        <w:rPr>
          <w:b/>
          <w:sz w:val="24"/>
        </w:rPr>
      </w:pPr>
      <w:r>
        <w:rPr>
          <w:rFonts w:eastAsiaTheme="minorEastAsia"/>
          <w:b/>
          <w:sz w:val="24"/>
        </w:rPr>
        <w:t>六、</w:t>
      </w:r>
      <w:r>
        <w:rPr>
          <w:b/>
          <w:sz w:val="24"/>
        </w:rPr>
        <w:t>合成标准不确定度的计算</w:t>
      </w:r>
    </w:p>
    <w:p w14:paraId="0288E63B">
      <w:pPr>
        <w:spacing w:line="360" w:lineRule="auto"/>
        <w:ind w:firstLine="240" w:firstLineChars="100"/>
        <w:rPr>
          <w:sz w:val="24"/>
        </w:rPr>
      </w:pPr>
      <w:r>
        <w:rPr>
          <w:rFonts w:eastAsiaTheme="minorEastAsia"/>
          <w:sz w:val="24"/>
        </w:rPr>
        <w:t>1.</w:t>
      </w:r>
      <w:r>
        <w:rPr>
          <w:sz w:val="24"/>
        </w:rPr>
        <w:t>灵敏系数的计算</w:t>
      </w:r>
    </w:p>
    <w:p w14:paraId="440A1C3E">
      <w:pPr>
        <w:spacing w:line="360" w:lineRule="auto"/>
        <w:ind w:firstLine="2880" w:firstLineChars="1200"/>
        <w:rPr>
          <w:sz w:val="24"/>
        </w:rPr>
      </w:pPr>
      <w:r>
        <w:rPr>
          <w:position w:val="-32"/>
          <w:sz w:val="24"/>
        </w:rPr>
        <w:object>
          <v:shape id="_x0000_i1046" o:spt="75" type="#_x0000_t75" style="height:35.15pt;width:205.65pt;" o:ole="t" filled="f" o:preferrelative="t" stroked="f" coordsize="21600,21600">
            <v:path/>
            <v:fill on="f" focussize="0,0"/>
            <v:stroke on="f" joinstyle="miter"/>
            <v:imagedata r:id="rId48" o:title=""/>
            <o:lock v:ext="edit" aspectratio="t"/>
            <w10:wrap type="none"/>
            <w10:anchorlock/>
          </v:shape>
          <o:OLEObject Type="Embed" ProgID="Equation.DSMT4" ShapeID="_x0000_i1046" DrawAspect="Content" ObjectID="_1468075747" r:id="rId47">
            <o:LockedField>false</o:LockedField>
          </o:OLEObject>
        </w:object>
      </w:r>
    </w:p>
    <w:p w14:paraId="30788653">
      <w:pPr>
        <w:spacing w:line="360" w:lineRule="auto"/>
        <w:ind w:firstLine="2880" w:firstLineChars="1200"/>
        <w:rPr>
          <w:sz w:val="24"/>
        </w:rPr>
      </w:pPr>
      <w:r>
        <w:rPr>
          <w:position w:val="-36"/>
          <w:sz w:val="24"/>
        </w:rPr>
        <w:object>
          <v:shape id="_x0000_i1047" o:spt="75" type="#_x0000_t75" style="height:40.3pt;width:234.45pt;" o:ole="t" filled="f" o:preferrelative="t" stroked="f" coordsize="21600,21600">
            <v:path/>
            <v:fill on="f" focussize="0,0"/>
            <v:stroke on="f" joinstyle="miter"/>
            <v:imagedata r:id="rId50" o:title=""/>
            <o:lock v:ext="edit" aspectratio="t"/>
            <w10:wrap type="none"/>
            <w10:anchorlock/>
          </v:shape>
          <o:OLEObject Type="Embed" ProgID="Equation.DSMT4" ShapeID="_x0000_i1047" DrawAspect="Content" ObjectID="_1468075748" r:id="rId49">
            <o:LockedField>false</o:LockedField>
          </o:OLEObject>
        </w:object>
      </w:r>
    </w:p>
    <w:p w14:paraId="59A42B0B">
      <w:pPr>
        <w:spacing w:line="360" w:lineRule="auto"/>
        <w:ind w:firstLine="240" w:firstLineChars="100"/>
        <w:rPr>
          <w:sz w:val="24"/>
        </w:rPr>
      </w:pPr>
      <w:r>
        <w:rPr>
          <w:rFonts w:eastAsiaTheme="minorEastAsia"/>
          <w:sz w:val="24"/>
        </w:rPr>
        <w:t>2.</w:t>
      </w:r>
      <w:r>
        <w:rPr>
          <w:sz w:val="24"/>
        </w:rPr>
        <w:t>标准不确定度分量一览表</w:t>
      </w:r>
    </w:p>
    <w:p w14:paraId="47FCDEE3">
      <w:pPr>
        <w:spacing w:line="360" w:lineRule="auto"/>
        <w:ind w:firstLine="720"/>
        <w:rPr>
          <w:sz w:val="24"/>
        </w:rPr>
      </w:pPr>
      <w:r>
        <w:rPr>
          <w:sz w:val="24"/>
        </w:rPr>
        <w:t>示值误差不确定度分量一览表详见表2。</w:t>
      </w:r>
    </w:p>
    <w:p w14:paraId="3DCCBF02">
      <w:pPr>
        <w:spacing w:line="360" w:lineRule="auto"/>
        <w:ind w:firstLine="720"/>
        <w:jc w:val="center"/>
        <w:rPr>
          <w:rFonts w:eastAsia="黑体"/>
        </w:rPr>
      </w:pPr>
      <w:r>
        <w:rPr>
          <w:rFonts w:eastAsia="黑体"/>
        </w:rPr>
        <w:t>表2 示值误差不确定度分量一览表</w:t>
      </w:r>
    </w:p>
    <w:tbl>
      <w:tblPr>
        <w:tblStyle w:val="6"/>
        <w:tblpPr w:leftFromText="180" w:rightFromText="180" w:vertAnchor="text" w:tblpXSpec="center" w:tblpY="1"/>
        <w:tblOverlap w:val="never"/>
        <w:tblW w:w="9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1266"/>
        <w:gridCol w:w="2477"/>
        <w:gridCol w:w="1716"/>
        <w:gridCol w:w="1872"/>
        <w:gridCol w:w="1717"/>
      </w:tblGrid>
      <w:tr w14:paraId="781F6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99" w:type="dxa"/>
            <w:shd w:val="clear" w:color="auto" w:fill="auto"/>
            <w:vAlign w:val="center"/>
          </w:tcPr>
          <w:p w14:paraId="51C71775">
            <w:pPr>
              <w:jc w:val="center"/>
            </w:pPr>
            <w:r>
              <w:t>序号</w:t>
            </w:r>
          </w:p>
        </w:tc>
        <w:tc>
          <w:tcPr>
            <w:tcW w:w="3743" w:type="dxa"/>
            <w:gridSpan w:val="2"/>
            <w:shd w:val="clear" w:color="auto" w:fill="auto"/>
            <w:vAlign w:val="center"/>
          </w:tcPr>
          <w:p w14:paraId="03B9B5A8">
            <w:pPr>
              <w:tabs>
                <w:tab w:val="left" w:pos="405"/>
              </w:tabs>
              <w:jc w:val="center"/>
            </w:pPr>
            <w:r>
              <w:t>标准不确定度分量来源</w:t>
            </w:r>
          </w:p>
        </w:tc>
        <w:tc>
          <w:tcPr>
            <w:tcW w:w="1716" w:type="dxa"/>
            <w:shd w:val="clear" w:color="auto" w:fill="auto"/>
            <w:vAlign w:val="center"/>
          </w:tcPr>
          <w:p w14:paraId="4F4EF302">
            <w:pPr>
              <w:jc w:val="center"/>
            </w:pPr>
            <w:r>
              <w:t>标准不确定度</w:t>
            </w:r>
          </w:p>
          <w:p w14:paraId="453E2203">
            <w:pPr>
              <w:jc w:val="center"/>
            </w:pPr>
            <w:r>
              <w:t>分量</w:t>
            </w:r>
            <w:r>
              <w:rPr>
                <w:i/>
              </w:rPr>
              <w:t xml:space="preserve"> u</w:t>
            </w:r>
            <w:r>
              <w:rPr>
                <w:i/>
                <w:vertAlign w:val="subscript"/>
              </w:rPr>
              <w:t>i</w:t>
            </w:r>
          </w:p>
        </w:tc>
        <w:tc>
          <w:tcPr>
            <w:tcW w:w="1872" w:type="dxa"/>
            <w:shd w:val="clear" w:color="auto" w:fill="auto"/>
            <w:vAlign w:val="center"/>
          </w:tcPr>
          <w:p w14:paraId="6F65D129">
            <w:pPr>
              <w:jc w:val="center"/>
            </w:pPr>
            <w:r>
              <w:t>灵敏系数</w:t>
            </w:r>
            <w:r>
              <w:rPr>
                <w:i/>
              </w:rPr>
              <w:t>C</w:t>
            </w:r>
            <w:r>
              <w:rPr>
                <w:i/>
                <w:vertAlign w:val="subscript"/>
              </w:rPr>
              <w:t>i</w:t>
            </w:r>
          </w:p>
        </w:tc>
        <w:tc>
          <w:tcPr>
            <w:tcW w:w="1717" w:type="dxa"/>
            <w:shd w:val="clear" w:color="auto" w:fill="auto"/>
            <w:vAlign w:val="center"/>
          </w:tcPr>
          <w:p w14:paraId="08B069AE">
            <w:pPr>
              <w:jc w:val="center"/>
            </w:pPr>
            <w:r>
              <w:rPr>
                <w:position w:val="-14"/>
              </w:rPr>
              <w:object>
                <v:shape id="_x0000_i1048" o:spt="75" type="#_x0000_t75" style="height:20.15pt;width:28.8pt;" o:ole="t" filled="f" o:preferrelative="t" stroked="f" coordsize="21600,21600">
                  <v:path/>
                  <v:fill on="f" focussize="0,0"/>
                  <v:stroke on="f" joinstyle="miter"/>
                  <v:imagedata r:id="rId52" o:title=""/>
                  <o:lock v:ext="edit" aspectratio="t"/>
                  <w10:wrap type="none"/>
                  <w10:anchorlock/>
                </v:shape>
                <o:OLEObject Type="Embed" ProgID="Equation.DSMT4" ShapeID="_x0000_i1048" DrawAspect="Content" ObjectID="_1468075749" r:id="rId51">
                  <o:LockedField>false</o:LockedField>
                </o:OLEObject>
              </w:object>
            </w:r>
          </w:p>
        </w:tc>
      </w:tr>
      <w:tr w14:paraId="7CDE7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899" w:type="dxa"/>
            <w:vMerge w:val="restart"/>
            <w:shd w:val="clear" w:color="auto" w:fill="auto"/>
            <w:vAlign w:val="center"/>
          </w:tcPr>
          <w:p w14:paraId="05DCB7C3">
            <w:pPr>
              <w:spacing w:line="360" w:lineRule="auto"/>
              <w:jc w:val="center"/>
            </w:pPr>
            <w:r>
              <w:t>1</w:t>
            </w:r>
          </w:p>
        </w:tc>
        <w:tc>
          <w:tcPr>
            <w:tcW w:w="1266" w:type="dxa"/>
            <w:vMerge w:val="restart"/>
            <w:shd w:val="clear" w:color="auto" w:fill="auto"/>
            <w:vAlign w:val="center"/>
          </w:tcPr>
          <w:p w14:paraId="4CEAFF28">
            <w:pPr>
              <w:jc w:val="center"/>
            </w:pPr>
            <w:r>
              <w:t>由输入量</w:t>
            </w:r>
            <w:r>
              <w:rPr>
                <w:i/>
              </w:rPr>
              <w:t>C</w:t>
            </w:r>
            <w:r>
              <w:t>引入的标准不确定度分量</w:t>
            </w:r>
            <w:r>
              <w:rPr>
                <w:i/>
              </w:rPr>
              <w:t xml:space="preserve"> u</w:t>
            </w:r>
            <w:r>
              <w:t xml:space="preserve"> (</w:t>
            </w:r>
            <w:r>
              <w:rPr>
                <w:i/>
              </w:rPr>
              <w:t>C</w:t>
            </w:r>
            <w:r>
              <w:t xml:space="preserve">) </w:t>
            </w:r>
          </w:p>
        </w:tc>
        <w:tc>
          <w:tcPr>
            <w:tcW w:w="2477" w:type="dxa"/>
            <w:shd w:val="clear" w:color="auto" w:fill="auto"/>
            <w:vAlign w:val="center"/>
          </w:tcPr>
          <w:p w14:paraId="3D01BFAE">
            <w:pPr>
              <w:jc w:val="center"/>
            </w:pPr>
            <w:r>
              <w:t>由重复性引入的标准不确定度分量：</w:t>
            </w:r>
          </w:p>
          <w:p w14:paraId="778F13A4">
            <w:pPr>
              <w:jc w:val="center"/>
            </w:pPr>
            <w:r>
              <w:rPr>
                <w:i/>
              </w:rPr>
              <w:t>u</w:t>
            </w:r>
            <w:r>
              <w:rPr>
                <w:vertAlign w:val="subscript"/>
              </w:rPr>
              <w:t>1</w:t>
            </w:r>
            <w:r>
              <w:t>(</w:t>
            </w:r>
            <w:r>
              <w:rPr>
                <w:i/>
              </w:rPr>
              <w:t>C</w:t>
            </w:r>
            <w:r>
              <w:t>)=0.011 g/L</w:t>
            </w:r>
            <w:r>
              <w:rPr>
                <w:position w:val="-30"/>
                <w:lang w:val="zh-CN"/>
              </w:rPr>
              <w:t xml:space="preserve"> </w:t>
            </w:r>
          </w:p>
        </w:tc>
        <w:tc>
          <w:tcPr>
            <w:tcW w:w="1716" w:type="dxa"/>
            <w:vMerge w:val="restart"/>
            <w:shd w:val="clear" w:color="auto" w:fill="auto"/>
            <w:vAlign w:val="center"/>
          </w:tcPr>
          <w:p w14:paraId="404DB35A">
            <w:pPr>
              <w:spacing w:line="360" w:lineRule="auto"/>
              <w:jc w:val="center"/>
            </w:pPr>
            <w:r>
              <w:t>0.013 g/L</w:t>
            </w:r>
          </w:p>
        </w:tc>
        <w:tc>
          <w:tcPr>
            <w:tcW w:w="1872" w:type="dxa"/>
            <w:vMerge w:val="restart"/>
            <w:shd w:val="clear" w:color="auto" w:fill="auto"/>
            <w:vAlign w:val="center"/>
          </w:tcPr>
          <w:p w14:paraId="2C0EB6DD">
            <w:pPr>
              <w:jc w:val="center"/>
            </w:pPr>
            <w:r>
              <w:t>1.00 ( g/L)</w:t>
            </w:r>
            <w:r>
              <w:rPr>
                <w:vertAlign w:val="superscript"/>
              </w:rPr>
              <w:t>-1</w:t>
            </w:r>
          </w:p>
        </w:tc>
        <w:tc>
          <w:tcPr>
            <w:tcW w:w="1717" w:type="dxa"/>
            <w:vMerge w:val="restart"/>
            <w:shd w:val="clear" w:color="auto" w:fill="auto"/>
            <w:vAlign w:val="center"/>
          </w:tcPr>
          <w:p w14:paraId="40D0D0B0">
            <w:pPr>
              <w:spacing w:line="360" w:lineRule="auto"/>
              <w:jc w:val="center"/>
            </w:pPr>
            <w:r>
              <w:t>0.013</w:t>
            </w:r>
          </w:p>
        </w:tc>
      </w:tr>
      <w:tr w14:paraId="4C58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899" w:type="dxa"/>
            <w:vMerge w:val="continue"/>
            <w:shd w:val="clear" w:color="auto" w:fill="auto"/>
            <w:vAlign w:val="center"/>
          </w:tcPr>
          <w:p w14:paraId="3CAA3A57">
            <w:pPr>
              <w:spacing w:line="360" w:lineRule="auto"/>
              <w:jc w:val="center"/>
            </w:pPr>
          </w:p>
        </w:tc>
        <w:tc>
          <w:tcPr>
            <w:tcW w:w="1266" w:type="dxa"/>
            <w:vMerge w:val="continue"/>
            <w:shd w:val="clear" w:color="auto" w:fill="auto"/>
            <w:vAlign w:val="center"/>
          </w:tcPr>
          <w:p w14:paraId="2FEC0175">
            <w:pPr>
              <w:jc w:val="center"/>
            </w:pPr>
          </w:p>
        </w:tc>
        <w:tc>
          <w:tcPr>
            <w:tcW w:w="2477" w:type="dxa"/>
            <w:shd w:val="clear" w:color="auto" w:fill="auto"/>
            <w:vAlign w:val="center"/>
          </w:tcPr>
          <w:p w14:paraId="437077A5">
            <w:pPr>
              <w:jc w:val="center"/>
            </w:pPr>
            <w:r>
              <w:t>由仪器分辨力引入的标准不确定度分量：</w:t>
            </w:r>
            <w:r>
              <w:rPr>
                <w:i/>
              </w:rPr>
              <w:t>u</w:t>
            </w:r>
            <w:r>
              <w:rPr>
                <w:vertAlign w:val="subscript"/>
              </w:rPr>
              <w:t>2</w:t>
            </w:r>
            <w:r>
              <w:t>(</w:t>
            </w:r>
            <w:r>
              <w:rPr>
                <w:i/>
              </w:rPr>
              <w:t>C</w:t>
            </w:r>
            <w:r>
              <w:t xml:space="preserve">)=0.0058 g/L </w:t>
            </w:r>
          </w:p>
        </w:tc>
        <w:tc>
          <w:tcPr>
            <w:tcW w:w="1716" w:type="dxa"/>
            <w:vMerge w:val="continue"/>
            <w:shd w:val="clear" w:color="auto" w:fill="auto"/>
            <w:vAlign w:val="center"/>
          </w:tcPr>
          <w:p w14:paraId="511B2894">
            <w:pPr>
              <w:spacing w:line="360" w:lineRule="auto"/>
              <w:jc w:val="center"/>
            </w:pPr>
          </w:p>
        </w:tc>
        <w:tc>
          <w:tcPr>
            <w:tcW w:w="1872" w:type="dxa"/>
            <w:vMerge w:val="continue"/>
            <w:shd w:val="clear" w:color="auto" w:fill="auto"/>
            <w:vAlign w:val="center"/>
          </w:tcPr>
          <w:p w14:paraId="65AEF465">
            <w:pPr>
              <w:spacing w:line="360" w:lineRule="auto"/>
              <w:jc w:val="center"/>
            </w:pPr>
          </w:p>
        </w:tc>
        <w:tc>
          <w:tcPr>
            <w:tcW w:w="1717" w:type="dxa"/>
            <w:vMerge w:val="continue"/>
            <w:shd w:val="clear" w:color="auto" w:fill="auto"/>
            <w:vAlign w:val="center"/>
          </w:tcPr>
          <w:p w14:paraId="66A921B3">
            <w:pPr>
              <w:spacing w:line="360" w:lineRule="auto"/>
              <w:jc w:val="center"/>
            </w:pPr>
          </w:p>
        </w:tc>
      </w:tr>
      <w:tr w14:paraId="02BD7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899" w:type="dxa"/>
            <w:vMerge w:val="restart"/>
            <w:shd w:val="clear" w:color="auto" w:fill="auto"/>
            <w:vAlign w:val="center"/>
          </w:tcPr>
          <w:p w14:paraId="3C8E26D4">
            <w:pPr>
              <w:spacing w:line="360" w:lineRule="auto"/>
              <w:jc w:val="center"/>
            </w:pPr>
            <w:r>
              <w:t>2</w:t>
            </w:r>
          </w:p>
        </w:tc>
        <w:tc>
          <w:tcPr>
            <w:tcW w:w="1266" w:type="dxa"/>
            <w:vMerge w:val="restart"/>
            <w:shd w:val="clear" w:color="auto" w:fill="auto"/>
            <w:vAlign w:val="center"/>
          </w:tcPr>
          <w:p w14:paraId="49B152FC">
            <w:pPr>
              <w:jc w:val="center"/>
            </w:pPr>
            <w:r>
              <w:t>由输入量</w:t>
            </w:r>
            <w:r>
              <w:rPr>
                <w:i/>
              </w:rPr>
              <w:t>C</w:t>
            </w:r>
            <w:r>
              <w:rPr>
                <w:vertAlign w:val="subscript"/>
              </w:rPr>
              <w:t>s</w:t>
            </w:r>
            <w:r>
              <w:t>引入的标准不确定度分量</w:t>
            </w:r>
            <w:r>
              <w:rPr>
                <w:i/>
              </w:rPr>
              <w:t xml:space="preserve"> u</w:t>
            </w:r>
            <w:r>
              <w:t xml:space="preserve"> (</w:t>
            </w:r>
            <w:r>
              <w:rPr>
                <w:i/>
              </w:rPr>
              <w:t>C</w:t>
            </w:r>
            <w:r>
              <w:rPr>
                <w:i/>
                <w:vertAlign w:val="subscript"/>
              </w:rPr>
              <w:t>s</w:t>
            </w:r>
            <w:r>
              <w:t xml:space="preserve">) </w:t>
            </w:r>
          </w:p>
        </w:tc>
        <w:tc>
          <w:tcPr>
            <w:tcW w:w="2477" w:type="dxa"/>
            <w:shd w:val="clear" w:color="auto" w:fill="auto"/>
            <w:vAlign w:val="center"/>
          </w:tcPr>
          <w:p w14:paraId="40D171D7">
            <w:pPr>
              <w:jc w:val="center"/>
            </w:pPr>
            <w:r>
              <w:t>由标准物质不确定度引入的标准不确定度</w:t>
            </w:r>
            <w:r>
              <w:rPr>
                <w:i/>
              </w:rPr>
              <w:t>u</w:t>
            </w:r>
            <w:r>
              <w:rPr>
                <w:vertAlign w:val="subscript"/>
              </w:rPr>
              <w:t>1</w:t>
            </w:r>
            <w:r>
              <w:t>(</w:t>
            </w:r>
            <w:r>
              <w:rPr>
                <w:i/>
              </w:rPr>
              <w:t>C</w:t>
            </w:r>
            <w:r>
              <w:rPr>
                <w:vertAlign w:val="subscript"/>
              </w:rPr>
              <w:t>s</w:t>
            </w:r>
            <w:r>
              <w:t>)=0.25 %</w:t>
            </w:r>
          </w:p>
        </w:tc>
        <w:tc>
          <w:tcPr>
            <w:tcW w:w="1716" w:type="dxa"/>
            <w:vMerge w:val="restart"/>
            <w:shd w:val="clear" w:color="auto" w:fill="auto"/>
            <w:vAlign w:val="center"/>
          </w:tcPr>
          <w:p w14:paraId="2A97CEB2">
            <w:pPr>
              <w:spacing w:line="360" w:lineRule="auto"/>
              <w:jc w:val="center"/>
            </w:pPr>
            <w:r>
              <w:t>0.0026 g/L</w:t>
            </w:r>
          </w:p>
        </w:tc>
        <w:tc>
          <w:tcPr>
            <w:tcW w:w="1872" w:type="dxa"/>
            <w:vMerge w:val="restart"/>
            <w:shd w:val="clear" w:color="auto" w:fill="auto"/>
            <w:vAlign w:val="center"/>
          </w:tcPr>
          <w:p w14:paraId="78C00A6E">
            <w:pPr>
              <w:jc w:val="center"/>
            </w:pPr>
            <w:r>
              <w:t>-1.004 ( g/L)</w:t>
            </w:r>
            <w:r>
              <w:rPr>
                <w:vertAlign w:val="superscript"/>
              </w:rPr>
              <w:t>-1</w:t>
            </w:r>
          </w:p>
        </w:tc>
        <w:tc>
          <w:tcPr>
            <w:tcW w:w="1717" w:type="dxa"/>
            <w:vMerge w:val="restart"/>
            <w:shd w:val="clear" w:color="auto" w:fill="auto"/>
            <w:vAlign w:val="center"/>
          </w:tcPr>
          <w:p w14:paraId="62543BF7">
            <w:pPr>
              <w:spacing w:line="360" w:lineRule="auto"/>
              <w:jc w:val="center"/>
            </w:pPr>
            <w:r>
              <w:t>0.0026</w:t>
            </w:r>
          </w:p>
        </w:tc>
      </w:tr>
      <w:tr w14:paraId="48A6E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899" w:type="dxa"/>
            <w:vMerge w:val="continue"/>
            <w:shd w:val="clear" w:color="auto" w:fill="auto"/>
          </w:tcPr>
          <w:p w14:paraId="3DA12EE6">
            <w:pPr>
              <w:spacing w:line="360" w:lineRule="auto"/>
            </w:pPr>
          </w:p>
        </w:tc>
        <w:tc>
          <w:tcPr>
            <w:tcW w:w="1266" w:type="dxa"/>
            <w:vMerge w:val="continue"/>
            <w:shd w:val="clear" w:color="auto" w:fill="auto"/>
          </w:tcPr>
          <w:p w14:paraId="000BD0F7"/>
        </w:tc>
        <w:tc>
          <w:tcPr>
            <w:tcW w:w="2477" w:type="dxa"/>
            <w:shd w:val="clear" w:color="auto" w:fill="auto"/>
            <w:vAlign w:val="center"/>
          </w:tcPr>
          <w:p w14:paraId="1BA7779D">
            <w:pPr>
              <w:jc w:val="center"/>
            </w:pPr>
            <w:r>
              <w:t>称量时由电子天平引入的标准不确定度</w:t>
            </w:r>
            <w:r>
              <w:rPr>
                <w:i/>
              </w:rPr>
              <w:t>u</w:t>
            </w:r>
            <w:r>
              <w:rPr>
                <w:vertAlign w:val="subscript"/>
              </w:rPr>
              <w:t>2</w:t>
            </w:r>
            <w:r>
              <w:t>(</w:t>
            </w:r>
            <w:r>
              <w:rPr>
                <w:i/>
              </w:rPr>
              <w:t>C</w:t>
            </w:r>
            <w:r>
              <w:rPr>
                <w:vertAlign w:val="subscript"/>
              </w:rPr>
              <w:t>s</w:t>
            </w:r>
            <w:r>
              <w:t>)=0.00029 %</w:t>
            </w:r>
          </w:p>
        </w:tc>
        <w:tc>
          <w:tcPr>
            <w:tcW w:w="1716" w:type="dxa"/>
            <w:vMerge w:val="continue"/>
            <w:shd w:val="clear" w:color="auto" w:fill="auto"/>
          </w:tcPr>
          <w:p w14:paraId="4AB786CB">
            <w:pPr>
              <w:spacing w:line="360" w:lineRule="auto"/>
              <w:rPr>
                <w:sz w:val="24"/>
              </w:rPr>
            </w:pPr>
          </w:p>
        </w:tc>
        <w:tc>
          <w:tcPr>
            <w:tcW w:w="1872" w:type="dxa"/>
            <w:vMerge w:val="continue"/>
            <w:shd w:val="clear" w:color="auto" w:fill="auto"/>
          </w:tcPr>
          <w:p w14:paraId="0213FDCA">
            <w:pPr>
              <w:spacing w:line="360" w:lineRule="auto"/>
              <w:rPr>
                <w:sz w:val="24"/>
              </w:rPr>
            </w:pPr>
          </w:p>
        </w:tc>
        <w:tc>
          <w:tcPr>
            <w:tcW w:w="1717" w:type="dxa"/>
            <w:vMerge w:val="continue"/>
            <w:shd w:val="clear" w:color="auto" w:fill="auto"/>
          </w:tcPr>
          <w:p w14:paraId="1F3143AB">
            <w:pPr>
              <w:spacing w:line="360" w:lineRule="auto"/>
              <w:rPr>
                <w:sz w:val="24"/>
              </w:rPr>
            </w:pPr>
          </w:p>
        </w:tc>
      </w:tr>
      <w:tr w14:paraId="347B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899" w:type="dxa"/>
            <w:vMerge w:val="continue"/>
            <w:shd w:val="clear" w:color="auto" w:fill="auto"/>
          </w:tcPr>
          <w:p w14:paraId="5BC03FFD">
            <w:pPr>
              <w:spacing w:line="360" w:lineRule="auto"/>
            </w:pPr>
          </w:p>
        </w:tc>
        <w:tc>
          <w:tcPr>
            <w:tcW w:w="1266" w:type="dxa"/>
            <w:vMerge w:val="continue"/>
            <w:shd w:val="clear" w:color="auto" w:fill="auto"/>
          </w:tcPr>
          <w:p w14:paraId="1FAD55F7"/>
        </w:tc>
        <w:tc>
          <w:tcPr>
            <w:tcW w:w="2477" w:type="dxa"/>
            <w:shd w:val="clear" w:color="auto" w:fill="auto"/>
            <w:vAlign w:val="center"/>
          </w:tcPr>
          <w:p w14:paraId="32C768F1">
            <w:pPr>
              <w:jc w:val="center"/>
            </w:pPr>
            <w:r>
              <w:t>定容时由单标线容量瓶引入的标准不确定度</w:t>
            </w:r>
            <w:r>
              <w:rPr>
                <w:i/>
              </w:rPr>
              <w:t>u</w:t>
            </w:r>
            <w:r>
              <w:rPr>
                <w:vertAlign w:val="subscript"/>
              </w:rPr>
              <w:t>3</w:t>
            </w:r>
            <w:r>
              <w:t>(</w:t>
            </w:r>
            <w:r>
              <w:rPr>
                <w:i/>
              </w:rPr>
              <w:t>C</w:t>
            </w:r>
            <w:r>
              <w:rPr>
                <w:vertAlign w:val="subscript"/>
              </w:rPr>
              <w:t>s</w:t>
            </w:r>
            <w:r>
              <w:t>)=0.058 %</w:t>
            </w:r>
          </w:p>
        </w:tc>
        <w:tc>
          <w:tcPr>
            <w:tcW w:w="1716" w:type="dxa"/>
            <w:vMerge w:val="continue"/>
            <w:shd w:val="clear" w:color="auto" w:fill="auto"/>
          </w:tcPr>
          <w:p w14:paraId="2AC7B002">
            <w:pPr>
              <w:spacing w:line="360" w:lineRule="auto"/>
              <w:rPr>
                <w:sz w:val="24"/>
              </w:rPr>
            </w:pPr>
          </w:p>
        </w:tc>
        <w:tc>
          <w:tcPr>
            <w:tcW w:w="1872" w:type="dxa"/>
            <w:vMerge w:val="continue"/>
            <w:shd w:val="clear" w:color="auto" w:fill="auto"/>
          </w:tcPr>
          <w:p w14:paraId="4864FD67">
            <w:pPr>
              <w:spacing w:line="360" w:lineRule="auto"/>
              <w:rPr>
                <w:sz w:val="24"/>
              </w:rPr>
            </w:pPr>
          </w:p>
        </w:tc>
        <w:tc>
          <w:tcPr>
            <w:tcW w:w="1717" w:type="dxa"/>
            <w:vMerge w:val="continue"/>
            <w:shd w:val="clear" w:color="auto" w:fill="auto"/>
          </w:tcPr>
          <w:p w14:paraId="04915907">
            <w:pPr>
              <w:spacing w:line="360" w:lineRule="auto"/>
              <w:rPr>
                <w:sz w:val="24"/>
              </w:rPr>
            </w:pPr>
          </w:p>
        </w:tc>
      </w:tr>
    </w:tbl>
    <w:p w14:paraId="11664B3A">
      <w:pPr>
        <w:spacing w:line="360" w:lineRule="auto"/>
        <w:ind w:firstLine="240" w:firstLineChars="100"/>
        <w:rPr>
          <w:rFonts w:eastAsiaTheme="minorEastAsia"/>
          <w:sz w:val="24"/>
        </w:rPr>
      </w:pPr>
      <w:r>
        <w:rPr>
          <w:rFonts w:eastAsiaTheme="minorEastAsia"/>
          <w:sz w:val="24"/>
        </w:rPr>
        <w:t>3.合成标准不确定度的计算</w:t>
      </w:r>
    </w:p>
    <w:p w14:paraId="1F9D5FD2">
      <w:pPr>
        <w:widowControl/>
        <w:spacing w:line="360" w:lineRule="auto"/>
        <w:ind w:firstLine="480" w:firstLineChars="200"/>
        <w:jc w:val="left"/>
        <w:rPr>
          <w:sz w:val="24"/>
        </w:rPr>
      </w:pPr>
      <w:r>
        <w:rPr>
          <w:kern w:val="0"/>
          <w:sz w:val="24"/>
        </w:rPr>
        <w:t>根据不确定度计算公式，以上各输入量的不确定度</w:t>
      </w:r>
      <w:r>
        <w:rPr>
          <w:i/>
          <w:sz w:val="24"/>
        </w:rPr>
        <w:t>u</w:t>
      </w:r>
      <w:r>
        <w:rPr>
          <w:sz w:val="24"/>
        </w:rPr>
        <w:t xml:space="preserve"> (</w:t>
      </w:r>
      <w:r>
        <w:rPr>
          <w:i/>
          <w:sz w:val="24"/>
        </w:rPr>
        <w:t>C</w:t>
      </w:r>
      <w:r>
        <w:rPr>
          <w:sz w:val="24"/>
        </w:rPr>
        <w:t>)</w:t>
      </w:r>
      <w:r>
        <w:rPr>
          <w:sz w:val="24"/>
          <w:lang w:val="zh-CN"/>
        </w:rPr>
        <w:t>与</w:t>
      </w:r>
      <w:r>
        <w:rPr>
          <w:i/>
          <w:sz w:val="24"/>
        </w:rPr>
        <w:t>u</w:t>
      </w:r>
      <w:r>
        <w:rPr>
          <w:sz w:val="24"/>
        </w:rPr>
        <w:t xml:space="preserve"> (</w:t>
      </w:r>
      <w:r>
        <w:rPr>
          <w:i/>
          <w:sz w:val="24"/>
        </w:rPr>
        <w:t>C</w:t>
      </w:r>
      <w:r>
        <w:rPr>
          <w:i/>
          <w:sz w:val="24"/>
          <w:vertAlign w:val="subscript"/>
        </w:rPr>
        <w:t>s</w:t>
      </w:r>
      <w:r>
        <w:rPr>
          <w:sz w:val="24"/>
        </w:rPr>
        <w:t>)</w:t>
      </w:r>
      <w:r>
        <w:rPr>
          <w:kern w:val="0"/>
          <w:sz w:val="24"/>
        </w:rPr>
        <w:t>互不相关，</w:t>
      </w:r>
      <w:r>
        <w:rPr>
          <w:sz w:val="24"/>
        </w:rPr>
        <w:t>合成标准不确定度为：</w:t>
      </w:r>
    </w:p>
    <w:p w14:paraId="19A33C6E">
      <w:pPr>
        <w:widowControl/>
        <w:spacing w:line="200" w:lineRule="exact"/>
        <w:ind w:firstLine="480" w:firstLineChars="200"/>
        <w:jc w:val="left"/>
        <w:rPr>
          <w:kern w:val="0"/>
          <w:sz w:val="24"/>
        </w:rPr>
      </w:pPr>
    </w:p>
    <w:p w14:paraId="6C6338E8">
      <w:pPr>
        <w:spacing w:line="360" w:lineRule="auto"/>
        <w:ind w:firstLine="2640" w:firstLineChars="1100"/>
        <w:rPr>
          <w:sz w:val="24"/>
        </w:rPr>
      </w:pPr>
      <w:r>
        <w:rPr>
          <w:rFonts w:eastAsiaTheme="minorEastAsia"/>
          <w:position w:val="-92"/>
          <w:sz w:val="24"/>
        </w:rPr>
        <w:object>
          <v:shape id="_x0000_i1049" o:spt="75" type="#_x0000_t75" style="height:108.85pt;width:265.55pt;" o:ole="t" filled="f" o:preferrelative="t" stroked="f" coordsize="21600,21600">
            <v:path/>
            <v:fill on="f" focussize="0,0"/>
            <v:stroke on="f" joinstyle="miter"/>
            <v:imagedata r:id="rId54" o:title=""/>
            <o:lock v:ext="edit" aspectratio="t"/>
            <w10:wrap type="none"/>
            <w10:anchorlock/>
          </v:shape>
          <o:OLEObject Type="Embed" ProgID="Equation.DSMT4" ShapeID="_x0000_i1049" DrawAspect="Content" ObjectID="_1468075750" r:id="rId53">
            <o:LockedField>false</o:LockedField>
          </o:OLEObject>
        </w:object>
      </w:r>
    </w:p>
    <w:p w14:paraId="25A95A4F">
      <w:pPr>
        <w:spacing w:line="360" w:lineRule="auto"/>
        <w:rPr>
          <w:rFonts w:eastAsiaTheme="minorEastAsia"/>
          <w:b/>
          <w:sz w:val="24"/>
        </w:rPr>
      </w:pPr>
      <w:r>
        <w:rPr>
          <w:rFonts w:eastAsiaTheme="minorEastAsia"/>
          <w:b/>
          <w:sz w:val="24"/>
        </w:rPr>
        <w:t>七、扩展不确定度计算</w:t>
      </w:r>
    </w:p>
    <w:p w14:paraId="6AF4DBF9">
      <w:pPr>
        <w:widowControl/>
        <w:spacing w:line="360" w:lineRule="auto"/>
        <w:ind w:firstLine="480" w:firstLineChars="200"/>
        <w:jc w:val="left"/>
        <w:rPr>
          <w:kern w:val="0"/>
          <w:sz w:val="24"/>
        </w:rPr>
      </w:pPr>
      <w:r>
        <w:rPr>
          <w:kern w:val="0"/>
          <w:sz w:val="24"/>
        </w:rPr>
        <w:t>扩展不确定度计算时，其服从正态分布，取包含因子</w:t>
      </w:r>
      <w:r>
        <w:rPr>
          <w:i/>
          <w:kern w:val="0"/>
          <w:sz w:val="24"/>
        </w:rPr>
        <w:t>k</w:t>
      </w:r>
      <w:r>
        <w:rPr>
          <w:kern w:val="0"/>
          <w:sz w:val="24"/>
        </w:rPr>
        <w:t>=2，则酶-电极法</w:t>
      </w:r>
      <w:r>
        <w:rPr>
          <w:sz w:val="24"/>
        </w:rPr>
        <w:t>生物传感器分析仪示值误差测量结果的</w:t>
      </w:r>
      <w:r>
        <w:rPr>
          <w:kern w:val="0"/>
          <w:sz w:val="24"/>
        </w:rPr>
        <w:t>扩展不确定度为</w:t>
      </w:r>
    </w:p>
    <w:p w14:paraId="3C07CD75">
      <w:pPr>
        <w:widowControl/>
        <w:spacing w:line="360" w:lineRule="auto"/>
        <w:ind w:firstLine="2880" w:firstLineChars="1200"/>
        <w:rPr>
          <w:sz w:val="24"/>
        </w:rPr>
      </w:pPr>
      <w:r>
        <w:rPr>
          <w:position w:val="-12"/>
          <w:sz w:val="24"/>
        </w:rPr>
        <w:object>
          <v:shape id="_x0000_i1050" o:spt="75" type="#_x0000_t75" style="height:17.85pt;width:145.15pt;" o:ole="t" filled="f" o:preferrelative="t" stroked="f" coordsize="21600,21600">
            <v:path/>
            <v:fill on="f" focussize="0,0"/>
            <v:stroke on="f" joinstyle="miter"/>
            <v:imagedata r:id="rId56" o:title=""/>
            <o:lock v:ext="edit" aspectratio="t"/>
            <w10:wrap type="none"/>
            <w10:anchorlock/>
          </v:shape>
          <o:OLEObject Type="Embed" ProgID="Equation.DSMT4" ShapeID="_x0000_i1050" DrawAspect="Content" ObjectID="_1468075751" r:id="rId55">
            <o:LockedField>false</o:LockedField>
          </o:OLEObject>
        </w:object>
      </w:r>
    </w:p>
    <w:bookmarkEnd w:id="6"/>
    <w:bookmarkEnd w:id="7"/>
    <w:bookmarkEnd w:id="8"/>
    <w:p w14:paraId="0C5DA158">
      <w:pPr>
        <w:widowControl/>
        <w:spacing w:line="360" w:lineRule="auto"/>
        <w:jc w:val="left"/>
        <w:rPr>
          <w:b/>
          <w:sz w:val="24"/>
        </w:rPr>
      </w:pPr>
      <w:r>
        <w:rPr>
          <w:b/>
          <w:sz w:val="24"/>
        </w:rPr>
        <w:t>八、校准结果的不确定度报告</w:t>
      </w:r>
    </w:p>
    <w:p w14:paraId="40225472">
      <w:pPr>
        <w:widowControl/>
        <w:spacing w:line="360" w:lineRule="auto"/>
        <w:ind w:firstLine="480" w:firstLineChars="200"/>
        <w:jc w:val="left"/>
        <w:rPr>
          <w:sz w:val="24"/>
        </w:rPr>
      </w:pPr>
      <w:r>
        <w:rPr>
          <w:sz w:val="24"/>
        </w:rPr>
        <w:t>葡萄糖项目示值误差校准结果的不确定度报告见表3。</w:t>
      </w:r>
    </w:p>
    <w:p w14:paraId="020000AA">
      <w:pPr>
        <w:widowControl/>
        <w:spacing w:line="360" w:lineRule="auto"/>
        <w:jc w:val="center"/>
        <w:rPr>
          <w:rFonts w:ascii="黑体" w:hAnsi="黑体" w:eastAsia="黑体"/>
        </w:rPr>
      </w:pPr>
      <w:r>
        <w:rPr>
          <w:rFonts w:ascii="黑体" w:hAnsi="黑体" w:eastAsia="黑体"/>
        </w:rPr>
        <w:t>表</w:t>
      </w:r>
      <w:r>
        <w:rPr>
          <w:rFonts w:eastAsia="黑体"/>
        </w:rPr>
        <w:t>3</w:t>
      </w:r>
      <w:r>
        <w:rPr>
          <w:rFonts w:ascii="黑体" w:hAnsi="黑体" w:eastAsia="黑体"/>
        </w:rPr>
        <w:t xml:space="preserve"> 葡萄糖项目示值误差校准结果的不确定度报告</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2"/>
        <w:gridCol w:w="2322"/>
      </w:tblGrid>
      <w:tr w14:paraId="7C281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775631F">
            <w:pPr>
              <w:widowControl/>
              <w:spacing w:line="360" w:lineRule="auto"/>
              <w:jc w:val="center"/>
              <w:rPr>
                <w:rFonts w:ascii="Times New Roman" w:hAnsi="Times New Roman"/>
                <w:sz w:val="24"/>
              </w:rPr>
            </w:pPr>
            <w:r>
              <w:rPr>
                <w:rFonts w:ascii="Times New Roman" w:hAnsi="Times New Roman"/>
                <w:sz w:val="24"/>
              </w:rPr>
              <w:t>项目名称</w:t>
            </w:r>
          </w:p>
        </w:tc>
        <w:tc>
          <w:tcPr>
            <w:tcW w:w="2321" w:type="dxa"/>
          </w:tcPr>
          <w:p w14:paraId="05E37985">
            <w:pPr>
              <w:widowControl/>
              <w:spacing w:line="360" w:lineRule="auto"/>
              <w:jc w:val="center"/>
              <w:rPr>
                <w:rFonts w:ascii="Times New Roman" w:hAnsi="Times New Roman"/>
                <w:sz w:val="24"/>
              </w:rPr>
            </w:pPr>
            <w:r>
              <w:rPr>
                <w:rFonts w:ascii="Times New Roman" w:hAnsi="Times New Roman"/>
                <w:sz w:val="24"/>
              </w:rPr>
              <w:t>校准项目</w:t>
            </w:r>
          </w:p>
        </w:tc>
        <w:tc>
          <w:tcPr>
            <w:tcW w:w="2322" w:type="dxa"/>
          </w:tcPr>
          <w:p w14:paraId="7CC05E26">
            <w:pPr>
              <w:widowControl/>
              <w:spacing w:line="360" w:lineRule="auto"/>
              <w:jc w:val="center"/>
              <w:rPr>
                <w:rFonts w:ascii="Times New Roman" w:hAnsi="Times New Roman"/>
                <w:sz w:val="24"/>
              </w:rPr>
            </w:pPr>
            <w:r>
              <w:rPr>
                <w:rFonts w:ascii="Times New Roman" w:hAnsi="Times New Roman"/>
                <w:sz w:val="24"/>
              </w:rPr>
              <w:t>校准结果</w:t>
            </w:r>
          </w:p>
        </w:tc>
        <w:tc>
          <w:tcPr>
            <w:tcW w:w="2322" w:type="dxa"/>
          </w:tcPr>
          <w:p w14:paraId="5D185442">
            <w:pPr>
              <w:widowControl/>
              <w:spacing w:line="360" w:lineRule="auto"/>
              <w:jc w:val="center"/>
              <w:rPr>
                <w:rFonts w:ascii="Times New Roman" w:hAnsi="Times New Roman"/>
                <w:sz w:val="24"/>
              </w:rPr>
            </w:pPr>
            <w:r>
              <w:rPr>
                <w:rFonts w:ascii="Times New Roman" w:hAnsi="Times New Roman"/>
                <w:sz w:val="24"/>
              </w:rPr>
              <w:t>扩展不确定度（</w:t>
            </w:r>
            <w:r>
              <w:rPr>
                <w:rFonts w:ascii="Times New Roman" w:hAnsi="Times New Roman"/>
                <w:i/>
                <w:sz w:val="24"/>
              </w:rPr>
              <w:t>k</w:t>
            </w:r>
            <w:r>
              <w:rPr>
                <w:rFonts w:ascii="Times New Roman" w:hAnsi="Times New Roman"/>
                <w:sz w:val="24"/>
              </w:rPr>
              <w:t>=2）</w:t>
            </w:r>
          </w:p>
        </w:tc>
      </w:tr>
      <w:tr w14:paraId="4B67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68F300F">
            <w:pPr>
              <w:widowControl/>
              <w:spacing w:line="360" w:lineRule="auto"/>
              <w:jc w:val="center"/>
              <w:rPr>
                <w:rFonts w:ascii="Times New Roman" w:hAnsi="Times New Roman"/>
                <w:sz w:val="24"/>
              </w:rPr>
            </w:pPr>
            <w:r>
              <w:rPr>
                <w:rFonts w:ascii="Times New Roman" w:hAnsi="Times New Roman"/>
                <w:sz w:val="24"/>
              </w:rPr>
              <w:t>葡萄糖</w:t>
            </w:r>
          </w:p>
        </w:tc>
        <w:tc>
          <w:tcPr>
            <w:tcW w:w="2321" w:type="dxa"/>
          </w:tcPr>
          <w:p w14:paraId="11478889">
            <w:pPr>
              <w:widowControl/>
              <w:spacing w:line="360" w:lineRule="auto"/>
              <w:jc w:val="center"/>
              <w:rPr>
                <w:rFonts w:ascii="Times New Roman" w:hAnsi="Times New Roman"/>
                <w:sz w:val="24"/>
              </w:rPr>
            </w:pPr>
            <w:r>
              <w:rPr>
                <w:rFonts w:ascii="Times New Roman" w:hAnsi="Times New Roman"/>
                <w:sz w:val="24"/>
              </w:rPr>
              <w:t>示值误差</w:t>
            </w:r>
          </w:p>
        </w:tc>
        <w:tc>
          <w:tcPr>
            <w:tcW w:w="2322" w:type="dxa"/>
          </w:tcPr>
          <w:p w14:paraId="43FD0D15">
            <w:pPr>
              <w:widowControl/>
              <w:spacing w:line="360" w:lineRule="auto"/>
              <w:jc w:val="center"/>
              <w:rPr>
                <w:rFonts w:ascii="Times New Roman" w:hAnsi="Times New Roman"/>
                <w:sz w:val="24"/>
              </w:rPr>
            </w:pPr>
            <w:r>
              <w:rPr>
                <w:rFonts w:ascii="Times New Roman" w:hAnsi="Times New Roman"/>
                <w:sz w:val="24"/>
              </w:rPr>
              <w:t>1.004 g/L</w:t>
            </w:r>
          </w:p>
        </w:tc>
        <w:tc>
          <w:tcPr>
            <w:tcW w:w="2322" w:type="dxa"/>
          </w:tcPr>
          <w:p w14:paraId="348AFDD2">
            <w:pPr>
              <w:widowControl/>
              <w:spacing w:line="360" w:lineRule="auto"/>
              <w:jc w:val="center"/>
              <w:rPr>
                <w:rFonts w:ascii="Times New Roman" w:hAnsi="Times New Roman"/>
                <w:sz w:val="24"/>
              </w:rPr>
            </w:pPr>
            <w:r>
              <w:rPr>
                <w:rFonts w:ascii="Times New Roman" w:hAnsi="Times New Roman"/>
                <w:sz w:val="24"/>
              </w:rPr>
              <w:t>2.6 %</w:t>
            </w:r>
          </w:p>
        </w:tc>
      </w:tr>
    </w:tbl>
    <w:p w14:paraId="53A7D0A3">
      <w:pPr>
        <w:widowControl/>
        <w:spacing w:line="360" w:lineRule="auto"/>
        <w:rPr>
          <w:b/>
          <w:sz w:val="24"/>
        </w:rPr>
      </w:pPr>
      <w:r>
        <w:rPr>
          <w:b/>
          <w:sz w:val="24"/>
        </w:rPr>
        <w:t>九、总结</w:t>
      </w:r>
    </w:p>
    <w:p w14:paraId="21FF9AF8">
      <w:pPr>
        <w:spacing w:line="360" w:lineRule="auto"/>
        <w:ind w:firstLine="480" w:firstLineChars="200"/>
        <w:rPr>
          <w:sz w:val="24"/>
        </w:rPr>
      </w:pPr>
      <w:r>
        <w:rPr>
          <w:rFonts w:hint="eastAsia"/>
          <w:sz w:val="24"/>
        </w:rPr>
        <w:t>本报告依据JJF 1059.1-2012《测量不确定度评定与表示》及相关校准规范，对酶-电极法生物传感器分析仪的校准结果进行了系统的测量不确定度评定。通过对校准全过程中不确定度来源的识别与分析，明确了标准物质定值及配制过程、仪器测量重复性、仪器自身分辨力等因素对最终测量结果的影响。</w:t>
      </w:r>
    </w:p>
    <w:p w14:paraId="1B02240B">
      <w:pPr>
        <w:spacing w:line="360" w:lineRule="auto"/>
        <w:ind w:firstLine="480" w:firstLineChars="200"/>
        <w:rPr>
          <w:sz w:val="24"/>
        </w:rPr>
      </w:pPr>
      <w:r>
        <w:rPr>
          <w:rFonts w:hint="eastAsia"/>
          <w:sz w:val="24"/>
        </w:rPr>
        <w:t>结果表明，在校准过程中，仪器测量重复性引入的不确定度分量占据主导地位，其次是标准物质定值及配制过程引入的分量。通过科学计算各分量并进行合成，最终得出该仪器校准结果的扩展不确定度，其数值符合相关技术规范的要求。</w:t>
      </w:r>
    </w:p>
    <w:p w14:paraId="04A3BAA6">
      <w:pPr>
        <w:spacing w:line="360" w:lineRule="auto"/>
        <w:ind w:firstLine="480" w:firstLineChars="200"/>
        <w:rPr>
          <w:rFonts w:hint="eastAsia"/>
          <w:sz w:val="24"/>
        </w:rPr>
      </w:pPr>
      <w:r>
        <w:rPr>
          <w:rFonts w:hint="eastAsia"/>
          <w:sz w:val="24"/>
        </w:rPr>
        <w:t>本报告客观反映了酶-电极法生物传感器分析仪校准规范给出的校准过程和方法可行，为仪器的后续使用、量值溯源及测量结果的合理应用提供了科学依据，对保障检测数据的准确性与一致性具有重要意义。</w:t>
      </w:r>
    </w:p>
    <w:p w14:paraId="4C74CE78">
      <w:pPr>
        <w:spacing w:line="360" w:lineRule="auto"/>
        <w:ind w:firstLine="480" w:firstLineChars="200"/>
        <w:rPr>
          <w:rFonts w:hint="eastAsia"/>
          <w:sz w:val="24"/>
        </w:rPr>
      </w:pPr>
    </w:p>
    <w:p w14:paraId="4712AC7D">
      <w:pPr>
        <w:spacing w:line="360" w:lineRule="auto"/>
        <w:ind w:firstLine="480" w:firstLineChars="200"/>
        <w:rPr>
          <w:sz w:val="24"/>
        </w:rPr>
      </w:pPr>
    </w:p>
    <w:p w14:paraId="657127A5">
      <w:pPr>
        <w:spacing w:line="360" w:lineRule="auto"/>
        <w:rPr>
          <w:rFonts w:eastAsiaTheme="minorEastAsia"/>
          <w:b/>
          <w:sz w:val="28"/>
        </w:rPr>
      </w:pPr>
    </w:p>
    <w:sectPr>
      <w:footerReference r:id="rId3" w:type="default"/>
      <w:pgSz w:w="11906" w:h="16838"/>
      <w:pgMar w:top="1134" w:right="1418" w:bottom="1021" w:left="1418" w:header="851" w:footer="1134"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52BB1">
    <w:pPr>
      <w:pStyle w:val="3"/>
      <w:jc w:val="center"/>
    </w:pPr>
    <w:r>
      <w:fldChar w:fldCharType="begin"/>
    </w:r>
    <w:r>
      <w:instrText xml:space="preserve">PAGE   \* MERGEFORMAT</w:instrText>
    </w:r>
    <w:r>
      <w:fldChar w:fldCharType="separate"/>
    </w:r>
    <w:r>
      <w:rPr>
        <w:lang w:val="zh-CN"/>
      </w:rPr>
      <w:t>6</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912"/>
    <w:rsid w:val="0000433E"/>
    <w:rsid w:val="0000788B"/>
    <w:rsid w:val="00007A01"/>
    <w:rsid w:val="000115DA"/>
    <w:rsid w:val="00020A70"/>
    <w:rsid w:val="00024739"/>
    <w:rsid w:val="00041672"/>
    <w:rsid w:val="000475F0"/>
    <w:rsid w:val="00064BEF"/>
    <w:rsid w:val="00067369"/>
    <w:rsid w:val="000767F9"/>
    <w:rsid w:val="00081E84"/>
    <w:rsid w:val="000935A0"/>
    <w:rsid w:val="00095271"/>
    <w:rsid w:val="000A2166"/>
    <w:rsid w:val="000A61B0"/>
    <w:rsid w:val="000B1FD7"/>
    <w:rsid w:val="000C0EB5"/>
    <w:rsid w:val="000C12DE"/>
    <w:rsid w:val="000C612D"/>
    <w:rsid w:val="000C7AE1"/>
    <w:rsid w:val="000D117F"/>
    <w:rsid w:val="000D3C9A"/>
    <w:rsid w:val="000D4CE2"/>
    <w:rsid w:val="000E6B8B"/>
    <w:rsid w:val="000E7B1D"/>
    <w:rsid w:val="000F047E"/>
    <w:rsid w:val="000F1AC3"/>
    <w:rsid w:val="000F5E5F"/>
    <w:rsid w:val="001021CD"/>
    <w:rsid w:val="00111FE0"/>
    <w:rsid w:val="00127B7B"/>
    <w:rsid w:val="00147A57"/>
    <w:rsid w:val="001503AE"/>
    <w:rsid w:val="00151DF0"/>
    <w:rsid w:val="0015336A"/>
    <w:rsid w:val="001547C0"/>
    <w:rsid w:val="0017289C"/>
    <w:rsid w:val="00185CDE"/>
    <w:rsid w:val="00192EE9"/>
    <w:rsid w:val="001939BF"/>
    <w:rsid w:val="001A1EA7"/>
    <w:rsid w:val="001A3435"/>
    <w:rsid w:val="001A426A"/>
    <w:rsid w:val="001A7122"/>
    <w:rsid w:val="001B007C"/>
    <w:rsid w:val="001B2E51"/>
    <w:rsid w:val="001B59D4"/>
    <w:rsid w:val="001C4F38"/>
    <w:rsid w:val="001C6ED7"/>
    <w:rsid w:val="001D15AC"/>
    <w:rsid w:val="001D170F"/>
    <w:rsid w:val="001D2819"/>
    <w:rsid w:val="001D3311"/>
    <w:rsid w:val="001D6992"/>
    <w:rsid w:val="001E155C"/>
    <w:rsid w:val="001E3E6B"/>
    <w:rsid w:val="001E48B5"/>
    <w:rsid w:val="001E4E25"/>
    <w:rsid w:val="001E5281"/>
    <w:rsid w:val="001E5AE7"/>
    <w:rsid w:val="001E70F4"/>
    <w:rsid w:val="001F2612"/>
    <w:rsid w:val="0021717E"/>
    <w:rsid w:val="002207B6"/>
    <w:rsid w:val="002270D9"/>
    <w:rsid w:val="00230F40"/>
    <w:rsid w:val="002367C8"/>
    <w:rsid w:val="00242436"/>
    <w:rsid w:val="00243E5C"/>
    <w:rsid w:val="0024737E"/>
    <w:rsid w:val="002504AA"/>
    <w:rsid w:val="00255044"/>
    <w:rsid w:val="00260D3F"/>
    <w:rsid w:val="00264BA9"/>
    <w:rsid w:val="0026523E"/>
    <w:rsid w:val="002806B4"/>
    <w:rsid w:val="00280DD2"/>
    <w:rsid w:val="002868E7"/>
    <w:rsid w:val="00290375"/>
    <w:rsid w:val="0029544F"/>
    <w:rsid w:val="002A1902"/>
    <w:rsid w:val="002B4DFE"/>
    <w:rsid w:val="002B7C81"/>
    <w:rsid w:val="002C4295"/>
    <w:rsid w:val="002C753C"/>
    <w:rsid w:val="002D5233"/>
    <w:rsid w:val="002D7650"/>
    <w:rsid w:val="002E3A34"/>
    <w:rsid w:val="002E471F"/>
    <w:rsid w:val="002F3F3D"/>
    <w:rsid w:val="002F56A3"/>
    <w:rsid w:val="00312091"/>
    <w:rsid w:val="00322B23"/>
    <w:rsid w:val="00323302"/>
    <w:rsid w:val="0033026A"/>
    <w:rsid w:val="0034719C"/>
    <w:rsid w:val="00357A8A"/>
    <w:rsid w:val="003661D1"/>
    <w:rsid w:val="003769B4"/>
    <w:rsid w:val="00376BE0"/>
    <w:rsid w:val="00377005"/>
    <w:rsid w:val="0037716B"/>
    <w:rsid w:val="00383215"/>
    <w:rsid w:val="003846E5"/>
    <w:rsid w:val="00384751"/>
    <w:rsid w:val="00387D1D"/>
    <w:rsid w:val="003936BB"/>
    <w:rsid w:val="00393E9B"/>
    <w:rsid w:val="00397A1D"/>
    <w:rsid w:val="003B059E"/>
    <w:rsid w:val="003B089E"/>
    <w:rsid w:val="003B514C"/>
    <w:rsid w:val="003D03BD"/>
    <w:rsid w:val="003D1393"/>
    <w:rsid w:val="003D750D"/>
    <w:rsid w:val="003D7A9B"/>
    <w:rsid w:val="003E1812"/>
    <w:rsid w:val="003F7A3A"/>
    <w:rsid w:val="0041290C"/>
    <w:rsid w:val="00417933"/>
    <w:rsid w:val="004219D0"/>
    <w:rsid w:val="00424E65"/>
    <w:rsid w:val="00425403"/>
    <w:rsid w:val="00432FA5"/>
    <w:rsid w:val="00437811"/>
    <w:rsid w:val="00445028"/>
    <w:rsid w:val="00453204"/>
    <w:rsid w:val="0046342F"/>
    <w:rsid w:val="00466D82"/>
    <w:rsid w:val="004721A8"/>
    <w:rsid w:val="00473922"/>
    <w:rsid w:val="00490070"/>
    <w:rsid w:val="00492133"/>
    <w:rsid w:val="004A5B5B"/>
    <w:rsid w:val="004A6440"/>
    <w:rsid w:val="004A6803"/>
    <w:rsid w:val="004A70F3"/>
    <w:rsid w:val="004A780A"/>
    <w:rsid w:val="004B0E56"/>
    <w:rsid w:val="004B31F5"/>
    <w:rsid w:val="004B3DE2"/>
    <w:rsid w:val="004C04BB"/>
    <w:rsid w:val="004C6520"/>
    <w:rsid w:val="004C7D5C"/>
    <w:rsid w:val="004D291F"/>
    <w:rsid w:val="004E5397"/>
    <w:rsid w:val="004E7F8C"/>
    <w:rsid w:val="004F50E3"/>
    <w:rsid w:val="0050050F"/>
    <w:rsid w:val="0050507A"/>
    <w:rsid w:val="00505D23"/>
    <w:rsid w:val="005071E3"/>
    <w:rsid w:val="005275CD"/>
    <w:rsid w:val="005327C2"/>
    <w:rsid w:val="00532EE9"/>
    <w:rsid w:val="00536478"/>
    <w:rsid w:val="00543D4F"/>
    <w:rsid w:val="00545CE5"/>
    <w:rsid w:val="0054738D"/>
    <w:rsid w:val="00552C8C"/>
    <w:rsid w:val="005542E1"/>
    <w:rsid w:val="00554D89"/>
    <w:rsid w:val="0056520C"/>
    <w:rsid w:val="0056587E"/>
    <w:rsid w:val="00565DCD"/>
    <w:rsid w:val="00565E5A"/>
    <w:rsid w:val="00571368"/>
    <w:rsid w:val="00572257"/>
    <w:rsid w:val="00582152"/>
    <w:rsid w:val="00582CED"/>
    <w:rsid w:val="00583F2B"/>
    <w:rsid w:val="005921AA"/>
    <w:rsid w:val="005962B8"/>
    <w:rsid w:val="005A3197"/>
    <w:rsid w:val="005A383C"/>
    <w:rsid w:val="005A40E5"/>
    <w:rsid w:val="005A54A5"/>
    <w:rsid w:val="005B0BC3"/>
    <w:rsid w:val="005B2CEB"/>
    <w:rsid w:val="005C029B"/>
    <w:rsid w:val="005C0308"/>
    <w:rsid w:val="005C452F"/>
    <w:rsid w:val="005C693E"/>
    <w:rsid w:val="005D1359"/>
    <w:rsid w:val="005D2CE7"/>
    <w:rsid w:val="005D41E0"/>
    <w:rsid w:val="005D55A1"/>
    <w:rsid w:val="005E2DF4"/>
    <w:rsid w:val="005E3477"/>
    <w:rsid w:val="005E3718"/>
    <w:rsid w:val="005E3997"/>
    <w:rsid w:val="005F349E"/>
    <w:rsid w:val="005F3C96"/>
    <w:rsid w:val="005F4C3F"/>
    <w:rsid w:val="00607EC0"/>
    <w:rsid w:val="00610078"/>
    <w:rsid w:val="006235EA"/>
    <w:rsid w:val="00633810"/>
    <w:rsid w:val="0063484E"/>
    <w:rsid w:val="00641AF8"/>
    <w:rsid w:val="00641E6A"/>
    <w:rsid w:val="006518F4"/>
    <w:rsid w:val="00651978"/>
    <w:rsid w:val="006559AD"/>
    <w:rsid w:val="006666AC"/>
    <w:rsid w:val="006801B5"/>
    <w:rsid w:val="0068184A"/>
    <w:rsid w:val="00682961"/>
    <w:rsid w:val="0068312A"/>
    <w:rsid w:val="00690AC6"/>
    <w:rsid w:val="00694F0E"/>
    <w:rsid w:val="00695EA4"/>
    <w:rsid w:val="006A2E18"/>
    <w:rsid w:val="006B6D32"/>
    <w:rsid w:val="006D3651"/>
    <w:rsid w:val="006D66D7"/>
    <w:rsid w:val="006E083A"/>
    <w:rsid w:val="006E581A"/>
    <w:rsid w:val="006E598F"/>
    <w:rsid w:val="006E6E8B"/>
    <w:rsid w:val="006E736F"/>
    <w:rsid w:val="006F4000"/>
    <w:rsid w:val="006F5062"/>
    <w:rsid w:val="006F50A6"/>
    <w:rsid w:val="006F5763"/>
    <w:rsid w:val="007000FB"/>
    <w:rsid w:val="007021DC"/>
    <w:rsid w:val="00702982"/>
    <w:rsid w:val="00706DC1"/>
    <w:rsid w:val="007121DB"/>
    <w:rsid w:val="00717C48"/>
    <w:rsid w:val="007320B8"/>
    <w:rsid w:val="007357E1"/>
    <w:rsid w:val="0073685B"/>
    <w:rsid w:val="00741A68"/>
    <w:rsid w:val="007436BC"/>
    <w:rsid w:val="0074550D"/>
    <w:rsid w:val="00753E11"/>
    <w:rsid w:val="00754475"/>
    <w:rsid w:val="00755FD7"/>
    <w:rsid w:val="007610D7"/>
    <w:rsid w:val="00764044"/>
    <w:rsid w:val="00781562"/>
    <w:rsid w:val="00783D80"/>
    <w:rsid w:val="0078496C"/>
    <w:rsid w:val="00785B16"/>
    <w:rsid w:val="00786AD3"/>
    <w:rsid w:val="00791F68"/>
    <w:rsid w:val="00793F18"/>
    <w:rsid w:val="007950AE"/>
    <w:rsid w:val="00795135"/>
    <w:rsid w:val="007A4199"/>
    <w:rsid w:val="007B0C0D"/>
    <w:rsid w:val="007B5B54"/>
    <w:rsid w:val="007B68D3"/>
    <w:rsid w:val="007C13AC"/>
    <w:rsid w:val="007D43A5"/>
    <w:rsid w:val="007D532E"/>
    <w:rsid w:val="007E170F"/>
    <w:rsid w:val="007E1747"/>
    <w:rsid w:val="007E610E"/>
    <w:rsid w:val="0080394C"/>
    <w:rsid w:val="008052ED"/>
    <w:rsid w:val="00805336"/>
    <w:rsid w:val="0080555C"/>
    <w:rsid w:val="00815FB2"/>
    <w:rsid w:val="00816A82"/>
    <w:rsid w:val="0082107D"/>
    <w:rsid w:val="00824B77"/>
    <w:rsid w:val="008256CD"/>
    <w:rsid w:val="00827CAA"/>
    <w:rsid w:val="00840876"/>
    <w:rsid w:val="00841F25"/>
    <w:rsid w:val="00844235"/>
    <w:rsid w:val="008452BD"/>
    <w:rsid w:val="008466F9"/>
    <w:rsid w:val="008521E1"/>
    <w:rsid w:val="00854805"/>
    <w:rsid w:val="00861169"/>
    <w:rsid w:val="0086535F"/>
    <w:rsid w:val="0087136E"/>
    <w:rsid w:val="00873E9D"/>
    <w:rsid w:val="00880DAB"/>
    <w:rsid w:val="0088284C"/>
    <w:rsid w:val="0088339E"/>
    <w:rsid w:val="00894641"/>
    <w:rsid w:val="0089651F"/>
    <w:rsid w:val="008A29E5"/>
    <w:rsid w:val="008B2054"/>
    <w:rsid w:val="008B31AB"/>
    <w:rsid w:val="008B633C"/>
    <w:rsid w:val="008C7E60"/>
    <w:rsid w:val="008D315A"/>
    <w:rsid w:val="008F1BC3"/>
    <w:rsid w:val="008F4956"/>
    <w:rsid w:val="008F53E0"/>
    <w:rsid w:val="009008D0"/>
    <w:rsid w:val="009020FF"/>
    <w:rsid w:val="00911980"/>
    <w:rsid w:val="0091563F"/>
    <w:rsid w:val="009201EF"/>
    <w:rsid w:val="00921A91"/>
    <w:rsid w:val="00936B32"/>
    <w:rsid w:val="009405DD"/>
    <w:rsid w:val="0094330B"/>
    <w:rsid w:val="009464C2"/>
    <w:rsid w:val="00952702"/>
    <w:rsid w:val="00954B59"/>
    <w:rsid w:val="00957ED2"/>
    <w:rsid w:val="00957FD4"/>
    <w:rsid w:val="00960B5B"/>
    <w:rsid w:val="00961310"/>
    <w:rsid w:val="00972893"/>
    <w:rsid w:val="00983803"/>
    <w:rsid w:val="00990EBE"/>
    <w:rsid w:val="00992D62"/>
    <w:rsid w:val="009A725D"/>
    <w:rsid w:val="009B5C6B"/>
    <w:rsid w:val="009C18DD"/>
    <w:rsid w:val="009C1AB4"/>
    <w:rsid w:val="00A05425"/>
    <w:rsid w:val="00A11143"/>
    <w:rsid w:val="00A1153C"/>
    <w:rsid w:val="00A117FA"/>
    <w:rsid w:val="00A13029"/>
    <w:rsid w:val="00A14DB2"/>
    <w:rsid w:val="00A21D87"/>
    <w:rsid w:val="00A24F5E"/>
    <w:rsid w:val="00A26245"/>
    <w:rsid w:val="00A3082E"/>
    <w:rsid w:val="00A37D1B"/>
    <w:rsid w:val="00A41C18"/>
    <w:rsid w:val="00A53B38"/>
    <w:rsid w:val="00A560FE"/>
    <w:rsid w:val="00A62E35"/>
    <w:rsid w:val="00A7111B"/>
    <w:rsid w:val="00A72912"/>
    <w:rsid w:val="00A90D37"/>
    <w:rsid w:val="00A91193"/>
    <w:rsid w:val="00A95B35"/>
    <w:rsid w:val="00AA29C2"/>
    <w:rsid w:val="00AA35B2"/>
    <w:rsid w:val="00AD3220"/>
    <w:rsid w:val="00AD6037"/>
    <w:rsid w:val="00AE0ADF"/>
    <w:rsid w:val="00AE747E"/>
    <w:rsid w:val="00AF3C9E"/>
    <w:rsid w:val="00B12377"/>
    <w:rsid w:val="00B1698D"/>
    <w:rsid w:val="00B23F93"/>
    <w:rsid w:val="00B26E8A"/>
    <w:rsid w:val="00B3043C"/>
    <w:rsid w:val="00B316C3"/>
    <w:rsid w:val="00B32AD0"/>
    <w:rsid w:val="00B4276D"/>
    <w:rsid w:val="00B47CDA"/>
    <w:rsid w:val="00B510B7"/>
    <w:rsid w:val="00B57ABD"/>
    <w:rsid w:val="00B63552"/>
    <w:rsid w:val="00B643E2"/>
    <w:rsid w:val="00B646D8"/>
    <w:rsid w:val="00B65711"/>
    <w:rsid w:val="00B66BFD"/>
    <w:rsid w:val="00B77B2F"/>
    <w:rsid w:val="00B803B4"/>
    <w:rsid w:val="00B844CC"/>
    <w:rsid w:val="00B87E43"/>
    <w:rsid w:val="00BA2106"/>
    <w:rsid w:val="00BA5C12"/>
    <w:rsid w:val="00BB282A"/>
    <w:rsid w:val="00BB7AA4"/>
    <w:rsid w:val="00BC6A5A"/>
    <w:rsid w:val="00BE191E"/>
    <w:rsid w:val="00BE1A60"/>
    <w:rsid w:val="00BE1CCB"/>
    <w:rsid w:val="00BF0B44"/>
    <w:rsid w:val="00BF3046"/>
    <w:rsid w:val="00BF783C"/>
    <w:rsid w:val="00C023AB"/>
    <w:rsid w:val="00C05E14"/>
    <w:rsid w:val="00C062FC"/>
    <w:rsid w:val="00C06875"/>
    <w:rsid w:val="00C0689D"/>
    <w:rsid w:val="00C074AD"/>
    <w:rsid w:val="00C07ED5"/>
    <w:rsid w:val="00C152B3"/>
    <w:rsid w:val="00C158B8"/>
    <w:rsid w:val="00C1788C"/>
    <w:rsid w:val="00C23AC6"/>
    <w:rsid w:val="00C26D3A"/>
    <w:rsid w:val="00C34809"/>
    <w:rsid w:val="00C3740E"/>
    <w:rsid w:val="00C43DFB"/>
    <w:rsid w:val="00C44F3F"/>
    <w:rsid w:val="00C63780"/>
    <w:rsid w:val="00C65821"/>
    <w:rsid w:val="00C6689B"/>
    <w:rsid w:val="00C70ED9"/>
    <w:rsid w:val="00C745A3"/>
    <w:rsid w:val="00C775BE"/>
    <w:rsid w:val="00C91E4C"/>
    <w:rsid w:val="00C92E48"/>
    <w:rsid w:val="00C97D83"/>
    <w:rsid w:val="00CA3739"/>
    <w:rsid w:val="00CC6A3F"/>
    <w:rsid w:val="00CD25CD"/>
    <w:rsid w:val="00CD28FB"/>
    <w:rsid w:val="00CD654B"/>
    <w:rsid w:val="00CE1514"/>
    <w:rsid w:val="00CE2BD8"/>
    <w:rsid w:val="00CF0B08"/>
    <w:rsid w:val="00CF37D4"/>
    <w:rsid w:val="00CF534D"/>
    <w:rsid w:val="00D108EA"/>
    <w:rsid w:val="00D148F6"/>
    <w:rsid w:val="00D15C2D"/>
    <w:rsid w:val="00D208A2"/>
    <w:rsid w:val="00D30FE3"/>
    <w:rsid w:val="00D377EC"/>
    <w:rsid w:val="00D43FA1"/>
    <w:rsid w:val="00D44B40"/>
    <w:rsid w:val="00D467A9"/>
    <w:rsid w:val="00D54CFF"/>
    <w:rsid w:val="00D554A9"/>
    <w:rsid w:val="00D6146C"/>
    <w:rsid w:val="00D61876"/>
    <w:rsid w:val="00D61B2D"/>
    <w:rsid w:val="00D649E5"/>
    <w:rsid w:val="00D67602"/>
    <w:rsid w:val="00D70372"/>
    <w:rsid w:val="00D76AD6"/>
    <w:rsid w:val="00D776BA"/>
    <w:rsid w:val="00D82CD4"/>
    <w:rsid w:val="00D842FE"/>
    <w:rsid w:val="00D843B1"/>
    <w:rsid w:val="00D8575B"/>
    <w:rsid w:val="00D86928"/>
    <w:rsid w:val="00D90726"/>
    <w:rsid w:val="00DA4D8E"/>
    <w:rsid w:val="00DA5E18"/>
    <w:rsid w:val="00DB12A8"/>
    <w:rsid w:val="00DC300D"/>
    <w:rsid w:val="00DC3780"/>
    <w:rsid w:val="00DC3A4F"/>
    <w:rsid w:val="00DD1471"/>
    <w:rsid w:val="00DD79A3"/>
    <w:rsid w:val="00DE1112"/>
    <w:rsid w:val="00DE211A"/>
    <w:rsid w:val="00DF79CB"/>
    <w:rsid w:val="00DF7EB9"/>
    <w:rsid w:val="00E07FF8"/>
    <w:rsid w:val="00E2091A"/>
    <w:rsid w:val="00E33A8E"/>
    <w:rsid w:val="00E463F5"/>
    <w:rsid w:val="00E514C7"/>
    <w:rsid w:val="00E6328A"/>
    <w:rsid w:val="00E6438E"/>
    <w:rsid w:val="00E66599"/>
    <w:rsid w:val="00E6728F"/>
    <w:rsid w:val="00E74CDE"/>
    <w:rsid w:val="00E82F50"/>
    <w:rsid w:val="00E90675"/>
    <w:rsid w:val="00E92873"/>
    <w:rsid w:val="00E95D5D"/>
    <w:rsid w:val="00EA1DFF"/>
    <w:rsid w:val="00EA2B56"/>
    <w:rsid w:val="00EB29FD"/>
    <w:rsid w:val="00EC02ED"/>
    <w:rsid w:val="00ED4B92"/>
    <w:rsid w:val="00EE003A"/>
    <w:rsid w:val="00EE147A"/>
    <w:rsid w:val="00EE17B8"/>
    <w:rsid w:val="00EF7F1F"/>
    <w:rsid w:val="00F0241A"/>
    <w:rsid w:val="00F033F3"/>
    <w:rsid w:val="00F04D70"/>
    <w:rsid w:val="00F05051"/>
    <w:rsid w:val="00F12488"/>
    <w:rsid w:val="00F134D1"/>
    <w:rsid w:val="00F145FD"/>
    <w:rsid w:val="00F16D0F"/>
    <w:rsid w:val="00F24FA3"/>
    <w:rsid w:val="00F27BD9"/>
    <w:rsid w:val="00F321D6"/>
    <w:rsid w:val="00F40D5F"/>
    <w:rsid w:val="00F47F73"/>
    <w:rsid w:val="00F5722A"/>
    <w:rsid w:val="00F6064F"/>
    <w:rsid w:val="00F8260A"/>
    <w:rsid w:val="00F82652"/>
    <w:rsid w:val="00F855CE"/>
    <w:rsid w:val="00F909B0"/>
    <w:rsid w:val="00F95C68"/>
    <w:rsid w:val="00FA40E2"/>
    <w:rsid w:val="00FA4579"/>
    <w:rsid w:val="00FA6999"/>
    <w:rsid w:val="00FA7CD9"/>
    <w:rsid w:val="00FB1D5A"/>
    <w:rsid w:val="00FB528B"/>
    <w:rsid w:val="00FB61CE"/>
    <w:rsid w:val="00FB6578"/>
    <w:rsid w:val="00FB7841"/>
    <w:rsid w:val="00FC06F8"/>
    <w:rsid w:val="00FC117E"/>
    <w:rsid w:val="00FC24F6"/>
    <w:rsid w:val="00FC2873"/>
    <w:rsid w:val="00FC2B6C"/>
    <w:rsid w:val="00FC3371"/>
    <w:rsid w:val="00FD4CD8"/>
    <w:rsid w:val="00FE23F1"/>
    <w:rsid w:val="00FE25E8"/>
    <w:rsid w:val="00FE2D85"/>
    <w:rsid w:val="00FE5296"/>
    <w:rsid w:val="680B0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Emphasis"/>
    <w:basedOn w:val="8"/>
    <w:qFormat/>
    <w:uiPriority w:val="0"/>
    <w:rPr>
      <w:i/>
      <w:iCs/>
    </w:rPr>
  </w:style>
  <w:style w:type="character" w:styleId="11">
    <w:name w:val="Hyperlink"/>
    <w:basedOn w:val="8"/>
    <w:qFormat/>
    <w:uiPriority w:val="0"/>
    <w:rPr>
      <w:color w:val="0000FF"/>
      <w:u w:val="single"/>
    </w:rPr>
  </w:style>
  <w:style w:type="character" w:customStyle="1" w:styleId="12">
    <w:name w:val="页眉 Char"/>
    <w:basedOn w:val="8"/>
    <w:link w:val="4"/>
    <w:qFormat/>
    <w:uiPriority w:val="0"/>
    <w:rPr>
      <w:kern w:val="2"/>
      <w:sz w:val="18"/>
      <w:szCs w:val="18"/>
    </w:rPr>
  </w:style>
  <w:style w:type="character" w:customStyle="1" w:styleId="13">
    <w:name w:val="页脚 Char"/>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9" Type="http://schemas.openxmlformats.org/officeDocument/2006/relationships/fontTable" Target="fontTable.xml"/><Relationship Id="rId58" Type="http://schemas.openxmlformats.org/officeDocument/2006/relationships/customXml" Target="../customXml/item2.xml"/><Relationship Id="rId57" Type="http://schemas.openxmlformats.org/officeDocument/2006/relationships/customXml" Target="../customXml/item1.xml"/><Relationship Id="rId56" Type="http://schemas.openxmlformats.org/officeDocument/2006/relationships/image" Target="media/image25.wmf"/><Relationship Id="rId55" Type="http://schemas.openxmlformats.org/officeDocument/2006/relationships/oleObject" Target="embeddings/oleObject27.bin"/><Relationship Id="rId54" Type="http://schemas.openxmlformats.org/officeDocument/2006/relationships/image" Target="media/image24.wmf"/><Relationship Id="rId53" Type="http://schemas.openxmlformats.org/officeDocument/2006/relationships/oleObject" Target="embeddings/oleObject26.bin"/><Relationship Id="rId52" Type="http://schemas.openxmlformats.org/officeDocument/2006/relationships/image" Target="media/image23.wmf"/><Relationship Id="rId51" Type="http://schemas.openxmlformats.org/officeDocument/2006/relationships/oleObject" Target="embeddings/oleObject25.bin"/><Relationship Id="rId50" Type="http://schemas.openxmlformats.org/officeDocument/2006/relationships/image" Target="media/image22.wmf"/><Relationship Id="rId5" Type="http://schemas.openxmlformats.org/officeDocument/2006/relationships/oleObject" Target="embeddings/oleObject1.bin"/><Relationship Id="rId49" Type="http://schemas.openxmlformats.org/officeDocument/2006/relationships/oleObject" Target="embeddings/oleObject24.bin"/><Relationship Id="rId48" Type="http://schemas.openxmlformats.org/officeDocument/2006/relationships/image" Target="media/image21.wmf"/><Relationship Id="rId47" Type="http://schemas.openxmlformats.org/officeDocument/2006/relationships/oleObject" Target="embeddings/oleObject23.bin"/><Relationship Id="rId46" Type="http://schemas.openxmlformats.org/officeDocument/2006/relationships/image" Target="media/image20.wmf"/><Relationship Id="rId45" Type="http://schemas.openxmlformats.org/officeDocument/2006/relationships/oleObject" Target="embeddings/oleObject22.bin"/><Relationship Id="rId44" Type="http://schemas.openxmlformats.org/officeDocument/2006/relationships/image" Target="media/image19.wmf"/><Relationship Id="rId43" Type="http://schemas.openxmlformats.org/officeDocument/2006/relationships/oleObject" Target="embeddings/oleObject21.bin"/><Relationship Id="rId42" Type="http://schemas.openxmlformats.org/officeDocument/2006/relationships/image" Target="media/image18.wmf"/><Relationship Id="rId41" Type="http://schemas.openxmlformats.org/officeDocument/2006/relationships/oleObject" Target="embeddings/oleObject20.bin"/><Relationship Id="rId40" Type="http://schemas.openxmlformats.org/officeDocument/2006/relationships/oleObject" Target="embeddings/oleObject19.bin"/><Relationship Id="rId4" Type="http://schemas.openxmlformats.org/officeDocument/2006/relationships/theme" Target="theme/theme1.xml"/><Relationship Id="rId39" Type="http://schemas.openxmlformats.org/officeDocument/2006/relationships/image" Target="media/image17.wmf"/><Relationship Id="rId38" Type="http://schemas.openxmlformats.org/officeDocument/2006/relationships/oleObject" Target="embeddings/oleObject18.bin"/><Relationship Id="rId37" Type="http://schemas.openxmlformats.org/officeDocument/2006/relationships/image" Target="media/image16.wmf"/><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image" Target="media/image15.wmf"/><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077BF7-9378-4D96-B1DD-F324C53F1CD0}">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7</Pages>
  <Words>2420</Words>
  <Characters>2816</Characters>
  <Lines>26</Lines>
  <Paragraphs>7</Paragraphs>
  <TotalTime>84</TotalTime>
  <ScaleCrop>false</ScaleCrop>
  <LinksUpToDate>false</LinksUpToDate>
  <CharactersWithSpaces>2939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2026-05-19T00:27:00Z</dcterms:created>
  <dc:creator>雨林木风</dc:creator>
  <cp:lastModifiedBy>燃烧的岁月</cp:lastModifiedBy>
  <cp:lastPrinted>2026-05-10T10:44:00Z</cp:lastPrinted>
  <dcterms:modified xsi:type="dcterms:W3CDTF">2026-05-25T04:58:50Z</dcterms:modified>
  <dc:title>编写说明</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eyJoZGlkIjoiMGJiMzI3NzVmMDNmMGI4NjFmNjkxNzI5YzZlMTA0ZmYiLCJ1c2VySWQiOiIyMzY4MjYyMzMifQ==</vt:lpwstr>
  </property>
  <property fmtid="{D5CDD505-2E9C-101B-9397-08002B2CF9AE}" pid="3" name="KSOProductBuildVer">
    <vt:lpwstr>2052-12.1.0.26375</vt:lpwstr>
  </property>
  <property fmtid="{D5CDD505-2E9C-101B-9397-08002B2CF9AE}" pid="4" name="ICV">
    <vt:lpwstr>A07FE130B9EC43AB8EDBEB0ECF4FFE31_12</vt:lpwstr>
  </property>
</Properties>
</file>