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FC727">
      <w:pPr>
        <w:jc w:val="center"/>
        <w:rPr>
          <w:rFonts w:ascii="黑体" w:hAnsi="Times New Roman" w:eastAsia="黑体" w:cs="Times New Roman"/>
          <w:b/>
          <w:sz w:val="32"/>
          <w:szCs w:val="32"/>
        </w:rPr>
      </w:pPr>
      <w:r>
        <w:rPr>
          <w:rFonts w:hint="eastAsia" w:ascii="黑体" w:hAnsi="Times New Roman" w:eastAsia="黑体" w:cs="Times New Roman"/>
          <w:b/>
          <w:sz w:val="32"/>
          <w:szCs w:val="32"/>
        </w:rPr>
        <w:t>《矿用氢气报警器校准规范》</w:t>
      </w:r>
    </w:p>
    <w:p w14:paraId="559B5241">
      <w:pPr>
        <w:jc w:val="center"/>
        <w:rPr>
          <w:rFonts w:ascii="黑体" w:hAnsi="Times New Roman" w:eastAsia="黑体" w:cs="Times New Roman"/>
          <w:b/>
          <w:sz w:val="32"/>
          <w:szCs w:val="32"/>
        </w:rPr>
      </w:pPr>
      <w:r>
        <w:rPr>
          <w:rFonts w:hint="eastAsia" w:ascii="黑体" w:hAnsi="Times New Roman" w:eastAsia="黑体" w:cs="Times New Roman"/>
          <w:b/>
          <w:sz w:val="32"/>
          <w:szCs w:val="32"/>
        </w:rPr>
        <w:t>贵州省地方计量校准规范起草编制说明</w:t>
      </w:r>
    </w:p>
    <w:p w14:paraId="6988056B"/>
    <w:p w14:paraId="1F2B6911">
      <w:pPr>
        <w:spacing w:line="360" w:lineRule="auto"/>
        <w:rPr>
          <w:rFonts w:ascii="黑体" w:hAnsi="宋体" w:eastAsia="黑体"/>
          <w:sz w:val="24"/>
        </w:rPr>
      </w:pPr>
      <w:r>
        <w:rPr>
          <w:rFonts w:hint="eastAsia" w:ascii="黑体" w:hAnsi="宋体" w:eastAsia="黑体"/>
          <w:sz w:val="24"/>
        </w:rPr>
        <w:t>一、任务来源</w:t>
      </w:r>
    </w:p>
    <w:p w14:paraId="0FBF1226">
      <w:pPr>
        <w:spacing w:line="360" w:lineRule="auto"/>
        <w:ind w:firstLine="480" w:firstLineChars="200"/>
        <w:rPr>
          <w:sz w:val="24"/>
          <w:szCs w:val="24"/>
        </w:rPr>
      </w:pPr>
      <w:r>
        <w:rPr>
          <w:rFonts w:hint="eastAsia"/>
          <w:sz w:val="24"/>
          <w:szCs w:val="24"/>
        </w:rPr>
        <w:t>六盘水市检验检测中心于2025年3月向贵州省市场监督管理局申请起草《矿用氢气报警器校准规范》，</w:t>
      </w:r>
      <w:r>
        <w:rPr>
          <w:sz w:val="24"/>
          <w:szCs w:val="24"/>
        </w:rPr>
        <w:t>于</w:t>
      </w:r>
      <w:r>
        <w:rPr>
          <w:rFonts w:hint="eastAsia"/>
          <w:sz w:val="24"/>
          <w:szCs w:val="24"/>
        </w:rPr>
        <w:t>2025年12月05日</w:t>
      </w:r>
      <w:r>
        <w:rPr>
          <w:sz w:val="24"/>
          <w:szCs w:val="24"/>
        </w:rPr>
        <w:t>获批同意该项目</w:t>
      </w:r>
      <w:r>
        <w:rPr>
          <w:rFonts w:hint="eastAsia"/>
          <w:sz w:val="24"/>
          <w:szCs w:val="24"/>
        </w:rPr>
        <w:t>的立项，根据立项通告，我中心于2025年12月08日成立编制小组，</w:t>
      </w:r>
      <w:r>
        <w:rPr>
          <w:rFonts w:ascii="宋体" w:hAnsi="宋体" w:eastAsia="宋体" w:cs="宋体"/>
          <w:sz w:val="24"/>
        </w:rPr>
        <w:t>具体</w:t>
      </w:r>
      <w:r>
        <w:rPr>
          <w:rFonts w:hint="eastAsia" w:ascii="宋体" w:hAnsi="宋体" w:eastAsia="宋体" w:cs="宋体"/>
          <w:sz w:val="24"/>
        </w:rPr>
        <w:t>明确</w:t>
      </w:r>
      <w:r>
        <w:rPr>
          <w:rFonts w:ascii="宋体" w:hAnsi="宋体" w:eastAsia="宋体" w:cs="宋体"/>
          <w:sz w:val="24"/>
        </w:rPr>
        <w:t>编制</w:t>
      </w:r>
      <w:r>
        <w:rPr>
          <w:rFonts w:hint="eastAsia" w:ascii="宋体" w:hAnsi="宋体" w:eastAsia="宋体" w:cs="宋体"/>
          <w:sz w:val="24"/>
        </w:rPr>
        <w:t>人员及</w:t>
      </w:r>
      <w:r>
        <w:rPr>
          <w:rFonts w:ascii="宋体" w:hAnsi="宋体" w:eastAsia="宋体" w:cs="宋体"/>
          <w:sz w:val="24"/>
        </w:rPr>
        <w:t>职责</w:t>
      </w:r>
      <w:r>
        <w:rPr>
          <w:rFonts w:hint="eastAsia"/>
          <w:sz w:val="24"/>
          <w:szCs w:val="24"/>
        </w:rPr>
        <w:t>。</w:t>
      </w:r>
    </w:p>
    <w:p w14:paraId="741E254B">
      <w:pPr>
        <w:spacing w:line="360" w:lineRule="auto"/>
        <w:rPr>
          <w:rFonts w:ascii="黑体" w:hAnsi="宋体" w:eastAsia="黑体" w:cs="Times New Roman"/>
          <w:sz w:val="24"/>
          <w:szCs w:val="24"/>
        </w:rPr>
      </w:pPr>
      <w:r>
        <w:rPr>
          <w:rFonts w:hint="eastAsia" w:ascii="黑体" w:hAnsi="宋体" w:eastAsia="黑体" w:cs="Times New Roman"/>
          <w:sz w:val="24"/>
          <w:szCs w:val="24"/>
        </w:rPr>
        <w:t>二、规范制定的必要性</w:t>
      </w:r>
    </w:p>
    <w:p w14:paraId="769330E0">
      <w:pPr>
        <w:spacing w:line="360" w:lineRule="auto"/>
        <w:ind w:firstLine="480" w:firstLineChars="200"/>
        <w:rPr>
          <w:sz w:val="24"/>
          <w:szCs w:val="24"/>
        </w:rPr>
      </w:pPr>
      <w:r>
        <w:rPr>
          <w:sz w:val="24"/>
          <w:szCs w:val="24"/>
        </w:rPr>
        <w:t>氢气是井下使用的有害</w:t>
      </w:r>
      <w:r>
        <w:rPr>
          <w:rFonts w:hint="eastAsia"/>
          <w:sz w:val="24"/>
          <w:szCs w:val="24"/>
        </w:rPr>
        <w:t>、易燃易爆</w:t>
      </w:r>
      <w:r>
        <w:rPr>
          <w:sz w:val="24"/>
          <w:szCs w:val="24"/>
        </w:rPr>
        <w:t>气体。</w:t>
      </w:r>
      <w:r>
        <w:rPr>
          <w:rFonts w:hint="eastAsia"/>
          <w:sz w:val="24"/>
          <w:szCs w:val="24"/>
        </w:rPr>
        <w:t>《煤矿安全规程》第一百六十七条规定：井下充电室风流中以及局部积聚处的氢气浓度，不得超过</w:t>
      </w:r>
      <w:r>
        <w:rPr>
          <w:sz w:val="24"/>
          <w:szCs w:val="24"/>
        </w:rPr>
        <w:t>0.5%。井下氢气的主要来源是变压器和蓄电池充电</w:t>
      </w:r>
      <w:r>
        <w:rPr>
          <w:rFonts w:hint="eastAsia"/>
          <w:sz w:val="24"/>
          <w:szCs w:val="24"/>
        </w:rPr>
        <w:t>，有些中等变质的煤层中也有氢气涌出</w:t>
      </w:r>
      <w:r>
        <w:rPr>
          <w:sz w:val="24"/>
          <w:szCs w:val="24"/>
        </w:rPr>
        <w:t>。此外，矿井发生火灾和爆炸事故中也会产生。</w:t>
      </w:r>
      <w:r>
        <w:rPr>
          <w:rFonts w:hint="eastAsia"/>
          <w:sz w:val="24"/>
          <w:szCs w:val="24"/>
        </w:rPr>
        <w:t>矿用</w:t>
      </w:r>
      <w:r>
        <w:rPr>
          <w:sz w:val="24"/>
          <w:szCs w:val="24"/>
        </w:rPr>
        <w:t>氢气</w:t>
      </w:r>
      <w:r>
        <w:rPr>
          <w:rFonts w:hint="eastAsia"/>
          <w:sz w:val="24"/>
          <w:szCs w:val="24"/>
        </w:rPr>
        <w:t>报警器则</w:t>
      </w:r>
      <w:r>
        <w:rPr>
          <w:sz w:val="24"/>
          <w:szCs w:val="24"/>
        </w:rPr>
        <w:t>用于矿井中氢气的检测，如用在变压器、井下变电站、机房、可用于矿井火灾中标志气体的检测与分析，也可以发生爆炸后的救援场合</w:t>
      </w:r>
      <w:r>
        <w:rPr>
          <w:rFonts w:hint="eastAsia"/>
          <w:sz w:val="24"/>
          <w:szCs w:val="24"/>
        </w:rPr>
        <w:t>，它</w:t>
      </w:r>
      <w:r>
        <w:rPr>
          <w:sz w:val="24"/>
          <w:szCs w:val="24"/>
        </w:rPr>
        <w:t>可</w:t>
      </w:r>
      <w:r>
        <w:rPr>
          <w:rFonts w:hint="eastAsia"/>
          <w:sz w:val="24"/>
          <w:szCs w:val="24"/>
        </w:rPr>
        <w:t>实时显示</w:t>
      </w:r>
      <w:r>
        <w:rPr>
          <w:sz w:val="24"/>
          <w:szCs w:val="24"/>
        </w:rPr>
        <w:t>气体浓度、时间、电量等数据</w:t>
      </w:r>
      <w:r>
        <w:rPr>
          <w:rFonts w:hint="eastAsia"/>
          <w:sz w:val="24"/>
          <w:szCs w:val="24"/>
        </w:rPr>
        <w:t>，</w:t>
      </w:r>
      <w:r>
        <w:rPr>
          <w:sz w:val="24"/>
          <w:szCs w:val="24"/>
        </w:rPr>
        <w:t>如果当前气体浓度值超出预设限度值时，仪器以声、光报警提醒用户。</w:t>
      </w:r>
    </w:p>
    <w:p w14:paraId="0672BFC8">
      <w:pPr>
        <w:spacing w:line="360" w:lineRule="auto"/>
        <w:ind w:firstLine="480" w:firstLineChars="200"/>
        <w:rPr>
          <w:sz w:val="24"/>
          <w:szCs w:val="24"/>
        </w:rPr>
      </w:pPr>
      <w:r>
        <w:rPr>
          <w:rFonts w:hint="eastAsia"/>
          <w:sz w:val="24"/>
          <w:szCs w:val="24"/>
        </w:rPr>
        <w:t>“江南缺煤，独富贵州”。贵州省保有资源储量约800亿吨，储量大、煤种齐全、开采条件总体较好的贵州，素有“江南煤海”之称。因此，煤矿安全生产历来是贵州省安全生产工作的重中之重，为确保煤矿安全稳定生产奠定坚实的基础，煤矿企业配备量值准确、性能合格的计量器具，可有效避免或者减少发生事故的概率，提升企业经济效益。因此，准确溯源矿用</w:t>
      </w:r>
      <w:r>
        <w:rPr>
          <w:sz w:val="24"/>
          <w:szCs w:val="24"/>
        </w:rPr>
        <w:t>氢气</w:t>
      </w:r>
      <w:r>
        <w:rPr>
          <w:rFonts w:hint="eastAsia"/>
          <w:sz w:val="24"/>
          <w:szCs w:val="24"/>
        </w:rPr>
        <w:t>报警器的准确性和可靠性对于预防煤矿事故至关重要，是确保煤矿生产安全和保护矿工生命财产安全的重要环节。</w:t>
      </w:r>
    </w:p>
    <w:p w14:paraId="0C975354">
      <w:pPr>
        <w:spacing w:line="360" w:lineRule="auto"/>
        <w:ind w:firstLine="480" w:firstLineChars="200"/>
        <w:rPr>
          <w:sz w:val="24"/>
          <w:szCs w:val="24"/>
        </w:rPr>
      </w:pPr>
      <w:r>
        <w:rPr>
          <w:rFonts w:hint="eastAsia"/>
          <w:sz w:val="24"/>
          <w:szCs w:val="24"/>
        </w:rPr>
        <w:t>JJG 693-2011 《可燃气体检测报警器》仅适用于非矿井作业环境中使用的可燃气检测报警器的溯源，另外，煤矿井下与传感器配套使用的设备通常有分站和电源箱，故需要校准信号传输值，而JJG 693不涉及此部分相关内容。因此，由于缺乏相应的国家计量技术规范、行业规范、地方规范，我省各法定计量检定机构在矿用</w:t>
      </w:r>
      <w:r>
        <w:rPr>
          <w:sz w:val="24"/>
          <w:szCs w:val="24"/>
        </w:rPr>
        <w:t>氢气</w:t>
      </w:r>
      <w:r>
        <w:rPr>
          <w:rFonts w:hint="eastAsia"/>
          <w:sz w:val="24"/>
          <w:szCs w:val="24"/>
        </w:rPr>
        <w:t>报警器量值溯源工作时无据可依，对于保障我省煤矿安全生产留下了重大的安全隐患。因此，亟需制定矿用</w:t>
      </w:r>
      <w:r>
        <w:rPr>
          <w:sz w:val="24"/>
          <w:szCs w:val="24"/>
        </w:rPr>
        <w:t>氢气</w:t>
      </w:r>
      <w:r>
        <w:rPr>
          <w:rFonts w:hint="eastAsia"/>
          <w:sz w:val="24"/>
          <w:szCs w:val="24"/>
        </w:rPr>
        <w:t>报警器贵州省地方校准规范来确保矿用</w:t>
      </w:r>
      <w:r>
        <w:rPr>
          <w:sz w:val="24"/>
          <w:szCs w:val="24"/>
        </w:rPr>
        <w:t>氢气</w:t>
      </w:r>
      <w:r>
        <w:rPr>
          <w:rFonts w:hint="eastAsia"/>
          <w:sz w:val="24"/>
          <w:szCs w:val="24"/>
        </w:rPr>
        <w:t>报警器，保以障煤矿安全生产具有重大的意义。</w:t>
      </w:r>
    </w:p>
    <w:p w14:paraId="1C0BB3D4">
      <w:pPr>
        <w:spacing w:line="360" w:lineRule="auto"/>
        <w:rPr>
          <w:rFonts w:ascii="黑体" w:hAnsi="宋体" w:eastAsia="黑体"/>
          <w:sz w:val="24"/>
        </w:rPr>
      </w:pPr>
      <w:r>
        <w:rPr>
          <w:rFonts w:hint="eastAsia" w:ascii="黑体" w:hAnsi="宋体" w:eastAsia="黑体"/>
          <w:sz w:val="24"/>
        </w:rPr>
        <w:t>三、规范的编制过程</w:t>
      </w:r>
    </w:p>
    <w:p w14:paraId="37BA30E7">
      <w:pPr>
        <w:spacing w:line="360" w:lineRule="auto"/>
        <w:rPr>
          <w:rFonts w:ascii="宋体" w:hAnsi="宋体" w:eastAsia="宋体" w:cs="Times New Roman"/>
          <w:sz w:val="24"/>
          <w:szCs w:val="24"/>
        </w:rPr>
      </w:pPr>
      <w:r>
        <w:rPr>
          <w:rFonts w:hint="eastAsia" w:ascii="宋体" w:hAnsi="宋体" w:eastAsia="宋体" w:cs="Times New Roman"/>
          <w:sz w:val="24"/>
          <w:szCs w:val="24"/>
        </w:rPr>
        <w:t>《矿用氢气报警器校准规范》起草小组由以下单位及人员组成：</w:t>
      </w:r>
    </w:p>
    <w:p w14:paraId="2B38A09D">
      <w:pPr>
        <w:spacing w:line="360" w:lineRule="auto"/>
        <w:rPr>
          <w:rFonts w:ascii="宋体" w:hAnsi="宋体" w:eastAsia="宋体" w:cs="Times New Roman"/>
          <w:sz w:val="24"/>
          <w:szCs w:val="24"/>
        </w:rPr>
      </w:pPr>
      <w:r>
        <w:rPr>
          <w:rFonts w:hint="eastAsia" w:ascii="宋体" w:hAnsi="宋体" w:eastAsia="宋体" w:cs="Times New Roman"/>
          <w:sz w:val="24"/>
          <w:szCs w:val="24"/>
        </w:rPr>
        <w:t>主要起草单位：六盘水市检验检测中心、贵州众溯计量检验检测有限公司。</w:t>
      </w:r>
    </w:p>
    <w:p w14:paraId="1460E7AC">
      <w:pPr>
        <w:spacing w:line="360" w:lineRule="auto"/>
        <w:rPr>
          <w:rFonts w:ascii="宋体" w:hAnsi="宋体" w:eastAsia="宋体" w:cs="Times New Roman"/>
          <w:sz w:val="24"/>
          <w:szCs w:val="24"/>
        </w:rPr>
      </w:pPr>
      <w:r>
        <w:rPr>
          <w:rFonts w:hint="eastAsia" w:ascii="宋体" w:hAnsi="宋体" w:eastAsia="宋体" w:cs="Times New Roman"/>
          <w:sz w:val="24"/>
          <w:szCs w:val="24"/>
        </w:rPr>
        <w:t>起草小组组长：</w:t>
      </w:r>
      <w:r>
        <w:rPr>
          <w:rFonts w:hint="eastAsia"/>
          <w:sz w:val="24"/>
        </w:rPr>
        <w:t>程禹宁</w:t>
      </w:r>
    </w:p>
    <w:p w14:paraId="443E748D">
      <w:pPr>
        <w:spacing w:line="360" w:lineRule="auto"/>
        <w:rPr>
          <w:sz w:val="24"/>
        </w:rPr>
      </w:pPr>
      <w:r>
        <w:rPr>
          <w:rFonts w:hint="eastAsia" w:ascii="宋体" w:hAnsi="宋体" w:eastAsia="宋体" w:cs="Times New Roman"/>
          <w:sz w:val="24"/>
          <w:szCs w:val="24"/>
        </w:rPr>
        <w:t>起草小组成员</w:t>
      </w:r>
      <w:r>
        <w:rPr>
          <w:rFonts w:hint="eastAsia"/>
          <w:sz w:val="24"/>
        </w:rPr>
        <w:t>：李梅静、邵诗衢、文  柳、杨俊旋、宋政鉴、郑钧尹</w:t>
      </w:r>
    </w:p>
    <w:p w14:paraId="5E09920B">
      <w:pPr>
        <w:spacing w:line="360" w:lineRule="auto"/>
        <w:rPr>
          <w:rFonts w:ascii="宋体" w:hAnsi="宋体" w:eastAsia="宋体" w:cs="Times New Roman"/>
          <w:sz w:val="24"/>
          <w:szCs w:val="24"/>
        </w:rPr>
      </w:pPr>
      <w:r>
        <w:rPr>
          <w:rFonts w:hint="eastAsia" w:ascii="宋体" w:hAnsi="宋体" w:eastAsia="宋体" w:cs="Times New Roman"/>
          <w:sz w:val="24"/>
          <w:szCs w:val="24"/>
        </w:rPr>
        <w:t>（一）2025年1月至2025年3月，在正式申请规范制定任务前，对矿用氢气报警器进行实验室模拟检测试验和大样本的现场检测试验，取得了大量的试验数据，其中对矿用氢气报警器的示值误差、重复性、绝缘电阻等参数进行采集和处理。</w:t>
      </w:r>
    </w:p>
    <w:p w14:paraId="4BBE6A8B">
      <w:pPr>
        <w:spacing w:line="360" w:lineRule="auto"/>
        <w:rPr>
          <w:rFonts w:ascii="宋体" w:hAnsi="宋体" w:eastAsia="宋体" w:cs="Times New Roman"/>
          <w:sz w:val="24"/>
          <w:szCs w:val="24"/>
        </w:rPr>
      </w:pPr>
      <w:r>
        <w:rPr>
          <w:rFonts w:hint="eastAsia" w:ascii="宋体" w:hAnsi="宋体" w:eastAsia="宋体" w:cs="Times New Roman"/>
          <w:sz w:val="24"/>
          <w:szCs w:val="24"/>
        </w:rPr>
        <w:t>（二）2025年3月，在大量前期工作的基础上，中心对制定此校准规范的目的和意义、校准规范的技术关键和可行性分析及省内开展校准的基础设备和技术条件进行了阐述，并正式向贵州省市场监督管理局提出制定申请。</w:t>
      </w:r>
    </w:p>
    <w:p w14:paraId="282E08BF">
      <w:pPr>
        <w:spacing w:line="360" w:lineRule="auto"/>
        <w:rPr>
          <w:rFonts w:ascii="宋体" w:hAnsi="宋体" w:eastAsia="宋体" w:cs="Times New Roman"/>
          <w:sz w:val="24"/>
          <w:szCs w:val="24"/>
        </w:rPr>
      </w:pPr>
      <w:r>
        <w:rPr>
          <w:rFonts w:hint="eastAsia" w:ascii="宋体" w:hAnsi="宋体" w:eastAsia="宋体" w:cs="Times New Roman"/>
          <w:sz w:val="24"/>
          <w:szCs w:val="24"/>
        </w:rPr>
        <w:t>（三）2025年12月贵州省市场监督管理局批准六盘水市检验检测中心关于《矿用氢气报警器校准规范》的立项。该项目由六盘水市检验检测中心承担，并</w:t>
      </w:r>
      <w:r>
        <w:rPr>
          <w:rFonts w:hint="eastAsia"/>
          <w:sz w:val="24"/>
          <w:szCs w:val="24"/>
        </w:rPr>
        <w:t>于2025年12月08日成立</w:t>
      </w:r>
      <w:r>
        <w:rPr>
          <w:rFonts w:hint="eastAsia" w:ascii="宋体" w:hAnsi="宋体" w:eastAsia="宋体" w:cs="Times New Roman"/>
          <w:sz w:val="24"/>
          <w:szCs w:val="24"/>
        </w:rPr>
        <w:t>矿用氢气报警器校准规范</w:t>
      </w:r>
      <w:r>
        <w:rPr>
          <w:rFonts w:hint="eastAsia"/>
          <w:sz w:val="24"/>
          <w:szCs w:val="24"/>
        </w:rPr>
        <w:t>编制小组，</w:t>
      </w:r>
      <w:r>
        <w:rPr>
          <w:rFonts w:ascii="宋体" w:hAnsi="宋体" w:eastAsia="宋体" w:cs="宋体"/>
          <w:sz w:val="24"/>
        </w:rPr>
        <w:t>具体</w:t>
      </w:r>
      <w:r>
        <w:rPr>
          <w:rFonts w:hint="eastAsia" w:ascii="宋体" w:hAnsi="宋体" w:eastAsia="宋体" w:cs="宋体"/>
          <w:sz w:val="24"/>
        </w:rPr>
        <w:t>明确</w:t>
      </w:r>
      <w:r>
        <w:rPr>
          <w:rFonts w:ascii="宋体" w:hAnsi="宋体" w:eastAsia="宋体" w:cs="宋体"/>
          <w:sz w:val="24"/>
        </w:rPr>
        <w:t>编制</w:t>
      </w:r>
      <w:r>
        <w:rPr>
          <w:rFonts w:hint="eastAsia" w:ascii="宋体" w:hAnsi="宋体" w:eastAsia="宋体" w:cs="宋体"/>
          <w:sz w:val="24"/>
        </w:rPr>
        <w:t>人员及</w:t>
      </w:r>
      <w:r>
        <w:rPr>
          <w:rFonts w:ascii="宋体" w:hAnsi="宋体" w:eastAsia="宋体" w:cs="宋体"/>
          <w:sz w:val="24"/>
        </w:rPr>
        <w:t>职责</w:t>
      </w:r>
      <w:r>
        <w:rPr>
          <w:rFonts w:hint="eastAsia" w:ascii="宋体" w:hAnsi="宋体" w:eastAsia="宋体" w:cs="Times New Roman"/>
          <w:sz w:val="24"/>
          <w:szCs w:val="24"/>
        </w:rPr>
        <w:t>。</w:t>
      </w:r>
    </w:p>
    <w:p w14:paraId="070F1797">
      <w:pPr>
        <w:spacing w:line="360" w:lineRule="auto"/>
        <w:rPr>
          <w:rFonts w:ascii="宋体" w:hAnsi="宋体" w:eastAsia="宋体" w:cs="Times New Roman"/>
          <w:sz w:val="24"/>
          <w:szCs w:val="24"/>
        </w:rPr>
      </w:pPr>
      <w:r>
        <w:rPr>
          <w:rFonts w:hint="eastAsia" w:ascii="宋体" w:hAnsi="宋体" w:eastAsia="宋体" w:cs="Times New Roman"/>
          <w:sz w:val="24"/>
          <w:szCs w:val="24"/>
        </w:rPr>
        <w:t>（四）2025年12月-2026年04月，起草小组进行大量试验，开展多次讨论，对规范的框架结构、适用范围、技术指标要求等进行研究，形成了校准规范初稿和规范编制说明初稿。</w:t>
      </w:r>
    </w:p>
    <w:p w14:paraId="0C10DA17">
      <w:pPr>
        <w:spacing w:line="360" w:lineRule="auto"/>
        <w:rPr>
          <w:sz w:val="24"/>
          <w:szCs w:val="24"/>
        </w:rPr>
      </w:pPr>
      <w:r>
        <w:rPr>
          <w:rFonts w:hint="eastAsia" w:ascii="宋体" w:hAnsi="宋体" w:eastAsia="宋体" w:cs="Times New Roman"/>
          <w:sz w:val="24"/>
          <w:szCs w:val="24"/>
        </w:rPr>
        <w:t>（五）</w:t>
      </w:r>
      <w:r>
        <w:rPr>
          <w:rFonts w:hint="eastAsia"/>
          <w:sz w:val="24"/>
          <w:szCs w:val="24"/>
        </w:rPr>
        <w:t>2026年05月中心向五家单位发出《关于征求贵州省地方校准规范（征求意见稿）意见的函》，截止</w:t>
      </w:r>
      <w:r>
        <w:rPr>
          <w:rFonts w:hint="eastAsia"/>
          <w:color w:val="auto"/>
          <w:sz w:val="24"/>
          <w:szCs w:val="24"/>
        </w:rPr>
        <w:t>2026年05月08日</w:t>
      </w:r>
      <w:r>
        <w:rPr>
          <w:rFonts w:hint="eastAsia"/>
          <w:sz w:val="24"/>
          <w:szCs w:val="24"/>
        </w:rPr>
        <w:t>已收到意见反馈表5份，无修改意见。</w:t>
      </w:r>
    </w:p>
    <w:p w14:paraId="3C9555B1">
      <w:pPr>
        <w:spacing w:line="360" w:lineRule="auto"/>
        <w:rPr>
          <w:sz w:val="24"/>
          <w:szCs w:val="24"/>
        </w:rPr>
      </w:pPr>
      <w:r>
        <w:rPr>
          <w:rFonts w:hint="eastAsia" w:ascii="黑体" w:hAnsi="宋体" w:eastAsia="黑体" w:cs="Times New Roman"/>
          <w:bCs/>
          <w:sz w:val="24"/>
          <w:szCs w:val="24"/>
        </w:rPr>
        <w:t xml:space="preserve">四、规范制定的主要技术依据与原则  </w:t>
      </w:r>
    </w:p>
    <w:p w14:paraId="60927CF8">
      <w:pPr>
        <w:spacing w:line="360" w:lineRule="auto"/>
        <w:jc w:val="left"/>
        <w:outlineLvl w:val="3"/>
        <w:rPr>
          <w:rFonts w:ascii="宋体" w:hAnsi="宋体" w:eastAsia="宋体" w:cs="Times New Roman"/>
          <w:b/>
          <w:sz w:val="24"/>
          <w:szCs w:val="24"/>
        </w:rPr>
      </w:pPr>
      <w:r>
        <w:rPr>
          <w:rFonts w:hint="eastAsia" w:ascii="宋体" w:hAnsi="宋体" w:eastAsia="宋体" w:cs="Times New Roman"/>
          <w:b/>
          <w:sz w:val="24"/>
          <w:szCs w:val="24"/>
        </w:rPr>
        <w:t>（一）技术依据</w:t>
      </w:r>
    </w:p>
    <w:p w14:paraId="5A362E56">
      <w:pPr>
        <w:spacing w:line="360" w:lineRule="auto"/>
        <w:ind w:firstLine="480" w:firstLineChars="200"/>
        <w:rPr>
          <w:sz w:val="24"/>
          <w:szCs w:val="24"/>
        </w:rPr>
      </w:pPr>
      <w:r>
        <w:rPr>
          <w:rFonts w:hint="eastAsia"/>
          <w:sz w:val="24"/>
          <w:szCs w:val="24"/>
        </w:rPr>
        <w:t>《</w:t>
      </w:r>
      <w:r>
        <w:rPr>
          <w:rFonts w:hint="eastAsia" w:ascii="宋体" w:hAnsi="宋体" w:eastAsia="宋体" w:cs="Times New Roman"/>
          <w:sz w:val="24"/>
          <w:szCs w:val="24"/>
        </w:rPr>
        <w:t>矿用氢气报警器校准规范</w:t>
      </w:r>
      <w:r>
        <w:rPr>
          <w:rFonts w:hint="eastAsia"/>
          <w:sz w:val="24"/>
          <w:szCs w:val="24"/>
        </w:rPr>
        <w:t>》的制定参考JJF1001-2011《通用计量术语及定义》、JJF1059.1-2012《测量不确定度评定与表示》、GB 12358-2024 《环境气体检测报警仪器通用技术要求》、MT 209-90《煤矿通信、检测、控制用电工电子产品 通用技术要求》等技术规范，按照JJF1071-2010《国家计量校准规范编写规则》的要求编制。</w:t>
      </w:r>
    </w:p>
    <w:p w14:paraId="64FFFFA1">
      <w:pPr>
        <w:spacing w:line="360" w:lineRule="auto"/>
        <w:jc w:val="left"/>
        <w:outlineLvl w:val="3"/>
        <w:rPr>
          <w:rFonts w:ascii="宋体" w:hAnsi="宋体" w:eastAsia="宋体" w:cs="Times New Roman"/>
          <w:b/>
          <w:sz w:val="24"/>
          <w:szCs w:val="24"/>
        </w:rPr>
      </w:pPr>
      <w:r>
        <w:rPr>
          <w:rFonts w:hint="eastAsia" w:ascii="宋体" w:hAnsi="宋体" w:eastAsia="宋体" w:cs="Times New Roman"/>
          <w:b/>
          <w:sz w:val="24"/>
          <w:szCs w:val="24"/>
        </w:rPr>
        <w:t>（二）原则</w:t>
      </w:r>
    </w:p>
    <w:p w14:paraId="1007FB4A">
      <w:pPr>
        <w:spacing w:line="360" w:lineRule="auto"/>
        <w:ind w:firstLine="480" w:firstLineChars="200"/>
        <w:outlineLvl w:val="3"/>
        <w:rPr>
          <w:rFonts w:ascii="宋体" w:hAnsi="宋体" w:eastAsia="宋体" w:cs="Times New Roman"/>
          <w:sz w:val="24"/>
          <w:szCs w:val="24"/>
        </w:rPr>
      </w:pPr>
      <w:r>
        <w:rPr>
          <w:rFonts w:hint="eastAsia" w:ascii="宋体" w:hAnsi="宋体" w:eastAsia="宋体" w:cs="Times New Roman"/>
          <w:sz w:val="24"/>
          <w:szCs w:val="24"/>
        </w:rPr>
        <w:t>为了使规范既有先进性、又考虑适应实际情况，起草小组在制定过程中，力求按照以下原则，完成规范的起草工作：（1）力求与国家标准接轨，保证其先进性、法制性；（2）在校准用设备上，既要采用准确可靠的仪器设备，现场适应性强，数据准确，又要考虑稳定性、重复性可靠，经济适用的设备；（3）在校准方法上，既要能测出主要技术指标，又要力求操作简便、适用。</w:t>
      </w:r>
    </w:p>
    <w:p w14:paraId="5B381DBC">
      <w:pPr>
        <w:spacing w:line="360" w:lineRule="auto"/>
        <w:rPr>
          <w:rFonts w:ascii="黑体" w:hAnsi="宋体" w:eastAsia="黑体"/>
          <w:sz w:val="24"/>
        </w:rPr>
      </w:pPr>
      <w:r>
        <w:rPr>
          <w:rFonts w:hint="eastAsia" w:ascii="黑体" w:hAnsi="宋体" w:eastAsia="黑体"/>
          <w:sz w:val="24"/>
        </w:rPr>
        <w:t>五、规范的制定说明</w:t>
      </w:r>
    </w:p>
    <w:p w14:paraId="0840F8F2">
      <w:pPr>
        <w:spacing w:line="360" w:lineRule="auto"/>
        <w:ind w:firstLine="480" w:firstLineChars="200"/>
        <w:outlineLvl w:val="3"/>
        <w:rPr>
          <w:rFonts w:ascii="宋体" w:hAnsi="宋体" w:eastAsia="宋体" w:cs="Times New Roman"/>
          <w:sz w:val="24"/>
          <w:szCs w:val="24"/>
        </w:rPr>
      </w:pPr>
      <w:r>
        <w:rPr>
          <w:rFonts w:hint="eastAsia" w:ascii="宋体" w:hAnsi="宋体" w:eastAsia="宋体" w:cs="Times New Roman"/>
          <w:sz w:val="24"/>
          <w:szCs w:val="24"/>
        </w:rPr>
        <w:t>《</w:t>
      </w:r>
      <w:r>
        <w:rPr>
          <w:rFonts w:hint="eastAsia"/>
          <w:sz w:val="24"/>
          <w:szCs w:val="24"/>
        </w:rPr>
        <w:t>矿用氢气报警器校准规范</w:t>
      </w:r>
      <w:r>
        <w:rPr>
          <w:rFonts w:hint="eastAsia" w:ascii="宋体" w:hAnsi="宋体" w:eastAsia="宋体" w:cs="Times New Roman"/>
          <w:sz w:val="24"/>
          <w:szCs w:val="24"/>
        </w:rPr>
        <w:t>》共分为封面、扉页、目录、引言、范围、引用文件、概述、计量特性、校准条件、校准项目和校准方法、校准结果表达、复校时间间隔、附录。其中，封面、扉页、目录三个部分根据JJF 1071-2010《国家计量校准规范编写规则》撰写。</w:t>
      </w:r>
    </w:p>
    <w:p w14:paraId="34CC0F55">
      <w:pPr>
        <w:pStyle w:val="14"/>
        <w:spacing w:line="360" w:lineRule="auto"/>
        <w:ind w:firstLine="0" w:firstLineChars="0"/>
        <w:rPr>
          <w:b/>
        </w:rPr>
      </w:pPr>
      <w:r>
        <w:rPr>
          <w:rFonts w:hint="eastAsia"/>
          <w:b/>
        </w:rPr>
        <w:t>（一）关于范围</w:t>
      </w:r>
    </w:p>
    <w:p w14:paraId="03343157">
      <w:pPr>
        <w:spacing w:line="360" w:lineRule="auto"/>
        <w:ind w:firstLine="480" w:firstLineChars="200"/>
        <w:rPr>
          <w:rFonts w:ascii="宋体" w:hAnsi="宋体" w:eastAsia="宋体" w:cs="Times New Roman"/>
          <w:sz w:val="24"/>
          <w:szCs w:val="24"/>
        </w:rPr>
      </w:pPr>
      <w:bookmarkStart w:id="0" w:name="_Toc37921653"/>
      <w:bookmarkStart w:id="1" w:name="_Toc38372197"/>
      <w:bookmarkStart w:id="2" w:name="_Toc38372664"/>
      <w:bookmarkStart w:id="3" w:name="_Toc37940576"/>
      <w:r>
        <w:rPr>
          <w:rFonts w:hint="eastAsia" w:ascii="宋体" w:hAnsi="宋体" w:eastAsia="宋体" w:cs="宋体"/>
          <w:sz w:val="24"/>
          <w:szCs w:val="24"/>
        </w:rPr>
        <w:t>本规范适用</w:t>
      </w:r>
      <w:r>
        <w:rPr>
          <w:rFonts w:hint="eastAsia" w:eastAsia="宋体" w:cs="宋体"/>
          <w:sz w:val="24"/>
          <w:szCs w:val="24"/>
        </w:rPr>
        <w:t>于煤矿井下使用的电化学原理氢气报警器的校准</w:t>
      </w:r>
      <w:r>
        <w:rPr>
          <w:rFonts w:ascii="宋体" w:hAnsi="宋体" w:eastAsia="宋体" w:cs="Times New Roman"/>
          <w:sz w:val="24"/>
          <w:szCs w:val="24"/>
        </w:rPr>
        <w:t>。</w:t>
      </w:r>
      <w:bookmarkEnd w:id="0"/>
      <w:bookmarkEnd w:id="1"/>
      <w:bookmarkEnd w:id="2"/>
      <w:bookmarkEnd w:id="3"/>
    </w:p>
    <w:p w14:paraId="46DBA3EC">
      <w:pPr>
        <w:pStyle w:val="14"/>
        <w:spacing w:line="360" w:lineRule="auto"/>
        <w:ind w:firstLine="0" w:firstLineChars="0"/>
        <w:rPr>
          <w:b/>
        </w:rPr>
      </w:pPr>
      <w:r>
        <w:rPr>
          <w:rFonts w:hint="eastAsia"/>
          <w:b/>
        </w:rPr>
        <w:t>（二）关于引用文件</w:t>
      </w:r>
    </w:p>
    <w:p w14:paraId="45D8726D">
      <w:pPr>
        <w:pStyle w:val="14"/>
        <w:spacing w:line="360" w:lineRule="auto"/>
        <w:ind w:firstLine="480"/>
        <w:rPr>
          <w:b/>
        </w:rPr>
      </w:pPr>
      <w:r>
        <w:rPr>
          <w:rFonts w:hint="eastAsia"/>
        </w:rPr>
        <w:t>《矿用氢气报警器校准规范》主要参考了GB 12358-2024 《环境气体检测报警仪器通用技术要求》、MT 209-90《煤矿通信、检测、控制用电工电子产品 通用技术要求》。凡是注日期的引用文件，仅注日期的版本适用于本规范。</w:t>
      </w:r>
    </w:p>
    <w:p w14:paraId="14357448">
      <w:pPr>
        <w:pStyle w:val="14"/>
        <w:spacing w:line="360" w:lineRule="auto"/>
        <w:ind w:firstLine="0" w:firstLineChars="0"/>
        <w:rPr>
          <w:b/>
        </w:rPr>
      </w:pPr>
      <w:r>
        <w:rPr>
          <w:rFonts w:hint="eastAsia"/>
          <w:b/>
        </w:rPr>
        <w:t>（三）关于概述</w:t>
      </w:r>
    </w:p>
    <w:p w14:paraId="0309EB83">
      <w:pPr>
        <w:spacing w:line="360" w:lineRule="auto"/>
        <w:ind w:firstLine="480" w:firstLineChars="200"/>
        <w:rPr>
          <w:sz w:val="24"/>
          <w:szCs w:val="24"/>
        </w:rPr>
      </w:pPr>
      <w:r>
        <w:rPr>
          <w:rFonts w:hint="eastAsia"/>
          <w:sz w:val="24"/>
          <w:szCs w:val="24"/>
        </w:rPr>
        <w:t>本部分主要对</w:t>
      </w:r>
      <w:r>
        <w:rPr>
          <w:rFonts w:hint="eastAsia" w:eastAsia="宋体"/>
          <w:sz w:val="24"/>
          <w:szCs w:val="24"/>
        </w:rPr>
        <w:t>矿用氢气报警器</w:t>
      </w:r>
      <w:r>
        <w:rPr>
          <w:rFonts w:hint="eastAsia"/>
          <w:sz w:val="24"/>
          <w:szCs w:val="24"/>
        </w:rPr>
        <w:t>应用和工作原理进行了简要介绍。</w:t>
      </w:r>
    </w:p>
    <w:p w14:paraId="358F4E9B">
      <w:pPr>
        <w:pStyle w:val="14"/>
        <w:spacing w:line="360" w:lineRule="auto"/>
        <w:ind w:firstLine="0" w:firstLineChars="0"/>
        <w:rPr>
          <w:b/>
        </w:rPr>
      </w:pPr>
      <w:r>
        <w:rPr>
          <w:rFonts w:hint="eastAsia"/>
          <w:b/>
        </w:rPr>
        <w:t>（四）关于计量特性</w:t>
      </w:r>
    </w:p>
    <w:p w14:paraId="1FCCC096">
      <w:pPr>
        <w:spacing w:line="360" w:lineRule="auto"/>
        <w:ind w:firstLine="480" w:firstLineChars="200"/>
        <w:rPr>
          <w:sz w:val="24"/>
          <w:szCs w:val="24"/>
        </w:rPr>
      </w:pPr>
      <w:r>
        <w:rPr>
          <w:rFonts w:hint="eastAsia"/>
          <w:sz w:val="24"/>
          <w:szCs w:val="24"/>
        </w:rPr>
        <w:t>根据</w:t>
      </w:r>
      <w:r>
        <w:rPr>
          <w:rFonts w:hint="eastAsia" w:ascii="宋体" w:hAnsi="宋体" w:eastAsia="宋体" w:cs="宋体"/>
          <w:sz w:val="24"/>
          <w:szCs w:val="24"/>
        </w:rPr>
        <w:t>GB 12358-2024 《环境气体检测报警仪器通用技术要求》、MT 209-90</w:t>
      </w:r>
      <w:r>
        <w:rPr>
          <w:rFonts w:hint="eastAsia"/>
          <w:sz w:val="24"/>
          <w:szCs w:val="24"/>
        </w:rPr>
        <w:t>《</w:t>
      </w:r>
      <w:bookmarkStart w:id="4" w:name="OLE_LINK3"/>
      <w:bookmarkStart w:id="5" w:name="OLE_LINK4"/>
      <w:r>
        <w:rPr>
          <w:rFonts w:hint="eastAsia"/>
          <w:sz w:val="24"/>
          <w:szCs w:val="24"/>
        </w:rPr>
        <w:t>煤矿通信、检测、控制用电工电子产品 通用技术要求</w:t>
      </w:r>
      <w:bookmarkEnd w:id="4"/>
      <w:bookmarkEnd w:id="5"/>
      <w:r>
        <w:rPr>
          <w:rFonts w:hint="eastAsia"/>
          <w:sz w:val="24"/>
          <w:szCs w:val="24"/>
        </w:rPr>
        <w:t>》，同时参考中煤科工集团重庆研究院有限公司、重庆煤安森科技股份有限公司等公司企业标准来确定矿用氢气报警器计量性能特点，见表1。</w:t>
      </w:r>
    </w:p>
    <w:p w14:paraId="433235DD">
      <w:pPr>
        <w:jc w:val="center"/>
        <w:rPr>
          <w:rFonts w:ascii="宋体" w:hAnsi="宋体" w:eastAsia="宋体" w:cs="宋体"/>
          <w:sz w:val="24"/>
          <w:szCs w:val="24"/>
        </w:rPr>
      </w:pPr>
      <w:r>
        <w:rPr>
          <w:rFonts w:hint="eastAsia" w:ascii="宋体" w:hAnsi="宋体" w:eastAsia="宋体"/>
          <w:sz w:val="24"/>
          <w:szCs w:val="24"/>
        </w:rPr>
        <w:t xml:space="preserve">表1 </w:t>
      </w:r>
      <w:r>
        <w:rPr>
          <w:rFonts w:hint="eastAsia" w:ascii="宋体" w:hAnsi="宋体" w:eastAsia="宋体" w:cs="宋体"/>
          <w:sz w:val="24"/>
          <w:szCs w:val="24"/>
        </w:rPr>
        <w:t>矿用氢气报警器计量性能参数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2200"/>
        <w:gridCol w:w="4491"/>
      </w:tblGrid>
      <w:tr w14:paraId="66A5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15" w:type="dxa"/>
            <w:vAlign w:val="center"/>
          </w:tcPr>
          <w:p w14:paraId="28E86EFB">
            <w:pPr>
              <w:jc w:val="center"/>
              <w:rPr>
                <w:rFonts w:ascii="宋体" w:hAnsi="宋体" w:eastAsia="宋体" w:cs="Times New Roman"/>
                <w:kern w:val="0"/>
                <w:sz w:val="24"/>
                <w:szCs w:val="24"/>
              </w:rPr>
            </w:pPr>
            <w:r>
              <w:rPr>
                <w:rFonts w:hint="eastAsia" w:ascii="宋体" w:hAnsi="宋体" w:eastAsia="宋体" w:cs="Times New Roman"/>
                <w:kern w:val="0"/>
                <w:sz w:val="24"/>
                <w:szCs w:val="24"/>
              </w:rPr>
              <w:t>序号</w:t>
            </w:r>
          </w:p>
        </w:tc>
        <w:tc>
          <w:tcPr>
            <w:tcW w:w="2200" w:type="dxa"/>
            <w:vAlign w:val="center"/>
          </w:tcPr>
          <w:p w14:paraId="528A29A5">
            <w:pPr>
              <w:jc w:val="center"/>
              <w:rPr>
                <w:rFonts w:ascii="宋体" w:hAnsi="宋体" w:eastAsia="宋体" w:cs="Times New Roman"/>
                <w:kern w:val="0"/>
                <w:sz w:val="24"/>
                <w:szCs w:val="24"/>
              </w:rPr>
            </w:pPr>
            <w:r>
              <w:rPr>
                <w:rFonts w:hint="eastAsia" w:ascii="宋体" w:hAnsi="宋体" w:eastAsia="宋体" w:cs="Times New Roman"/>
                <w:kern w:val="0"/>
                <w:sz w:val="24"/>
                <w:szCs w:val="24"/>
              </w:rPr>
              <w:t>项目</w:t>
            </w:r>
          </w:p>
        </w:tc>
        <w:tc>
          <w:tcPr>
            <w:tcW w:w="4491" w:type="dxa"/>
            <w:vAlign w:val="center"/>
          </w:tcPr>
          <w:p w14:paraId="3BD73D3B">
            <w:pPr>
              <w:jc w:val="center"/>
              <w:rPr>
                <w:rFonts w:ascii="宋体" w:hAnsi="宋体" w:eastAsia="宋体" w:cs="Times New Roman"/>
                <w:kern w:val="0"/>
                <w:sz w:val="24"/>
                <w:szCs w:val="24"/>
              </w:rPr>
            </w:pPr>
            <w:r>
              <w:rPr>
                <w:rFonts w:hint="eastAsia" w:ascii="宋体" w:hAnsi="宋体" w:eastAsia="宋体" w:cs="Times New Roman"/>
                <w:kern w:val="0"/>
                <w:sz w:val="24"/>
                <w:szCs w:val="24"/>
              </w:rPr>
              <w:t>计量技术参数</w:t>
            </w:r>
          </w:p>
        </w:tc>
      </w:tr>
      <w:tr w14:paraId="13FD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exact"/>
        </w:trPr>
        <w:tc>
          <w:tcPr>
            <w:tcW w:w="1115" w:type="dxa"/>
            <w:vAlign w:val="center"/>
          </w:tcPr>
          <w:p w14:paraId="1ECE3B41">
            <w:pPr>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2200" w:type="dxa"/>
            <w:vAlign w:val="center"/>
          </w:tcPr>
          <w:p w14:paraId="3DBD0ADF">
            <w:pPr>
              <w:jc w:val="center"/>
              <w:rPr>
                <w:rFonts w:ascii="宋体" w:hAnsi="宋体" w:eastAsia="宋体" w:cs="Times New Roman"/>
                <w:kern w:val="0"/>
                <w:sz w:val="24"/>
                <w:szCs w:val="24"/>
              </w:rPr>
            </w:pPr>
            <w:r>
              <w:rPr>
                <w:rFonts w:hint="eastAsia" w:ascii="宋体" w:hAnsi="宋体" w:eastAsia="宋体" w:cs="Times New Roman"/>
                <w:kern w:val="0"/>
                <w:sz w:val="24"/>
                <w:szCs w:val="24"/>
              </w:rPr>
              <w:t>示值误差</w:t>
            </w:r>
          </w:p>
        </w:tc>
        <w:tc>
          <w:tcPr>
            <w:tcW w:w="4491" w:type="dxa"/>
            <w:vAlign w:val="center"/>
          </w:tcPr>
          <w:p w14:paraId="536B61A2">
            <w:pPr>
              <w:jc w:val="center"/>
              <w:rPr>
                <w:rFonts w:ascii="宋体" w:hAnsi="宋体" w:eastAsia="宋体" w:cs="Times New Roman"/>
                <w:kern w:val="0"/>
                <w:sz w:val="24"/>
                <w:szCs w:val="24"/>
              </w:rPr>
            </w:pPr>
            <w:bookmarkStart w:id="6" w:name="OLE_LINK1"/>
            <w:bookmarkStart w:id="7" w:name="OLE_LINK2"/>
            <w:r>
              <w:rPr>
                <w:rFonts w:hint="eastAsia" w:ascii="宋体" w:hAnsi="宋体" w:eastAsia="宋体" w:cs="Times New Roman"/>
                <w:kern w:val="0"/>
                <w:sz w:val="24"/>
                <w:szCs w:val="24"/>
              </w:rPr>
              <w:t>±5%FS</w:t>
            </w:r>
            <w:bookmarkEnd w:id="6"/>
            <w:bookmarkEnd w:id="7"/>
          </w:p>
        </w:tc>
      </w:tr>
      <w:tr w14:paraId="2674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exact"/>
        </w:trPr>
        <w:tc>
          <w:tcPr>
            <w:tcW w:w="1115" w:type="dxa"/>
            <w:vAlign w:val="center"/>
          </w:tcPr>
          <w:p w14:paraId="63A5B397">
            <w:pPr>
              <w:jc w:val="center"/>
              <w:rPr>
                <w:rFonts w:ascii="宋体" w:hAnsi="宋体" w:eastAsia="宋体" w:cs="Times New Roman"/>
                <w:kern w:val="0"/>
                <w:sz w:val="24"/>
                <w:szCs w:val="24"/>
              </w:rPr>
            </w:pPr>
            <w:r>
              <w:rPr>
                <w:rFonts w:hint="eastAsia" w:ascii="宋体" w:hAnsi="宋体" w:eastAsia="宋体" w:cs="Times New Roman"/>
                <w:kern w:val="0"/>
                <w:sz w:val="24"/>
                <w:szCs w:val="24"/>
              </w:rPr>
              <w:t>2</w:t>
            </w:r>
          </w:p>
        </w:tc>
        <w:tc>
          <w:tcPr>
            <w:tcW w:w="2200" w:type="dxa"/>
            <w:vAlign w:val="center"/>
          </w:tcPr>
          <w:p w14:paraId="7D4B0CCA">
            <w:pPr>
              <w:jc w:val="center"/>
              <w:rPr>
                <w:rFonts w:ascii="宋体" w:hAnsi="宋体" w:eastAsia="宋体" w:cs="Times New Roman"/>
                <w:kern w:val="0"/>
                <w:sz w:val="24"/>
                <w:szCs w:val="24"/>
              </w:rPr>
            </w:pPr>
            <w:r>
              <w:rPr>
                <w:rFonts w:hint="eastAsia" w:ascii="宋体" w:hAnsi="宋体" w:eastAsia="宋体" w:cs="Times New Roman"/>
                <w:kern w:val="0"/>
                <w:sz w:val="24"/>
                <w:szCs w:val="24"/>
              </w:rPr>
              <w:t>重复性</w:t>
            </w:r>
          </w:p>
        </w:tc>
        <w:tc>
          <w:tcPr>
            <w:tcW w:w="4491" w:type="dxa"/>
            <w:vAlign w:val="center"/>
          </w:tcPr>
          <w:p w14:paraId="013E4DB4">
            <w:pPr>
              <w:jc w:val="center"/>
              <w:rPr>
                <w:rFonts w:ascii="宋体" w:hAnsi="宋体" w:eastAsia="宋体" w:cs="Times New Roman"/>
                <w:kern w:val="0"/>
                <w:sz w:val="24"/>
                <w:szCs w:val="24"/>
              </w:rPr>
            </w:pPr>
            <w:r>
              <w:rPr>
                <w:rFonts w:hint="eastAsia" w:ascii="宋体" w:hAnsi="宋体" w:eastAsia="宋体" w:cs="Times New Roman"/>
                <w:kern w:val="0"/>
                <w:sz w:val="24"/>
                <w:szCs w:val="24"/>
              </w:rPr>
              <w:t>±2%</w:t>
            </w:r>
          </w:p>
        </w:tc>
      </w:tr>
      <w:tr w14:paraId="268CE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exact"/>
        </w:trPr>
        <w:tc>
          <w:tcPr>
            <w:tcW w:w="1115" w:type="dxa"/>
            <w:vAlign w:val="center"/>
          </w:tcPr>
          <w:p w14:paraId="203882F6">
            <w:pPr>
              <w:jc w:val="center"/>
              <w:rPr>
                <w:rFonts w:ascii="宋体" w:hAnsi="宋体" w:eastAsia="宋体" w:cs="Times New Roman"/>
                <w:kern w:val="0"/>
                <w:sz w:val="24"/>
                <w:szCs w:val="24"/>
              </w:rPr>
            </w:pPr>
            <w:r>
              <w:rPr>
                <w:rFonts w:hint="eastAsia" w:ascii="宋体" w:hAnsi="宋体" w:eastAsia="宋体" w:cs="Times New Roman"/>
                <w:kern w:val="0"/>
                <w:sz w:val="24"/>
                <w:szCs w:val="24"/>
              </w:rPr>
              <w:t>3</w:t>
            </w:r>
          </w:p>
        </w:tc>
        <w:tc>
          <w:tcPr>
            <w:tcW w:w="2200" w:type="dxa"/>
            <w:vAlign w:val="center"/>
          </w:tcPr>
          <w:p w14:paraId="383A80EA">
            <w:pPr>
              <w:autoSpaceDE w:val="0"/>
              <w:jc w:val="center"/>
              <w:outlineLvl w:val="1"/>
              <w:rPr>
                <w:rFonts w:eastAsia="宋体" w:cs="宋体" w:asciiTheme="minorEastAsia" w:hAnsiTheme="minorEastAsia"/>
                <w:kern w:val="0"/>
                <w:sz w:val="24"/>
                <w:szCs w:val="24"/>
              </w:rPr>
            </w:pPr>
            <w:bookmarkStart w:id="8" w:name="_Toc32369"/>
            <w:r>
              <w:rPr>
                <w:rFonts w:hint="eastAsia" w:eastAsia="宋体" w:cs="Times New Roman" w:asciiTheme="minorEastAsia" w:hAnsiTheme="minorEastAsia"/>
                <w:kern w:val="0"/>
                <w:sz w:val="24"/>
                <w:szCs w:val="24"/>
              </w:rPr>
              <w:t>绝缘电阻</w:t>
            </w:r>
            <w:bookmarkEnd w:id="8"/>
          </w:p>
        </w:tc>
        <w:tc>
          <w:tcPr>
            <w:tcW w:w="4491" w:type="dxa"/>
            <w:vAlign w:val="center"/>
          </w:tcPr>
          <w:p w14:paraId="0841C0D7">
            <w:pPr>
              <w:autoSpaceDE w:val="0"/>
              <w:jc w:val="center"/>
              <w:outlineLvl w:val="1"/>
              <w:rPr>
                <w:rFonts w:eastAsia="宋体" w:cs="宋体" w:asciiTheme="minorEastAsia" w:hAnsiTheme="minorEastAsia"/>
                <w:kern w:val="0"/>
                <w:sz w:val="24"/>
                <w:szCs w:val="24"/>
              </w:rPr>
            </w:pPr>
            <w:bookmarkStart w:id="9" w:name="_Toc13768"/>
            <w:r>
              <w:rPr>
                <w:rFonts w:hint="eastAsia" w:eastAsia="宋体" w:cs="Times New Roman" w:asciiTheme="minorEastAsia" w:hAnsiTheme="minorEastAsia"/>
                <w:kern w:val="0"/>
                <w:sz w:val="24"/>
                <w:szCs w:val="24"/>
              </w:rPr>
              <w:t>应不小于50 MΩ</w:t>
            </w:r>
            <w:bookmarkEnd w:id="9"/>
          </w:p>
        </w:tc>
      </w:tr>
      <w:tr w14:paraId="4D7D4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exact"/>
        </w:trPr>
        <w:tc>
          <w:tcPr>
            <w:tcW w:w="1115" w:type="dxa"/>
            <w:vAlign w:val="center"/>
          </w:tcPr>
          <w:p w14:paraId="3EE9FAC7">
            <w:pPr>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2200" w:type="dxa"/>
            <w:vAlign w:val="center"/>
          </w:tcPr>
          <w:p w14:paraId="3F1DCDCB">
            <w:pPr>
              <w:jc w:val="center"/>
              <w:rPr>
                <w:rFonts w:ascii="宋体" w:hAnsi="宋体" w:eastAsia="宋体" w:cs="Times New Roman"/>
                <w:kern w:val="0"/>
                <w:sz w:val="24"/>
                <w:szCs w:val="24"/>
              </w:rPr>
            </w:pPr>
            <w:r>
              <w:rPr>
                <w:rFonts w:hint="eastAsia" w:ascii="宋体" w:hAnsi="宋体" w:eastAsia="宋体" w:cs="Times New Roman"/>
                <w:kern w:val="0"/>
                <w:sz w:val="24"/>
                <w:szCs w:val="24"/>
              </w:rPr>
              <w:t>响应时间</w:t>
            </w:r>
          </w:p>
        </w:tc>
        <w:tc>
          <w:tcPr>
            <w:tcW w:w="4491" w:type="dxa"/>
            <w:vAlign w:val="center"/>
          </w:tcPr>
          <w:p w14:paraId="3C05ACF9">
            <w:pPr>
              <w:jc w:val="center"/>
              <w:rPr>
                <w:rFonts w:ascii="宋体" w:hAnsi="宋体" w:eastAsia="宋体" w:cs="Times New Roman"/>
                <w:kern w:val="0"/>
                <w:sz w:val="24"/>
                <w:szCs w:val="24"/>
              </w:rPr>
            </w:pPr>
            <w:r>
              <w:rPr>
                <w:rFonts w:hint="eastAsia" w:ascii="宋体" w:hAnsi="宋体" w:eastAsia="宋体" w:cs="Times New Roman"/>
                <w:kern w:val="0"/>
                <w:sz w:val="24"/>
                <w:szCs w:val="24"/>
              </w:rPr>
              <w:t>≤60s</w:t>
            </w:r>
          </w:p>
        </w:tc>
      </w:tr>
      <w:tr w14:paraId="7FD6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1115" w:type="dxa"/>
            <w:vAlign w:val="center"/>
          </w:tcPr>
          <w:p w14:paraId="4B4B526E">
            <w:pPr>
              <w:jc w:val="center"/>
              <w:rPr>
                <w:rFonts w:ascii="宋体" w:hAnsi="宋体" w:eastAsia="宋体" w:cs="Times New Roman"/>
                <w:kern w:val="0"/>
                <w:sz w:val="24"/>
                <w:szCs w:val="24"/>
              </w:rPr>
            </w:pPr>
            <w:r>
              <w:rPr>
                <w:rFonts w:hint="eastAsia" w:ascii="宋体" w:hAnsi="宋体" w:eastAsia="宋体" w:cs="Times New Roman"/>
                <w:kern w:val="0"/>
                <w:sz w:val="24"/>
                <w:szCs w:val="24"/>
              </w:rPr>
              <w:t>5</w:t>
            </w:r>
          </w:p>
        </w:tc>
        <w:tc>
          <w:tcPr>
            <w:tcW w:w="2200" w:type="dxa"/>
            <w:vAlign w:val="center"/>
          </w:tcPr>
          <w:p w14:paraId="3F31DC8B">
            <w:pPr>
              <w:jc w:val="center"/>
              <w:rPr>
                <w:rFonts w:ascii="宋体" w:hAnsi="宋体" w:eastAsia="宋体" w:cs="Times New Roman"/>
                <w:kern w:val="0"/>
                <w:sz w:val="24"/>
                <w:szCs w:val="24"/>
              </w:rPr>
            </w:pPr>
            <w:r>
              <w:rPr>
                <w:rFonts w:hint="eastAsia" w:ascii="宋体" w:hAnsi="宋体" w:eastAsia="宋体" w:cs="Times New Roman"/>
                <w:kern w:val="0"/>
                <w:sz w:val="24"/>
                <w:szCs w:val="24"/>
              </w:rPr>
              <w:t>传输信号</w:t>
            </w:r>
          </w:p>
        </w:tc>
        <w:tc>
          <w:tcPr>
            <w:tcW w:w="4491" w:type="dxa"/>
            <w:vAlign w:val="center"/>
          </w:tcPr>
          <w:p w14:paraId="73F696F5">
            <w:pPr>
              <w:spacing w:line="320" w:lineRule="exact"/>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模拟信号传输误差应不大于示值最大允许误差；数字信号传输误差不做要求。</w:t>
            </w:r>
          </w:p>
        </w:tc>
      </w:tr>
    </w:tbl>
    <w:p w14:paraId="24FAC726">
      <w:pPr>
        <w:spacing w:line="360" w:lineRule="auto"/>
        <w:ind w:firstLine="480" w:firstLineChars="200"/>
        <w:rPr>
          <w:sz w:val="24"/>
          <w:szCs w:val="24"/>
        </w:rPr>
      </w:pPr>
      <w:r>
        <w:rPr>
          <w:rFonts w:hint="eastAsia"/>
          <w:sz w:val="24"/>
          <w:szCs w:val="24"/>
        </w:rPr>
        <w:t>备注：煤矿井下与传感器配套使用的设备通常有分站和电源箱，故需要检测传输距离，即分站的显示值或传感器输出信号值（需要转化为氢气浓度值）应在示值误差内。</w:t>
      </w:r>
    </w:p>
    <w:p w14:paraId="59B41650">
      <w:pPr>
        <w:pStyle w:val="14"/>
        <w:spacing w:line="360" w:lineRule="auto"/>
        <w:ind w:firstLine="0" w:firstLineChars="0"/>
        <w:rPr>
          <w:b/>
        </w:rPr>
      </w:pPr>
      <w:r>
        <w:rPr>
          <w:rFonts w:hint="eastAsia"/>
          <w:b/>
        </w:rPr>
        <w:t>（五）关于校准条件</w:t>
      </w:r>
    </w:p>
    <w:p w14:paraId="6697BCEE">
      <w:pPr>
        <w:spacing w:line="360" w:lineRule="auto"/>
        <w:ind w:firstLine="480" w:firstLineChars="200"/>
        <w:rPr>
          <w:sz w:val="24"/>
          <w:szCs w:val="24"/>
        </w:rPr>
      </w:pPr>
      <w:r>
        <w:rPr>
          <w:sz w:val="24"/>
          <w:szCs w:val="24"/>
        </w:rPr>
        <w:t>校准条件包括校准环境条件</w:t>
      </w:r>
      <w:r>
        <w:rPr>
          <w:rFonts w:hint="eastAsia"/>
          <w:sz w:val="24"/>
          <w:szCs w:val="24"/>
        </w:rPr>
        <w:t>、测量</w:t>
      </w:r>
      <w:r>
        <w:rPr>
          <w:sz w:val="24"/>
          <w:szCs w:val="24"/>
        </w:rPr>
        <w:t>标准及</w:t>
      </w:r>
      <w:r>
        <w:rPr>
          <w:rFonts w:hint="eastAsia"/>
          <w:sz w:val="24"/>
          <w:szCs w:val="24"/>
        </w:rPr>
        <w:t>其他</w:t>
      </w:r>
      <w:r>
        <w:rPr>
          <w:sz w:val="24"/>
          <w:szCs w:val="24"/>
        </w:rPr>
        <w:t>设备</w:t>
      </w:r>
      <w:r>
        <w:rPr>
          <w:rFonts w:hint="eastAsia"/>
          <w:sz w:val="24"/>
          <w:szCs w:val="24"/>
        </w:rPr>
        <w:t>。</w:t>
      </w:r>
      <w:r>
        <w:rPr>
          <w:sz w:val="24"/>
          <w:szCs w:val="24"/>
        </w:rPr>
        <w:t>为了使测量结果具有尽可能小的不确定度</w:t>
      </w:r>
      <w:r>
        <w:rPr>
          <w:rFonts w:hint="eastAsia"/>
          <w:sz w:val="24"/>
          <w:szCs w:val="24"/>
        </w:rPr>
        <w:t>，</w:t>
      </w:r>
      <w:r>
        <w:rPr>
          <w:sz w:val="24"/>
          <w:szCs w:val="24"/>
        </w:rPr>
        <w:t>需要建立一种较优越的环境条件</w:t>
      </w:r>
      <w:r>
        <w:rPr>
          <w:rFonts w:hint="eastAsia"/>
          <w:sz w:val="24"/>
          <w:szCs w:val="24"/>
        </w:rPr>
        <w:t>，</w:t>
      </w:r>
      <w:r>
        <w:rPr>
          <w:sz w:val="24"/>
          <w:szCs w:val="24"/>
        </w:rPr>
        <w:t>降低环境因素对测量结果带来的误差</w:t>
      </w:r>
      <w:r>
        <w:rPr>
          <w:rFonts w:hint="eastAsia"/>
          <w:sz w:val="24"/>
          <w:szCs w:val="24"/>
        </w:rPr>
        <w:t>，</w:t>
      </w:r>
      <w:r>
        <w:rPr>
          <w:sz w:val="24"/>
          <w:szCs w:val="24"/>
        </w:rPr>
        <w:t>需要具备一定准确度要求的</w:t>
      </w:r>
      <w:r>
        <w:rPr>
          <w:rFonts w:hint="eastAsia"/>
          <w:sz w:val="24"/>
          <w:szCs w:val="24"/>
        </w:rPr>
        <w:t>测量</w:t>
      </w:r>
      <w:r>
        <w:rPr>
          <w:sz w:val="24"/>
          <w:szCs w:val="24"/>
        </w:rPr>
        <w:t>标准及</w:t>
      </w:r>
      <w:r>
        <w:rPr>
          <w:rFonts w:hint="eastAsia"/>
          <w:sz w:val="24"/>
          <w:szCs w:val="24"/>
        </w:rPr>
        <w:t>其他</w:t>
      </w:r>
      <w:r>
        <w:rPr>
          <w:sz w:val="24"/>
          <w:szCs w:val="24"/>
        </w:rPr>
        <w:t>设备</w:t>
      </w:r>
      <w:r>
        <w:rPr>
          <w:rFonts w:hint="eastAsia"/>
          <w:sz w:val="24"/>
          <w:szCs w:val="24"/>
        </w:rPr>
        <w:t>。</w:t>
      </w:r>
      <w:r>
        <w:rPr>
          <w:sz w:val="24"/>
          <w:szCs w:val="24"/>
        </w:rPr>
        <w:t>本规范是按上述原则及参</w:t>
      </w:r>
      <w:r>
        <w:rPr>
          <w:rFonts w:hint="eastAsia" w:ascii="宋体" w:hAnsi="宋体" w:eastAsia="宋体" w:cs="宋体"/>
          <w:sz w:val="24"/>
          <w:szCs w:val="24"/>
        </w:rPr>
        <w:t>考GB 12358-2024 《环境气体检测报警仪器通用技术要求》、MT 209-90</w:t>
      </w:r>
      <w:r>
        <w:rPr>
          <w:rFonts w:hint="eastAsia"/>
          <w:sz w:val="24"/>
          <w:szCs w:val="24"/>
        </w:rPr>
        <w:t>《煤矿通信、检测、控制用电工电子产品通用技术要求》</w:t>
      </w:r>
      <w:r>
        <w:rPr>
          <w:sz w:val="24"/>
          <w:szCs w:val="24"/>
        </w:rPr>
        <w:t>确定校准条件的</w:t>
      </w:r>
      <w:r>
        <w:rPr>
          <w:rFonts w:hint="eastAsia"/>
          <w:sz w:val="24"/>
          <w:szCs w:val="24"/>
        </w:rPr>
        <w:t>。</w:t>
      </w:r>
    </w:p>
    <w:p w14:paraId="134A06B4">
      <w:pPr>
        <w:pStyle w:val="14"/>
        <w:spacing w:line="360" w:lineRule="auto"/>
        <w:ind w:firstLine="0" w:firstLineChars="0"/>
        <w:rPr>
          <w:b/>
        </w:rPr>
      </w:pPr>
      <w:r>
        <w:rPr>
          <w:rFonts w:hint="eastAsia"/>
          <w:b/>
        </w:rPr>
        <w:t>（六）关于校准项目和校准方法</w:t>
      </w:r>
    </w:p>
    <w:p w14:paraId="71C15008">
      <w:pPr>
        <w:spacing w:line="360" w:lineRule="auto"/>
        <w:ind w:firstLine="480" w:firstLineChars="200"/>
        <w:rPr>
          <w:sz w:val="24"/>
          <w:szCs w:val="24"/>
        </w:rPr>
      </w:pPr>
      <w:r>
        <w:rPr>
          <w:sz w:val="24"/>
          <w:szCs w:val="24"/>
        </w:rPr>
        <w:t>该部分详细阐述了</w:t>
      </w:r>
      <w:r>
        <w:rPr>
          <w:rFonts w:hint="eastAsia" w:eastAsia="宋体" w:cs="宋体"/>
          <w:sz w:val="24"/>
          <w:szCs w:val="24"/>
        </w:rPr>
        <w:t>矿用氢气报警器</w:t>
      </w:r>
      <w:r>
        <w:rPr>
          <w:rFonts w:hint="eastAsia"/>
          <w:sz w:val="24"/>
          <w:szCs w:val="24"/>
        </w:rPr>
        <w:t>的校准项目、校准方法及数据处理。</w:t>
      </w:r>
    </w:p>
    <w:p w14:paraId="262FBA46">
      <w:pPr>
        <w:pStyle w:val="14"/>
        <w:numPr>
          <w:ilvl w:val="0"/>
          <w:numId w:val="1"/>
        </w:numPr>
        <w:spacing w:line="360" w:lineRule="auto"/>
        <w:ind w:firstLine="0" w:firstLineChars="0"/>
        <w:rPr>
          <w:rFonts w:hint="eastAsia"/>
        </w:rPr>
      </w:pPr>
      <w:r>
        <w:rPr>
          <w:rFonts w:hint="eastAsia"/>
        </w:rPr>
        <w:t>外观与标识检查</w:t>
      </w:r>
    </w:p>
    <w:p w14:paraId="754C8000">
      <w:pPr>
        <w:pStyle w:val="14"/>
        <w:numPr>
          <w:ilvl w:val="0"/>
          <w:numId w:val="0"/>
        </w:numPr>
        <w:spacing w:line="360" w:lineRule="auto"/>
        <w:ind w:firstLine="480" w:firstLineChars="200"/>
        <w:rPr>
          <w:rFonts w:eastAsia="宋体" w:cs="宋体"/>
          <w:sz w:val="24"/>
          <w:szCs w:val="24"/>
        </w:rPr>
      </w:pPr>
      <w:r>
        <w:rPr>
          <w:rFonts w:hint="eastAsia" w:eastAsia="宋体" w:cs="宋体"/>
          <w:sz w:val="24"/>
          <w:szCs w:val="24"/>
        </w:rPr>
        <w:t>矿用氢气报警器的各调节部件应能正常动作，各紧固件应无松动；报警器表面、镀层或涂层不应有气泡、裂痕、明显剥落和斑点。</w:t>
      </w:r>
    </w:p>
    <w:p w14:paraId="2B89BD8A">
      <w:pPr>
        <w:pStyle w:val="14"/>
        <w:spacing w:line="360" w:lineRule="auto"/>
        <w:ind w:firstLine="480"/>
      </w:pPr>
      <w:r>
        <w:rPr>
          <w:rFonts w:hint="eastAsia" w:cs="宋体"/>
        </w:rPr>
        <w:t>应标明制造单位名称和矿用氢气报警器名称、型号、出厂编号、制造日期、防暴标志及编号、矿用安全标志及编号</w:t>
      </w:r>
      <w:r>
        <w:rPr>
          <w:rFonts w:hint="eastAsia"/>
        </w:rPr>
        <w:t>。</w:t>
      </w:r>
    </w:p>
    <w:p w14:paraId="05E06DC2">
      <w:pPr>
        <w:pStyle w:val="14"/>
        <w:spacing w:line="360" w:lineRule="auto"/>
        <w:ind w:firstLine="0" w:firstLineChars="0"/>
      </w:pPr>
      <w:r>
        <w:rPr>
          <w:rFonts w:hint="eastAsia"/>
        </w:rPr>
        <w:t>2、通电检查</w:t>
      </w:r>
    </w:p>
    <w:p w14:paraId="6259A376">
      <w:pPr>
        <w:pStyle w:val="14"/>
        <w:spacing w:line="360" w:lineRule="auto"/>
        <w:ind w:firstLine="480"/>
        <w:rPr>
          <w:rFonts w:cs="宋体"/>
        </w:rPr>
      </w:pPr>
      <w:r>
        <w:rPr>
          <w:rFonts w:hint="eastAsia" w:cs="宋体"/>
        </w:rPr>
        <w:t>通电后，应能正常工作，显示部分应清晰、完整。各按键应能正常操作和控制。具有遥控功能，且能正常调节。</w:t>
      </w:r>
    </w:p>
    <w:p w14:paraId="7CA51365">
      <w:pPr>
        <w:pStyle w:val="14"/>
        <w:spacing w:line="360" w:lineRule="auto"/>
        <w:ind w:firstLine="0" w:firstLineChars="0"/>
      </w:pPr>
      <w:r>
        <w:rPr>
          <w:rFonts w:hint="eastAsia"/>
        </w:rPr>
        <w:t>3、校准前准备</w:t>
      </w:r>
    </w:p>
    <w:p w14:paraId="56F6A48D">
      <w:pPr>
        <w:pStyle w:val="14"/>
        <w:spacing w:line="360" w:lineRule="auto"/>
        <w:ind w:firstLine="480"/>
        <w:rPr>
          <w:rFonts w:hint="eastAsia" w:cs="宋体"/>
        </w:rPr>
      </w:pPr>
      <w:r>
        <w:rPr>
          <w:rFonts w:hint="eastAsia" w:cs="宋体"/>
        </w:rPr>
        <w:t>接通电源，按照矿用氢气报警器使用说明书要求的时间对其进行预热，一般预热时间不少于15min；按说明书规定控制流量，如果说明书没有明确要求，则一般控制在（200±10）ml/min范围，连接气路，通入高纯度氮气调整零点；待报警器零点示值稳定后，通入浓度约为满量程50%的空气中氢气标准物质进行调整，分别调整3次，在此后的校准过程中不得再次调整。</w:t>
      </w:r>
    </w:p>
    <w:p w14:paraId="70986CAE">
      <w:pPr>
        <w:pStyle w:val="14"/>
        <w:numPr>
          <w:ilvl w:val="0"/>
          <w:numId w:val="2"/>
        </w:numPr>
        <w:spacing w:line="360" w:lineRule="auto"/>
        <w:ind w:left="0" w:leftChars="0" w:firstLine="0" w:firstLineChars="0"/>
        <w:rPr>
          <w:rFonts w:hint="eastAsia" w:eastAsia="宋体" w:cs="宋体"/>
          <w:sz w:val="24"/>
          <w:szCs w:val="24"/>
        </w:rPr>
      </w:pPr>
      <w:r>
        <w:rPr>
          <w:rFonts w:hint="eastAsia" w:eastAsia="宋体" w:cs="宋体"/>
          <w:sz w:val="24"/>
          <w:szCs w:val="24"/>
        </w:rPr>
        <w:t>报警功能</w:t>
      </w:r>
    </w:p>
    <w:p w14:paraId="4C3FDC0B">
      <w:pPr>
        <w:pStyle w:val="14"/>
        <w:numPr>
          <w:ilvl w:val="0"/>
          <w:numId w:val="3"/>
        </w:numPr>
        <w:spacing w:line="360" w:lineRule="auto"/>
        <w:ind w:leftChars="0"/>
        <w:rPr>
          <w:rFonts w:hint="eastAsia" w:eastAsia="宋体" w:cs="宋体"/>
          <w:sz w:val="24"/>
          <w:szCs w:val="24"/>
        </w:rPr>
      </w:pPr>
      <w:r>
        <w:rPr>
          <w:rFonts w:hint="eastAsia" w:eastAsia="宋体" w:cs="宋体"/>
          <w:sz w:val="24"/>
          <w:szCs w:val="24"/>
        </w:rPr>
        <w:t>缓慢通入大于报警设定点浓度的气体标准物质，观察报警器声光报警是否正常，并记录报警器首次报警时的示值，重复测量3次，3次算术平均值为报警器的报警动作值。</w:t>
      </w:r>
    </w:p>
    <w:p w14:paraId="7816D6D4">
      <w:pPr>
        <w:pStyle w:val="14"/>
        <w:numPr>
          <w:ilvl w:val="0"/>
          <w:numId w:val="0"/>
        </w:numPr>
        <w:spacing w:line="360" w:lineRule="auto"/>
        <w:ind w:firstLine="480" w:firstLineChars="200"/>
        <w:rPr>
          <w:rFonts w:eastAsia="宋体" w:cs="宋体"/>
          <w:sz w:val="24"/>
          <w:szCs w:val="24"/>
        </w:rPr>
      </w:pPr>
      <w:r>
        <w:rPr>
          <w:rFonts w:hint="eastAsia" w:eastAsia="宋体" w:cs="宋体"/>
          <w:sz w:val="24"/>
          <w:szCs w:val="24"/>
        </w:rPr>
        <w:t>（2）检测环境噪音应小于50 dB(A)。将声级计置于报警器的报警声响器轴心正前方1m处，测量3次，取其平均值，报警声级强度应不小于80 dB(A)。</w:t>
      </w:r>
    </w:p>
    <w:p w14:paraId="51A27A45">
      <w:pPr>
        <w:pStyle w:val="14"/>
        <w:spacing w:line="360" w:lineRule="auto"/>
        <w:ind w:firstLine="480" w:firstLineChars="200"/>
      </w:pPr>
      <w:r>
        <w:rPr>
          <w:rFonts w:hint="eastAsia" w:cs="宋体"/>
        </w:rPr>
        <w:t>（3）</w:t>
      </w:r>
      <w:r>
        <w:rPr>
          <w:rFonts w:cs="宋体"/>
        </w:rPr>
        <w:t>光信号应能在黑暗环境中20m远处清晰可见。</w:t>
      </w:r>
    </w:p>
    <w:p w14:paraId="2A064D2E">
      <w:pPr>
        <w:pStyle w:val="14"/>
        <w:spacing w:line="360" w:lineRule="auto"/>
        <w:ind w:firstLine="0" w:firstLineChars="0"/>
        <w:rPr>
          <w:rFonts w:hint="eastAsia"/>
        </w:rPr>
      </w:pPr>
      <w:r>
        <w:rPr>
          <w:rFonts w:hint="eastAsia"/>
        </w:rPr>
        <w:t>5、示值误差</w:t>
      </w:r>
    </w:p>
    <w:p w14:paraId="10E96E37">
      <w:pPr>
        <w:pStyle w:val="14"/>
        <w:spacing w:line="360" w:lineRule="auto"/>
        <w:ind w:firstLine="480" w:firstLineChars="200"/>
        <w:rPr>
          <w:rFonts w:eastAsia="宋体" w:cs="宋体"/>
          <w:sz w:val="24"/>
          <w:szCs w:val="24"/>
        </w:rPr>
      </w:pPr>
      <w:r>
        <w:rPr>
          <w:rFonts w:hint="eastAsia" w:eastAsia="宋体" w:cs="宋体"/>
          <w:sz w:val="24"/>
          <w:szCs w:val="24"/>
        </w:rPr>
        <w:t>按报警仪说明书的要求控制流量，分别通入浓度值约为满量程25%、50%、75%左右的空气中氢气标准物质，待读数稳定后，记录报警器的显示值。每点测量3次，取其算术平均值为报警器各点的示值，按式（1）计算各点的示值误差。</w:t>
      </w:r>
    </w:p>
    <w:p w14:paraId="31EB62BB">
      <w:pPr>
        <w:pStyle w:val="18"/>
        <w:keepNext w:val="0"/>
        <w:spacing w:beforeLines="0" w:afterLines="0" w:line="360" w:lineRule="auto"/>
        <w:ind w:firstLine="480" w:firstLineChars="200"/>
        <w:jc w:val="right"/>
        <w:outlineLvl w:val="9"/>
        <w:rPr>
          <w:rFonts w:eastAsia="宋体" w:cs="宋体"/>
          <w:sz w:val="24"/>
          <w:szCs w:val="24"/>
        </w:rPr>
      </w:pPr>
      <w:r>
        <w:rPr>
          <w:rFonts w:hint="eastAsia" w:eastAsia="宋体" w:cs="宋体"/>
          <w:sz w:val="24"/>
          <w:szCs w:val="24"/>
        </w:rPr>
        <w:object>
          <v:shape id="_x0000_i1025" o:spt="75" type="#_x0000_t75" style="height:31.1pt;width:59.3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eastAsia="宋体" w:cs="宋体"/>
          <w:sz w:val="24"/>
          <w:szCs w:val="24"/>
        </w:rPr>
        <w:t xml:space="preserve">                                （1）</w:t>
      </w:r>
    </w:p>
    <w:p w14:paraId="31EE4D61">
      <w:pPr>
        <w:pStyle w:val="18"/>
        <w:keepNext w:val="0"/>
        <w:spacing w:beforeLines="0" w:afterLines="0" w:line="360" w:lineRule="auto"/>
        <w:ind w:firstLine="480" w:firstLineChars="200"/>
        <w:jc w:val="both"/>
        <w:outlineLvl w:val="9"/>
        <w:rPr>
          <w:rFonts w:eastAsia="宋体" w:cs="宋体"/>
          <w:sz w:val="24"/>
          <w:szCs w:val="24"/>
        </w:rPr>
      </w:pPr>
      <w:r>
        <w:rPr>
          <w:rFonts w:hint="eastAsia" w:eastAsia="宋体" w:cs="宋体"/>
          <w:sz w:val="24"/>
          <w:szCs w:val="24"/>
        </w:rPr>
        <w:t>式中：</w:t>
      </w:r>
    </w:p>
    <w:p w14:paraId="3581EFA7">
      <w:pPr>
        <w:pStyle w:val="18"/>
        <w:keepNext w:val="0"/>
        <w:spacing w:beforeLines="0" w:afterLines="0" w:line="360" w:lineRule="auto"/>
        <w:ind w:firstLine="480" w:firstLineChars="200"/>
        <w:jc w:val="both"/>
        <w:outlineLvl w:val="9"/>
        <w:rPr>
          <w:rFonts w:eastAsia="宋体" w:cs="宋体"/>
          <w:sz w:val="24"/>
          <w:szCs w:val="24"/>
        </w:rPr>
      </w:pPr>
      <w:r>
        <w:rPr>
          <w:rFonts w:hint="eastAsia" w:eastAsia="宋体" w:cs="宋体"/>
          <w:sz w:val="24"/>
          <w:szCs w:val="24"/>
        </w:rPr>
        <w:t>Δ</w:t>
      </w:r>
      <w:r>
        <w:rPr>
          <w:rFonts w:eastAsia="宋体" w:cs="宋体"/>
          <w:sz w:val="24"/>
          <w:szCs w:val="24"/>
        </w:rPr>
        <w:t>C</w:t>
      </w:r>
      <w:r>
        <w:rPr>
          <w:rFonts w:hint="eastAsia" w:eastAsia="宋体" w:cs="宋体"/>
          <w:sz w:val="24"/>
          <w:szCs w:val="24"/>
        </w:rPr>
        <w:t xml:space="preserve"> ——  报警器示值误差，%；</w:t>
      </w:r>
    </w:p>
    <w:p w14:paraId="03275052">
      <w:pPr>
        <w:pStyle w:val="18"/>
        <w:keepNext w:val="0"/>
        <w:spacing w:beforeLines="0" w:afterLines="0" w:line="360" w:lineRule="auto"/>
        <w:ind w:firstLine="480" w:firstLineChars="200"/>
        <w:jc w:val="both"/>
        <w:outlineLvl w:val="9"/>
        <w:rPr>
          <w:rFonts w:eastAsia="宋体" w:cs="宋体"/>
          <w:sz w:val="24"/>
          <w:szCs w:val="24"/>
        </w:rPr>
      </w:pPr>
      <w:r>
        <w:rPr>
          <w:rFonts w:eastAsia="宋体" w:cs="宋体"/>
          <w:sz w:val="24"/>
          <w:szCs w:val="24"/>
        </w:rPr>
        <w:sym w:font="Symbol" w:char="0060"/>
      </w:r>
      <w:r>
        <w:rPr>
          <w:rFonts w:eastAsia="宋体" w:cs="宋体"/>
          <w:sz w:val="24"/>
          <w:szCs w:val="24"/>
        </w:rPr>
        <w:t>C</w:t>
      </w:r>
      <w:r>
        <w:rPr>
          <w:rFonts w:hint="eastAsia" w:eastAsia="宋体" w:cs="宋体"/>
          <w:sz w:val="24"/>
          <w:szCs w:val="24"/>
        </w:rPr>
        <w:t xml:space="preserve">  ——  报警器示值的算术平均值，</w:t>
      </w:r>
      <w:r>
        <w:rPr>
          <w:rFonts w:eastAsia="宋体" w:cs="宋体"/>
          <w:sz w:val="24"/>
          <w:szCs w:val="24"/>
        </w:rPr>
        <w:t>µmol/mol</w:t>
      </w:r>
      <w:r>
        <w:rPr>
          <w:rFonts w:hint="eastAsia" w:eastAsia="宋体" w:cs="宋体"/>
          <w:sz w:val="24"/>
          <w:szCs w:val="24"/>
        </w:rPr>
        <w:t>；</w:t>
      </w:r>
    </w:p>
    <w:p w14:paraId="0944F0D6">
      <w:pPr>
        <w:pStyle w:val="18"/>
        <w:keepNext w:val="0"/>
        <w:spacing w:beforeLines="0" w:afterLines="0" w:line="360" w:lineRule="auto"/>
        <w:ind w:firstLine="480" w:firstLineChars="200"/>
        <w:jc w:val="both"/>
        <w:outlineLvl w:val="9"/>
        <w:rPr>
          <w:rFonts w:eastAsia="宋体" w:cs="宋体"/>
          <w:sz w:val="24"/>
          <w:szCs w:val="24"/>
        </w:rPr>
      </w:pPr>
      <w:r>
        <w:rPr>
          <w:rFonts w:eastAsia="宋体" w:cs="宋体"/>
          <w:sz w:val="24"/>
          <w:szCs w:val="24"/>
        </w:rPr>
        <w:t>C</w:t>
      </w:r>
      <w:r>
        <w:rPr>
          <w:rFonts w:hint="eastAsia" w:eastAsia="宋体" w:cs="宋体"/>
          <w:sz w:val="24"/>
          <w:szCs w:val="24"/>
          <w:vertAlign w:val="subscript"/>
        </w:rPr>
        <w:t xml:space="preserve">0 </w:t>
      </w:r>
      <w:r>
        <w:rPr>
          <w:rFonts w:hint="eastAsia" w:eastAsia="宋体" w:cs="宋体"/>
          <w:sz w:val="24"/>
          <w:szCs w:val="24"/>
        </w:rPr>
        <w:t xml:space="preserve"> ——  通入的空气中氢气标准物质浓度值,µmol/mol；</w:t>
      </w:r>
    </w:p>
    <w:p w14:paraId="442DB18A">
      <w:pPr>
        <w:pStyle w:val="18"/>
        <w:keepNext w:val="0"/>
        <w:spacing w:beforeLines="0" w:afterLines="0" w:line="360" w:lineRule="auto"/>
        <w:ind w:firstLine="480" w:firstLineChars="200"/>
        <w:jc w:val="both"/>
        <w:outlineLvl w:val="9"/>
        <w:rPr>
          <w:rFonts w:eastAsia="宋体" w:cs="宋体"/>
          <w:sz w:val="24"/>
          <w:szCs w:val="24"/>
        </w:rPr>
      </w:pPr>
      <w:r>
        <w:rPr>
          <w:rFonts w:eastAsia="宋体" w:cs="宋体"/>
          <w:sz w:val="24"/>
          <w:szCs w:val="24"/>
        </w:rPr>
        <w:t>R</w:t>
      </w:r>
      <w:r>
        <w:rPr>
          <w:rFonts w:hint="eastAsia" w:eastAsia="宋体" w:cs="宋体"/>
          <w:sz w:val="24"/>
          <w:szCs w:val="24"/>
        </w:rPr>
        <w:t xml:space="preserve">  ——  报警器的满量程,µmol/mol。</w:t>
      </w:r>
    </w:p>
    <w:p w14:paraId="6FF9929E">
      <w:pPr>
        <w:pStyle w:val="14"/>
        <w:numPr>
          <w:ilvl w:val="0"/>
          <w:numId w:val="0"/>
        </w:numPr>
        <w:spacing w:line="360" w:lineRule="auto"/>
        <w:ind w:leftChars="0"/>
        <w:rPr>
          <w:rFonts w:hint="eastAsia"/>
        </w:rPr>
      </w:pPr>
      <w:r>
        <w:rPr>
          <w:rFonts w:hint="eastAsia"/>
          <w:lang w:val="en-US" w:eastAsia="zh-CN"/>
        </w:rPr>
        <w:t>6、</w:t>
      </w:r>
      <w:r>
        <w:rPr>
          <w:rFonts w:hint="eastAsia"/>
        </w:rPr>
        <w:t>重复性</w:t>
      </w:r>
    </w:p>
    <w:p w14:paraId="2D6EE52F">
      <w:pPr>
        <w:pStyle w:val="14"/>
        <w:numPr>
          <w:ilvl w:val="0"/>
          <w:numId w:val="0"/>
        </w:numPr>
        <w:spacing w:line="360" w:lineRule="auto"/>
        <w:ind w:leftChars="0" w:firstLine="480" w:firstLineChars="200"/>
        <w:rPr>
          <w:rFonts w:eastAsia="宋体" w:cs="宋体"/>
          <w:sz w:val="24"/>
          <w:szCs w:val="24"/>
        </w:rPr>
      </w:pPr>
      <w:r>
        <w:rPr>
          <w:rFonts w:hint="eastAsia" w:eastAsia="宋体" w:cs="宋体"/>
          <w:sz w:val="24"/>
          <w:szCs w:val="24"/>
        </w:rPr>
        <w:t>报警器的</w:t>
      </w:r>
      <w:r>
        <w:rPr>
          <w:rFonts w:eastAsia="宋体" w:cs="宋体"/>
          <w:sz w:val="24"/>
          <w:szCs w:val="24"/>
        </w:rPr>
        <w:t>零点稳定后，按规定流量对报警器通入约为满量程的50%空气中</w:t>
      </w:r>
      <w:r>
        <w:rPr>
          <w:rFonts w:hint="eastAsia" w:eastAsia="宋体" w:cs="宋体"/>
          <w:sz w:val="24"/>
          <w:szCs w:val="24"/>
        </w:rPr>
        <w:t>氢气</w:t>
      </w:r>
      <w:r>
        <w:rPr>
          <w:rFonts w:eastAsia="宋体" w:cs="宋体"/>
          <w:sz w:val="24"/>
          <w:szCs w:val="24"/>
        </w:rPr>
        <w:t>标准物质，待读数稳定后，记录</w:t>
      </w:r>
      <w:r>
        <w:rPr>
          <w:rFonts w:hint="eastAsia" w:eastAsia="宋体" w:cs="宋体"/>
          <w:sz w:val="24"/>
          <w:szCs w:val="24"/>
        </w:rPr>
        <w:t>报警器的</w:t>
      </w:r>
      <w:r>
        <w:rPr>
          <w:rFonts w:eastAsia="宋体" w:cs="宋体"/>
          <w:sz w:val="24"/>
          <w:szCs w:val="24"/>
        </w:rPr>
        <w:t>示值，撤去</w:t>
      </w:r>
      <w:r>
        <w:rPr>
          <w:rFonts w:hint="eastAsia" w:eastAsia="宋体" w:cs="宋体"/>
          <w:sz w:val="24"/>
          <w:szCs w:val="24"/>
        </w:rPr>
        <w:t>气体</w:t>
      </w:r>
      <w:r>
        <w:rPr>
          <w:rFonts w:eastAsia="宋体" w:cs="宋体"/>
          <w:sz w:val="24"/>
          <w:szCs w:val="24"/>
        </w:rPr>
        <w:t>标准物质；在相同条件下，重复</w:t>
      </w:r>
      <w:r>
        <w:rPr>
          <w:rFonts w:hint="eastAsia" w:eastAsia="宋体" w:cs="宋体"/>
          <w:sz w:val="24"/>
          <w:szCs w:val="24"/>
        </w:rPr>
        <w:t>上述操作</w:t>
      </w:r>
      <w:r>
        <w:rPr>
          <w:rFonts w:eastAsia="宋体" w:cs="宋体"/>
          <w:sz w:val="24"/>
          <w:szCs w:val="24"/>
        </w:rPr>
        <w:t>6次。并按式（2）</w:t>
      </w:r>
      <w:r>
        <w:rPr>
          <w:rFonts w:hint="eastAsia" w:eastAsia="宋体" w:cs="宋体"/>
          <w:sz w:val="24"/>
          <w:szCs w:val="24"/>
        </w:rPr>
        <w:t>计算</w:t>
      </w:r>
      <w:r>
        <w:rPr>
          <w:rFonts w:eastAsia="宋体" w:cs="宋体"/>
          <w:sz w:val="24"/>
          <w:szCs w:val="24"/>
        </w:rPr>
        <w:t>单次测量的相对标准偏差</w:t>
      </w:r>
      <w:r>
        <w:rPr>
          <w:rFonts w:hint="eastAsia" w:eastAsia="宋体" w:cs="宋体"/>
          <w:i/>
          <w:iCs/>
          <w:sz w:val="24"/>
          <w:szCs w:val="24"/>
        </w:rPr>
        <w:t>s</w:t>
      </w:r>
      <w:r>
        <w:rPr>
          <w:rFonts w:hint="eastAsia" w:eastAsia="宋体" w:cs="宋体"/>
          <w:sz w:val="24"/>
          <w:szCs w:val="24"/>
          <w:vertAlign w:val="subscript"/>
        </w:rPr>
        <w:t>r</w:t>
      </w:r>
      <w:r>
        <w:rPr>
          <w:rFonts w:eastAsia="宋体" w:cs="宋体"/>
          <w:sz w:val="24"/>
          <w:szCs w:val="24"/>
        </w:rPr>
        <w:t xml:space="preserve"> </w:t>
      </w:r>
      <w:r>
        <w:rPr>
          <w:rFonts w:hint="eastAsia" w:eastAsia="宋体" w:cs="宋体"/>
          <w:sz w:val="24"/>
          <w:szCs w:val="24"/>
        </w:rPr>
        <w:t>作为重复性。</w:t>
      </w:r>
    </w:p>
    <w:p w14:paraId="37C06A8A">
      <w:pPr>
        <w:pStyle w:val="18"/>
        <w:keepNext w:val="0"/>
        <w:spacing w:beforeLines="0" w:afterLines="0" w:line="360" w:lineRule="auto"/>
        <w:ind w:firstLine="480" w:firstLineChars="200"/>
        <w:jc w:val="right"/>
        <w:outlineLvl w:val="9"/>
        <w:rPr>
          <w:rFonts w:eastAsia="宋体" w:cs="宋体"/>
          <w:sz w:val="24"/>
          <w:szCs w:val="24"/>
        </w:rPr>
      </w:pPr>
      <w:r>
        <w:rPr>
          <w:rFonts w:eastAsia="宋体" w:cs="宋体"/>
          <w:position w:val="-22"/>
          <w:sz w:val="24"/>
          <w:szCs w:val="24"/>
        </w:rPr>
        <w:object>
          <v:shape id="_x0000_i1026" o:spt="75" type="#_x0000_t75" style="height:51.85pt;width:131.9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eastAsia="宋体" w:cs="宋体"/>
          <w:sz w:val="24"/>
          <w:szCs w:val="24"/>
        </w:rPr>
        <w:t xml:space="preserve">                      （2）</w:t>
      </w:r>
    </w:p>
    <w:p w14:paraId="1E322E8F">
      <w:pPr>
        <w:pStyle w:val="18"/>
        <w:keepNext w:val="0"/>
        <w:keepLines w:val="0"/>
        <w:pageBreakBefore w:val="0"/>
        <w:widowControl w:val="0"/>
        <w:kinsoku/>
        <w:wordWrap/>
        <w:overflowPunct/>
        <w:topLinePunct w:val="0"/>
        <w:autoSpaceDE/>
        <w:autoSpaceDN/>
        <w:bidi w:val="0"/>
        <w:adjustRightInd/>
        <w:snapToGrid/>
        <w:spacing w:beforeLines="0" w:afterLines="0" w:line="240" w:lineRule="auto"/>
        <w:ind w:firstLine="460" w:firstLineChars="200"/>
        <w:jc w:val="both"/>
        <w:textAlignment w:val="auto"/>
        <w:outlineLvl w:val="9"/>
        <w:rPr>
          <w:rFonts w:ascii="Times New Roman" w:hAnsi="Times New Roman" w:eastAsia="宋体"/>
          <w:color w:val="000000"/>
          <w:sz w:val="23"/>
          <w:szCs w:val="24"/>
        </w:rPr>
      </w:pPr>
      <w:r>
        <w:rPr>
          <w:rFonts w:hint="eastAsia" w:ascii="Times New Roman" w:hAnsi="Times New Roman" w:eastAsia="宋体"/>
          <w:color w:val="000000"/>
          <w:sz w:val="23"/>
          <w:szCs w:val="24"/>
        </w:rPr>
        <w:t>式中：</w:t>
      </w:r>
    </w:p>
    <w:p w14:paraId="027DD5DF">
      <w:pPr>
        <w:pStyle w:val="18"/>
        <w:keepNext w:val="0"/>
        <w:keepLines w:val="0"/>
        <w:pageBreakBefore w:val="0"/>
        <w:widowControl w:val="0"/>
        <w:kinsoku/>
        <w:wordWrap/>
        <w:overflowPunct/>
        <w:topLinePunct w:val="0"/>
        <w:autoSpaceDE/>
        <w:autoSpaceDN/>
        <w:bidi w:val="0"/>
        <w:adjustRightInd/>
        <w:snapToGrid/>
        <w:spacing w:beforeLines="0" w:afterLines="0" w:line="240" w:lineRule="auto"/>
        <w:ind w:firstLine="720" w:firstLineChars="300"/>
        <w:jc w:val="both"/>
        <w:textAlignment w:val="auto"/>
        <w:outlineLvl w:val="9"/>
        <w:rPr>
          <w:rFonts w:eastAsia="宋体" w:cs="宋体"/>
          <w:sz w:val="24"/>
          <w:szCs w:val="24"/>
        </w:rPr>
      </w:pPr>
      <w:r>
        <w:rPr>
          <w:rFonts w:hint="eastAsia" w:eastAsia="宋体" w:cs="宋体"/>
          <w:i/>
          <w:iCs/>
          <w:sz w:val="24"/>
          <w:szCs w:val="24"/>
        </w:rPr>
        <w:t>s</w:t>
      </w:r>
      <w:r>
        <w:rPr>
          <w:rFonts w:hint="eastAsia" w:eastAsia="宋体" w:cs="宋体"/>
          <w:sz w:val="24"/>
          <w:szCs w:val="24"/>
          <w:vertAlign w:val="subscript"/>
        </w:rPr>
        <w:t xml:space="preserve">r </w:t>
      </w:r>
      <w:r>
        <w:rPr>
          <w:rFonts w:hint="eastAsia" w:eastAsia="宋体" w:cs="宋体"/>
          <w:spacing w:val="-20"/>
          <w:sz w:val="24"/>
          <w:szCs w:val="24"/>
        </w:rPr>
        <w:t xml:space="preserve">——  </w:t>
      </w:r>
      <w:r>
        <w:rPr>
          <w:rFonts w:hint="eastAsia" w:eastAsia="宋体" w:cs="宋体"/>
          <w:sz w:val="24"/>
          <w:szCs w:val="24"/>
        </w:rPr>
        <w:t>单次测量的相对标准偏差,%；</w:t>
      </w:r>
    </w:p>
    <w:p w14:paraId="493B5754">
      <w:pPr>
        <w:pStyle w:val="18"/>
        <w:keepNext w:val="0"/>
        <w:keepLines w:val="0"/>
        <w:pageBreakBefore w:val="0"/>
        <w:widowControl w:val="0"/>
        <w:kinsoku/>
        <w:wordWrap/>
        <w:overflowPunct/>
        <w:topLinePunct w:val="0"/>
        <w:autoSpaceDE/>
        <w:autoSpaceDN/>
        <w:bidi w:val="0"/>
        <w:adjustRightInd/>
        <w:snapToGrid/>
        <w:spacing w:beforeLines="0" w:afterLines="0" w:line="240" w:lineRule="auto"/>
        <w:ind w:firstLine="720" w:firstLineChars="300"/>
        <w:jc w:val="both"/>
        <w:textAlignment w:val="auto"/>
        <w:outlineLvl w:val="9"/>
        <w:rPr>
          <w:rFonts w:eastAsia="宋体" w:cs="宋体"/>
          <w:spacing w:val="-20"/>
          <w:sz w:val="24"/>
          <w:szCs w:val="24"/>
        </w:rPr>
      </w:pPr>
      <w:r>
        <w:rPr>
          <w:rFonts w:ascii="Times New Roman" w:hAnsi="Times New Roman" w:eastAsia="宋体"/>
          <w:i/>
          <w:iCs/>
          <w:sz w:val="24"/>
          <w:szCs w:val="24"/>
        </w:rPr>
        <w:t>C</w:t>
      </w:r>
      <w:r>
        <w:rPr>
          <w:rFonts w:hint="eastAsia" w:ascii="Times New Roman" w:hAnsi="Times New Roman" w:eastAsia="宋体"/>
          <w:i/>
          <w:iCs/>
          <w:sz w:val="24"/>
          <w:szCs w:val="24"/>
          <w:vertAlign w:val="subscript"/>
        </w:rPr>
        <w:t xml:space="preserve"> </w:t>
      </w:r>
      <w:r>
        <w:rPr>
          <w:rFonts w:hint="eastAsia" w:eastAsia="宋体" w:cs="宋体"/>
          <w:spacing w:val="-20"/>
          <w:sz w:val="24"/>
          <w:szCs w:val="24"/>
        </w:rPr>
        <w:t xml:space="preserve">——  </w:t>
      </w:r>
      <w:r>
        <w:rPr>
          <w:rFonts w:hint="eastAsia" w:eastAsia="宋体" w:cs="宋体"/>
          <w:sz w:val="24"/>
          <w:szCs w:val="24"/>
        </w:rPr>
        <w:t>报警器6次测量的算术平均值，</w:t>
      </w:r>
      <w:r>
        <w:rPr>
          <w:rFonts w:ascii="Times New Roman" w:hAnsi="Times New Roman" w:eastAsia="宋体"/>
          <w:sz w:val="24"/>
          <w:szCs w:val="24"/>
        </w:rPr>
        <w:t>µmol/mol</w:t>
      </w:r>
      <w:r>
        <w:rPr>
          <w:rFonts w:hint="eastAsia" w:eastAsia="宋体" w:cs="宋体"/>
          <w:spacing w:val="-20"/>
          <w:sz w:val="24"/>
          <w:szCs w:val="24"/>
        </w:rPr>
        <w:t>；</w:t>
      </w:r>
    </w:p>
    <w:p w14:paraId="34A4392C">
      <w:pPr>
        <w:pStyle w:val="14"/>
        <w:keepNext w:val="0"/>
        <w:keepLines w:val="0"/>
        <w:pageBreakBefore w:val="0"/>
        <w:widowControl w:val="0"/>
        <w:kinsoku/>
        <w:wordWrap/>
        <w:overflowPunct/>
        <w:topLinePunct w:val="0"/>
        <w:autoSpaceDE/>
        <w:autoSpaceDN/>
        <w:bidi w:val="0"/>
        <w:adjustRightInd/>
        <w:snapToGrid/>
        <w:spacing w:line="240" w:lineRule="auto"/>
        <w:ind w:firstLine="700" w:firstLineChars="350"/>
        <w:textAlignment w:val="auto"/>
      </w:pPr>
      <w:r>
        <w:rPr>
          <w:rFonts w:ascii="Times New Roman" w:hAnsi="Times New Roman"/>
          <w:i/>
          <w:iCs/>
          <w:spacing w:val="-20"/>
        </w:rPr>
        <w:t>C</w:t>
      </w:r>
      <w:r>
        <w:rPr>
          <w:rFonts w:ascii="Times New Roman" w:hAnsi="Times New Roman"/>
          <w:i/>
          <w:iCs/>
          <w:spacing w:val="-20"/>
          <w:vertAlign w:val="subscript"/>
        </w:rPr>
        <w:t>i</w:t>
      </w:r>
      <w:r>
        <w:rPr>
          <w:rFonts w:hint="eastAsia" w:cs="宋体"/>
          <w:i/>
          <w:iCs/>
          <w:spacing w:val="-20"/>
          <w:vertAlign w:val="subscript"/>
        </w:rPr>
        <w:t xml:space="preserve"> </w:t>
      </w:r>
      <w:r>
        <w:rPr>
          <w:rFonts w:hint="eastAsia" w:cs="宋体"/>
          <w:spacing w:val="-20"/>
          <w:vertAlign w:val="subscript"/>
        </w:rPr>
        <w:t xml:space="preserve">   </w:t>
      </w:r>
      <w:r>
        <w:rPr>
          <w:rFonts w:hint="eastAsia" w:cs="宋体"/>
          <w:spacing w:val="-20"/>
        </w:rPr>
        <w:t xml:space="preserve">——  </w:t>
      </w:r>
      <w:r>
        <w:rPr>
          <w:rFonts w:hint="eastAsia" w:cs="宋体"/>
        </w:rPr>
        <w:t>第</w:t>
      </w:r>
      <w:r>
        <w:rPr>
          <w:rFonts w:ascii="Times New Roman" w:hAnsi="Times New Roman"/>
          <w:i/>
          <w:iCs/>
        </w:rPr>
        <w:t>i</w:t>
      </w:r>
      <w:r>
        <w:rPr>
          <w:rFonts w:hint="eastAsia" w:cs="宋体"/>
        </w:rPr>
        <w:t>次测量的测量值，</w:t>
      </w:r>
      <w:r>
        <w:rPr>
          <w:rFonts w:ascii="Times New Roman" w:hAnsi="Times New Roman"/>
        </w:rPr>
        <w:t>µmol/mol</w:t>
      </w:r>
      <w:r>
        <w:rPr>
          <w:rFonts w:hint="eastAsia" w:cs="宋体"/>
        </w:rPr>
        <w:t>。</w:t>
      </w:r>
    </w:p>
    <w:p w14:paraId="4F1ED654">
      <w:pPr>
        <w:pStyle w:val="14"/>
        <w:spacing w:line="360" w:lineRule="auto"/>
        <w:ind w:firstLine="0" w:firstLineChars="0"/>
      </w:pPr>
      <w:r>
        <w:rPr>
          <w:rFonts w:hint="eastAsia"/>
        </w:rPr>
        <w:t>7、响应时间</w:t>
      </w:r>
    </w:p>
    <w:p w14:paraId="3FC13172">
      <w:pPr>
        <w:pStyle w:val="14"/>
        <w:spacing w:line="360" w:lineRule="auto"/>
        <w:ind w:firstLine="480"/>
      </w:pPr>
      <w:bookmarkStart w:id="10" w:name="_Toc20847"/>
      <w:r>
        <w:rPr>
          <w:rFonts w:hint="eastAsia" w:cs="宋体"/>
        </w:rPr>
        <w:t>待报警器零点稳定后，按规定流量通入约为满量程50%的空气中氢气标准物质，待读数稳定后，撤去标准物质；通入零点气体至显示值稳定，再通入约为满量程50%的空气中氢气标准物质，同时用秒表记录从通入氢气标准物质浓度升至显示第一次稳定示值90%的时间。重复上述操作方法测量3 次，取3 次测量值的算术平均值作为被校报警器的响应时间。</w:t>
      </w:r>
      <w:bookmarkEnd w:id="10"/>
    </w:p>
    <w:p w14:paraId="4D2BC3D9">
      <w:pPr>
        <w:pStyle w:val="14"/>
        <w:spacing w:line="360" w:lineRule="auto"/>
        <w:ind w:firstLine="0" w:firstLineChars="0"/>
      </w:pPr>
      <w:r>
        <w:rPr>
          <w:rFonts w:hint="eastAsia"/>
        </w:rPr>
        <w:t>8、绝缘电阻</w:t>
      </w:r>
    </w:p>
    <w:p w14:paraId="3EE08B2C">
      <w:pPr>
        <w:pStyle w:val="14"/>
        <w:spacing w:line="360" w:lineRule="auto"/>
        <w:ind w:firstLine="480"/>
      </w:pPr>
      <w:r>
        <w:rPr>
          <w:rFonts w:hint="eastAsia" w:cs="宋体"/>
        </w:rPr>
        <w:t>在通电前，对固定式报警器用绝缘电阻表分别测量其电源正、负极、信号输出端与其外壳裸露金属件之间的绝缘电阻，取其最小值为报警器的绝缘电阻值，绝缘电阻应不小于50MΩ。</w:t>
      </w:r>
    </w:p>
    <w:p w14:paraId="5B88693A">
      <w:pPr>
        <w:pStyle w:val="14"/>
        <w:spacing w:line="360" w:lineRule="auto"/>
        <w:ind w:firstLine="0" w:firstLineChars="0"/>
      </w:pPr>
      <w:r>
        <w:rPr>
          <w:rFonts w:hint="eastAsia"/>
        </w:rPr>
        <w:t>9、</w:t>
      </w:r>
      <w:r>
        <w:rPr>
          <w:rFonts w:hint="eastAsia" w:cs="宋体"/>
        </w:rPr>
        <w:t>信号传输误差</w:t>
      </w:r>
    </w:p>
    <w:p w14:paraId="67025EBB">
      <w:pPr>
        <w:spacing w:line="360" w:lineRule="auto"/>
        <w:ind w:firstLine="480" w:firstLineChars="200"/>
        <w:rPr>
          <w:rFonts w:cs="宋体"/>
          <w:sz w:val="24"/>
          <w:szCs w:val="24"/>
        </w:rPr>
      </w:pPr>
      <w:bookmarkStart w:id="11" w:name="_Toc17994"/>
      <w:r>
        <w:rPr>
          <w:rFonts w:cs="宋体"/>
          <w:sz w:val="24"/>
          <w:szCs w:val="24"/>
        </w:rPr>
        <w:t>有直流稳压电源按</w:t>
      </w:r>
      <w:r>
        <w:rPr>
          <w:rFonts w:hint="eastAsia" w:cs="宋体"/>
          <w:sz w:val="24"/>
          <w:szCs w:val="24"/>
        </w:rPr>
        <w:t>报警器</w:t>
      </w:r>
      <w:r>
        <w:rPr>
          <w:rFonts w:cs="宋体"/>
          <w:sz w:val="24"/>
          <w:szCs w:val="24"/>
        </w:rPr>
        <w:t>说明书规定的电压为其供电，在</w:t>
      </w:r>
      <w:r>
        <w:rPr>
          <w:rFonts w:hint="eastAsia" w:cs="宋体"/>
          <w:sz w:val="24"/>
          <w:szCs w:val="24"/>
        </w:rPr>
        <w:t>报警器</w:t>
      </w:r>
      <w:r>
        <w:rPr>
          <w:rFonts w:cs="宋体"/>
          <w:sz w:val="24"/>
          <w:szCs w:val="24"/>
        </w:rPr>
        <w:t>信号输出端接入2km长度的单芯截面积为1.5mm</w:t>
      </w:r>
      <w:r>
        <w:rPr>
          <w:rFonts w:cs="宋体"/>
          <w:sz w:val="24"/>
          <w:szCs w:val="24"/>
          <w:vertAlign w:val="superscript"/>
        </w:rPr>
        <w:t>2</w:t>
      </w:r>
      <w:r>
        <w:rPr>
          <w:rFonts w:cs="宋体"/>
          <w:sz w:val="24"/>
          <w:szCs w:val="24"/>
        </w:rPr>
        <w:t>的铜芯电缆（或其模拟电缆），在电缆末端接上对应的信号测试设备，分别通入摩尔分数约为满量程</w:t>
      </w:r>
      <w:r>
        <w:rPr>
          <w:rFonts w:hint="eastAsia" w:cs="宋体"/>
          <w:sz w:val="24"/>
          <w:szCs w:val="24"/>
        </w:rPr>
        <w:t>25</w:t>
      </w:r>
      <w:r>
        <w:rPr>
          <w:rFonts w:cs="宋体"/>
          <w:sz w:val="24"/>
          <w:szCs w:val="24"/>
        </w:rPr>
        <w:t>%、</w:t>
      </w:r>
      <w:r>
        <w:rPr>
          <w:rFonts w:hint="eastAsia" w:cs="宋体"/>
          <w:sz w:val="24"/>
          <w:szCs w:val="24"/>
        </w:rPr>
        <w:t>50</w:t>
      </w:r>
      <w:r>
        <w:rPr>
          <w:rFonts w:cs="宋体"/>
          <w:sz w:val="24"/>
          <w:szCs w:val="24"/>
        </w:rPr>
        <w:t>%、75%左右的空气中</w:t>
      </w:r>
      <w:r>
        <w:rPr>
          <w:rFonts w:hint="eastAsia" w:cs="宋体"/>
          <w:sz w:val="24"/>
          <w:szCs w:val="24"/>
        </w:rPr>
        <w:t>氢气</w:t>
      </w:r>
      <w:r>
        <w:rPr>
          <w:rFonts w:cs="宋体"/>
          <w:sz w:val="24"/>
          <w:szCs w:val="24"/>
        </w:rPr>
        <w:t>标准物质，待读数稳定后，记录</w:t>
      </w:r>
      <w:r>
        <w:rPr>
          <w:rFonts w:hint="eastAsia" w:cs="宋体"/>
          <w:sz w:val="24"/>
          <w:szCs w:val="24"/>
        </w:rPr>
        <w:t>报警器</w:t>
      </w:r>
      <w:r>
        <w:rPr>
          <w:rFonts w:cs="宋体"/>
          <w:sz w:val="24"/>
          <w:szCs w:val="24"/>
        </w:rPr>
        <w:t>示值。同时测量并读取对应浓度输出的电信号，每点重复测量3次，计算出各点的示值平均值和输入信号值平均值，按式</w:t>
      </w:r>
      <w:r>
        <w:rPr>
          <w:rFonts w:hint="eastAsia" w:cs="宋体"/>
          <w:sz w:val="24"/>
          <w:szCs w:val="24"/>
        </w:rPr>
        <w:t>（3）</w:t>
      </w:r>
      <w:r>
        <w:rPr>
          <w:rFonts w:cs="宋体"/>
          <w:sz w:val="24"/>
          <w:szCs w:val="24"/>
        </w:rPr>
        <w:t>将输出信号值平均值换算成</w:t>
      </w:r>
      <w:r>
        <w:rPr>
          <w:rFonts w:hint="eastAsia" w:cs="宋体"/>
          <w:sz w:val="24"/>
          <w:szCs w:val="24"/>
        </w:rPr>
        <w:t>浓度</w:t>
      </w:r>
      <w:r>
        <w:rPr>
          <w:rFonts w:cs="宋体"/>
          <w:sz w:val="24"/>
          <w:szCs w:val="24"/>
        </w:rPr>
        <w:t>值。</w:t>
      </w:r>
      <w:bookmarkEnd w:id="11"/>
    </w:p>
    <w:p w14:paraId="0C49621B">
      <w:pPr>
        <w:keepNext w:val="0"/>
        <w:keepLines w:val="0"/>
        <w:pageBreakBefore w:val="0"/>
        <w:widowControl w:val="0"/>
        <w:kinsoku/>
        <w:wordWrap/>
        <w:overflowPunct/>
        <w:topLinePunct w:val="0"/>
        <w:autoSpaceDE/>
        <w:autoSpaceDN/>
        <w:bidi w:val="0"/>
        <w:adjustRightInd/>
        <w:snapToGrid/>
        <w:spacing w:line="240" w:lineRule="atLeast"/>
        <w:ind w:firstLine="420" w:firstLineChars="200"/>
        <w:jc w:val="right"/>
        <w:textAlignment w:val="auto"/>
        <w:rPr>
          <w:rFonts w:cs="宋体"/>
        </w:rPr>
      </w:pPr>
      <w:bookmarkStart w:id="12" w:name="_Toc2272"/>
      <w:r>
        <w:rPr>
          <w:rFonts w:cs="宋体"/>
          <w:position w:val="-24"/>
        </w:rPr>
        <w:object>
          <v:shape id="_x0000_i1027" o:spt="75" type="#_x0000_t75" style="height:31.1pt;width:119.8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eastAsia" w:cs="宋体"/>
        </w:rPr>
        <w:t xml:space="preserve">                     （3）</w:t>
      </w:r>
      <w:bookmarkEnd w:id="12"/>
    </w:p>
    <w:p w14:paraId="43B27B15">
      <w:pPr>
        <w:keepNext w:val="0"/>
        <w:keepLines w:val="0"/>
        <w:pageBreakBefore w:val="0"/>
        <w:widowControl w:val="0"/>
        <w:kinsoku/>
        <w:wordWrap/>
        <w:overflowPunct/>
        <w:topLinePunct w:val="0"/>
        <w:autoSpaceDE/>
        <w:autoSpaceDN/>
        <w:bidi w:val="0"/>
        <w:adjustRightInd/>
        <w:snapToGrid/>
        <w:spacing w:line="240" w:lineRule="atLeast"/>
        <w:ind w:firstLine="420" w:firstLineChars="200"/>
        <w:jc w:val="right"/>
        <w:textAlignment w:val="auto"/>
        <w:rPr>
          <w:rFonts w:cs="宋体"/>
        </w:rPr>
      </w:pPr>
    </w:p>
    <w:p w14:paraId="169F5D8C">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460" w:firstLineChars="200"/>
        <w:jc w:val="both"/>
        <w:textAlignment w:val="auto"/>
        <w:outlineLvl w:val="9"/>
        <w:rPr>
          <w:rFonts w:ascii="Times New Roman" w:hAnsi="Times New Roman" w:eastAsia="宋体"/>
          <w:color w:val="000000"/>
          <w:sz w:val="23"/>
          <w:szCs w:val="24"/>
        </w:rPr>
      </w:pPr>
      <w:r>
        <w:rPr>
          <w:rFonts w:hint="eastAsia" w:ascii="Times New Roman" w:hAnsi="Times New Roman" w:eastAsia="宋体"/>
          <w:color w:val="000000"/>
          <w:sz w:val="23"/>
          <w:szCs w:val="24"/>
        </w:rPr>
        <w:t>式中：</w:t>
      </w:r>
    </w:p>
    <w:p w14:paraId="56159EEB">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720" w:firstLineChars="300"/>
        <w:jc w:val="both"/>
        <w:textAlignment w:val="auto"/>
        <w:outlineLvl w:val="9"/>
        <w:rPr>
          <w:rFonts w:eastAsia="宋体" w:cs="宋体"/>
          <w:sz w:val="24"/>
          <w:szCs w:val="24"/>
        </w:rPr>
      </w:pPr>
      <w:r>
        <w:rPr>
          <w:rFonts w:eastAsia="宋体" w:cs="宋体"/>
          <w:sz w:val="24"/>
          <w:szCs w:val="24"/>
        </w:rPr>
        <w:sym w:font="Symbol" w:char="0060"/>
      </w:r>
      <w:r>
        <w:rPr>
          <w:rFonts w:ascii="Times New Roman" w:hAnsi="Times New Roman" w:eastAsia="宋体"/>
          <w:i/>
          <w:iCs/>
          <w:sz w:val="24"/>
          <w:szCs w:val="24"/>
        </w:rPr>
        <w:t>G</w:t>
      </w:r>
      <w:r>
        <w:rPr>
          <w:rFonts w:ascii="Times New Roman" w:hAnsi="Times New Roman" w:eastAsia="宋体"/>
          <w:i/>
          <w:iCs/>
          <w:sz w:val="24"/>
          <w:szCs w:val="24"/>
          <w:vertAlign w:val="subscript"/>
        </w:rPr>
        <w:t>i</w:t>
      </w:r>
      <w:r>
        <w:rPr>
          <w:rFonts w:hint="eastAsia" w:eastAsia="宋体" w:cs="宋体"/>
          <w:spacing w:val="-20"/>
          <w:sz w:val="24"/>
          <w:szCs w:val="24"/>
        </w:rPr>
        <w:t xml:space="preserve">——  </w:t>
      </w:r>
      <w:r>
        <w:rPr>
          <w:rFonts w:hint="eastAsia" w:eastAsia="宋体" w:cs="宋体"/>
          <w:sz w:val="24"/>
          <w:szCs w:val="24"/>
        </w:rPr>
        <w:t>输出电信号平均值</w:t>
      </w:r>
      <w:r>
        <w:rPr>
          <w:rFonts w:hint="eastAsia" w:eastAsia="宋体" w:cs="宋体"/>
          <w:sz w:val="24"/>
          <w:szCs w:val="24"/>
        </w:rPr>
        <w:sym w:font="Symbol" w:char="0060"/>
      </w:r>
      <w:r>
        <w:rPr>
          <w:rFonts w:ascii="Times New Roman" w:hAnsi="Times New Roman" w:eastAsia="宋体"/>
          <w:i/>
          <w:iCs/>
          <w:sz w:val="24"/>
          <w:szCs w:val="24"/>
        </w:rPr>
        <w:t>P</w:t>
      </w:r>
      <w:r>
        <w:rPr>
          <w:rFonts w:hint="eastAsia" w:eastAsia="宋体" w:cs="宋体"/>
          <w:sz w:val="24"/>
          <w:szCs w:val="24"/>
        </w:rPr>
        <w:t>对应的浓度，</w:t>
      </w:r>
      <w:r>
        <w:rPr>
          <w:rFonts w:ascii="Times New Roman" w:hAnsi="Times New Roman" w:eastAsia="宋体"/>
          <w:sz w:val="24"/>
          <w:szCs w:val="24"/>
        </w:rPr>
        <w:t>µmol/mol</w:t>
      </w:r>
      <w:r>
        <w:rPr>
          <w:rFonts w:hint="eastAsia" w:eastAsia="宋体" w:cs="宋体"/>
          <w:sz w:val="24"/>
          <w:szCs w:val="24"/>
        </w:rPr>
        <w:t>；</w:t>
      </w:r>
    </w:p>
    <w:p w14:paraId="2B7B80BB">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768" w:firstLineChars="320"/>
        <w:jc w:val="both"/>
        <w:textAlignment w:val="auto"/>
        <w:outlineLvl w:val="9"/>
        <w:rPr>
          <w:rFonts w:eastAsia="宋体" w:cs="宋体"/>
          <w:spacing w:val="-20"/>
          <w:sz w:val="24"/>
          <w:szCs w:val="24"/>
        </w:rPr>
      </w:pPr>
      <w:r>
        <w:rPr>
          <w:rFonts w:ascii="Times New Roman" w:hAnsi="Times New Roman" w:eastAsia="宋体"/>
          <w:i/>
          <w:iCs/>
          <w:sz w:val="24"/>
          <w:szCs w:val="24"/>
        </w:rPr>
        <w:t>G</w:t>
      </w:r>
      <w:r>
        <w:rPr>
          <w:rFonts w:ascii="Times New Roman" w:hAnsi="Times New Roman" w:eastAsia="宋体"/>
          <w:i/>
          <w:iCs/>
          <w:sz w:val="24"/>
          <w:szCs w:val="24"/>
          <w:vertAlign w:val="subscript"/>
        </w:rPr>
        <w:t>m</w:t>
      </w:r>
      <w:r>
        <w:rPr>
          <w:rFonts w:hint="eastAsia" w:eastAsia="宋体" w:cs="宋体"/>
          <w:spacing w:val="-20"/>
          <w:sz w:val="24"/>
          <w:szCs w:val="24"/>
        </w:rPr>
        <w:t xml:space="preserve">——  </w:t>
      </w:r>
      <w:r>
        <w:rPr>
          <w:rFonts w:hint="eastAsia" w:eastAsia="宋体" w:cs="宋体"/>
          <w:sz w:val="24"/>
          <w:szCs w:val="24"/>
        </w:rPr>
        <w:t>输出电信号上限对应的浓度，</w:t>
      </w:r>
      <w:r>
        <w:rPr>
          <w:rFonts w:ascii="Times New Roman" w:hAnsi="Times New Roman" w:eastAsia="宋体"/>
          <w:sz w:val="24"/>
          <w:szCs w:val="24"/>
        </w:rPr>
        <w:t>µmol/mol</w:t>
      </w:r>
      <w:r>
        <w:rPr>
          <w:rFonts w:hint="eastAsia" w:eastAsia="宋体" w:cs="宋体"/>
          <w:spacing w:val="-20"/>
          <w:sz w:val="24"/>
          <w:szCs w:val="24"/>
        </w:rPr>
        <w:t>；</w:t>
      </w:r>
    </w:p>
    <w:p w14:paraId="0A8913AB">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768" w:firstLineChars="320"/>
        <w:jc w:val="both"/>
        <w:textAlignment w:val="auto"/>
        <w:outlineLvl w:val="9"/>
        <w:rPr>
          <w:rFonts w:eastAsia="宋体" w:cs="宋体"/>
          <w:spacing w:val="-20"/>
          <w:sz w:val="24"/>
          <w:szCs w:val="24"/>
        </w:rPr>
      </w:pPr>
      <w:r>
        <w:rPr>
          <w:rFonts w:ascii="Times New Roman" w:hAnsi="Times New Roman" w:eastAsia="宋体"/>
          <w:i/>
          <w:iCs/>
          <w:sz w:val="24"/>
          <w:szCs w:val="24"/>
        </w:rPr>
        <w:t>G</w:t>
      </w:r>
      <w:r>
        <w:rPr>
          <w:rFonts w:ascii="Times New Roman" w:hAnsi="Times New Roman" w:eastAsia="宋体"/>
          <w:i/>
          <w:iCs/>
          <w:sz w:val="24"/>
          <w:szCs w:val="24"/>
          <w:vertAlign w:val="subscript"/>
        </w:rPr>
        <w:t>0</w:t>
      </w:r>
      <w:r>
        <w:rPr>
          <w:rFonts w:hint="eastAsia" w:eastAsia="宋体" w:cs="宋体"/>
          <w:spacing w:val="-20"/>
          <w:sz w:val="24"/>
          <w:szCs w:val="24"/>
        </w:rPr>
        <w:t xml:space="preserve">——  </w:t>
      </w:r>
      <w:r>
        <w:rPr>
          <w:rFonts w:hint="eastAsia" w:eastAsia="宋体" w:cs="宋体"/>
          <w:sz w:val="24"/>
          <w:szCs w:val="24"/>
        </w:rPr>
        <w:t>输出电信号下限对应的浓度，</w:t>
      </w:r>
      <w:r>
        <w:rPr>
          <w:rFonts w:ascii="Times New Roman" w:hAnsi="Times New Roman" w:eastAsia="宋体"/>
          <w:sz w:val="24"/>
          <w:szCs w:val="24"/>
        </w:rPr>
        <w:t>µmol/mol</w:t>
      </w:r>
      <w:r>
        <w:rPr>
          <w:rFonts w:hint="eastAsia" w:eastAsia="宋体" w:cs="宋体"/>
          <w:spacing w:val="-20"/>
          <w:sz w:val="24"/>
          <w:szCs w:val="24"/>
        </w:rPr>
        <w:t>；</w:t>
      </w:r>
    </w:p>
    <w:p w14:paraId="055CD9AB">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720" w:firstLineChars="300"/>
        <w:jc w:val="both"/>
        <w:textAlignment w:val="auto"/>
        <w:outlineLvl w:val="9"/>
        <w:rPr>
          <w:rFonts w:eastAsia="宋体" w:cs="宋体"/>
          <w:sz w:val="24"/>
          <w:szCs w:val="24"/>
        </w:rPr>
      </w:pPr>
      <w:r>
        <w:rPr>
          <w:rFonts w:eastAsia="宋体" w:cs="宋体"/>
          <w:sz w:val="24"/>
          <w:szCs w:val="24"/>
        </w:rPr>
        <w:sym w:font="Symbol" w:char="0060"/>
      </w:r>
      <w:r>
        <w:rPr>
          <w:rFonts w:ascii="Times New Roman" w:hAnsi="Times New Roman" w:eastAsia="宋体"/>
          <w:i/>
          <w:iCs/>
          <w:sz w:val="24"/>
          <w:szCs w:val="24"/>
        </w:rPr>
        <w:t>P</w:t>
      </w:r>
      <w:r>
        <w:rPr>
          <w:rFonts w:ascii="Times New Roman" w:hAnsi="Times New Roman" w:eastAsia="宋体"/>
          <w:i/>
          <w:iCs/>
          <w:sz w:val="24"/>
          <w:szCs w:val="24"/>
          <w:vertAlign w:val="subscript"/>
        </w:rPr>
        <w:t>i</w:t>
      </w:r>
      <w:r>
        <w:rPr>
          <w:rFonts w:hint="eastAsia" w:eastAsia="宋体" w:cs="宋体"/>
          <w:spacing w:val="-20"/>
          <w:sz w:val="24"/>
          <w:szCs w:val="24"/>
        </w:rPr>
        <w:t xml:space="preserve">——  </w:t>
      </w:r>
      <w:r>
        <w:rPr>
          <w:rFonts w:hint="eastAsia" w:eastAsia="宋体" w:cs="宋体"/>
          <w:sz w:val="24"/>
          <w:szCs w:val="24"/>
        </w:rPr>
        <w:t>检测的输出电信号平均值，Hz、mA、V等；</w:t>
      </w:r>
    </w:p>
    <w:p w14:paraId="48837404">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768" w:firstLineChars="320"/>
        <w:jc w:val="both"/>
        <w:textAlignment w:val="auto"/>
        <w:outlineLvl w:val="9"/>
        <w:rPr>
          <w:rFonts w:eastAsia="宋体" w:cs="宋体"/>
          <w:spacing w:val="-20"/>
          <w:sz w:val="24"/>
          <w:szCs w:val="24"/>
        </w:rPr>
      </w:pPr>
      <w:r>
        <w:rPr>
          <w:rFonts w:ascii="Times New Roman" w:hAnsi="Times New Roman" w:eastAsia="宋体"/>
          <w:i/>
          <w:iCs/>
          <w:sz w:val="24"/>
          <w:szCs w:val="24"/>
        </w:rPr>
        <w:t>P</w:t>
      </w:r>
      <w:r>
        <w:rPr>
          <w:rFonts w:ascii="Times New Roman" w:hAnsi="Times New Roman" w:eastAsia="宋体"/>
          <w:i/>
          <w:iCs/>
          <w:sz w:val="24"/>
          <w:szCs w:val="24"/>
          <w:vertAlign w:val="subscript"/>
        </w:rPr>
        <w:t>m</w:t>
      </w:r>
      <w:r>
        <w:rPr>
          <w:rFonts w:hint="eastAsia" w:eastAsia="宋体" w:cs="宋体"/>
          <w:spacing w:val="-20"/>
          <w:sz w:val="24"/>
          <w:szCs w:val="24"/>
        </w:rPr>
        <w:t xml:space="preserve">——  </w:t>
      </w:r>
      <w:r>
        <w:rPr>
          <w:rFonts w:hint="eastAsia" w:eastAsia="宋体" w:cs="宋体"/>
          <w:sz w:val="24"/>
          <w:szCs w:val="24"/>
        </w:rPr>
        <w:t>输出电信号上限，Hz、mA、V等</w:t>
      </w:r>
      <w:r>
        <w:rPr>
          <w:rFonts w:hint="eastAsia" w:eastAsia="宋体" w:cs="宋体"/>
          <w:spacing w:val="-20"/>
          <w:sz w:val="24"/>
          <w:szCs w:val="24"/>
        </w:rPr>
        <w:t>；</w:t>
      </w:r>
    </w:p>
    <w:p w14:paraId="6640A955">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789" w:firstLineChars="329"/>
        <w:jc w:val="both"/>
        <w:textAlignment w:val="auto"/>
        <w:outlineLvl w:val="9"/>
        <w:rPr>
          <w:rFonts w:eastAsia="宋体" w:cs="宋体"/>
          <w:spacing w:val="-20"/>
          <w:sz w:val="24"/>
          <w:szCs w:val="24"/>
        </w:rPr>
      </w:pPr>
      <w:r>
        <w:rPr>
          <w:rFonts w:ascii="Times New Roman" w:hAnsi="Times New Roman" w:eastAsia="宋体"/>
          <w:i/>
          <w:iCs/>
          <w:sz w:val="24"/>
          <w:szCs w:val="24"/>
        </w:rPr>
        <w:t>P</w:t>
      </w:r>
      <w:r>
        <w:rPr>
          <w:rFonts w:ascii="Times New Roman" w:hAnsi="Times New Roman" w:eastAsia="宋体"/>
          <w:i/>
          <w:iCs/>
          <w:sz w:val="24"/>
          <w:szCs w:val="24"/>
          <w:vertAlign w:val="subscript"/>
        </w:rPr>
        <w:t>0</w:t>
      </w:r>
      <w:r>
        <w:rPr>
          <w:rFonts w:hint="eastAsia" w:eastAsia="宋体" w:cs="宋体"/>
          <w:spacing w:val="-20"/>
          <w:sz w:val="24"/>
          <w:szCs w:val="24"/>
        </w:rPr>
        <w:t xml:space="preserve">——  </w:t>
      </w:r>
      <w:r>
        <w:rPr>
          <w:rFonts w:hint="eastAsia" w:eastAsia="宋体" w:cs="宋体"/>
          <w:sz w:val="24"/>
          <w:szCs w:val="24"/>
        </w:rPr>
        <w:t>输出电信号下限，Hz、mA、V等</w:t>
      </w:r>
      <w:r>
        <w:rPr>
          <w:rFonts w:hint="eastAsia" w:eastAsia="宋体" w:cs="宋体"/>
          <w:spacing w:val="-20"/>
          <w:sz w:val="24"/>
          <w:szCs w:val="24"/>
        </w:rPr>
        <w:t>。</w:t>
      </w:r>
    </w:p>
    <w:p w14:paraId="48E290D2">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720" w:firstLineChars="300"/>
        <w:jc w:val="both"/>
        <w:textAlignment w:val="auto"/>
        <w:outlineLvl w:val="9"/>
        <w:rPr>
          <w:rFonts w:eastAsia="宋体" w:cs="宋体"/>
          <w:spacing w:val="-20"/>
          <w:sz w:val="24"/>
          <w:szCs w:val="24"/>
        </w:rPr>
      </w:pPr>
      <w:r>
        <w:rPr>
          <w:rFonts w:hint="eastAsia" w:eastAsia="宋体" w:cs="宋体"/>
          <w:sz w:val="24"/>
          <w:szCs w:val="24"/>
        </w:rPr>
        <w:t>按公式（4）计算报警器的信号传输误差</w:t>
      </w:r>
      <w:r>
        <w:rPr>
          <w:rFonts w:hint="eastAsia" w:eastAsia="宋体" w:cs="宋体"/>
          <w:spacing w:val="-20"/>
          <w:sz w:val="24"/>
          <w:szCs w:val="24"/>
        </w:rPr>
        <w:t>。</w:t>
      </w:r>
    </w:p>
    <w:p w14:paraId="54549F49">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600" w:firstLineChars="300"/>
        <w:jc w:val="right"/>
        <w:textAlignment w:val="auto"/>
        <w:outlineLvl w:val="9"/>
        <w:rPr>
          <w:rFonts w:eastAsia="宋体" w:cs="宋体"/>
          <w:i/>
          <w:iCs/>
          <w:spacing w:val="-20"/>
          <w:sz w:val="24"/>
          <w:szCs w:val="24"/>
        </w:rPr>
      </w:pPr>
      <w:r>
        <w:rPr>
          <w:rFonts w:eastAsia="宋体" w:cs="宋体"/>
          <w:spacing w:val="-20"/>
          <w:position w:val="-22"/>
          <w:sz w:val="24"/>
          <w:szCs w:val="24"/>
        </w:rPr>
        <w:object>
          <v:shape id="_x0000_i1028" o:spt="75" type="#_x0000_t75" style="height:31.7pt;width:87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eastAsia="宋体" w:cs="宋体"/>
          <w:spacing w:val="-20"/>
          <w:sz w:val="24"/>
          <w:szCs w:val="24"/>
        </w:rPr>
        <w:t xml:space="preserve">                                         （4）</w:t>
      </w:r>
    </w:p>
    <w:p w14:paraId="7ED80E1E">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460" w:firstLineChars="200"/>
        <w:jc w:val="both"/>
        <w:textAlignment w:val="auto"/>
        <w:outlineLvl w:val="9"/>
        <w:rPr>
          <w:rFonts w:ascii="Times New Roman" w:hAnsi="Times New Roman" w:eastAsia="宋体"/>
          <w:color w:val="000000"/>
          <w:sz w:val="23"/>
          <w:szCs w:val="24"/>
        </w:rPr>
      </w:pPr>
      <w:r>
        <w:rPr>
          <w:rFonts w:hint="eastAsia" w:ascii="Times New Roman" w:hAnsi="Times New Roman" w:eastAsia="宋体"/>
          <w:color w:val="000000"/>
          <w:sz w:val="23"/>
          <w:szCs w:val="24"/>
        </w:rPr>
        <w:t>式中：</w:t>
      </w:r>
    </w:p>
    <w:p w14:paraId="430A8319">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600" w:firstLineChars="300"/>
        <w:jc w:val="both"/>
        <w:textAlignment w:val="auto"/>
        <w:outlineLvl w:val="9"/>
        <w:rPr>
          <w:rFonts w:eastAsia="宋体" w:cs="宋体"/>
          <w:sz w:val="24"/>
          <w:szCs w:val="24"/>
        </w:rPr>
      </w:pPr>
      <w:r>
        <w:rPr>
          <w:rFonts w:hint="eastAsia" w:eastAsia="宋体" w:cs="宋体"/>
          <w:spacing w:val="-20"/>
          <w:sz w:val="24"/>
          <w:szCs w:val="24"/>
        </w:rPr>
        <w:t>Δ</w:t>
      </w:r>
      <w:r>
        <w:rPr>
          <w:rFonts w:ascii="Times New Roman" w:hAnsi="Times New Roman" w:eastAsia="宋体"/>
          <w:i/>
          <w:iCs/>
          <w:spacing w:val="-20"/>
          <w:sz w:val="24"/>
          <w:szCs w:val="24"/>
        </w:rPr>
        <w:t>x</w:t>
      </w:r>
      <w:r>
        <w:rPr>
          <w:rFonts w:hint="eastAsia" w:eastAsia="宋体" w:cs="宋体"/>
          <w:spacing w:val="-20"/>
          <w:sz w:val="24"/>
          <w:szCs w:val="24"/>
        </w:rPr>
        <w:t xml:space="preserve"> ——  </w:t>
      </w:r>
      <w:r>
        <w:rPr>
          <w:rFonts w:hint="eastAsia" w:eastAsia="宋体" w:cs="宋体"/>
          <w:sz w:val="24"/>
          <w:szCs w:val="24"/>
        </w:rPr>
        <w:t>各点的信号传输误差，%；</w:t>
      </w:r>
    </w:p>
    <w:p w14:paraId="4933DB12">
      <w:pPr>
        <w:pStyle w:val="18"/>
        <w:keepNext w:val="0"/>
        <w:keepLines w:val="0"/>
        <w:pageBreakBefore w:val="0"/>
        <w:widowControl w:val="0"/>
        <w:kinsoku/>
        <w:wordWrap/>
        <w:overflowPunct/>
        <w:topLinePunct w:val="0"/>
        <w:autoSpaceDE/>
        <w:autoSpaceDN/>
        <w:bidi w:val="0"/>
        <w:adjustRightInd/>
        <w:snapToGrid/>
        <w:spacing w:beforeLines="0" w:afterLines="0" w:line="240" w:lineRule="atLeast"/>
        <w:ind w:firstLine="576" w:firstLineChars="240"/>
        <w:jc w:val="both"/>
        <w:textAlignment w:val="auto"/>
        <w:outlineLvl w:val="9"/>
        <w:rPr>
          <w:rFonts w:eastAsia="宋体" w:cs="宋体"/>
          <w:spacing w:val="-20"/>
          <w:sz w:val="24"/>
          <w:szCs w:val="24"/>
        </w:rPr>
      </w:pPr>
      <w:r>
        <w:rPr>
          <w:rFonts w:hint="eastAsia" w:eastAsia="宋体" w:cs="宋体"/>
          <w:sz w:val="24"/>
          <w:szCs w:val="24"/>
        </w:rPr>
        <w:sym w:font="Symbol" w:char="0060"/>
      </w:r>
      <w:r>
        <w:rPr>
          <w:rFonts w:ascii="Times New Roman" w:hAnsi="Times New Roman" w:eastAsia="宋体"/>
          <w:i/>
          <w:iCs/>
          <w:sz w:val="24"/>
          <w:szCs w:val="24"/>
        </w:rPr>
        <w:t>G</w:t>
      </w:r>
      <w:r>
        <w:rPr>
          <w:rFonts w:hint="eastAsia" w:ascii="Times New Roman" w:hAnsi="Times New Roman" w:eastAsia="宋体"/>
          <w:i/>
          <w:iCs/>
          <w:sz w:val="24"/>
          <w:szCs w:val="24"/>
          <w:vertAlign w:val="subscript"/>
        </w:rPr>
        <w:t>i</w:t>
      </w:r>
      <w:r>
        <w:rPr>
          <w:rFonts w:hint="eastAsia" w:eastAsia="宋体" w:cs="宋体"/>
          <w:spacing w:val="-20"/>
          <w:sz w:val="24"/>
          <w:szCs w:val="24"/>
        </w:rPr>
        <w:t xml:space="preserve">——  </w:t>
      </w:r>
      <w:r>
        <w:rPr>
          <w:rFonts w:hint="eastAsia" w:eastAsia="宋体" w:cs="宋体"/>
          <w:sz w:val="24"/>
          <w:szCs w:val="24"/>
        </w:rPr>
        <w:t>输出电信号平均值</w:t>
      </w:r>
      <w:r>
        <w:rPr>
          <w:rFonts w:ascii="Times New Roman" w:hAnsi="Times New Roman" w:eastAsia="宋体"/>
          <w:i/>
          <w:iCs/>
          <w:sz w:val="24"/>
          <w:szCs w:val="24"/>
        </w:rPr>
        <w:sym w:font="Symbol" w:char="0060"/>
      </w:r>
      <w:r>
        <w:rPr>
          <w:rFonts w:ascii="Times New Roman" w:hAnsi="Times New Roman" w:eastAsia="宋体"/>
          <w:i/>
          <w:iCs/>
          <w:sz w:val="24"/>
          <w:szCs w:val="24"/>
        </w:rPr>
        <w:t>P</w:t>
      </w:r>
      <w:r>
        <w:rPr>
          <w:rFonts w:hint="eastAsia" w:eastAsia="宋体" w:cs="宋体"/>
          <w:sz w:val="24"/>
          <w:szCs w:val="24"/>
        </w:rPr>
        <w:t>对应的浓度，</w:t>
      </w:r>
      <w:r>
        <w:rPr>
          <w:rFonts w:ascii="Times New Roman" w:hAnsi="Times New Roman" w:eastAsia="宋体"/>
          <w:sz w:val="24"/>
          <w:szCs w:val="24"/>
        </w:rPr>
        <w:t>µmol/mol</w:t>
      </w:r>
      <w:r>
        <w:rPr>
          <w:rFonts w:hint="eastAsia" w:eastAsia="宋体" w:cs="宋体"/>
          <w:spacing w:val="-20"/>
          <w:sz w:val="24"/>
          <w:szCs w:val="24"/>
        </w:rPr>
        <w:t>；</w:t>
      </w:r>
    </w:p>
    <w:p w14:paraId="1403AFBF">
      <w:pPr>
        <w:keepNext w:val="0"/>
        <w:keepLines w:val="0"/>
        <w:pageBreakBefore w:val="0"/>
        <w:widowControl w:val="0"/>
        <w:kinsoku/>
        <w:wordWrap/>
        <w:overflowPunct/>
        <w:topLinePunct w:val="0"/>
        <w:autoSpaceDE/>
        <w:autoSpaceDN/>
        <w:bidi w:val="0"/>
        <w:adjustRightInd/>
        <w:snapToGrid/>
        <w:spacing w:line="240" w:lineRule="atLeast"/>
        <w:ind w:firstLine="480" w:firstLineChars="200"/>
        <w:textAlignment w:val="auto"/>
        <w:rPr>
          <w:sz w:val="24"/>
          <w:szCs w:val="24"/>
        </w:rPr>
      </w:pPr>
      <w:r>
        <w:rPr>
          <w:rFonts w:hint="eastAsia" w:eastAsia="宋体" w:cs="宋体"/>
          <w:sz w:val="24"/>
          <w:szCs w:val="24"/>
        </w:rPr>
        <w:sym w:font="Symbol" w:char="0060"/>
      </w:r>
      <w:r>
        <w:rPr>
          <w:rFonts w:ascii="Times New Roman" w:hAnsi="Times New Roman" w:eastAsia="宋体"/>
          <w:i/>
          <w:iCs/>
          <w:sz w:val="24"/>
          <w:szCs w:val="24"/>
        </w:rPr>
        <w:t>x</w:t>
      </w:r>
      <w:r>
        <w:rPr>
          <w:rFonts w:hint="eastAsia" w:eastAsia="宋体" w:cs="宋体"/>
          <w:spacing w:val="-20"/>
          <w:sz w:val="24"/>
          <w:szCs w:val="24"/>
        </w:rPr>
        <w:t xml:space="preserve">——  </w:t>
      </w:r>
      <w:r>
        <w:rPr>
          <w:rFonts w:hint="eastAsia" w:eastAsia="宋体" w:cs="宋体"/>
          <w:sz w:val="24"/>
          <w:szCs w:val="24"/>
        </w:rPr>
        <w:t>3次浓度显示平均值，</w:t>
      </w:r>
      <w:r>
        <w:rPr>
          <w:rFonts w:ascii="Times New Roman" w:hAnsi="Times New Roman" w:eastAsia="宋体"/>
          <w:sz w:val="24"/>
          <w:szCs w:val="24"/>
        </w:rPr>
        <w:t>µmol/mol</w:t>
      </w:r>
      <w:r>
        <w:rPr>
          <w:rFonts w:hint="eastAsia" w:eastAsia="宋体" w:cs="宋体"/>
          <w:sz w:val="24"/>
          <w:szCs w:val="24"/>
        </w:rPr>
        <w:t>。</w:t>
      </w:r>
    </w:p>
    <w:p w14:paraId="2DC4EF50">
      <w:pPr>
        <w:spacing w:line="360" w:lineRule="auto"/>
        <w:rPr>
          <w:b/>
          <w:sz w:val="24"/>
          <w:szCs w:val="24"/>
        </w:rPr>
      </w:pPr>
      <w:r>
        <w:rPr>
          <w:rFonts w:hint="eastAsia"/>
          <w:b/>
          <w:sz w:val="24"/>
          <w:szCs w:val="24"/>
        </w:rPr>
        <w:t>（七）校准结果的表达与处理</w:t>
      </w:r>
    </w:p>
    <w:p w14:paraId="11324AAD">
      <w:pPr>
        <w:spacing w:line="360" w:lineRule="auto"/>
        <w:ind w:firstLine="480" w:firstLineChars="200"/>
        <w:rPr>
          <w:sz w:val="24"/>
          <w:szCs w:val="24"/>
        </w:rPr>
      </w:pPr>
      <w:r>
        <w:rPr>
          <w:sz w:val="24"/>
          <w:szCs w:val="24"/>
        </w:rPr>
        <w:t>根据</w:t>
      </w:r>
      <w:r>
        <w:rPr>
          <w:rFonts w:hint="eastAsia"/>
          <w:sz w:val="24"/>
          <w:szCs w:val="24"/>
        </w:rPr>
        <w:t>JJF 1071-2010《国家计量校准规范编写规则》的要求，本规范列出了校准结果的表达，对校准证书应包含的信息加以说明。</w:t>
      </w:r>
    </w:p>
    <w:p w14:paraId="332865A2">
      <w:pPr>
        <w:pStyle w:val="14"/>
        <w:spacing w:line="360" w:lineRule="auto"/>
        <w:ind w:firstLine="0" w:firstLineChars="0"/>
        <w:rPr>
          <w:b/>
        </w:rPr>
      </w:pPr>
      <w:r>
        <w:rPr>
          <w:rFonts w:hint="eastAsia"/>
          <w:b/>
        </w:rPr>
        <w:t>（八）复校时间间隔</w:t>
      </w:r>
    </w:p>
    <w:p w14:paraId="38DB7F04">
      <w:pPr>
        <w:pStyle w:val="14"/>
        <w:spacing w:line="360" w:lineRule="auto"/>
        <w:ind w:firstLine="480"/>
        <w:jc w:val="both"/>
      </w:pPr>
      <w:r>
        <w:t>本规范该部分建议复校时间间隔</w:t>
      </w:r>
      <w:r>
        <w:rPr>
          <w:rFonts w:hint="eastAsia"/>
        </w:rPr>
        <w:t>不超过12个月。由于复校时间间隔的长短是由仪器的使用情况、使用者、仪器本身质量等诸因素所决定的，因此使用</w:t>
      </w:r>
      <w:r>
        <w:t>单位可根据实际使用情况自主决定复校时间间隔。</w:t>
      </w:r>
    </w:p>
    <w:p w14:paraId="48313216">
      <w:pPr>
        <w:pStyle w:val="14"/>
        <w:spacing w:line="360" w:lineRule="auto"/>
        <w:ind w:firstLine="0" w:firstLineChars="0"/>
        <w:rPr>
          <w:b/>
        </w:rPr>
      </w:pPr>
      <w:r>
        <w:rPr>
          <w:rFonts w:hint="eastAsia"/>
          <w:b/>
        </w:rPr>
        <w:t>（九）附录</w:t>
      </w:r>
    </w:p>
    <w:p w14:paraId="12DC7EEA">
      <w:pPr>
        <w:pStyle w:val="14"/>
        <w:spacing w:line="360" w:lineRule="auto"/>
        <w:ind w:firstLine="480"/>
        <w:jc w:val="both"/>
      </w:pPr>
      <w:r>
        <w:rPr>
          <w:rFonts w:hint="eastAsia"/>
        </w:rPr>
        <w:t>该部分附录A给出了矿用氢气报警器校准</w:t>
      </w:r>
      <w:r>
        <w:t>原始记录参考格式</w:t>
      </w:r>
      <w:r>
        <w:rPr>
          <w:rFonts w:hint="eastAsia"/>
        </w:rPr>
        <w:t>；附录B给出了矿用氢气报警器校准证书内页参考格式；附录C为矿用氢气报警器示值误差的</w:t>
      </w:r>
      <w:r>
        <w:t>测量不确定度评定示例</w:t>
      </w:r>
      <w:r>
        <w:rPr>
          <w:rFonts w:hint="eastAsia"/>
        </w:rPr>
        <w:t>。</w:t>
      </w:r>
    </w:p>
    <w:p w14:paraId="4A034474">
      <w:pPr>
        <w:spacing w:line="360" w:lineRule="auto"/>
        <w:rPr>
          <w:rFonts w:ascii="黑体" w:hAnsi="黑体" w:eastAsia="黑体"/>
          <w:sz w:val="24"/>
          <w:szCs w:val="24"/>
        </w:rPr>
      </w:pPr>
      <w:r>
        <w:rPr>
          <w:rFonts w:hint="eastAsia" w:ascii="黑体" w:hAnsi="黑体" w:eastAsia="黑体"/>
          <w:sz w:val="24"/>
          <w:szCs w:val="24"/>
        </w:rPr>
        <w:t>六、试验报告的形成</w:t>
      </w:r>
    </w:p>
    <w:p w14:paraId="3320099D">
      <w:pPr>
        <w:pStyle w:val="14"/>
        <w:spacing w:line="360" w:lineRule="auto"/>
        <w:ind w:firstLine="480"/>
        <w:jc w:val="both"/>
      </w:pPr>
      <w:r>
        <w:t>在《</w:t>
      </w:r>
      <w:r>
        <w:rPr>
          <w:rFonts w:hint="eastAsia"/>
        </w:rPr>
        <w:t>矿用氢气报警器</w:t>
      </w:r>
      <w:r>
        <w:t>》校准规范的制定过程中，为了合理的确定各校准项目的技术要求及校准方法，</w:t>
      </w:r>
      <w:r>
        <w:rPr>
          <w:rFonts w:hint="eastAsia"/>
        </w:rPr>
        <w:t>编制</w:t>
      </w:r>
      <w:r>
        <w:t>小组对</w:t>
      </w:r>
      <w:r>
        <w:rPr>
          <w:rFonts w:hint="eastAsia"/>
        </w:rPr>
        <w:t>矿用氢气报警器</w:t>
      </w:r>
      <w:r>
        <w:t>校准规范中提出的校准项目进行了试验</w:t>
      </w:r>
      <w:r>
        <w:rPr>
          <w:rFonts w:hint="eastAsia"/>
        </w:rPr>
        <w:t>，</w:t>
      </w:r>
      <w:r>
        <w:t>试验地点为六盘水市检验检测中心</w:t>
      </w:r>
      <w:r>
        <w:rPr>
          <w:rFonts w:hint="eastAsia"/>
        </w:rPr>
        <w:t>，</w:t>
      </w:r>
      <w:r>
        <w:t>试验时间为</w:t>
      </w:r>
      <w:r>
        <w:rPr>
          <w:rFonts w:hint="eastAsia"/>
        </w:rPr>
        <w:t>2025年12月12日至2026年03月18日，并于2026年03月18日完成实验报告的编制。</w:t>
      </w:r>
    </w:p>
    <w:p w14:paraId="74F5228B">
      <w:pPr>
        <w:spacing w:line="360" w:lineRule="auto"/>
        <w:rPr>
          <w:rFonts w:ascii="黑体" w:hAnsi="黑体" w:eastAsia="黑体"/>
          <w:sz w:val="24"/>
          <w:szCs w:val="24"/>
        </w:rPr>
      </w:pPr>
      <w:r>
        <w:rPr>
          <w:rFonts w:hint="eastAsia" w:ascii="黑体" w:hAnsi="黑体" w:eastAsia="黑体"/>
          <w:sz w:val="24"/>
          <w:szCs w:val="24"/>
        </w:rPr>
        <w:t>七、测量不确定度报告的形成</w:t>
      </w:r>
    </w:p>
    <w:p w14:paraId="76D5E19B">
      <w:pPr>
        <w:pStyle w:val="14"/>
        <w:spacing w:line="360" w:lineRule="auto"/>
        <w:ind w:firstLine="480"/>
        <w:jc w:val="both"/>
      </w:pPr>
      <w:r>
        <w:t>在《</w:t>
      </w:r>
      <w:r>
        <w:rPr>
          <w:rFonts w:hint="eastAsia"/>
        </w:rPr>
        <w:t>矿用氢气报警器</w:t>
      </w:r>
      <w:r>
        <w:t>》校准规范的制定过程中，为了更好的验证校准方法的可靠性</w:t>
      </w:r>
      <w:r>
        <w:rPr>
          <w:rFonts w:hint="eastAsia"/>
        </w:rPr>
        <w:t>，</w:t>
      </w:r>
      <w:r>
        <w:t>在试验过程中</w:t>
      </w:r>
      <w:r>
        <w:rPr>
          <w:rFonts w:hint="eastAsia"/>
        </w:rPr>
        <w:t>，</w:t>
      </w:r>
      <w:r>
        <w:t>对多组试验数据进行了不确定度的评定</w:t>
      </w:r>
      <w:r>
        <w:rPr>
          <w:rFonts w:hint="eastAsia"/>
        </w:rPr>
        <w:t>，</w:t>
      </w:r>
      <w:r>
        <w:t>结果显示测量不确定度满足《</w:t>
      </w:r>
      <w:r>
        <w:rPr>
          <w:rFonts w:hint="eastAsia"/>
        </w:rPr>
        <w:t>矿用氢气报警器</w:t>
      </w:r>
      <w:r>
        <w:t>》校准规范的要求</w:t>
      </w:r>
      <w:r>
        <w:rPr>
          <w:rFonts w:hint="eastAsia"/>
        </w:rPr>
        <w:t>，并于2026年03月18日完成了不确定度评定报告。</w:t>
      </w:r>
    </w:p>
    <w:p w14:paraId="0CC8ED9E">
      <w:pPr>
        <w:spacing w:line="360" w:lineRule="auto"/>
        <w:rPr>
          <w:rFonts w:ascii="黑体" w:hAnsi="黑体" w:eastAsia="黑体"/>
          <w:sz w:val="24"/>
          <w:szCs w:val="24"/>
        </w:rPr>
      </w:pPr>
      <w:r>
        <w:rPr>
          <w:rFonts w:hint="eastAsia" w:ascii="黑体" w:hAnsi="黑体" w:eastAsia="黑体"/>
          <w:sz w:val="24"/>
          <w:szCs w:val="24"/>
        </w:rPr>
        <w:t>八、结束语</w:t>
      </w:r>
    </w:p>
    <w:p w14:paraId="5F1CC3E0">
      <w:pPr>
        <w:spacing w:line="360" w:lineRule="auto"/>
        <w:ind w:firstLine="480" w:firstLineChars="200"/>
        <w:rPr>
          <w:sz w:val="24"/>
          <w:szCs w:val="24"/>
        </w:rPr>
      </w:pPr>
      <w:r>
        <w:rPr>
          <w:rFonts w:hint="eastAsia"/>
          <w:sz w:val="24"/>
          <w:szCs w:val="24"/>
        </w:rPr>
        <w:t>《矿用氢气报警器校准规范》制定后，能够满足省内矿用氢气报警器的校准要求，校准方法、受检项目和数据处理更加成熟和完善，对于生产厂家的质量要求和使用单位控制计量性能方面均能起到重要作用，其潜在的社会效益和经济效益非常显著。</w:t>
      </w:r>
    </w:p>
    <w:p w14:paraId="1D52F013">
      <w:pPr>
        <w:spacing w:line="360" w:lineRule="auto"/>
        <w:ind w:firstLine="480" w:firstLineChars="200"/>
        <w:rPr>
          <w:sz w:val="24"/>
          <w:szCs w:val="24"/>
        </w:rPr>
      </w:pPr>
      <w:r>
        <w:rPr>
          <w:rFonts w:hint="eastAsia"/>
          <w:sz w:val="24"/>
          <w:szCs w:val="24"/>
        </w:rPr>
        <w:t>以上是制定此规范的编制说明，请提出宝贵意见。谢谢！</w:t>
      </w:r>
    </w:p>
    <w:p w14:paraId="7EC6F8AA">
      <w:pPr>
        <w:spacing w:line="360" w:lineRule="auto"/>
        <w:ind w:firstLine="5760" w:firstLineChars="2400"/>
        <w:rPr>
          <w:rFonts w:hint="eastAsia"/>
          <w:sz w:val="24"/>
          <w:szCs w:val="24"/>
        </w:rPr>
      </w:pPr>
    </w:p>
    <w:p w14:paraId="03842941">
      <w:pPr>
        <w:spacing w:line="360" w:lineRule="auto"/>
        <w:ind w:firstLine="6240" w:firstLineChars="2600"/>
        <w:rPr>
          <w:sz w:val="24"/>
          <w:szCs w:val="24"/>
        </w:rPr>
      </w:pPr>
      <w:r>
        <w:rPr>
          <w:rFonts w:hint="eastAsia"/>
          <w:sz w:val="24"/>
          <w:szCs w:val="24"/>
        </w:rPr>
        <w:t>规范起草小组</w:t>
      </w:r>
    </w:p>
    <w:p w14:paraId="69368D27">
      <w:pPr>
        <w:spacing w:line="360" w:lineRule="auto"/>
        <w:rPr>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2026年04月18日</w:t>
      </w:r>
    </w:p>
    <w:p w14:paraId="17CAEF25">
      <w:pPr>
        <w:spacing w:line="360" w:lineRule="auto"/>
        <w:ind w:firstLine="480" w:firstLineChars="200"/>
        <w:rPr>
          <w:sz w:val="24"/>
          <w:szCs w:val="24"/>
        </w:rPr>
      </w:pPr>
      <w:r>
        <w:rPr>
          <w:rFonts w:hint="eastAsia"/>
          <w:sz w:val="24"/>
          <w:szCs w:val="24"/>
        </w:rPr>
        <w:t>联系人：程禹宁</w:t>
      </w:r>
      <w:r>
        <w:rPr>
          <w:rFonts w:hint="eastAsia"/>
          <w:sz w:val="24"/>
          <w:szCs w:val="24"/>
        </w:rPr>
        <w:tab/>
      </w:r>
    </w:p>
    <w:p w14:paraId="750EC8F0">
      <w:pPr>
        <w:spacing w:line="360" w:lineRule="auto"/>
        <w:ind w:firstLine="480" w:firstLineChars="200"/>
        <w:rPr>
          <w:sz w:val="24"/>
          <w:szCs w:val="24"/>
        </w:rPr>
      </w:pPr>
      <w:r>
        <w:rPr>
          <w:rFonts w:hint="eastAsia"/>
          <w:sz w:val="24"/>
          <w:szCs w:val="24"/>
        </w:rPr>
        <w:t>电话：18716794166</w:t>
      </w:r>
    </w:p>
    <w:p w14:paraId="7AA0FB0C">
      <w:pPr>
        <w:spacing w:line="360" w:lineRule="auto"/>
        <w:ind w:firstLine="480" w:firstLineChars="200"/>
        <w:rPr>
          <w:sz w:val="24"/>
          <w:szCs w:val="24"/>
        </w:rPr>
      </w:pPr>
      <w:r>
        <w:rPr>
          <w:rFonts w:hint="eastAsia"/>
          <w:sz w:val="24"/>
          <w:szCs w:val="24"/>
        </w:rPr>
        <w:t>E-mail:</w:t>
      </w:r>
      <w:r>
        <w:rPr>
          <w:rFonts w:hint="eastAsia"/>
          <w:color w:val="auto"/>
          <w:sz w:val="24"/>
          <w:szCs w:val="24"/>
          <w:lang w:val="en-US" w:eastAsia="zh-CN"/>
        </w:rPr>
        <w:t>510552858</w:t>
      </w:r>
      <w:bookmarkStart w:id="13" w:name="_GoBack"/>
      <w:bookmarkEnd w:id="13"/>
      <w:r>
        <w:rPr>
          <w:rFonts w:hint="eastAsia"/>
          <w:color w:val="auto"/>
          <w:sz w:val="24"/>
          <w:szCs w:val="24"/>
        </w:rPr>
        <w:t>@qq.com</w:t>
      </w:r>
    </w:p>
    <w:p w14:paraId="375604A0">
      <w:pPr>
        <w:spacing w:line="360" w:lineRule="auto"/>
        <w:ind w:firstLine="480" w:firstLineChars="200"/>
        <w:rPr>
          <w:sz w:val="24"/>
          <w:szCs w:val="24"/>
        </w:rPr>
      </w:pPr>
      <w:r>
        <w:rPr>
          <w:rFonts w:hint="eastAsia"/>
          <w:sz w:val="24"/>
          <w:szCs w:val="24"/>
        </w:rPr>
        <w:t>单位：六盘水市检验检测中心</w:t>
      </w:r>
    </w:p>
    <w:p w14:paraId="76682475">
      <w:pPr>
        <w:spacing w:line="360" w:lineRule="auto"/>
        <w:ind w:firstLine="480" w:firstLineChars="200"/>
        <w:rPr>
          <w:sz w:val="24"/>
          <w:szCs w:val="24"/>
        </w:rPr>
      </w:pPr>
      <w:r>
        <w:rPr>
          <w:rFonts w:hint="eastAsia"/>
          <w:sz w:val="24"/>
          <w:szCs w:val="24"/>
        </w:rPr>
        <w:t>地址：六盘水市红桥新区红桥中路56号</w:t>
      </w:r>
    </w:p>
    <w:p w14:paraId="1B3CF0CF">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9F4696"/>
    <w:multiLevelType w:val="singleLevel"/>
    <w:tmpl w:val="DE9F4696"/>
    <w:lvl w:ilvl="0" w:tentative="0">
      <w:start w:val="4"/>
      <w:numFmt w:val="decimal"/>
      <w:suff w:val="nothing"/>
      <w:lvlText w:val="%1、"/>
      <w:lvlJc w:val="left"/>
    </w:lvl>
  </w:abstractNum>
  <w:abstractNum w:abstractNumId="1">
    <w:nsid w:val="0CB15D60"/>
    <w:multiLevelType w:val="singleLevel"/>
    <w:tmpl w:val="0CB15D60"/>
    <w:lvl w:ilvl="0" w:tentative="0">
      <w:start w:val="1"/>
      <w:numFmt w:val="decimal"/>
      <w:suff w:val="nothing"/>
      <w:lvlText w:val="（%1）"/>
      <w:lvlJc w:val="left"/>
    </w:lvl>
  </w:abstractNum>
  <w:abstractNum w:abstractNumId="2">
    <w:nsid w:val="1A234FBD"/>
    <w:multiLevelType w:val="singleLevel"/>
    <w:tmpl w:val="1A234FBD"/>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358D4"/>
    <w:rsid w:val="00046D7C"/>
    <w:rsid w:val="000648AE"/>
    <w:rsid w:val="00065BA5"/>
    <w:rsid w:val="0009776A"/>
    <w:rsid w:val="000B146C"/>
    <w:rsid w:val="000B7721"/>
    <w:rsid w:val="000B79B0"/>
    <w:rsid w:val="001067E6"/>
    <w:rsid w:val="00115800"/>
    <w:rsid w:val="0011713D"/>
    <w:rsid w:val="00162A85"/>
    <w:rsid w:val="001A2C84"/>
    <w:rsid w:val="001B1D3C"/>
    <w:rsid w:val="001C3386"/>
    <w:rsid w:val="00216D11"/>
    <w:rsid w:val="002250BC"/>
    <w:rsid w:val="002413BF"/>
    <w:rsid w:val="00256F9D"/>
    <w:rsid w:val="0029635F"/>
    <w:rsid w:val="002C0DF0"/>
    <w:rsid w:val="00302E36"/>
    <w:rsid w:val="003144D0"/>
    <w:rsid w:val="00343B2F"/>
    <w:rsid w:val="003558A2"/>
    <w:rsid w:val="003665AC"/>
    <w:rsid w:val="00396568"/>
    <w:rsid w:val="003B28DE"/>
    <w:rsid w:val="003C6058"/>
    <w:rsid w:val="004430B9"/>
    <w:rsid w:val="00446157"/>
    <w:rsid w:val="004A6B75"/>
    <w:rsid w:val="004A7C31"/>
    <w:rsid w:val="004A7F33"/>
    <w:rsid w:val="005046B7"/>
    <w:rsid w:val="00513A4B"/>
    <w:rsid w:val="005522F2"/>
    <w:rsid w:val="00563708"/>
    <w:rsid w:val="005F1894"/>
    <w:rsid w:val="0060609C"/>
    <w:rsid w:val="00671468"/>
    <w:rsid w:val="006F680C"/>
    <w:rsid w:val="00710683"/>
    <w:rsid w:val="00752F68"/>
    <w:rsid w:val="007D0D28"/>
    <w:rsid w:val="007E29B5"/>
    <w:rsid w:val="007E603C"/>
    <w:rsid w:val="007F2FAE"/>
    <w:rsid w:val="00801012"/>
    <w:rsid w:val="008460DE"/>
    <w:rsid w:val="00850EBD"/>
    <w:rsid w:val="00865307"/>
    <w:rsid w:val="008944F7"/>
    <w:rsid w:val="00953BAE"/>
    <w:rsid w:val="00964DEE"/>
    <w:rsid w:val="009978ED"/>
    <w:rsid w:val="009B266B"/>
    <w:rsid w:val="009B4BAB"/>
    <w:rsid w:val="009C014C"/>
    <w:rsid w:val="009D7E3D"/>
    <w:rsid w:val="009E03B0"/>
    <w:rsid w:val="00A2427B"/>
    <w:rsid w:val="00A358D4"/>
    <w:rsid w:val="00A72F7A"/>
    <w:rsid w:val="00B0476D"/>
    <w:rsid w:val="00B112A0"/>
    <w:rsid w:val="00B50264"/>
    <w:rsid w:val="00B51887"/>
    <w:rsid w:val="00B86D30"/>
    <w:rsid w:val="00BA7DE6"/>
    <w:rsid w:val="00BD6036"/>
    <w:rsid w:val="00BE5763"/>
    <w:rsid w:val="00C03B1D"/>
    <w:rsid w:val="00C2705F"/>
    <w:rsid w:val="00C46B13"/>
    <w:rsid w:val="00C94CA8"/>
    <w:rsid w:val="00CF4CBB"/>
    <w:rsid w:val="00D34179"/>
    <w:rsid w:val="00D6111F"/>
    <w:rsid w:val="00D82139"/>
    <w:rsid w:val="00DC2BC7"/>
    <w:rsid w:val="00DF1227"/>
    <w:rsid w:val="00DF188A"/>
    <w:rsid w:val="00E12ACF"/>
    <w:rsid w:val="00E36D4F"/>
    <w:rsid w:val="00E45B9F"/>
    <w:rsid w:val="00E909A1"/>
    <w:rsid w:val="00EA21A8"/>
    <w:rsid w:val="00EB6E73"/>
    <w:rsid w:val="00EB70FB"/>
    <w:rsid w:val="00EE07D1"/>
    <w:rsid w:val="00EE4A9A"/>
    <w:rsid w:val="00EE792C"/>
    <w:rsid w:val="00EF7315"/>
    <w:rsid w:val="00EF78E0"/>
    <w:rsid w:val="00F1458D"/>
    <w:rsid w:val="00F22D92"/>
    <w:rsid w:val="00F247B9"/>
    <w:rsid w:val="00F604A9"/>
    <w:rsid w:val="00F74B0C"/>
    <w:rsid w:val="00F81760"/>
    <w:rsid w:val="00F8614E"/>
    <w:rsid w:val="00F97504"/>
    <w:rsid w:val="06FA62EC"/>
    <w:rsid w:val="5A710663"/>
    <w:rsid w:val="7A2F6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39" w:semiHidden="0" w:name="toc 5"/>
    <w:lsdException w:uiPriority="39" w:name="toc 6"/>
    <w:lsdException w:qFormat="1"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autoRedefine/>
    <w:semiHidden/>
    <w:unhideWhenUsed/>
    <w:qFormat/>
    <w:uiPriority w:val="39"/>
    <w:pPr>
      <w:ind w:left="2520" w:leftChars="1200"/>
    </w:pPr>
  </w:style>
  <w:style w:type="paragraph" w:styleId="4">
    <w:name w:val="toc 5"/>
    <w:basedOn w:val="1"/>
    <w:next w:val="1"/>
    <w:qFormat/>
    <w:uiPriority w:val="39"/>
    <w:pPr>
      <w:ind w:left="840"/>
      <w:jc w:val="left"/>
      <w:outlineLvl w:val="1"/>
    </w:pPr>
    <w:rPr>
      <w:rFonts w:ascii="Calibri" w:hAnsi="Calibri" w:eastAsia="宋体" w:cs="Calibri"/>
      <w:sz w:val="18"/>
      <w:szCs w:val="18"/>
    </w:rPr>
  </w:style>
  <w:style w:type="paragraph" w:styleId="5">
    <w:name w:val="Balloon Text"/>
    <w:basedOn w:val="1"/>
    <w:link w:val="17"/>
    <w:semiHidden/>
    <w:unhideWhenUsed/>
    <w:qFormat/>
    <w:uiPriority w:val="99"/>
    <w:rPr>
      <w:sz w:val="18"/>
      <w:szCs w:val="18"/>
    </w:rPr>
  </w:style>
  <w:style w:type="paragraph" w:styleId="6">
    <w:name w:val="footer"/>
    <w:basedOn w:val="1"/>
    <w:link w:val="12"/>
    <w:semiHidden/>
    <w:unhideWhenUsed/>
    <w:qFormat/>
    <w:uiPriority w:val="99"/>
    <w:pPr>
      <w:tabs>
        <w:tab w:val="center" w:pos="4153"/>
        <w:tab w:val="right" w:pos="8306"/>
      </w:tabs>
      <w:snapToGrid w:val="0"/>
      <w:jc w:val="left"/>
    </w:pPr>
    <w:rPr>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7"/>
    <w:semiHidden/>
    <w:qFormat/>
    <w:uiPriority w:val="99"/>
    <w:rPr>
      <w:sz w:val="18"/>
      <w:szCs w:val="18"/>
    </w:rPr>
  </w:style>
  <w:style w:type="character" w:customStyle="1" w:styleId="12">
    <w:name w:val="页脚 Char"/>
    <w:basedOn w:val="10"/>
    <w:link w:val="6"/>
    <w:semiHidden/>
    <w:qFormat/>
    <w:uiPriority w:val="99"/>
    <w:rPr>
      <w:sz w:val="18"/>
      <w:szCs w:val="18"/>
    </w:rPr>
  </w:style>
  <w:style w:type="character" w:customStyle="1" w:styleId="13">
    <w:name w:val="标题 1 Char"/>
    <w:basedOn w:val="10"/>
    <w:link w:val="2"/>
    <w:qFormat/>
    <w:uiPriority w:val="9"/>
    <w:rPr>
      <w:b/>
      <w:bCs/>
      <w:kern w:val="44"/>
      <w:sz w:val="44"/>
      <w:szCs w:val="44"/>
    </w:rPr>
  </w:style>
  <w:style w:type="paragraph" w:customStyle="1" w:styleId="14">
    <w:name w:val="条文"/>
    <w:basedOn w:val="1"/>
    <w:link w:val="15"/>
    <w:qFormat/>
    <w:uiPriority w:val="0"/>
    <w:pPr>
      <w:spacing w:line="312" w:lineRule="auto"/>
      <w:ind w:firstLine="200" w:firstLineChars="200"/>
      <w:jc w:val="left"/>
      <w:outlineLvl w:val="3"/>
    </w:pPr>
    <w:rPr>
      <w:rFonts w:ascii="宋体" w:hAnsi="宋体" w:eastAsia="宋体" w:cs="Times New Roman"/>
      <w:sz w:val="24"/>
      <w:szCs w:val="24"/>
    </w:rPr>
  </w:style>
  <w:style w:type="character" w:customStyle="1" w:styleId="15">
    <w:name w:val="条文 Char"/>
    <w:basedOn w:val="10"/>
    <w:link w:val="14"/>
    <w:qFormat/>
    <w:uiPriority w:val="0"/>
    <w:rPr>
      <w:rFonts w:ascii="宋体" w:hAnsi="宋体" w:eastAsia="宋体" w:cs="Times New Roman"/>
      <w:sz w:val="24"/>
      <w:szCs w:val="24"/>
    </w:rPr>
  </w:style>
  <w:style w:type="paragraph" w:styleId="16">
    <w:name w:val="List Paragraph"/>
    <w:basedOn w:val="1"/>
    <w:qFormat/>
    <w:uiPriority w:val="34"/>
    <w:pPr>
      <w:ind w:firstLine="420" w:firstLineChars="200"/>
    </w:pPr>
  </w:style>
  <w:style w:type="character" w:customStyle="1" w:styleId="17">
    <w:name w:val="批注框文本 Char"/>
    <w:basedOn w:val="10"/>
    <w:link w:val="5"/>
    <w:semiHidden/>
    <w:uiPriority w:val="99"/>
    <w:rPr>
      <w:sz w:val="18"/>
      <w:szCs w:val="18"/>
    </w:rPr>
  </w:style>
  <w:style w:type="paragraph" w:customStyle="1" w:styleId="18">
    <w:name w:val="正文规范名称"/>
    <w:basedOn w:val="2"/>
    <w:link w:val="19"/>
    <w:qFormat/>
    <w:uiPriority w:val="0"/>
    <w:pPr>
      <w:keepLines w:val="0"/>
      <w:spacing w:beforeLines="100" w:afterLines="100" w:line="240" w:lineRule="auto"/>
      <w:jc w:val="center"/>
      <w:outlineLvl w:val="4"/>
    </w:pPr>
    <w:rPr>
      <w:rFonts w:ascii="宋体" w:hAnsi="宋体" w:eastAsia="黑体" w:cs="Times New Roman"/>
      <w:b w:val="0"/>
      <w:bCs w:val="0"/>
      <w:kern w:val="2"/>
      <w:sz w:val="32"/>
      <w:szCs w:val="20"/>
    </w:rPr>
  </w:style>
  <w:style w:type="character" w:customStyle="1" w:styleId="19">
    <w:name w:val="正文规范名称 Char"/>
    <w:link w:val="18"/>
    <w:qFormat/>
    <w:uiPriority w:val="0"/>
    <w:rPr>
      <w:rFonts w:ascii="宋体" w:hAnsi="宋体" w:eastAsia="黑体" w:cs="Times New Roman"/>
      <w:sz w:val="32"/>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7002D-5FE5-4612-9C56-0C86321A94F7}">
  <ds:schemaRefs/>
</ds:datastoreItem>
</file>

<file path=docProps/app.xml><?xml version="1.0" encoding="utf-8"?>
<Properties xmlns="http://schemas.openxmlformats.org/officeDocument/2006/extended-properties" xmlns:vt="http://schemas.openxmlformats.org/officeDocument/2006/docPropsVTypes">
  <Template>Normal</Template>
  <Pages>8</Pages>
  <Words>4667</Words>
  <Characters>5077</Characters>
  <Lines>39</Lines>
  <Paragraphs>11</Paragraphs>
  <TotalTime>460</TotalTime>
  <ScaleCrop>false</ScaleCrop>
  <LinksUpToDate>false</LinksUpToDate>
  <CharactersWithSpaces>5320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2025-12-08T08:12:00Z</dcterms:created>
  <dc:creator>li</dc:creator>
  <cp:lastModifiedBy>古月十尃®</cp:lastModifiedBy>
  <dcterms:modified xsi:type="dcterms:W3CDTF">2026-05-11T07:19:48Z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eyJoZGlkIjoiZjVjOTdlODZkNmViZDViMGRhMTUwMzNkNmM3OTgzODAiLCJ1c2VySWQiOiI0NDc2NDUxODAifQ==</vt:lpwstr>
  </property>
  <property fmtid="{D5CDD505-2E9C-101B-9397-08002B2CF9AE}" pid="3" name="KSOProductBuildVer">
    <vt:lpwstr>2052-12.1.0.25225</vt:lpwstr>
  </property>
  <property fmtid="{D5CDD505-2E9C-101B-9397-08002B2CF9AE}" pid="4" name="ICV">
    <vt:lpwstr>132BBDF40D6D4C71955CC0A206E486B9_12</vt:lpwstr>
  </property>
</Properties>
</file>