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C8640E">
      <w:pPr>
        <w:spacing w:line="360" w:lineRule="auto"/>
        <w:rPr>
          <w:b/>
          <w:sz w:val="48"/>
          <w:szCs w:val="36"/>
        </w:rPr>
      </w:pPr>
    </w:p>
    <w:p w14:paraId="1196086C">
      <w:pPr>
        <w:spacing w:line="360" w:lineRule="auto"/>
        <w:jc w:val="center"/>
        <w:rPr>
          <w:b/>
          <w:sz w:val="48"/>
          <w:szCs w:val="36"/>
        </w:rPr>
      </w:pPr>
    </w:p>
    <w:p w14:paraId="61EAFE3A">
      <w:pPr>
        <w:spacing w:line="360" w:lineRule="auto"/>
        <w:jc w:val="center"/>
        <w:rPr>
          <w:b/>
          <w:sz w:val="48"/>
          <w:szCs w:val="36"/>
        </w:rPr>
      </w:pPr>
    </w:p>
    <w:p w14:paraId="248C1C6B">
      <w:pPr>
        <w:spacing w:line="360" w:lineRule="auto"/>
        <w:jc w:val="center"/>
        <w:rPr>
          <w:b/>
          <w:sz w:val="48"/>
          <w:szCs w:val="36"/>
        </w:rPr>
      </w:pPr>
    </w:p>
    <w:p w14:paraId="11304FD2">
      <w:pPr>
        <w:spacing w:line="480" w:lineRule="auto"/>
        <w:jc w:val="center"/>
        <w:rPr>
          <w:b/>
          <w:sz w:val="48"/>
          <w:szCs w:val="36"/>
        </w:rPr>
      </w:pPr>
    </w:p>
    <w:p w14:paraId="5C48ED69">
      <w:pPr>
        <w:spacing w:line="600" w:lineRule="auto"/>
        <w:jc w:val="center"/>
        <w:rPr>
          <w:b/>
          <w:sz w:val="48"/>
          <w:szCs w:val="36"/>
        </w:rPr>
      </w:pPr>
      <w:r>
        <w:rPr>
          <w:rFonts w:hint="eastAsia"/>
          <w:b/>
          <w:sz w:val="48"/>
          <w:szCs w:val="48"/>
        </w:rPr>
        <w:t>矿用氢气报警器校准规范</w:t>
      </w:r>
    </w:p>
    <w:p w14:paraId="691C4F47">
      <w:pPr>
        <w:spacing w:line="600" w:lineRule="auto"/>
        <w:jc w:val="center"/>
        <w:rPr>
          <w:b/>
          <w:sz w:val="48"/>
          <w:szCs w:val="36"/>
        </w:rPr>
      </w:pPr>
      <w:r>
        <w:rPr>
          <w:b/>
          <w:sz w:val="48"/>
          <w:szCs w:val="36"/>
        </w:rPr>
        <w:t>试验报告</w:t>
      </w:r>
    </w:p>
    <w:p w14:paraId="326BF2CD">
      <w:pPr>
        <w:spacing w:line="360" w:lineRule="auto"/>
        <w:jc w:val="center"/>
        <w:rPr>
          <w:b/>
          <w:sz w:val="36"/>
          <w:szCs w:val="36"/>
        </w:rPr>
      </w:pPr>
    </w:p>
    <w:p w14:paraId="76FF5295">
      <w:pPr>
        <w:spacing w:line="360" w:lineRule="auto"/>
        <w:jc w:val="center"/>
        <w:rPr>
          <w:b/>
          <w:sz w:val="36"/>
          <w:szCs w:val="36"/>
        </w:rPr>
      </w:pPr>
    </w:p>
    <w:p w14:paraId="54632B95">
      <w:pPr>
        <w:spacing w:line="360" w:lineRule="auto"/>
        <w:jc w:val="center"/>
        <w:rPr>
          <w:b/>
          <w:sz w:val="36"/>
          <w:szCs w:val="36"/>
        </w:rPr>
      </w:pPr>
    </w:p>
    <w:p w14:paraId="51B5D6B0">
      <w:pPr>
        <w:spacing w:line="360" w:lineRule="auto"/>
        <w:jc w:val="center"/>
        <w:rPr>
          <w:b/>
          <w:sz w:val="36"/>
          <w:szCs w:val="36"/>
        </w:rPr>
      </w:pPr>
    </w:p>
    <w:p w14:paraId="243924AC">
      <w:pPr>
        <w:spacing w:line="360" w:lineRule="auto"/>
        <w:jc w:val="center"/>
        <w:rPr>
          <w:b/>
          <w:sz w:val="36"/>
          <w:szCs w:val="36"/>
        </w:rPr>
      </w:pPr>
    </w:p>
    <w:p w14:paraId="124D5DFE">
      <w:pPr>
        <w:spacing w:line="360" w:lineRule="auto"/>
        <w:jc w:val="center"/>
        <w:rPr>
          <w:b/>
          <w:sz w:val="36"/>
          <w:szCs w:val="36"/>
        </w:rPr>
      </w:pPr>
    </w:p>
    <w:p w14:paraId="046A9E0E">
      <w:pPr>
        <w:spacing w:line="360" w:lineRule="auto"/>
        <w:jc w:val="center"/>
        <w:rPr>
          <w:b/>
          <w:sz w:val="36"/>
          <w:szCs w:val="36"/>
        </w:rPr>
      </w:pPr>
    </w:p>
    <w:p w14:paraId="2274A15A">
      <w:pPr>
        <w:spacing w:line="360" w:lineRule="auto"/>
        <w:jc w:val="center"/>
        <w:rPr>
          <w:b/>
          <w:sz w:val="36"/>
          <w:szCs w:val="36"/>
        </w:rPr>
      </w:pPr>
    </w:p>
    <w:p w14:paraId="4C24DAC8">
      <w:pPr>
        <w:spacing w:line="360" w:lineRule="auto"/>
        <w:jc w:val="center"/>
        <w:rPr>
          <w:b/>
          <w:sz w:val="36"/>
          <w:szCs w:val="36"/>
        </w:rPr>
      </w:pPr>
    </w:p>
    <w:p w14:paraId="7F422073">
      <w:pPr>
        <w:spacing w:line="360" w:lineRule="auto"/>
        <w:jc w:val="center"/>
        <w:rPr>
          <w:bCs/>
          <w:sz w:val="32"/>
          <w:szCs w:val="36"/>
        </w:rPr>
      </w:pPr>
      <w:r>
        <w:rPr>
          <w:bCs/>
          <w:sz w:val="32"/>
          <w:szCs w:val="36"/>
        </w:rPr>
        <w:t>规范起草小组</w:t>
      </w:r>
    </w:p>
    <w:p w14:paraId="212022DE">
      <w:pPr>
        <w:spacing w:line="360" w:lineRule="auto"/>
        <w:jc w:val="center"/>
        <w:rPr>
          <w:bCs/>
          <w:sz w:val="32"/>
          <w:szCs w:val="36"/>
        </w:rPr>
      </w:pPr>
      <w:r>
        <w:rPr>
          <w:bCs/>
          <w:sz w:val="32"/>
          <w:szCs w:val="36"/>
        </w:rPr>
        <w:t>20</w:t>
      </w:r>
      <w:r>
        <w:rPr>
          <w:rFonts w:hint="eastAsia"/>
          <w:bCs/>
          <w:sz w:val="32"/>
          <w:szCs w:val="36"/>
        </w:rPr>
        <w:t>26</w:t>
      </w:r>
      <w:r>
        <w:rPr>
          <w:bCs/>
          <w:sz w:val="32"/>
          <w:szCs w:val="36"/>
        </w:rPr>
        <w:t>年</w:t>
      </w:r>
      <w:r>
        <w:rPr>
          <w:rFonts w:hint="eastAsia"/>
          <w:bCs/>
          <w:sz w:val="32"/>
          <w:szCs w:val="36"/>
        </w:rPr>
        <w:t>03</w:t>
      </w:r>
      <w:r>
        <w:rPr>
          <w:bCs/>
          <w:sz w:val="32"/>
          <w:szCs w:val="36"/>
        </w:rPr>
        <w:t>月</w:t>
      </w:r>
      <w:r>
        <w:rPr>
          <w:rFonts w:hint="eastAsia"/>
          <w:bCs/>
          <w:sz w:val="32"/>
          <w:szCs w:val="36"/>
        </w:rPr>
        <w:t>18</w:t>
      </w:r>
      <w:r>
        <w:rPr>
          <w:bCs/>
          <w:sz w:val="32"/>
          <w:szCs w:val="36"/>
        </w:rPr>
        <w:t>日</w:t>
      </w:r>
    </w:p>
    <w:p w14:paraId="3AE1EF15">
      <w:pPr>
        <w:jc w:val="center"/>
      </w:pPr>
    </w:p>
    <w:p w14:paraId="4CE45BA6">
      <w:pPr>
        <w:jc w:val="center"/>
      </w:pPr>
    </w:p>
    <w:p w14:paraId="19403BC0">
      <w:pPr>
        <w:jc w:val="center"/>
      </w:pPr>
    </w:p>
    <w:p w14:paraId="070D79AF">
      <w:pPr>
        <w:jc w:val="center"/>
      </w:pPr>
    </w:p>
    <w:p w14:paraId="76C4D20B">
      <w:pPr>
        <w:jc w:val="center"/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418" w:right="1134" w:bottom="1304" w:left="1418" w:header="851" w:footer="992" w:gutter="0"/>
          <w:cols w:space="720" w:num="1"/>
          <w:titlePg/>
          <w:docGrid w:type="lines" w:linePitch="312" w:charSpace="0"/>
        </w:sectPr>
      </w:pPr>
    </w:p>
    <w:p w14:paraId="60B8F3E5">
      <w:pPr>
        <w:jc w:val="center"/>
      </w:pPr>
    </w:p>
    <w:p w14:paraId="1C5AC0EA">
      <w:pPr>
        <w:jc w:val="center"/>
      </w:pPr>
    </w:p>
    <w:p w14:paraId="68D4C353">
      <w:pPr>
        <w:jc w:val="center"/>
      </w:pPr>
    </w:p>
    <w:p w14:paraId="2EFB2FFE">
      <w:pPr>
        <w:jc w:val="center"/>
      </w:pPr>
    </w:p>
    <w:p w14:paraId="36A606FF">
      <w:pPr>
        <w:jc w:val="center"/>
        <w:rPr>
          <w:rFonts w:eastAsia="黑体"/>
          <w:b/>
          <w:sz w:val="36"/>
          <w:szCs w:val="36"/>
        </w:rPr>
      </w:pPr>
      <w:r>
        <w:rPr>
          <w:rFonts w:hint="eastAsia" w:eastAsia="黑体"/>
          <w:b/>
          <w:sz w:val="36"/>
          <w:szCs w:val="36"/>
        </w:rPr>
        <w:t>矿用氢气报警器校准规范</w:t>
      </w:r>
      <w:r>
        <w:rPr>
          <w:rFonts w:eastAsia="黑体"/>
          <w:b/>
          <w:sz w:val="36"/>
          <w:szCs w:val="36"/>
        </w:rPr>
        <w:t>试验报告</w:t>
      </w:r>
    </w:p>
    <w:p w14:paraId="2016A499">
      <w:pPr>
        <w:spacing w:beforeLines="50" w:afterLines="50" w:line="360" w:lineRule="auto"/>
        <w:rPr>
          <w:rFonts w:eastAsia="黑体"/>
          <w:sz w:val="24"/>
        </w:rPr>
      </w:pPr>
      <w:r>
        <w:rPr>
          <w:rFonts w:eastAsia="黑体"/>
          <w:sz w:val="24"/>
        </w:rPr>
        <w:t>1 试验目的</w:t>
      </w:r>
    </w:p>
    <w:p w14:paraId="43B19520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在《</w:t>
      </w:r>
      <w:r>
        <w:rPr>
          <w:rFonts w:hint="eastAsia"/>
          <w:sz w:val="24"/>
        </w:rPr>
        <w:t>矿用氢气报警器</w:t>
      </w:r>
      <w:r>
        <w:rPr>
          <w:sz w:val="24"/>
        </w:rPr>
        <w:t>》校准规范的制定过程中，为了合理的确定各校准项目的技术要求及校准方法，我们对</w:t>
      </w:r>
      <w:r>
        <w:rPr>
          <w:rFonts w:hint="eastAsia"/>
          <w:sz w:val="24"/>
        </w:rPr>
        <w:t>矿用氢气报警器</w:t>
      </w:r>
      <w:r>
        <w:rPr>
          <w:sz w:val="24"/>
        </w:rPr>
        <w:t>校准规范中提出的校准项目进行了试验。</w:t>
      </w:r>
    </w:p>
    <w:p w14:paraId="4D828CE9">
      <w:pPr>
        <w:spacing w:beforeLines="50" w:afterLines="50" w:line="360" w:lineRule="auto"/>
        <w:rPr>
          <w:rFonts w:eastAsia="黑体"/>
          <w:sz w:val="24"/>
        </w:rPr>
      </w:pPr>
      <w:r>
        <w:rPr>
          <w:rFonts w:eastAsia="黑体"/>
          <w:sz w:val="24"/>
        </w:rPr>
        <w:t>2 试验方法</w:t>
      </w:r>
    </w:p>
    <w:p w14:paraId="0960C052">
      <w:pPr>
        <w:spacing w:line="360" w:lineRule="auto"/>
        <w:ind w:firstLine="720" w:firstLineChars="300"/>
        <w:jc w:val="left"/>
        <w:rPr>
          <w:sz w:val="24"/>
        </w:rPr>
      </w:pPr>
      <w:r>
        <w:rPr>
          <w:sz w:val="24"/>
        </w:rPr>
        <w:t>依据《</w:t>
      </w:r>
      <w:r>
        <w:rPr>
          <w:rFonts w:hint="eastAsia"/>
          <w:sz w:val="24"/>
        </w:rPr>
        <w:t>矿用氢气报警器</w:t>
      </w:r>
      <w:r>
        <w:rPr>
          <w:sz w:val="24"/>
        </w:rPr>
        <w:t>校准规范》的</w:t>
      </w:r>
      <w:r>
        <w:rPr>
          <w:rFonts w:hint="eastAsia"/>
          <w:sz w:val="24"/>
        </w:rPr>
        <w:t>6</w:t>
      </w:r>
      <w:r>
        <w:rPr>
          <w:sz w:val="24"/>
        </w:rPr>
        <w:t>.2条款给出的校准方法对被校</w:t>
      </w:r>
      <w:r>
        <w:rPr>
          <w:rFonts w:hint="eastAsia"/>
          <w:sz w:val="24"/>
        </w:rPr>
        <w:t>矿用氢气报警器</w:t>
      </w:r>
      <w:r>
        <w:rPr>
          <w:sz w:val="24"/>
        </w:rPr>
        <w:t>进行了试验。</w:t>
      </w:r>
    </w:p>
    <w:p w14:paraId="4BDD4168">
      <w:pPr>
        <w:spacing w:beforeLines="50" w:afterLines="50" w:line="360" w:lineRule="auto"/>
        <w:rPr>
          <w:rFonts w:ascii="黑体" w:hAnsi="黑体" w:eastAsia="黑体"/>
          <w:sz w:val="24"/>
        </w:rPr>
      </w:pPr>
      <w:r>
        <w:rPr>
          <w:rFonts w:ascii="黑体" w:hAnsi="黑体" w:eastAsia="黑体"/>
          <w:sz w:val="24"/>
        </w:rPr>
        <w:t>3 环境条件、标准设备与</w:t>
      </w:r>
      <w:r>
        <w:rPr>
          <w:rFonts w:hint="eastAsia" w:ascii="黑体" w:hAnsi="黑体" w:eastAsia="黑体"/>
          <w:sz w:val="24"/>
        </w:rPr>
        <w:t>矿用氢气报警器</w:t>
      </w:r>
      <w:r>
        <w:rPr>
          <w:rFonts w:ascii="黑体" w:hAnsi="黑体" w:eastAsia="黑体"/>
          <w:sz w:val="24"/>
        </w:rPr>
        <w:t>基本信息</w:t>
      </w:r>
    </w:p>
    <w:p w14:paraId="79B35EE0">
      <w:pPr>
        <w:spacing w:afterLines="50"/>
        <w:rPr>
          <w:sz w:val="24"/>
        </w:rPr>
      </w:pPr>
      <w:r>
        <w:rPr>
          <w:sz w:val="24"/>
        </w:rPr>
        <w:t>3.1 试验环境条件</w:t>
      </w:r>
    </w:p>
    <w:p w14:paraId="2C03C9C6">
      <w:pPr>
        <w:spacing w:line="360" w:lineRule="auto"/>
        <w:ind w:firstLine="465"/>
        <w:rPr>
          <w:sz w:val="24"/>
        </w:rPr>
      </w:pPr>
      <w:r>
        <w:rPr>
          <w:sz w:val="24"/>
        </w:rPr>
        <w:t>a) 环境温度：</w:t>
      </w:r>
      <w:r>
        <w:rPr>
          <w:rFonts w:hint="eastAsia"/>
          <w:sz w:val="24"/>
        </w:rPr>
        <w:t>（15</w:t>
      </w:r>
      <w:r>
        <w:rPr>
          <w:rFonts w:hint="eastAsia"/>
          <w:sz w:val="24"/>
          <w:lang w:val="en-US" w:eastAsia="zh-CN"/>
        </w:rPr>
        <w:t>～</w:t>
      </w:r>
      <w:r>
        <w:rPr>
          <w:rFonts w:hint="eastAsia"/>
          <w:sz w:val="24"/>
        </w:rPr>
        <w:t>35）</w:t>
      </w:r>
      <w:r>
        <w:rPr>
          <w:sz w:val="24"/>
        </w:rPr>
        <w:t>℃</w:t>
      </w:r>
      <w:r>
        <w:rPr>
          <w:rFonts w:hint="eastAsia"/>
          <w:sz w:val="24"/>
        </w:rPr>
        <w:t>；</w:t>
      </w:r>
    </w:p>
    <w:p w14:paraId="63F3D84B">
      <w:pPr>
        <w:pStyle w:val="20"/>
        <w:spacing w:line="360" w:lineRule="auto"/>
        <w:ind w:firstLine="480" w:firstLineChars="200"/>
      </w:pPr>
      <w:r>
        <w:rPr>
          <w:rFonts w:hint="eastAsia"/>
        </w:rPr>
        <w:t xml:space="preserve">   湿度：≤85</w:t>
      </w:r>
      <w:r>
        <w:rPr>
          <w:rFonts w:hint="eastAsia" w:ascii="Calibri" w:hAnsi="Calibri"/>
        </w:rPr>
        <w:t>%RH；</w:t>
      </w:r>
    </w:p>
    <w:p w14:paraId="1B74F55C">
      <w:pPr>
        <w:spacing w:line="360" w:lineRule="auto"/>
        <w:ind w:firstLine="480"/>
        <w:rPr>
          <w:color w:val="FF0000"/>
          <w:sz w:val="24"/>
        </w:rPr>
      </w:pPr>
      <w:r>
        <w:rPr>
          <w:rFonts w:hint="eastAsia"/>
          <w:sz w:val="24"/>
        </w:rPr>
        <w:t>b</w:t>
      </w:r>
      <w:r>
        <w:rPr>
          <w:sz w:val="24"/>
        </w:rPr>
        <w:t>)试验日期：20</w:t>
      </w:r>
      <w:r>
        <w:rPr>
          <w:rFonts w:hint="eastAsia"/>
          <w:sz w:val="24"/>
        </w:rPr>
        <w:t>25</w:t>
      </w:r>
      <w:r>
        <w:rPr>
          <w:sz w:val="24"/>
        </w:rPr>
        <w:t>.</w:t>
      </w:r>
      <w:r>
        <w:rPr>
          <w:rFonts w:hint="eastAsia"/>
          <w:sz w:val="24"/>
        </w:rPr>
        <w:t>12</w:t>
      </w:r>
      <w:r>
        <w:rPr>
          <w:sz w:val="24"/>
        </w:rPr>
        <w:t>.</w:t>
      </w:r>
      <w:r>
        <w:rPr>
          <w:rFonts w:hint="eastAsia"/>
          <w:sz w:val="24"/>
        </w:rPr>
        <w:t>1</w:t>
      </w:r>
      <w:r>
        <w:rPr>
          <w:sz w:val="24"/>
        </w:rPr>
        <w:t>8～20</w:t>
      </w:r>
      <w:r>
        <w:rPr>
          <w:rFonts w:hint="eastAsia"/>
          <w:sz w:val="24"/>
        </w:rPr>
        <w:t>26</w:t>
      </w:r>
      <w:r>
        <w:rPr>
          <w:sz w:val="24"/>
        </w:rPr>
        <w:t>.</w:t>
      </w:r>
      <w:r>
        <w:rPr>
          <w:rFonts w:hint="eastAsia"/>
          <w:sz w:val="24"/>
        </w:rPr>
        <w:t>03</w:t>
      </w:r>
      <w:r>
        <w:rPr>
          <w:sz w:val="24"/>
        </w:rPr>
        <w:t>.1</w:t>
      </w:r>
      <w:r>
        <w:rPr>
          <w:rFonts w:hint="eastAsia"/>
          <w:sz w:val="24"/>
        </w:rPr>
        <w:t>8</w:t>
      </w:r>
    </w:p>
    <w:p w14:paraId="25B9032A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c</w:t>
      </w:r>
      <w:r>
        <w:rPr>
          <w:sz w:val="24"/>
        </w:rPr>
        <w:t>) 试验地点：</w:t>
      </w:r>
      <w:r>
        <w:rPr>
          <w:rFonts w:hint="eastAsia"/>
          <w:sz w:val="24"/>
        </w:rPr>
        <w:t>六盘水市检验检测中心214室</w:t>
      </w:r>
    </w:p>
    <w:p w14:paraId="14FBD44E">
      <w:pPr>
        <w:spacing w:line="360" w:lineRule="auto"/>
        <w:ind w:firstLine="480" w:firstLineChars="200"/>
        <w:rPr>
          <w:color w:val="auto"/>
          <w:sz w:val="24"/>
        </w:rPr>
      </w:pPr>
      <w:r>
        <w:rPr>
          <w:rFonts w:hint="eastAsia"/>
          <w:color w:val="auto"/>
          <w:sz w:val="24"/>
        </w:rPr>
        <w:t>d</w:t>
      </w:r>
      <w:r>
        <w:rPr>
          <w:color w:val="auto"/>
          <w:sz w:val="24"/>
        </w:rPr>
        <w:t xml:space="preserve"> 试验人员：</w:t>
      </w:r>
      <w:r>
        <w:rPr>
          <w:rFonts w:hint="eastAsia"/>
          <w:color w:val="auto"/>
          <w:sz w:val="24"/>
        </w:rPr>
        <w:t>李梅静、程禹宁、邵诗衢、文柳、杨俊旋、宋政鉴、郑钧尹</w:t>
      </w:r>
    </w:p>
    <w:p w14:paraId="44093569">
      <w:pPr>
        <w:spacing w:afterLines="50"/>
        <w:jc w:val="left"/>
        <w:rPr>
          <w:sz w:val="24"/>
        </w:rPr>
      </w:pPr>
      <w:r>
        <w:rPr>
          <w:sz w:val="24"/>
        </w:rPr>
        <w:t>3.2 主要标准设备</w:t>
      </w:r>
    </w:p>
    <w:tbl>
      <w:tblPr>
        <w:tblStyle w:val="11"/>
        <w:tblW w:w="955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6"/>
        <w:gridCol w:w="992"/>
        <w:gridCol w:w="1687"/>
        <w:gridCol w:w="2450"/>
        <w:gridCol w:w="1675"/>
        <w:gridCol w:w="1293"/>
      </w:tblGrid>
      <w:tr w14:paraId="627666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  <w:jc w:val="center"/>
        </w:trPr>
        <w:tc>
          <w:tcPr>
            <w:tcW w:w="1456" w:type="dxa"/>
            <w:vAlign w:val="center"/>
          </w:tcPr>
          <w:p w14:paraId="503BFB75">
            <w:pPr>
              <w:spacing w:before="100" w:before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标准器名称</w:t>
            </w:r>
          </w:p>
        </w:tc>
        <w:tc>
          <w:tcPr>
            <w:tcW w:w="992" w:type="dxa"/>
            <w:vAlign w:val="center"/>
          </w:tcPr>
          <w:p w14:paraId="5E8AE6B9">
            <w:pPr>
              <w:spacing w:before="100" w:before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型号规格</w:t>
            </w:r>
          </w:p>
        </w:tc>
        <w:tc>
          <w:tcPr>
            <w:tcW w:w="1687" w:type="dxa"/>
            <w:vAlign w:val="center"/>
          </w:tcPr>
          <w:p w14:paraId="386DCCD5">
            <w:pPr>
              <w:spacing w:before="100" w:before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生产厂家及出厂编号</w:t>
            </w:r>
          </w:p>
        </w:tc>
        <w:tc>
          <w:tcPr>
            <w:tcW w:w="2450" w:type="dxa"/>
            <w:tcBorders>
              <w:right w:val="single" w:color="auto" w:sz="4" w:space="0"/>
            </w:tcBorders>
            <w:vAlign w:val="center"/>
          </w:tcPr>
          <w:p w14:paraId="37EF0D70">
            <w:pPr>
              <w:spacing w:before="100" w:before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不确定度或最大允许误差或准确度等级</w:t>
            </w:r>
          </w:p>
        </w:tc>
        <w:tc>
          <w:tcPr>
            <w:tcW w:w="167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79497B3">
            <w:pPr>
              <w:spacing w:before="100" w:before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测量范围</w:t>
            </w:r>
          </w:p>
        </w:tc>
        <w:tc>
          <w:tcPr>
            <w:tcW w:w="1293" w:type="dxa"/>
            <w:tcBorders>
              <w:left w:val="single" w:color="auto" w:sz="4" w:space="0"/>
            </w:tcBorders>
            <w:vAlign w:val="center"/>
          </w:tcPr>
          <w:p w14:paraId="33DDE447">
            <w:pPr>
              <w:spacing w:before="100" w:before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有效期至</w:t>
            </w:r>
          </w:p>
        </w:tc>
      </w:tr>
      <w:tr w14:paraId="17E0A0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56" w:type="dxa"/>
            <w:vAlign w:val="center"/>
          </w:tcPr>
          <w:p w14:paraId="1BD3A06F">
            <w:pPr>
              <w:jc w:val="center"/>
              <w:rPr>
                <w:color w:val="FF0000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空气中氢气标准物质</w:t>
            </w:r>
          </w:p>
        </w:tc>
        <w:tc>
          <w:tcPr>
            <w:tcW w:w="992" w:type="dxa"/>
            <w:vAlign w:val="center"/>
          </w:tcPr>
          <w:p w14:paraId="2DAB247F">
            <w:pPr>
              <w:bidi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sz w:val="21"/>
                <w:szCs w:val="21"/>
                <w:lang w:val="de-DE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  <w:t>GBW(E)06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  <w:t>3294</w:t>
            </w:r>
          </w:p>
        </w:tc>
        <w:tc>
          <w:tcPr>
            <w:tcW w:w="1687" w:type="dxa"/>
            <w:vAlign w:val="center"/>
          </w:tcPr>
          <w:p w14:paraId="341B4E55">
            <w:pPr>
              <w:bidi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  <w:t>重庆市标物科技有限公司/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sz w:val="21"/>
                <w:szCs w:val="21"/>
                <w:lang w:val="de-DE" w:eastAsia="zh-CN"/>
              </w:rPr>
              <w:t>163231707043</w:t>
            </w:r>
          </w:p>
        </w:tc>
        <w:tc>
          <w:tcPr>
            <w:tcW w:w="2450" w:type="dxa"/>
            <w:tcBorders>
              <w:right w:val="single" w:color="auto" w:sz="4" w:space="0"/>
            </w:tcBorders>
            <w:vAlign w:val="center"/>
          </w:tcPr>
          <w:p w14:paraId="5D14F671">
            <w:pPr>
              <w:bidi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  <w:t>Urel=2%，k=2</w:t>
            </w:r>
          </w:p>
        </w:tc>
        <w:tc>
          <w:tcPr>
            <w:tcW w:w="167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027EA4">
            <w:pPr>
              <w:bidi w:val="0"/>
              <w:jc w:val="center"/>
              <w:rPr>
                <w:rFonts w:hint="eastAsia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  <w:t>250</w:t>
            </w:r>
          </w:p>
          <w:p w14:paraId="797476AF">
            <w:pPr>
              <w:bidi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  <w:t>µmol/mol</w:t>
            </w:r>
          </w:p>
        </w:tc>
        <w:tc>
          <w:tcPr>
            <w:tcW w:w="1293" w:type="dxa"/>
            <w:tcBorders>
              <w:left w:val="single" w:color="auto" w:sz="4" w:space="0"/>
            </w:tcBorders>
            <w:vAlign w:val="center"/>
          </w:tcPr>
          <w:p w14:paraId="6E55D548">
            <w:pPr>
              <w:bidi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  <w:t>2026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  <w:t>.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  <w:t>11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  <w:t>.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  <w:t>06</w:t>
            </w:r>
          </w:p>
        </w:tc>
      </w:tr>
      <w:tr w14:paraId="053452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56" w:type="dxa"/>
            <w:vAlign w:val="center"/>
          </w:tcPr>
          <w:p w14:paraId="0DE07F28">
            <w:pPr>
              <w:jc w:val="center"/>
              <w:rPr>
                <w:color w:val="FF0000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空气中氢气标准物质</w:t>
            </w:r>
          </w:p>
        </w:tc>
        <w:tc>
          <w:tcPr>
            <w:tcW w:w="992" w:type="dxa"/>
            <w:vAlign w:val="center"/>
          </w:tcPr>
          <w:p w14:paraId="0FBD1D79">
            <w:pPr>
              <w:bidi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  <w:t>GBW(E)06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  <w:t>3294</w:t>
            </w:r>
          </w:p>
        </w:tc>
        <w:tc>
          <w:tcPr>
            <w:tcW w:w="1687" w:type="dxa"/>
            <w:vAlign w:val="center"/>
          </w:tcPr>
          <w:p w14:paraId="53F522E3">
            <w:pPr>
              <w:bidi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  <w:t>重庆市标物科技有限公司/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sz w:val="21"/>
                <w:szCs w:val="21"/>
                <w:lang w:val="de-DE" w:eastAsia="zh-CN"/>
              </w:rPr>
              <w:t>163268903105</w:t>
            </w:r>
          </w:p>
        </w:tc>
        <w:tc>
          <w:tcPr>
            <w:tcW w:w="2450" w:type="dxa"/>
            <w:tcBorders>
              <w:right w:val="single" w:color="auto" w:sz="4" w:space="0"/>
            </w:tcBorders>
            <w:vAlign w:val="center"/>
          </w:tcPr>
          <w:p w14:paraId="1CF22A9B">
            <w:pPr>
              <w:bidi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  <w:t>Urel=2%，k=2</w:t>
            </w:r>
          </w:p>
        </w:tc>
        <w:tc>
          <w:tcPr>
            <w:tcW w:w="167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A9FA84">
            <w:pPr>
              <w:bidi w:val="0"/>
              <w:jc w:val="center"/>
              <w:rPr>
                <w:rFonts w:hint="eastAsia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  <w:t>500</w:t>
            </w:r>
          </w:p>
          <w:p w14:paraId="15F7ABFA">
            <w:pPr>
              <w:bidi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  <w:t>µmol/mol</w:t>
            </w:r>
          </w:p>
        </w:tc>
        <w:tc>
          <w:tcPr>
            <w:tcW w:w="1293" w:type="dxa"/>
            <w:tcBorders>
              <w:left w:val="single" w:color="auto" w:sz="4" w:space="0"/>
            </w:tcBorders>
            <w:vAlign w:val="center"/>
          </w:tcPr>
          <w:p w14:paraId="2D761908">
            <w:pPr>
              <w:bidi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  <w:t>2026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  <w:t>.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  <w:t>11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  <w:t>.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  <w:t>06</w:t>
            </w:r>
          </w:p>
        </w:tc>
      </w:tr>
      <w:tr w14:paraId="6446FC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56" w:type="dxa"/>
            <w:vAlign w:val="center"/>
          </w:tcPr>
          <w:p w14:paraId="33E33CE1">
            <w:pPr>
              <w:jc w:val="center"/>
              <w:rPr>
                <w:color w:val="FF0000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空气中氢气标准物质</w:t>
            </w:r>
          </w:p>
        </w:tc>
        <w:tc>
          <w:tcPr>
            <w:tcW w:w="992" w:type="dxa"/>
            <w:vAlign w:val="center"/>
          </w:tcPr>
          <w:p w14:paraId="769900EF">
            <w:pPr>
              <w:bidi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  <w:t>GBW(E)06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  <w:t>3294</w:t>
            </w:r>
          </w:p>
        </w:tc>
        <w:tc>
          <w:tcPr>
            <w:tcW w:w="1687" w:type="dxa"/>
            <w:vAlign w:val="center"/>
          </w:tcPr>
          <w:p w14:paraId="12DC1596">
            <w:pPr>
              <w:bidi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  <w:t>重庆市标物科技有限公司/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sz w:val="21"/>
                <w:szCs w:val="21"/>
                <w:lang w:val="de-DE" w:eastAsia="zh-CN"/>
              </w:rPr>
              <w:t>163276404108</w:t>
            </w:r>
          </w:p>
        </w:tc>
        <w:tc>
          <w:tcPr>
            <w:tcW w:w="2450" w:type="dxa"/>
            <w:tcBorders>
              <w:right w:val="single" w:color="auto" w:sz="4" w:space="0"/>
            </w:tcBorders>
            <w:vAlign w:val="center"/>
          </w:tcPr>
          <w:p w14:paraId="0877BF60">
            <w:pPr>
              <w:bidi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  <w:t>Urel=2%，k=2</w:t>
            </w:r>
          </w:p>
        </w:tc>
        <w:tc>
          <w:tcPr>
            <w:tcW w:w="167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6D6EAA">
            <w:pPr>
              <w:bidi w:val="0"/>
              <w:jc w:val="center"/>
              <w:rPr>
                <w:rFonts w:hint="eastAsia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  <w:t>750</w:t>
            </w:r>
          </w:p>
          <w:p w14:paraId="26A88D70">
            <w:pPr>
              <w:bidi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  <w:t>µmol/mol</w:t>
            </w:r>
          </w:p>
        </w:tc>
        <w:tc>
          <w:tcPr>
            <w:tcW w:w="1293" w:type="dxa"/>
            <w:tcBorders>
              <w:left w:val="single" w:color="auto" w:sz="4" w:space="0"/>
            </w:tcBorders>
            <w:vAlign w:val="center"/>
          </w:tcPr>
          <w:p w14:paraId="75FBC992">
            <w:pPr>
              <w:bidi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  <w:t>2026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  <w:t>.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  <w:t>11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  <w:t>.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  <w:t>06</w:t>
            </w:r>
          </w:p>
        </w:tc>
      </w:tr>
      <w:tr w14:paraId="42392D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56" w:type="dxa"/>
            <w:vAlign w:val="center"/>
          </w:tcPr>
          <w:p w14:paraId="1F5350D7">
            <w:pPr>
              <w:jc w:val="center"/>
              <w:rPr>
                <w:rFonts w:hint="default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纯氮气体</w:t>
            </w:r>
          </w:p>
        </w:tc>
        <w:tc>
          <w:tcPr>
            <w:tcW w:w="992" w:type="dxa"/>
            <w:vAlign w:val="center"/>
          </w:tcPr>
          <w:p w14:paraId="59A091E5">
            <w:pPr>
              <w:bidi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  <w:t>BWQ06060001</w:t>
            </w:r>
          </w:p>
        </w:tc>
        <w:tc>
          <w:tcPr>
            <w:tcW w:w="1687" w:type="dxa"/>
            <w:vAlign w:val="center"/>
          </w:tcPr>
          <w:p w14:paraId="4E61920C">
            <w:pPr>
              <w:bidi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  <w:t>四川中测标物科技有限公司/93212020</w:t>
            </w:r>
          </w:p>
        </w:tc>
        <w:tc>
          <w:tcPr>
            <w:tcW w:w="2450" w:type="dxa"/>
            <w:tcBorders>
              <w:right w:val="single" w:color="auto" w:sz="4" w:space="0"/>
            </w:tcBorders>
            <w:vAlign w:val="center"/>
          </w:tcPr>
          <w:p w14:paraId="2A805ED9">
            <w:pPr>
              <w:bidi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  <w:t>纯度≥99.99%</w:t>
            </w:r>
          </w:p>
        </w:tc>
        <w:tc>
          <w:tcPr>
            <w:tcW w:w="167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8D27AB">
            <w:pPr>
              <w:bidi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  <w:t>99.999%</w:t>
            </w:r>
          </w:p>
        </w:tc>
        <w:tc>
          <w:tcPr>
            <w:tcW w:w="1293" w:type="dxa"/>
            <w:tcBorders>
              <w:left w:val="single" w:color="auto" w:sz="4" w:space="0"/>
            </w:tcBorders>
            <w:vAlign w:val="center"/>
          </w:tcPr>
          <w:p w14:paraId="300A0FA1">
            <w:pPr>
              <w:bidi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  <w:t>2026.11.20</w:t>
            </w:r>
          </w:p>
        </w:tc>
      </w:tr>
      <w:tr w14:paraId="04706E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56" w:type="dxa"/>
            <w:vAlign w:val="center"/>
          </w:tcPr>
          <w:p w14:paraId="6DBF18B4">
            <w:pPr>
              <w:jc w:val="center"/>
              <w:rPr>
                <w:rFonts w:hint="default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电子秒表</w:t>
            </w:r>
          </w:p>
        </w:tc>
        <w:tc>
          <w:tcPr>
            <w:tcW w:w="992" w:type="dxa"/>
            <w:vAlign w:val="center"/>
          </w:tcPr>
          <w:p w14:paraId="55598E44">
            <w:pPr>
              <w:bidi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  <w:t>PS-1003A</w:t>
            </w:r>
          </w:p>
        </w:tc>
        <w:tc>
          <w:tcPr>
            <w:tcW w:w="1687" w:type="dxa"/>
            <w:vAlign w:val="center"/>
          </w:tcPr>
          <w:p w14:paraId="60058BEB">
            <w:pPr>
              <w:bidi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  <w:t>深圳市追日电子科技有限公司/001</w:t>
            </w:r>
          </w:p>
        </w:tc>
        <w:tc>
          <w:tcPr>
            <w:tcW w:w="2450" w:type="dxa"/>
            <w:tcBorders>
              <w:right w:val="single" w:color="auto" w:sz="4" w:space="0"/>
            </w:tcBorders>
            <w:vAlign w:val="center"/>
          </w:tcPr>
          <w:p w14:paraId="2607E290">
            <w:pPr>
              <w:bidi w:val="0"/>
              <w:jc w:val="center"/>
              <w:rPr>
                <w:rFonts w:hint="eastAsia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  <w:t>最大允许误差±0.10s/h</w:t>
            </w:r>
          </w:p>
        </w:tc>
        <w:tc>
          <w:tcPr>
            <w:tcW w:w="167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20955EE">
            <w:pPr>
              <w:bidi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  <w:t>（0～99999）s</w:t>
            </w:r>
          </w:p>
        </w:tc>
        <w:tc>
          <w:tcPr>
            <w:tcW w:w="1293" w:type="dxa"/>
            <w:tcBorders>
              <w:left w:val="single" w:color="auto" w:sz="4" w:space="0"/>
            </w:tcBorders>
            <w:vAlign w:val="center"/>
          </w:tcPr>
          <w:p w14:paraId="34011D58">
            <w:pPr>
              <w:bidi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  <w:t>2027.02.06</w:t>
            </w:r>
          </w:p>
        </w:tc>
      </w:tr>
      <w:tr w14:paraId="731F12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56" w:type="dxa"/>
            <w:vAlign w:val="center"/>
          </w:tcPr>
          <w:p w14:paraId="00A9F4EE">
            <w:pPr>
              <w:bidi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  <w:t>浮子流量计</w:t>
            </w:r>
          </w:p>
        </w:tc>
        <w:tc>
          <w:tcPr>
            <w:tcW w:w="992" w:type="dxa"/>
            <w:vAlign w:val="center"/>
          </w:tcPr>
          <w:p w14:paraId="626E0E80">
            <w:pPr>
              <w:bidi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  <w:t>LZB-3WB</w:t>
            </w:r>
          </w:p>
        </w:tc>
        <w:tc>
          <w:tcPr>
            <w:tcW w:w="1687" w:type="dxa"/>
            <w:vAlign w:val="center"/>
          </w:tcPr>
          <w:p w14:paraId="1EE5F95C">
            <w:pPr>
              <w:bidi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  <w:t>成丰仪表/290</w:t>
            </w:r>
          </w:p>
        </w:tc>
        <w:tc>
          <w:tcPr>
            <w:tcW w:w="2450" w:type="dxa"/>
            <w:tcBorders>
              <w:right w:val="single" w:color="auto" w:sz="4" w:space="0"/>
            </w:tcBorders>
            <w:vAlign w:val="center"/>
          </w:tcPr>
          <w:p w14:paraId="5C76A2EC">
            <w:pPr>
              <w:bidi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  <w:t>4.0级</w:t>
            </w:r>
          </w:p>
        </w:tc>
        <w:tc>
          <w:tcPr>
            <w:tcW w:w="167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9E66591">
            <w:pPr>
              <w:bidi w:val="0"/>
              <w:jc w:val="center"/>
              <w:rPr>
                <w:rFonts w:hint="eastAsia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  <w:t>(60～600) mL/min</w:t>
            </w:r>
          </w:p>
        </w:tc>
        <w:tc>
          <w:tcPr>
            <w:tcW w:w="1293" w:type="dxa"/>
            <w:tcBorders>
              <w:left w:val="single" w:color="auto" w:sz="4" w:space="0"/>
            </w:tcBorders>
            <w:vAlign w:val="center"/>
          </w:tcPr>
          <w:p w14:paraId="107F718F">
            <w:pPr>
              <w:bidi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  <w:t>2027.01.14</w:t>
            </w:r>
          </w:p>
        </w:tc>
      </w:tr>
      <w:tr w14:paraId="3E651F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56" w:type="dxa"/>
            <w:vAlign w:val="center"/>
          </w:tcPr>
          <w:p w14:paraId="6FB01E70">
            <w:pPr>
              <w:bidi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  <w:t>声级计</w:t>
            </w:r>
          </w:p>
        </w:tc>
        <w:tc>
          <w:tcPr>
            <w:tcW w:w="992" w:type="dxa"/>
            <w:vAlign w:val="center"/>
          </w:tcPr>
          <w:p w14:paraId="2DDA9988">
            <w:pPr>
              <w:bidi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  <w:t>AWA563.6</w:t>
            </w:r>
          </w:p>
        </w:tc>
        <w:tc>
          <w:tcPr>
            <w:tcW w:w="1687" w:type="dxa"/>
            <w:vAlign w:val="center"/>
          </w:tcPr>
          <w:p w14:paraId="0612F27F">
            <w:pPr>
              <w:bidi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  <w:t>杭州爱华仪器有限公司/398740</w:t>
            </w:r>
          </w:p>
        </w:tc>
        <w:tc>
          <w:tcPr>
            <w:tcW w:w="2450" w:type="dxa"/>
            <w:tcBorders>
              <w:right w:val="single" w:color="auto" w:sz="4" w:space="0"/>
            </w:tcBorders>
            <w:vAlign w:val="center"/>
          </w:tcPr>
          <w:p w14:paraId="7CA80266">
            <w:pPr>
              <w:bidi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  <w:t>2级</w:t>
            </w:r>
          </w:p>
        </w:tc>
        <w:tc>
          <w:tcPr>
            <w:tcW w:w="167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A92BB1D">
            <w:pPr>
              <w:bidi w:val="0"/>
              <w:jc w:val="center"/>
              <w:rPr>
                <w:rFonts w:hint="eastAsia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  <w:t>(30～130)dB(A)</w:t>
            </w:r>
          </w:p>
        </w:tc>
        <w:tc>
          <w:tcPr>
            <w:tcW w:w="1293" w:type="dxa"/>
            <w:tcBorders>
              <w:left w:val="single" w:color="auto" w:sz="4" w:space="0"/>
            </w:tcBorders>
            <w:vAlign w:val="center"/>
          </w:tcPr>
          <w:p w14:paraId="61195413">
            <w:pPr>
              <w:bidi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  <w:t>2026.12.30</w:t>
            </w:r>
          </w:p>
        </w:tc>
      </w:tr>
      <w:tr w14:paraId="650A0F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56" w:type="dxa"/>
            <w:vAlign w:val="center"/>
          </w:tcPr>
          <w:p w14:paraId="2D2D99E0">
            <w:pPr>
              <w:bidi w:val="0"/>
              <w:jc w:val="center"/>
              <w:rPr>
                <w:rFonts w:hint="eastAsia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</w:pPr>
            <w:bookmarkStart w:id="0" w:name="_Toc9523"/>
            <w:bookmarkStart w:id="1" w:name="_Toc4598"/>
            <w:r>
              <w:rPr>
                <w:rFonts w:hint="eastAsia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  <w:t>绝缘电阻表</w:t>
            </w:r>
            <w:bookmarkEnd w:id="0"/>
            <w:bookmarkEnd w:id="1"/>
          </w:p>
        </w:tc>
        <w:tc>
          <w:tcPr>
            <w:tcW w:w="992" w:type="dxa"/>
            <w:vAlign w:val="center"/>
          </w:tcPr>
          <w:p w14:paraId="6BA808CD">
            <w:pPr>
              <w:bidi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  <w:t>ZC-7</w:t>
            </w:r>
          </w:p>
        </w:tc>
        <w:tc>
          <w:tcPr>
            <w:tcW w:w="1687" w:type="dxa"/>
            <w:vAlign w:val="center"/>
          </w:tcPr>
          <w:p w14:paraId="3660BBBB">
            <w:pPr>
              <w:bidi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  <w:t>上海第六电表厂有限公司/23092150</w:t>
            </w:r>
          </w:p>
        </w:tc>
        <w:tc>
          <w:tcPr>
            <w:tcW w:w="2450" w:type="dxa"/>
            <w:tcBorders>
              <w:right w:val="single" w:color="auto" w:sz="4" w:space="0"/>
            </w:tcBorders>
            <w:vAlign w:val="center"/>
          </w:tcPr>
          <w:p w14:paraId="3E646258">
            <w:pPr>
              <w:bidi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  <w:t>10级</w:t>
            </w:r>
          </w:p>
        </w:tc>
        <w:tc>
          <w:tcPr>
            <w:tcW w:w="167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08579C9">
            <w:pPr>
              <w:bidi w:val="0"/>
              <w:jc w:val="center"/>
              <w:rPr>
                <w:rFonts w:hint="eastAsia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  <w:t>（0～500）MΩ</w:t>
            </w:r>
          </w:p>
        </w:tc>
        <w:tc>
          <w:tcPr>
            <w:tcW w:w="1293" w:type="dxa"/>
            <w:tcBorders>
              <w:left w:val="single" w:color="auto" w:sz="4" w:space="0"/>
            </w:tcBorders>
            <w:vAlign w:val="center"/>
          </w:tcPr>
          <w:p w14:paraId="7DCB94E5">
            <w:pPr>
              <w:bidi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  <w:t>2026.12.29</w:t>
            </w:r>
          </w:p>
        </w:tc>
      </w:tr>
      <w:tr w14:paraId="29822E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56" w:type="dxa"/>
            <w:vAlign w:val="center"/>
          </w:tcPr>
          <w:p w14:paraId="3FE3536C">
            <w:pPr>
              <w:bidi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  <w:t>数字万用表</w:t>
            </w:r>
          </w:p>
        </w:tc>
        <w:tc>
          <w:tcPr>
            <w:tcW w:w="992" w:type="dxa"/>
            <w:vAlign w:val="center"/>
          </w:tcPr>
          <w:p w14:paraId="60EF6D01">
            <w:pPr>
              <w:bidi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  <w:t>15B+</w:t>
            </w:r>
          </w:p>
        </w:tc>
        <w:tc>
          <w:tcPr>
            <w:tcW w:w="1687" w:type="dxa"/>
            <w:vAlign w:val="center"/>
          </w:tcPr>
          <w:p w14:paraId="53C2C6E7">
            <w:pPr>
              <w:bidi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  <w:t>FLUKE/62121009WS</w:t>
            </w:r>
          </w:p>
        </w:tc>
        <w:tc>
          <w:tcPr>
            <w:tcW w:w="2450" w:type="dxa"/>
            <w:tcBorders>
              <w:right w:val="single" w:color="auto" w:sz="4" w:space="0"/>
            </w:tcBorders>
            <w:vAlign w:val="center"/>
          </w:tcPr>
          <w:p w14:paraId="247A9619">
            <w:pPr>
              <w:bidi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  <w:t>1.0级</w:t>
            </w:r>
          </w:p>
        </w:tc>
        <w:tc>
          <w:tcPr>
            <w:tcW w:w="167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6718447">
            <w:pPr>
              <w:bidi w:val="0"/>
              <w:jc w:val="center"/>
              <w:rPr>
                <w:rFonts w:hint="eastAsia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  <w:t>（0～1000） V；（0～10） A</w:t>
            </w:r>
          </w:p>
        </w:tc>
        <w:tc>
          <w:tcPr>
            <w:tcW w:w="1293" w:type="dxa"/>
            <w:tcBorders>
              <w:left w:val="single" w:color="auto" w:sz="4" w:space="0"/>
            </w:tcBorders>
            <w:vAlign w:val="center"/>
          </w:tcPr>
          <w:p w14:paraId="753A727B">
            <w:pPr>
              <w:bidi w:val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sz w:val="21"/>
                <w:szCs w:val="21"/>
                <w:lang w:val="en-US" w:eastAsia="zh-CN"/>
              </w:rPr>
              <w:t>2027.01.07</w:t>
            </w:r>
          </w:p>
        </w:tc>
      </w:tr>
    </w:tbl>
    <w:p w14:paraId="1B16909B">
      <w:pPr>
        <w:spacing w:afterLines="50"/>
        <w:jc w:val="left"/>
        <w:rPr>
          <w:color w:val="FF0000"/>
          <w:sz w:val="24"/>
        </w:rPr>
      </w:pPr>
    </w:p>
    <w:p w14:paraId="451C99BA">
      <w:pPr>
        <w:spacing w:afterLines="50"/>
        <w:jc w:val="left"/>
        <w:rPr>
          <w:rFonts w:hint="default" w:eastAsia="宋体"/>
          <w:color w:val="auto"/>
          <w:sz w:val="24"/>
          <w:lang w:val="en-US" w:eastAsia="zh-CN"/>
        </w:rPr>
      </w:pPr>
      <w:r>
        <w:rPr>
          <w:color w:val="auto"/>
          <w:sz w:val="24"/>
        </w:rPr>
        <w:t xml:space="preserve">3.3 </w:t>
      </w:r>
      <w:r>
        <w:rPr>
          <w:rFonts w:hint="eastAsia"/>
          <w:color w:val="auto"/>
          <w:sz w:val="24"/>
          <w:lang w:val="en-US" w:eastAsia="zh-CN"/>
        </w:rPr>
        <w:t>被检设备信息</w:t>
      </w:r>
    </w:p>
    <w:p w14:paraId="1BE0D7F3">
      <w:pPr>
        <w:spacing w:afterLines="50"/>
        <w:ind w:firstLine="465"/>
        <w:jc w:val="left"/>
        <w:rPr>
          <w:color w:val="auto"/>
          <w:sz w:val="24"/>
        </w:rPr>
      </w:pPr>
      <w:r>
        <w:rPr>
          <w:rFonts w:hint="eastAsia"/>
          <w:color w:val="auto"/>
          <w:sz w:val="24"/>
          <w:lang w:val="en-US" w:eastAsia="zh-CN"/>
        </w:rPr>
        <w:t>对矿用氢气报警器</w:t>
      </w:r>
      <w:r>
        <w:rPr>
          <w:rFonts w:hint="eastAsia"/>
          <w:color w:val="auto"/>
          <w:sz w:val="24"/>
        </w:rPr>
        <w:t>进行本次试验。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1276"/>
        <w:gridCol w:w="1275"/>
        <w:gridCol w:w="4359"/>
      </w:tblGrid>
      <w:tr w14:paraId="5AB2E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2660" w:type="dxa"/>
            <w:vAlign w:val="center"/>
          </w:tcPr>
          <w:p w14:paraId="4E589EF1">
            <w:pPr>
              <w:spacing w:before="100" w:beforeAutospacing="1"/>
              <w:jc w:val="center"/>
              <w:rPr>
                <w:color w:val="auto"/>
                <w:sz w:val="21"/>
                <w:szCs w:val="21"/>
              </w:rPr>
            </w:pPr>
            <w:r>
              <w:rPr>
                <w:color w:val="auto"/>
                <w:sz w:val="21"/>
                <w:szCs w:val="21"/>
              </w:rPr>
              <w:t>名   称</w:t>
            </w:r>
          </w:p>
        </w:tc>
        <w:tc>
          <w:tcPr>
            <w:tcW w:w="1276" w:type="dxa"/>
            <w:vAlign w:val="center"/>
          </w:tcPr>
          <w:p w14:paraId="1B44EFC8">
            <w:pPr>
              <w:spacing w:before="100" w:beforeAutospacing="1"/>
              <w:jc w:val="center"/>
              <w:rPr>
                <w:color w:val="auto"/>
                <w:sz w:val="21"/>
                <w:szCs w:val="21"/>
              </w:rPr>
            </w:pPr>
            <w:r>
              <w:rPr>
                <w:color w:val="auto"/>
                <w:sz w:val="21"/>
                <w:szCs w:val="21"/>
              </w:rPr>
              <w:t>型号规格</w:t>
            </w:r>
          </w:p>
        </w:tc>
        <w:tc>
          <w:tcPr>
            <w:tcW w:w="1275" w:type="dxa"/>
            <w:vAlign w:val="center"/>
          </w:tcPr>
          <w:p w14:paraId="4BB6C3CD">
            <w:pPr>
              <w:spacing w:before="100" w:beforeAutospacing="1"/>
              <w:jc w:val="center"/>
              <w:rPr>
                <w:color w:val="auto"/>
                <w:sz w:val="21"/>
                <w:szCs w:val="21"/>
              </w:rPr>
            </w:pPr>
            <w:r>
              <w:rPr>
                <w:color w:val="auto"/>
                <w:sz w:val="21"/>
                <w:szCs w:val="21"/>
              </w:rPr>
              <w:t>出厂编号</w:t>
            </w:r>
          </w:p>
        </w:tc>
        <w:tc>
          <w:tcPr>
            <w:tcW w:w="4359" w:type="dxa"/>
            <w:vAlign w:val="center"/>
          </w:tcPr>
          <w:p w14:paraId="3094C192">
            <w:pPr>
              <w:spacing w:before="100" w:beforeAutospacing="1"/>
              <w:jc w:val="center"/>
              <w:rPr>
                <w:color w:val="auto"/>
                <w:sz w:val="21"/>
                <w:szCs w:val="21"/>
              </w:rPr>
            </w:pPr>
            <w:r>
              <w:rPr>
                <w:color w:val="auto"/>
                <w:sz w:val="21"/>
                <w:szCs w:val="21"/>
              </w:rPr>
              <w:t>生产厂家</w:t>
            </w:r>
          </w:p>
        </w:tc>
      </w:tr>
      <w:tr w14:paraId="4B04B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</w:trPr>
        <w:tc>
          <w:tcPr>
            <w:tcW w:w="2660" w:type="dxa"/>
            <w:vAlign w:val="center"/>
          </w:tcPr>
          <w:p w14:paraId="12420BAC">
            <w:pPr>
              <w:spacing w:before="100" w:beforeAutospacing="1" w:line="320" w:lineRule="exact"/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矿用氢气报警器</w:t>
            </w:r>
          </w:p>
        </w:tc>
        <w:tc>
          <w:tcPr>
            <w:tcW w:w="1276" w:type="dxa"/>
            <w:vAlign w:val="center"/>
          </w:tcPr>
          <w:p w14:paraId="51B721C1">
            <w:pPr>
              <w:spacing w:before="100" w:beforeAutospacing="1" w:line="320" w:lineRule="exact"/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GQH1000</w:t>
            </w:r>
          </w:p>
        </w:tc>
        <w:tc>
          <w:tcPr>
            <w:tcW w:w="1275" w:type="dxa"/>
            <w:vAlign w:val="center"/>
          </w:tcPr>
          <w:p w14:paraId="5C3D05AB">
            <w:pPr>
              <w:spacing w:before="100" w:beforeAutospacing="1" w:line="320" w:lineRule="exact"/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373000079</w:t>
            </w:r>
          </w:p>
        </w:tc>
        <w:tc>
          <w:tcPr>
            <w:tcW w:w="4359" w:type="dxa"/>
            <w:vAlign w:val="center"/>
          </w:tcPr>
          <w:p w14:paraId="0D566493">
            <w:pPr>
              <w:spacing w:before="100" w:beforeAutospacing="1" w:line="320" w:lineRule="exact"/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重庆梅安森科技股份有限公司</w:t>
            </w:r>
          </w:p>
        </w:tc>
      </w:tr>
    </w:tbl>
    <w:p w14:paraId="3DDBC62F">
      <w:pPr>
        <w:spacing w:afterLines="50" w:line="360" w:lineRule="auto"/>
        <w:jc w:val="left"/>
        <w:rPr>
          <w:rFonts w:hint="eastAsia" w:eastAsia="黑体"/>
          <w:sz w:val="24"/>
        </w:rPr>
      </w:pPr>
    </w:p>
    <w:p w14:paraId="7AB04A20">
      <w:pPr>
        <w:spacing w:afterLines="50" w:line="360" w:lineRule="auto"/>
        <w:jc w:val="left"/>
        <w:rPr>
          <w:rFonts w:eastAsia="黑体"/>
          <w:sz w:val="24"/>
        </w:rPr>
      </w:pPr>
      <w:r>
        <w:rPr>
          <w:rFonts w:hint="eastAsia" w:ascii="黑体" w:hAnsi="黑体" w:eastAsia="黑体" w:cs="黑体"/>
          <w:sz w:val="24"/>
        </w:rPr>
        <w:t>4</w:t>
      </w:r>
      <w:r>
        <w:rPr>
          <w:rFonts w:hint="eastAsia" w:eastAsia="黑体"/>
          <w:sz w:val="24"/>
        </w:rPr>
        <w:t xml:space="preserve"> 试验过程及数据</w:t>
      </w:r>
    </w:p>
    <w:p w14:paraId="06F3B722">
      <w:pPr>
        <w:spacing w:afterLines="50" w:line="360" w:lineRule="auto"/>
        <w:jc w:val="left"/>
        <w:rPr>
          <w:rFonts w:hint="eastAsia"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4.1 准备工作</w:t>
      </w:r>
    </w:p>
    <w:p w14:paraId="0A0E622B">
      <w:pPr>
        <w:spacing w:afterLines="50" w:line="360" w:lineRule="auto"/>
        <w:jc w:val="left"/>
        <w:rPr>
          <w:sz w:val="24"/>
        </w:rPr>
      </w:pPr>
      <w:r>
        <w:rPr>
          <w:rFonts w:hint="eastAsia" w:ascii="宋体" w:hAnsi="宋体"/>
          <w:sz w:val="24"/>
          <w:lang w:val="en-US" w:eastAsia="zh-CN"/>
        </w:rPr>
        <w:t>4.1.1</w:t>
      </w:r>
      <w:r>
        <w:rPr>
          <w:rFonts w:hint="eastAsia"/>
          <w:sz w:val="24"/>
        </w:rPr>
        <w:t>外观</w:t>
      </w:r>
      <w:r>
        <w:rPr>
          <w:rFonts w:hint="eastAsia"/>
          <w:sz w:val="24"/>
          <w:lang w:eastAsia="zh-CN"/>
        </w:rPr>
        <w:t>与通电</w:t>
      </w:r>
      <w:r>
        <w:rPr>
          <w:rFonts w:hint="eastAsia"/>
          <w:sz w:val="24"/>
        </w:rPr>
        <w:t>检查</w:t>
      </w:r>
    </w:p>
    <w:p w14:paraId="5C9220E9">
      <w:pPr>
        <w:pStyle w:val="25"/>
        <w:keepNext w:val="0"/>
        <w:spacing w:beforeLines="0" w:afterLines="0" w:line="360" w:lineRule="auto"/>
        <w:ind w:firstLine="480" w:firstLineChars="200"/>
        <w:jc w:val="both"/>
        <w:outlineLvl w:val="9"/>
        <w:rPr>
          <w:rFonts w:hint="eastAsia" w:eastAsia="宋体" w:cs="宋体"/>
          <w:sz w:val="24"/>
          <w:szCs w:val="24"/>
          <w:lang w:val="en-US" w:eastAsia="zh-CN"/>
        </w:rPr>
      </w:pPr>
      <w:r>
        <w:rPr>
          <w:rFonts w:hint="eastAsia" w:eastAsia="宋体" w:cs="宋体"/>
          <w:sz w:val="24"/>
          <w:szCs w:val="24"/>
          <w:lang w:val="en-US" w:eastAsia="zh-CN"/>
        </w:rPr>
        <w:t>用目测和手动方式检查矿用氢气</w:t>
      </w:r>
      <w:r>
        <w:rPr>
          <w:rFonts w:hint="eastAsia" w:eastAsia="宋体" w:cs="宋体"/>
          <w:sz w:val="24"/>
          <w:szCs w:val="24"/>
          <w:lang w:eastAsia="zh-CN"/>
        </w:rPr>
        <w:t>报警器</w:t>
      </w:r>
      <w:r>
        <w:rPr>
          <w:rFonts w:hint="eastAsia"/>
          <w:sz w:val="24"/>
        </w:rPr>
        <w:t>，</w:t>
      </w:r>
      <w:r>
        <w:rPr>
          <w:rFonts w:hint="eastAsia" w:eastAsia="宋体" w:cs="宋体"/>
          <w:sz w:val="24"/>
          <w:szCs w:val="24"/>
          <w:lang w:val="en-US" w:eastAsia="zh-CN"/>
        </w:rPr>
        <w:t>矿用氢气</w:t>
      </w:r>
      <w:r>
        <w:rPr>
          <w:rFonts w:hint="eastAsia" w:eastAsia="宋体" w:cs="宋体"/>
          <w:sz w:val="24"/>
          <w:szCs w:val="24"/>
          <w:lang w:eastAsia="zh-CN"/>
        </w:rPr>
        <w:t>报警器</w:t>
      </w:r>
      <w:r>
        <w:rPr>
          <w:rFonts w:hint="eastAsia" w:eastAsia="宋体" w:cs="宋体"/>
          <w:sz w:val="24"/>
          <w:szCs w:val="24"/>
          <w:lang w:val="en-US" w:eastAsia="zh-CN"/>
        </w:rPr>
        <w:t>的各调节部件应能正常动作，各紧固件应无松动；报警器表面、镀层或涂层不应有气泡、裂痕、明显剥落和斑点。应标明制造单位名称和矿用氢气报警器名称、型号、出厂编号、制造日期、防爆标志及编号、矿用安全标志及编号。</w:t>
      </w:r>
    </w:p>
    <w:p w14:paraId="02D64D2A">
      <w:pPr>
        <w:spacing w:afterLines="50" w:line="360" w:lineRule="auto"/>
        <w:jc w:val="left"/>
        <w:rPr>
          <w:rFonts w:hint="eastAsia" w:eastAsia="宋体"/>
          <w:sz w:val="24"/>
          <w:lang w:eastAsia="zh-CN"/>
        </w:rPr>
      </w:pPr>
      <w:bookmarkStart w:id="2" w:name="_Toc37921676"/>
      <w:bookmarkStart w:id="3" w:name="_Toc38372215"/>
      <w:bookmarkStart w:id="4" w:name="_Toc37940592"/>
      <w:bookmarkStart w:id="5" w:name="_Toc37857349"/>
      <w:bookmarkStart w:id="6" w:name="_Toc38372682"/>
      <w:r>
        <w:rPr>
          <w:rFonts w:hint="eastAsia" w:ascii="宋体" w:hAnsi="宋体"/>
          <w:sz w:val="24"/>
          <w:lang w:val="en-US" w:eastAsia="zh-CN"/>
        </w:rPr>
        <w:t>4.1.2</w:t>
      </w:r>
      <w:r>
        <w:rPr>
          <w:rFonts w:hint="eastAsia"/>
          <w:sz w:val="24"/>
          <w:lang w:eastAsia="zh-CN"/>
        </w:rPr>
        <w:t>校准前准备</w:t>
      </w:r>
    </w:p>
    <w:p w14:paraId="2BD44C0F">
      <w:pPr>
        <w:pStyle w:val="2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60" w:lineRule="auto"/>
        <w:ind w:firstLine="480" w:firstLineChars="200"/>
        <w:jc w:val="both"/>
        <w:textAlignment w:val="auto"/>
        <w:outlineLvl w:val="9"/>
        <w:rPr>
          <w:rFonts w:hint="eastAsia" w:eastAsia="宋体" w:cs="宋体"/>
          <w:sz w:val="24"/>
          <w:szCs w:val="24"/>
          <w:lang w:val="en-US" w:eastAsia="zh-CN"/>
        </w:rPr>
      </w:pPr>
      <w:r>
        <w:rPr>
          <w:rFonts w:hint="eastAsia" w:eastAsia="宋体" w:cs="宋体"/>
          <w:sz w:val="24"/>
          <w:szCs w:val="24"/>
          <w:lang w:val="en-US" w:eastAsia="zh-CN"/>
        </w:rPr>
        <w:t>接通电源，按照矿用氢气报警器使用说明书要求的时间对其进行预热，一般预热时间不少于15min；按说明书规定控制流量，如果说明书没有明确要求，则一般控制在（200±10）ml/min范围，连接气路，通入高纯度氮气调整零点；待报警器零点示值稳定后，通入浓度约为满量程50%的空气中氢气标准物质进行调整，分别调整3次，在此后的校准过程中不得再次调整。</w:t>
      </w:r>
    </w:p>
    <w:p w14:paraId="60371FEB">
      <w:pPr>
        <w:pStyle w:val="2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360" w:lineRule="auto"/>
        <w:jc w:val="both"/>
        <w:textAlignment w:val="auto"/>
        <w:outlineLvl w:val="9"/>
        <w:rPr>
          <w:rFonts w:hint="eastAsia" w:eastAsia="宋体" w:cs="宋体"/>
          <w:sz w:val="24"/>
          <w:szCs w:val="24"/>
          <w:lang w:val="en-US" w:eastAsia="zh-CN"/>
        </w:rPr>
      </w:pPr>
    </w:p>
    <w:p w14:paraId="1C22E3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50" w:line="360" w:lineRule="auto"/>
        <w:textAlignment w:val="auto"/>
        <w:rPr>
          <w:rFonts w:hint="eastAsia" w:ascii="黑体" w:hAnsi="黑体" w:eastAsia="黑体"/>
          <w:sz w:val="24"/>
          <w:lang w:val="en-US" w:eastAsia="zh-CN"/>
        </w:rPr>
      </w:pPr>
      <w:r>
        <w:rPr>
          <w:rFonts w:hint="eastAsia" w:ascii="黑体" w:hAnsi="黑体" w:eastAsia="黑体"/>
          <w:sz w:val="24"/>
          <w:lang w:val="en-US" w:eastAsia="zh-CN"/>
        </w:rPr>
        <w:t>4.2 报警功能</w:t>
      </w:r>
    </w:p>
    <w:p w14:paraId="7809BA4B">
      <w:pPr>
        <w:pStyle w:val="25"/>
        <w:keepNext w:val="0"/>
        <w:spacing w:beforeLines="0" w:afterLines="0" w:line="360" w:lineRule="auto"/>
        <w:ind w:firstLine="480" w:firstLineChars="200"/>
        <w:jc w:val="both"/>
        <w:outlineLvl w:val="9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eastAsia="宋体" w:cs="宋体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缓慢通入大于报警设定点浓度的气体标准物质，观察测定器声光报警是否正常，并记录测定器首次报警时的示值，重复测量3次，3次算术平均值为测定器的报警动作值。</w:t>
      </w:r>
    </w:p>
    <w:p w14:paraId="1DEB5FAE">
      <w:pPr>
        <w:pStyle w:val="25"/>
        <w:keepNext w:val="0"/>
        <w:spacing w:beforeLines="0" w:afterLines="0" w:line="360" w:lineRule="auto"/>
        <w:ind w:firstLine="480" w:firstLineChars="200"/>
        <w:jc w:val="both"/>
        <w:outlineLvl w:val="9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光信号应能在黑暗环境中20m远处清晰可见。</w:t>
      </w:r>
    </w:p>
    <w:p w14:paraId="3A34F7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50" w:line="360" w:lineRule="auto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</w:pPr>
      <w:r>
        <w:rPr>
          <w:rFonts w:hint="default" w:ascii="Times New Roman" w:hAnsi="Times New Roman" w:eastAsia="黑体" w:cs="Times New Roman"/>
          <w:sz w:val="24"/>
          <w:lang w:val="en-US" w:eastAsia="zh-CN"/>
        </w:rPr>
        <w:t xml:space="preserve">              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  <w:t>（91.5dB(A)+92.1dB(A)+91.6dB(A)）/3=91.7dB(A)</w:t>
      </w:r>
    </w:p>
    <w:p w14:paraId="6D31E5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50" w:line="360" w:lineRule="auto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</w:pPr>
    </w:p>
    <w:p w14:paraId="56B48610">
      <w:pPr>
        <w:spacing w:afterLines="50" w:line="360" w:lineRule="auto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4.</w:t>
      </w:r>
      <w:r>
        <w:rPr>
          <w:rFonts w:hint="eastAsia" w:ascii="黑体" w:hAnsi="黑体" w:eastAsia="黑体"/>
          <w:sz w:val="24"/>
          <w:lang w:val="en-US" w:eastAsia="zh-CN"/>
        </w:rPr>
        <w:t>3</w:t>
      </w:r>
      <w:r>
        <w:rPr>
          <w:rFonts w:hint="eastAsia" w:ascii="黑体" w:hAnsi="黑体" w:eastAsia="黑体"/>
          <w:sz w:val="24"/>
        </w:rPr>
        <w:t xml:space="preserve"> 示值误差</w:t>
      </w:r>
    </w:p>
    <w:p w14:paraId="2A0CECA4">
      <w:pPr>
        <w:spacing w:afterLines="50" w:line="360" w:lineRule="auto"/>
        <w:jc w:val="lef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4.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/>
          <w:sz w:val="24"/>
          <w:szCs w:val="24"/>
        </w:rPr>
        <w:t>.1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通入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空气中氢气标准物质记录报警器的显示值</w:t>
      </w:r>
      <w:r>
        <w:rPr>
          <w:rFonts w:hint="eastAsia" w:asciiTheme="minorEastAsia" w:hAnsiTheme="minorEastAsia" w:eastAsiaTheme="minorEastAsia"/>
          <w:sz w:val="24"/>
          <w:szCs w:val="24"/>
        </w:rPr>
        <w:t>的平均值（</w:t>
      </w:r>
      <m:oMath>
        <m:acc>
          <m:accPr>
            <m:chr m:val="̅"/>
            <m:ctrlPr>
              <w:rPr>
                <w:rFonts w:ascii="Cambria Math" w:hAnsiTheme="minorEastAsia" w:eastAsiaTheme="minorEastAsia"/>
                <w:i/>
                <w:sz w:val="24"/>
                <w:szCs w:val="24"/>
              </w:rPr>
            </m:ctrlPr>
          </m:accPr>
          <m:e>
            <m:r>
              <m:rPr/>
              <w:rPr>
                <w:rFonts w:hint="default" w:ascii="Cambria Math" w:hAnsi="Cambria Math" w:eastAsiaTheme="minorEastAsia"/>
                <w:sz w:val="24"/>
                <w:szCs w:val="24"/>
                <w:lang w:val="en-US" w:eastAsia="zh-CN"/>
              </w:rPr>
              <m:t>C</m:t>
            </m:r>
            <m:ctrlPr>
              <w:rPr>
                <w:rFonts w:ascii="Cambria Math" w:hAnsiTheme="minorEastAsia" w:eastAsiaTheme="minorEastAsia"/>
                <w:i/>
                <w:sz w:val="24"/>
                <w:szCs w:val="24"/>
              </w:rPr>
            </m:ctrlPr>
          </m:e>
        </m:acc>
      </m:oMath>
      <w:r>
        <w:rPr>
          <w:rFonts w:hint="eastAsia" w:asciiTheme="minorEastAsia" w:hAnsiTheme="minorEastAsia" w:eastAsiaTheme="minorEastAsia"/>
          <w:sz w:val="24"/>
          <w:szCs w:val="24"/>
        </w:rPr>
        <w:t>）</w:t>
      </w:r>
    </w:p>
    <w:p w14:paraId="5708A4E4">
      <w:pPr>
        <w:spacing w:afterLines="50" w:line="360" w:lineRule="auto"/>
        <w:ind w:firstLine="480" w:firstLineChars="200"/>
        <w:jc w:val="left"/>
        <w:rPr>
          <w:rFonts w:hint="eastAsia" w:ascii="Times New Roman" w:hAnsi="Times New Roman" w:eastAsia="宋体"/>
          <w:color w:val="00000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/>
          <w:color w:val="000000"/>
          <w:sz w:val="24"/>
          <w:szCs w:val="24"/>
          <w:lang w:eastAsia="zh-CN"/>
        </w:rPr>
        <w:t>按报警仪说明书的要求控制流量，分别通入</w:t>
      </w:r>
      <w:r>
        <w:rPr>
          <w:rFonts w:hint="eastAsia" w:ascii="Times New Roman" w:hAnsi="Times New Roman" w:eastAsia="宋体"/>
          <w:color w:val="auto"/>
          <w:sz w:val="24"/>
          <w:szCs w:val="24"/>
          <w:lang w:eastAsia="zh-CN"/>
        </w:rPr>
        <w:t>浓度值</w:t>
      </w:r>
      <w:r>
        <w:rPr>
          <w:rFonts w:hint="eastAsia" w:ascii="Times New Roman" w:hAnsi="Times New Roman" w:eastAsia="宋体"/>
          <w:color w:val="auto"/>
          <w:sz w:val="24"/>
          <w:szCs w:val="24"/>
          <w:lang w:val="en-US" w:eastAsia="zh-CN"/>
        </w:rPr>
        <w:t>25</w:t>
      </w:r>
      <w:r>
        <w:rPr>
          <w:rFonts w:hint="eastAsia" w:ascii="Times New Roman" w:hAnsi="Times New Roman"/>
          <w:color w:val="auto"/>
          <w:sz w:val="24"/>
          <w:szCs w:val="24"/>
          <w:lang w:val="en-US" w:eastAsia="zh-CN"/>
        </w:rPr>
        <w:t>0</w:t>
      </w:r>
      <w:r>
        <w:rPr>
          <w:rFonts w:ascii="Times New Roman" w:hAnsi="Times New Roman" w:eastAsia="宋体"/>
          <w:color w:val="auto"/>
          <w:sz w:val="24"/>
          <w:szCs w:val="24"/>
          <w:lang w:val="en-US" w:eastAsia="zh-CN"/>
        </w:rPr>
        <w:t>µmol/mol</w:t>
      </w:r>
      <w:r>
        <w:rPr>
          <w:rFonts w:hint="eastAsia" w:ascii="Times New Roman" w:hAnsi="Times New Roman" w:eastAsia="宋体"/>
          <w:color w:val="auto"/>
          <w:sz w:val="24"/>
          <w:szCs w:val="24"/>
          <w:lang w:eastAsia="zh-CN"/>
        </w:rPr>
        <w:t>、</w:t>
      </w:r>
      <w:r>
        <w:rPr>
          <w:rFonts w:hint="eastAsia" w:ascii="Times New Roman" w:hAnsi="Times New Roman" w:eastAsia="宋体"/>
          <w:color w:val="auto"/>
          <w:sz w:val="24"/>
          <w:szCs w:val="24"/>
          <w:lang w:val="en-US" w:eastAsia="zh-CN"/>
        </w:rPr>
        <w:t>50</w:t>
      </w:r>
      <w:r>
        <w:rPr>
          <w:rFonts w:hint="eastAsia" w:ascii="Times New Roman" w:hAnsi="Times New Roman"/>
          <w:color w:val="auto"/>
          <w:sz w:val="24"/>
          <w:szCs w:val="24"/>
          <w:lang w:val="en-US" w:eastAsia="zh-CN"/>
        </w:rPr>
        <w:t>0</w:t>
      </w:r>
      <w:r>
        <w:rPr>
          <w:rFonts w:ascii="Times New Roman" w:hAnsi="Times New Roman" w:eastAsia="宋体"/>
          <w:color w:val="auto"/>
          <w:sz w:val="24"/>
          <w:szCs w:val="24"/>
          <w:lang w:val="en-US" w:eastAsia="zh-CN"/>
        </w:rPr>
        <w:t>µmol/mol</w:t>
      </w:r>
      <w:r>
        <w:rPr>
          <w:rFonts w:hint="eastAsia" w:ascii="Times New Roman" w:hAnsi="Times New Roman" w:eastAsia="宋体"/>
          <w:color w:val="auto"/>
          <w:sz w:val="24"/>
          <w:szCs w:val="24"/>
          <w:lang w:eastAsia="zh-CN"/>
        </w:rPr>
        <w:t>、</w:t>
      </w:r>
      <w:r>
        <w:rPr>
          <w:rFonts w:hint="eastAsia" w:ascii="Times New Roman" w:hAnsi="Times New Roman" w:eastAsia="宋体"/>
          <w:color w:val="auto"/>
          <w:sz w:val="24"/>
          <w:szCs w:val="24"/>
          <w:lang w:val="en-US" w:eastAsia="zh-CN"/>
        </w:rPr>
        <w:t>7</w:t>
      </w:r>
      <w:r>
        <w:rPr>
          <w:rFonts w:hint="eastAsia" w:ascii="Times New Roman" w:hAnsi="Times New Roman" w:eastAsia="宋体"/>
          <w:color w:val="auto"/>
          <w:sz w:val="24"/>
          <w:szCs w:val="24"/>
          <w:lang w:eastAsia="zh-CN"/>
        </w:rPr>
        <w:t>5</w:t>
      </w:r>
      <w:r>
        <w:rPr>
          <w:rFonts w:hint="eastAsia" w:ascii="Times New Roman" w:hAnsi="Times New Roman"/>
          <w:color w:val="auto"/>
          <w:sz w:val="24"/>
          <w:szCs w:val="24"/>
          <w:lang w:val="en-US" w:eastAsia="zh-CN"/>
        </w:rPr>
        <w:t>0</w:t>
      </w:r>
      <w:r>
        <w:rPr>
          <w:rFonts w:ascii="Times New Roman" w:hAnsi="Times New Roman" w:eastAsia="宋体"/>
          <w:color w:val="auto"/>
          <w:sz w:val="24"/>
          <w:szCs w:val="24"/>
          <w:lang w:val="en-US" w:eastAsia="zh-CN"/>
        </w:rPr>
        <w:t>µmol/mol</w:t>
      </w:r>
      <w:r>
        <w:rPr>
          <w:rFonts w:hint="eastAsia" w:ascii="Times New Roman" w:hAnsi="Times New Roman" w:eastAsia="宋体"/>
          <w:color w:val="auto"/>
          <w:sz w:val="24"/>
          <w:szCs w:val="24"/>
          <w:lang w:eastAsia="zh-CN"/>
        </w:rPr>
        <w:t>的</w:t>
      </w:r>
      <w:r>
        <w:rPr>
          <w:rFonts w:hint="eastAsia" w:ascii="Times New Roman" w:hAnsi="Times New Roman" w:eastAsia="宋体"/>
          <w:color w:val="auto"/>
          <w:sz w:val="24"/>
          <w:szCs w:val="24"/>
          <w:lang w:val="en-US" w:eastAsia="zh-CN"/>
        </w:rPr>
        <w:t>空气中氢气标准物质</w:t>
      </w:r>
      <w:r>
        <w:rPr>
          <w:rFonts w:hint="eastAsia" w:ascii="Times New Roman" w:hAnsi="Times New Roman" w:eastAsia="宋体"/>
          <w:color w:val="auto"/>
          <w:sz w:val="24"/>
          <w:szCs w:val="24"/>
          <w:lang w:eastAsia="zh-CN"/>
        </w:rPr>
        <w:t>，待读数稳定</w:t>
      </w:r>
      <w:r>
        <w:rPr>
          <w:rFonts w:hint="eastAsia" w:ascii="Times New Roman" w:hAnsi="Times New Roman" w:eastAsia="宋体"/>
          <w:color w:val="000000"/>
          <w:sz w:val="24"/>
          <w:szCs w:val="24"/>
          <w:lang w:eastAsia="zh-CN"/>
        </w:rPr>
        <w:t>后，</w:t>
      </w:r>
      <w:r>
        <w:rPr>
          <w:rFonts w:hint="eastAsia" w:ascii="Times New Roman" w:hAnsi="Times New Roman" w:eastAsia="宋体"/>
          <w:color w:val="000000"/>
          <w:sz w:val="24"/>
          <w:szCs w:val="24"/>
          <w:lang w:val="en-US" w:eastAsia="zh-CN"/>
        </w:rPr>
        <w:t>记录报警器的显示值</w:t>
      </w:r>
      <w:r>
        <w:rPr>
          <w:rFonts w:hint="eastAsia" w:ascii="Times New Roman" w:hAnsi="Times New Roman" w:eastAsia="宋体"/>
          <w:color w:val="000000"/>
          <w:sz w:val="24"/>
          <w:szCs w:val="24"/>
          <w:lang w:eastAsia="zh-CN"/>
        </w:rPr>
        <w:t>。每点测量3次，取其算术平均值为报警器各点的示值</w:t>
      </w:r>
      <w:r>
        <w:rPr>
          <w:rFonts w:hint="eastAsia" w:ascii="Times New Roman" w:hAnsi="Times New Roman"/>
          <w:color w:val="000000"/>
          <w:sz w:val="24"/>
          <w:szCs w:val="24"/>
          <w:lang w:eastAsia="zh-CN"/>
        </w:rPr>
        <w:t>。</w:t>
      </w:r>
    </w:p>
    <w:p w14:paraId="2496B291">
      <w:pPr>
        <w:spacing w:afterLines="50" w:line="360" w:lineRule="auto"/>
        <w:ind w:firstLine="420" w:firstLineChars="200"/>
        <w:jc w:val="left"/>
        <w:rPr>
          <w:rFonts w:hint="eastAsia" w:eastAsia="黑体"/>
          <w:szCs w:val="21"/>
          <w:lang w:val="en-US" w:eastAsia="zh-CN"/>
        </w:rPr>
      </w:pPr>
      <m:oMath>
        <m:acc>
          <m:accPr>
            <m:chr m:val="̅"/>
            <m:ctrlPr>
              <w:rPr>
                <w:rFonts w:ascii="Cambria Math" w:hAnsi="Cambria Math"/>
                <w:i/>
                <w:szCs w:val="21"/>
              </w:rPr>
            </m:ctrlPr>
          </m:accPr>
          <m:e>
            <m:r>
              <m:rPr/>
              <w:rPr>
                <w:rFonts w:hint="default" w:ascii="Cambria Math" w:hAnsi="Cambria Math"/>
                <w:szCs w:val="21"/>
                <w:lang w:val="en-US" w:eastAsia="zh-CN"/>
              </w:rPr>
              <m:t>C</m:t>
            </m:r>
            <m:ctrlPr>
              <w:rPr>
                <w:rFonts w:ascii="Cambria Math" w:hAnsi="Cambria Math"/>
                <w:i/>
                <w:szCs w:val="21"/>
              </w:rPr>
            </m:ctrlPr>
          </m:e>
        </m:acc>
      </m:oMath>
      <w:r>
        <w:rPr>
          <w:rFonts w:hint="eastAsia" w:eastAsia="黑体"/>
          <w:szCs w:val="21"/>
          <w:vertAlign w:val="subscript"/>
        </w:rPr>
        <w:t>（</w:t>
      </w:r>
      <w:r>
        <w:rPr>
          <w:rFonts w:hint="eastAsia" w:eastAsia="黑体"/>
          <w:szCs w:val="21"/>
          <w:vertAlign w:val="subscript"/>
          <w:lang w:val="en-US" w:eastAsia="zh-CN"/>
        </w:rPr>
        <w:t>250</w:t>
      </w:r>
      <w:r>
        <w:rPr>
          <w:rFonts w:hint="eastAsia" w:eastAsia="黑体"/>
          <w:szCs w:val="21"/>
          <w:vertAlign w:val="subscript"/>
        </w:rPr>
        <w:t>）</w:t>
      </w:r>
      <w:r>
        <w:rPr>
          <w:rFonts w:hint="eastAsia" w:eastAsia="黑体"/>
          <w:szCs w:val="21"/>
        </w:rPr>
        <w:t>={A</w:t>
      </w:r>
      <w:r>
        <w:rPr>
          <w:rFonts w:hint="eastAsia" w:eastAsia="黑体"/>
          <w:szCs w:val="21"/>
          <w:vertAlign w:val="subscript"/>
        </w:rPr>
        <w:t>1</w:t>
      </w:r>
      <w:r>
        <w:rPr>
          <w:rFonts w:hint="eastAsia" w:eastAsia="黑体"/>
          <w:szCs w:val="21"/>
        </w:rPr>
        <w:t>（</w:t>
      </w:r>
      <w:r>
        <w:rPr>
          <w:rFonts w:hint="eastAsia" w:eastAsia="黑体"/>
          <w:szCs w:val="21"/>
          <w:lang w:val="en-US" w:eastAsia="zh-CN"/>
        </w:rPr>
        <w:t>250</w:t>
      </w:r>
      <w:r>
        <w:rPr>
          <w:rFonts w:hint="eastAsia" w:eastAsia="黑体"/>
          <w:szCs w:val="21"/>
        </w:rPr>
        <w:t>）+ A</w:t>
      </w:r>
      <w:r>
        <w:rPr>
          <w:rFonts w:hint="eastAsia" w:eastAsia="黑体"/>
          <w:szCs w:val="21"/>
          <w:vertAlign w:val="subscript"/>
        </w:rPr>
        <w:t>2</w:t>
      </w:r>
      <w:r>
        <w:rPr>
          <w:rFonts w:hint="eastAsia" w:eastAsia="黑体"/>
          <w:szCs w:val="21"/>
        </w:rPr>
        <w:t>（</w:t>
      </w:r>
      <w:r>
        <w:rPr>
          <w:rFonts w:hint="eastAsia" w:eastAsia="黑体"/>
          <w:szCs w:val="21"/>
          <w:lang w:val="en-US" w:eastAsia="zh-CN"/>
        </w:rPr>
        <w:t>250</w:t>
      </w:r>
      <w:r>
        <w:rPr>
          <w:rFonts w:hint="eastAsia" w:eastAsia="黑体"/>
          <w:szCs w:val="21"/>
        </w:rPr>
        <w:t>）+A</w:t>
      </w:r>
      <w:r>
        <w:rPr>
          <w:rFonts w:hint="eastAsia" w:eastAsia="黑体"/>
          <w:szCs w:val="21"/>
          <w:vertAlign w:val="subscript"/>
        </w:rPr>
        <w:t>3</w:t>
      </w:r>
      <w:r>
        <w:rPr>
          <w:rFonts w:hint="eastAsia" w:eastAsia="黑体"/>
          <w:szCs w:val="21"/>
        </w:rPr>
        <w:t>（</w:t>
      </w:r>
      <w:r>
        <w:rPr>
          <w:rFonts w:hint="eastAsia" w:eastAsia="黑体"/>
          <w:szCs w:val="21"/>
          <w:lang w:val="en-US" w:eastAsia="zh-CN"/>
        </w:rPr>
        <w:t>250</w:t>
      </w:r>
      <w:r>
        <w:rPr>
          <w:rFonts w:hint="eastAsia" w:eastAsia="黑体"/>
          <w:szCs w:val="21"/>
        </w:rPr>
        <w:t>）}/</w:t>
      </w:r>
      <w:r>
        <w:rPr>
          <w:rFonts w:hint="eastAsia" w:eastAsia="黑体"/>
          <w:szCs w:val="21"/>
          <w:lang w:val="en-US" w:eastAsia="zh-CN"/>
        </w:rPr>
        <w:t>3</w:t>
      </w:r>
    </w:p>
    <w:p w14:paraId="6DCD794F">
      <w:pPr>
        <w:spacing w:afterLines="50" w:line="360" w:lineRule="auto"/>
        <w:ind w:firstLine="630" w:firstLineChars="300"/>
        <w:jc w:val="left"/>
        <w:rPr>
          <w:rFonts w:hint="default" w:eastAsia="黑体"/>
          <w:szCs w:val="21"/>
          <w:lang w:val="en-US" w:eastAsia="zh-CN"/>
        </w:rPr>
      </w:pPr>
      <w:r>
        <w:rPr>
          <w:rFonts w:hint="eastAsia" w:eastAsia="黑体"/>
          <w:szCs w:val="21"/>
        </w:rPr>
        <w:t>=(</w:t>
      </w:r>
      <w:r>
        <w:rPr>
          <w:rFonts w:hint="eastAsia" w:eastAsia="黑体"/>
          <w:szCs w:val="21"/>
          <w:lang w:val="en-US" w:eastAsia="zh-CN"/>
        </w:rPr>
        <w:t>248</w:t>
      </w:r>
      <w:bookmarkStart w:id="7" w:name="OLE_LINK1"/>
      <w:r>
        <w:rPr>
          <w:rFonts w:ascii="Times New Roman" w:hAnsi="Times New Roman"/>
          <w:lang w:val="en-US" w:eastAsia="zh-CN"/>
        </w:rPr>
        <w:t>µmol/mo</w:t>
      </w:r>
      <w:bookmarkEnd w:id="7"/>
      <w:r>
        <w:rPr>
          <w:rFonts w:ascii="Times New Roman" w:hAnsi="Times New Roman"/>
          <w:lang w:val="en-US" w:eastAsia="zh-CN"/>
        </w:rPr>
        <w:t>l</w:t>
      </w:r>
      <w:r>
        <w:rPr>
          <w:rFonts w:hint="eastAsia" w:eastAsia="黑体"/>
          <w:szCs w:val="21"/>
        </w:rPr>
        <w:t>+</w:t>
      </w:r>
      <w:r>
        <w:rPr>
          <w:rFonts w:hint="eastAsia" w:eastAsia="黑体"/>
          <w:szCs w:val="21"/>
          <w:lang w:val="en-US" w:eastAsia="zh-CN"/>
        </w:rPr>
        <w:t>248</w:t>
      </w:r>
      <w:r>
        <w:rPr>
          <w:rFonts w:ascii="Times New Roman" w:hAnsi="Times New Roman"/>
          <w:lang w:val="en-US" w:eastAsia="zh-CN"/>
        </w:rPr>
        <w:t>µmol/mol</w:t>
      </w:r>
      <w:r>
        <w:rPr>
          <w:rFonts w:hint="eastAsia" w:eastAsia="黑体"/>
          <w:szCs w:val="21"/>
        </w:rPr>
        <w:t>+</w:t>
      </w:r>
      <w:r>
        <w:rPr>
          <w:rFonts w:hint="eastAsia" w:eastAsia="黑体"/>
          <w:szCs w:val="21"/>
          <w:lang w:val="en-US" w:eastAsia="zh-CN"/>
        </w:rPr>
        <w:t>249</w:t>
      </w:r>
      <w:r>
        <w:rPr>
          <w:rFonts w:ascii="Times New Roman" w:hAnsi="Times New Roman"/>
          <w:lang w:val="en-US" w:eastAsia="zh-CN"/>
        </w:rPr>
        <w:t>µmol/mol</w:t>
      </w:r>
      <w:r>
        <w:rPr>
          <w:rFonts w:hint="eastAsia" w:eastAsia="黑体"/>
          <w:szCs w:val="21"/>
        </w:rPr>
        <w:t>)/6=</w:t>
      </w:r>
      <w:r>
        <w:rPr>
          <w:rFonts w:hint="eastAsia" w:eastAsia="黑体"/>
          <w:szCs w:val="21"/>
          <w:lang w:val="en-US" w:eastAsia="zh-CN"/>
        </w:rPr>
        <w:t>248.3</w:t>
      </w:r>
      <w:r>
        <w:rPr>
          <w:rFonts w:ascii="Times New Roman" w:hAnsi="Times New Roman"/>
          <w:lang w:val="en-US" w:eastAsia="zh-CN"/>
        </w:rPr>
        <w:t>µmol/mol</w:t>
      </w:r>
    </w:p>
    <w:p w14:paraId="746E2B02">
      <w:pPr>
        <w:spacing w:afterLines="50" w:line="360" w:lineRule="auto"/>
        <w:ind w:firstLine="420" w:firstLineChars="200"/>
        <w:jc w:val="left"/>
        <w:rPr>
          <w:rFonts w:hint="eastAsia" w:eastAsia="黑体"/>
          <w:szCs w:val="21"/>
          <w:lang w:val="en-US" w:eastAsia="zh-CN"/>
        </w:rPr>
      </w:pPr>
      <m:oMath>
        <m:acc>
          <m:accPr>
            <m:chr m:val="̅"/>
            <m:ctrlPr>
              <w:rPr>
                <w:rFonts w:ascii="Cambria Math" w:hAnsi="Cambria Math"/>
                <w:i/>
                <w:szCs w:val="21"/>
              </w:rPr>
            </m:ctrlPr>
          </m:accPr>
          <m:e>
            <m:r>
              <m:rPr/>
              <w:rPr>
                <w:rFonts w:hint="default" w:ascii="Cambria Math" w:hAnsi="Cambria Math"/>
                <w:szCs w:val="21"/>
                <w:lang w:val="en-US" w:eastAsia="zh-CN"/>
              </w:rPr>
              <m:t>C</m:t>
            </m:r>
            <m:ctrlPr>
              <w:rPr>
                <w:rFonts w:ascii="Cambria Math" w:hAnsi="Cambria Math"/>
                <w:i/>
                <w:szCs w:val="21"/>
              </w:rPr>
            </m:ctrlPr>
          </m:e>
        </m:acc>
      </m:oMath>
      <w:r>
        <w:rPr>
          <w:rFonts w:hint="eastAsia" w:eastAsia="黑体"/>
          <w:szCs w:val="21"/>
          <w:vertAlign w:val="subscript"/>
        </w:rPr>
        <w:t>（</w:t>
      </w:r>
      <w:r>
        <w:rPr>
          <w:rFonts w:hint="eastAsia" w:eastAsia="黑体"/>
          <w:szCs w:val="21"/>
          <w:vertAlign w:val="subscript"/>
          <w:lang w:val="en-US" w:eastAsia="zh-CN"/>
        </w:rPr>
        <w:t>500</w:t>
      </w:r>
      <w:r>
        <w:rPr>
          <w:rFonts w:hint="eastAsia" w:eastAsia="黑体"/>
          <w:szCs w:val="21"/>
          <w:vertAlign w:val="subscript"/>
        </w:rPr>
        <w:t>）</w:t>
      </w:r>
      <w:r>
        <w:rPr>
          <w:rFonts w:hint="eastAsia" w:eastAsia="黑体"/>
          <w:szCs w:val="21"/>
        </w:rPr>
        <w:t>={A</w:t>
      </w:r>
      <w:r>
        <w:rPr>
          <w:rFonts w:hint="eastAsia" w:eastAsia="黑体"/>
          <w:szCs w:val="21"/>
          <w:vertAlign w:val="subscript"/>
        </w:rPr>
        <w:t>1</w:t>
      </w:r>
      <w:r>
        <w:rPr>
          <w:rFonts w:hint="eastAsia" w:eastAsia="黑体"/>
          <w:szCs w:val="21"/>
        </w:rPr>
        <w:t>（</w:t>
      </w:r>
      <w:r>
        <w:rPr>
          <w:rFonts w:hint="eastAsia" w:eastAsia="黑体"/>
          <w:szCs w:val="21"/>
          <w:lang w:val="en-US" w:eastAsia="zh-CN"/>
        </w:rPr>
        <w:t>500</w:t>
      </w:r>
      <w:r>
        <w:rPr>
          <w:rFonts w:hint="eastAsia" w:eastAsia="黑体"/>
          <w:szCs w:val="21"/>
        </w:rPr>
        <w:t>）+ A</w:t>
      </w:r>
      <w:r>
        <w:rPr>
          <w:rFonts w:hint="eastAsia" w:eastAsia="黑体"/>
          <w:szCs w:val="21"/>
          <w:vertAlign w:val="subscript"/>
        </w:rPr>
        <w:t>2</w:t>
      </w:r>
      <w:r>
        <w:rPr>
          <w:rFonts w:hint="eastAsia" w:eastAsia="黑体"/>
          <w:szCs w:val="21"/>
        </w:rPr>
        <w:t>（</w:t>
      </w:r>
      <w:r>
        <w:rPr>
          <w:rFonts w:hint="eastAsia" w:eastAsia="黑体"/>
          <w:szCs w:val="21"/>
          <w:lang w:val="en-US" w:eastAsia="zh-CN"/>
        </w:rPr>
        <w:t>500</w:t>
      </w:r>
      <w:r>
        <w:rPr>
          <w:rFonts w:hint="eastAsia" w:eastAsia="黑体"/>
          <w:szCs w:val="21"/>
        </w:rPr>
        <w:t>）+A</w:t>
      </w:r>
      <w:r>
        <w:rPr>
          <w:rFonts w:hint="eastAsia" w:eastAsia="黑体"/>
          <w:szCs w:val="21"/>
          <w:vertAlign w:val="subscript"/>
        </w:rPr>
        <w:t>3</w:t>
      </w:r>
      <w:r>
        <w:rPr>
          <w:rFonts w:hint="eastAsia" w:eastAsia="黑体"/>
          <w:szCs w:val="21"/>
        </w:rPr>
        <w:t>（</w:t>
      </w:r>
      <w:r>
        <w:rPr>
          <w:rFonts w:hint="eastAsia" w:eastAsia="黑体"/>
          <w:szCs w:val="21"/>
          <w:lang w:val="en-US" w:eastAsia="zh-CN"/>
        </w:rPr>
        <w:t>500</w:t>
      </w:r>
      <w:r>
        <w:rPr>
          <w:rFonts w:hint="eastAsia" w:eastAsia="黑体"/>
          <w:szCs w:val="21"/>
        </w:rPr>
        <w:t>）}/</w:t>
      </w:r>
      <w:r>
        <w:rPr>
          <w:rFonts w:hint="eastAsia" w:eastAsia="黑体"/>
          <w:szCs w:val="21"/>
          <w:lang w:val="en-US" w:eastAsia="zh-CN"/>
        </w:rPr>
        <w:t>3</w:t>
      </w:r>
    </w:p>
    <w:p w14:paraId="0EEF2732">
      <w:pPr>
        <w:spacing w:afterLines="50" w:line="360" w:lineRule="auto"/>
        <w:ind w:firstLine="630" w:firstLineChars="300"/>
        <w:jc w:val="left"/>
        <w:rPr>
          <w:rFonts w:hint="eastAsia" w:eastAsia="黑体"/>
          <w:szCs w:val="21"/>
          <w:lang w:val="en-US" w:eastAsia="zh-CN"/>
        </w:rPr>
      </w:pPr>
      <w:r>
        <w:rPr>
          <w:rFonts w:hint="eastAsia" w:eastAsia="黑体"/>
          <w:szCs w:val="21"/>
        </w:rPr>
        <w:t>=(</w:t>
      </w:r>
      <w:r>
        <w:rPr>
          <w:rFonts w:hint="eastAsia" w:eastAsia="黑体"/>
          <w:szCs w:val="21"/>
          <w:lang w:val="en-US" w:eastAsia="zh-CN"/>
        </w:rPr>
        <w:t>499</w:t>
      </w:r>
      <w:r>
        <w:rPr>
          <w:rFonts w:ascii="Times New Roman" w:hAnsi="Times New Roman"/>
          <w:lang w:val="en-US" w:eastAsia="zh-CN"/>
        </w:rPr>
        <w:t>µmol/mol</w:t>
      </w:r>
      <w:r>
        <w:rPr>
          <w:rFonts w:hint="eastAsia" w:eastAsia="黑体"/>
          <w:szCs w:val="21"/>
        </w:rPr>
        <w:t>+</w:t>
      </w:r>
      <w:r>
        <w:rPr>
          <w:rFonts w:hint="eastAsia" w:eastAsia="黑体"/>
          <w:szCs w:val="21"/>
          <w:lang w:val="en-US" w:eastAsia="zh-CN"/>
        </w:rPr>
        <w:t>499</w:t>
      </w:r>
      <w:r>
        <w:rPr>
          <w:rFonts w:ascii="Times New Roman" w:hAnsi="Times New Roman"/>
          <w:lang w:val="en-US" w:eastAsia="zh-CN"/>
        </w:rPr>
        <w:t>µmol/mol</w:t>
      </w:r>
      <w:r>
        <w:rPr>
          <w:rFonts w:hint="eastAsia" w:eastAsia="黑体"/>
          <w:szCs w:val="21"/>
        </w:rPr>
        <w:t>+</w:t>
      </w:r>
      <w:r>
        <w:rPr>
          <w:rFonts w:hint="eastAsia" w:eastAsia="黑体"/>
          <w:szCs w:val="21"/>
          <w:lang w:val="en-US" w:eastAsia="zh-CN"/>
        </w:rPr>
        <w:t>498</w:t>
      </w:r>
      <w:r>
        <w:rPr>
          <w:rFonts w:ascii="Times New Roman" w:hAnsi="Times New Roman"/>
          <w:lang w:val="en-US" w:eastAsia="zh-CN"/>
        </w:rPr>
        <w:t>µmol/mol</w:t>
      </w:r>
      <w:r>
        <w:rPr>
          <w:rFonts w:hint="eastAsia" w:eastAsia="黑体"/>
          <w:szCs w:val="21"/>
        </w:rPr>
        <w:t>)/6=</w:t>
      </w:r>
      <w:r>
        <w:rPr>
          <w:rFonts w:hint="eastAsia" w:eastAsia="黑体"/>
          <w:szCs w:val="21"/>
          <w:lang w:val="en-US" w:eastAsia="zh-CN"/>
        </w:rPr>
        <w:t>498.7</w:t>
      </w:r>
      <w:r>
        <w:rPr>
          <w:rFonts w:ascii="Times New Roman" w:hAnsi="Times New Roman"/>
          <w:lang w:val="en-US" w:eastAsia="zh-CN"/>
        </w:rPr>
        <w:t>µmol/mol</w:t>
      </w:r>
    </w:p>
    <w:p w14:paraId="26687389">
      <w:pPr>
        <w:spacing w:afterLines="50" w:line="360" w:lineRule="auto"/>
        <w:ind w:firstLine="420" w:firstLineChars="200"/>
        <w:jc w:val="left"/>
        <w:rPr>
          <w:rFonts w:hint="eastAsia" w:eastAsia="黑体"/>
          <w:szCs w:val="21"/>
          <w:lang w:val="en-US" w:eastAsia="zh-CN"/>
        </w:rPr>
      </w:pPr>
      <m:oMath>
        <m:acc>
          <m:accPr>
            <m:chr m:val="̅"/>
            <m:ctrlPr>
              <w:rPr>
                <w:rFonts w:ascii="Cambria Math" w:hAnsi="Cambria Math"/>
                <w:i/>
                <w:szCs w:val="21"/>
              </w:rPr>
            </m:ctrlPr>
          </m:accPr>
          <m:e>
            <m:r>
              <m:rPr/>
              <w:rPr>
                <w:rFonts w:hint="default" w:ascii="Cambria Math" w:hAnsi="Cambria Math"/>
                <w:szCs w:val="21"/>
                <w:lang w:val="en-US" w:eastAsia="zh-CN"/>
              </w:rPr>
              <m:t>C</m:t>
            </m:r>
            <m:ctrlPr>
              <w:rPr>
                <w:rFonts w:ascii="Cambria Math" w:hAnsi="Cambria Math"/>
                <w:i/>
                <w:szCs w:val="21"/>
              </w:rPr>
            </m:ctrlPr>
          </m:e>
        </m:acc>
      </m:oMath>
      <w:r>
        <w:rPr>
          <w:rFonts w:hint="eastAsia" w:eastAsia="黑体"/>
          <w:szCs w:val="21"/>
          <w:vertAlign w:val="subscript"/>
        </w:rPr>
        <w:t>（</w:t>
      </w:r>
      <w:r>
        <w:rPr>
          <w:rFonts w:hint="eastAsia" w:eastAsia="黑体"/>
          <w:szCs w:val="21"/>
          <w:vertAlign w:val="subscript"/>
          <w:lang w:val="en-US" w:eastAsia="zh-CN"/>
        </w:rPr>
        <w:t>750</w:t>
      </w:r>
      <w:r>
        <w:rPr>
          <w:rFonts w:hint="eastAsia" w:eastAsia="黑体"/>
          <w:szCs w:val="21"/>
          <w:vertAlign w:val="subscript"/>
        </w:rPr>
        <w:t>）</w:t>
      </w:r>
      <w:r>
        <w:rPr>
          <w:rFonts w:hint="eastAsia" w:eastAsia="黑体"/>
          <w:szCs w:val="21"/>
        </w:rPr>
        <w:t>={A</w:t>
      </w:r>
      <w:r>
        <w:rPr>
          <w:rFonts w:hint="eastAsia" w:eastAsia="黑体"/>
          <w:szCs w:val="21"/>
          <w:vertAlign w:val="subscript"/>
        </w:rPr>
        <w:t>1</w:t>
      </w:r>
      <w:r>
        <w:rPr>
          <w:rFonts w:hint="eastAsia" w:eastAsia="黑体"/>
          <w:szCs w:val="21"/>
        </w:rPr>
        <w:t>（</w:t>
      </w:r>
      <w:r>
        <w:rPr>
          <w:rFonts w:hint="eastAsia" w:eastAsia="黑体"/>
          <w:szCs w:val="21"/>
          <w:lang w:val="en-US" w:eastAsia="zh-CN"/>
        </w:rPr>
        <w:t>750</w:t>
      </w:r>
      <w:r>
        <w:rPr>
          <w:rFonts w:hint="eastAsia" w:eastAsia="黑体"/>
          <w:szCs w:val="21"/>
        </w:rPr>
        <w:t>）+ A</w:t>
      </w:r>
      <w:r>
        <w:rPr>
          <w:rFonts w:hint="eastAsia" w:eastAsia="黑体"/>
          <w:szCs w:val="21"/>
          <w:vertAlign w:val="subscript"/>
        </w:rPr>
        <w:t>2</w:t>
      </w:r>
      <w:r>
        <w:rPr>
          <w:rFonts w:hint="eastAsia" w:eastAsia="黑体"/>
          <w:szCs w:val="21"/>
        </w:rPr>
        <w:t>（</w:t>
      </w:r>
      <w:r>
        <w:rPr>
          <w:rFonts w:hint="eastAsia" w:eastAsia="黑体"/>
          <w:szCs w:val="21"/>
          <w:lang w:val="en-US" w:eastAsia="zh-CN"/>
        </w:rPr>
        <w:t>750</w:t>
      </w:r>
      <w:r>
        <w:rPr>
          <w:rFonts w:hint="eastAsia" w:eastAsia="黑体"/>
          <w:szCs w:val="21"/>
        </w:rPr>
        <w:t>）+A</w:t>
      </w:r>
      <w:r>
        <w:rPr>
          <w:rFonts w:hint="eastAsia" w:eastAsia="黑体"/>
          <w:szCs w:val="21"/>
          <w:vertAlign w:val="subscript"/>
        </w:rPr>
        <w:t>3</w:t>
      </w:r>
      <w:r>
        <w:rPr>
          <w:rFonts w:hint="eastAsia" w:eastAsia="黑体"/>
          <w:szCs w:val="21"/>
        </w:rPr>
        <w:t>（</w:t>
      </w:r>
      <w:r>
        <w:rPr>
          <w:rFonts w:hint="eastAsia" w:eastAsia="黑体"/>
          <w:szCs w:val="21"/>
          <w:lang w:val="en-US" w:eastAsia="zh-CN"/>
        </w:rPr>
        <w:t>750</w:t>
      </w:r>
      <w:r>
        <w:rPr>
          <w:rFonts w:hint="eastAsia" w:eastAsia="黑体"/>
          <w:szCs w:val="21"/>
        </w:rPr>
        <w:t>）}/</w:t>
      </w:r>
      <w:r>
        <w:rPr>
          <w:rFonts w:hint="eastAsia" w:eastAsia="黑体"/>
          <w:szCs w:val="21"/>
          <w:lang w:val="en-US" w:eastAsia="zh-CN"/>
        </w:rPr>
        <w:t>3</w:t>
      </w:r>
    </w:p>
    <w:p w14:paraId="48332C73">
      <w:pPr>
        <w:spacing w:afterLines="50" w:line="360" w:lineRule="auto"/>
        <w:ind w:firstLine="630" w:firstLineChars="300"/>
        <w:jc w:val="left"/>
        <w:rPr>
          <w:rFonts w:hint="eastAsia" w:eastAsia="黑体"/>
          <w:szCs w:val="21"/>
          <w:lang w:val="en-US" w:eastAsia="zh-CN"/>
        </w:rPr>
      </w:pPr>
      <w:r>
        <w:rPr>
          <w:rFonts w:hint="eastAsia" w:eastAsia="黑体"/>
          <w:szCs w:val="21"/>
        </w:rPr>
        <w:t>=(</w:t>
      </w:r>
      <w:r>
        <w:rPr>
          <w:rFonts w:hint="eastAsia" w:eastAsia="黑体"/>
          <w:szCs w:val="21"/>
          <w:lang w:val="en-US" w:eastAsia="zh-CN"/>
        </w:rPr>
        <w:t>745</w:t>
      </w:r>
      <w:r>
        <w:rPr>
          <w:rFonts w:ascii="Times New Roman" w:hAnsi="Times New Roman"/>
          <w:lang w:val="en-US" w:eastAsia="zh-CN"/>
        </w:rPr>
        <w:t>µmol/mol</w:t>
      </w:r>
      <w:r>
        <w:rPr>
          <w:rFonts w:hint="eastAsia" w:eastAsia="黑体"/>
          <w:szCs w:val="21"/>
        </w:rPr>
        <w:t>+</w:t>
      </w:r>
      <w:r>
        <w:rPr>
          <w:rFonts w:hint="eastAsia" w:eastAsia="黑体"/>
          <w:szCs w:val="21"/>
          <w:lang w:val="en-US" w:eastAsia="zh-CN"/>
        </w:rPr>
        <w:t>745</w:t>
      </w:r>
      <w:r>
        <w:rPr>
          <w:rFonts w:ascii="Times New Roman" w:hAnsi="Times New Roman"/>
          <w:lang w:val="en-US" w:eastAsia="zh-CN"/>
        </w:rPr>
        <w:t>µmol/mol</w:t>
      </w:r>
      <w:r>
        <w:rPr>
          <w:rFonts w:hint="eastAsia" w:eastAsia="黑体"/>
          <w:szCs w:val="21"/>
        </w:rPr>
        <w:t>+</w:t>
      </w:r>
      <w:r>
        <w:rPr>
          <w:rFonts w:hint="eastAsia" w:eastAsia="黑体"/>
          <w:szCs w:val="21"/>
          <w:lang w:val="en-US" w:eastAsia="zh-CN"/>
        </w:rPr>
        <w:t>746</w:t>
      </w:r>
      <w:r>
        <w:rPr>
          <w:rFonts w:ascii="Times New Roman" w:hAnsi="Times New Roman"/>
          <w:lang w:val="en-US" w:eastAsia="zh-CN"/>
        </w:rPr>
        <w:t>µmol/mol</w:t>
      </w:r>
      <w:r>
        <w:rPr>
          <w:rFonts w:hint="eastAsia" w:eastAsia="黑体"/>
          <w:szCs w:val="21"/>
        </w:rPr>
        <w:t>)/</w:t>
      </w:r>
      <w:r>
        <w:rPr>
          <w:rFonts w:hint="eastAsia" w:eastAsia="黑体"/>
          <w:szCs w:val="21"/>
          <w:lang w:val="en-US" w:eastAsia="zh-CN"/>
        </w:rPr>
        <w:t>3</w:t>
      </w:r>
      <w:r>
        <w:rPr>
          <w:rFonts w:hint="eastAsia" w:eastAsia="黑体"/>
          <w:szCs w:val="21"/>
        </w:rPr>
        <w:t>=</w:t>
      </w:r>
      <w:r>
        <w:rPr>
          <w:rFonts w:hint="eastAsia" w:eastAsia="黑体"/>
          <w:szCs w:val="21"/>
          <w:lang w:val="en-US" w:eastAsia="zh-CN"/>
        </w:rPr>
        <w:t>745.3</w:t>
      </w:r>
      <w:r>
        <w:rPr>
          <w:rFonts w:ascii="Times New Roman" w:hAnsi="Times New Roman"/>
          <w:lang w:val="en-US" w:eastAsia="zh-CN"/>
        </w:rPr>
        <w:t>µmol/mol</w:t>
      </w:r>
    </w:p>
    <w:p w14:paraId="706FC3A2">
      <w:pPr>
        <w:spacing w:afterLines="50" w:line="360" w:lineRule="auto"/>
        <w:jc w:val="left"/>
        <w:rPr>
          <w:rFonts w:hint="eastAsia" w:ascii="宋体" w:hAnsi="宋体" w:eastAsia="宋体"/>
          <w:sz w:val="24"/>
          <w:lang w:eastAsia="zh-CN"/>
        </w:rPr>
      </w:pPr>
      <w:r>
        <w:rPr>
          <w:rFonts w:hint="eastAsia" w:ascii="宋体" w:hAnsi="宋体"/>
          <w:sz w:val="24"/>
        </w:rPr>
        <w:t>4.</w:t>
      </w:r>
      <w:r>
        <w:rPr>
          <w:rFonts w:hint="eastAsia" w:ascii="宋体" w:hAnsi="宋体"/>
          <w:sz w:val="24"/>
          <w:lang w:val="en-US" w:eastAsia="zh-CN"/>
        </w:rPr>
        <w:t>3</w:t>
      </w:r>
      <w:r>
        <w:rPr>
          <w:rFonts w:hint="eastAsia" w:ascii="宋体" w:hAnsi="宋体"/>
          <w:sz w:val="24"/>
        </w:rPr>
        <w:t>.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  <w:lang w:eastAsia="zh-CN"/>
        </w:rPr>
        <w:t>报警器的</w:t>
      </w:r>
      <w:r>
        <w:rPr>
          <w:rFonts w:hint="eastAsia" w:eastAsia="宋体" w:cs="宋体"/>
          <w:sz w:val="24"/>
          <w:szCs w:val="24"/>
          <w:lang w:val="en-US" w:eastAsia="zh-CN"/>
        </w:rPr>
        <w:t>示值误差</w:t>
      </w:r>
      <w:r>
        <w:rPr>
          <w:rFonts w:hint="eastAsia" w:cs="宋体"/>
          <w:sz w:val="24"/>
          <w:szCs w:val="24"/>
          <w:lang w:val="en-US" w:eastAsia="zh-CN"/>
        </w:rPr>
        <w:t>（</w:t>
      </w:r>
      <w:r>
        <w:rPr>
          <w:rFonts w:hint="eastAsia" w:eastAsia="宋体" w:cs="宋体"/>
          <w:sz w:val="24"/>
          <w:szCs w:val="24"/>
          <w:lang w:val="en-US" w:eastAsia="zh-CN"/>
        </w:rPr>
        <w:t>Δ</w:t>
      </w:r>
      <w:r>
        <w:rPr>
          <w:rFonts w:ascii="Times New Roman" w:hAnsi="Times New Roman" w:eastAsia="宋体"/>
          <w:i/>
          <w:iCs/>
          <w:sz w:val="24"/>
          <w:szCs w:val="24"/>
          <w:lang w:val="en-US" w:eastAsia="zh-CN"/>
        </w:rPr>
        <w:t>C</w:t>
      </w:r>
      <w:r>
        <w:rPr>
          <w:rFonts w:hint="eastAsia" w:cs="宋体"/>
          <w:sz w:val="24"/>
          <w:szCs w:val="24"/>
          <w:lang w:val="en-US" w:eastAsia="zh-CN"/>
        </w:rPr>
        <w:t>）</w:t>
      </w:r>
      <w:r>
        <w:rPr>
          <w:rFonts w:hint="eastAsia" w:ascii="Times New Roman" w:hAnsi="Times New Roman" w:eastAsia="宋体"/>
          <w:i/>
          <w:iCs/>
          <w:sz w:val="24"/>
          <w:szCs w:val="24"/>
          <w:lang w:val="en-US" w:eastAsia="zh-CN"/>
        </w:rPr>
        <w:t xml:space="preserve"> </w:t>
      </w:r>
    </w:p>
    <w:p w14:paraId="02F1F262">
      <w:pPr>
        <w:pStyle w:val="25"/>
        <w:keepNext w:val="0"/>
        <w:spacing w:beforeLines="0" w:afterLines="0" w:line="360" w:lineRule="auto"/>
        <w:ind w:firstLine="480" w:firstLineChars="200"/>
        <w:jc w:val="both"/>
        <w:outlineLvl w:val="9"/>
        <w:rPr>
          <w:rFonts w:hint="eastAsia" w:ascii="Times New Roman" w:hAnsi="Times New Roman" w:eastAsia="宋体"/>
          <w:color w:val="000000"/>
          <w:sz w:val="24"/>
          <w:szCs w:val="24"/>
          <w:lang w:eastAsia="zh-CN"/>
        </w:rPr>
      </w:pPr>
      <w:r>
        <w:rPr>
          <w:rFonts w:hint="eastAsia" w:ascii="Times New Roman" w:hAnsi="Times New Roman" w:eastAsia="宋体"/>
          <w:color w:val="000000"/>
          <w:sz w:val="24"/>
          <w:szCs w:val="24"/>
          <w:lang w:eastAsia="zh-CN"/>
        </w:rPr>
        <w:t>按式（</w:t>
      </w:r>
      <w:r>
        <w:rPr>
          <w:rFonts w:hint="eastAsia" w:ascii="Times New Roman" w:hAnsi="Times New Roman" w:eastAsia="宋体"/>
          <w:color w:val="000000"/>
          <w:sz w:val="24"/>
          <w:szCs w:val="24"/>
          <w:lang w:val="en-US" w:eastAsia="zh-CN"/>
        </w:rPr>
        <w:t>1</w:t>
      </w:r>
      <w:r>
        <w:rPr>
          <w:rFonts w:hint="eastAsia" w:ascii="Times New Roman" w:hAnsi="Times New Roman" w:eastAsia="宋体"/>
          <w:color w:val="000000"/>
          <w:sz w:val="24"/>
          <w:szCs w:val="24"/>
          <w:lang w:eastAsia="zh-CN"/>
        </w:rPr>
        <w:t>）计算各点的示值误差。</w:t>
      </w:r>
    </w:p>
    <w:p w14:paraId="38AD36AE">
      <w:pPr>
        <w:pStyle w:val="3"/>
        <w:spacing w:line="360" w:lineRule="auto"/>
        <w:ind w:left="372" w:leftChars="177" w:firstLine="1" w:firstLineChars="0"/>
        <w:jc w:val="center"/>
        <w:rPr>
          <w:rFonts w:hint="eastAsia" w:ascii="Times New Roman" w:hAnsi="Times New Roman" w:eastAsia="宋体"/>
          <w:color w:val="000000"/>
          <w:sz w:val="23"/>
          <w:szCs w:val="24"/>
          <w:lang w:eastAsia="zh-CN"/>
        </w:rPr>
      </w:pPr>
      <w:r>
        <w:rPr>
          <w:rFonts w:hint="eastAsia" w:ascii="Times New Roman" w:hAnsi="Times New Roman" w:eastAsia="宋体"/>
          <w:color w:val="000000"/>
          <w:position w:val="-24"/>
          <w:sz w:val="23"/>
          <w:szCs w:val="24"/>
          <w:lang w:eastAsia="zh-CN"/>
        </w:rPr>
        <w:object>
          <v:shape id="_x0000_i1025" o:spt="75" type="#_x0000_t75" style="height:33pt;width:62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10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 w:val="23"/>
          <w:szCs w:val="24"/>
          <w:lang w:val="en-US" w:eastAsia="zh-CN"/>
        </w:rPr>
        <w:t xml:space="preserve">   </w:t>
      </w:r>
      <w:r>
        <w:rPr>
          <w:rFonts w:hint="eastAsia" w:ascii="Times New Roman" w:hAnsi="Times New Roman" w:eastAsia="宋体"/>
          <w:color w:val="000000"/>
          <w:sz w:val="23"/>
          <w:szCs w:val="24"/>
          <w:lang w:eastAsia="zh-CN"/>
        </w:rPr>
        <w:t>（</w:t>
      </w:r>
      <w:r>
        <w:rPr>
          <w:rFonts w:hint="eastAsia" w:ascii="Times New Roman" w:hAnsi="Times New Roman" w:eastAsia="宋体"/>
          <w:color w:val="000000"/>
          <w:sz w:val="23"/>
          <w:szCs w:val="24"/>
          <w:lang w:val="en-US" w:eastAsia="zh-CN"/>
        </w:rPr>
        <w:t>1</w:t>
      </w:r>
      <w:r>
        <w:rPr>
          <w:rFonts w:hint="eastAsia" w:ascii="Times New Roman" w:hAnsi="Times New Roman" w:eastAsia="宋体"/>
          <w:color w:val="000000"/>
          <w:sz w:val="23"/>
          <w:szCs w:val="24"/>
          <w:lang w:eastAsia="zh-CN"/>
        </w:rPr>
        <w:t>）</w:t>
      </w:r>
    </w:p>
    <w:p w14:paraId="187305EE">
      <w:pPr>
        <w:pStyle w:val="3"/>
        <w:spacing w:line="360" w:lineRule="auto"/>
        <w:ind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式中：</w:t>
      </w:r>
    </w:p>
    <w:p w14:paraId="75B1A124">
      <w:pPr>
        <w:pStyle w:val="25"/>
        <w:keepNext w:val="0"/>
        <w:spacing w:beforeLines="0" w:afterLines="0" w:line="360" w:lineRule="auto"/>
        <w:ind w:firstLine="480" w:firstLineChars="200"/>
        <w:jc w:val="both"/>
        <w:outlineLvl w:val="9"/>
        <w:rPr>
          <w:rFonts w:hint="eastAsia" w:eastAsia="宋体" w:cs="宋体"/>
          <w:sz w:val="24"/>
          <w:szCs w:val="24"/>
          <w:lang w:val="en-US" w:eastAsia="zh-CN"/>
        </w:rPr>
      </w:pPr>
      <w:r>
        <w:rPr>
          <w:rFonts w:hint="eastAsia" w:eastAsia="宋体" w:cs="宋体"/>
          <w:sz w:val="24"/>
          <w:szCs w:val="24"/>
          <w:lang w:val="en-US" w:eastAsia="zh-CN"/>
        </w:rPr>
        <w:t>Δ</w:t>
      </w:r>
      <w:r>
        <w:rPr>
          <w:rFonts w:ascii="Times New Roman" w:hAnsi="Times New Roman" w:eastAsia="宋体"/>
          <w:i/>
          <w:iCs/>
          <w:sz w:val="24"/>
          <w:szCs w:val="24"/>
          <w:lang w:val="en-US" w:eastAsia="zh-CN"/>
        </w:rPr>
        <w:t>C</w:t>
      </w:r>
      <w:r>
        <w:rPr>
          <w:rFonts w:hint="eastAsia" w:ascii="Times New Roman" w:hAnsi="Times New Roman" w:eastAsia="宋体"/>
          <w:i/>
          <w:iCs/>
          <w:sz w:val="24"/>
          <w:szCs w:val="24"/>
          <w:lang w:val="en-US" w:eastAsia="zh-CN"/>
        </w:rPr>
        <w:t xml:space="preserve"> </w:t>
      </w:r>
      <w:r>
        <w:rPr>
          <w:rFonts w:hint="eastAsia" w:eastAsia="宋体" w:cs="宋体"/>
          <w:spacing w:val="-20"/>
          <w:sz w:val="24"/>
          <w:szCs w:val="24"/>
        </w:rPr>
        <w:t>——</w:t>
      </w:r>
      <w:r>
        <w:rPr>
          <w:rFonts w:hint="eastAsia" w:eastAsia="宋体" w:cs="宋体"/>
          <w:spacing w:val="-20"/>
          <w:sz w:val="24"/>
          <w:szCs w:val="24"/>
          <w:lang w:val="en-US" w:eastAsia="zh-CN"/>
        </w:rPr>
        <w:t xml:space="preserve">  </w:t>
      </w:r>
      <w:r>
        <w:rPr>
          <w:rFonts w:hint="eastAsia" w:eastAsia="宋体" w:cs="宋体"/>
          <w:sz w:val="24"/>
          <w:szCs w:val="24"/>
          <w:lang w:val="en-US" w:eastAsia="zh-CN"/>
        </w:rPr>
        <w:t>报警器示值误差，%；</w:t>
      </w:r>
    </w:p>
    <w:p w14:paraId="4FCC2DF8">
      <w:pPr>
        <w:pStyle w:val="25"/>
        <w:keepNext w:val="0"/>
        <w:spacing w:beforeLines="0" w:afterLines="0" w:line="360" w:lineRule="auto"/>
        <w:ind w:firstLine="480" w:firstLineChars="200"/>
        <w:jc w:val="both"/>
        <w:outlineLvl w:val="9"/>
        <w:rPr>
          <w:rFonts w:hint="eastAsia" w:eastAsia="宋体" w:cs="宋体"/>
          <w:spacing w:val="-20"/>
          <w:sz w:val="24"/>
          <w:szCs w:val="24"/>
          <w:lang w:val="en-US" w:eastAsia="zh-CN"/>
        </w:rPr>
      </w:pPr>
      <w:r>
        <w:rPr>
          <w:rFonts w:ascii="Times New Roman" w:hAnsi="Times New Roman" w:eastAsia="宋体"/>
          <w:i/>
          <w:iCs/>
          <w:sz w:val="24"/>
          <w:szCs w:val="24"/>
          <w:lang w:val="en-US" w:eastAsia="zh-CN"/>
        </w:rPr>
        <w:sym w:font="Symbol" w:char="0060"/>
      </w:r>
      <w:r>
        <w:rPr>
          <w:rFonts w:ascii="Times New Roman" w:hAnsi="Times New Roman" w:eastAsia="宋体"/>
          <w:i/>
          <w:iCs/>
          <w:sz w:val="24"/>
          <w:szCs w:val="24"/>
          <w:lang w:val="en-US" w:eastAsia="zh-CN"/>
        </w:rPr>
        <w:t>C</w:t>
      </w:r>
      <w:r>
        <w:rPr>
          <w:rFonts w:hint="eastAsia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eastAsia="宋体" w:cs="宋体"/>
          <w:spacing w:val="-20"/>
          <w:sz w:val="24"/>
          <w:szCs w:val="24"/>
        </w:rPr>
        <w:t>——</w:t>
      </w:r>
      <w:r>
        <w:rPr>
          <w:rFonts w:hint="eastAsia" w:eastAsia="宋体" w:cs="宋体"/>
          <w:spacing w:val="-20"/>
          <w:sz w:val="24"/>
          <w:szCs w:val="24"/>
          <w:lang w:val="en-US" w:eastAsia="zh-CN"/>
        </w:rPr>
        <w:t xml:space="preserve">  </w:t>
      </w:r>
      <w:r>
        <w:rPr>
          <w:rFonts w:hint="eastAsia" w:eastAsia="宋体" w:cs="宋体"/>
          <w:sz w:val="24"/>
          <w:szCs w:val="24"/>
          <w:lang w:val="en-US" w:eastAsia="zh-CN"/>
        </w:rPr>
        <w:t>报警器示值的算术平均值，</w:t>
      </w:r>
      <w:r>
        <w:rPr>
          <w:rFonts w:ascii="Times New Roman" w:hAnsi="Times New Roman" w:eastAsia="宋体"/>
          <w:sz w:val="24"/>
          <w:szCs w:val="24"/>
          <w:lang w:val="en-US" w:eastAsia="zh-CN"/>
        </w:rPr>
        <w:t>µmol/mol</w:t>
      </w:r>
      <w:r>
        <w:rPr>
          <w:rFonts w:hint="eastAsia" w:eastAsia="宋体" w:cs="宋体"/>
          <w:spacing w:val="-20"/>
          <w:sz w:val="24"/>
          <w:szCs w:val="24"/>
          <w:lang w:val="en-US" w:eastAsia="zh-CN"/>
        </w:rPr>
        <w:t>；</w:t>
      </w:r>
    </w:p>
    <w:p w14:paraId="5A59649F">
      <w:pPr>
        <w:pStyle w:val="25"/>
        <w:keepNext w:val="0"/>
        <w:spacing w:beforeLines="0" w:afterLines="0" w:line="360" w:lineRule="auto"/>
        <w:ind w:firstLine="600" w:firstLineChars="300"/>
        <w:jc w:val="both"/>
        <w:outlineLvl w:val="9"/>
        <w:rPr>
          <w:rFonts w:hint="eastAsia" w:eastAsia="宋体" w:cs="宋体"/>
          <w:sz w:val="24"/>
          <w:szCs w:val="24"/>
          <w:lang w:val="en-US" w:eastAsia="zh-CN"/>
        </w:rPr>
      </w:pPr>
      <w:r>
        <w:rPr>
          <w:rFonts w:ascii="Times New Roman" w:hAnsi="Times New Roman" w:eastAsia="宋体"/>
          <w:i/>
          <w:iCs/>
          <w:spacing w:val="-20"/>
          <w:sz w:val="24"/>
          <w:szCs w:val="24"/>
          <w:lang w:val="en-US" w:eastAsia="zh-CN"/>
        </w:rPr>
        <w:t>C</w:t>
      </w:r>
      <w:r>
        <w:rPr>
          <w:rFonts w:hint="eastAsia" w:eastAsia="宋体" w:cs="宋体"/>
          <w:spacing w:val="-20"/>
          <w:sz w:val="24"/>
          <w:szCs w:val="24"/>
          <w:vertAlign w:val="subscript"/>
          <w:lang w:val="en-US" w:eastAsia="zh-CN"/>
        </w:rPr>
        <w:t xml:space="preserve">0     </w:t>
      </w:r>
      <w:r>
        <w:rPr>
          <w:rFonts w:hint="eastAsia" w:eastAsia="宋体" w:cs="宋体"/>
          <w:spacing w:val="-20"/>
          <w:sz w:val="24"/>
          <w:szCs w:val="24"/>
        </w:rPr>
        <w:t>——</w:t>
      </w:r>
      <w:r>
        <w:rPr>
          <w:rFonts w:hint="eastAsia" w:eastAsia="宋体" w:cs="宋体"/>
          <w:spacing w:val="-20"/>
          <w:sz w:val="24"/>
          <w:szCs w:val="24"/>
          <w:lang w:val="en-US" w:eastAsia="zh-CN"/>
        </w:rPr>
        <w:t xml:space="preserve">  </w:t>
      </w:r>
      <w:r>
        <w:rPr>
          <w:rFonts w:hint="eastAsia" w:eastAsia="宋体" w:cs="宋体"/>
          <w:sz w:val="24"/>
          <w:szCs w:val="24"/>
          <w:lang w:val="en-US" w:eastAsia="zh-CN"/>
        </w:rPr>
        <w:t>通入的空气中氢气标准物质浓度值,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>µmol/mol</w:t>
      </w:r>
      <w:r>
        <w:rPr>
          <w:rFonts w:hint="eastAsia" w:eastAsia="宋体" w:cs="宋体"/>
          <w:sz w:val="24"/>
          <w:szCs w:val="24"/>
          <w:lang w:val="en-US" w:eastAsia="zh-CN"/>
        </w:rPr>
        <w:t>；</w:t>
      </w:r>
    </w:p>
    <w:p w14:paraId="4D09038E">
      <w:pPr>
        <w:pStyle w:val="25"/>
        <w:keepNext w:val="0"/>
        <w:spacing w:beforeLines="0" w:afterLines="0" w:line="360" w:lineRule="auto"/>
        <w:ind w:firstLine="600" w:firstLineChars="300"/>
        <w:jc w:val="both"/>
        <w:outlineLvl w:val="9"/>
        <w:rPr>
          <w:rFonts w:hint="eastAsia" w:ascii="Times New Roman" w:hAnsi="Times New Roman" w:eastAsia="宋体"/>
          <w:color w:val="000000"/>
          <w:sz w:val="24"/>
          <w:szCs w:val="24"/>
          <w:lang w:val="en-US" w:eastAsia="zh-CN"/>
        </w:rPr>
      </w:pPr>
      <w:r>
        <w:rPr>
          <w:rFonts w:ascii="Times New Roman" w:hAnsi="Times New Roman" w:eastAsia="宋体"/>
          <w:i/>
          <w:iCs/>
          <w:spacing w:val="-20"/>
          <w:sz w:val="24"/>
          <w:szCs w:val="24"/>
          <w:lang w:val="en-US" w:eastAsia="zh-CN"/>
        </w:rPr>
        <w:t>R</w:t>
      </w:r>
      <w:r>
        <w:rPr>
          <w:rFonts w:hint="eastAsia" w:eastAsia="宋体" w:cs="宋体"/>
          <w:spacing w:val="-20"/>
          <w:sz w:val="24"/>
          <w:szCs w:val="24"/>
          <w:vertAlign w:val="subscript"/>
          <w:lang w:val="en-US" w:eastAsia="zh-CN"/>
        </w:rPr>
        <w:t xml:space="preserve">      </w:t>
      </w:r>
      <w:r>
        <w:rPr>
          <w:rFonts w:hint="eastAsia" w:eastAsia="宋体" w:cs="宋体"/>
          <w:spacing w:val="-20"/>
          <w:sz w:val="24"/>
          <w:szCs w:val="24"/>
        </w:rPr>
        <w:t>——</w:t>
      </w:r>
      <w:r>
        <w:rPr>
          <w:rFonts w:hint="eastAsia" w:eastAsia="宋体" w:cs="宋体"/>
          <w:spacing w:val="-20"/>
          <w:sz w:val="24"/>
          <w:szCs w:val="24"/>
          <w:lang w:val="en-US" w:eastAsia="zh-CN"/>
        </w:rPr>
        <w:t xml:space="preserve">  </w:t>
      </w:r>
      <w:r>
        <w:rPr>
          <w:rFonts w:hint="eastAsia" w:eastAsia="宋体" w:cs="宋体"/>
          <w:sz w:val="24"/>
          <w:szCs w:val="24"/>
          <w:lang w:val="en-US" w:eastAsia="zh-CN"/>
        </w:rPr>
        <w:t>报警器的满量程,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>µmol/mol</w:t>
      </w:r>
      <w:r>
        <w:rPr>
          <w:rFonts w:hint="eastAsia" w:eastAsia="宋体" w:cs="宋体"/>
          <w:spacing w:val="-20"/>
          <w:sz w:val="24"/>
          <w:szCs w:val="24"/>
          <w:lang w:val="en-US" w:eastAsia="zh-CN"/>
        </w:rPr>
        <w:t>。</w:t>
      </w:r>
    </w:p>
    <w:p w14:paraId="32239F04">
      <w:pPr>
        <w:pStyle w:val="3"/>
        <w:spacing w:line="360" w:lineRule="auto"/>
        <w:ind w:left="372" w:leftChars="177" w:firstLine="1" w:firstLineChars="0"/>
        <w:rPr>
          <w:i w:val="0"/>
          <w:color w:val="auto"/>
          <w:sz w:val="24"/>
          <w:szCs w:val="24"/>
        </w:rPr>
      </w:pPr>
    </w:p>
    <w:p w14:paraId="55558535">
      <w:pPr>
        <w:pStyle w:val="3"/>
        <w:spacing w:line="360" w:lineRule="auto"/>
        <w:ind w:left="372" w:leftChars="177" w:firstLine="1" w:firstLineChars="0"/>
        <w:rPr>
          <w:rFonts w:hint="default" w:ascii="Cambria Math" w:hAnsi="Cambria Math" w:eastAsia="宋体"/>
          <w:color w:val="auto"/>
          <w:sz w:val="24"/>
          <w:szCs w:val="24"/>
          <w:lang w:val="en-US" w:eastAsia="zh-CN"/>
        </w:rPr>
      </w:pPr>
      <m:oMath>
        <m:r>
          <w:rPr>
            <w:color w:val="auto"/>
            <w:sz w:val="24"/>
            <w:szCs w:val="24"/>
          </w:rPr>
          <w:drawing>
            <wp:inline distT="0" distB="0" distL="114300" distR="114300">
              <wp:extent cx="247650" cy="171450"/>
              <wp:effectExtent l="0" t="0" r="0" b="0"/>
              <wp:docPr id="1" name="图片 1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图片 18"/>
                      <pic:cNvPicPr>
                        <a:picLocks noChangeAspect="1"/>
                      </pic:cNvPicPr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47650" cy="171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m:r>
        <m:d>
          <m:dPr>
            <m:ctrlPr>
              <w:rPr>
                <w:rFonts w:ascii="Cambria Math" w:hAnsi="Cambria Math"/>
                <w:i/>
                <w:color w:val="auto"/>
                <w:sz w:val="24"/>
                <w:szCs w:val="24"/>
              </w:rPr>
            </m:ctrlPr>
          </m:dPr>
          <m:e>
            <m:r>
              <m:rPr/>
              <w:rPr>
                <w:rFonts w:hint="default" w:ascii="Cambria Math" w:hAnsi="Cambria Math"/>
                <w:color w:val="auto"/>
                <w:sz w:val="24"/>
                <w:szCs w:val="24"/>
                <w:lang w:val="en-US" w:eastAsia="zh-CN"/>
              </w:rPr>
              <m:t>250</m:t>
            </m:r>
            <m:ctrlPr>
              <w:rPr>
                <w:rFonts w:ascii="Cambria Math" w:hAnsi="Cambria Math"/>
                <w:i/>
                <w:color w:val="auto"/>
                <w:sz w:val="24"/>
                <w:szCs w:val="24"/>
              </w:rPr>
            </m:ctrlPr>
          </m:e>
        </m:d>
        <m:r>
          <m:rPr/>
          <w:rPr>
            <w:rFonts w:ascii="Cambria Math" w:hAnsi="Cambria Math"/>
            <w:color w:val="auto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color w:val="auto"/>
                <w:sz w:val="24"/>
                <w:szCs w:val="24"/>
              </w:rPr>
            </m:ctrlPr>
          </m:fPr>
          <m:num>
            <m:r>
              <m:rPr/>
              <w:rPr>
                <w:rFonts w:hint="default" w:ascii="Cambria Math" w:hAnsi="Cambria Math"/>
                <w:color w:val="auto"/>
                <w:sz w:val="24"/>
                <w:szCs w:val="24"/>
                <w:lang w:val="en-US" w:eastAsia="zh-CN"/>
              </w:rPr>
              <m:t>248.3</m:t>
            </m:r>
            <m:r>
              <m:rPr>
                <m:sty m:val="p"/>
              </m:rPr>
              <w:rPr>
                <w:rFonts w:ascii="Times New Roman" w:hAnsi="Times New Roman"/>
                <w:color w:val="auto"/>
                <w:sz w:val="24"/>
                <w:szCs w:val="24"/>
                <w:lang w:val="en-US" w:eastAsia="zh-CN"/>
              </w:rPr>
              <m:t>µmol/mol</m:t>
            </m:r>
            <m:r>
              <m:rPr/>
              <w:rPr>
                <w:rFonts w:hint="default" w:ascii="Cambria Math" w:hAnsi="Cambria Math"/>
                <w:color w:val="auto"/>
                <w:sz w:val="24"/>
                <w:szCs w:val="24"/>
                <w:lang w:val="en-US" w:eastAsia="zh-CN"/>
              </w:rPr>
              <m:t>−250</m:t>
            </m:r>
            <m:r>
              <m:rPr>
                <m:sty m:val="p"/>
              </m:rPr>
              <w:rPr>
                <w:rFonts w:ascii="Times New Roman" w:hAnsi="Times New Roman"/>
                <w:color w:val="auto"/>
                <w:sz w:val="24"/>
                <w:szCs w:val="24"/>
                <w:lang w:val="en-US" w:eastAsia="zh-CN"/>
              </w:rPr>
              <m:t>µmol/mol</m:t>
            </m:r>
            <m:ctrlPr>
              <w:rPr>
                <w:rFonts w:ascii="Cambria Math" w:hAnsi="Cambria Math"/>
                <w:i/>
                <w:color w:val="auto"/>
                <w:sz w:val="24"/>
                <w:szCs w:val="24"/>
              </w:rPr>
            </m:ctrlPr>
          </m:num>
          <m:den>
            <m:r>
              <m:rPr/>
              <w:rPr>
                <w:rFonts w:hint="default" w:ascii="Cambria Math" w:hAnsi="Cambria Math"/>
                <w:color w:val="auto"/>
                <w:sz w:val="24"/>
                <w:szCs w:val="24"/>
                <w:lang w:val="en-US" w:eastAsia="zh-CN"/>
              </w:rPr>
              <m:t>1000</m:t>
            </m:r>
            <m:r>
              <m:rPr>
                <m:sty m:val="p"/>
              </m:rPr>
              <w:rPr>
                <w:rFonts w:ascii="Times New Roman" w:hAnsi="Times New Roman"/>
                <w:color w:val="auto"/>
                <w:sz w:val="24"/>
                <w:szCs w:val="24"/>
                <w:lang w:val="en-US" w:eastAsia="zh-CN"/>
              </w:rPr>
              <m:t>µmol/mol</m:t>
            </m:r>
            <m:ctrlPr>
              <w:rPr>
                <w:rFonts w:ascii="Cambria Math" w:hAnsi="Cambria Math"/>
                <w:i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="Cambria Math" w:hAnsi="Cambria Math"/>
          <w:color w:val="auto"/>
          <w:sz w:val="24"/>
          <w:szCs w:val="24"/>
        </w:rPr>
        <w:t>=</w:t>
      </w:r>
      <w:r>
        <w:rPr>
          <w:rFonts w:hint="eastAsia" w:ascii="Cambria Math" w:hAnsi="Cambria Math"/>
          <w:color w:val="auto"/>
          <w:sz w:val="24"/>
          <w:szCs w:val="24"/>
          <w:lang w:val="en-US" w:eastAsia="zh-CN"/>
        </w:rPr>
        <w:t>-0.2%</w:t>
      </w:r>
    </w:p>
    <w:p w14:paraId="077CABF5">
      <w:pPr>
        <w:pStyle w:val="3"/>
        <w:spacing w:line="360" w:lineRule="auto"/>
        <w:ind w:left="372" w:leftChars="177" w:firstLine="1" w:firstLineChars="0"/>
        <w:rPr>
          <w:rFonts w:hint="eastAsia" w:ascii="Cambria Math" w:hAnsi="Cambria Math"/>
          <w:color w:val="auto"/>
          <w:sz w:val="24"/>
          <w:szCs w:val="24"/>
        </w:rPr>
      </w:pPr>
      <m:oMath>
        <m:r>
          <w:rPr>
            <w:color w:val="auto"/>
            <w:sz w:val="24"/>
            <w:szCs w:val="24"/>
          </w:rPr>
          <w:drawing>
            <wp:inline distT="0" distB="0" distL="114300" distR="114300">
              <wp:extent cx="247650" cy="171450"/>
              <wp:effectExtent l="0" t="0" r="0" b="0"/>
              <wp:docPr id="2" name="图片 1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图片 18"/>
                      <pic:cNvPicPr>
                        <a:picLocks noChangeAspect="1"/>
                      </pic:cNvPicPr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47650" cy="171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m:r>
        <m:d>
          <m:dPr>
            <m:ctrlPr>
              <w:rPr>
                <w:rFonts w:ascii="Cambria Math" w:hAnsi="Cambria Math"/>
                <w:i/>
                <w:color w:val="auto"/>
                <w:sz w:val="24"/>
                <w:szCs w:val="24"/>
              </w:rPr>
            </m:ctrlPr>
          </m:dPr>
          <m:e>
            <m:r>
              <m:rPr/>
              <w:rPr>
                <w:rFonts w:hint="default" w:ascii="Cambria Math" w:hAnsi="Cambria Math"/>
                <w:color w:val="auto"/>
                <w:sz w:val="24"/>
                <w:szCs w:val="24"/>
                <w:lang w:val="en-US" w:eastAsia="zh-CN"/>
              </w:rPr>
              <m:t>500</m:t>
            </m:r>
            <m:ctrlPr>
              <w:rPr>
                <w:rFonts w:ascii="Cambria Math" w:hAnsi="Cambria Math"/>
                <w:i/>
                <w:color w:val="auto"/>
                <w:sz w:val="24"/>
                <w:szCs w:val="24"/>
              </w:rPr>
            </m:ctrlPr>
          </m:e>
        </m:d>
        <m:r>
          <m:rPr/>
          <w:rPr>
            <w:rFonts w:ascii="Cambria Math" w:hAnsi="Cambria Math"/>
            <w:color w:val="auto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color w:val="auto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/>
                <w:color w:val="auto"/>
                <w:sz w:val="24"/>
                <w:szCs w:val="24"/>
                <w:lang w:val="en-US" w:eastAsia="zh-CN"/>
              </w:rPr>
              <m:t>498.7</m:t>
            </m:r>
            <m:r>
              <m:rPr>
                <m:sty m:val="p"/>
              </m:rPr>
              <w:rPr>
                <w:rFonts w:ascii="Times New Roman" w:hAnsi="Times New Roman"/>
                <w:color w:val="auto"/>
                <w:sz w:val="24"/>
                <w:szCs w:val="24"/>
                <w:lang w:val="en-US" w:eastAsia="zh-CN"/>
              </w:rPr>
              <m:t>µmol/mol</m:t>
            </m:r>
            <m:r>
              <m:rPr/>
              <w:rPr>
                <w:rFonts w:hint="default" w:ascii="Cambria Math" w:hAnsi="Cambria Math"/>
                <w:color w:val="auto"/>
                <w:sz w:val="24"/>
                <w:szCs w:val="24"/>
                <w:lang w:val="en-US" w:eastAsia="zh-CN"/>
              </w:rPr>
              <m:t>−500</m:t>
            </m:r>
            <m:r>
              <m:rPr>
                <m:sty m:val="p"/>
              </m:rPr>
              <w:rPr>
                <w:rFonts w:ascii="Times New Roman" w:hAnsi="Times New Roman"/>
                <w:color w:val="auto"/>
                <w:sz w:val="24"/>
                <w:szCs w:val="24"/>
                <w:lang w:val="en-US" w:eastAsia="zh-CN"/>
              </w:rPr>
              <m:t>µmol/mol</m:t>
            </m:r>
            <m:ctrlPr>
              <w:rPr>
                <w:rFonts w:ascii="Cambria Math" w:hAnsi="Cambria Math"/>
                <w:i/>
                <w:color w:val="auto"/>
                <w:sz w:val="24"/>
                <w:szCs w:val="24"/>
              </w:rPr>
            </m:ctrlPr>
          </m:num>
          <m:den>
            <m:r>
              <m:rPr/>
              <w:rPr>
                <w:rFonts w:hint="default" w:ascii="Cambria Math" w:hAnsi="Cambria Math"/>
                <w:color w:val="auto"/>
                <w:sz w:val="24"/>
                <w:szCs w:val="24"/>
                <w:lang w:val="en-US" w:eastAsia="zh-CN"/>
              </w:rPr>
              <m:t>1000</m:t>
            </m:r>
            <m:r>
              <m:rPr>
                <m:sty m:val="p"/>
              </m:rPr>
              <w:rPr>
                <w:rFonts w:ascii="Times New Roman" w:hAnsi="Times New Roman"/>
                <w:color w:val="auto"/>
                <w:sz w:val="24"/>
                <w:szCs w:val="24"/>
                <w:lang w:val="en-US" w:eastAsia="zh-CN"/>
              </w:rPr>
              <m:t>µmol/mol</m:t>
            </m:r>
            <m:ctrlPr>
              <w:rPr>
                <w:rFonts w:ascii="Cambria Math" w:hAnsi="Cambria Math"/>
                <w:i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="Cambria Math" w:hAnsi="Cambria Math"/>
          <w:color w:val="auto"/>
          <w:sz w:val="24"/>
          <w:szCs w:val="24"/>
        </w:rPr>
        <w:t>=</w:t>
      </w:r>
      <w:r>
        <w:rPr>
          <w:rFonts w:hint="eastAsia" w:ascii="Cambria Math" w:hAnsi="Cambria Math"/>
          <w:color w:val="auto"/>
          <w:sz w:val="24"/>
          <w:szCs w:val="24"/>
          <w:lang w:val="en-US" w:eastAsia="zh-CN"/>
        </w:rPr>
        <w:t>-0.1%</w:t>
      </w:r>
    </w:p>
    <w:p w14:paraId="321093C7">
      <w:pPr>
        <w:pStyle w:val="3"/>
        <w:spacing w:line="360" w:lineRule="auto"/>
        <w:ind w:left="372" w:leftChars="177" w:firstLine="1" w:firstLineChars="0"/>
        <w:rPr>
          <w:rFonts w:hint="eastAsia" w:ascii="Cambria Math" w:hAnsi="Cambria Math"/>
          <w:color w:val="auto"/>
          <w:sz w:val="24"/>
          <w:szCs w:val="24"/>
          <w:lang w:val="en-US" w:eastAsia="zh-CN"/>
        </w:rPr>
      </w:pPr>
      <m:oMath>
        <m:r>
          <w:rPr>
            <w:color w:val="auto"/>
            <w:sz w:val="24"/>
            <w:szCs w:val="24"/>
          </w:rPr>
          <w:drawing>
            <wp:inline distT="0" distB="0" distL="114300" distR="114300">
              <wp:extent cx="247650" cy="171450"/>
              <wp:effectExtent l="0" t="0" r="0" b="0"/>
              <wp:docPr id="3" name="图片 1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图片 18"/>
                      <pic:cNvPicPr>
                        <a:picLocks noChangeAspect="1"/>
                      </pic:cNvPicPr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47650" cy="171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m:r>
        <m:d>
          <m:dPr>
            <m:ctrlPr>
              <w:rPr>
                <w:rFonts w:ascii="Cambria Math" w:hAnsi="Cambria Math"/>
                <w:i/>
                <w:color w:val="auto"/>
                <w:sz w:val="24"/>
                <w:szCs w:val="24"/>
              </w:rPr>
            </m:ctrlPr>
          </m:dPr>
          <m:e>
            <m:r>
              <m:rPr/>
              <w:rPr>
                <w:rFonts w:hint="default" w:ascii="Cambria Math" w:hAnsi="Cambria Math"/>
                <w:color w:val="auto"/>
                <w:sz w:val="24"/>
                <w:szCs w:val="24"/>
                <w:lang w:val="en-US" w:eastAsia="zh-CN"/>
              </w:rPr>
              <m:t>750</m:t>
            </m:r>
            <m:ctrlPr>
              <w:rPr>
                <w:rFonts w:ascii="Cambria Math" w:hAnsi="Cambria Math"/>
                <w:i/>
                <w:color w:val="auto"/>
                <w:sz w:val="24"/>
                <w:szCs w:val="24"/>
              </w:rPr>
            </m:ctrlPr>
          </m:e>
        </m:d>
        <m:r>
          <m:rPr/>
          <w:rPr>
            <w:rFonts w:ascii="Cambria Math" w:hAnsi="Cambria Math"/>
            <w:color w:val="auto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color w:val="auto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/>
                <w:color w:val="auto"/>
                <w:sz w:val="24"/>
                <w:szCs w:val="24"/>
                <w:lang w:val="en-US" w:eastAsia="zh-CN"/>
              </w:rPr>
              <m:t>745.3</m:t>
            </m:r>
            <m:r>
              <m:rPr>
                <m:sty m:val="p"/>
              </m:rPr>
              <w:rPr>
                <w:rFonts w:ascii="Times New Roman" w:hAnsi="Times New Roman"/>
                <w:color w:val="auto"/>
                <w:sz w:val="24"/>
                <w:szCs w:val="24"/>
                <w:lang w:val="en-US" w:eastAsia="zh-CN"/>
              </w:rPr>
              <m:t>µmol/mol</m:t>
            </m:r>
            <m:r>
              <m:rPr/>
              <w:rPr>
                <w:rFonts w:hint="default" w:ascii="Cambria Math" w:hAnsi="Cambria Math"/>
                <w:color w:val="auto"/>
                <w:sz w:val="24"/>
                <w:szCs w:val="24"/>
                <w:lang w:val="en-US" w:eastAsia="zh-CN"/>
              </w:rPr>
              <m:t>−750</m:t>
            </m:r>
            <m:r>
              <m:rPr>
                <m:sty m:val="p"/>
              </m:rPr>
              <w:rPr>
                <w:rFonts w:ascii="Times New Roman" w:hAnsi="Times New Roman"/>
                <w:color w:val="auto"/>
                <w:sz w:val="24"/>
                <w:szCs w:val="24"/>
                <w:lang w:val="en-US" w:eastAsia="zh-CN"/>
              </w:rPr>
              <m:t>µmol/mol</m:t>
            </m:r>
            <m:ctrlPr>
              <w:rPr>
                <w:rFonts w:ascii="Cambria Math" w:hAnsi="Cambria Math"/>
                <w:i/>
                <w:color w:val="auto"/>
                <w:sz w:val="24"/>
                <w:szCs w:val="24"/>
              </w:rPr>
            </m:ctrlPr>
          </m:num>
          <m:den>
            <m:r>
              <m:rPr/>
              <w:rPr>
                <w:rFonts w:hint="default" w:ascii="Cambria Math" w:hAnsi="Cambria Math"/>
                <w:color w:val="auto"/>
                <w:sz w:val="24"/>
                <w:szCs w:val="24"/>
                <w:lang w:val="en-US" w:eastAsia="zh-CN"/>
              </w:rPr>
              <m:t>1000</m:t>
            </m:r>
            <m:r>
              <m:rPr>
                <m:sty m:val="p"/>
              </m:rPr>
              <w:rPr>
                <w:rFonts w:ascii="Times New Roman" w:hAnsi="Times New Roman"/>
                <w:color w:val="auto"/>
                <w:sz w:val="24"/>
                <w:szCs w:val="24"/>
                <w:lang w:val="en-US" w:eastAsia="zh-CN"/>
              </w:rPr>
              <m:t>µmol/mol</m:t>
            </m:r>
            <m:ctrlPr>
              <w:rPr>
                <w:rFonts w:ascii="Cambria Math" w:hAnsi="Cambria Math"/>
                <w:i/>
                <w:color w:val="auto"/>
                <w:sz w:val="24"/>
                <w:szCs w:val="24"/>
              </w:rPr>
            </m:ctrlPr>
          </m:den>
        </m:f>
      </m:oMath>
      <w:r>
        <w:rPr>
          <w:rFonts w:hint="eastAsia" w:ascii="Cambria Math" w:hAnsi="Cambria Math"/>
          <w:color w:val="auto"/>
          <w:sz w:val="24"/>
          <w:szCs w:val="24"/>
        </w:rPr>
        <w:t>=</w:t>
      </w:r>
      <w:r>
        <w:rPr>
          <w:rFonts w:hint="eastAsia" w:ascii="Cambria Math" w:hAnsi="Cambria Math"/>
          <w:color w:val="auto"/>
          <w:sz w:val="24"/>
          <w:szCs w:val="24"/>
          <w:lang w:val="en-US" w:eastAsia="zh-CN"/>
        </w:rPr>
        <w:t>-0.5%</w:t>
      </w:r>
    </w:p>
    <w:p w14:paraId="400509DA">
      <w:pPr>
        <w:pStyle w:val="3"/>
        <w:spacing w:line="360" w:lineRule="auto"/>
        <w:ind w:left="372" w:leftChars="177" w:firstLine="1" w:firstLineChars="0"/>
        <w:rPr>
          <w:rFonts w:hint="eastAsia" w:ascii="Cambria Math" w:hAnsi="Cambria Math"/>
          <w:color w:val="auto"/>
          <w:sz w:val="24"/>
          <w:szCs w:val="24"/>
          <w:lang w:val="en-US" w:eastAsia="zh-CN"/>
        </w:rPr>
      </w:pPr>
    </w:p>
    <w:p w14:paraId="64190663">
      <w:pPr>
        <w:pStyle w:val="3"/>
        <w:spacing w:line="360" w:lineRule="auto"/>
        <w:ind w:left="0" w:leftChars="0" w:firstLine="0" w:firstLineChars="0"/>
        <w:rPr>
          <w:rFonts w:ascii="黑体" w:hAnsi="黑体" w:eastAsia="黑体"/>
          <w:sz w:val="24"/>
        </w:rPr>
      </w:pPr>
      <w:r>
        <w:rPr>
          <w:color w:val="FF0000"/>
        </w:rPr>
        <w:fldChar w:fldCharType="begin"/>
      </w:r>
      <w:r>
        <w:rPr>
          <w:color w:val="FF0000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color w:val="FF0000"/>
                <w:sz w:val="24"/>
              </w:rPr>
            </m:ctrlPr>
          </m:sSubPr>
          <m:e>
            <m:r>
              <m:rPr/>
              <w:rPr>
                <w:rFonts w:ascii="Cambria Math" w:hAnsi="Cambria Math"/>
                <w:color w:val="FF0000"/>
                <w:sz w:val="24"/>
              </w:rPr>
              <m:t xml:space="preserve">𝑐</m:t>
            </m:r>
            <m:ctrlPr>
              <w:rPr>
                <w:rFonts w:ascii="Cambria Math" w:hAnsi="Cambria Math"/>
                <w:i/>
                <w:color w:val="FF0000"/>
                <w:sz w:val="24"/>
              </w:rPr>
            </m:ctrlPr>
          </m:e>
          <m:sub>
            <m:r>
              <m:rPr/>
              <w:rPr>
                <w:rFonts w:ascii="Cambria Math" w:hAnsi="Cambria Math"/>
                <w:color w:val="FF0000"/>
                <w:sz w:val="24"/>
              </w:rPr>
              <m:t xml:space="preserve">𝑖</m:t>
            </m:r>
            <m:ctrlPr>
              <w:rPr>
                <w:rFonts w:ascii="Cambria Math" w:hAnsi="Cambria Math"/>
                <w:i/>
                <w:color w:val="FF0000"/>
                <w:sz w:val="24"/>
              </w:rPr>
            </m:ctrlPr>
          </m:sub>
        </m:sSub>
        <m:r>
          <m:rPr/>
          <w:rPr>
            <w:rFonts w:hint="eastAsia" w:ascii="Cambria Math" w:hAnsi="Cambria Math"/>
            <w:color w:val="FF0000"/>
            <w:sz w:val="24"/>
          </w:rPr>
          <m:t xml:space="preserve">=</m:t>
        </m:r>
        <m:r>
          <m:rPr>
            <m:sty m:val="p"/>
          </m:rPr>
          <w:rPr>
            <w:rFonts w:ascii="Cambria Math" w:hAnsi="Cambria Math"/>
            <w:color w:val="FF0000"/>
            <w:position w:val="-30"/>
            <w:sz w:val="24"/>
          </w:rPr>
          <w:object>
            <v:shape id="_x0000_i1026" o:spt="75" type="#_x0000_t75" style="height:36.3pt;width:36.3pt;" o:ole="t" filled="f" o:preferrelative="t" stroked="f" coordsize="21600,21600">
              <v:path/>
              <v:fill on="f" focussize="0,0"/>
              <v:stroke on="f" joinstyle="miter"/>
              <v:imagedata r:id="rId14" o:title=""/>
              <o:lock v:ext="edit" aspectratio="t"/>
              <w10:wrap type="none"/>
              <w10:anchorlock/>
            </v:shape>
            <o:OLEObject Type="Embed" ProgID="Equation.3" ShapeID="_x0000_i1026" DrawAspect="Content" ObjectID="_1468075726" r:id="rId13">
              <o:LockedField>false</o:LockedField>
            </o:OLEObject>
          </w:object>
        </m:r>
      </m:oMath>
      <w:r>
        <w:rPr>
          <w:color w:val="FF0000"/>
        </w:rPr>
        <w:fldChar w:fldCharType="end"/>
      </w:r>
      <w:r>
        <w:rPr>
          <w:color w:val="FF0000"/>
        </w:rPr>
        <w:fldChar w:fldCharType="begin"/>
      </w:r>
      <w:r>
        <w:rPr>
          <w:color w:val="FF0000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color w:val="FF0000"/>
                <w:sz w:val="24"/>
              </w:rPr>
            </m:ctrlPr>
          </m:sSubPr>
          <m:e>
            <m:r>
              <m:rPr/>
              <w:rPr>
                <w:rFonts w:ascii="Cambria Math" w:hAnsi="Cambria Math"/>
                <w:color w:val="FF0000"/>
                <w:sz w:val="24"/>
              </w:rPr>
              <m:t xml:space="preserve">𝑐</m:t>
            </m:r>
            <m:ctrlPr>
              <w:rPr>
                <w:rFonts w:ascii="Cambria Math" w:hAnsi="Cambria Math"/>
                <w:i/>
                <w:color w:val="FF0000"/>
                <w:sz w:val="24"/>
              </w:rPr>
            </m:ctrlPr>
          </m:e>
          <m:sub>
            <m:r>
              <m:rPr/>
              <w:rPr>
                <w:rFonts w:ascii="Cambria Math" w:hAnsi="Cambria Math"/>
                <w:color w:val="FF0000"/>
                <w:sz w:val="24"/>
              </w:rPr>
              <m:t xml:space="preserve">𝑖</m:t>
            </m:r>
            <m:ctrlPr>
              <w:rPr>
                <w:rFonts w:ascii="Cambria Math" w:hAnsi="Cambria Math"/>
                <w:i/>
                <w:color w:val="FF0000"/>
                <w:sz w:val="24"/>
              </w:rPr>
            </m:ctrlPr>
          </m:sub>
        </m:sSub>
        <m:r>
          <m:rPr/>
          <w:rPr>
            <w:rFonts w:hint="eastAsia" w:ascii="Cambria Math" w:hAnsi="Cambria Math"/>
            <w:color w:val="FF0000"/>
            <w:sz w:val="24"/>
          </w:rPr>
          <m:t xml:space="preserve">=</m:t>
        </m:r>
        <m:r>
          <m:rPr>
            <m:sty m:val="p"/>
          </m:rPr>
          <w:rPr>
            <w:rFonts w:ascii="Cambria Math" w:hAnsi="Cambria Math"/>
            <w:color w:val="FF0000"/>
            <w:position w:val="-30"/>
            <w:sz w:val="24"/>
          </w:rPr>
          <w:object>
            <v:shape id="_x0000_i1027" o:spt="75" type="#_x0000_t75" style="height:36.3pt;width:36.3pt;" o:ole="t" filled="f" o:preferrelative="t" stroked="f" coordsize="21600,21600">
              <v:path/>
              <v:fill on="f" focussize="0,0"/>
              <v:stroke on="f" joinstyle="miter"/>
              <v:imagedata r:id="rId14" o:title=""/>
              <o:lock v:ext="edit" aspectratio="t"/>
              <w10:wrap type="none"/>
              <w10:anchorlock/>
            </v:shape>
            <o:OLEObject Type="Embed" ProgID="Equation.3" ShapeID="_x0000_i1027" DrawAspect="Content" ObjectID="_1468075727" r:id="rId15">
              <o:LockedField>false</o:LockedField>
            </o:OLEObject>
          </w:object>
        </m:r>
      </m:oMath>
      <w:r>
        <w:rPr>
          <w:color w:val="FF0000"/>
        </w:rPr>
        <w:fldChar w:fldCharType="end"/>
      </w:r>
      <w:r>
        <w:rPr>
          <w:color w:val="FF0000"/>
        </w:rPr>
        <w:fldChar w:fldCharType="begin"/>
      </w:r>
      <w:r>
        <w:rPr>
          <w:color w:val="FF0000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color w:val="FF0000"/>
                <w:sz w:val="24"/>
              </w:rPr>
            </m:ctrlPr>
          </m:sSubPr>
          <m:e>
            <m:r>
              <m:rPr/>
              <w:rPr>
                <w:rFonts w:ascii="Cambria Math" w:hAnsi="Cambria Math"/>
                <w:color w:val="FF0000"/>
                <w:sz w:val="24"/>
              </w:rPr>
              <m:t xml:space="preserve">𝑐</m:t>
            </m:r>
            <m:ctrlPr>
              <w:rPr>
                <w:rFonts w:ascii="Cambria Math" w:hAnsi="Cambria Math"/>
                <w:i/>
                <w:color w:val="FF0000"/>
                <w:sz w:val="24"/>
              </w:rPr>
            </m:ctrlPr>
          </m:e>
          <m:sub>
            <m:r>
              <m:rPr/>
              <w:rPr>
                <w:rFonts w:ascii="Cambria Math" w:hAnsi="Cambria Math"/>
                <w:color w:val="FF0000"/>
                <w:sz w:val="24"/>
              </w:rPr>
              <m:t xml:space="preserve">𝑖</m:t>
            </m:r>
            <m:ctrlPr>
              <w:rPr>
                <w:rFonts w:ascii="Cambria Math" w:hAnsi="Cambria Math"/>
                <w:i/>
                <w:color w:val="FF0000"/>
                <w:sz w:val="24"/>
              </w:rPr>
            </m:ctrlPr>
          </m:sub>
        </m:sSub>
        <m:r>
          <m:rPr/>
          <w:rPr>
            <w:rFonts w:hint="eastAsia" w:ascii="Cambria Math" w:hAnsi="Cambria Math"/>
            <w:color w:val="FF0000"/>
            <w:sz w:val="24"/>
          </w:rPr>
          <m:t xml:space="preserve">=</m:t>
        </m:r>
        <m:r>
          <m:rPr>
            <m:sty m:val="p"/>
          </m:rPr>
          <w:rPr>
            <w:rFonts w:ascii="Cambria Math" w:hAnsi="Cambria Math"/>
            <w:color w:val="FF0000"/>
            <w:position w:val="-30"/>
            <w:sz w:val="24"/>
          </w:rPr>
          <w:object>
            <v:shape id="_x0000_i1028" o:spt="75" type="#_x0000_t75" style="height:36.3pt;width:36.3pt;" o:ole="t" filled="f" o:preferrelative="t" stroked="f" coordsize="21600,21600">
              <v:path/>
              <v:fill on="f" focussize="0,0"/>
              <v:stroke on="f" joinstyle="miter"/>
              <v:imagedata r:id="rId14" o:title=""/>
              <o:lock v:ext="edit" aspectratio="t"/>
              <w10:wrap type="none"/>
              <w10:anchorlock/>
            </v:shape>
            <o:OLEObject Type="Embed" ProgID="Equation.3" ShapeID="_x0000_i1028" DrawAspect="Content" ObjectID="_1468075728" r:id="rId16">
              <o:LockedField>false</o:LockedField>
            </o:OLEObject>
          </w:object>
        </m:r>
      </m:oMath>
      <w:r>
        <w:rPr>
          <w:color w:val="FF0000"/>
        </w:rPr>
        <w:fldChar w:fldCharType="end"/>
      </w:r>
      <w:r>
        <w:rPr>
          <w:rFonts w:hint="eastAsia" w:ascii="黑体" w:hAnsi="黑体" w:eastAsia="黑体"/>
          <w:sz w:val="24"/>
        </w:rPr>
        <w:t>4</w:t>
      </w:r>
      <w:bookmarkStart w:id="8" w:name="_Toc37857363"/>
      <w:r>
        <w:rPr>
          <w:rFonts w:hint="eastAsia" w:ascii="黑体" w:hAnsi="黑体" w:eastAsia="黑体"/>
          <w:sz w:val="24"/>
          <w:lang w:val="en-US" w:eastAsia="zh-CN"/>
        </w:rPr>
        <w:t>.4</w:t>
      </w:r>
      <w:r>
        <w:rPr>
          <w:rFonts w:hint="eastAsia" w:ascii="黑体" w:hAnsi="黑体" w:eastAsia="黑体"/>
          <w:sz w:val="24"/>
        </w:rPr>
        <w:t>发生气体浓度测量重复性</w:t>
      </w:r>
    </w:p>
    <w:bookmarkEnd w:id="8"/>
    <w:p w14:paraId="3CFB665D">
      <w:pPr>
        <w:pStyle w:val="25"/>
        <w:keepNext w:val="0"/>
        <w:spacing w:beforeLines="0" w:afterLines="0" w:line="360" w:lineRule="auto"/>
        <w:ind w:firstLine="480" w:firstLineChars="200"/>
        <w:jc w:val="both"/>
        <w:outlineLvl w:val="9"/>
        <w:rPr>
          <w:rFonts w:hint="eastAsia" w:eastAsia="宋体" w:cs="宋体"/>
          <w:sz w:val="24"/>
          <w:szCs w:val="24"/>
          <w:lang w:val="en-US" w:eastAsia="zh-CN"/>
        </w:rPr>
      </w:pPr>
      <w:r>
        <w:rPr>
          <w:rFonts w:hint="eastAsia" w:eastAsia="宋体" w:cs="宋体"/>
          <w:sz w:val="24"/>
          <w:szCs w:val="24"/>
          <w:lang w:val="en-US" w:eastAsia="zh-CN"/>
        </w:rPr>
        <w:t>报警器的</w:t>
      </w:r>
      <w:r>
        <w:rPr>
          <w:rFonts w:eastAsia="宋体" w:cs="宋体"/>
          <w:sz w:val="24"/>
          <w:szCs w:val="24"/>
          <w:lang w:val="en-US" w:eastAsia="zh-CN"/>
        </w:rPr>
        <w:t>零点稳定后，按规定流量对测定器通入约为满量程的50%空气中</w:t>
      </w:r>
      <w:r>
        <w:rPr>
          <w:rFonts w:hint="eastAsia" w:eastAsia="宋体" w:cs="宋体"/>
          <w:sz w:val="24"/>
          <w:szCs w:val="24"/>
          <w:lang w:val="en-US" w:eastAsia="zh-CN"/>
        </w:rPr>
        <w:t>氢气</w:t>
      </w:r>
      <w:r>
        <w:rPr>
          <w:rFonts w:eastAsia="宋体" w:cs="宋体"/>
          <w:sz w:val="24"/>
          <w:szCs w:val="24"/>
          <w:lang w:val="en-US" w:eastAsia="zh-CN"/>
        </w:rPr>
        <w:t>标准物质</w:t>
      </w:r>
      <w:r>
        <w:rPr>
          <w:rFonts w:hint="eastAsia" w:eastAsia="宋体" w:cs="宋体"/>
          <w:sz w:val="24"/>
          <w:szCs w:val="24"/>
          <w:lang w:val="en-US" w:eastAsia="zh-CN"/>
        </w:rPr>
        <w:t>(500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>µmol/mol</w:t>
      </w:r>
      <w:r>
        <w:rPr>
          <w:rFonts w:hint="eastAsia" w:eastAsia="宋体" w:cs="宋体"/>
          <w:sz w:val="24"/>
          <w:szCs w:val="24"/>
          <w:lang w:val="en-US" w:eastAsia="zh-CN"/>
        </w:rPr>
        <w:t>)</w:t>
      </w:r>
      <w:r>
        <w:rPr>
          <w:rFonts w:eastAsia="宋体" w:cs="宋体"/>
          <w:sz w:val="24"/>
          <w:szCs w:val="24"/>
          <w:lang w:val="en-US" w:eastAsia="zh-CN"/>
        </w:rPr>
        <w:t>，待读数稳定后，记录</w:t>
      </w:r>
      <w:r>
        <w:rPr>
          <w:rFonts w:hint="eastAsia" w:eastAsia="宋体" w:cs="宋体"/>
          <w:sz w:val="24"/>
          <w:szCs w:val="24"/>
          <w:lang w:val="en-US" w:eastAsia="zh-CN"/>
        </w:rPr>
        <w:t>报警器的</w:t>
      </w:r>
      <w:r>
        <w:rPr>
          <w:rFonts w:eastAsia="宋体" w:cs="宋体"/>
          <w:sz w:val="24"/>
          <w:szCs w:val="24"/>
          <w:lang w:val="en-US" w:eastAsia="zh-CN"/>
        </w:rPr>
        <w:t>示值，撤去</w:t>
      </w:r>
      <w:r>
        <w:rPr>
          <w:rFonts w:hint="eastAsia" w:eastAsia="宋体" w:cs="宋体"/>
          <w:sz w:val="24"/>
          <w:szCs w:val="24"/>
          <w:lang w:val="en-US" w:eastAsia="zh-CN"/>
        </w:rPr>
        <w:t>气体</w:t>
      </w:r>
      <w:r>
        <w:rPr>
          <w:rFonts w:eastAsia="宋体" w:cs="宋体"/>
          <w:sz w:val="24"/>
          <w:szCs w:val="24"/>
          <w:lang w:val="en-US" w:eastAsia="zh-CN"/>
        </w:rPr>
        <w:t>标准物质；在相同条件下，重复</w:t>
      </w:r>
      <w:r>
        <w:rPr>
          <w:rFonts w:hint="eastAsia" w:eastAsia="宋体" w:cs="宋体"/>
          <w:sz w:val="24"/>
          <w:szCs w:val="24"/>
          <w:lang w:val="en-US" w:eastAsia="zh-CN"/>
        </w:rPr>
        <w:t>上述操作</w:t>
      </w:r>
      <w:r>
        <w:rPr>
          <w:rFonts w:eastAsia="宋体" w:cs="宋体"/>
          <w:sz w:val="24"/>
          <w:szCs w:val="24"/>
          <w:lang w:val="en-US" w:eastAsia="zh-CN"/>
        </w:rPr>
        <w:t>6次。并按式（2）</w:t>
      </w:r>
      <w:r>
        <w:rPr>
          <w:rFonts w:hint="eastAsia" w:eastAsia="宋体" w:cs="宋体"/>
          <w:sz w:val="24"/>
          <w:szCs w:val="24"/>
          <w:lang w:val="en-US" w:eastAsia="zh-CN"/>
        </w:rPr>
        <w:t>计算</w:t>
      </w:r>
      <w:r>
        <w:rPr>
          <w:rFonts w:eastAsia="宋体" w:cs="宋体"/>
          <w:sz w:val="24"/>
          <w:szCs w:val="24"/>
          <w:lang w:val="en-US" w:eastAsia="zh-CN"/>
        </w:rPr>
        <w:t>单次测量的相对标准偏差</w:t>
      </w:r>
      <w:r>
        <w:rPr>
          <w:rFonts w:hint="eastAsia" w:eastAsia="宋体" w:cs="宋体"/>
          <w:i/>
          <w:iCs/>
          <w:sz w:val="24"/>
          <w:szCs w:val="24"/>
          <w:lang w:val="en-US" w:eastAsia="zh-CN"/>
        </w:rPr>
        <w:t>s</w:t>
      </w:r>
      <w:r>
        <w:rPr>
          <w:rFonts w:hint="eastAsia" w:eastAsia="宋体" w:cs="宋体"/>
          <w:sz w:val="24"/>
          <w:szCs w:val="24"/>
          <w:vertAlign w:val="subscript"/>
          <w:lang w:val="en-US" w:eastAsia="zh-CN"/>
        </w:rPr>
        <w:t>r</w:t>
      </w:r>
      <w:r>
        <w:rPr>
          <w:rFonts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eastAsia="宋体" w:cs="宋体"/>
          <w:sz w:val="24"/>
          <w:szCs w:val="24"/>
          <w:lang w:val="en-US" w:eastAsia="zh-CN"/>
        </w:rPr>
        <w:t>作为重复性。</w:t>
      </w:r>
    </w:p>
    <w:p w14:paraId="30017811">
      <w:pPr>
        <w:pStyle w:val="3"/>
        <w:spacing w:line="360" w:lineRule="auto"/>
        <w:ind w:firstLine="480"/>
        <w:rPr>
          <w:sz w:val="24"/>
        </w:rPr>
      </w:pPr>
    </w:p>
    <w:p w14:paraId="15A62FFB">
      <w:pPr>
        <w:pStyle w:val="3"/>
        <w:spacing w:line="360" w:lineRule="auto"/>
        <w:ind w:firstLine="420"/>
        <w:jc w:val="center"/>
        <w:rPr>
          <w:rFonts w:hint="eastAsia"/>
        </w:rPr>
      </w:pPr>
      <w:r>
        <w:rPr>
          <w:rFonts w:eastAsia="宋体" w:cs="宋体"/>
          <w:position w:val="-26"/>
          <w:sz w:val="24"/>
          <w:szCs w:val="24"/>
          <w:lang w:val="en-US" w:eastAsia="zh-CN"/>
        </w:rPr>
        <w:object>
          <v:shape id="_x0000_i1029" o:spt="75" type="#_x0000_t75" style="height:52pt;width:139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7">
            <o:LockedField>false</o:LockedField>
          </o:OLEObject>
        </w:object>
      </w:r>
      <w:r>
        <w:rPr>
          <w:rFonts w:hint="eastAsia"/>
        </w:rPr>
        <w:t xml:space="preserve">          （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）</w:t>
      </w:r>
    </w:p>
    <w:p w14:paraId="58BA2FA2">
      <w:pPr>
        <w:pStyle w:val="25"/>
        <w:keepNext w:val="0"/>
        <w:spacing w:beforeLines="0" w:afterLines="0" w:line="360" w:lineRule="auto"/>
        <w:ind w:firstLine="460" w:firstLineChars="200"/>
        <w:jc w:val="both"/>
        <w:outlineLvl w:val="9"/>
        <w:rPr>
          <w:rFonts w:ascii="Times New Roman" w:hAnsi="Times New Roman" w:eastAsia="宋体"/>
          <w:color w:val="000000"/>
          <w:sz w:val="23"/>
          <w:szCs w:val="24"/>
          <w:lang w:val="en-US" w:eastAsia="zh-CN"/>
        </w:rPr>
      </w:pPr>
      <w:r>
        <w:rPr>
          <w:rFonts w:hint="eastAsia" w:ascii="Times New Roman" w:hAnsi="Times New Roman" w:eastAsia="宋体"/>
          <w:color w:val="000000"/>
          <w:sz w:val="23"/>
          <w:szCs w:val="24"/>
          <w:lang w:val="en-US" w:eastAsia="zh-CN"/>
        </w:rPr>
        <w:t>式中：</w:t>
      </w:r>
    </w:p>
    <w:p w14:paraId="69FC6AAB">
      <w:pPr>
        <w:pStyle w:val="25"/>
        <w:keepNext w:val="0"/>
        <w:spacing w:beforeLines="0" w:afterLines="0" w:line="360" w:lineRule="auto"/>
        <w:ind w:firstLine="720" w:firstLineChars="300"/>
        <w:jc w:val="both"/>
        <w:outlineLvl w:val="9"/>
        <w:rPr>
          <w:rFonts w:hint="eastAsia" w:eastAsia="宋体" w:cs="宋体"/>
          <w:sz w:val="24"/>
          <w:szCs w:val="24"/>
          <w:lang w:val="en-US" w:eastAsia="zh-CN"/>
        </w:rPr>
      </w:pPr>
      <w:r>
        <w:rPr>
          <w:rFonts w:hint="eastAsia" w:eastAsia="宋体" w:cs="宋体"/>
          <w:i/>
          <w:iCs/>
          <w:sz w:val="24"/>
          <w:szCs w:val="24"/>
          <w:lang w:val="en-US" w:eastAsia="zh-CN"/>
        </w:rPr>
        <w:t>s</w:t>
      </w:r>
      <w:r>
        <w:rPr>
          <w:rFonts w:hint="eastAsia" w:eastAsia="宋体" w:cs="宋体"/>
          <w:sz w:val="24"/>
          <w:szCs w:val="24"/>
          <w:vertAlign w:val="subscript"/>
          <w:lang w:val="en-US" w:eastAsia="zh-CN"/>
        </w:rPr>
        <w:t xml:space="preserve">r </w:t>
      </w:r>
      <w:r>
        <w:rPr>
          <w:rFonts w:hint="eastAsia" w:eastAsia="宋体" w:cs="宋体"/>
          <w:spacing w:val="-20"/>
          <w:sz w:val="24"/>
          <w:szCs w:val="24"/>
        </w:rPr>
        <w:t>——</w:t>
      </w:r>
      <w:r>
        <w:rPr>
          <w:rFonts w:hint="eastAsia" w:eastAsia="宋体" w:cs="宋体"/>
          <w:spacing w:val="-20"/>
          <w:sz w:val="24"/>
          <w:szCs w:val="24"/>
          <w:lang w:val="en-US" w:eastAsia="zh-CN"/>
        </w:rPr>
        <w:t xml:space="preserve">  </w:t>
      </w:r>
      <w:r>
        <w:rPr>
          <w:rFonts w:hint="eastAsia" w:eastAsia="宋体" w:cs="宋体"/>
          <w:sz w:val="24"/>
          <w:szCs w:val="24"/>
          <w:lang w:val="en-US" w:eastAsia="zh-CN"/>
        </w:rPr>
        <w:t>单次测量的相对标准偏差,%；</w:t>
      </w:r>
    </w:p>
    <w:p w14:paraId="25B63669">
      <w:pPr>
        <w:pStyle w:val="25"/>
        <w:keepNext w:val="0"/>
        <w:spacing w:beforeLines="0" w:afterLines="0" w:line="360" w:lineRule="auto"/>
        <w:ind w:firstLine="720" w:firstLineChars="300"/>
        <w:jc w:val="both"/>
        <w:outlineLvl w:val="9"/>
        <w:rPr>
          <w:rFonts w:hint="eastAsia" w:eastAsia="宋体" w:cs="宋体"/>
          <w:spacing w:val="-20"/>
          <w:sz w:val="24"/>
          <w:szCs w:val="24"/>
          <w:lang w:val="en-US" w:eastAsia="zh-CN"/>
        </w:rPr>
      </w:pPr>
      <w:r>
        <w:rPr>
          <w:rFonts w:ascii="Times New Roman" w:hAnsi="Times New Roman" w:eastAsia="宋体"/>
          <w:i/>
          <w:iCs/>
          <w:sz w:val="24"/>
          <w:szCs w:val="24"/>
          <w:lang w:val="en-US" w:eastAsia="zh-CN"/>
        </w:rPr>
        <w:t>C</w:t>
      </w:r>
      <w:r>
        <w:rPr>
          <w:rFonts w:hint="eastAsia" w:ascii="Times New Roman" w:hAnsi="Times New Roman" w:eastAsia="宋体"/>
          <w:i/>
          <w:iCs/>
          <w:sz w:val="24"/>
          <w:szCs w:val="24"/>
          <w:vertAlign w:val="subscript"/>
          <w:lang w:val="en-US" w:eastAsia="zh-CN"/>
        </w:rPr>
        <w:t xml:space="preserve"> </w:t>
      </w:r>
      <w:r>
        <w:rPr>
          <w:rFonts w:hint="eastAsia" w:eastAsia="宋体" w:cs="宋体"/>
          <w:spacing w:val="-20"/>
          <w:sz w:val="24"/>
          <w:szCs w:val="24"/>
        </w:rPr>
        <w:t>——</w:t>
      </w:r>
      <w:r>
        <w:rPr>
          <w:rFonts w:hint="eastAsia" w:eastAsia="宋体" w:cs="宋体"/>
          <w:spacing w:val="-20"/>
          <w:sz w:val="24"/>
          <w:szCs w:val="24"/>
          <w:lang w:val="en-US" w:eastAsia="zh-CN"/>
        </w:rPr>
        <w:t xml:space="preserve">  </w:t>
      </w:r>
      <w:r>
        <w:rPr>
          <w:rFonts w:hint="eastAsia" w:eastAsia="宋体" w:cs="宋体"/>
          <w:sz w:val="24"/>
          <w:szCs w:val="24"/>
          <w:lang w:val="en-US" w:eastAsia="zh-CN"/>
        </w:rPr>
        <w:t>报警器6次测量的算术平均值，</w:t>
      </w:r>
      <w:r>
        <w:rPr>
          <w:rFonts w:ascii="Times New Roman" w:hAnsi="Times New Roman" w:eastAsia="宋体"/>
          <w:sz w:val="24"/>
          <w:szCs w:val="24"/>
          <w:lang w:val="en-US" w:eastAsia="zh-CN"/>
        </w:rPr>
        <w:t>µmol/mol</w:t>
      </w:r>
      <w:r>
        <w:rPr>
          <w:rFonts w:hint="eastAsia" w:eastAsia="宋体" w:cs="宋体"/>
          <w:spacing w:val="-20"/>
          <w:sz w:val="24"/>
          <w:szCs w:val="24"/>
          <w:lang w:val="en-US" w:eastAsia="zh-CN"/>
        </w:rPr>
        <w:t>；</w:t>
      </w:r>
    </w:p>
    <w:p w14:paraId="05973B99">
      <w:pPr>
        <w:pStyle w:val="25"/>
        <w:keepNext w:val="0"/>
        <w:spacing w:beforeLines="0" w:afterLines="0" w:line="360" w:lineRule="auto"/>
        <w:ind w:firstLine="700" w:firstLineChars="350"/>
        <w:jc w:val="both"/>
        <w:outlineLvl w:val="9"/>
        <w:rPr>
          <w:rFonts w:hint="eastAsia" w:eastAsia="宋体" w:cs="宋体"/>
          <w:spacing w:val="-20"/>
          <w:sz w:val="24"/>
          <w:szCs w:val="24"/>
          <w:lang w:val="en-US" w:eastAsia="zh-CN"/>
        </w:rPr>
      </w:pPr>
      <w:r>
        <w:rPr>
          <w:rFonts w:ascii="Times New Roman" w:hAnsi="Times New Roman" w:eastAsia="宋体"/>
          <w:i/>
          <w:iCs/>
          <w:spacing w:val="-20"/>
          <w:sz w:val="24"/>
          <w:szCs w:val="24"/>
          <w:lang w:val="en-US" w:eastAsia="zh-CN"/>
        </w:rPr>
        <w:t>C</w:t>
      </w:r>
      <w:r>
        <w:rPr>
          <w:rFonts w:ascii="Times New Roman" w:hAnsi="Times New Roman" w:eastAsia="宋体"/>
          <w:i/>
          <w:iCs/>
          <w:spacing w:val="-20"/>
          <w:sz w:val="24"/>
          <w:szCs w:val="24"/>
          <w:vertAlign w:val="subscript"/>
          <w:lang w:val="en-US" w:eastAsia="zh-CN"/>
        </w:rPr>
        <w:t>i</w:t>
      </w:r>
      <w:r>
        <w:rPr>
          <w:rFonts w:hint="eastAsia" w:eastAsia="宋体" w:cs="宋体"/>
          <w:i/>
          <w:iCs/>
          <w:spacing w:val="-20"/>
          <w:sz w:val="24"/>
          <w:szCs w:val="24"/>
          <w:vertAlign w:val="subscript"/>
          <w:lang w:val="en-US" w:eastAsia="zh-CN"/>
        </w:rPr>
        <w:t xml:space="preserve"> </w:t>
      </w:r>
      <w:r>
        <w:rPr>
          <w:rFonts w:hint="eastAsia" w:eastAsia="宋体" w:cs="宋体"/>
          <w:spacing w:val="-20"/>
          <w:sz w:val="24"/>
          <w:szCs w:val="24"/>
          <w:vertAlign w:val="subscript"/>
          <w:lang w:val="en-US" w:eastAsia="zh-CN"/>
        </w:rPr>
        <w:t xml:space="preserve">   </w:t>
      </w:r>
      <w:r>
        <w:rPr>
          <w:rFonts w:hint="eastAsia" w:eastAsia="宋体" w:cs="宋体"/>
          <w:spacing w:val="-20"/>
          <w:sz w:val="24"/>
          <w:szCs w:val="24"/>
        </w:rPr>
        <w:t>——</w:t>
      </w:r>
      <w:r>
        <w:rPr>
          <w:rFonts w:hint="eastAsia" w:eastAsia="宋体" w:cs="宋体"/>
          <w:spacing w:val="-20"/>
          <w:sz w:val="24"/>
          <w:szCs w:val="24"/>
          <w:lang w:val="en-US" w:eastAsia="zh-CN"/>
        </w:rPr>
        <w:t xml:space="preserve">  </w:t>
      </w:r>
      <w:r>
        <w:rPr>
          <w:rFonts w:hint="eastAsia" w:eastAsia="宋体" w:cs="宋体"/>
          <w:sz w:val="24"/>
          <w:szCs w:val="24"/>
          <w:lang w:val="en-US" w:eastAsia="zh-CN"/>
        </w:rPr>
        <w:t>第</w:t>
      </w:r>
      <w:r>
        <w:rPr>
          <w:rFonts w:ascii="Times New Roman" w:hAnsi="Times New Roman" w:eastAsia="宋体"/>
          <w:i/>
          <w:iCs/>
          <w:sz w:val="24"/>
          <w:szCs w:val="24"/>
          <w:lang w:val="en-US" w:eastAsia="zh-CN"/>
        </w:rPr>
        <w:t>i</w:t>
      </w:r>
      <w:r>
        <w:rPr>
          <w:rFonts w:hint="eastAsia" w:eastAsia="宋体" w:cs="宋体"/>
          <w:sz w:val="24"/>
          <w:szCs w:val="24"/>
          <w:lang w:val="en-US" w:eastAsia="zh-CN"/>
        </w:rPr>
        <w:t>次测量的测量值，</w:t>
      </w:r>
      <w:r>
        <w:rPr>
          <w:rFonts w:ascii="Times New Roman" w:hAnsi="Times New Roman" w:eastAsia="宋体"/>
          <w:sz w:val="24"/>
          <w:szCs w:val="24"/>
          <w:lang w:val="en-US" w:eastAsia="zh-CN"/>
        </w:rPr>
        <w:t>µmol/mol</w:t>
      </w:r>
      <w:r>
        <w:rPr>
          <w:rFonts w:hint="eastAsia" w:eastAsia="宋体" w:cs="宋体"/>
          <w:sz w:val="24"/>
          <w:szCs w:val="24"/>
          <w:lang w:val="en-US" w:eastAsia="zh-CN"/>
        </w:rPr>
        <w:t>。</w:t>
      </w:r>
    </w:p>
    <w:p w14:paraId="3E8BA986">
      <w:pPr>
        <w:pStyle w:val="3"/>
        <w:spacing w:line="360" w:lineRule="auto"/>
        <w:ind w:firstLine="420"/>
        <w:jc w:val="center"/>
        <w:rPr>
          <w:rFonts w:hint="eastAsia"/>
        </w:rPr>
      </w:pPr>
    </w:p>
    <w:p w14:paraId="3A05A41B">
      <w:pPr>
        <w:pStyle w:val="3"/>
        <w:spacing w:line="360" w:lineRule="auto"/>
        <w:ind w:firstLine="420"/>
        <w:rPr>
          <w:rFonts w:hint="eastAsia"/>
          <w:sz w:val="22"/>
          <w:szCs w:val="22"/>
          <w:lang w:val="en-US" w:eastAsia="zh-CN"/>
        </w:rPr>
      </w:pPr>
      <w:r>
        <w:rPr>
          <w:position w:val="-6"/>
          <w:sz w:val="22"/>
          <w:szCs w:val="22"/>
        </w:rPr>
        <w:object>
          <v:shape id="_x0000_i1030" o:spt="75" type="#_x0000_t75" style="height:16.65pt;width:12.55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9">
            <o:LockedField>false</o:LockedField>
          </o:OLEObject>
        </w:object>
      </w:r>
      <w:r>
        <w:rPr>
          <w:rFonts w:hint="eastAsia"/>
          <w:sz w:val="22"/>
          <w:szCs w:val="22"/>
        </w:rPr>
        <w:t xml:space="preserve"> =</w:t>
      </w:r>
      <w:r>
        <w:rPr>
          <w:rFonts w:hint="eastAsia"/>
          <w:sz w:val="22"/>
          <w:szCs w:val="22"/>
          <w:lang w:val="en-US" w:eastAsia="zh-CN"/>
        </w:rPr>
        <w:t>(495µmol/mol+493µmol/mol+494µmol/mol+495µmol/mol+495µmol/mol+495µmol/mol)/6</w:t>
      </w:r>
    </w:p>
    <w:p w14:paraId="14CAE9DE">
      <w:pPr>
        <w:pStyle w:val="3"/>
        <w:spacing w:line="360" w:lineRule="auto"/>
        <w:ind w:firstLine="420"/>
        <w:rPr>
          <w:rFonts w:hint="eastAsia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 xml:space="preserve">   =494.5µmol/mol</w:t>
      </w:r>
    </w:p>
    <w:p w14:paraId="62938D53">
      <w:pPr>
        <w:pStyle w:val="3"/>
        <w:spacing w:line="360" w:lineRule="auto"/>
        <w:ind w:firstLine="420"/>
        <w:rPr>
          <w:rFonts w:hint="eastAsia"/>
          <w:sz w:val="24"/>
          <w:szCs w:val="24"/>
          <w:lang w:val="en-US" w:eastAsia="zh-CN"/>
        </w:rPr>
      </w:pPr>
      <w:r>
        <w:rPr>
          <w:sz w:val="24"/>
          <w:szCs w:val="24"/>
        </w:rPr>
        <w:drawing>
          <wp:inline distT="0" distB="0" distL="114300" distR="114300">
            <wp:extent cx="142875" cy="180975"/>
            <wp:effectExtent l="0" t="0" r="9525" b="5715"/>
            <wp:docPr id="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4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  <w:lang w:val="en-US" w:eastAsia="zh-CN"/>
        </w:rPr>
        <w:t>=0.2%</w:t>
      </w:r>
    </w:p>
    <w:p w14:paraId="5DA5FFFD">
      <w:pPr>
        <w:pStyle w:val="3"/>
        <w:spacing w:line="360" w:lineRule="auto"/>
        <w:ind w:firstLine="420"/>
        <w:rPr>
          <w:rFonts w:hint="eastAsia"/>
          <w:lang w:val="en-US" w:eastAsia="zh-CN"/>
        </w:rPr>
      </w:pPr>
    </w:p>
    <w:p w14:paraId="4C40418F">
      <w:pPr>
        <w:spacing w:afterLines="50" w:line="360" w:lineRule="auto"/>
        <w:jc w:val="left"/>
        <w:rPr>
          <w:rFonts w:hint="eastAsia"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4.</w:t>
      </w:r>
      <w:r>
        <w:rPr>
          <w:rFonts w:hint="eastAsia" w:ascii="黑体" w:hAnsi="黑体" w:eastAsia="黑体"/>
          <w:sz w:val="24"/>
          <w:lang w:val="en-US" w:eastAsia="zh-CN"/>
        </w:rPr>
        <w:t xml:space="preserve">5 </w:t>
      </w:r>
      <w:r>
        <w:rPr>
          <w:rFonts w:hint="eastAsia" w:ascii="黑体" w:hAnsi="黑体" w:eastAsia="黑体"/>
          <w:sz w:val="24"/>
        </w:rPr>
        <w:t>响应时间</w:t>
      </w:r>
    </w:p>
    <w:p w14:paraId="728F0E98">
      <w:pPr>
        <w:spacing w:line="360" w:lineRule="auto"/>
        <w:ind w:firstLine="480" w:firstLineChars="200"/>
        <w:jc w:val="both"/>
        <w:rPr>
          <w:rFonts w:hint="eastAsia" w:ascii="Calibri" w:hAnsi="Calibri" w:eastAsia="宋体" w:cs="宋体"/>
          <w:kern w:val="2"/>
          <w:sz w:val="24"/>
          <w:szCs w:val="24"/>
          <w:lang w:val="en-US" w:eastAsia="zh-CN" w:bidi="ar-SA"/>
        </w:rPr>
      </w:pPr>
      <w:bookmarkStart w:id="9" w:name="_Toc20847"/>
      <w:r>
        <w:rPr>
          <w:rFonts w:hint="eastAsia" w:ascii="Calibri" w:hAnsi="Calibri" w:eastAsia="宋体" w:cs="宋体"/>
          <w:kern w:val="2"/>
          <w:sz w:val="24"/>
          <w:szCs w:val="24"/>
          <w:lang w:val="en-US" w:eastAsia="zh-CN" w:bidi="ar-SA"/>
        </w:rPr>
        <w:t>待测定器零点稳定后，按规定流量通入约为满量程50%的空气中氢气标准物质</w:t>
      </w:r>
      <w:r>
        <w:rPr>
          <w:rFonts w:hint="eastAsia" w:eastAsia="宋体" w:cs="宋体"/>
          <w:sz w:val="24"/>
          <w:szCs w:val="24"/>
          <w:lang w:val="en-US" w:eastAsia="zh-CN"/>
        </w:rPr>
        <w:t>(500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>µmol/mol</w:t>
      </w:r>
      <w:r>
        <w:rPr>
          <w:rFonts w:hint="eastAsia" w:eastAsia="宋体" w:cs="宋体"/>
          <w:sz w:val="24"/>
          <w:szCs w:val="24"/>
          <w:lang w:val="en-US" w:eastAsia="zh-CN"/>
        </w:rPr>
        <w:t>)</w:t>
      </w:r>
      <w:r>
        <w:rPr>
          <w:rFonts w:hint="eastAsia" w:ascii="Calibri" w:hAnsi="Calibri" w:eastAsia="宋体" w:cs="宋体"/>
          <w:kern w:val="2"/>
          <w:sz w:val="24"/>
          <w:szCs w:val="24"/>
          <w:lang w:val="en-US" w:eastAsia="zh-CN" w:bidi="ar-SA"/>
        </w:rPr>
        <w:t>，待读数稳定后，撤去标准物质；通入零点气体至显示值稳定，再通入约为满量程50%的空气中氢气标准物质</w:t>
      </w:r>
      <w:r>
        <w:rPr>
          <w:rFonts w:hint="eastAsia" w:eastAsia="宋体" w:cs="宋体"/>
          <w:sz w:val="24"/>
          <w:szCs w:val="24"/>
          <w:lang w:val="en-US" w:eastAsia="zh-CN"/>
        </w:rPr>
        <w:t>(500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>µmol/mol</w:t>
      </w:r>
      <w:r>
        <w:rPr>
          <w:rFonts w:hint="eastAsia" w:eastAsia="宋体" w:cs="宋体"/>
          <w:sz w:val="24"/>
          <w:szCs w:val="24"/>
          <w:lang w:val="en-US" w:eastAsia="zh-CN"/>
        </w:rPr>
        <w:t>)</w:t>
      </w:r>
      <w:r>
        <w:rPr>
          <w:rFonts w:hint="eastAsia" w:ascii="Calibri" w:hAnsi="Calibri" w:eastAsia="宋体" w:cs="宋体"/>
          <w:kern w:val="2"/>
          <w:sz w:val="24"/>
          <w:szCs w:val="24"/>
          <w:lang w:val="en-US" w:eastAsia="zh-CN" w:bidi="ar-SA"/>
        </w:rPr>
        <w:t>，同时用秒表记录从通入氢气标准物质浓度升至显示第一次稳定示值90%的时间。重复上述操作方法测量3次，取3次测量值的算术平均值作为被校报警器的响应时间。</w:t>
      </w:r>
      <w:bookmarkEnd w:id="9"/>
    </w:p>
    <w:p w14:paraId="2216CF23">
      <w:pPr>
        <w:spacing w:line="360" w:lineRule="auto"/>
        <w:ind w:firstLine="480" w:firstLineChars="200"/>
        <w:jc w:val="both"/>
        <w:rPr>
          <w:rFonts w:hint="default" w:cs="宋体"/>
          <w:kern w:val="2"/>
          <w:sz w:val="24"/>
          <w:szCs w:val="24"/>
          <w:lang w:val="en-US" w:eastAsia="zh-CN" w:bidi="ar-SA"/>
        </w:rPr>
      </w:pPr>
      <w:r>
        <w:rPr>
          <w:rFonts w:hint="eastAsia" w:cs="宋体"/>
          <w:kern w:val="2"/>
          <w:sz w:val="24"/>
          <w:szCs w:val="24"/>
          <w:lang w:val="en-US" w:eastAsia="zh-CN" w:bidi="ar-SA"/>
        </w:rPr>
        <w:t xml:space="preserve">                  </w:t>
      </w:r>
      <w:r>
        <w:rPr>
          <w:rFonts w:hint="default" w:ascii="Times New Roman" w:hAnsi="Times New Roman" w:cs="Times New Roman"/>
          <w:kern w:val="2"/>
          <w:sz w:val="24"/>
          <w:szCs w:val="24"/>
          <w:lang w:val="en-US" w:eastAsia="zh-CN" w:bidi="ar-SA"/>
        </w:rPr>
        <w:t xml:space="preserve"> (15.56s+17.25s+19.35s)/3=17.39s</w:t>
      </w:r>
    </w:p>
    <w:p w14:paraId="3F9A4E47">
      <w:pPr>
        <w:spacing w:afterLines="50" w:line="360" w:lineRule="auto"/>
        <w:jc w:val="left"/>
        <w:rPr>
          <w:rFonts w:hint="eastAsia" w:eastAsia="黑体"/>
          <w:sz w:val="24"/>
          <w:lang w:eastAsia="zh-CN"/>
        </w:rPr>
      </w:pPr>
      <w:r>
        <w:rPr>
          <w:rFonts w:hint="eastAsia" w:ascii="黑体" w:hAnsi="黑体" w:eastAsia="黑体" w:cs="黑体"/>
          <w:sz w:val="24"/>
        </w:rPr>
        <w:t>4.</w:t>
      </w:r>
      <w:r>
        <w:rPr>
          <w:rFonts w:hint="eastAsia" w:ascii="黑体" w:hAnsi="黑体" w:eastAsia="黑体" w:cs="黑体"/>
          <w:sz w:val="24"/>
          <w:lang w:val="en-US" w:eastAsia="zh-CN"/>
        </w:rPr>
        <w:t>6</w:t>
      </w:r>
      <w:r>
        <w:rPr>
          <w:rFonts w:hint="eastAsia" w:eastAsia="黑体"/>
          <w:sz w:val="24"/>
          <w:lang w:val="en-US" w:eastAsia="zh-CN"/>
        </w:rPr>
        <w:t xml:space="preserve"> </w:t>
      </w:r>
      <w:r>
        <w:rPr>
          <w:rFonts w:hint="eastAsia" w:eastAsia="黑体"/>
          <w:sz w:val="24"/>
          <w:lang w:eastAsia="zh-CN"/>
        </w:rPr>
        <w:t>绝缘电阻</w:t>
      </w:r>
    </w:p>
    <w:p w14:paraId="64E6A3B6">
      <w:pPr>
        <w:spacing w:line="360" w:lineRule="auto"/>
        <w:ind w:firstLine="480" w:firstLineChars="200"/>
        <w:jc w:val="both"/>
        <w:rPr>
          <w:rFonts w:hint="eastAsia" w:ascii="Calibri" w:hAnsi="Calibri" w:eastAsia="宋体" w:cs="宋体"/>
          <w:kern w:val="2"/>
          <w:sz w:val="24"/>
          <w:szCs w:val="24"/>
          <w:lang w:val="en-US" w:eastAsia="zh-CN" w:bidi="ar-SA"/>
        </w:rPr>
      </w:pPr>
      <w:bookmarkStart w:id="10" w:name="_Toc25019"/>
      <w:r>
        <w:rPr>
          <w:rFonts w:hint="eastAsia" w:ascii="Calibri" w:hAnsi="Calibri" w:eastAsia="宋体" w:cs="宋体"/>
          <w:kern w:val="2"/>
          <w:sz w:val="24"/>
          <w:szCs w:val="24"/>
          <w:lang w:val="en-US" w:eastAsia="zh-CN" w:bidi="ar-SA"/>
        </w:rPr>
        <w:t>在通电前，对固定式测定器用绝缘电阻表分别测量其电源正、负极、信号输出端与其外壳裸露金属件之间的绝缘电阻，取其最小值为测定器的绝缘电阻值，</w:t>
      </w:r>
      <w:r>
        <w:rPr>
          <w:rFonts w:hint="eastAsia" w:cs="宋体"/>
          <w:kern w:val="2"/>
          <w:sz w:val="24"/>
          <w:szCs w:val="24"/>
          <w:lang w:val="en-US" w:eastAsia="zh-CN" w:bidi="ar-SA"/>
        </w:rPr>
        <w:t>下表为所测结果</w:t>
      </w:r>
      <w:r>
        <w:rPr>
          <w:rFonts w:hint="eastAsia" w:ascii="Calibri" w:hAnsi="Calibri" w:eastAsia="宋体" w:cs="宋体"/>
          <w:kern w:val="2"/>
          <w:sz w:val="24"/>
          <w:szCs w:val="24"/>
          <w:lang w:val="en-US" w:eastAsia="zh-CN" w:bidi="ar-SA"/>
        </w:rPr>
        <w:t>。</w:t>
      </w:r>
      <w:bookmarkEnd w:id="10"/>
    </w:p>
    <w:p w14:paraId="1805C443">
      <w:pPr>
        <w:spacing w:line="360" w:lineRule="auto"/>
        <w:ind w:firstLine="480" w:firstLineChars="200"/>
        <w:jc w:val="both"/>
        <w:rPr>
          <w:rFonts w:hint="eastAsia" w:ascii="Calibri" w:hAnsi="Calibri" w:eastAsia="宋体" w:cs="宋体"/>
          <w:kern w:val="2"/>
          <w:sz w:val="24"/>
          <w:szCs w:val="24"/>
          <w:lang w:val="en-US" w:eastAsia="zh-CN" w:bidi="ar-SA"/>
        </w:rPr>
      </w:pPr>
    </w:p>
    <w:tbl>
      <w:tblPr>
        <w:tblStyle w:val="11"/>
        <w:tblW w:w="91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0"/>
        <w:gridCol w:w="1792"/>
        <w:gridCol w:w="1792"/>
        <w:gridCol w:w="1792"/>
        <w:gridCol w:w="1793"/>
      </w:tblGrid>
      <w:tr w14:paraId="29AE4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370" w:type="dxa"/>
            <w:vMerge w:val="restart"/>
            <w:noWrap w:val="0"/>
            <w:vAlign w:val="center"/>
          </w:tcPr>
          <w:p w14:paraId="469C9933">
            <w:pPr>
              <w:jc w:val="center"/>
              <w:rPr>
                <w:rFonts w:hint="eastAsia"/>
                <w:sz w:val="21"/>
                <w:szCs w:val="21"/>
              </w:rPr>
            </w:pPr>
            <w:bookmarkStart w:id="11" w:name="_Toc833"/>
            <w:r>
              <w:rPr>
                <w:rFonts w:hint="eastAsia"/>
                <w:sz w:val="21"/>
                <w:szCs w:val="21"/>
              </w:rPr>
              <w:t>绝缘电阻</w:t>
            </w:r>
            <w:bookmarkEnd w:id="11"/>
          </w:p>
        </w:tc>
        <w:tc>
          <w:tcPr>
            <w:tcW w:w="1792" w:type="dxa"/>
            <w:noWrap w:val="0"/>
            <w:vAlign w:val="center"/>
          </w:tcPr>
          <w:p w14:paraId="29BF5038">
            <w:pPr>
              <w:jc w:val="center"/>
              <w:rPr>
                <w:rFonts w:cs="宋体"/>
                <w:sz w:val="21"/>
                <w:szCs w:val="21"/>
              </w:rPr>
            </w:pPr>
            <w:bookmarkStart w:id="12" w:name="_Toc20593"/>
            <w:r>
              <w:rPr>
                <w:rFonts w:hint="eastAsia" w:cs="宋体"/>
                <w:sz w:val="21"/>
                <w:szCs w:val="21"/>
              </w:rPr>
              <w:t>正极-外壳</w:t>
            </w:r>
            <w:bookmarkEnd w:id="12"/>
          </w:p>
        </w:tc>
        <w:tc>
          <w:tcPr>
            <w:tcW w:w="1792" w:type="dxa"/>
            <w:noWrap w:val="0"/>
            <w:vAlign w:val="center"/>
          </w:tcPr>
          <w:p w14:paraId="30A07086">
            <w:pPr>
              <w:jc w:val="center"/>
              <w:rPr>
                <w:rFonts w:hint="eastAsia" w:cs="宋体"/>
                <w:sz w:val="21"/>
                <w:szCs w:val="21"/>
              </w:rPr>
            </w:pPr>
            <w:bookmarkStart w:id="13" w:name="_Toc29702"/>
            <w:r>
              <w:rPr>
                <w:rFonts w:hint="eastAsia" w:cs="宋体"/>
                <w:sz w:val="21"/>
                <w:szCs w:val="21"/>
              </w:rPr>
              <w:t>负极-外壳</w:t>
            </w:r>
            <w:bookmarkEnd w:id="13"/>
          </w:p>
        </w:tc>
        <w:tc>
          <w:tcPr>
            <w:tcW w:w="1792" w:type="dxa"/>
            <w:noWrap w:val="0"/>
            <w:vAlign w:val="center"/>
          </w:tcPr>
          <w:p w14:paraId="0BE66B34">
            <w:pPr>
              <w:jc w:val="center"/>
              <w:rPr>
                <w:rFonts w:cs="宋体"/>
                <w:sz w:val="21"/>
                <w:szCs w:val="21"/>
              </w:rPr>
            </w:pPr>
            <w:bookmarkStart w:id="14" w:name="_Toc15950"/>
            <w:r>
              <w:rPr>
                <w:rFonts w:hint="eastAsia" w:cs="宋体"/>
                <w:sz w:val="21"/>
                <w:szCs w:val="21"/>
              </w:rPr>
              <w:t>信号输出端-外壳</w:t>
            </w:r>
            <w:bookmarkEnd w:id="14"/>
          </w:p>
        </w:tc>
        <w:tc>
          <w:tcPr>
            <w:tcW w:w="1793" w:type="dxa"/>
            <w:noWrap w:val="0"/>
            <w:vAlign w:val="center"/>
          </w:tcPr>
          <w:p w14:paraId="0A51CBC6">
            <w:pPr>
              <w:jc w:val="center"/>
              <w:rPr>
                <w:rFonts w:hint="eastAsia" w:cs="宋体"/>
                <w:sz w:val="21"/>
                <w:szCs w:val="21"/>
              </w:rPr>
            </w:pPr>
            <w:bookmarkStart w:id="15" w:name="_Toc32014"/>
            <w:r>
              <w:rPr>
                <w:rFonts w:hint="eastAsia" w:cs="宋体"/>
                <w:sz w:val="21"/>
                <w:szCs w:val="21"/>
              </w:rPr>
              <w:t>最小值</w:t>
            </w:r>
            <w:bookmarkEnd w:id="15"/>
          </w:p>
        </w:tc>
      </w:tr>
      <w:tr w14:paraId="336D0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370" w:type="dxa"/>
            <w:vMerge w:val="continue"/>
            <w:noWrap w:val="0"/>
            <w:vAlign w:val="center"/>
          </w:tcPr>
          <w:p w14:paraId="57128A94"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7517A3B4">
            <w:pPr>
              <w:jc w:val="center"/>
              <w:rPr>
                <w:rFonts w:hint="eastAsia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+∞</w:t>
            </w:r>
          </w:p>
        </w:tc>
        <w:tc>
          <w:tcPr>
            <w:tcW w:w="1792" w:type="dxa"/>
            <w:noWrap w:val="0"/>
            <w:vAlign w:val="center"/>
          </w:tcPr>
          <w:p w14:paraId="24633CC2">
            <w:pPr>
              <w:jc w:val="center"/>
              <w:rPr>
                <w:rFonts w:hint="eastAsia"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+∞</w:t>
            </w:r>
          </w:p>
        </w:tc>
        <w:tc>
          <w:tcPr>
            <w:tcW w:w="1792" w:type="dxa"/>
            <w:noWrap w:val="0"/>
            <w:vAlign w:val="center"/>
          </w:tcPr>
          <w:p w14:paraId="79B1924D">
            <w:pPr>
              <w:jc w:val="center"/>
              <w:rPr>
                <w:rFonts w:hint="eastAsia"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+∞</w:t>
            </w:r>
          </w:p>
        </w:tc>
        <w:tc>
          <w:tcPr>
            <w:tcW w:w="1793" w:type="dxa"/>
            <w:noWrap w:val="0"/>
            <w:vAlign w:val="center"/>
          </w:tcPr>
          <w:p w14:paraId="18DFB082">
            <w:pPr>
              <w:jc w:val="center"/>
              <w:rPr>
                <w:rFonts w:hint="eastAsia"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+∞</w:t>
            </w:r>
          </w:p>
        </w:tc>
      </w:tr>
    </w:tbl>
    <w:p w14:paraId="43990856">
      <w:pPr>
        <w:spacing w:line="360" w:lineRule="auto"/>
        <w:ind w:firstLine="480" w:firstLineChars="200"/>
        <w:jc w:val="both"/>
        <w:rPr>
          <w:rFonts w:hint="eastAsia" w:ascii="Calibri" w:hAnsi="Calibri" w:eastAsia="宋体" w:cs="宋体"/>
          <w:kern w:val="2"/>
          <w:sz w:val="24"/>
          <w:szCs w:val="24"/>
          <w:lang w:val="en-US" w:eastAsia="zh-CN" w:bidi="ar-SA"/>
        </w:rPr>
      </w:pPr>
    </w:p>
    <w:p w14:paraId="5894B2E2">
      <w:pPr>
        <w:spacing w:afterLines="50" w:line="360" w:lineRule="auto"/>
        <w:jc w:val="left"/>
        <w:rPr>
          <w:rFonts w:hint="eastAsia" w:eastAsia="黑体"/>
          <w:sz w:val="24"/>
          <w:lang w:eastAsia="zh-CN"/>
        </w:rPr>
      </w:pPr>
      <w:r>
        <w:rPr>
          <w:rFonts w:hint="eastAsia" w:eastAsia="黑体"/>
          <w:sz w:val="24"/>
        </w:rPr>
        <w:t>4.</w:t>
      </w:r>
      <w:r>
        <w:rPr>
          <w:rFonts w:hint="eastAsia" w:eastAsia="黑体"/>
          <w:sz w:val="24"/>
          <w:lang w:val="en-US" w:eastAsia="zh-CN"/>
        </w:rPr>
        <w:t xml:space="preserve">7 </w:t>
      </w:r>
      <w:r>
        <w:rPr>
          <w:rFonts w:hint="eastAsia" w:eastAsia="黑体"/>
          <w:sz w:val="24"/>
          <w:lang w:eastAsia="zh-CN"/>
        </w:rPr>
        <w:t>信号传输误差</w:t>
      </w:r>
    </w:p>
    <w:p w14:paraId="7CC7A5F6">
      <w:pPr>
        <w:spacing w:line="360" w:lineRule="auto"/>
        <w:ind w:firstLine="480" w:firstLineChars="200"/>
        <w:jc w:val="both"/>
        <w:rPr>
          <w:rFonts w:hint="eastAsia" w:ascii="Calibri" w:hAnsi="Calibri" w:eastAsia="宋体" w:cs="宋体"/>
          <w:kern w:val="2"/>
          <w:sz w:val="24"/>
          <w:szCs w:val="24"/>
          <w:lang w:val="en-US" w:eastAsia="zh-CN" w:bidi="ar-SA"/>
        </w:rPr>
      </w:pPr>
      <w:bookmarkStart w:id="16" w:name="_Toc17994"/>
      <w:r>
        <w:rPr>
          <w:rFonts w:hint="eastAsia" w:ascii="Calibri" w:hAnsi="Calibri" w:eastAsia="宋体" w:cs="宋体"/>
          <w:kern w:val="2"/>
          <w:sz w:val="24"/>
          <w:szCs w:val="24"/>
          <w:lang w:val="en-US" w:eastAsia="zh-CN" w:bidi="ar-SA"/>
        </w:rPr>
        <w:t>有直流稳压电源按报警器说明书规定的电压为其供电，在报警器信号输出端接入2km长度的单芯截面积为1.5mm</w:t>
      </w:r>
      <w:r>
        <w:rPr>
          <w:rFonts w:hint="eastAsia" w:ascii="Calibri" w:hAnsi="Calibri" w:eastAsia="宋体" w:cs="宋体"/>
          <w:kern w:val="2"/>
          <w:sz w:val="24"/>
          <w:szCs w:val="24"/>
          <w:vertAlign w:val="superscript"/>
          <w:lang w:val="en-US" w:eastAsia="zh-CN" w:bidi="ar-SA"/>
        </w:rPr>
        <w:t>2</w:t>
      </w:r>
      <w:r>
        <w:rPr>
          <w:rFonts w:hint="eastAsia" w:ascii="Calibri" w:hAnsi="Calibri" w:eastAsia="宋体" w:cs="宋体"/>
          <w:kern w:val="2"/>
          <w:sz w:val="24"/>
          <w:szCs w:val="24"/>
          <w:lang w:val="en-US" w:eastAsia="zh-CN" w:bidi="ar-SA"/>
        </w:rPr>
        <w:t>的铜芯电缆（</w:t>
      </w:r>
      <w:bookmarkStart w:id="172" w:name="_GoBack"/>
      <w:r>
        <w:rPr>
          <w:rFonts w:hint="eastAsia" w:ascii="Calibri" w:hAnsi="Calibri" w:eastAsia="宋体" w:cs="宋体"/>
          <w:kern w:val="2"/>
          <w:sz w:val="24"/>
          <w:szCs w:val="24"/>
          <w:lang w:val="en-US" w:eastAsia="zh-CN" w:bidi="ar-SA"/>
        </w:rPr>
        <w:t>或其模拟电缆），在电缆末端接上对应的信号测试设备，分别通入摩尔分数约为满量程25%、50%、75%左右的空气中氢气标准物质</w:t>
      </w:r>
      <w:r>
        <w:rPr>
          <w:rFonts w:hint="eastAsia" w:cs="宋体"/>
          <w:kern w:val="2"/>
          <w:sz w:val="24"/>
          <w:szCs w:val="24"/>
          <w:lang w:val="en-US" w:eastAsia="zh-CN" w:bidi="ar-SA"/>
        </w:rPr>
        <w:t>（</w:t>
      </w:r>
      <w:r>
        <w:rPr>
          <w:rFonts w:hint="eastAsia" w:ascii="Times New Roman" w:hAnsi="Times New Roman" w:eastAsia="宋体"/>
          <w:color w:val="auto"/>
          <w:sz w:val="24"/>
          <w:szCs w:val="24"/>
          <w:lang w:val="en-US" w:eastAsia="zh-CN"/>
        </w:rPr>
        <w:t>25</w:t>
      </w:r>
      <w:r>
        <w:rPr>
          <w:rFonts w:hint="eastAsia" w:ascii="Times New Roman" w:hAnsi="Times New Roman"/>
          <w:color w:val="auto"/>
          <w:sz w:val="24"/>
          <w:szCs w:val="24"/>
          <w:lang w:val="en-US" w:eastAsia="zh-CN"/>
        </w:rPr>
        <w:t>0</w:t>
      </w:r>
      <w:r>
        <w:rPr>
          <w:rFonts w:ascii="Times New Roman" w:hAnsi="Times New Roman" w:eastAsia="宋体"/>
          <w:color w:val="auto"/>
          <w:sz w:val="24"/>
          <w:szCs w:val="24"/>
          <w:lang w:val="en-US" w:eastAsia="zh-CN"/>
        </w:rPr>
        <w:t>µmol/mol</w:t>
      </w:r>
      <w:r>
        <w:rPr>
          <w:rFonts w:hint="eastAsia" w:ascii="Times New Roman" w:hAnsi="Times New Roman" w:eastAsia="宋体"/>
          <w:color w:val="auto"/>
          <w:sz w:val="24"/>
          <w:szCs w:val="24"/>
          <w:lang w:eastAsia="zh-CN"/>
        </w:rPr>
        <w:t>、</w:t>
      </w:r>
      <w:r>
        <w:rPr>
          <w:rFonts w:hint="eastAsia" w:ascii="Times New Roman" w:hAnsi="Times New Roman" w:eastAsia="宋体"/>
          <w:color w:val="auto"/>
          <w:sz w:val="24"/>
          <w:szCs w:val="24"/>
          <w:lang w:val="en-US" w:eastAsia="zh-CN"/>
        </w:rPr>
        <w:t>50</w:t>
      </w:r>
      <w:r>
        <w:rPr>
          <w:rFonts w:hint="eastAsia" w:ascii="Times New Roman" w:hAnsi="Times New Roman"/>
          <w:color w:val="auto"/>
          <w:sz w:val="24"/>
          <w:szCs w:val="24"/>
          <w:lang w:val="en-US" w:eastAsia="zh-CN"/>
        </w:rPr>
        <w:t>0</w:t>
      </w:r>
      <w:r>
        <w:rPr>
          <w:rFonts w:ascii="Times New Roman" w:hAnsi="Times New Roman" w:eastAsia="宋体"/>
          <w:color w:val="auto"/>
          <w:sz w:val="24"/>
          <w:szCs w:val="24"/>
          <w:lang w:val="en-US" w:eastAsia="zh-CN"/>
        </w:rPr>
        <w:t>µmol/mol</w:t>
      </w:r>
      <w:r>
        <w:rPr>
          <w:rFonts w:hint="eastAsia" w:ascii="Times New Roman" w:hAnsi="Times New Roman" w:eastAsia="宋体"/>
          <w:color w:val="auto"/>
          <w:sz w:val="24"/>
          <w:szCs w:val="24"/>
          <w:lang w:eastAsia="zh-CN"/>
        </w:rPr>
        <w:t>、</w:t>
      </w:r>
      <w:r>
        <w:rPr>
          <w:rFonts w:hint="eastAsia" w:ascii="Times New Roman" w:hAnsi="Times New Roman" w:eastAsia="宋体"/>
          <w:color w:val="auto"/>
          <w:sz w:val="24"/>
          <w:szCs w:val="24"/>
          <w:lang w:val="en-US" w:eastAsia="zh-CN"/>
        </w:rPr>
        <w:t>7</w:t>
      </w:r>
      <w:r>
        <w:rPr>
          <w:rFonts w:hint="eastAsia" w:ascii="Times New Roman" w:hAnsi="Times New Roman" w:eastAsia="宋体"/>
          <w:color w:val="auto"/>
          <w:sz w:val="24"/>
          <w:szCs w:val="24"/>
          <w:lang w:eastAsia="zh-CN"/>
        </w:rPr>
        <w:t>5</w:t>
      </w:r>
      <w:r>
        <w:rPr>
          <w:rFonts w:hint="eastAsia" w:ascii="Times New Roman" w:hAnsi="Times New Roman"/>
          <w:color w:val="auto"/>
          <w:sz w:val="24"/>
          <w:szCs w:val="24"/>
          <w:lang w:val="en-US" w:eastAsia="zh-CN"/>
        </w:rPr>
        <w:t>0</w:t>
      </w:r>
      <w:r>
        <w:rPr>
          <w:rFonts w:ascii="Times New Roman" w:hAnsi="Times New Roman" w:eastAsia="宋体"/>
          <w:color w:val="auto"/>
          <w:sz w:val="24"/>
          <w:szCs w:val="24"/>
          <w:lang w:val="en-US" w:eastAsia="zh-CN"/>
        </w:rPr>
        <w:t>µmol/mol</w:t>
      </w:r>
      <w:r>
        <w:rPr>
          <w:rFonts w:hint="eastAsia" w:cs="宋体"/>
          <w:kern w:val="2"/>
          <w:sz w:val="24"/>
          <w:szCs w:val="24"/>
          <w:lang w:val="en-US" w:eastAsia="zh-CN" w:bidi="ar-SA"/>
        </w:rPr>
        <w:t>）</w:t>
      </w:r>
      <w:r>
        <w:rPr>
          <w:rFonts w:hint="eastAsia" w:ascii="Calibri" w:hAnsi="Calibri" w:eastAsia="宋体" w:cs="宋体"/>
          <w:kern w:val="2"/>
          <w:sz w:val="24"/>
          <w:szCs w:val="24"/>
          <w:lang w:val="en-US" w:eastAsia="zh-CN" w:bidi="ar-SA"/>
        </w:rPr>
        <w:t>，待读数稳定后，记录报警器示值。同时测量并读取对应浓度输出的电信号，每点重复测量3次，计算出各点的示值平均值和输入信号值平均值，按式（3）将输出信号值平均值换算成浓度值。</w:t>
      </w:r>
      <w:bookmarkEnd w:id="16"/>
    </w:p>
    <w:p w14:paraId="41B53B40">
      <w:pPr>
        <w:spacing w:line="360" w:lineRule="auto"/>
        <w:ind w:firstLine="420" w:firstLineChars="200"/>
        <w:jc w:val="center"/>
        <w:rPr>
          <w:rFonts w:hint="eastAsia" w:ascii="Calibri" w:hAnsi="Calibri" w:eastAsia="宋体" w:cs="宋体"/>
          <w:kern w:val="2"/>
          <w:sz w:val="24"/>
          <w:szCs w:val="24"/>
          <w:lang w:val="en-US" w:eastAsia="zh-CN" w:bidi="ar-SA"/>
        </w:rPr>
      </w:pPr>
      <w:bookmarkStart w:id="17" w:name="_Toc2272"/>
      <w:r>
        <w:rPr>
          <w:rFonts w:cs="宋体"/>
          <w:position w:val="-24"/>
        </w:rPr>
        <w:object>
          <v:shape id="_x0000_i1031" o:spt="75" type="#_x0000_t75" style="height:31pt;width:119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2">
            <o:LockedField>false</o:LockedField>
          </o:OLEObject>
        </w:object>
      </w:r>
      <w:r>
        <w:rPr>
          <w:rFonts w:hint="eastAsia" w:cs="宋体"/>
        </w:rPr>
        <w:t xml:space="preserve">                     （3）</w:t>
      </w:r>
      <w:bookmarkEnd w:id="17"/>
    </w:p>
    <w:bookmarkEnd w:id="172"/>
    <w:p w14:paraId="0CAD5175">
      <w:pPr>
        <w:pStyle w:val="25"/>
        <w:keepNext w:val="0"/>
        <w:spacing w:beforeLines="0" w:afterLines="0" w:line="360" w:lineRule="auto"/>
        <w:ind w:firstLine="460" w:firstLineChars="200"/>
        <w:jc w:val="both"/>
        <w:outlineLvl w:val="9"/>
        <w:rPr>
          <w:rFonts w:ascii="Times New Roman" w:hAnsi="Times New Roman" w:eastAsia="宋体"/>
          <w:color w:val="000000"/>
          <w:sz w:val="23"/>
          <w:szCs w:val="24"/>
          <w:lang w:val="en-US" w:eastAsia="zh-CN"/>
        </w:rPr>
      </w:pPr>
      <w:r>
        <w:rPr>
          <w:rFonts w:hint="eastAsia" w:ascii="Times New Roman" w:hAnsi="Times New Roman" w:eastAsia="宋体"/>
          <w:color w:val="000000"/>
          <w:sz w:val="23"/>
          <w:szCs w:val="24"/>
          <w:lang w:val="en-US" w:eastAsia="zh-CN"/>
        </w:rPr>
        <w:t>式中：</w:t>
      </w:r>
    </w:p>
    <w:p w14:paraId="4263622F">
      <w:pPr>
        <w:pStyle w:val="25"/>
        <w:keepNext w:val="0"/>
        <w:spacing w:beforeLines="0" w:afterLines="0" w:line="360" w:lineRule="auto"/>
        <w:ind w:firstLine="720" w:firstLineChars="300"/>
        <w:jc w:val="both"/>
        <w:outlineLvl w:val="9"/>
        <w:rPr>
          <w:rFonts w:hint="eastAsia" w:eastAsia="宋体" w:cs="宋体"/>
          <w:sz w:val="24"/>
          <w:szCs w:val="24"/>
          <w:lang w:val="en-US" w:eastAsia="zh-CN"/>
        </w:rPr>
      </w:pPr>
      <w:r>
        <w:rPr>
          <w:rFonts w:eastAsia="宋体" w:cs="宋体"/>
          <w:sz w:val="24"/>
          <w:szCs w:val="24"/>
          <w:lang w:val="en-US" w:eastAsia="zh-CN"/>
        </w:rPr>
        <w:sym w:font="Symbol" w:char="0060"/>
      </w:r>
      <w:r>
        <w:rPr>
          <w:rFonts w:ascii="Times New Roman" w:hAnsi="Times New Roman" w:eastAsia="宋体"/>
          <w:i/>
          <w:iCs/>
          <w:sz w:val="24"/>
          <w:szCs w:val="24"/>
          <w:lang w:val="en-US" w:eastAsia="zh-CN"/>
        </w:rPr>
        <w:t>G</w:t>
      </w:r>
      <w:r>
        <w:rPr>
          <w:rFonts w:ascii="Times New Roman" w:hAnsi="Times New Roman" w:eastAsia="宋体"/>
          <w:i/>
          <w:iCs/>
          <w:sz w:val="24"/>
          <w:szCs w:val="24"/>
          <w:vertAlign w:val="subscript"/>
          <w:lang w:val="en-US" w:eastAsia="zh-CN"/>
        </w:rPr>
        <w:t>i</w:t>
      </w:r>
      <w:r>
        <w:rPr>
          <w:rFonts w:hint="eastAsia" w:eastAsia="宋体" w:cs="宋体"/>
          <w:spacing w:val="-20"/>
          <w:sz w:val="24"/>
          <w:szCs w:val="24"/>
        </w:rPr>
        <w:t>——</w:t>
      </w:r>
      <w:r>
        <w:rPr>
          <w:rFonts w:hint="eastAsia" w:eastAsia="宋体" w:cs="宋体"/>
          <w:spacing w:val="-20"/>
          <w:sz w:val="24"/>
          <w:szCs w:val="24"/>
          <w:lang w:val="en-US" w:eastAsia="zh-CN"/>
        </w:rPr>
        <w:t xml:space="preserve">  </w:t>
      </w:r>
      <w:r>
        <w:rPr>
          <w:rFonts w:hint="eastAsia" w:eastAsia="宋体" w:cs="宋体"/>
          <w:sz w:val="24"/>
          <w:szCs w:val="24"/>
          <w:lang w:val="en-US" w:eastAsia="zh-CN"/>
        </w:rPr>
        <w:t>输出电信号平均值</w:t>
      </w:r>
      <w:r>
        <w:rPr>
          <w:rFonts w:hint="eastAsia" w:eastAsia="宋体" w:cs="宋体"/>
          <w:sz w:val="24"/>
          <w:szCs w:val="24"/>
          <w:lang w:val="en-US" w:eastAsia="zh-CN"/>
        </w:rPr>
        <w:sym w:font="Symbol" w:char="0060"/>
      </w:r>
      <w:r>
        <w:rPr>
          <w:rFonts w:ascii="Times New Roman" w:hAnsi="Times New Roman" w:eastAsia="宋体"/>
          <w:i/>
          <w:iCs/>
          <w:sz w:val="24"/>
          <w:szCs w:val="24"/>
          <w:lang w:val="en-US" w:eastAsia="zh-CN"/>
        </w:rPr>
        <w:t>P</w:t>
      </w:r>
      <w:r>
        <w:rPr>
          <w:rFonts w:hint="eastAsia" w:eastAsia="宋体" w:cs="宋体"/>
          <w:sz w:val="24"/>
          <w:szCs w:val="24"/>
          <w:lang w:val="en-US" w:eastAsia="zh-CN"/>
        </w:rPr>
        <w:t>对应的浓度，</w:t>
      </w:r>
      <w:r>
        <w:rPr>
          <w:rFonts w:ascii="Times New Roman" w:hAnsi="Times New Roman" w:eastAsia="宋体"/>
          <w:sz w:val="24"/>
          <w:szCs w:val="24"/>
          <w:lang w:val="en-US" w:eastAsia="zh-CN"/>
        </w:rPr>
        <w:t>µmol/mol</w:t>
      </w:r>
      <w:r>
        <w:rPr>
          <w:rFonts w:hint="eastAsia" w:eastAsia="宋体" w:cs="宋体"/>
          <w:sz w:val="24"/>
          <w:szCs w:val="24"/>
          <w:lang w:val="en-US" w:eastAsia="zh-CN"/>
        </w:rPr>
        <w:t>；</w:t>
      </w:r>
    </w:p>
    <w:p w14:paraId="5CC91E59">
      <w:pPr>
        <w:pStyle w:val="25"/>
        <w:keepNext w:val="0"/>
        <w:spacing w:beforeLines="0" w:afterLines="0" w:line="360" w:lineRule="auto"/>
        <w:ind w:firstLine="768" w:firstLineChars="320"/>
        <w:jc w:val="both"/>
        <w:outlineLvl w:val="9"/>
        <w:rPr>
          <w:rFonts w:hint="default" w:eastAsia="宋体" w:cs="宋体"/>
          <w:spacing w:val="-20"/>
          <w:sz w:val="24"/>
          <w:szCs w:val="24"/>
          <w:lang w:val="en-US" w:eastAsia="zh-CN"/>
        </w:rPr>
      </w:pPr>
      <w:r>
        <w:rPr>
          <w:rFonts w:ascii="Times New Roman" w:hAnsi="Times New Roman" w:eastAsia="宋体"/>
          <w:i/>
          <w:iCs/>
          <w:sz w:val="24"/>
          <w:szCs w:val="24"/>
          <w:lang w:val="en-US" w:eastAsia="zh-CN"/>
        </w:rPr>
        <w:t>G</w:t>
      </w:r>
      <w:r>
        <w:rPr>
          <w:rFonts w:ascii="Times New Roman" w:hAnsi="Times New Roman" w:eastAsia="宋体"/>
          <w:i/>
          <w:iCs/>
          <w:sz w:val="24"/>
          <w:szCs w:val="24"/>
          <w:vertAlign w:val="subscript"/>
          <w:lang w:val="en-US" w:eastAsia="zh-CN"/>
        </w:rPr>
        <w:t>m</w:t>
      </w:r>
      <w:r>
        <w:rPr>
          <w:rFonts w:hint="eastAsia" w:eastAsia="宋体" w:cs="宋体"/>
          <w:spacing w:val="-20"/>
          <w:sz w:val="24"/>
          <w:szCs w:val="24"/>
        </w:rPr>
        <w:t>——</w:t>
      </w:r>
      <w:r>
        <w:rPr>
          <w:rFonts w:hint="eastAsia" w:eastAsia="宋体" w:cs="宋体"/>
          <w:spacing w:val="-20"/>
          <w:sz w:val="24"/>
          <w:szCs w:val="24"/>
          <w:lang w:val="en-US" w:eastAsia="zh-CN"/>
        </w:rPr>
        <w:t xml:space="preserve">  </w:t>
      </w:r>
      <w:r>
        <w:rPr>
          <w:rFonts w:hint="eastAsia" w:eastAsia="宋体" w:cs="宋体"/>
          <w:sz w:val="24"/>
          <w:szCs w:val="24"/>
          <w:lang w:val="en-US" w:eastAsia="zh-CN"/>
        </w:rPr>
        <w:t>输出电信号上限对应的浓度，</w:t>
      </w:r>
      <w:r>
        <w:rPr>
          <w:rFonts w:ascii="Times New Roman" w:hAnsi="Times New Roman" w:eastAsia="宋体"/>
          <w:sz w:val="24"/>
          <w:szCs w:val="24"/>
          <w:lang w:val="en-US" w:eastAsia="zh-CN"/>
        </w:rPr>
        <w:t>µmol/mol</w:t>
      </w:r>
      <w:r>
        <w:rPr>
          <w:rFonts w:hint="eastAsia" w:eastAsia="宋体" w:cs="宋体"/>
          <w:spacing w:val="-20"/>
          <w:sz w:val="24"/>
          <w:szCs w:val="24"/>
          <w:lang w:val="en-US" w:eastAsia="zh-CN"/>
        </w:rPr>
        <w:t>；该设备为1000</w:t>
      </w:r>
      <w:r>
        <w:rPr>
          <w:rFonts w:ascii="Times New Roman" w:hAnsi="Times New Roman" w:eastAsia="宋体"/>
          <w:sz w:val="24"/>
          <w:szCs w:val="24"/>
          <w:lang w:val="en-US" w:eastAsia="zh-CN"/>
        </w:rPr>
        <w:t>µmol/mol</w:t>
      </w:r>
    </w:p>
    <w:p w14:paraId="4C3B0497">
      <w:pPr>
        <w:pStyle w:val="25"/>
        <w:keepNext w:val="0"/>
        <w:spacing w:beforeLines="0" w:afterLines="0" w:line="360" w:lineRule="auto"/>
        <w:ind w:firstLine="768" w:firstLineChars="320"/>
        <w:jc w:val="both"/>
        <w:outlineLvl w:val="9"/>
        <w:rPr>
          <w:rFonts w:hint="eastAsia" w:eastAsia="宋体" w:cs="宋体"/>
          <w:spacing w:val="-20"/>
          <w:sz w:val="24"/>
          <w:szCs w:val="24"/>
          <w:lang w:val="en-US" w:eastAsia="zh-CN"/>
        </w:rPr>
      </w:pPr>
      <w:r>
        <w:rPr>
          <w:rFonts w:ascii="Times New Roman" w:hAnsi="Times New Roman" w:eastAsia="宋体"/>
          <w:i/>
          <w:iCs/>
          <w:sz w:val="24"/>
          <w:szCs w:val="24"/>
          <w:lang w:val="en-US" w:eastAsia="zh-CN"/>
        </w:rPr>
        <w:t>G</w:t>
      </w:r>
      <w:r>
        <w:rPr>
          <w:rFonts w:ascii="Times New Roman" w:hAnsi="Times New Roman" w:eastAsia="宋体"/>
          <w:i/>
          <w:iCs/>
          <w:sz w:val="24"/>
          <w:szCs w:val="24"/>
          <w:vertAlign w:val="subscript"/>
          <w:lang w:val="en-US" w:eastAsia="zh-CN"/>
        </w:rPr>
        <w:t>0</w:t>
      </w:r>
      <w:r>
        <w:rPr>
          <w:rFonts w:hint="eastAsia" w:eastAsia="宋体" w:cs="宋体"/>
          <w:spacing w:val="-20"/>
          <w:sz w:val="24"/>
          <w:szCs w:val="24"/>
        </w:rPr>
        <w:t>——</w:t>
      </w:r>
      <w:r>
        <w:rPr>
          <w:rFonts w:hint="eastAsia" w:eastAsia="宋体" w:cs="宋体"/>
          <w:spacing w:val="-20"/>
          <w:sz w:val="24"/>
          <w:szCs w:val="24"/>
          <w:lang w:val="en-US" w:eastAsia="zh-CN"/>
        </w:rPr>
        <w:t xml:space="preserve">  </w:t>
      </w:r>
      <w:r>
        <w:rPr>
          <w:rFonts w:hint="eastAsia" w:eastAsia="宋体" w:cs="宋体"/>
          <w:sz w:val="24"/>
          <w:szCs w:val="24"/>
          <w:lang w:val="en-US" w:eastAsia="zh-CN"/>
        </w:rPr>
        <w:t>输出电信号下限对应的浓度，</w:t>
      </w:r>
      <w:r>
        <w:rPr>
          <w:rFonts w:ascii="Times New Roman" w:hAnsi="Times New Roman" w:eastAsia="宋体"/>
          <w:sz w:val="24"/>
          <w:szCs w:val="24"/>
          <w:lang w:val="en-US" w:eastAsia="zh-CN"/>
        </w:rPr>
        <w:t>µmol/mol</w:t>
      </w:r>
      <w:r>
        <w:rPr>
          <w:rFonts w:hint="eastAsia" w:eastAsia="宋体" w:cs="宋体"/>
          <w:spacing w:val="-20"/>
          <w:sz w:val="24"/>
          <w:szCs w:val="24"/>
          <w:lang w:val="en-US" w:eastAsia="zh-CN"/>
        </w:rPr>
        <w:t>；该设备为0</w:t>
      </w:r>
      <w:r>
        <w:rPr>
          <w:rFonts w:ascii="Times New Roman" w:hAnsi="Times New Roman" w:eastAsia="宋体"/>
          <w:sz w:val="24"/>
          <w:szCs w:val="24"/>
          <w:lang w:val="en-US" w:eastAsia="zh-CN"/>
        </w:rPr>
        <w:t>µmol/mol</w:t>
      </w:r>
    </w:p>
    <w:p w14:paraId="4272A28F">
      <w:pPr>
        <w:pStyle w:val="25"/>
        <w:keepNext w:val="0"/>
        <w:spacing w:beforeLines="0" w:afterLines="0" w:line="360" w:lineRule="auto"/>
        <w:ind w:firstLine="720" w:firstLineChars="300"/>
        <w:jc w:val="both"/>
        <w:outlineLvl w:val="9"/>
        <w:rPr>
          <w:rFonts w:hint="eastAsia" w:eastAsia="宋体" w:cs="宋体"/>
          <w:sz w:val="24"/>
          <w:szCs w:val="24"/>
          <w:lang w:val="en-US" w:eastAsia="zh-CN"/>
        </w:rPr>
      </w:pPr>
      <w:r>
        <w:rPr>
          <w:rFonts w:eastAsia="宋体" w:cs="宋体"/>
          <w:sz w:val="24"/>
          <w:szCs w:val="24"/>
          <w:lang w:val="en-US" w:eastAsia="zh-CN"/>
        </w:rPr>
        <w:sym w:font="Symbol" w:char="0060"/>
      </w:r>
      <w:r>
        <w:rPr>
          <w:rFonts w:ascii="Times New Roman" w:hAnsi="Times New Roman" w:eastAsia="宋体"/>
          <w:i/>
          <w:iCs/>
          <w:sz w:val="24"/>
          <w:szCs w:val="24"/>
          <w:lang w:val="en-US" w:eastAsia="zh-CN"/>
        </w:rPr>
        <w:t>P</w:t>
      </w:r>
      <w:r>
        <w:rPr>
          <w:rFonts w:ascii="Times New Roman" w:hAnsi="Times New Roman" w:eastAsia="宋体"/>
          <w:i/>
          <w:iCs/>
          <w:sz w:val="24"/>
          <w:szCs w:val="24"/>
          <w:vertAlign w:val="subscript"/>
          <w:lang w:val="en-US" w:eastAsia="zh-CN"/>
        </w:rPr>
        <w:t>i</w:t>
      </w:r>
      <w:r>
        <w:rPr>
          <w:rFonts w:hint="eastAsia" w:eastAsia="宋体" w:cs="宋体"/>
          <w:spacing w:val="-20"/>
          <w:sz w:val="24"/>
          <w:szCs w:val="24"/>
        </w:rPr>
        <w:t>——</w:t>
      </w:r>
      <w:r>
        <w:rPr>
          <w:rFonts w:hint="eastAsia" w:eastAsia="宋体" w:cs="宋体"/>
          <w:spacing w:val="-20"/>
          <w:sz w:val="24"/>
          <w:szCs w:val="24"/>
          <w:lang w:val="en-US" w:eastAsia="zh-CN"/>
        </w:rPr>
        <w:t xml:space="preserve">  </w:t>
      </w:r>
      <w:r>
        <w:rPr>
          <w:rFonts w:hint="eastAsia" w:eastAsia="宋体" w:cs="宋体"/>
          <w:sz w:val="24"/>
          <w:szCs w:val="24"/>
          <w:lang w:val="en-US" w:eastAsia="zh-CN"/>
        </w:rPr>
        <w:t>检测的输出电信号平均值，Hz、mA、V等；</w:t>
      </w:r>
    </w:p>
    <w:p w14:paraId="590229F5">
      <w:pPr>
        <w:pStyle w:val="25"/>
        <w:keepNext w:val="0"/>
        <w:spacing w:beforeLines="0" w:afterLines="0" w:line="360" w:lineRule="auto"/>
        <w:ind w:firstLine="768" w:firstLineChars="320"/>
        <w:jc w:val="both"/>
        <w:outlineLvl w:val="9"/>
        <w:rPr>
          <w:rFonts w:hint="eastAsia" w:eastAsia="宋体" w:cs="宋体"/>
          <w:spacing w:val="-20"/>
          <w:sz w:val="24"/>
          <w:szCs w:val="24"/>
          <w:lang w:val="en-US" w:eastAsia="zh-CN"/>
        </w:rPr>
      </w:pPr>
      <w:r>
        <w:rPr>
          <w:rFonts w:ascii="Times New Roman" w:hAnsi="Times New Roman" w:eastAsia="宋体"/>
          <w:i/>
          <w:iCs/>
          <w:sz w:val="24"/>
          <w:szCs w:val="24"/>
          <w:lang w:val="en-US" w:eastAsia="zh-CN"/>
        </w:rPr>
        <w:t>P</w:t>
      </w:r>
      <w:r>
        <w:rPr>
          <w:rFonts w:ascii="Times New Roman" w:hAnsi="Times New Roman" w:eastAsia="宋体"/>
          <w:i/>
          <w:iCs/>
          <w:sz w:val="24"/>
          <w:szCs w:val="24"/>
          <w:vertAlign w:val="subscript"/>
          <w:lang w:val="en-US" w:eastAsia="zh-CN"/>
        </w:rPr>
        <w:t>m</w:t>
      </w:r>
      <w:r>
        <w:rPr>
          <w:rFonts w:hint="eastAsia" w:eastAsia="宋体" w:cs="宋体"/>
          <w:spacing w:val="-20"/>
          <w:sz w:val="24"/>
          <w:szCs w:val="24"/>
        </w:rPr>
        <w:t>——</w:t>
      </w:r>
      <w:r>
        <w:rPr>
          <w:rFonts w:hint="eastAsia" w:eastAsia="宋体" w:cs="宋体"/>
          <w:spacing w:val="-20"/>
          <w:sz w:val="24"/>
          <w:szCs w:val="24"/>
          <w:lang w:val="en-US" w:eastAsia="zh-CN"/>
        </w:rPr>
        <w:t xml:space="preserve">  </w:t>
      </w:r>
      <w:r>
        <w:rPr>
          <w:rFonts w:hint="eastAsia" w:eastAsia="宋体" w:cs="宋体"/>
          <w:sz w:val="24"/>
          <w:szCs w:val="24"/>
          <w:lang w:val="en-US" w:eastAsia="zh-CN"/>
        </w:rPr>
        <w:t>输出电信号上限，Hz、mA、V等</w:t>
      </w:r>
      <w:r>
        <w:rPr>
          <w:rFonts w:hint="eastAsia" w:eastAsia="宋体" w:cs="宋体"/>
          <w:spacing w:val="-20"/>
          <w:sz w:val="24"/>
          <w:szCs w:val="24"/>
          <w:lang w:val="en-US" w:eastAsia="zh-CN"/>
        </w:rPr>
        <w:t>；该设备为1000</w:t>
      </w:r>
      <w:r>
        <w:rPr>
          <w:rFonts w:hint="eastAsia" w:eastAsia="宋体" w:cs="宋体"/>
          <w:sz w:val="24"/>
          <w:szCs w:val="24"/>
          <w:lang w:val="en-US" w:eastAsia="zh-CN"/>
        </w:rPr>
        <w:t>Hz</w:t>
      </w:r>
    </w:p>
    <w:p w14:paraId="42295E8E">
      <w:pPr>
        <w:pStyle w:val="25"/>
        <w:keepNext w:val="0"/>
        <w:spacing w:beforeLines="0" w:afterLines="0" w:line="360" w:lineRule="auto"/>
        <w:ind w:firstLine="789" w:firstLineChars="329"/>
        <w:jc w:val="both"/>
        <w:outlineLvl w:val="9"/>
        <w:rPr>
          <w:rFonts w:hint="eastAsia" w:eastAsia="宋体" w:cs="宋体"/>
          <w:sz w:val="24"/>
          <w:szCs w:val="24"/>
          <w:lang w:val="en-US" w:eastAsia="zh-CN"/>
        </w:rPr>
      </w:pPr>
      <w:r>
        <w:rPr>
          <w:rFonts w:ascii="Times New Roman" w:hAnsi="Times New Roman" w:eastAsia="宋体"/>
          <w:i/>
          <w:iCs/>
          <w:sz w:val="24"/>
          <w:szCs w:val="24"/>
          <w:lang w:val="en-US" w:eastAsia="zh-CN"/>
        </w:rPr>
        <w:t>P</w:t>
      </w:r>
      <w:r>
        <w:rPr>
          <w:rFonts w:ascii="Times New Roman" w:hAnsi="Times New Roman" w:eastAsia="宋体"/>
          <w:i/>
          <w:iCs/>
          <w:sz w:val="24"/>
          <w:szCs w:val="24"/>
          <w:vertAlign w:val="subscript"/>
          <w:lang w:val="en-US" w:eastAsia="zh-CN"/>
        </w:rPr>
        <w:t>0</w:t>
      </w:r>
      <w:r>
        <w:rPr>
          <w:rFonts w:hint="eastAsia" w:eastAsia="宋体" w:cs="宋体"/>
          <w:spacing w:val="-20"/>
          <w:sz w:val="24"/>
          <w:szCs w:val="24"/>
        </w:rPr>
        <w:t>——</w:t>
      </w:r>
      <w:r>
        <w:rPr>
          <w:rFonts w:hint="eastAsia" w:eastAsia="宋体" w:cs="宋体"/>
          <w:spacing w:val="-20"/>
          <w:sz w:val="24"/>
          <w:szCs w:val="24"/>
          <w:lang w:val="en-US" w:eastAsia="zh-CN"/>
        </w:rPr>
        <w:t xml:space="preserve">  </w:t>
      </w:r>
      <w:r>
        <w:rPr>
          <w:rFonts w:hint="eastAsia" w:eastAsia="宋体" w:cs="宋体"/>
          <w:sz w:val="24"/>
          <w:szCs w:val="24"/>
          <w:lang w:val="en-US" w:eastAsia="zh-CN"/>
        </w:rPr>
        <w:t>输出电信号下限，Hz、mA、V等；</w:t>
      </w:r>
      <w:r>
        <w:rPr>
          <w:rFonts w:hint="eastAsia" w:eastAsia="宋体" w:cs="宋体"/>
          <w:spacing w:val="-20"/>
          <w:sz w:val="24"/>
          <w:szCs w:val="24"/>
          <w:lang w:val="en-US" w:eastAsia="zh-CN"/>
        </w:rPr>
        <w:t>该设备为200</w:t>
      </w:r>
      <w:r>
        <w:rPr>
          <w:rFonts w:hint="eastAsia" w:eastAsia="宋体" w:cs="宋体"/>
          <w:sz w:val="24"/>
          <w:szCs w:val="24"/>
          <w:lang w:val="en-US" w:eastAsia="zh-CN"/>
        </w:rPr>
        <w:t>Hz</w:t>
      </w:r>
    </w:p>
    <w:p w14:paraId="280525CC">
      <w:pPr>
        <w:pStyle w:val="25"/>
        <w:keepNext w:val="0"/>
        <w:spacing w:beforeLines="0" w:afterLines="0" w:line="360" w:lineRule="auto"/>
        <w:ind w:firstLine="1052" w:firstLineChars="329"/>
        <w:jc w:val="both"/>
        <w:outlineLvl w:val="9"/>
        <w:rPr>
          <w:rFonts w:hint="eastAsia" w:eastAsia="黑体" w:cs="宋体"/>
          <w:position w:val="-24"/>
          <w:lang w:val="en-US" w:eastAsia="zh-CN"/>
        </w:rPr>
      </w:pPr>
      <w:r>
        <w:rPr>
          <w:rFonts w:cs="宋体"/>
          <w:position w:val="-24"/>
        </w:rPr>
        <w:object>
          <v:shape id="_x0000_i1032" o:spt="75" type="#_x0000_t75" style="height:31pt;width:226.3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4">
            <o:LockedField>false</o:LockedField>
          </o:OLEObject>
        </w:object>
      </w:r>
    </w:p>
    <w:p w14:paraId="666B46BD">
      <w:pPr>
        <w:pStyle w:val="25"/>
        <w:keepNext w:val="0"/>
        <w:spacing w:beforeLines="0" w:afterLines="0" w:line="360" w:lineRule="auto"/>
        <w:ind w:firstLine="1052" w:firstLineChars="329"/>
        <w:jc w:val="both"/>
        <w:outlineLvl w:val="9"/>
        <w:rPr>
          <w:rFonts w:hint="eastAsia" w:cs="宋体"/>
          <w:position w:val="-24"/>
          <w:sz w:val="24"/>
          <w:szCs w:val="24"/>
          <w:lang w:val="en-US" w:eastAsia="zh-CN"/>
        </w:rPr>
      </w:pPr>
      <w:r>
        <w:rPr>
          <w:rFonts w:hint="eastAsia" w:cs="宋体"/>
          <w:position w:val="-24"/>
          <w:lang w:val="en-US" w:eastAsia="zh-CN"/>
        </w:rPr>
        <w:t xml:space="preserve">     </w:t>
      </w:r>
      <w:r>
        <w:rPr>
          <w:rFonts w:hint="eastAsia" w:cs="宋体"/>
          <w:position w:val="-24"/>
          <w:sz w:val="24"/>
          <w:szCs w:val="24"/>
          <w:lang w:val="en-US" w:eastAsia="zh-CN"/>
        </w:rPr>
        <w:t>=244.4μmol/mol</w:t>
      </w:r>
    </w:p>
    <w:p w14:paraId="3CA695C4">
      <w:pPr>
        <w:pStyle w:val="25"/>
        <w:keepNext w:val="0"/>
        <w:spacing w:beforeLines="0" w:afterLines="0" w:line="360" w:lineRule="auto"/>
        <w:ind w:firstLine="1052" w:firstLineChars="329"/>
        <w:jc w:val="both"/>
        <w:outlineLvl w:val="9"/>
        <w:rPr>
          <w:rFonts w:hint="eastAsia" w:eastAsia="黑体" w:cs="宋体"/>
          <w:position w:val="-24"/>
          <w:lang w:val="en-US" w:eastAsia="zh-CN"/>
        </w:rPr>
      </w:pPr>
      <w:r>
        <w:rPr>
          <w:rFonts w:cs="宋体"/>
          <w:position w:val="-24"/>
        </w:rPr>
        <w:object>
          <v:shape id="_x0000_i1033" o:spt="75" type="#_x0000_t75" style="height:31pt;width:226.3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6">
            <o:LockedField>false</o:LockedField>
          </o:OLEObject>
        </w:object>
      </w:r>
    </w:p>
    <w:p w14:paraId="01E99BE4">
      <w:pPr>
        <w:pStyle w:val="25"/>
        <w:keepNext w:val="0"/>
        <w:spacing w:beforeLines="0" w:afterLines="0" w:line="360" w:lineRule="auto"/>
        <w:ind w:firstLine="1052" w:firstLineChars="329"/>
        <w:jc w:val="both"/>
        <w:outlineLvl w:val="9"/>
        <w:rPr>
          <w:rFonts w:hint="eastAsia" w:cs="宋体"/>
          <w:position w:val="-24"/>
          <w:sz w:val="24"/>
          <w:szCs w:val="24"/>
          <w:lang w:val="en-US" w:eastAsia="zh-CN"/>
        </w:rPr>
      </w:pPr>
      <w:r>
        <w:rPr>
          <w:rFonts w:hint="eastAsia" w:cs="宋体"/>
          <w:position w:val="-24"/>
          <w:lang w:val="en-US" w:eastAsia="zh-CN"/>
        </w:rPr>
        <w:t xml:space="preserve">     </w:t>
      </w:r>
      <w:r>
        <w:rPr>
          <w:rFonts w:hint="eastAsia" w:cs="宋体"/>
          <w:position w:val="-24"/>
          <w:sz w:val="24"/>
          <w:szCs w:val="24"/>
          <w:lang w:val="en-US" w:eastAsia="zh-CN"/>
        </w:rPr>
        <w:t>=489.6μmol/mol</w:t>
      </w:r>
    </w:p>
    <w:p w14:paraId="2491174E">
      <w:pPr>
        <w:pStyle w:val="25"/>
        <w:keepNext w:val="0"/>
        <w:spacing w:beforeLines="0" w:afterLines="0" w:line="360" w:lineRule="auto"/>
        <w:ind w:firstLine="1052" w:firstLineChars="329"/>
        <w:jc w:val="both"/>
        <w:outlineLvl w:val="9"/>
        <w:rPr>
          <w:rFonts w:hint="eastAsia" w:eastAsia="黑体" w:cs="宋体"/>
          <w:position w:val="-24"/>
          <w:lang w:val="en-US" w:eastAsia="zh-CN"/>
        </w:rPr>
      </w:pPr>
      <w:r>
        <w:rPr>
          <w:rFonts w:cs="宋体"/>
          <w:position w:val="-24"/>
        </w:rPr>
        <w:object>
          <v:shape id="_x0000_i1034" o:spt="75" type="#_x0000_t75" style="height:31pt;width:226.3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8">
            <o:LockedField>false</o:LockedField>
          </o:OLEObject>
        </w:object>
      </w:r>
    </w:p>
    <w:p w14:paraId="63AF0E6A">
      <w:pPr>
        <w:pStyle w:val="25"/>
        <w:keepNext w:val="0"/>
        <w:spacing w:beforeLines="0" w:afterLines="0" w:line="360" w:lineRule="auto"/>
        <w:ind w:firstLine="1052" w:firstLineChars="329"/>
        <w:jc w:val="both"/>
        <w:outlineLvl w:val="9"/>
        <w:rPr>
          <w:rFonts w:hint="default" w:eastAsia="宋体" w:cs="宋体"/>
          <w:sz w:val="24"/>
          <w:szCs w:val="24"/>
          <w:lang w:val="en-US" w:eastAsia="zh-CN"/>
        </w:rPr>
      </w:pPr>
      <w:r>
        <w:rPr>
          <w:rFonts w:hint="eastAsia" w:cs="宋体"/>
          <w:position w:val="-24"/>
          <w:lang w:val="en-US" w:eastAsia="zh-CN"/>
        </w:rPr>
        <w:t xml:space="preserve">     </w:t>
      </w:r>
      <w:r>
        <w:rPr>
          <w:rFonts w:hint="eastAsia" w:cs="宋体"/>
          <w:position w:val="-24"/>
          <w:sz w:val="24"/>
          <w:szCs w:val="24"/>
          <w:lang w:val="en-US" w:eastAsia="zh-CN"/>
        </w:rPr>
        <w:t>=739.4μmol/mol</w:t>
      </w:r>
    </w:p>
    <w:tbl>
      <w:tblPr>
        <w:tblStyle w:val="11"/>
        <w:tblW w:w="69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4"/>
        <w:gridCol w:w="1024"/>
        <w:gridCol w:w="805"/>
        <w:gridCol w:w="916"/>
        <w:gridCol w:w="836"/>
        <w:gridCol w:w="871"/>
        <w:gridCol w:w="915"/>
      </w:tblGrid>
      <w:tr w14:paraId="793EE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594" w:type="dxa"/>
            <w:vMerge w:val="restart"/>
            <w:noWrap w:val="0"/>
            <w:vAlign w:val="center"/>
          </w:tcPr>
          <w:p w14:paraId="7D7165C9">
            <w:pPr>
              <w:jc w:val="center"/>
              <w:rPr>
                <w:rFonts w:hint="eastAsia" w:cs="宋体"/>
                <w:sz w:val="21"/>
                <w:szCs w:val="21"/>
              </w:rPr>
            </w:pPr>
            <w:bookmarkStart w:id="18" w:name="_Toc12986"/>
            <w:r>
              <w:rPr>
                <w:rFonts w:hint="eastAsia" w:cs="宋体"/>
                <w:sz w:val="21"/>
                <w:szCs w:val="21"/>
              </w:rPr>
              <w:t>气体标准物质浓度</w:t>
            </w:r>
            <w:bookmarkEnd w:id="18"/>
          </w:p>
          <w:p w14:paraId="46352DEF">
            <w:pPr>
              <w:jc w:val="center"/>
              <w:rPr>
                <w:rFonts w:hint="eastAsia" w:cs="宋体"/>
                <w:sz w:val="21"/>
                <w:szCs w:val="21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（</w:t>
            </w:r>
            <w:r>
              <w:rPr>
                <w:rFonts w:ascii="Times New Roman" w:hAnsi="Times New Roman" w:eastAsia="宋体"/>
                <w:sz w:val="24"/>
                <w:szCs w:val="24"/>
                <w:lang w:val="en-US" w:eastAsia="zh-CN"/>
              </w:rPr>
              <w:t>µmol/mol</w:t>
            </w: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）</w:t>
            </w:r>
          </w:p>
        </w:tc>
        <w:tc>
          <w:tcPr>
            <w:tcW w:w="3581" w:type="dxa"/>
            <w:gridSpan w:val="4"/>
            <w:noWrap w:val="0"/>
            <w:vAlign w:val="center"/>
          </w:tcPr>
          <w:p w14:paraId="42A4282E">
            <w:pPr>
              <w:jc w:val="center"/>
              <w:rPr>
                <w:rFonts w:hint="eastAsia" w:cs="宋体"/>
                <w:sz w:val="21"/>
                <w:szCs w:val="21"/>
              </w:rPr>
            </w:pPr>
            <w:bookmarkStart w:id="19" w:name="_Toc15989"/>
            <w:r>
              <w:rPr>
                <w:rFonts w:hint="eastAsia" w:cs="宋体"/>
                <w:sz w:val="21"/>
                <w:szCs w:val="21"/>
              </w:rPr>
              <w:t>测量值</w:t>
            </w:r>
            <w:bookmarkEnd w:id="19"/>
          </w:p>
        </w:tc>
        <w:tc>
          <w:tcPr>
            <w:tcW w:w="871" w:type="dxa"/>
            <w:vMerge w:val="restart"/>
            <w:noWrap w:val="0"/>
            <w:vAlign w:val="center"/>
          </w:tcPr>
          <w:p w14:paraId="22532655">
            <w:pPr>
              <w:jc w:val="center"/>
              <w:rPr>
                <w:rFonts w:hint="eastAsia" w:cs="宋体"/>
                <w:sz w:val="21"/>
                <w:szCs w:val="21"/>
              </w:rPr>
            </w:pPr>
            <w:bookmarkStart w:id="20" w:name="_Toc24492"/>
            <w:r>
              <w:rPr>
                <w:rFonts w:hint="eastAsia" w:cs="宋体"/>
                <w:sz w:val="21"/>
                <w:szCs w:val="21"/>
              </w:rPr>
              <w:t>平均值</w:t>
            </w:r>
            <w:bookmarkEnd w:id="20"/>
          </w:p>
        </w:tc>
        <w:tc>
          <w:tcPr>
            <w:tcW w:w="915" w:type="dxa"/>
            <w:vMerge w:val="restart"/>
            <w:noWrap w:val="0"/>
            <w:vAlign w:val="center"/>
          </w:tcPr>
          <w:p w14:paraId="349D5403">
            <w:pPr>
              <w:jc w:val="center"/>
              <w:rPr>
                <w:rFonts w:hint="eastAsia" w:cs="宋体"/>
                <w:sz w:val="21"/>
                <w:szCs w:val="21"/>
              </w:rPr>
            </w:pPr>
            <w:bookmarkStart w:id="21" w:name="_Toc22847"/>
            <w:r>
              <w:rPr>
                <w:rFonts w:hint="eastAsia" w:cs="宋体"/>
                <w:sz w:val="21"/>
                <w:szCs w:val="21"/>
              </w:rPr>
              <w:t>换算值</w:t>
            </w:r>
            <w:bookmarkEnd w:id="21"/>
          </w:p>
          <w:p w14:paraId="53A96DDC">
            <w:pPr>
              <w:jc w:val="center"/>
              <w:rPr>
                <w:rFonts w:hint="eastAsia" w:cs="宋体"/>
                <w:sz w:val="21"/>
                <w:szCs w:val="21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（</w:t>
            </w:r>
            <w:r>
              <w:rPr>
                <w:rFonts w:ascii="Times New Roman" w:hAnsi="Times New Roman" w:eastAsia="宋体"/>
                <w:sz w:val="21"/>
                <w:szCs w:val="21"/>
                <w:lang w:val="en-US" w:eastAsia="zh-CN"/>
              </w:rPr>
              <w:t>µmol/mol</w:t>
            </w: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）</w:t>
            </w:r>
          </w:p>
        </w:tc>
      </w:tr>
      <w:tr w14:paraId="5C354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4" w:hRule="atLeast"/>
          <w:jc w:val="center"/>
        </w:trPr>
        <w:tc>
          <w:tcPr>
            <w:tcW w:w="1594" w:type="dxa"/>
            <w:vMerge w:val="continue"/>
            <w:noWrap w:val="0"/>
            <w:vAlign w:val="center"/>
          </w:tcPr>
          <w:p w14:paraId="3489EC39">
            <w:pPr>
              <w:jc w:val="center"/>
              <w:rPr>
                <w:rFonts w:hint="eastAsia" w:cs="宋体"/>
                <w:sz w:val="21"/>
                <w:szCs w:val="21"/>
              </w:rPr>
            </w:pPr>
          </w:p>
        </w:tc>
        <w:tc>
          <w:tcPr>
            <w:tcW w:w="1024" w:type="dxa"/>
            <w:noWrap w:val="0"/>
            <w:vAlign w:val="center"/>
          </w:tcPr>
          <w:p w14:paraId="4B0287CC">
            <w:pPr>
              <w:snapToGrid w:val="0"/>
              <w:jc w:val="center"/>
              <w:rPr>
                <w:rFonts w:hint="eastAsia" w:cs="宋体"/>
                <w:sz w:val="21"/>
                <w:szCs w:val="21"/>
              </w:rPr>
            </w:pPr>
          </w:p>
          <w:p w14:paraId="4B2B52B4">
            <w:pPr>
              <w:jc w:val="center"/>
              <w:rPr>
                <w:rFonts w:hint="eastAsia" w:cs="宋体"/>
                <w:sz w:val="21"/>
                <w:szCs w:val="21"/>
              </w:rPr>
            </w:pPr>
          </w:p>
        </w:tc>
        <w:tc>
          <w:tcPr>
            <w:tcW w:w="805" w:type="dxa"/>
            <w:noWrap w:val="0"/>
            <w:vAlign w:val="center"/>
          </w:tcPr>
          <w:p w14:paraId="71C7BD7E">
            <w:pPr>
              <w:jc w:val="center"/>
              <w:rPr>
                <w:rFonts w:cs="宋体"/>
                <w:sz w:val="21"/>
                <w:szCs w:val="21"/>
              </w:rPr>
            </w:pPr>
            <w:bookmarkStart w:id="22" w:name="_Toc14154"/>
            <w:r>
              <w:rPr>
                <w:rFonts w:hint="eastAsia" w:cs="宋体"/>
                <w:sz w:val="21"/>
                <w:szCs w:val="21"/>
              </w:rPr>
              <w:t>1</w:t>
            </w:r>
            <w:bookmarkEnd w:id="22"/>
          </w:p>
        </w:tc>
        <w:tc>
          <w:tcPr>
            <w:tcW w:w="916" w:type="dxa"/>
            <w:noWrap w:val="0"/>
            <w:vAlign w:val="center"/>
          </w:tcPr>
          <w:p w14:paraId="33468086">
            <w:pPr>
              <w:jc w:val="center"/>
              <w:rPr>
                <w:rFonts w:cs="宋体"/>
                <w:sz w:val="21"/>
                <w:szCs w:val="21"/>
              </w:rPr>
            </w:pPr>
            <w:bookmarkStart w:id="23" w:name="_Toc28800"/>
            <w:r>
              <w:rPr>
                <w:rFonts w:hint="eastAsia" w:cs="宋体"/>
                <w:sz w:val="21"/>
                <w:szCs w:val="21"/>
              </w:rPr>
              <w:t>2</w:t>
            </w:r>
            <w:bookmarkEnd w:id="23"/>
          </w:p>
        </w:tc>
        <w:tc>
          <w:tcPr>
            <w:tcW w:w="836" w:type="dxa"/>
            <w:noWrap w:val="0"/>
            <w:vAlign w:val="center"/>
          </w:tcPr>
          <w:p w14:paraId="5D8C5FE2">
            <w:pPr>
              <w:jc w:val="center"/>
              <w:rPr>
                <w:rFonts w:cs="宋体"/>
                <w:sz w:val="21"/>
                <w:szCs w:val="21"/>
              </w:rPr>
            </w:pPr>
            <w:bookmarkStart w:id="24" w:name="_Toc7872"/>
            <w:r>
              <w:rPr>
                <w:rFonts w:hint="eastAsia" w:cs="宋体"/>
                <w:sz w:val="21"/>
                <w:szCs w:val="21"/>
              </w:rPr>
              <w:t>3</w:t>
            </w:r>
            <w:bookmarkEnd w:id="24"/>
          </w:p>
        </w:tc>
        <w:tc>
          <w:tcPr>
            <w:tcW w:w="871" w:type="dxa"/>
            <w:vMerge w:val="continue"/>
            <w:noWrap w:val="0"/>
            <w:vAlign w:val="center"/>
          </w:tcPr>
          <w:p w14:paraId="60597D29">
            <w:pPr>
              <w:jc w:val="center"/>
              <w:rPr>
                <w:rFonts w:hint="eastAsia" w:cs="宋体"/>
                <w:sz w:val="21"/>
                <w:szCs w:val="21"/>
              </w:rPr>
            </w:pPr>
          </w:p>
        </w:tc>
        <w:tc>
          <w:tcPr>
            <w:tcW w:w="915" w:type="dxa"/>
            <w:vMerge w:val="continue"/>
            <w:noWrap w:val="0"/>
            <w:vAlign w:val="center"/>
          </w:tcPr>
          <w:p w14:paraId="22632837">
            <w:pPr>
              <w:jc w:val="center"/>
              <w:rPr>
                <w:rFonts w:hint="eastAsia" w:cs="宋体"/>
                <w:sz w:val="21"/>
                <w:szCs w:val="21"/>
              </w:rPr>
            </w:pPr>
          </w:p>
        </w:tc>
      </w:tr>
      <w:tr w14:paraId="5A7A9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6" w:hRule="exact"/>
          <w:jc w:val="center"/>
        </w:trPr>
        <w:tc>
          <w:tcPr>
            <w:tcW w:w="1594" w:type="dxa"/>
            <w:vMerge w:val="restart"/>
            <w:noWrap w:val="0"/>
            <w:vAlign w:val="center"/>
          </w:tcPr>
          <w:p w14:paraId="53311E72">
            <w:pPr>
              <w:jc w:val="center"/>
              <w:rPr>
                <w:rFonts w:hint="default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250</w:t>
            </w:r>
          </w:p>
        </w:tc>
        <w:tc>
          <w:tcPr>
            <w:tcW w:w="1024" w:type="dxa"/>
            <w:noWrap w:val="0"/>
            <w:vAlign w:val="center"/>
          </w:tcPr>
          <w:p w14:paraId="455A65CC">
            <w:pPr>
              <w:jc w:val="center"/>
              <w:rPr>
                <w:rFonts w:hint="eastAsia" w:cs="宋体"/>
                <w:sz w:val="18"/>
                <w:szCs w:val="18"/>
              </w:rPr>
            </w:pPr>
            <w:bookmarkStart w:id="25" w:name="_Toc24394"/>
            <w:r>
              <w:rPr>
                <w:rFonts w:hint="eastAsia" w:cs="宋体"/>
                <w:sz w:val="18"/>
                <w:szCs w:val="18"/>
              </w:rPr>
              <w:t>示值</w:t>
            </w:r>
            <w:bookmarkEnd w:id="25"/>
          </w:p>
          <w:p w14:paraId="4CE8FADB">
            <w:pPr>
              <w:jc w:val="center"/>
              <w:rPr>
                <w:rFonts w:hint="eastAsia" w:cs="宋体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（</w:t>
            </w:r>
            <w:r>
              <w:rPr>
                <w:rFonts w:ascii="Times New Roman" w:hAnsi="Times New Roman" w:eastAsia="宋体"/>
                <w:sz w:val="21"/>
                <w:szCs w:val="21"/>
                <w:lang w:val="en-US" w:eastAsia="zh-CN"/>
              </w:rPr>
              <w:t>µmol/mol</w:t>
            </w: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）</w:t>
            </w:r>
          </w:p>
        </w:tc>
        <w:tc>
          <w:tcPr>
            <w:tcW w:w="805" w:type="dxa"/>
            <w:noWrap w:val="0"/>
            <w:vAlign w:val="center"/>
          </w:tcPr>
          <w:p w14:paraId="266AE910">
            <w:pPr>
              <w:jc w:val="center"/>
              <w:rPr>
                <w:rFonts w:hint="default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248</w:t>
            </w:r>
          </w:p>
        </w:tc>
        <w:tc>
          <w:tcPr>
            <w:tcW w:w="916" w:type="dxa"/>
            <w:noWrap w:val="0"/>
            <w:vAlign w:val="center"/>
          </w:tcPr>
          <w:p w14:paraId="5106B111">
            <w:pPr>
              <w:jc w:val="center"/>
              <w:rPr>
                <w:rFonts w:hint="default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248</w:t>
            </w:r>
          </w:p>
        </w:tc>
        <w:tc>
          <w:tcPr>
            <w:tcW w:w="836" w:type="dxa"/>
            <w:noWrap w:val="0"/>
            <w:vAlign w:val="center"/>
          </w:tcPr>
          <w:p w14:paraId="312844FF">
            <w:pPr>
              <w:jc w:val="center"/>
              <w:rPr>
                <w:rFonts w:hint="default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249</w:t>
            </w:r>
          </w:p>
        </w:tc>
        <w:tc>
          <w:tcPr>
            <w:tcW w:w="871" w:type="dxa"/>
            <w:noWrap w:val="0"/>
            <w:vAlign w:val="center"/>
          </w:tcPr>
          <w:p w14:paraId="504A082D">
            <w:pPr>
              <w:jc w:val="center"/>
              <w:rPr>
                <w:rFonts w:hint="default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248.3</w:t>
            </w:r>
          </w:p>
        </w:tc>
        <w:tc>
          <w:tcPr>
            <w:tcW w:w="915" w:type="dxa"/>
            <w:vMerge w:val="restart"/>
            <w:noWrap w:val="0"/>
            <w:vAlign w:val="center"/>
          </w:tcPr>
          <w:p w14:paraId="2851C4C9">
            <w:pPr>
              <w:jc w:val="center"/>
              <w:rPr>
                <w:rFonts w:hint="default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244.4</w:t>
            </w:r>
          </w:p>
        </w:tc>
      </w:tr>
      <w:tr w14:paraId="2890E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exact"/>
          <w:jc w:val="center"/>
        </w:trPr>
        <w:tc>
          <w:tcPr>
            <w:tcW w:w="1594" w:type="dxa"/>
            <w:vMerge w:val="continue"/>
            <w:noWrap w:val="0"/>
            <w:vAlign w:val="center"/>
          </w:tcPr>
          <w:p w14:paraId="6FDF6400">
            <w:pPr>
              <w:jc w:val="center"/>
              <w:rPr>
                <w:rFonts w:hint="eastAsia" w:cs="宋体"/>
                <w:sz w:val="21"/>
                <w:szCs w:val="21"/>
              </w:rPr>
            </w:pPr>
          </w:p>
        </w:tc>
        <w:tc>
          <w:tcPr>
            <w:tcW w:w="1024" w:type="dxa"/>
            <w:noWrap w:val="0"/>
            <w:vAlign w:val="center"/>
          </w:tcPr>
          <w:p w14:paraId="7B0364E6">
            <w:pPr>
              <w:jc w:val="center"/>
              <w:rPr>
                <w:rFonts w:hint="eastAsia" w:cs="宋体"/>
                <w:sz w:val="18"/>
                <w:szCs w:val="18"/>
              </w:rPr>
            </w:pPr>
            <w:bookmarkStart w:id="26" w:name="_Toc28921"/>
            <w:r>
              <w:rPr>
                <w:rFonts w:hint="eastAsia" w:cs="宋体"/>
                <w:sz w:val="18"/>
                <w:szCs w:val="18"/>
              </w:rPr>
              <w:t>测量</w:t>
            </w:r>
            <w:bookmarkEnd w:id="26"/>
          </w:p>
          <w:p w14:paraId="05BE6327">
            <w:pPr>
              <w:jc w:val="center"/>
              <w:rPr>
                <w:rFonts w:hint="eastAsia" w:cs="宋体"/>
                <w:sz w:val="18"/>
                <w:szCs w:val="18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eastAsia="宋体" w:cs="宋体"/>
                <w:sz w:val="21"/>
                <w:szCs w:val="21"/>
                <w:lang w:val="en-US" w:eastAsia="zh-CN"/>
              </w:rPr>
              <w:t>Hz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）</w:t>
            </w:r>
          </w:p>
        </w:tc>
        <w:tc>
          <w:tcPr>
            <w:tcW w:w="805" w:type="dxa"/>
            <w:noWrap w:val="0"/>
            <w:vAlign w:val="center"/>
          </w:tcPr>
          <w:p w14:paraId="4807362A">
            <w:pPr>
              <w:jc w:val="center"/>
              <w:rPr>
                <w:rFonts w:hint="default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395.25</w:t>
            </w:r>
          </w:p>
        </w:tc>
        <w:tc>
          <w:tcPr>
            <w:tcW w:w="916" w:type="dxa"/>
            <w:noWrap w:val="0"/>
            <w:vAlign w:val="center"/>
          </w:tcPr>
          <w:p w14:paraId="5045BD26">
            <w:pPr>
              <w:jc w:val="center"/>
              <w:rPr>
                <w:rFonts w:hint="default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395.04</w:t>
            </w:r>
          </w:p>
        </w:tc>
        <w:tc>
          <w:tcPr>
            <w:tcW w:w="836" w:type="dxa"/>
            <w:noWrap w:val="0"/>
            <w:vAlign w:val="center"/>
          </w:tcPr>
          <w:p w14:paraId="07CDCDFC">
            <w:pPr>
              <w:jc w:val="center"/>
              <w:rPr>
                <w:rFonts w:hint="default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396.35</w:t>
            </w:r>
          </w:p>
        </w:tc>
        <w:tc>
          <w:tcPr>
            <w:tcW w:w="871" w:type="dxa"/>
            <w:noWrap w:val="0"/>
            <w:vAlign w:val="center"/>
          </w:tcPr>
          <w:p w14:paraId="737C8E72">
            <w:pPr>
              <w:jc w:val="center"/>
              <w:rPr>
                <w:rFonts w:hint="default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395.55</w:t>
            </w:r>
          </w:p>
        </w:tc>
        <w:tc>
          <w:tcPr>
            <w:tcW w:w="915" w:type="dxa"/>
            <w:vMerge w:val="continue"/>
            <w:noWrap w:val="0"/>
            <w:vAlign w:val="center"/>
          </w:tcPr>
          <w:p w14:paraId="0610BB2D">
            <w:pPr>
              <w:jc w:val="center"/>
              <w:rPr>
                <w:rFonts w:hint="eastAsia" w:cs="宋体"/>
                <w:sz w:val="21"/>
                <w:szCs w:val="21"/>
              </w:rPr>
            </w:pPr>
          </w:p>
        </w:tc>
      </w:tr>
      <w:tr w14:paraId="21FDF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0" w:hRule="exact"/>
          <w:jc w:val="center"/>
        </w:trPr>
        <w:tc>
          <w:tcPr>
            <w:tcW w:w="1594" w:type="dxa"/>
            <w:vMerge w:val="restart"/>
            <w:noWrap w:val="0"/>
            <w:vAlign w:val="center"/>
          </w:tcPr>
          <w:p w14:paraId="054003D2">
            <w:pPr>
              <w:jc w:val="center"/>
              <w:rPr>
                <w:rFonts w:hint="default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500</w:t>
            </w:r>
          </w:p>
        </w:tc>
        <w:tc>
          <w:tcPr>
            <w:tcW w:w="1024" w:type="dxa"/>
            <w:noWrap w:val="0"/>
            <w:vAlign w:val="center"/>
          </w:tcPr>
          <w:p w14:paraId="3B73D983">
            <w:pPr>
              <w:jc w:val="center"/>
              <w:rPr>
                <w:rFonts w:hint="eastAsia"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示值</w:t>
            </w:r>
          </w:p>
          <w:p w14:paraId="05E17A68">
            <w:pPr>
              <w:jc w:val="center"/>
              <w:rPr>
                <w:rFonts w:hint="eastAsia" w:cs="宋体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（</w:t>
            </w:r>
            <w:r>
              <w:rPr>
                <w:rFonts w:ascii="Times New Roman" w:hAnsi="Times New Roman" w:eastAsia="宋体"/>
                <w:sz w:val="21"/>
                <w:szCs w:val="21"/>
                <w:lang w:val="en-US" w:eastAsia="zh-CN"/>
              </w:rPr>
              <w:t>µmol/mol</w:t>
            </w: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）</w:t>
            </w:r>
          </w:p>
        </w:tc>
        <w:tc>
          <w:tcPr>
            <w:tcW w:w="805" w:type="dxa"/>
            <w:noWrap w:val="0"/>
            <w:vAlign w:val="center"/>
          </w:tcPr>
          <w:p w14:paraId="346014DC">
            <w:pPr>
              <w:jc w:val="center"/>
              <w:rPr>
                <w:rFonts w:hint="default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497</w:t>
            </w:r>
          </w:p>
        </w:tc>
        <w:tc>
          <w:tcPr>
            <w:tcW w:w="916" w:type="dxa"/>
            <w:noWrap w:val="0"/>
            <w:vAlign w:val="center"/>
          </w:tcPr>
          <w:p w14:paraId="12F08D60">
            <w:pPr>
              <w:jc w:val="center"/>
              <w:rPr>
                <w:rFonts w:hint="default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495</w:t>
            </w:r>
          </w:p>
        </w:tc>
        <w:tc>
          <w:tcPr>
            <w:tcW w:w="836" w:type="dxa"/>
            <w:noWrap w:val="0"/>
            <w:vAlign w:val="center"/>
          </w:tcPr>
          <w:p w14:paraId="1268AB82">
            <w:pPr>
              <w:jc w:val="center"/>
              <w:rPr>
                <w:rFonts w:hint="default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496</w:t>
            </w:r>
          </w:p>
        </w:tc>
        <w:tc>
          <w:tcPr>
            <w:tcW w:w="871" w:type="dxa"/>
            <w:noWrap w:val="0"/>
            <w:vAlign w:val="center"/>
          </w:tcPr>
          <w:p w14:paraId="19E0A5A2">
            <w:pPr>
              <w:jc w:val="center"/>
              <w:rPr>
                <w:rFonts w:hint="default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496.0</w:t>
            </w:r>
          </w:p>
        </w:tc>
        <w:tc>
          <w:tcPr>
            <w:tcW w:w="915" w:type="dxa"/>
            <w:vMerge w:val="restart"/>
            <w:noWrap w:val="0"/>
            <w:vAlign w:val="center"/>
          </w:tcPr>
          <w:p w14:paraId="1A0141F7">
            <w:pPr>
              <w:jc w:val="center"/>
              <w:rPr>
                <w:rFonts w:hint="default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489.6</w:t>
            </w:r>
          </w:p>
        </w:tc>
      </w:tr>
      <w:tr w14:paraId="227F36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exact"/>
          <w:jc w:val="center"/>
        </w:trPr>
        <w:tc>
          <w:tcPr>
            <w:tcW w:w="1594" w:type="dxa"/>
            <w:vMerge w:val="continue"/>
            <w:noWrap w:val="0"/>
            <w:vAlign w:val="center"/>
          </w:tcPr>
          <w:p w14:paraId="137C3B89">
            <w:pPr>
              <w:jc w:val="center"/>
              <w:rPr>
                <w:rFonts w:hint="eastAsia" w:cs="宋体"/>
                <w:sz w:val="21"/>
                <w:szCs w:val="21"/>
              </w:rPr>
            </w:pPr>
          </w:p>
        </w:tc>
        <w:tc>
          <w:tcPr>
            <w:tcW w:w="1024" w:type="dxa"/>
            <w:noWrap w:val="0"/>
            <w:vAlign w:val="center"/>
          </w:tcPr>
          <w:p w14:paraId="2249E275">
            <w:pPr>
              <w:jc w:val="center"/>
              <w:rPr>
                <w:rFonts w:hint="eastAsia"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测量</w:t>
            </w:r>
          </w:p>
          <w:p w14:paraId="0626CB86">
            <w:pPr>
              <w:jc w:val="center"/>
              <w:rPr>
                <w:rFonts w:hint="eastAsia" w:cs="宋体"/>
                <w:sz w:val="18"/>
                <w:szCs w:val="18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eastAsia="宋体" w:cs="宋体"/>
                <w:sz w:val="21"/>
                <w:szCs w:val="21"/>
                <w:lang w:val="en-US" w:eastAsia="zh-CN"/>
              </w:rPr>
              <w:t>Hz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）</w:t>
            </w:r>
          </w:p>
        </w:tc>
        <w:tc>
          <w:tcPr>
            <w:tcW w:w="805" w:type="dxa"/>
            <w:noWrap w:val="0"/>
            <w:vAlign w:val="center"/>
          </w:tcPr>
          <w:p w14:paraId="34EFC720">
            <w:pPr>
              <w:jc w:val="center"/>
              <w:rPr>
                <w:rFonts w:hint="default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592.15</w:t>
            </w:r>
          </w:p>
        </w:tc>
        <w:tc>
          <w:tcPr>
            <w:tcW w:w="916" w:type="dxa"/>
            <w:noWrap w:val="0"/>
            <w:vAlign w:val="center"/>
          </w:tcPr>
          <w:p w14:paraId="1827F420">
            <w:pPr>
              <w:jc w:val="center"/>
              <w:rPr>
                <w:rFonts w:hint="default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591.52</w:t>
            </w:r>
          </w:p>
        </w:tc>
        <w:tc>
          <w:tcPr>
            <w:tcW w:w="836" w:type="dxa"/>
            <w:noWrap w:val="0"/>
            <w:vAlign w:val="center"/>
          </w:tcPr>
          <w:p w14:paraId="7ACDC2BE">
            <w:pPr>
              <w:jc w:val="center"/>
              <w:rPr>
                <w:rFonts w:hint="default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591.36</w:t>
            </w:r>
          </w:p>
        </w:tc>
        <w:tc>
          <w:tcPr>
            <w:tcW w:w="871" w:type="dxa"/>
            <w:noWrap w:val="0"/>
            <w:vAlign w:val="center"/>
          </w:tcPr>
          <w:p w14:paraId="6680D404">
            <w:pPr>
              <w:jc w:val="center"/>
              <w:rPr>
                <w:rFonts w:hint="default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591.68</w:t>
            </w:r>
          </w:p>
        </w:tc>
        <w:tc>
          <w:tcPr>
            <w:tcW w:w="915" w:type="dxa"/>
            <w:vMerge w:val="continue"/>
            <w:noWrap w:val="0"/>
            <w:vAlign w:val="center"/>
          </w:tcPr>
          <w:p w14:paraId="17DDBDDC">
            <w:pPr>
              <w:jc w:val="center"/>
              <w:rPr>
                <w:rFonts w:hint="eastAsia" w:cs="宋体"/>
                <w:sz w:val="21"/>
                <w:szCs w:val="21"/>
              </w:rPr>
            </w:pPr>
          </w:p>
        </w:tc>
      </w:tr>
      <w:tr w14:paraId="6D498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0" w:hRule="exact"/>
          <w:jc w:val="center"/>
        </w:trPr>
        <w:tc>
          <w:tcPr>
            <w:tcW w:w="1594" w:type="dxa"/>
            <w:vMerge w:val="restart"/>
            <w:noWrap w:val="0"/>
            <w:vAlign w:val="center"/>
          </w:tcPr>
          <w:p w14:paraId="1180DAA5">
            <w:pPr>
              <w:jc w:val="center"/>
              <w:rPr>
                <w:rFonts w:hint="default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750</w:t>
            </w:r>
          </w:p>
        </w:tc>
        <w:tc>
          <w:tcPr>
            <w:tcW w:w="1024" w:type="dxa"/>
            <w:noWrap w:val="0"/>
            <w:vAlign w:val="center"/>
          </w:tcPr>
          <w:p w14:paraId="4B9954AE">
            <w:pPr>
              <w:jc w:val="center"/>
              <w:rPr>
                <w:rFonts w:hint="eastAsia"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示值</w:t>
            </w:r>
          </w:p>
          <w:p w14:paraId="73CCBCA1">
            <w:pPr>
              <w:jc w:val="center"/>
              <w:rPr>
                <w:rFonts w:hint="eastAsia" w:cs="宋体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（</w:t>
            </w:r>
            <w:r>
              <w:rPr>
                <w:rFonts w:ascii="Times New Roman" w:hAnsi="Times New Roman" w:eastAsia="宋体"/>
                <w:sz w:val="21"/>
                <w:szCs w:val="21"/>
                <w:lang w:val="en-US" w:eastAsia="zh-CN"/>
              </w:rPr>
              <w:t>µmol/mol</w:t>
            </w: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）</w:t>
            </w:r>
          </w:p>
        </w:tc>
        <w:tc>
          <w:tcPr>
            <w:tcW w:w="805" w:type="dxa"/>
            <w:noWrap w:val="0"/>
            <w:vAlign w:val="center"/>
          </w:tcPr>
          <w:p w14:paraId="32E01FA3">
            <w:pPr>
              <w:jc w:val="center"/>
              <w:rPr>
                <w:rFonts w:hint="default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745</w:t>
            </w:r>
          </w:p>
        </w:tc>
        <w:tc>
          <w:tcPr>
            <w:tcW w:w="916" w:type="dxa"/>
            <w:noWrap w:val="0"/>
            <w:vAlign w:val="center"/>
          </w:tcPr>
          <w:p w14:paraId="562CD21A">
            <w:pPr>
              <w:jc w:val="center"/>
              <w:rPr>
                <w:rFonts w:hint="default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743</w:t>
            </w:r>
          </w:p>
        </w:tc>
        <w:tc>
          <w:tcPr>
            <w:tcW w:w="836" w:type="dxa"/>
            <w:noWrap w:val="0"/>
            <w:vAlign w:val="center"/>
          </w:tcPr>
          <w:p w14:paraId="1F3C126D">
            <w:pPr>
              <w:jc w:val="center"/>
              <w:rPr>
                <w:rFonts w:hint="default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744</w:t>
            </w:r>
          </w:p>
        </w:tc>
        <w:tc>
          <w:tcPr>
            <w:tcW w:w="871" w:type="dxa"/>
            <w:noWrap w:val="0"/>
            <w:vAlign w:val="center"/>
          </w:tcPr>
          <w:p w14:paraId="21B21FB9">
            <w:pPr>
              <w:jc w:val="center"/>
              <w:rPr>
                <w:rFonts w:hint="default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744.0</w:t>
            </w:r>
          </w:p>
        </w:tc>
        <w:tc>
          <w:tcPr>
            <w:tcW w:w="915" w:type="dxa"/>
            <w:vMerge w:val="restart"/>
            <w:noWrap w:val="0"/>
            <w:vAlign w:val="center"/>
          </w:tcPr>
          <w:p w14:paraId="2D758DB2">
            <w:pPr>
              <w:jc w:val="center"/>
              <w:rPr>
                <w:rFonts w:hint="default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739.4</w:t>
            </w:r>
          </w:p>
        </w:tc>
      </w:tr>
      <w:tr w14:paraId="2FE7B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exact"/>
          <w:jc w:val="center"/>
        </w:trPr>
        <w:tc>
          <w:tcPr>
            <w:tcW w:w="1594" w:type="dxa"/>
            <w:vMerge w:val="continue"/>
            <w:noWrap w:val="0"/>
            <w:vAlign w:val="center"/>
          </w:tcPr>
          <w:p w14:paraId="38D75ADF">
            <w:pPr>
              <w:jc w:val="center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1024" w:type="dxa"/>
            <w:noWrap w:val="0"/>
            <w:vAlign w:val="center"/>
          </w:tcPr>
          <w:p w14:paraId="2469D851">
            <w:pPr>
              <w:jc w:val="center"/>
              <w:rPr>
                <w:rFonts w:hint="eastAsia"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测量</w:t>
            </w:r>
          </w:p>
          <w:p w14:paraId="6E0F5940">
            <w:pPr>
              <w:jc w:val="center"/>
              <w:rPr>
                <w:rFonts w:hint="eastAsia" w:cs="宋体"/>
                <w:sz w:val="18"/>
                <w:szCs w:val="18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eastAsia="宋体" w:cs="宋体"/>
                <w:sz w:val="21"/>
                <w:szCs w:val="21"/>
                <w:lang w:val="en-US" w:eastAsia="zh-CN"/>
              </w:rPr>
              <w:t>Hz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）</w:t>
            </w:r>
          </w:p>
        </w:tc>
        <w:tc>
          <w:tcPr>
            <w:tcW w:w="805" w:type="dxa"/>
            <w:noWrap w:val="0"/>
            <w:vAlign w:val="center"/>
          </w:tcPr>
          <w:p w14:paraId="2DA5B09D">
            <w:pPr>
              <w:jc w:val="center"/>
              <w:rPr>
                <w:rFonts w:hint="default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792.12</w:t>
            </w:r>
          </w:p>
        </w:tc>
        <w:tc>
          <w:tcPr>
            <w:tcW w:w="916" w:type="dxa"/>
            <w:noWrap w:val="0"/>
            <w:vAlign w:val="center"/>
          </w:tcPr>
          <w:p w14:paraId="17CD9DC7">
            <w:pPr>
              <w:jc w:val="center"/>
              <w:rPr>
                <w:rFonts w:hint="default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791.23</w:t>
            </w:r>
          </w:p>
        </w:tc>
        <w:tc>
          <w:tcPr>
            <w:tcW w:w="836" w:type="dxa"/>
            <w:noWrap w:val="0"/>
            <w:vAlign w:val="center"/>
          </w:tcPr>
          <w:p w14:paraId="77D992A0">
            <w:pPr>
              <w:jc w:val="center"/>
              <w:rPr>
                <w:rFonts w:hint="default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791.26</w:t>
            </w:r>
          </w:p>
        </w:tc>
        <w:tc>
          <w:tcPr>
            <w:tcW w:w="871" w:type="dxa"/>
            <w:noWrap w:val="0"/>
            <w:vAlign w:val="center"/>
          </w:tcPr>
          <w:p w14:paraId="37E9698E">
            <w:pPr>
              <w:jc w:val="center"/>
              <w:rPr>
                <w:rFonts w:hint="default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791.54</w:t>
            </w:r>
          </w:p>
        </w:tc>
        <w:tc>
          <w:tcPr>
            <w:tcW w:w="915" w:type="dxa"/>
            <w:vMerge w:val="continue"/>
            <w:noWrap w:val="0"/>
            <w:vAlign w:val="center"/>
          </w:tcPr>
          <w:p w14:paraId="3E7A980A">
            <w:pPr>
              <w:jc w:val="center"/>
              <w:rPr>
                <w:rFonts w:hint="eastAsia" w:cs="宋体"/>
                <w:sz w:val="21"/>
                <w:szCs w:val="21"/>
              </w:rPr>
            </w:pPr>
          </w:p>
        </w:tc>
      </w:tr>
    </w:tbl>
    <w:p w14:paraId="13018F24">
      <w:pPr>
        <w:pStyle w:val="25"/>
        <w:keepNext w:val="0"/>
        <w:spacing w:beforeLines="0" w:afterLines="0" w:line="360" w:lineRule="auto"/>
        <w:ind w:firstLine="720" w:firstLineChars="300"/>
        <w:jc w:val="both"/>
        <w:outlineLvl w:val="9"/>
        <w:rPr>
          <w:rFonts w:hint="eastAsia" w:eastAsia="宋体" w:cs="宋体"/>
          <w:spacing w:val="-20"/>
          <w:sz w:val="24"/>
          <w:szCs w:val="24"/>
          <w:lang w:val="en-US" w:eastAsia="zh-CN"/>
        </w:rPr>
      </w:pPr>
      <w:r>
        <w:rPr>
          <w:rFonts w:hint="eastAsia" w:eastAsia="宋体" w:cs="宋体"/>
          <w:sz w:val="24"/>
          <w:szCs w:val="24"/>
          <w:lang w:val="en-US" w:eastAsia="zh-CN"/>
        </w:rPr>
        <w:t>算出</w:t>
      </w:r>
      <w:r>
        <w:rPr>
          <w:rFonts w:hint="eastAsia" w:ascii="Calibri" w:hAnsi="Calibri" w:eastAsia="宋体" w:cs="宋体"/>
          <w:kern w:val="2"/>
          <w:sz w:val="24"/>
          <w:szCs w:val="24"/>
          <w:lang w:val="en-US" w:eastAsia="zh-CN" w:bidi="ar-SA"/>
        </w:rPr>
        <w:t>输出信号值平均值换算成浓度值</w:t>
      </w:r>
      <w:r>
        <w:rPr>
          <w:rFonts w:hint="eastAsia" w:eastAsia="宋体" w:cs="宋体"/>
          <w:kern w:val="2"/>
          <w:sz w:val="24"/>
          <w:szCs w:val="24"/>
          <w:lang w:val="en-US" w:eastAsia="zh-CN" w:bidi="ar-SA"/>
        </w:rPr>
        <w:t>后，再</w:t>
      </w:r>
      <w:r>
        <w:rPr>
          <w:rFonts w:hint="eastAsia" w:eastAsia="宋体" w:cs="宋体"/>
          <w:sz w:val="24"/>
          <w:szCs w:val="24"/>
          <w:lang w:val="en-US" w:eastAsia="zh-CN"/>
        </w:rPr>
        <w:t>按公式（4）计算报警器的信号传输误差</w:t>
      </w:r>
      <w:r>
        <w:rPr>
          <w:rFonts w:hint="eastAsia" w:eastAsia="宋体" w:cs="宋体"/>
          <w:spacing w:val="-20"/>
          <w:sz w:val="24"/>
          <w:szCs w:val="24"/>
          <w:lang w:val="en-US" w:eastAsia="zh-CN"/>
        </w:rPr>
        <w:t>。</w:t>
      </w:r>
    </w:p>
    <w:p w14:paraId="1990191E">
      <w:pPr>
        <w:pStyle w:val="25"/>
        <w:keepNext w:val="0"/>
        <w:spacing w:beforeLines="0" w:afterLines="0" w:line="360" w:lineRule="auto"/>
        <w:ind w:firstLine="600" w:firstLineChars="300"/>
        <w:jc w:val="center"/>
        <w:outlineLvl w:val="9"/>
        <w:rPr>
          <w:rFonts w:eastAsia="宋体" w:cs="宋体"/>
          <w:i/>
          <w:iCs/>
          <w:spacing w:val="-20"/>
          <w:sz w:val="24"/>
          <w:szCs w:val="24"/>
          <w:lang w:val="en-US" w:eastAsia="zh-CN"/>
        </w:rPr>
      </w:pPr>
      <w:r>
        <w:rPr>
          <w:rFonts w:eastAsia="宋体" w:cs="宋体"/>
          <w:spacing w:val="-20"/>
          <w:position w:val="-22"/>
          <w:sz w:val="24"/>
          <w:szCs w:val="24"/>
          <w:lang w:val="en-US" w:eastAsia="zh-CN"/>
        </w:rPr>
        <w:object>
          <v:shape id="_x0000_i1035" o:spt="75" type="#_x0000_t75" style="height:31.95pt;width:87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30">
            <o:LockedField>false</o:LockedField>
          </o:OLEObject>
        </w:object>
      </w:r>
      <w:r>
        <w:rPr>
          <w:rFonts w:hint="eastAsia" w:eastAsia="宋体" w:cs="宋体"/>
          <w:spacing w:val="-20"/>
          <w:sz w:val="24"/>
          <w:szCs w:val="24"/>
          <w:lang w:val="en-US" w:eastAsia="zh-CN"/>
        </w:rPr>
        <w:t xml:space="preserve">                                         （4）</w:t>
      </w:r>
    </w:p>
    <w:p w14:paraId="27AB21F4">
      <w:pPr>
        <w:pStyle w:val="25"/>
        <w:keepNext w:val="0"/>
        <w:spacing w:beforeLines="0" w:afterLines="0" w:line="360" w:lineRule="auto"/>
        <w:ind w:firstLine="460" w:firstLineChars="200"/>
        <w:jc w:val="both"/>
        <w:outlineLvl w:val="9"/>
        <w:rPr>
          <w:rFonts w:ascii="Times New Roman" w:hAnsi="Times New Roman" w:eastAsia="宋体"/>
          <w:color w:val="000000"/>
          <w:sz w:val="23"/>
          <w:szCs w:val="24"/>
          <w:lang w:val="en-US" w:eastAsia="zh-CN"/>
        </w:rPr>
      </w:pPr>
      <w:r>
        <w:rPr>
          <w:rFonts w:hint="eastAsia" w:ascii="Times New Roman" w:hAnsi="Times New Roman" w:eastAsia="宋体"/>
          <w:color w:val="000000"/>
          <w:sz w:val="23"/>
          <w:szCs w:val="24"/>
          <w:lang w:val="en-US" w:eastAsia="zh-CN"/>
        </w:rPr>
        <w:t>式中：</w:t>
      </w:r>
    </w:p>
    <w:p w14:paraId="735BF1B8">
      <w:pPr>
        <w:pStyle w:val="25"/>
        <w:keepNext w:val="0"/>
        <w:spacing w:beforeLines="0" w:afterLines="0" w:line="360" w:lineRule="auto"/>
        <w:ind w:firstLine="600" w:firstLineChars="300"/>
        <w:jc w:val="both"/>
        <w:outlineLvl w:val="9"/>
        <w:rPr>
          <w:rFonts w:hint="eastAsia" w:eastAsia="宋体" w:cs="宋体"/>
          <w:sz w:val="24"/>
          <w:szCs w:val="24"/>
          <w:lang w:val="en-US" w:eastAsia="zh-CN"/>
        </w:rPr>
      </w:pPr>
      <w:r>
        <w:rPr>
          <w:rFonts w:hint="eastAsia" w:eastAsia="宋体" w:cs="宋体"/>
          <w:spacing w:val="-20"/>
          <w:sz w:val="24"/>
          <w:szCs w:val="24"/>
        </w:rPr>
        <w:t>Δ</w:t>
      </w:r>
      <w:r>
        <w:rPr>
          <w:rFonts w:ascii="Times New Roman" w:hAnsi="Times New Roman" w:eastAsia="宋体"/>
          <w:i/>
          <w:iCs/>
          <w:spacing w:val="-20"/>
          <w:sz w:val="24"/>
          <w:szCs w:val="24"/>
          <w:lang w:val="en-US" w:eastAsia="zh-CN"/>
        </w:rPr>
        <w:t>x</w:t>
      </w:r>
      <w:r>
        <w:rPr>
          <w:rFonts w:hint="eastAsia" w:eastAsia="宋体" w:cs="宋体"/>
          <w:spacing w:val="-20"/>
          <w:sz w:val="24"/>
          <w:szCs w:val="24"/>
          <w:lang w:val="en-US" w:eastAsia="zh-CN"/>
        </w:rPr>
        <w:t xml:space="preserve"> </w:t>
      </w:r>
      <w:r>
        <w:rPr>
          <w:rFonts w:hint="eastAsia" w:eastAsia="宋体" w:cs="宋体"/>
          <w:spacing w:val="-20"/>
          <w:sz w:val="24"/>
          <w:szCs w:val="24"/>
        </w:rPr>
        <w:t>——</w:t>
      </w:r>
      <w:r>
        <w:rPr>
          <w:rFonts w:hint="eastAsia" w:eastAsia="宋体" w:cs="宋体"/>
          <w:spacing w:val="-20"/>
          <w:sz w:val="24"/>
          <w:szCs w:val="24"/>
          <w:lang w:val="en-US" w:eastAsia="zh-CN"/>
        </w:rPr>
        <w:t xml:space="preserve">  </w:t>
      </w:r>
      <w:r>
        <w:rPr>
          <w:rFonts w:hint="eastAsia" w:eastAsia="宋体" w:cs="宋体"/>
          <w:sz w:val="24"/>
          <w:szCs w:val="24"/>
          <w:lang w:val="en-US" w:eastAsia="zh-CN"/>
        </w:rPr>
        <w:t>各点的信号传输误差，%；</w:t>
      </w:r>
    </w:p>
    <w:p w14:paraId="402B19CF">
      <w:pPr>
        <w:pStyle w:val="25"/>
        <w:keepNext w:val="0"/>
        <w:spacing w:beforeLines="0" w:afterLines="0" w:line="360" w:lineRule="auto"/>
        <w:ind w:firstLine="576" w:firstLineChars="240"/>
        <w:jc w:val="both"/>
        <w:outlineLvl w:val="9"/>
        <w:rPr>
          <w:rFonts w:hint="eastAsia" w:eastAsia="宋体" w:cs="宋体"/>
          <w:spacing w:val="-20"/>
          <w:sz w:val="24"/>
          <w:szCs w:val="24"/>
          <w:lang w:val="en-US" w:eastAsia="zh-CN"/>
        </w:rPr>
      </w:pPr>
      <w:r>
        <w:rPr>
          <w:rFonts w:hint="eastAsia" w:eastAsia="宋体" w:cs="宋体"/>
          <w:sz w:val="24"/>
          <w:szCs w:val="24"/>
          <w:lang w:val="en-US" w:eastAsia="zh-CN"/>
        </w:rPr>
        <w:sym w:font="Symbol" w:char="0060"/>
      </w:r>
      <w:r>
        <w:rPr>
          <w:rFonts w:ascii="Times New Roman" w:hAnsi="Times New Roman" w:eastAsia="宋体"/>
          <w:i/>
          <w:iCs/>
          <w:sz w:val="24"/>
          <w:szCs w:val="24"/>
          <w:lang w:val="en-US" w:eastAsia="zh-CN"/>
        </w:rPr>
        <w:t>G</w:t>
      </w:r>
      <w:r>
        <w:rPr>
          <w:rFonts w:hint="eastAsia" w:ascii="Times New Roman" w:hAnsi="Times New Roman" w:eastAsia="宋体"/>
          <w:i/>
          <w:iCs/>
          <w:sz w:val="24"/>
          <w:szCs w:val="24"/>
          <w:vertAlign w:val="subscript"/>
          <w:lang w:val="en-US" w:eastAsia="zh-CN"/>
        </w:rPr>
        <w:t>i</w:t>
      </w:r>
      <w:r>
        <w:rPr>
          <w:rFonts w:hint="eastAsia" w:eastAsia="宋体" w:cs="宋体"/>
          <w:spacing w:val="-20"/>
          <w:sz w:val="24"/>
          <w:szCs w:val="24"/>
        </w:rPr>
        <w:t>——</w:t>
      </w:r>
      <w:r>
        <w:rPr>
          <w:rFonts w:hint="eastAsia" w:eastAsia="宋体" w:cs="宋体"/>
          <w:spacing w:val="-20"/>
          <w:sz w:val="24"/>
          <w:szCs w:val="24"/>
          <w:lang w:val="en-US" w:eastAsia="zh-CN"/>
        </w:rPr>
        <w:t xml:space="preserve">  </w:t>
      </w:r>
      <w:r>
        <w:rPr>
          <w:rFonts w:hint="eastAsia" w:eastAsia="宋体" w:cs="宋体"/>
          <w:sz w:val="24"/>
          <w:szCs w:val="24"/>
          <w:lang w:val="en-US" w:eastAsia="zh-CN"/>
        </w:rPr>
        <w:t>输出电信号平均值</w:t>
      </w:r>
      <w:r>
        <w:rPr>
          <w:rFonts w:ascii="Times New Roman" w:hAnsi="Times New Roman" w:eastAsia="宋体"/>
          <w:i/>
          <w:iCs/>
          <w:sz w:val="24"/>
          <w:szCs w:val="24"/>
          <w:lang w:val="en-US" w:eastAsia="zh-CN"/>
        </w:rPr>
        <w:sym w:font="Symbol" w:char="0060"/>
      </w:r>
      <w:r>
        <w:rPr>
          <w:rFonts w:ascii="Times New Roman" w:hAnsi="Times New Roman" w:eastAsia="宋体"/>
          <w:i/>
          <w:iCs/>
          <w:sz w:val="24"/>
          <w:szCs w:val="24"/>
          <w:lang w:val="en-US" w:eastAsia="zh-CN"/>
        </w:rPr>
        <w:t>P</w:t>
      </w:r>
      <w:r>
        <w:rPr>
          <w:rFonts w:hint="eastAsia" w:eastAsia="宋体" w:cs="宋体"/>
          <w:sz w:val="24"/>
          <w:szCs w:val="24"/>
          <w:lang w:val="en-US" w:eastAsia="zh-CN"/>
        </w:rPr>
        <w:t>对应的浓度，</w:t>
      </w:r>
      <w:r>
        <w:rPr>
          <w:rFonts w:ascii="Times New Roman" w:hAnsi="Times New Roman" w:eastAsia="宋体"/>
          <w:sz w:val="24"/>
          <w:szCs w:val="24"/>
          <w:lang w:val="en-US" w:eastAsia="zh-CN"/>
        </w:rPr>
        <w:t>µmol/mol</w:t>
      </w:r>
      <w:r>
        <w:rPr>
          <w:rFonts w:hint="eastAsia" w:eastAsia="宋体" w:cs="宋体"/>
          <w:spacing w:val="-20"/>
          <w:sz w:val="24"/>
          <w:szCs w:val="24"/>
          <w:lang w:val="en-US" w:eastAsia="zh-CN"/>
        </w:rPr>
        <w:t>；</w:t>
      </w:r>
    </w:p>
    <w:p w14:paraId="5501A9C6">
      <w:pPr>
        <w:pStyle w:val="25"/>
        <w:keepNext w:val="0"/>
        <w:spacing w:beforeLines="0" w:afterLines="0" w:line="360" w:lineRule="auto"/>
        <w:ind w:firstLine="669" w:firstLineChars="279"/>
        <w:jc w:val="both"/>
        <w:outlineLvl w:val="9"/>
        <w:rPr>
          <w:sz w:val="24"/>
        </w:rPr>
      </w:pPr>
      <w:r>
        <w:rPr>
          <w:rFonts w:hint="eastAsia" w:eastAsia="宋体" w:cs="宋体"/>
          <w:sz w:val="24"/>
          <w:szCs w:val="24"/>
          <w:lang w:val="en-US" w:eastAsia="zh-CN"/>
        </w:rPr>
        <w:sym w:font="Symbol" w:char="0060"/>
      </w:r>
      <w:r>
        <w:rPr>
          <w:rFonts w:ascii="Times New Roman" w:hAnsi="Times New Roman" w:eastAsia="宋体"/>
          <w:i/>
          <w:iCs/>
          <w:sz w:val="24"/>
          <w:szCs w:val="24"/>
          <w:lang w:val="en-US" w:eastAsia="zh-CN"/>
        </w:rPr>
        <w:t>x</w:t>
      </w:r>
      <w:r>
        <w:rPr>
          <w:rFonts w:hint="eastAsia" w:eastAsia="宋体" w:cs="宋体"/>
          <w:spacing w:val="-20"/>
          <w:sz w:val="24"/>
          <w:szCs w:val="24"/>
        </w:rPr>
        <w:t>——</w:t>
      </w:r>
      <w:r>
        <w:rPr>
          <w:rFonts w:hint="eastAsia" w:eastAsia="宋体" w:cs="宋体"/>
          <w:spacing w:val="-20"/>
          <w:sz w:val="24"/>
          <w:szCs w:val="24"/>
          <w:lang w:val="en-US" w:eastAsia="zh-CN"/>
        </w:rPr>
        <w:t xml:space="preserve">  </w:t>
      </w:r>
      <w:r>
        <w:rPr>
          <w:rFonts w:hint="eastAsia" w:eastAsia="宋体" w:cs="宋体"/>
          <w:sz w:val="24"/>
          <w:szCs w:val="24"/>
          <w:lang w:val="en-US" w:eastAsia="zh-CN"/>
        </w:rPr>
        <w:t>3次浓度显示平均值，</w:t>
      </w:r>
      <w:r>
        <w:rPr>
          <w:rFonts w:ascii="Times New Roman" w:hAnsi="Times New Roman" w:eastAsia="宋体"/>
          <w:sz w:val="24"/>
          <w:szCs w:val="24"/>
          <w:lang w:val="en-US" w:eastAsia="zh-CN"/>
        </w:rPr>
        <w:t>µmol/mol</w:t>
      </w:r>
      <w:r>
        <w:rPr>
          <w:rFonts w:hint="eastAsia" w:eastAsia="宋体" w:cs="宋体"/>
          <w:sz w:val="24"/>
          <w:szCs w:val="24"/>
          <w:lang w:val="en-US" w:eastAsia="zh-CN"/>
        </w:rPr>
        <w:t>。</w:t>
      </w:r>
    </w:p>
    <w:tbl>
      <w:tblPr>
        <w:tblStyle w:val="11"/>
        <w:tblW w:w="79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4"/>
        <w:gridCol w:w="1594"/>
        <w:gridCol w:w="1594"/>
        <w:gridCol w:w="1594"/>
        <w:gridCol w:w="1594"/>
      </w:tblGrid>
      <w:tr w14:paraId="769FDD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5" w:hRule="exact"/>
          <w:jc w:val="center"/>
        </w:trPr>
        <w:tc>
          <w:tcPr>
            <w:tcW w:w="1594" w:type="dxa"/>
            <w:noWrap w:val="0"/>
            <w:vAlign w:val="center"/>
          </w:tcPr>
          <w:p w14:paraId="58C33729">
            <w:pPr>
              <w:jc w:val="center"/>
              <w:rPr>
                <w:rFonts w:hint="eastAsia"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>气体标准物质浓度</w:t>
            </w:r>
          </w:p>
          <w:p w14:paraId="0FDBBA05">
            <w:pPr>
              <w:jc w:val="center"/>
              <w:rPr>
                <w:rFonts w:hint="eastAsia" w:cs="宋体"/>
                <w:sz w:val="21"/>
                <w:szCs w:val="21"/>
              </w:rPr>
            </w:pP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（</w:t>
            </w:r>
            <w:r>
              <w:rPr>
                <w:rFonts w:ascii="Times New Roman" w:hAnsi="Times New Roman" w:eastAsia="宋体"/>
                <w:sz w:val="21"/>
                <w:szCs w:val="21"/>
                <w:lang w:val="en-US" w:eastAsia="zh-CN"/>
              </w:rPr>
              <w:t>µmol/mol</w:t>
            </w:r>
            <w:r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  <w:t>）</w:t>
            </w:r>
          </w:p>
        </w:tc>
        <w:tc>
          <w:tcPr>
            <w:tcW w:w="1594" w:type="dxa"/>
            <w:noWrap w:val="0"/>
            <w:vAlign w:val="center"/>
          </w:tcPr>
          <w:p w14:paraId="069A64F0">
            <w:pPr>
              <w:jc w:val="center"/>
              <w:rPr>
                <w:rFonts w:hint="eastAsia" w:ascii="Times New Roman" w:hAnsi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 w:cs="宋体"/>
                <w:sz w:val="21"/>
                <w:szCs w:val="21"/>
                <w:lang w:val="en-US" w:eastAsia="zh-CN"/>
              </w:rPr>
              <w:sym w:font="Symbol" w:char="0060"/>
            </w:r>
            <w:r>
              <w:rPr>
                <w:rFonts w:ascii="Times New Roman" w:hAnsi="Times New Roman" w:eastAsia="宋体"/>
                <w:i/>
                <w:iCs/>
                <w:sz w:val="21"/>
                <w:szCs w:val="21"/>
                <w:lang w:val="en-US" w:eastAsia="zh-CN"/>
              </w:rPr>
              <w:t>x</w:t>
            </w:r>
            <w:r>
              <w:rPr>
                <w:rFonts w:hint="eastAsia" w:ascii="Times New Roman" w:hAnsi="Times New Roman"/>
                <w:i/>
                <w:iCs/>
                <w:sz w:val="21"/>
                <w:szCs w:val="21"/>
                <w:lang w:val="en-US" w:eastAsia="zh-CN"/>
              </w:rPr>
              <w:t>，</w:t>
            </w:r>
            <w:r>
              <w:rPr>
                <w:rFonts w:hint="eastAsia" w:eastAsia="宋体" w:cs="宋体"/>
                <w:sz w:val="21"/>
                <w:szCs w:val="21"/>
                <w:lang w:val="en-US" w:eastAsia="zh-CN"/>
              </w:rPr>
              <w:t>3次浓度显示平均值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（</w:t>
            </w:r>
            <w:r>
              <w:rPr>
                <w:rFonts w:ascii="Times New Roman" w:hAnsi="Times New Roman" w:eastAsia="宋体"/>
                <w:sz w:val="21"/>
                <w:szCs w:val="21"/>
                <w:lang w:val="en-US" w:eastAsia="zh-CN"/>
              </w:rPr>
              <w:t>µmol/mol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）</w:t>
            </w:r>
          </w:p>
        </w:tc>
        <w:tc>
          <w:tcPr>
            <w:tcW w:w="1594" w:type="dxa"/>
            <w:noWrap w:val="0"/>
            <w:vAlign w:val="center"/>
          </w:tcPr>
          <w:p w14:paraId="4A870803">
            <w:pPr>
              <w:jc w:val="center"/>
              <w:rPr>
                <w:rFonts w:hint="eastAsia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ascii="Times New Roman" w:hAnsi="Times New Roman" w:eastAsia="宋体"/>
                <w:i/>
                <w:iCs/>
                <w:sz w:val="21"/>
                <w:szCs w:val="21"/>
                <w:lang w:val="en-US" w:eastAsia="zh-CN"/>
              </w:rPr>
              <w:t>G</w:t>
            </w:r>
            <w:r>
              <w:rPr>
                <w:rFonts w:hint="eastAsia" w:ascii="Times New Roman" w:hAnsi="Times New Roman" w:eastAsia="宋体"/>
                <w:i/>
                <w:iCs/>
                <w:sz w:val="21"/>
                <w:szCs w:val="21"/>
                <w:vertAlign w:val="subscript"/>
                <w:lang w:val="en-US" w:eastAsia="zh-CN"/>
              </w:rPr>
              <w:t>i</w:t>
            </w:r>
            <w:r>
              <w:rPr>
                <w:rFonts w:hint="eastAsia" w:ascii="Times New Roman" w:hAnsi="Times New Roman"/>
                <w:i/>
                <w:iCs/>
                <w:sz w:val="21"/>
                <w:szCs w:val="21"/>
                <w:vertAlign w:val="subscript"/>
                <w:lang w:val="en-US" w:eastAsia="zh-CN"/>
              </w:rPr>
              <w:t>，</w:t>
            </w:r>
            <w:r>
              <w:rPr>
                <w:rFonts w:hint="eastAsia" w:eastAsia="宋体" w:cs="宋体"/>
                <w:spacing w:val="-2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eastAsia="宋体" w:cs="宋体"/>
                <w:sz w:val="21"/>
                <w:szCs w:val="21"/>
                <w:lang w:val="en-US" w:eastAsia="zh-CN"/>
              </w:rPr>
              <w:t>输出电信号平均值</w:t>
            </w:r>
            <w:r>
              <w:rPr>
                <w:rFonts w:ascii="Times New Roman" w:hAnsi="Times New Roman" w:eastAsia="宋体"/>
                <w:i/>
                <w:iCs/>
                <w:sz w:val="21"/>
                <w:szCs w:val="21"/>
                <w:lang w:val="en-US" w:eastAsia="zh-CN"/>
              </w:rPr>
              <w:sym w:font="Symbol" w:char="0060"/>
            </w:r>
            <w:r>
              <w:rPr>
                <w:rFonts w:ascii="Times New Roman" w:hAnsi="Times New Roman" w:eastAsia="宋体"/>
                <w:i/>
                <w:iCs/>
                <w:sz w:val="21"/>
                <w:szCs w:val="21"/>
                <w:lang w:val="en-US" w:eastAsia="zh-CN"/>
              </w:rPr>
              <w:t>P</w:t>
            </w:r>
            <w:r>
              <w:rPr>
                <w:rFonts w:hint="eastAsia" w:eastAsia="宋体" w:cs="宋体"/>
                <w:sz w:val="21"/>
                <w:szCs w:val="21"/>
                <w:lang w:val="en-US" w:eastAsia="zh-CN"/>
              </w:rPr>
              <w:t>对应的浓度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（</w:t>
            </w:r>
            <w:r>
              <w:rPr>
                <w:rFonts w:ascii="Times New Roman" w:hAnsi="Times New Roman" w:eastAsia="宋体"/>
                <w:sz w:val="21"/>
                <w:szCs w:val="21"/>
                <w:lang w:val="en-US" w:eastAsia="zh-CN"/>
              </w:rPr>
              <w:t>µmol/mol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）</w:t>
            </w:r>
          </w:p>
        </w:tc>
        <w:tc>
          <w:tcPr>
            <w:tcW w:w="1594" w:type="dxa"/>
            <w:shd w:val="clear" w:color="auto" w:fill="auto"/>
            <w:noWrap w:val="0"/>
            <w:vAlign w:val="center"/>
          </w:tcPr>
          <w:p w14:paraId="09CB8D17">
            <w:pPr>
              <w:jc w:val="center"/>
              <w:rPr>
                <w:rFonts w:hint="default" w:ascii="Calibri" w:hAnsi="Calibri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/>
                <w:sz w:val="21"/>
                <w:szCs w:val="21"/>
              </w:rPr>
              <w:t>各点信号误差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%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594" w:type="dxa"/>
            <w:noWrap w:val="0"/>
            <w:vAlign w:val="center"/>
          </w:tcPr>
          <w:p w14:paraId="4CC7A997">
            <w:pPr>
              <w:jc w:val="center"/>
              <w:rPr>
                <w:rFonts w:ascii="Times New Roman" w:hAnsi="Times New Roman" w:eastAsia="宋体"/>
                <w:i/>
                <w:iCs/>
                <w:sz w:val="21"/>
                <w:szCs w:val="21"/>
                <w:lang w:val="en-US" w:eastAsia="zh-CN"/>
              </w:rPr>
            </w:pPr>
            <w:bookmarkStart w:id="27" w:name="_Toc25470"/>
            <w:r>
              <w:rPr>
                <w:rFonts w:hint="eastAsia" w:cs="宋体"/>
                <w:sz w:val="21"/>
                <w:szCs w:val="21"/>
              </w:rPr>
              <w:t>报警器型号误差</w:t>
            </w:r>
            <w:bookmarkEnd w:id="27"/>
            <w:r>
              <w:rPr>
                <w:rFonts w:hint="eastAsia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%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）</w:t>
            </w:r>
          </w:p>
        </w:tc>
      </w:tr>
      <w:tr w14:paraId="2EB6F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0" w:hRule="exact"/>
          <w:jc w:val="center"/>
        </w:trPr>
        <w:tc>
          <w:tcPr>
            <w:tcW w:w="1594" w:type="dxa"/>
            <w:noWrap w:val="0"/>
            <w:vAlign w:val="center"/>
          </w:tcPr>
          <w:p w14:paraId="1D63D8B3">
            <w:pPr>
              <w:jc w:val="center"/>
              <w:rPr>
                <w:rFonts w:hint="default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250</w:t>
            </w:r>
          </w:p>
        </w:tc>
        <w:tc>
          <w:tcPr>
            <w:tcW w:w="1594" w:type="dxa"/>
            <w:noWrap w:val="0"/>
            <w:vAlign w:val="center"/>
          </w:tcPr>
          <w:p w14:paraId="76C9E450">
            <w:pPr>
              <w:jc w:val="center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248.3</w:t>
            </w:r>
          </w:p>
        </w:tc>
        <w:tc>
          <w:tcPr>
            <w:tcW w:w="1594" w:type="dxa"/>
            <w:shd w:val="clear" w:color="auto" w:fill="auto"/>
            <w:noWrap w:val="0"/>
            <w:vAlign w:val="center"/>
          </w:tcPr>
          <w:p w14:paraId="32864DD5">
            <w:pPr>
              <w:jc w:val="center"/>
              <w:rPr>
                <w:rFonts w:hint="default" w:ascii="Calibri" w:hAnsi="Calibri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244.4</w:t>
            </w:r>
          </w:p>
        </w:tc>
        <w:tc>
          <w:tcPr>
            <w:tcW w:w="1594" w:type="dxa"/>
            <w:noWrap w:val="0"/>
            <w:vAlign w:val="center"/>
          </w:tcPr>
          <w:p w14:paraId="39765480">
            <w:pPr>
              <w:jc w:val="center"/>
              <w:rPr>
                <w:rFonts w:hint="default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-1.6</w:t>
            </w:r>
          </w:p>
        </w:tc>
        <w:tc>
          <w:tcPr>
            <w:tcW w:w="1594" w:type="dxa"/>
            <w:vMerge w:val="restart"/>
            <w:noWrap w:val="0"/>
            <w:vAlign w:val="center"/>
          </w:tcPr>
          <w:p w14:paraId="57B2BB52">
            <w:pPr>
              <w:jc w:val="center"/>
              <w:rPr>
                <w:rFonts w:hint="default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-1.6</w:t>
            </w:r>
          </w:p>
        </w:tc>
      </w:tr>
      <w:tr w14:paraId="70CB4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exact"/>
          <w:jc w:val="center"/>
        </w:trPr>
        <w:tc>
          <w:tcPr>
            <w:tcW w:w="1594" w:type="dxa"/>
            <w:noWrap w:val="0"/>
            <w:vAlign w:val="center"/>
          </w:tcPr>
          <w:p w14:paraId="0C64C31B">
            <w:pPr>
              <w:jc w:val="center"/>
              <w:rPr>
                <w:rFonts w:hint="default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500</w:t>
            </w:r>
          </w:p>
        </w:tc>
        <w:tc>
          <w:tcPr>
            <w:tcW w:w="1594" w:type="dxa"/>
            <w:noWrap w:val="0"/>
            <w:vAlign w:val="center"/>
          </w:tcPr>
          <w:p w14:paraId="69694A81">
            <w:pPr>
              <w:jc w:val="center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496.0</w:t>
            </w:r>
          </w:p>
        </w:tc>
        <w:tc>
          <w:tcPr>
            <w:tcW w:w="1594" w:type="dxa"/>
            <w:noWrap w:val="0"/>
            <w:vAlign w:val="center"/>
          </w:tcPr>
          <w:p w14:paraId="4B95EA9B">
            <w:pPr>
              <w:jc w:val="center"/>
              <w:rPr>
                <w:rFonts w:hint="default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489.6</w:t>
            </w:r>
          </w:p>
        </w:tc>
        <w:tc>
          <w:tcPr>
            <w:tcW w:w="1594" w:type="dxa"/>
            <w:shd w:val="clear" w:color="auto" w:fill="auto"/>
            <w:noWrap w:val="0"/>
            <w:vAlign w:val="center"/>
          </w:tcPr>
          <w:p w14:paraId="026D3361">
            <w:pPr>
              <w:jc w:val="center"/>
              <w:rPr>
                <w:rFonts w:hint="default" w:ascii="Calibri" w:hAnsi="Calibri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21"/>
                <w:szCs w:val="21"/>
                <w:lang w:val="en-US" w:eastAsia="zh-CN" w:bidi="ar-SA"/>
              </w:rPr>
              <w:t>-1.3</w:t>
            </w:r>
          </w:p>
        </w:tc>
        <w:tc>
          <w:tcPr>
            <w:tcW w:w="1594" w:type="dxa"/>
            <w:vMerge w:val="continue"/>
            <w:noWrap w:val="0"/>
            <w:vAlign w:val="center"/>
          </w:tcPr>
          <w:p w14:paraId="0C9D7919">
            <w:pPr>
              <w:jc w:val="center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</w:tc>
      </w:tr>
      <w:tr w14:paraId="363DD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3" w:hRule="exact"/>
          <w:jc w:val="center"/>
        </w:trPr>
        <w:tc>
          <w:tcPr>
            <w:tcW w:w="1594" w:type="dxa"/>
            <w:noWrap w:val="0"/>
            <w:vAlign w:val="center"/>
          </w:tcPr>
          <w:p w14:paraId="6E28A604">
            <w:pPr>
              <w:jc w:val="center"/>
              <w:rPr>
                <w:rFonts w:hint="default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750</w:t>
            </w:r>
          </w:p>
        </w:tc>
        <w:tc>
          <w:tcPr>
            <w:tcW w:w="1594" w:type="dxa"/>
            <w:noWrap w:val="0"/>
            <w:vAlign w:val="center"/>
          </w:tcPr>
          <w:p w14:paraId="208AC038">
            <w:pPr>
              <w:jc w:val="center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744.0</w:t>
            </w:r>
          </w:p>
        </w:tc>
        <w:tc>
          <w:tcPr>
            <w:tcW w:w="1594" w:type="dxa"/>
            <w:shd w:val="clear" w:color="auto" w:fill="auto"/>
            <w:noWrap w:val="0"/>
            <w:vAlign w:val="center"/>
          </w:tcPr>
          <w:p w14:paraId="5E45C7AF">
            <w:pPr>
              <w:jc w:val="center"/>
              <w:rPr>
                <w:rFonts w:hint="default" w:ascii="Calibri" w:hAnsi="Calibri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21"/>
                <w:szCs w:val="21"/>
                <w:lang w:val="en-US" w:eastAsia="zh-CN" w:bidi="ar-SA"/>
              </w:rPr>
              <w:t>739.4</w:t>
            </w:r>
          </w:p>
        </w:tc>
        <w:tc>
          <w:tcPr>
            <w:tcW w:w="1594" w:type="dxa"/>
            <w:noWrap w:val="0"/>
            <w:vAlign w:val="center"/>
          </w:tcPr>
          <w:p w14:paraId="2E601B76">
            <w:pPr>
              <w:jc w:val="center"/>
              <w:rPr>
                <w:rFonts w:hint="default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-0.6</w:t>
            </w:r>
          </w:p>
        </w:tc>
        <w:tc>
          <w:tcPr>
            <w:tcW w:w="1594" w:type="dxa"/>
            <w:vMerge w:val="continue"/>
            <w:noWrap w:val="0"/>
            <w:vAlign w:val="center"/>
          </w:tcPr>
          <w:p w14:paraId="3EAC2A2E">
            <w:pPr>
              <w:jc w:val="center"/>
              <w:rPr>
                <w:rFonts w:hint="eastAsia" w:cs="宋体"/>
                <w:sz w:val="21"/>
                <w:szCs w:val="21"/>
                <w:lang w:val="en-US" w:eastAsia="zh-CN"/>
              </w:rPr>
            </w:pPr>
          </w:p>
        </w:tc>
      </w:tr>
    </w:tbl>
    <w:p w14:paraId="563CFFE5">
      <w:pPr>
        <w:spacing w:afterLines="50" w:line="360" w:lineRule="auto"/>
        <w:jc w:val="left"/>
        <w:rPr>
          <w:sz w:val="24"/>
        </w:rPr>
      </w:pPr>
    </w:p>
    <w:p w14:paraId="792EA6C4">
      <w:pPr>
        <w:pStyle w:val="2"/>
        <w:bidi w:val="0"/>
        <w:jc w:val="left"/>
        <w:rPr>
          <w:rFonts w:hint="eastAsia"/>
          <w:sz w:val="24"/>
        </w:rPr>
      </w:pPr>
      <w:r>
        <w:rPr>
          <w:rFonts w:hint="eastAsia"/>
          <w:sz w:val="24"/>
        </w:rPr>
        <w:t>试验记录如下：</w:t>
      </w:r>
      <w:bookmarkStart w:id="28" w:name="_Toc19397"/>
      <w:bookmarkStart w:id="29" w:name="_Toc9779"/>
    </w:p>
    <w:p w14:paraId="3880FA22">
      <w:pPr>
        <w:pStyle w:val="2"/>
        <w:bidi w:val="0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cs="黑体"/>
          <w:sz w:val="28"/>
          <w:szCs w:val="28"/>
          <w:lang w:eastAsia="zh-CN"/>
        </w:rPr>
        <w:t>矿用氢气报警器</w:t>
      </w:r>
      <w:r>
        <w:rPr>
          <w:rFonts w:hint="eastAsia" w:ascii="黑体" w:hAnsi="黑体" w:eastAsia="黑体" w:cs="黑体"/>
          <w:sz w:val="28"/>
          <w:szCs w:val="28"/>
        </w:rPr>
        <w:t>校准记录</w:t>
      </w:r>
      <w:bookmarkEnd w:id="28"/>
      <w:bookmarkEnd w:id="29"/>
    </w:p>
    <w:tbl>
      <w:tblPr>
        <w:tblStyle w:val="11"/>
        <w:tblW w:w="91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4"/>
        <w:gridCol w:w="647"/>
        <w:gridCol w:w="723"/>
        <w:gridCol w:w="552"/>
        <w:gridCol w:w="849"/>
        <w:gridCol w:w="297"/>
        <w:gridCol w:w="341"/>
        <w:gridCol w:w="328"/>
        <w:gridCol w:w="223"/>
        <w:gridCol w:w="87"/>
        <w:gridCol w:w="238"/>
        <w:gridCol w:w="400"/>
        <w:gridCol w:w="18"/>
        <w:gridCol w:w="620"/>
        <w:gridCol w:w="371"/>
        <w:gridCol w:w="267"/>
        <w:gridCol w:w="583"/>
        <w:gridCol w:w="377"/>
        <w:gridCol w:w="181"/>
        <w:gridCol w:w="198"/>
        <w:gridCol w:w="1239"/>
      </w:tblGrid>
      <w:tr w14:paraId="7AC2C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exact"/>
          <w:jc w:val="center"/>
        </w:trPr>
        <w:tc>
          <w:tcPr>
            <w:tcW w:w="1301" w:type="dxa"/>
            <w:gridSpan w:val="2"/>
            <w:noWrap w:val="0"/>
            <w:vAlign w:val="center"/>
          </w:tcPr>
          <w:p w14:paraId="0FD44667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bookmarkStart w:id="30" w:name="_Toc21057"/>
            <w:bookmarkStart w:id="31" w:name="_Toc62398439"/>
            <w:bookmarkStart w:id="32" w:name="_Toc62398548"/>
            <w:bookmarkStart w:id="33" w:name="_Toc31175"/>
            <w:bookmarkStart w:id="34" w:name="_Toc13868"/>
            <w:bookmarkStart w:id="35" w:name="_Toc62399030"/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委托单位</w:t>
            </w:r>
            <w:bookmarkEnd w:id="30"/>
            <w:bookmarkEnd w:id="31"/>
            <w:bookmarkEnd w:id="32"/>
            <w:bookmarkEnd w:id="33"/>
            <w:bookmarkEnd w:id="34"/>
            <w:bookmarkEnd w:id="35"/>
          </w:p>
        </w:tc>
        <w:tc>
          <w:tcPr>
            <w:tcW w:w="3638" w:type="dxa"/>
            <w:gridSpan w:val="9"/>
            <w:noWrap w:val="0"/>
            <w:vAlign w:val="center"/>
          </w:tcPr>
          <w:p w14:paraId="517F7B2E">
            <w:pPr>
              <w:bidi w:val="0"/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eastAsia="zh-CN"/>
              </w:rPr>
              <w:t>六盘水市检验检测中心</w:t>
            </w:r>
          </w:p>
        </w:tc>
        <w:tc>
          <w:tcPr>
            <w:tcW w:w="1409" w:type="dxa"/>
            <w:gridSpan w:val="4"/>
            <w:noWrap w:val="0"/>
            <w:vAlign w:val="center"/>
          </w:tcPr>
          <w:p w14:paraId="560173E8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bookmarkStart w:id="36" w:name="_Toc6962"/>
            <w:bookmarkStart w:id="37" w:name="_Toc62398441"/>
            <w:bookmarkStart w:id="38" w:name="_Toc18814"/>
            <w:bookmarkStart w:id="39" w:name="_Toc62398550"/>
            <w:bookmarkStart w:id="40" w:name="_Toc14856"/>
            <w:bookmarkStart w:id="41" w:name="_Toc62399032"/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制造单位</w:t>
            </w:r>
            <w:bookmarkEnd w:id="36"/>
            <w:bookmarkEnd w:id="37"/>
            <w:bookmarkEnd w:id="38"/>
            <w:bookmarkEnd w:id="39"/>
            <w:bookmarkEnd w:id="40"/>
            <w:bookmarkEnd w:id="41"/>
          </w:p>
        </w:tc>
        <w:tc>
          <w:tcPr>
            <w:tcW w:w="2845" w:type="dxa"/>
            <w:gridSpan w:val="6"/>
            <w:noWrap w:val="0"/>
            <w:vAlign w:val="center"/>
          </w:tcPr>
          <w:p w14:paraId="48B7B2BD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重庆梅安森科技股份有限公司</w:t>
            </w:r>
          </w:p>
        </w:tc>
      </w:tr>
      <w:tr w14:paraId="74557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1" w:hRule="exact"/>
          <w:jc w:val="center"/>
        </w:trPr>
        <w:tc>
          <w:tcPr>
            <w:tcW w:w="1301" w:type="dxa"/>
            <w:gridSpan w:val="2"/>
            <w:noWrap w:val="0"/>
            <w:vAlign w:val="center"/>
          </w:tcPr>
          <w:p w14:paraId="248AE424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bookmarkStart w:id="42" w:name="_Toc62399031"/>
            <w:bookmarkStart w:id="43" w:name="_Toc62398549"/>
            <w:bookmarkStart w:id="44" w:name="_Toc4651"/>
            <w:bookmarkStart w:id="45" w:name="_Toc17633"/>
            <w:bookmarkStart w:id="46" w:name="_Toc23653"/>
            <w:bookmarkStart w:id="47" w:name="_Toc62398440"/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样品名称</w:t>
            </w:r>
            <w:bookmarkEnd w:id="42"/>
            <w:bookmarkEnd w:id="43"/>
            <w:bookmarkEnd w:id="44"/>
            <w:bookmarkEnd w:id="45"/>
            <w:bookmarkEnd w:id="46"/>
            <w:bookmarkEnd w:id="47"/>
          </w:p>
        </w:tc>
        <w:tc>
          <w:tcPr>
            <w:tcW w:w="2421" w:type="dxa"/>
            <w:gridSpan w:val="4"/>
            <w:noWrap w:val="0"/>
            <w:vAlign w:val="center"/>
          </w:tcPr>
          <w:p w14:paraId="13A87369">
            <w:pPr>
              <w:bidi w:val="0"/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矿用氢气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eastAsia="zh-CN"/>
              </w:rPr>
              <w:t>报警器</w:t>
            </w:r>
          </w:p>
        </w:tc>
        <w:tc>
          <w:tcPr>
            <w:tcW w:w="1217" w:type="dxa"/>
            <w:gridSpan w:val="5"/>
            <w:noWrap w:val="0"/>
            <w:vAlign w:val="center"/>
          </w:tcPr>
          <w:p w14:paraId="0B55AB13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bookmarkStart w:id="48" w:name="_Toc62399033"/>
            <w:bookmarkStart w:id="49" w:name="_Toc12233"/>
            <w:bookmarkStart w:id="50" w:name="_Toc28343"/>
            <w:bookmarkStart w:id="51" w:name="_Toc62398551"/>
            <w:bookmarkStart w:id="52" w:name="_Toc62398442"/>
            <w:bookmarkStart w:id="53" w:name="_Toc19592"/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出厂编号</w:t>
            </w:r>
            <w:bookmarkEnd w:id="48"/>
            <w:bookmarkEnd w:id="49"/>
            <w:bookmarkEnd w:id="50"/>
            <w:bookmarkEnd w:id="51"/>
            <w:bookmarkEnd w:id="52"/>
            <w:bookmarkEnd w:id="53"/>
          </w:p>
        </w:tc>
        <w:tc>
          <w:tcPr>
            <w:tcW w:w="1409" w:type="dxa"/>
            <w:gridSpan w:val="4"/>
            <w:noWrap w:val="0"/>
            <w:vAlign w:val="center"/>
          </w:tcPr>
          <w:p w14:paraId="4C9B38FF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373000079</w:t>
            </w:r>
          </w:p>
        </w:tc>
        <w:tc>
          <w:tcPr>
            <w:tcW w:w="1227" w:type="dxa"/>
            <w:gridSpan w:val="3"/>
            <w:noWrap w:val="0"/>
            <w:vAlign w:val="center"/>
          </w:tcPr>
          <w:p w14:paraId="5D8DF729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bookmarkStart w:id="54" w:name="_Toc62399034"/>
            <w:bookmarkStart w:id="55" w:name="_Toc31043"/>
            <w:bookmarkStart w:id="56" w:name="_Toc7154"/>
            <w:bookmarkStart w:id="57" w:name="_Toc62398552"/>
            <w:bookmarkStart w:id="58" w:name="_Toc27843"/>
            <w:bookmarkStart w:id="59" w:name="_Toc62398443"/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型号/规格</w:t>
            </w:r>
            <w:bookmarkEnd w:id="54"/>
            <w:bookmarkEnd w:id="55"/>
            <w:bookmarkEnd w:id="56"/>
            <w:bookmarkEnd w:id="57"/>
            <w:bookmarkEnd w:id="58"/>
            <w:bookmarkEnd w:id="59"/>
          </w:p>
        </w:tc>
        <w:tc>
          <w:tcPr>
            <w:tcW w:w="1618" w:type="dxa"/>
            <w:gridSpan w:val="3"/>
            <w:noWrap w:val="0"/>
            <w:vAlign w:val="center"/>
          </w:tcPr>
          <w:p w14:paraId="0413B99C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GQH1000</w:t>
            </w:r>
          </w:p>
        </w:tc>
      </w:tr>
      <w:tr w14:paraId="6A0C1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8" w:hRule="exact"/>
          <w:jc w:val="center"/>
        </w:trPr>
        <w:tc>
          <w:tcPr>
            <w:tcW w:w="1301" w:type="dxa"/>
            <w:gridSpan w:val="2"/>
            <w:vMerge w:val="restart"/>
            <w:noWrap w:val="0"/>
            <w:vAlign w:val="center"/>
          </w:tcPr>
          <w:p w14:paraId="351DC723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bookmarkStart w:id="60" w:name="_Toc22154"/>
            <w:bookmarkStart w:id="61" w:name="_Toc23062"/>
            <w:bookmarkStart w:id="62" w:name="_Toc29092"/>
            <w:bookmarkStart w:id="63" w:name="_Toc62399036"/>
            <w:bookmarkStart w:id="64" w:name="_Toc62398445"/>
            <w:bookmarkStart w:id="65" w:name="_Toc62398554"/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标准器</w:t>
            </w:r>
            <w:bookmarkEnd w:id="60"/>
            <w:bookmarkEnd w:id="61"/>
            <w:bookmarkEnd w:id="62"/>
          </w:p>
          <w:p w14:paraId="00AB6BE3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bookmarkStart w:id="66" w:name="_Toc26923"/>
            <w:bookmarkStart w:id="67" w:name="_Toc20612"/>
            <w:bookmarkStart w:id="68" w:name="_Toc10053"/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信息</w:t>
            </w:r>
            <w:bookmarkEnd w:id="63"/>
            <w:bookmarkEnd w:id="64"/>
            <w:bookmarkEnd w:id="65"/>
            <w:bookmarkEnd w:id="66"/>
            <w:bookmarkEnd w:id="67"/>
            <w:bookmarkEnd w:id="68"/>
          </w:p>
        </w:tc>
        <w:tc>
          <w:tcPr>
            <w:tcW w:w="1275" w:type="dxa"/>
            <w:gridSpan w:val="2"/>
            <w:noWrap w:val="0"/>
            <w:vAlign w:val="center"/>
          </w:tcPr>
          <w:p w14:paraId="14B7F742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bookmarkStart w:id="69" w:name="_Toc62398555"/>
            <w:bookmarkStart w:id="70" w:name="_Toc14490"/>
            <w:bookmarkStart w:id="71" w:name="_Toc62398446"/>
            <w:bookmarkStart w:id="72" w:name="_Toc62399037"/>
            <w:bookmarkStart w:id="73" w:name="_Toc14964"/>
            <w:bookmarkStart w:id="74" w:name="_Toc17646"/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名称</w:t>
            </w:r>
            <w:bookmarkEnd w:id="69"/>
            <w:bookmarkEnd w:id="70"/>
            <w:bookmarkEnd w:id="71"/>
            <w:bookmarkEnd w:id="72"/>
            <w:bookmarkEnd w:id="73"/>
            <w:bookmarkEnd w:id="74"/>
          </w:p>
        </w:tc>
        <w:tc>
          <w:tcPr>
            <w:tcW w:w="1146" w:type="dxa"/>
            <w:gridSpan w:val="2"/>
            <w:noWrap w:val="0"/>
            <w:vAlign w:val="center"/>
          </w:tcPr>
          <w:p w14:paraId="34E9BD35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bookmarkStart w:id="75" w:name="_Toc9741"/>
            <w:bookmarkStart w:id="76" w:name="_Toc62398556"/>
            <w:bookmarkStart w:id="77" w:name="_Toc29604"/>
            <w:bookmarkStart w:id="78" w:name="_Toc19063"/>
            <w:bookmarkStart w:id="79" w:name="_Toc62398447"/>
            <w:bookmarkStart w:id="80" w:name="_Toc62399038"/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编号</w:t>
            </w:r>
            <w:bookmarkEnd w:id="75"/>
            <w:bookmarkEnd w:id="76"/>
            <w:bookmarkEnd w:id="77"/>
            <w:bookmarkEnd w:id="78"/>
            <w:bookmarkEnd w:id="79"/>
            <w:bookmarkEnd w:id="80"/>
          </w:p>
        </w:tc>
        <w:tc>
          <w:tcPr>
            <w:tcW w:w="1217" w:type="dxa"/>
            <w:gridSpan w:val="5"/>
            <w:noWrap w:val="0"/>
            <w:vAlign w:val="center"/>
          </w:tcPr>
          <w:p w14:paraId="29F723CC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测量范围</w:t>
            </w:r>
          </w:p>
        </w:tc>
        <w:tc>
          <w:tcPr>
            <w:tcW w:w="1409" w:type="dxa"/>
            <w:gridSpan w:val="4"/>
            <w:shd w:val="clear" w:color="auto" w:fill="auto"/>
            <w:noWrap w:val="0"/>
            <w:vAlign w:val="center"/>
          </w:tcPr>
          <w:p w14:paraId="7BC097B1">
            <w:pPr>
              <w:bidi w:val="0"/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bookmarkStart w:id="81" w:name="_Toc2636"/>
            <w:bookmarkStart w:id="82" w:name="_Toc29189"/>
            <w:bookmarkStart w:id="83" w:name="_Toc62399040"/>
            <w:bookmarkStart w:id="84" w:name="_Toc62398449"/>
            <w:bookmarkStart w:id="85" w:name="_Toc4445"/>
            <w:bookmarkStart w:id="86" w:name="_Toc62398558"/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不确定度/准确度等级/最大允许误差</w:t>
            </w:r>
          </w:p>
        </w:tc>
        <w:tc>
          <w:tcPr>
            <w:tcW w:w="1606" w:type="dxa"/>
            <w:gridSpan w:val="5"/>
            <w:noWrap w:val="0"/>
            <w:vAlign w:val="center"/>
          </w:tcPr>
          <w:p w14:paraId="628B3C45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证书编号</w:t>
            </w:r>
            <w:bookmarkEnd w:id="81"/>
            <w:bookmarkEnd w:id="82"/>
            <w:bookmarkEnd w:id="83"/>
            <w:bookmarkEnd w:id="84"/>
            <w:bookmarkEnd w:id="85"/>
            <w:bookmarkEnd w:id="86"/>
          </w:p>
        </w:tc>
        <w:tc>
          <w:tcPr>
            <w:tcW w:w="1239" w:type="dxa"/>
            <w:noWrap w:val="0"/>
            <w:vAlign w:val="center"/>
          </w:tcPr>
          <w:p w14:paraId="5DB97837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bookmarkStart w:id="87" w:name="_Toc62399041"/>
            <w:bookmarkStart w:id="88" w:name="_Toc62398450"/>
            <w:bookmarkStart w:id="89" w:name="_Toc6351"/>
            <w:bookmarkStart w:id="90" w:name="_Toc62398559"/>
            <w:bookmarkStart w:id="91" w:name="_Toc24927"/>
            <w:bookmarkStart w:id="92" w:name="_Toc25907"/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有效期至</w:t>
            </w:r>
            <w:bookmarkEnd w:id="87"/>
            <w:bookmarkEnd w:id="88"/>
            <w:bookmarkEnd w:id="89"/>
            <w:bookmarkEnd w:id="90"/>
            <w:bookmarkEnd w:id="91"/>
            <w:bookmarkEnd w:id="92"/>
          </w:p>
        </w:tc>
      </w:tr>
      <w:tr w14:paraId="34A1E9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9" w:hRule="exact"/>
          <w:jc w:val="center"/>
        </w:trPr>
        <w:tc>
          <w:tcPr>
            <w:tcW w:w="1301" w:type="dxa"/>
            <w:gridSpan w:val="2"/>
            <w:vMerge w:val="continue"/>
            <w:noWrap w:val="0"/>
            <w:vAlign w:val="center"/>
          </w:tcPr>
          <w:p w14:paraId="4CF74D13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noWrap w:val="0"/>
            <w:vAlign w:val="center"/>
          </w:tcPr>
          <w:p w14:paraId="2447B7AF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空气中氢气体标准物质</w:t>
            </w:r>
          </w:p>
        </w:tc>
        <w:tc>
          <w:tcPr>
            <w:tcW w:w="1146" w:type="dxa"/>
            <w:gridSpan w:val="2"/>
            <w:noWrap w:val="0"/>
            <w:vAlign w:val="center"/>
          </w:tcPr>
          <w:p w14:paraId="337465E1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de-D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de-DE"/>
              </w:rPr>
              <w:t>163231707043</w:t>
            </w:r>
          </w:p>
        </w:tc>
        <w:tc>
          <w:tcPr>
            <w:tcW w:w="1217" w:type="dxa"/>
            <w:gridSpan w:val="5"/>
            <w:noWrap w:val="0"/>
            <w:vAlign w:val="center"/>
          </w:tcPr>
          <w:p w14:paraId="47DE1797">
            <w:pPr>
              <w:jc w:val="center"/>
              <w:rPr>
                <w:rFonts w:hint="eastAsia" w:cs="宋体"/>
                <w:sz w:val="18"/>
                <w:szCs w:val="18"/>
                <w:lang w:val="en-US" w:eastAsia="zh-CN"/>
              </w:rPr>
            </w:pPr>
            <w:r>
              <w:rPr>
                <w:rFonts w:hint="eastAsia" w:cs="宋体"/>
                <w:sz w:val="18"/>
                <w:szCs w:val="18"/>
                <w:lang w:val="en-US" w:eastAsia="zh-CN"/>
              </w:rPr>
              <w:t>250</w:t>
            </w:r>
          </w:p>
          <w:p w14:paraId="26733417"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/>
                <w:sz w:val="18"/>
                <w:szCs w:val="18"/>
                <w:lang w:val="en-US" w:eastAsia="zh-CN"/>
              </w:rPr>
              <w:t>µmol/mol</w:t>
            </w:r>
          </w:p>
        </w:tc>
        <w:tc>
          <w:tcPr>
            <w:tcW w:w="1409" w:type="dxa"/>
            <w:gridSpan w:val="4"/>
            <w:shd w:val="clear" w:color="auto" w:fill="auto"/>
            <w:noWrap w:val="0"/>
            <w:vAlign w:val="center"/>
          </w:tcPr>
          <w:p w14:paraId="57266F72">
            <w:pPr>
              <w:bidi w:val="0"/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sz w:val="18"/>
                <w:szCs w:val="18"/>
                <w:lang w:val="en-US" w:eastAsia="zh-CN"/>
              </w:rPr>
              <w:t>U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vertAlign w:val="subscript"/>
                <w:lang w:val="en-US" w:eastAsia="zh-CN"/>
              </w:rPr>
              <w:t>rel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=2%，</w:t>
            </w:r>
            <w:r>
              <w:rPr>
                <w:rFonts w:hint="default" w:ascii="Times New Roman" w:hAnsi="Times New Roman" w:eastAsia="宋体" w:cs="Times New Roman"/>
                <w:i/>
                <w:iCs/>
                <w:sz w:val="18"/>
                <w:szCs w:val="18"/>
                <w:lang w:val="en-US" w:eastAsia="zh-CN"/>
              </w:rPr>
              <w:t>k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=2</w:t>
            </w:r>
          </w:p>
        </w:tc>
        <w:tc>
          <w:tcPr>
            <w:tcW w:w="1606" w:type="dxa"/>
            <w:gridSpan w:val="5"/>
            <w:noWrap w:val="0"/>
            <w:vAlign w:val="center"/>
          </w:tcPr>
          <w:p w14:paraId="1BCF21A6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GBW(E)06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3294</w:t>
            </w:r>
          </w:p>
        </w:tc>
        <w:tc>
          <w:tcPr>
            <w:tcW w:w="1239" w:type="dxa"/>
            <w:noWrap w:val="0"/>
            <w:vAlign w:val="center"/>
          </w:tcPr>
          <w:p w14:paraId="707D6E41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2026-11-06</w:t>
            </w:r>
          </w:p>
        </w:tc>
      </w:tr>
      <w:tr w14:paraId="2BE3D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5" w:hRule="exact"/>
          <w:jc w:val="center"/>
        </w:trPr>
        <w:tc>
          <w:tcPr>
            <w:tcW w:w="1301" w:type="dxa"/>
            <w:gridSpan w:val="2"/>
            <w:vMerge w:val="continue"/>
            <w:noWrap w:val="0"/>
            <w:vAlign w:val="center"/>
          </w:tcPr>
          <w:p w14:paraId="1CF6C01D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bookmarkStart w:id="93" w:name="_Toc62398451"/>
            <w:bookmarkStart w:id="94" w:name="_Toc29316"/>
            <w:bookmarkStart w:id="95" w:name="_Toc62398560"/>
            <w:bookmarkStart w:id="96" w:name="_Toc27794"/>
            <w:bookmarkStart w:id="97" w:name="_Toc32744"/>
            <w:bookmarkStart w:id="98" w:name="_Toc62399042"/>
          </w:p>
        </w:tc>
        <w:tc>
          <w:tcPr>
            <w:tcW w:w="1275" w:type="dxa"/>
            <w:gridSpan w:val="2"/>
            <w:noWrap w:val="0"/>
            <w:vAlign w:val="center"/>
          </w:tcPr>
          <w:p w14:paraId="021BA18F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空气中氢气体标准物质</w:t>
            </w:r>
          </w:p>
        </w:tc>
        <w:tc>
          <w:tcPr>
            <w:tcW w:w="1146" w:type="dxa"/>
            <w:gridSpan w:val="2"/>
            <w:noWrap w:val="0"/>
            <w:vAlign w:val="center"/>
          </w:tcPr>
          <w:p w14:paraId="698701CE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de-D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de-DE"/>
              </w:rPr>
              <w:t>163268903105</w:t>
            </w:r>
          </w:p>
        </w:tc>
        <w:tc>
          <w:tcPr>
            <w:tcW w:w="1217" w:type="dxa"/>
            <w:gridSpan w:val="5"/>
            <w:noWrap w:val="0"/>
            <w:vAlign w:val="center"/>
          </w:tcPr>
          <w:p w14:paraId="4936CAFC">
            <w:pPr>
              <w:jc w:val="center"/>
              <w:rPr>
                <w:rFonts w:hint="eastAsia" w:cs="宋体"/>
                <w:sz w:val="18"/>
                <w:szCs w:val="18"/>
                <w:lang w:val="en-US" w:eastAsia="zh-CN"/>
              </w:rPr>
            </w:pPr>
            <w:r>
              <w:rPr>
                <w:rFonts w:hint="eastAsia" w:cs="宋体"/>
                <w:sz w:val="18"/>
                <w:szCs w:val="18"/>
                <w:lang w:val="en-US" w:eastAsia="zh-CN"/>
              </w:rPr>
              <w:t>500</w:t>
            </w:r>
          </w:p>
          <w:p w14:paraId="61509AF7"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z w:val="18"/>
                <w:szCs w:val="18"/>
                <w:lang w:val="en-US" w:eastAsia="zh-CN"/>
              </w:rPr>
              <w:t>µmol/mol</w:t>
            </w:r>
          </w:p>
        </w:tc>
        <w:tc>
          <w:tcPr>
            <w:tcW w:w="1409" w:type="dxa"/>
            <w:gridSpan w:val="4"/>
            <w:shd w:val="clear" w:color="auto" w:fill="auto"/>
            <w:noWrap w:val="0"/>
            <w:vAlign w:val="center"/>
          </w:tcPr>
          <w:p w14:paraId="18A1E841">
            <w:pPr>
              <w:bidi w:val="0"/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sz w:val="18"/>
                <w:szCs w:val="18"/>
                <w:lang w:val="en-US" w:eastAsia="zh-CN"/>
              </w:rPr>
              <w:t>U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vertAlign w:val="subscript"/>
                <w:lang w:val="en-US" w:eastAsia="zh-CN"/>
              </w:rPr>
              <w:t>rel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=2%，</w:t>
            </w:r>
            <w:r>
              <w:rPr>
                <w:rFonts w:hint="default" w:ascii="Times New Roman" w:hAnsi="Times New Roman" w:eastAsia="宋体" w:cs="Times New Roman"/>
                <w:i/>
                <w:iCs/>
                <w:sz w:val="18"/>
                <w:szCs w:val="18"/>
                <w:lang w:val="en-US" w:eastAsia="zh-CN"/>
              </w:rPr>
              <w:t>k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=2</w:t>
            </w:r>
          </w:p>
        </w:tc>
        <w:tc>
          <w:tcPr>
            <w:tcW w:w="1606" w:type="dxa"/>
            <w:gridSpan w:val="5"/>
            <w:noWrap w:val="0"/>
            <w:vAlign w:val="center"/>
          </w:tcPr>
          <w:p w14:paraId="70694658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GBW(E)06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3294</w:t>
            </w:r>
          </w:p>
        </w:tc>
        <w:tc>
          <w:tcPr>
            <w:tcW w:w="1239" w:type="dxa"/>
            <w:noWrap w:val="0"/>
            <w:vAlign w:val="center"/>
          </w:tcPr>
          <w:p w14:paraId="4BC96E7D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2026-11-06</w:t>
            </w:r>
          </w:p>
        </w:tc>
      </w:tr>
      <w:tr w14:paraId="76C7A0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1" w:hRule="exact"/>
          <w:jc w:val="center"/>
        </w:trPr>
        <w:tc>
          <w:tcPr>
            <w:tcW w:w="1301" w:type="dxa"/>
            <w:gridSpan w:val="2"/>
            <w:vMerge w:val="continue"/>
            <w:noWrap w:val="0"/>
            <w:vAlign w:val="center"/>
          </w:tcPr>
          <w:p w14:paraId="49DFE879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noWrap w:val="0"/>
            <w:vAlign w:val="center"/>
          </w:tcPr>
          <w:p w14:paraId="65AE72A5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空气中氢气体标准物质</w:t>
            </w:r>
          </w:p>
        </w:tc>
        <w:tc>
          <w:tcPr>
            <w:tcW w:w="1146" w:type="dxa"/>
            <w:gridSpan w:val="2"/>
            <w:noWrap w:val="0"/>
            <w:vAlign w:val="center"/>
          </w:tcPr>
          <w:p w14:paraId="48AD1147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de-DE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de-DE"/>
              </w:rPr>
              <w:t>163276404108</w:t>
            </w:r>
          </w:p>
        </w:tc>
        <w:tc>
          <w:tcPr>
            <w:tcW w:w="1217" w:type="dxa"/>
            <w:gridSpan w:val="5"/>
            <w:noWrap w:val="0"/>
            <w:vAlign w:val="center"/>
          </w:tcPr>
          <w:p w14:paraId="4391A7E7">
            <w:pPr>
              <w:jc w:val="center"/>
              <w:rPr>
                <w:rFonts w:hint="eastAsia" w:cs="宋体"/>
                <w:sz w:val="18"/>
                <w:szCs w:val="18"/>
                <w:lang w:val="en-US" w:eastAsia="zh-CN"/>
              </w:rPr>
            </w:pPr>
            <w:r>
              <w:rPr>
                <w:rFonts w:hint="eastAsia" w:cs="宋体"/>
                <w:sz w:val="18"/>
                <w:szCs w:val="18"/>
                <w:lang w:val="en-US" w:eastAsia="zh-CN"/>
              </w:rPr>
              <w:t>750</w:t>
            </w:r>
          </w:p>
          <w:p w14:paraId="6F2786FF"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/>
                <w:sz w:val="18"/>
                <w:szCs w:val="18"/>
                <w:lang w:val="en-US" w:eastAsia="zh-CN"/>
              </w:rPr>
              <w:t>µmol/mol</w:t>
            </w:r>
          </w:p>
        </w:tc>
        <w:tc>
          <w:tcPr>
            <w:tcW w:w="1409" w:type="dxa"/>
            <w:gridSpan w:val="4"/>
            <w:shd w:val="clear" w:color="auto" w:fill="auto"/>
            <w:noWrap w:val="0"/>
            <w:vAlign w:val="center"/>
          </w:tcPr>
          <w:p w14:paraId="596E73A8">
            <w:pPr>
              <w:bidi w:val="0"/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sz w:val="18"/>
                <w:szCs w:val="18"/>
                <w:lang w:val="en-US" w:eastAsia="zh-CN"/>
              </w:rPr>
              <w:t>U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vertAlign w:val="subscript"/>
                <w:lang w:val="en-US" w:eastAsia="zh-CN"/>
              </w:rPr>
              <w:t>rel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=2%，</w:t>
            </w:r>
            <w:r>
              <w:rPr>
                <w:rFonts w:hint="default" w:ascii="Times New Roman" w:hAnsi="Times New Roman" w:eastAsia="宋体" w:cs="Times New Roman"/>
                <w:i/>
                <w:iCs/>
                <w:sz w:val="18"/>
                <w:szCs w:val="18"/>
                <w:lang w:val="en-US" w:eastAsia="zh-CN"/>
              </w:rPr>
              <w:t>k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=2</w:t>
            </w:r>
          </w:p>
        </w:tc>
        <w:tc>
          <w:tcPr>
            <w:tcW w:w="1606" w:type="dxa"/>
            <w:gridSpan w:val="5"/>
            <w:noWrap w:val="0"/>
            <w:vAlign w:val="center"/>
          </w:tcPr>
          <w:p w14:paraId="20D88C40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GBW(E)06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3294</w:t>
            </w:r>
          </w:p>
        </w:tc>
        <w:tc>
          <w:tcPr>
            <w:tcW w:w="1239" w:type="dxa"/>
            <w:noWrap w:val="0"/>
            <w:vAlign w:val="center"/>
          </w:tcPr>
          <w:p w14:paraId="6B5270B9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2026-11-06</w:t>
            </w:r>
          </w:p>
        </w:tc>
      </w:tr>
      <w:tr w14:paraId="238F3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301" w:type="dxa"/>
            <w:gridSpan w:val="2"/>
            <w:noWrap w:val="0"/>
            <w:vAlign w:val="center"/>
          </w:tcPr>
          <w:p w14:paraId="64542E17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技术依据</w:t>
            </w:r>
            <w:bookmarkEnd w:id="93"/>
            <w:bookmarkEnd w:id="94"/>
            <w:bookmarkEnd w:id="95"/>
            <w:bookmarkEnd w:id="96"/>
            <w:bookmarkEnd w:id="97"/>
            <w:bookmarkEnd w:id="98"/>
          </w:p>
        </w:tc>
        <w:tc>
          <w:tcPr>
            <w:tcW w:w="7892" w:type="dxa"/>
            <w:gridSpan w:val="19"/>
            <w:noWrap w:val="0"/>
            <w:vAlign w:val="center"/>
          </w:tcPr>
          <w:p w14:paraId="0ED39BF7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 w14:paraId="32A69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301" w:type="dxa"/>
            <w:gridSpan w:val="2"/>
            <w:noWrap w:val="0"/>
            <w:vAlign w:val="center"/>
          </w:tcPr>
          <w:p w14:paraId="03077EE7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bookmarkStart w:id="99" w:name="_Toc8747"/>
            <w:bookmarkStart w:id="100" w:name="_Toc11223"/>
            <w:bookmarkStart w:id="101" w:name="_Toc19797"/>
            <w:bookmarkStart w:id="102" w:name="_Toc62398454"/>
            <w:bookmarkStart w:id="103" w:name="_Toc62398563"/>
            <w:bookmarkStart w:id="104" w:name="_Toc62399045"/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温    度</w:t>
            </w:r>
            <w:bookmarkEnd w:id="99"/>
            <w:bookmarkEnd w:id="100"/>
            <w:bookmarkEnd w:id="101"/>
          </w:p>
        </w:tc>
        <w:tc>
          <w:tcPr>
            <w:tcW w:w="2124" w:type="dxa"/>
            <w:gridSpan w:val="3"/>
            <w:noWrap w:val="0"/>
            <w:vAlign w:val="center"/>
          </w:tcPr>
          <w:p w14:paraId="65A9EBC5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18.5℃</w:t>
            </w:r>
          </w:p>
        </w:tc>
        <w:tc>
          <w:tcPr>
            <w:tcW w:w="1189" w:type="dxa"/>
            <w:gridSpan w:val="4"/>
            <w:noWrap w:val="0"/>
            <w:vAlign w:val="center"/>
          </w:tcPr>
          <w:p w14:paraId="2F9C47E4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bookmarkStart w:id="105" w:name="_Toc4847"/>
            <w:bookmarkStart w:id="106" w:name="_Toc27130"/>
            <w:bookmarkStart w:id="107" w:name="_Toc11238"/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湿    度</w:t>
            </w:r>
            <w:bookmarkEnd w:id="105"/>
            <w:bookmarkEnd w:id="106"/>
            <w:bookmarkEnd w:id="107"/>
          </w:p>
        </w:tc>
        <w:tc>
          <w:tcPr>
            <w:tcW w:w="1734" w:type="dxa"/>
            <w:gridSpan w:val="6"/>
            <w:noWrap w:val="0"/>
            <w:vAlign w:val="center"/>
          </w:tcPr>
          <w:p w14:paraId="20DE8D04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62%RH</w:t>
            </w:r>
          </w:p>
        </w:tc>
        <w:tc>
          <w:tcPr>
            <w:tcW w:w="1227" w:type="dxa"/>
            <w:gridSpan w:val="3"/>
            <w:noWrap w:val="0"/>
            <w:vAlign w:val="center"/>
          </w:tcPr>
          <w:p w14:paraId="368D46CC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bookmarkStart w:id="108" w:name="_Toc28132"/>
            <w:bookmarkStart w:id="109" w:name="_Toc13785"/>
            <w:bookmarkStart w:id="110" w:name="_Toc30951"/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校准地点</w:t>
            </w:r>
            <w:bookmarkEnd w:id="108"/>
            <w:bookmarkEnd w:id="109"/>
            <w:bookmarkEnd w:id="110"/>
          </w:p>
        </w:tc>
        <w:tc>
          <w:tcPr>
            <w:tcW w:w="1618" w:type="dxa"/>
            <w:gridSpan w:val="3"/>
            <w:noWrap w:val="0"/>
            <w:vAlign w:val="center"/>
          </w:tcPr>
          <w:p w14:paraId="76BE734D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本公司实验室</w:t>
            </w:r>
          </w:p>
        </w:tc>
      </w:tr>
      <w:bookmarkEnd w:id="102"/>
      <w:bookmarkEnd w:id="103"/>
      <w:bookmarkEnd w:id="104"/>
      <w:tr w14:paraId="56372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301" w:type="dxa"/>
            <w:gridSpan w:val="2"/>
            <w:noWrap w:val="0"/>
            <w:vAlign w:val="center"/>
          </w:tcPr>
          <w:p w14:paraId="42D348A8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bookmarkStart w:id="111" w:name="_Toc30845"/>
            <w:bookmarkStart w:id="112" w:name="_Toc6417"/>
            <w:bookmarkStart w:id="113" w:name="_Toc28531"/>
            <w:bookmarkStart w:id="114" w:name="_Toc62398568"/>
            <w:bookmarkStart w:id="115" w:name="_Toc62399050"/>
            <w:bookmarkStart w:id="116" w:name="_Toc62398459"/>
            <w:r>
              <w:rPr>
                <w:rFonts w:hint="default" w:ascii="Times New Roman" w:hAnsi="Times New Roman" w:eastAsia="宋体" w:cs="Times New Roman"/>
                <w:spacing w:val="75"/>
                <w:kern w:val="0"/>
                <w:sz w:val="18"/>
                <w:szCs w:val="18"/>
                <w:fitText w:val="840" w:id="936388519"/>
              </w:rPr>
              <w:t>校准</w:t>
            </w:r>
            <w:r>
              <w:rPr>
                <w:rFonts w:hint="default" w:ascii="Times New Roman" w:hAnsi="Times New Roman" w:eastAsia="宋体" w:cs="Times New Roman"/>
                <w:spacing w:val="0"/>
                <w:kern w:val="0"/>
                <w:sz w:val="18"/>
                <w:szCs w:val="18"/>
                <w:fitText w:val="840" w:id="936388519"/>
              </w:rPr>
              <w:t>员</w:t>
            </w:r>
            <w:bookmarkEnd w:id="111"/>
            <w:bookmarkEnd w:id="112"/>
            <w:bookmarkEnd w:id="113"/>
          </w:p>
        </w:tc>
        <w:tc>
          <w:tcPr>
            <w:tcW w:w="2124" w:type="dxa"/>
            <w:gridSpan w:val="3"/>
            <w:noWrap w:val="0"/>
            <w:vAlign w:val="center"/>
          </w:tcPr>
          <w:p w14:paraId="504E4179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89" w:type="dxa"/>
            <w:gridSpan w:val="4"/>
            <w:noWrap w:val="0"/>
            <w:vAlign w:val="center"/>
          </w:tcPr>
          <w:p w14:paraId="5135C6FB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bookmarkStart w:id="117" w:name="_Toc9455"/>
            <w:bookmarkStart w:id="118" w:name="_Toc5876"/>
            <w:bookmarkStart w:id="119" w:name="_Toc23237"/>
            <w:r>
              <w:rPr>
                <w:rFonts w:hint="default" w:ascii="Times New Roman" w:hAnsi="Times New Roman" w:eastAsia="宋体" w:cs="Times New Roman"/>
                <w:spacing w:val="75"/>
                <w:kern w:val="0"/>
                <w:sz w:val="18"/>
                <w:szCs w:val="18"/>
                <w:fitText w:val="840" w:id="1641488922"/>
              </w:rPr>
              <w:t>核验</w:t>
            </w:r>
            <w:r>
              <w:rPr>
                <w:rFonts w:hint="default" w:ascii="Times New Roman" w:hAnsi="Times New Roman" w:eastAsia="宋体" w:cs="Times New Roman"/>
                <w:spacing w:val="0"/>
                <w:kern w:val="0"/>
                <w:sz w:val="18"/>
                <w:szCs w:val="18"/>
                <w:fitText w:val="840" w:id="1641488922"/>
              </w:rPr>
              <w:t>员</w:t>
            </w:r>
            <w:bookmarkEnd w:id="117"/>
            <w:bookmarkEnd w:id="118"/>
            <w:bookmarkEnd w:id="119"/>
          </w:p>
        </w:tc>
        <w:tc>
          <w:tcPr>
            <w:tcW w:w="1734" w:type="dxa"/>
            <w:gridSpan w:val="6"/>
            <w:noWrap w:val="0"/>
            <w:vAlign w:val="center"/>
          </w:tcPr>
          <w:p w14:paraId="07F6694A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227" w:type="dxa"/>
            <w:gridSpan w:val="3"/>
            <w:noWrap w:val="0"/>
            <w:vAlign w:val="center"/>
          </w:tcPr>
          <w:p w14:paraId="6A435867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bookmarkStart w:id="120" w:name="_Toc29335"/>
            <w:bookmarkStart w:id="121" w:name="_Toc4678"/>
            <w:bookmarkStart w:id="122" w:name="_Toc16820"/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校准日期</w:t>
            </w:r>
            <w:bookmarkEnd w:id="120"/>
            <w:bookmarkEnd w:id="121"/>
            <w:bookmarkEnd w:id="122"/>
          </w:p>
        </w:tc>
        <w:tc>
          <w:tcPr>
            <w:tcW w:w="1618" w:type="dxa"/>
            <w:gridSpan w:val="3"/>
            <w:noWrap w:val="0"/>
            <w:vAlign w:val="center"/>
          </w:tcPr>
          <w:p w14:paraId="0BBCD280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bookmarkEnd w:id="114"/>
      <w:bookmarkEnd w:id="115"/>
      <w:bookmarkEnd w:id="116"/>
      <w:tr w14:paraId="07AD3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654" w:type="dxa"/>
            <w:noWrap w:val="0"/>
            <w:vAlign w:val="center"/>
          </w:tcPr>
          <w:p w14:paraId="6DE33C2B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</w:pPr>
            <w:bookmarkStart w:id="123" w:name="_Toc20091"/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  <w:t>序号</w:t>
            </w:r>
            <w:bookmarkEnd w:id="123"/>
          </w:p>
        </w:tc>
        <w:tc>
          <w:tcPr>
            <w:tcW w:w="1370" w:type="dxa"/>
            <w:gridSpan w:val="2"/>
            <w:noWrap w:val="0"/>
            <w:vAlign w:val="center"/>
          </w:tcPr>
          <w:p w14:paraId="7027A21D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</w:pPr>
            <w:bookmarkStart w:id="124" w:name="_Toc25176"/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  <w:t>校准项目</w:t>
            </w:r>
            <w:bookmarkEnd w:id="124"/>
          </w:p>
        </w:tc>
        <w:tc>
          <w:tcPr>
            <w:tcW w:w="7169" w:type="dxa"/>
            <w:gridSpan w:val="18"/>
            <w:noWrap w:val="0"/>
            <w:vAlign w:val="center"/>
          </w:tcPr>
          <w:p w14:paraId="2CA1CC0C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</w:pPr>
            <w:bookmarkStart w:id="125" w:name="_Toc5201"/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  <w:t>校准结果</w:t>
            </w:r>
            <w:bookmarkEnd w:id="125"/>
          </w:p>
        </w:tc>
      </w:tr>
      <w:tr w14:paraId="7B7808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654" w:type="dxa"/>
            <w:noWrap w:val="0"/>
            <w:vAlign w:val="center"/>
          </w:tcPr>
          <w:p w14:paraId="701EA4AC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126" w:name="_Toc18732"/>
            <w:bookmarkStart w:id="127" w:name="_Toc22648"/>
            <w:bookmarkStart w:id="128" w:name="_Toc20388"/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1</w:t>
            </w:r>
            <w:bookmarkEnd w:id="126"/>
          </w:p>
        </w:tc>
        <w:tc>
          <w:tcPr>
            <w:tcW w:w="1370" w:type="dxa"/>
            <w:gridSpan w:val="2"/>
            <w:noWrap w:val="0"/>
            <w:vAlign w:val="center"/>
          </w:tcPr>
          <w:p w14:paraId="1CCF8C92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bookmarkStart w:id="129" w:name="_Toc20473"/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>外观与标识</w:t>
            </w:r>
            <w:bookmarkEnd w:id="129"/>
          </w:p>
        </w:tc>
        <w:tc>
          <w:tcPr>
            <w:tcW w:w="7169" w:type="dxa"/>
            <w:gridSpan w:val="18"/>
            <w:noWrap w:val="0"/>
            <w:vAlign w:val="center"/>
          </w:tcPr>
          <w:p w14:paraId="5B4F5AEB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符合要求</w:t>
            </w:r>
          </w:p>
        </w:tc>
      </w:tr>
      <w:tr w14:paraId="06491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654" w:type="dxa"/>
            <w:noWrap w:val="0"/>
            <w:vAlign w:val="center"/>
          </w:tcPr>
          <w:p w14:paraId="3D807C06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130" w:name="_Toc31334"/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2</w:t>
            </w:r>
            <w:bookmarkEnd w:id="130"/>
          </w:p>
        </w:tc>
        <w:tc>
          <w:tcPr>
            <w:tcW w:w="1370" w:type="dxa"/>
            <w:gridSpan w:val="2"/>
            <w:noWrap w:val="0"/>
            <w:vAlign w:val="center"/>
          </w:tcPr>
          <w:p w14:paraId="2070192C">
            <w:pPr>
              <w:bidi w:val="0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</w:pPr>
            <w:bookmarkStart w:id="131" w:name="_Toc29141"/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>通电检查</w:t>
            </w:r>
            <w:bookmarkEnd w:id="131"/>
          </w:p>
        </w:tc>
        <w:tc>
          <w:tcPr>
            <w:tcW w:w="7169" w:type="dxa"/>
            <w:gridSpan w:val="18"/>
            <w:noWrap w:val="0"/>
            <w:vAlign w:val="center"/>
          </w:tcPr>
          <w:p w14:paraId="53A8D0DD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符合要求</w:t>
            </w:r>
          </w:p>
        </w:tc>
      </w:tr>
      <w:tr w14:paraId="24ABF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654" w:type="dxa"/>
            <w:vMerge w:val="restart"/>
            <w:noWrap w:val="0"/>
            <w:vAlign w:val="center"/>
          </w:tcPr>
          <w:p w14:paraId="7FBB1A42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132" w:name="_Toc19923"/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3</w:t>
            </w:r>
            <w:bookmarkEnd w:id="132"/>
          </w:p>
        </w:tc>
        <w:tc>
          <w:tcPr>
            <w:tcW w:w="1370" w:type="dxa"/>
            <w:gridSpan w:val="2"/>
            <w:vMerge w:val="restart"/>
            <w:noWrap w:val="0"/>
            <w:vAlign w:val="center"/>
          </w:tcPr>
          <w:p w14:paraId="7567FB1C">
            <w:pPr>
              <w:bidi w:val="0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</w:pPr>
            <w:bookmarkStart w:id="133" w:name="_Toc16297"/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>报警功能</w:t>
            </w:r>
            <w:bookmarkEnd w:id="133"/>
          </w:p>
        </w:tc>
        <w:tc>
          <w:tcPr>
            <w:tcW w:w="1401" w:type="dxa"/>
            <w:gridSpan w:val="2"/>
            <w:vMerge w:val="restart"/>
            <w:noWrap w:val="0"/>
            <w:vAlign w:val="center"/>
          </w:tcPr>
          <w:p w14:paraId="13373ED2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</w:pPr>
            <w:bookmarkStart w:id="134" w:name="_Toc12973"/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  <w:t>报警动作值</w:t>
            </w:r>
            <w:bookmarkEnd w:id="134"/>
          </w:p>
          <w:p w14:paraId="450A951F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/μmol/mol</w:t>
            </w:r>
          </w:p>
        </w:tc>
        <w:tc>
          <w:tcPr>
            <w:tcW w:w="1514" w:type="dxa"/>
            <w:gridSpan w:val="6"/>
            <w:noWrap w:val="0"/>
            <w:vAlign w:val="center"/>
          </w:tcPr>
          <w:p w14:paraId="3181682E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135" w:name="_Toc12858"/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1</w:t>
            </w:r>
            <w:bookmarkEnd w:id="135"/>
          </w:p>
        </w:tc>
        <w:tc>
          <w:tcPr>
            <w:tcW w:w="1409" w:type="dxa"/>
            <w:gridSpan w:val="4"/>
            <w:noWrap w:val="0"/>
            <w:vAlign w:val="center"/>
          </w:tcPr>
          <w:p w14:paraId="5782DA41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136" w:name="_Toc21296"/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2</w:t>
            </w:r>
            <w:bookmarkEnd w:id="136"/>
          </w:p>
        </w:tc>
        <w:tc>
          <w:tcPr>
            <w:tcW w:w="1408" w:type="dxa"/>
            <w:gridSpan w:val="4"/>
            <w:noWrap w:val="0"/>
            <w:vAlign w:val="center"/>
          </w:tcPr>
          <w:p w14:paraId="021E4944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137" w:name="_Toc21799"/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3</w:t>
            </w:r>
            <w:bookmarkEnd w:id="137"/>
          </w:p>
        </w:tc>
        <w:tc>
          <w:tcPr>
            <w:tcW w:w="1437" w:type="dxa"/>
            <w:gridSpan w:val="2"/>
            <w:noWrap w:val="0"/>
            <w:vAlign w:val="center"/>
          </w:tcPr>
          <w:p w14:paraId="68251FDB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</w:pPr>
            <w:bookmarkStart w:id="138" w:name="_Toc5546"/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  <w:t>平均值</w:t>
            </w:r>
            <w:bookmarkEnd w:id="138"/>
          </w:p>
        </w:tc>
      </w:tr>
      <w:tr w14:paraId="0105CF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654" w:type="dxa"/>
            <w:vMerge w:val="continue"/>
            <w:noWrap w:val="0"/>
            <w:vAlign w:val="center"/>
          </w:tcPr>
          <w:p w14:paraId="37BC37F5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1370" w:type="dxa"/>
            <w:gridSpan w:val="2"/>
            <w:vMerge w:val="continue"/>
            <w:noWrap w:val="0"/>
            <w:vAlign w:val="center"/>
          </w:tcPr>
          <w:p w14:paraId="1022CDAD">
            <w:pPr>
              <w:bidi w:val="0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1401" w:type="dxa"/>
            <w:gridSpan w:val="2"/>
            <w:vMerge w:val="continue"/>
            <w:noWrap w:val="0"/>
            <w:vAlign w:val="center"/>
          </w:tcPr>
          <w:p w14:paraId="5262A728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514" w:type="dxa"/>
            <w:gridSpan w:val="6"/>
            <w:noWrap w:val="0"/>
            <w:vAlign w:val="center"/>
          </w:tcPr>
          <w:p w14:paraId="757BF898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200</w:t>
            </w:r>
          </w:p>
        </w:tc>
        <w:tc>
          <w:tcPr>
            <w:tcW w:w="1409" w:type="dxa"/>
            <w:gridSpan w:val="4"/>
            <w:noWrap w:val="0"/>
            <w:vAlign w:val="center"/>
          </w:tcPr>
          <w:p w14:paraId="711C7D87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200</w:t>
            </w:r>
          </w:p>
        </w:tc>
        <w:tc>
          <w:tcPr>
            <w:tcW w:w="1408" w:type="dxa"/>
            <w:gridSpan w:val="4"/>
            <w:noWrap w:val="0"/>
            <w:vAlign w:val="center"/>
          </w:tcPr>
          <w:p w14:paraId="1B020EC3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200</w:t>
            </w:r>
          </w:p>
        </w:tc>
        <w:tc>
          <w:tcPr>
            <w:tcW w:w="1437" w:type="dxa"/>
            <w:gridSpan w:val="2"/>
            <w:noWrap w:val="0"/>
            <w:vAlign w:val="center"/>
          </w:tcPr>
          <w:p w14:paraId="639D8E52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200</w:t>
            </w:r>
          </w:p>
        </w:tc>
      </w:tr>
      <w:tr w14:paraId="02C3C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654" w:type="dxa"/>
            <w:vMerge w:val="continue"/>
            <w:noWrap w:val="0"/>
            <w:vAlign w:val="center"/>
          </w:tcPr>
          <w:p w14:paraId="1926C159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1370" w:type="dxa"/>
            <w:gridSpan w:val="2"/>
            <w:vMerge w:val="continue"/>
            <w:noWrap w:val="0"/>
            <w:vAlign w:val="center"/>
          </w:tcPr>
          <w:p w14:paraId="0C3D24BC">
            <w:pPr>
              <w:bidi w:val="0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1401" w:type="dxa"/>
            <w:gridSpan w:val="2"/>
            <w:vMerge w:val="restart"/>
            <w:noWrap w:val="0"/>
            <w:vAlign w:val="center"/>
          </w:tcPr>
          <w:p w14:paraId="01447A88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</w:pPr>
            <w:bookmarkStart w:id="139" w:name="_Toc25117"/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  <w:t>报警声级</w:t>
            </w:r>
            <w:bookmarkEnd w:id="139"/>
          </w:p>
          <w:p w14:paraId="30A8AE4A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</w:pPr>
            <w:bookmarkStart w:id="140" w:name="_Toc28480"/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  <w:t>强度</w:t>
            </w:r>
            <w:bookmarkEnd w:id="140"/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/dB(A)</w:t>
            </w:r>
          </w:p>
        </w:tc>
        <w:tc>
          <w:tcPr>
            <w:tcW w:w="1514" w:type="dxa"/>
            <w:gridSpan w:val="6"/>
            <w:noWrap w:val="0"/>
            <w:vAlign w:val="center"/>
          </w:tcPr>
          <w:p w14:paraId="5804B705">
            <w:pPr>
              <w:bidi w:val="0"/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bookmarkStart w:id="141" w:name="_Toc23318"/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1</w:t>
            </w:r>
            <w:bookmarkEnd w:id="141"/>
          </w:p>
        </w:tc>
        <w:tc>
          <w:tcPr>
            <w:tcW w:w="1409" w:type="dxa"/>
            <w:gridSpan w:val="4"/>
            <w:noWrap w:val="0"/>
            <w:vAlign w:val="center"/>
          </w:tcPr>
          <w:p w14:paraId="54F97448">
            <w:pPr>
              <w:bidi w:val="0"/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bookmarkStart w:id="142" w:name="_Toc24005"/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2</w:t>
            </w:r>
            <w:bookmarkEnd w:id="142"/>
          </w:p>
        </w:tc>
        <w:tc>
          <w:tcPr>
            <w:tcW w:w="1408" w:type="dxa"/>
            <w:gridSpan w:val="4"/>
            <w:noWrap w:val="0"/>
            <w:vAlign w:val="center"/>
          </w:tcPr>
          <w:p w14:paraId="7C1C8414">
            <w:pPr>
              <w:bidi w:val="0"/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bookmarkStart w:id="143" w:name="_Toc17233"/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3</w:t>
            </w:r>
            <w:bookmarkEnd w:id="143"/>
          </w:p>
        </w:tc>
        <w:tc>
          <w:tcPr>
            <w:tcW w:w="1437" w:type="dxa"/>
            <w:gridSpan w:val="2"/>
            <w:noWrap w:val="0"/>
            <w:vAlign w:val="center"/>
          </w:tcPr>
          <w:p w14:paraId="4DAF134E">
            <w:pPr>
              <w:bidi w:val="0"/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bookmarkStart w:id="144" w:name="_Toc18769"/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  <w:t>平均值</w:t>
            </w:r>
            <w:bookmarkEnd w:id="144"/>
          </w:p>
        </w:tc>
      </w:tr>
      <w:tr w14:paraId="69A71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654" w:type="dxa"/>
            <w:vMerge w:val="continue"/>
            <w:noWrap w:val="0"/>
            <w:vAlign w:val="center"/>
          </w:tcPr>
          <w:p w14:paraId="7C970DA6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1370" w:type="dxa"/>
            <w:gridSpan w:val="2"/>
            <w:vMerge w:val="continue"/>
            <w:noWrap w:val="0"/>
            <w:vAlign w:val="center"/>
          </w:tcPr>
          <w:p w14:paraId="09F55AE6">
            <w:pPr>
              <w:bidi w:val="0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1401" w:type="dxa"/>
            <w:gridSpan w:val="2"/>
            <w:vMerge w:val="continue"/>
            <w:noWrap w:val="0"/>
            <w:vAlign w:val="center"/>
          </w:tcPr>
          <w:p w14:paraId="60008661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514" w:type="dxa"/>
            <w:gridSpan w:val="6"/>
            <w:noWrap w:val="0"/>
            <w:vAlign w:val="center"/>
          </w:tcPr>
          <w:p w14:paraId="1E37594B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91.5</w:t>
            </w:r>
          </w:p>
        </w:tc>
        <w:tc>
          <w:tcPr>
            <w:tcW w:w="1409" w:type="dxa"/>
            <w:gridSpan w:val="4"/>
            <w:noWrap w:val="0"/>
            <w:vAlign w:val="center"/>
          </w:tcPr>
          <w:p w14:paraId="2D6B114B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92.1</w:t>
            </w:r>
          </w:p>
        </w:tc>
        <w:tc>
          <w:tcPr>
            <w:tcW w:w="1408" w:type="dxa"/>
            <w:gridSpan w:val="4"/>
            <w:noWrap w:val="0"/>
            <w:vAlign w:val="center"/>
          </w:tcPr>
          <w:p w14:paraId="1403CCAE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91.6</w:t>
            </w:r>
          </w:p>
        </w:tc>
        <w:tc>
          <w:tcPr>
            <w:tcW w:w="1437" w:type="dxa"/>
            <w:gridSpan w:val="2"/>
            <w:noWrap w:val="0"/>
            <w:vAlign w:val="center"/>
          </w:tcPr>
          <w:p w14:paraId="0608A8D5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91.7</w:t>
            </w:r>
          </w:p>
        </w:tc>
      </w:tr>
      <w:tr w14:paraId="5AAC74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654" w:type="dxa"/>
            <w:vMerge w:val="continue"/>
            <w:noWrap w:val="0"/>
            <w:vAlign w:val="center"/>
          </w:tcPr>
          <w:p w14:paraId="180C1ABC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1370" w:type="dxa"/>
            <w:gridSpan w:val="2"/>
            <w:vMerge w:val="continue"/>
            <w:noWrap w:val="0"/>
            <w:vAlign w:val="center"/>
          </w:tcPr>
          <w:p w14:paraId="21D3B9BF">
            <w:pPr>
              <w:bidi w:val="0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1401" w:type="dxa"/>
            <w:gridSpan w:val="2"/>
            <w:noWrap w:val="0"/>
            <w:vAlign w:val="center"/>
          </w:tcPr>
          <w:p w14:paraId="602DD8E3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</w:pPr>
            <w:bookmarkStart w:id="145" w:name="_Toc21779"/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  <w:t>报警光信号</w:t>
            </w:r>
            <w:bookmarkEnd w:id="145"/>
          </w:p>
        </w:tc>
        <w:tc>
          <w:tcPr>
            <w:tcW w:w="5768" w:type="dxa"/>
            <w:gridSpan w:val="16"/>
            <w:noWrap w:val="0"/>
            <w:vAlign w:val="center"/>
          </w:tcPr>
          <w:p w14:paraId="48D5020A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报警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光信号在黑暗环境中20m远处清晰可见</w:t>
            </w:r>
          </w:p>
        </w:tc>
      </w:tr>
      <w:tr w14:paraId="1A7AD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1" w:hRule="exact"/>
          <w:jc w:val="center"/>
        </w:trPr>
        <w:tc>
          <w:tcPr>
            <w:tcW w:w="654" w:type="dxa"/>
            <w:vMerge w:val="restart"/>
            <w:noWrap w:val="0"/>
            <w:vAlign w:val="center"/>
          </w:tcPr>
          <w:p w14:paraId="20D140F5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146" w:name="_Toc21369"/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4</w:t>
            </w:r>
            <w:bookmarkEnd w:id="146"/>
          </w:p>
        </w:tc>
        <w:tc>
          <w:tcPr>
            <w:tcW w:w="1370" w:type="dxa"/>
            <w:gridSpan w:val="2"/>
            <w:vMerge w:val="restart"/>
            <w:noWrap w:val="0"/>
            <w:vAlign w:val="center"/>
          </w:tcPr>
          <w:p w14:paraId="51F29050">
            <w:pPr>
              <w:bidi w:val="0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</w:pPr>
            <w:bookmarkStart w:id="147" w:name="_Toc17017"/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>示值误差</w:t>
            </w:r>
            <w:bookmarkEnd w:id="147"/>
          </w:p>
        </w:tc>
        <w:tc>
          <w:tcPr>
            <w:tcW w:w="1401" w:type="dxa"/>
            <w:gridSpan w:val="2"/>
            <w:vMerge w:val="restart"/>
            <w:noWrap w:val="0"/>
            <w:vAlign w:val="center"/>
          </w:tcPr>
          <w:p w14:paraId="6713D897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bookmarkStart w:id="148" w:name="_Toc2386"/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  <w:t>气体标准物质浓度</w:t>
            </w:r>
            <w:bookmarkEnd w:id="148"/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/μmol/mol</w:t>
            </w:r>
          </w:p>
        </w:tc>
        <w:tc>
          <w:tcPr>
            <w:tcW w:w="3773" w:type="dxa"/>
            <w:gridSpan w:val="12"/>
            <w:noWrap w:val="0"/>
            <w:vAlign w:val="center"/>
          </w:tcPr>
          <w:p w14:paraId="406245E9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</w:pPr>
            <w:bookmarkStart w:id="149" w:name="_Toc16872"/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示值</w:t>
            </w:r>
            <w:bookmarkEnd w:id="149"/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/μmol/mol</w:t>
            </w:r>
          </w:p>
        </w:tc>
        <w:tc>
          <w:tcPr>
            <w:tcW w:w="756" w:type="dxa"/>
            <w:gridSpan w:val="3"/>
            <w:vMerge w:val="restart"/>
            <w:noWrap w:val="0"/>
            <w:vAlign w:val="center"/>
          </w:tcPr>
          <w:p w14:paraId="16100471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</w:pPr>
            <w:bookmarkStart w:id="150" w:name="_Toc27350"/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  <w:t>示值误差</w:t>
            </w:r>
            <w:bookmarkEnd w:id="150"/>
          </w:p>
        </w:tc>
        <w:tc>
          <w:tcPr>
            <w:tcW w:w="1239" w:type="dxa"/>
            <w:vMerge w:val="restart"/>
            <w:noWrap w:val="0"/>
            <w:vAlign w:val="center"/>
          </w:tcPr>
          <w:p w14:paraId="26EBB5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</w:pPr>
            <w:bookmarkStart w:id="151" w:name="_Toc19533"/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  <w:t>校准结果扩展不确定度（</w:t>
            </w:r>
            <w:r>
              <w:rPr>
                <w:rFonts w:hint="default" w:ascii="Times New Roman" w:hAnsi="Times New Roman" w:eastAsia="宋体" w:cs="Times New Roman"/>
                <w:i/>
                <w:iCs/>
                <w:sz w:val="18"/>
                <w:szCs w:val="18"/>
                <w:lang w:val="en-US" w:eastAsia="zh-CN"/>
              </w:rPr>
              <w:t>k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=2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  <w:t>）</w:t>
            </w:r>
            <w:bookmarkEnd w:id="151"/>
          </w:p>
        </w:tc>
      </w:tr>
      <w:tr w14:paraId="2EC2D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654" w:type="dxa"/>
            <w:vMerge w:val="continue"/>
            <w:noWrap w:val="0"/>
            <w:vAlign w:val="center"/>
          </w:tcPr>
          <w:p w14:paraId="297C5445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1370" w:type="dxa"/>
            <w:gridSpan w:val="2"/>
            <w:vMerge w:val="continue"/>
            <w:noWrap w:val="0"/>
            <w:vAlign w:val="center"/>
          </w:tcPr>
          <w:p w14:paraId="2E415AA9">
            <w:pPr>
              <w:bidi w:val="0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1401" w:type="dxa"/>
            <w:gridSpan w:val="2"/>
            <w:vMerge w:val="continue"/>
            <w:noWrap w:val="0"/>
            <w:vAlign w:val="center"/>
          </w:tcPr>
          <w:p w14:paraId="05A63C04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66" w:type="dxa"/>
            <w:gridSpan w:val="3"/>
            <w:noWrap w:val="0"/>
            <w:vAlign w:val="center"/>
          </w:tcPr>
          <w:p w14:paraId="00C84AE2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152" w:name="_Toc19970"/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1</w:t>
            </w:r>
            <w:bookmarkEnd w:id="152"/>
          </w:p>
        </w:tc>
        <w:tc>
          <w:tcPr>
            <w:tcW w:w="966" w:type="dxa"/>
            <w:gridSpan w:val="5"/>
            <w:noWrap w:val="0"/>
            <w:vAlign w:val="center"/>
          </w:tcPr>
          <w:p w14:paraId="5AC30AD6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153" w:name="_Toc6017"/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2</w:t>
            </w:r>
            <w:bookmarkEnd w:id="153"/>
          </w:p>
        </w:tc>
        <w:tc>
          <w:tcPr>
            <w:tcW w:w="991" w:type="dxa"/>
            <w:gridSpan w:val="2"/>
            <w:noWrap w:val="0"/>
            <w:vAlign w:val="center"/>
          </w:tcPr>
          <w:p w14:paraId="770F4E6A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154" w:name="_Toc19549"/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3</w:t>
            </w:r>
            <w:bookmarkEnd w:id="154"/>
          </w:p>
        </w:tc>
        <w:tc>
          <w:tcPr>
            <w:tcW w:w="850" w:type="dxa"/>
            <w:gridSpan w:val="2"/>
            <w:noWrap w:val="0"/>
            <w:vAlign w:val="center"/>
          </w:tcPr>
          <w:p w14:paraId="2DDBB0A8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bookmarkStart w:id="155" w:name="_Toc22196"/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  <w:t>平均值</w:t>
            </w:r>
            <w:bookmarkEnd w:id="155"/>
          </w:p>
        </w:tc>
        <w:tc>
          <w:tcPr>
            <w:tcW w:w="756" w:type="dxa"/>
            <w:gridSpan w:val="3"/>
            <w:vMerge w:val="continue"/>
            <w:noWrap w:val="0"/>
            <w:vAlign w:val="center"/>
          </w:tcPr>
          <w:p w14:paraId="543AF402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239" w:type="dxa"/>
            <w:vMerge w:val="continue"/>
            <w:noWrap w:val="0"/>
            <w:vAlign w:val="center"/>
          </w:tcPr>
          <w:p w14:paraId="7BA87EBB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 w14:paraId="327A13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654" w:type="dxa"/>
            <w:vMerge w:val="continue"/>
            <w:noWrap w:val="0"/>
            <w:vAlign w:val="center"/>
          </w:tcPr>
          <w:p w14:paraId="67E3B8AF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1370" w:type="dxa"/>
            <w:gridSpan w:val="2"/>
            <w:vMerge w:val="continue"/>
            <w:noWrap w:val="0"/>
            <w:vAlign w:val="center"/>
          </w:tcPr>
          <w:p w14:paraId="72307CEB">
            <w:pPr>
              <w:bidi w:val="0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1401" w:type="dxa"/>
            <w:gridSpan w:val="2"/>
            <w:noWrap w:val="0"/>
            <w:vAlign w:val="center"/>
          </w:tcPr>
          <w:p w14:paraId="0FC0ED7D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250</w:t>
            </w:r>
          </w:p>
        </w:tc>
        <w:tc>
          <w:tcPr>
            <w:tcW w:w="966" w:type="dxa"/>
            <w:gridSpan w:val="3"/>
            <w:noWrap w:val="0"/>
            <w:vAlign w:val="center"/>
          </w:tcPr>
          <w:p w14:paraId="01F6D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248</w:t>
            </w:r>
          </w:p>
        </w:tc>
        <w:tc>
          <w:tcPr>
            <w:tcW w:w="966" w:type="dxa"/>
            <w:gridSpan w:val="5"/>
            <w:noWrap w:val="0"/>
            <w:vAlign w:val="center"/>
          </w:tcPr>
          <w:p w14:paraId="26263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991" w:type="dxa"/>
            <w:gridSpan w:val="2"/>
            <w:noWrap w:val="0"/>
            <w:vAlign w:val="center"/>
          </w:tcPr>
          <w:p w14:paraId="42AE5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</w:t>
            </w:r>
          </w:p>
        </w:tc>
        <w:tc>
          <w:tcPr>
            <w:tcW w:w="850" w:type="dxa"/>
            <w:gridSpan w:val="2"/>
            <w:noWrap w:val="0"/>
            <w:vAlign w:val="center"/>
          </w:tcPr>
          <w:p w14:paraId="1073A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248.3</w:t>
            </w:r>
          </w:p>
        </w:tc>
        <w:tc>
          <w:tcPr>
            <w:tcW w:w="756" w:type="dxa"/>
            <w:gridSpan w:val="3"/>
            <w:noWrap w:val="0"/>
            <w:vAlign w:val="center"/>
          </w:tcPr>
          <w:p w14:paraId="6D544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-0.2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1239" w:type="dxa"/>
            <w:noWrap w:val="0"/>
            <w:vAlign w:val="center"/>
          </w:tcPr>
          <w:p w14:paraId="60F91143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%</w:t>
            </w:r>
          </w:p>
        </w:tc>
      </w:tr>
      <w:tr w14:paraId="2932A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654" w:type="dxa"/>
            <w:vMerge w:val="continue"/>
            <w:noWrap w:val="0"/>
            <w:vAlign w:val="center"/>
          </w:tcPr>
          <w:p w14:paraId="7E1A4C63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1370" w:type="dxa"/>
            <w:gridSpan w:val="2"/>
            <w:vMerge w:val="continue"/>
            <w:noWrap w:val="0"/>
            <w:vAlign w:val="center"/>
          </w:tcPr>
          <w:p w14:paraId="0CA167FF">
            <w:pPr>
              <w:bidi w:val="0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1401" w:type="dxa"/>
            <w:gridSpan w:val="2"/>
            <w:noWrap w:val="0"/>
            <w:vAlign w:val="center"/>
          </w:tcPr>
          <w:p w14:paraId="134F0DD0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500</w:t>
            </w:r>
          </w:p>
        </w:tc>
        <w:tc>
          <w:tcPr>
            <w:tcW w:w="966" w:type="dxa"/>
            <w:gridSpan w:val="3"/>
            <w:noWrap w:val="0"/>
            <w:vAlign w:val="center"/>
          </w:tcPr>
          <w:p w14:paraId="55925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499</w:t>
            </w:r>
          </w:p>
        </w:tc>
        <w:tc>
          <w:tcPr>
            <w:tcW w:w="966" w:type="dxa"/>
            <w:gridSpan w:val="5"/>
            <w:noWrap w:val="0"/>
            <w:vAlign w:val="center"/>
          </w:tcPr>
          <w:p w14:paraId="1DBCB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499</w:t>
            </w:r>
          </w:p>
        </w:tc>
        <w:tc>
          <w:tcPr>
            <w:tcW w:w="991" w:type="dxa"/>
            <w:gridSpan w:val="2"/>
            <w:noWrap w:val="0"/>
            <w:vAlign w:val="center"/>
          </w:tcPr>
          <w:p w14:paraId="17643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498</w:t>
            </w:r>
          </w:p>
        </w:tc>
        <w:tc>
          <w:tcPr>
            <w:tcW w:w="850" w:type="dxa"/>
            <w:gridSpan w:val="2"/>
            <w:noWrap w:val="0"/>
            <w:vAlign w:val="center"/>
          </w:tcPr>
          <w:p w14:paraId="06E76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498.7</w:t>
            </w:r>
          </w:p>
        </w:tc>
        <w:tc>
          <w:tcPr>
            <w:tcW w:w="756" w:type="dxa"/>
            <w:gridSpan w:val="3"/>
            <w:noWrap w:val="0"/>
            <w:vAlign w:val="center"/>
          </w:tcPr>
          <w:p w14:paraId="2EC5B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-0.1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1239" w:type="dxa"/>
            <w:noWrap w:val="0"/>
            <w:vAlign w:val="center"/>
          </w:tcPr>
          <w:p w14:paraId="06AC7F03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%</w:t>
            </w:r>
          </w:p>
        </w:tc>
      </w:tr>
      <w:tr w14:paraId="58E60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654" w:type="dxa"/>
            <w:vMerge w:val="continue"/>
            <w:noWrap w:val="0"/>
            <w:vAlign w:val="center"/>
          </w:tcPr>
          <w:p w14:paraId="3AC7FB20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1370" w:type="dxa"/>
            <w:gridSpan w:val="2"/>
            <w:vMerge w:val="continue"/>
            <w:noWrap w:val="0"/>
            <w:vAlign w:val="center"/>
          </w:tcPr>
          <w:p w14:paraId="2B79871F">
            <w:pPr>
              <w:bidi w:val="0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1401" w:type="dxa"/>
            <w:gridSpan w:val="2"/>
            <w:noWrap w:val="0"/>
            <w:vAlign w:val="center"/>
          </w:tcPr>
          <w:p w14:paraId="561E2000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750</w:t>
            </w:r>
          </w:p>
        </w:tc>
        <w:tc>
          <w:tcPr>
            <w:tcW w:w="966" w:type="dxa"/>
            <w:gridSpan w:val="3"/>
            <w:noWrap w:val="0"/>
            <w:vAlign w:val="center"/>
          </w:tcPr>
          <w:p w14:paraId="2E2BF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</w:t>
            </w:r>
          </w:p>
        </w:tc>
        <w:tc>
          <w:tcPr>
            <w:tcW w:w="966" w:type="dxa"/>
            <w:gridSpan w:val="5"/>
            <w:noWrap w:val="0"/>
            <w:vAlign w:val="center"/>
          </w:tcPr>
          <w:p w14:paraId="13177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</w:t>
            </w:r>
          </w:p>
        </w:tc>
        <w:tc>
          <w:tcPr>
            <w:tcW w:w="991" w:type="dxa"/>
            <w:gridSpan w:val="2"/>
            <w:noWrap w:val="0"/>
            <w:vAlign w:val="center"/>
          </w:tcPr>
          <w:p w14:paraId="7F1CF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</w:t>
            </w:r>
          </w:p>
        </w:tc>
        <w:tc>
          <w:tcPr>
            <w:tcW w:w="850" w:type="dxa"/>
            <w:gridSpan w:val="2"/>
            <w:noWrap w:val="0"/>
            <w:vAlign w:val="center"/>
          </w:tcPr>
          <w:p w14:paraId="5077E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745.3</w:t>
            </w:r>
          </w:p>
        </w:tc>
        <w:tc>
          <w:tcPr>
            <w:tcW w:w="756" w:type="dxa"/>
            <w:gridSpan w:val="3"/>
            <w:noWrap w:val="0"/>
            <w:vAlign w:val="center"/>
          </w:tcPr>
          <w:p w14:paraId="574FE5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-0.5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1239" w:type="dxa"/>
            <w:noWrap w:val="0"/>
            <w:vAlign w:val="center"/>
          </w:tcPr>
          <w:p w14:paraId="6801BA66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%</w:t>
            </w:r>
          </w:p>
        </w:tc>
      </w:tr>
      <w:tr w14:paraId="7B122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654" w:type="dxa"/>
            <w:vMerge w:val="restart"/>
            <w:noWrap w:val="0"/>
            <w:vAlign w:val="center"/>
          </w:tcPr>
          <w:p w14:paraId="70F21556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156" w:name="_Toc16946"/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5</w:t>
            </w:r>
            <w:bookmarkEnd w:id="156"/>
          </w:p>
        </w:tc>
        <w:tc>
          <w:tcPr>
            <w:tcW w:w="1370" w:type="dxa"/>
            <w:gridSpan w:val="2"/>
            <w:vMerge w:val="restart"/>
            <w:noWrap w:val="0"/>
            <w:vAlign w:val="center"/>
          </w:tcPr>
          <w:p w14:paraId="33F9FDD1">
            <w:pPr>
              <w:bidi w:val="0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</w:pPr>
            <w:bookmarkStart w:id="157" w:name="_Toc2598"/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>重复性</w:t>
            </w:r>
            <w:bookmarkEnd w:id="157"/>
          </w:p>
        </w:tc>
        <w:tc>
          <w:tcPr>
            <w:tcW w:w="1401" w:type="dxa"/>
            <w:gridSpan w:val="2"/>
            <w:vMerge w:val="restart"/>
            <w:noWrap w:val="0"/>
            <w:vAlign w:val="center"/>
          </w:tcPr>
          <w:p w14:paraId="42B78434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  <w:t>气体标准物质浓度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/μmol/mol</w:t>
            </w:r>
          </w:p>
        </w:tc>
        <w:tc>
          <w:tcPr>
            <w:tcW w:w="4529" w:type="dxa"/>
            <w:gridSpan w:val="15"/>
            <w:noWrap w:val="0"/>
            <w:vAlign w:val="center"/>
          </w:tcPr>
          <w:p w14:paraId="3F0CC908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示值/μmol/mol</w:t>
            </w:r>
          </w:p>
        </w:tc>
        <w:tc>
          <w:tcPr>
            <w:tcW w:w="1239" w:type="dxa"/>
            <w:vMerge w:val="restart"/>
            <w:noWrap w:val="0"/>
            <w:vAlign w:val="center"/>
          </w:tcPr>
          <w:p w14:paraId="26E388C4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</w:pPr>
            <w:bookmarkStart w:id="158" w:name="_Toc22742"/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  <w:t>重复性</w:t>
            </w:r>
            <w:bookmarkEnd w:id="158"/>
          </w:p>
        </w:tc>
      </w:tr>
      <w:tr w14:paraId="26693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654" w:type="dxa"/>
            <w:vMerge w:val="continue"/>
            <w:noWrap w:val="0"/>
            <w:vAlign w:val="center"/>
          </w:tcPr>
          <w:p w14:paraId="54D5EB41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1370" w:type="dxa"/>
            <w:gridSpan w:val="2"/>
            <w:vMerge w:val="continue"/>
            <w:noWrap w:val="0"/>
            <w:vAlign w:val="center"/>
          </w:tcPr>
          <w:p w14:paraId="3CC60A8D">
            <w:pPr>
              <w:bidi w:val="0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1401" w:type="dxa"/>
            <w:gridSpan w:val="2"/>
            <w:vMerge w:val="continue"/>
            <w:noWrap w:val="0"/>
            <w:vAlign w:val="center"/>
          </w:tcPr>
          <w:p w14:paraId="28B925C9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638" w:type="dxa"/>
            <w:gridSpan w:val="2"/>
            <w:noWrap w:val="0"/>
            <w:vAlign w:val="center"/>
          </w:tcPr>
          <w:p w14:paraId="21A9DD41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159" w:name="_Toc31327"/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1</w:t>
            </w:r>
            <w:bookmarkEnd w:id="159"/>
          </w:p>
        </w:tc>
        <w:tc>
          <w:tcPr>
            <w:tcW w:w="638" w:type="dxa"/>
            <w:gridSpan w:val="3"/>
            <w:noWrap w:val="0"/>
            <w:vAlign w:val="center"/>
          </w:tcPr>
          <w:p w14:paraId="4D293840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160" w:name="_Toc8453"/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2</w:t>
            </w:r>
            <w:bookmarkEnd w:id="160"/>
          </w:p>
        </w:tc>
        <w:tc>
          <w:tcPr>
            <w:tcW w:w="638" w:type="dxa"/>
            <w:gridSpan w:val="2"/>
            <w:noWrap w:val="0"/>
            <w:vAlign w:val="center"/>
          </w:tcPr>
          <w:p w14:paraId="1E55A2A5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161" w:name="_Toc30335"/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3</w:t>
            </w:r>
            <w:bookmarkEnd w:id="161"/>
          </w:p>
        </w:tc>
        <w:tc>
          <w:tcPr>
            <w:tcW w:w="638" w:type="dxa"/>
            <w:gridSpan w:val="2"/>
            <w:noWrap w:val="0"/>
            <w:vAlign w:val="center"/>
          </w:tcPr>
          <w:p w14:paraId="44B614BF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162" w:name="_Toc6203"/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4</w:t>
            </w:r>
            <w:bookmarkEnd w:id="162"/>
          </w:p>
        </w:tc>
        <w:tc>
          <w:tcPr>
            <w:tcW w:w="638" w:type="dxa"/>
            <w:gridSpan w:val="2"/>
            <w:noWrap w:val="0"/>
            <w:vAlign w:val="center"/>
          </w:tcPr>
          <w:p w14:paraId="3C55B2BE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163" w:name="_Toc4411"/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5</w:t>
            </w:r>
            <w:bookmarkEnd w:id="163"/>
          </w:p>
        </w:tc>
        <w:tc>
          <w:tcPr>
            <w:tcW w:w="583" w:type="dxa"/>
            <w:noWrap w:val="0"/>
            <w:vAlign w:val="center"/>
          </w:tcPr>
          <w:p w14:paraId="7154D0EE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164" w:name="_Toc32145"/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6</w:t>
            </w:r>
            <w:bookmarkEnd w:id="164"/>
          </w:p>
        </w:tc>
        <w:tc>
          <w:tcPr>
            <w:tcW w:w="756" w:type="dxa"/>
            <w:gridSpan w:val="3"/>
            <w:noWrap w:val="0"/>
            <w:vAlign w:val="center"/>
          </w:tcPr>
          <w:p w14:paraId="44981E19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</w:pPr>
            <w:bookmarkStart w:id="165" w:name="_Toc7359"/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  <w:t>均值</w:t>
            </w:r>
            <w:bookmarkEnd w:id="165"/>
          </w:p>
        </w:tc>
        <w:tc>
          <w:tcPr>
            <w:tcW w:w="1239" w:type="dxa"/>
            <w:vMerge w:val="continue"/>
            <w:noWrap w:val="0"/>
            <w:vAlign w:val="center"/>
          </w:tcPr>
          <w:p w14:paraId="3B851123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</w:pPr>
          </w:p>
        </w:tc>
      </w:tr>
      <w:tr w14:paraId="02037F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654" w:type="dxa"/>
            <w:vMerge w:val="continue"/>
            <w:noWrap w:val="0"/>
            <w:vAlign w:val="center"/>
          </w:tcPr>
          <w:p w14:paraId="786D62EE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1370" w:type="dxa"/>
            <w:gridSpan w:val="2"/>
            <w:vMerge w:val="continue"/>
            <w:noWrap w:val="0"/>
            <w:vAlign w:val="center"/>
          </w:tcPr>
          <w:p w14:paraId="26553091">
            <w:pPr>
              <w:bidi w:val="0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1401" w:type="dxa"/>
            <w:gridSpan w:val="2"/>
            <w:noWrap w:val="0"/>
            <w:vAlign w:val="center"/>
          </w:tcPr>
          <w:p w14:paraId="5FC69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500</w:t>
            </w:r>
          </w:p>
        </w:tc>
        <w:tc>
          <w:tcPr>
            <w:tcW w:w="638" w:type="dxa"/>
            <w:gridSpan w:val="2"/>
            <w:noWrap w:val="0"/>
            <w:vAlign w:val="center"/>
          </w:tcPr>
          <w:p w14:paraId="5ACE5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495</w:t>
            </w:r>
          </w:p>
        </w:tc>
        <w:tc>
          <w:tcPr>
            <w:tcW w:w="638" w:type="dxa"/>
            <w:gridSpan w:val="3"/>
            <w:noWrap w:val="0"/>
            <w:vAlign w:val="center"/>
          </w:tcPr>
          <w:p w14:paraId="52398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493</w:t>
            </w:r>
          </w:p>
        </w:tc>
        <w:tc>
          <w:tcPr>
            <w:tcW w:w="638" w:type="dxa"/>
            <w:gridSpan w:val="2"/>
            <w:noWrap w:val="0"/>
            <w:vAlign w:val="center"/>
          </w:tcPr>
          <w:p w14:paraId="5BEFC6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494</w:t>
            </w:r>
          </w:p>
        </w:tc>
        <w:tc>
          <w:tcPr>
            <w:tcW w:w="638" w:type="dxa"/>
            <w:gridSpan w:val="2"/>
            <w:noWrap w:val="0"/>
            <w:vAlign w:val="center"/>
          </w:tcPr>
          <w:p w14:paraId="612C1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495</w:t>
            </w:r>
          </w:p>
        </w:tc>
        <w:tc>
          <w:tcPr>
            <w:tcW w:w="638" w:type="dxa"/>
            <w:gridSpan w:val="2"/>
            <w:noWrap w:val="0"/>
            <w:vAlign w:val="center"/>
          </w:tcPr>
          <w:p w14:paraId="22186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495</w:t>
            </w:r>
          </w:p>
        </w:tc>
        <w:tc>
          <w:tcPr>
            <w:tcW w:w="583" w:type="dxa"/>
            <w:noWrap w:val="0"/>
            <w:vAlign w:val="center"/>
          </w:tcPr>
          <w:p w14:paraId="43740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495</w:t>
            </w:r>
          </w:p>
        </w:tc>
        <w:tc>
          <w:tcPr>
            <w:tcW w:w="756" w:type="dxa"/>
            <w:gridSpan w:val="3"/>
            <w:noWrap w:val="0"/>
            <w:vAlign w:val="center"/>
          </w:tcPr>
          <w:p w14:paraId="792E5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494.5</w:t>
            </w:r>
          </w:p>
        </w:tc>
        <w:tc>
          <w:tcPr>
            <w:tcW w:w="1239" w:type="dxa"/>
            <w:noWrap w:val="0"/>
            <w:vAlign w:val="center"/>
          </w:tcPr>
          <w:p w14:paraId="3F4B5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0.2%</w:t>
            </w:r>
          </w:p>
        </w:tc>
      </w:tr>
      <w:bookmarkEnd w:id="127"/>
      <w:bookmarkEnd w:id="128"/>
    </w:tbl>
    <w:p w14:paraId="58AD682E">
      <w:pPr>
        <w:pStyle w:val="2"/>
        <w:bidi w:val="0"/>
        <w:jc w:val="center"/>
        <w:rPr>
          <w:rFonts w:hint="eastAsia" w:ascii="黑体" w:hAnsi="黑体" w:cs="黑体"/>
          <w:sz w:val="28"/>
          <w:szCs w:val="28"/>
          <w:lang w:eastAsia="zh-CN"/>
        </w:rPr>
      </w:pPr>
      <w:bookmarkStart w:id="166" w:name="_Toc24183"/>
      <w:r>
        <w:rPr>
          <w:rFonts w:hint="eastAsia" w:ascii="黑体" w:hAnsi="黑体" w:cs="黑体"/>
          <w:sz w:val="28"/>
          <w:szCs w:val="28"/>
          <w:lang w:eastAsia="zh-CN"/>
        </w:rPr>
        <w:t>矿用氢气报警器校准记录（续）</w:t>
      </w:r>
      <w:bookmarkEnd w:id="166"/>
    </w:p>
    <w:tbl>
      <w:tblPr>
        <w:tblStyle w:val="11"/>
        <w:tblW w:w="91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4"/>
        <w:gridCol w:w="849"/>
        <w:gridCol w:w="1301"/>
        <w:gridCol w:w="1012"/>
        <w:gridCol w:w="203"/>
        <w:gridCol w:w="594"/>
        <w:gridCol w:w="301"/>
        <w:gridCol w:w="293"/>
        <w:gridCol w:w="401"/>
        <w:gridCol w:w="196"/>
        <w:gridCol w:w="599"/>
        <w:gridCol w:w="118"/>
        <w:gridCol w:w="782"/>
        <w:gridCol w:w="97"/>
        <w:gridCol w:w="768"/>
        <w:gridCol w:w="1025"/>
      </w:tblGrid>
      <w:tr w14:paraId="09A28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654" w:type="dxa"/>
            <w:vMerge w:val="restart"/>
            <w:noWrap w:val="0"/>
            <w:vAlign w:val="center"/>
          </w:tcPr>
          <w:p w14:paraId="3F14B984">
            <w:pPr>
              <w:bidi w:val="0"/>
              <w:jc w:val="center"/>
              <w:rPr>
                <w:rFonts w:hint="default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宋体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849" w:type="dxa"/>
            <w:vMerge w:val="restart"/>
            <w:noWrap w:val="0"/>
            <w:vAlign w:val="center"/>
          </w:tcPr>
          <w:p w14:paraId="125DC54C">
            <w:pPr>
              <w:bidi w:val="0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>响应时间</w:t>
            </w:r>
          </w:p>
        </w:tc>
        <w:tc>
          <w:tcPr>
            <w:tcW w:w="1301" w:type="dxa"/>
            <w:vMerge w:val="restart"/>
            <w:noWrap w:val="0"/>
            <w:vAlign w:val="center"/>
          </w:tcPr>
          <w:p w14:paraId="742B779E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  <w:t>气体标准物质浓度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/μmol/mol</w:t>
            </w:r>
          </w:p>
        </w:tc>
        <w:tc>
          <w:tcPr>
            <w:tcW w:w="5364" w:type="dxa"/>
            <w:gridSpan w:val="12"/>
            <w:noWrap w:val="0"/>
            <w:vAlign w:val="center"/>
          </w:tcPr>
          <w:p w14:paraId="25F36324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测量值</w:t>
            </w:r>
          </w:p>
        </w:tc>
        <w:tc>
          <w:tcPr>
            <w:tcW w:w="1025" w:type="dxa"/>
            <w:vMerge w:val="restart"/>
            <w:noWrap w:val="0"/>
            <w:vAlign w:val="center"/>
          </w:tcPr>
          <w:p w14:paraId="179C1568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  <w:t>平均值</w:t>
            </w:r>
          </w:p>
        </w:tc>
      </w:tr>
      <w:tr w14:paraId="790349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654" w:type="dxa"/>
            <w:vMerge w:val="continue"/>
            <w:noWrap w:val="0"/>
            <w:vAlign w:val="center"/>
          </w:tcPr>
          <w:p w14:paraId="35C84B40">
            <w:pPr>
              <w:bidi w:val="0"/>
              <w:jc w:val="center"/>
              <w:rPr>
                <w:rFonts w:hint="eastAsia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849" w:type="dxa"/>
            <w:vMerge w:val="continue"/>
            <w:noWrap w:val="0"/>
            <w:vAlign w:val="center"/>
          </w:tcPr>
          <w:p w14:paraId="156716B5">
            <w:pPr>
              <w:bidi w:val="0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1301" w:type="dxa"/>
            <w:vMerge w:val="continue"/>
            <w:noWrap w:val="0"/>
            <w:vAlign w:val="center"/>
          </w:tcPr>
          <w:p w14:paraId="553A9300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110" w:type="dxa"/>
            <w:gridSpan w:val="4"/>
            <w:noWrap w:val="0"/>
            <w:vAlign w:val="center"/>
          </w:tcPr>
          <w:p w14:paraId="09B59972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489" w:type="dxa"/>
            <w:gridSpan w:val="4"/>
            <w:noWrap w:val="0"/>
            <w:vAlign w:val="center"/>
          </w:tcPr>
          <w:p w14:paraId="693A925F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765" w:type="dxa"/>
            <w:gridSpan w:val="4"/>
            <w:noWrap w:val="0"/>
            <w:vAlign w:val="center"/>
          </w:tcPr>
          <w:p w14:paraId="58F2AF7A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025" w:type="dxa"/>
            <w:vMerge w:val="continue"/>
            <w:noWrap w:val="0"/>
            <w:vAlign w:val="center"/>
          </w:tcPr>
          <w:p w14:paraId="64A526AF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</w:pPr>
          </w:p>
        </w:tc>
      </w:tr>
      <w:tr w14:paraId="6DCD6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654" w:type="dxa"/>
            <w:vMerge w:val="continue"/>
            <w:noWrap w:val="0"/>
            <w:vAlign w:val="center"/>
          </w:tcPr>
          <w:p w14:paraId="7B545BF6">
            <w:pPr>
              <w:bidi w:val="0"/>
              <w:jc w:val="center"/>
              <w:rPr>
                <w:rFonts w:hint="eastAsia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849" w:type="dxa"/>
            <w:vMerge w:val="continue"/>
            <w:noWrap w:val="0"/>
            <w:vAlign w:val="center"/>
          </w:tcPr>
          <w:p w14:paraId="0BB61962">
            <w:pPr>
              <w:bidi w:val="0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1301" w:type="dxa"/>
            <w:noWrap w:val="0"/>
            <w:vAlign w:val="center"/>
          </w:tcPr>
          <w:p w14:paraId="5EAB2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500</w:t>
            </w:r>
          </w:p>
        </w:tc>
        <w:tc>
          <w:tcPr>
            <w:tcW w:w="2110" w:type="dxa"/>
            <w:gridSpan w:val="4"/>
            <w:noWrap w:val="0"/>
            <w:vAlign w:val="center"/>
          </w:tcPr>
          <w:p w14:paraId="3EF88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15.56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s</w:t>
            </w:r>
          </w:p>
        </w:tc>
        <w:tc>
          <w:tcPr>
            <w:tcW w:w="1489" w:type="dxa"/>
            <w:gridSpan w:val="4"/>
            <w:noWrap w:val="0"/>
            <w:vAlign w:val="center"/>
          </w:tcPr>
          <w:p w14:paraId="1AAF7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17.25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s</w:t>
            </w:r>
          </w:p>
        </w:tc>
        <w:tc>
          <w:tcPr>
            <w:tcW w:w="1765" w:type="dxa"/>
            <w:gridSpan w:val="4"/>
            <w:noWrap w:val="0"/>
            <w:vAlign w:val="center"/>
          </w:tcPr>
          <w:p w14:paraId="0CA77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9.23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s</w:t>
            </w:r>
          </w:p>
        </w:tc>
        <w:tc>
          <w:tcPr>
            <w:tcW w:w="1025" w:type="dxa"/>
            <w:noWrap w:val="0"/>
            <w:vAlign w:val="center"/>
          </w:tcPr>
          <w:p w14:paraId="33D7E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17.39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s</w:t>
            </w:r>
          </w:p>
        </w:tc>
      </w:tr>
      <w:tr w14:paraId="2D10E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654" w:type="dxa"/>
            <w:vMerge w:val="restart"/>
            <w:noWrap w:val="0"/>
            <w:vAlign w:val="center"/>
          </w:tcPr>
          <w:p w14:paraId="3DD302D3">
            <w:pPr>
              <w:bidi w:val="0"/>
              <w:jc w:val="center"/>
              <w:rPr>
                <w:rFonts w:hint="default" w:eastAsia="宋体" w:cs="宋体"/>
                <w:sz w:val="18"/>
                <w:szCs w:val="18"/>
                <w:lang w:val="en-US" w:eastAsia="zh-CN"/>
              </w:rPr>
            </w:pPr>
            <w:bookmarkStart w:id="167" w:name="_Toc31310"/>
            <w:r>
              <w:rPr>
                <w:rFonts w:hint="eastAsia" w:cs="宋体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849" w:type="dxa"/>
            <w:vMerge w:val="restart"/>
            <w:noWrap w:val="0"/>
            <w:vAlign w:val="center"/>
          </w:tcPr>
          <w:p w14:paraId="06DC06AB">
            <w:pPr>
              <w:bidi w:val="0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>信号传输误差</w:t>
            </w:r>
          </w:p>
        </w:tc>
        <w:tc>
          <w:tcPr>
            <w:tcW w:w="1301" w:type="dxa"/>
            <w:vMerge w:val="restart"/>
            <w:noWrap w:val="0"/>
            <w:vAlign w:val="center"/>
          </w:tcPr>
          <w:p w14:paraId="0A859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cs="宋体"/>
                <w:sz w:val="18"/>
                <w:szCs w:val="18"/>
              </w:rPr>
              <w:t>气体标准物质浓度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/μmol/mol</w:t>
            </w:r>
          </w:p>
        </w:tc>
        <w:tc>
          <w:tcPr>
            <w:tcW w:w="3000" w:type="dxa"/>
            <w:gridSpan w:val="7"/>
            <w:noWrap w:val="0"/>
            <w:vAlign w:val="center"/>
          </w:tcPr>
          <w:p w14:paraId="65E18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测得值</w:t>
            </w:r>
          </w:p>
        </w:tc>
        <w:tc>
          <w:tcPr>
            <w:tcW w:w="717" w:type="dxa"/>
            <w:gridSpan w:val="2"/>
            <w:vMerge w:val="restart"/>
            <w:noWrap w:val="0"/>
            <w:vAlign w:val="center"/>
          </w:tcPr>
          <w:p w14:paraId="70FEEE5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cs="宋体"/>
                <w:sz w:val="18"/>
                <w:szCs w:val="18"/>
              </w:rPr>
              <w:t>平均值</w:t>
            </w:r>
          </w:p>
        </w:tc>
        <w:tc>
          <w:tcPr>
            <w:tcW w:w="782" w:type="dxa"/>
            <w:vMerge w:val="restart"/>
            <w:noWrap w:val="0"/>
            <w:vAlign w:val="center"/>
          </w:tcPr>
          <w:p w14:paraId="030E94DD">
            <w:pPr>
              <w:jc w:val="center"/>
              <w:rPr>
                <w:rFonts w:hint="eastAsia"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换算值</w:t>
            </w:r>
          </w:p>
          <w:p w14:paraId="4C6326B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/>
                <w:sz w:val="18"/>
                <w:szCs w:val="18"/>
                <w:lang w:val="en-US" w:eastAsia="zh-CN"/>
              </w:rPr>
              <w:t>（</w:t>
            </w:r>
            <w:r>
              <w:rPr>
                <w:rFonts w:ascii="Times New Roman" w:hAnsi="Times New Roman" w:eastAsia="宋体"/>
                <w:sz w:val="18"/>
                <w:szCs w:val="18"/>
                <w:lang w:val="en-US" w:eastAsia="zh-CN"/>
              </w:rPr>
              <w:t>µmol/mol</w:t>
            </w:r>
            <w:r>
              <w:rPr>
                <w:rFonts w:hint="eastAsia" w:ascii="Times New Roman" w:hAnsi="Times New Roman"/>
                <w:sz w:val="18"/>
                <w:szCs w:val="18"/>
                <w:lang w:val="en-US" w:eastAsia="zh-CN"/>
              </w:rPr>
              <w:t>）</w:t>
            </w:r>
          </w:p>
        </w:tc>
        <w:tc>
          <w:tcPr>
            <w:tcW w:w="865" w:type="dxa"/>
            <w:gridSpan w:val="2"/>
            <w:vMerge w:val="restart"/>
            <w:noWrap w:val="0"/>
            <w:vAlign w:val="center"/>
          </w:tcPr>
          <w:p w14:paraId="534945A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bookmarkStart w:id="168" w:name="_Toc5518"/>
            <w:r>
              <w:rPr>
                <w:rFonts w:hint="eastAsia" w:cs="宋体"/>
                <w:sz w:val="18"/>
                <w:szCs w:val="18"/>
              </w:rPr>
              <w:t>各点信号传输误差</w:t>
            </w:r>
            <w:bookmarkEnd w:id="168"/>
          </w:p>
        </w:tc>
        <w:tc>
          <w:tcPr>
            <w:tcW w:w="1025" w:type="dxa"/>
            <w:vMerge w:val="restart"/>
            <w:noWrap w:val="0"/>
            <w:vAlign w:val="center"/>
          </w:tcPr>
          <w:p w14:paraId="4F6EB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cs="宋体"/>
                <w:sz w:val="18"/>
                <w:szCs w:val="18"/>
              </w:rPr>
              <w:t>报警器信号传输误差</w:t>
            </w:r>
          </w:p>
        </w:tc>
      </w:tr>
      <w:tr w14:paraId="1AE53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654" w:type="dxa"/>
            <w:vMerge w:val="continue"/>
            <w:noWrap w:val="0"/>
            <w:vAlign w:val="center"/>
          </w:tcPr>
          <w:p w14:paraId="727A05CE">
            <w:pPr>
              <w:bidi w:val="0"/>
              <w:jc w:val="center"/>
              <w:rPr>
                <w:rFonts w:hint="eastAsia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849" w:type="dxa"/>
            <w:vMerge w:val="continue"/>
            <w:noWrap w:val="0"/>
            <w:vAlign w:val="center"/>
          </w:tcPr>
          <w:p w14:paraId="55334F5B">
            <w:pPr>
              <w:bidi w:val="0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1301" w:type="dxa"/>
            <w:vMerge w:val="continue"/>
            <w:noWrap w:val="0"/>
            <w:vAlign w:val="center"/>
          </w:tcPr>
          <w:p w14:paraId="2BFD28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1215" w:type="dxa"/>
            <w:gridSpan w:val="2"/>
            <w:noWrap w:val="0"/>
            <w:vAlign w:val="center"/>
          </w:tcPr>
          <w:p w14:paraId="384AD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94" w:type="dxa"/>
            <w:noWrap w:val="0"/>
            <w:vAlign w:val="center"/>
          </w:tcPr>
          <w:p w14:paraId="3A434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94" w:type="dxa"/>
            <w:gridSpan w:val="2"/>
            <w:noWrap w:val="0"/>
            <w:vAlign w:val="center"/>
          </w:tcPr>
          <w:p w14:paraId="461BB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597" w:type="dxa"/>
            <w:gridSpan w:val="2"/>
            <w:noWrap w:val="0"/>
            <w:vAlign w:val="center"/>
          </w:tcPr>
          <w:p w14:paraId="79A49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717" w:type="dxa"/>
            <w:gridSpan w:val="2"/>
            <w:vMerge w:val="continue"/>
            <w:noWrap w:val="0"/>
            <w:vAlign w:val="center"/>
          </w:tcPr>
          <w:p w14:paraId="67952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82" w:type="dxa"/>
            <w:vMerge w:val="continue"/>
            <w:noWrap w:val="0"/>
            <w:vAlign w:val="center"/>
          </w:tcPr>
          <w:p w14:paraId="25132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65" w:type="dxa"/>
            <w:gridSpan w:val="2"/>
            <w:vMerge w:val="continue"/>
            <w:noWrap w:val="0"/>
            <w:vAlign w:val="center"/>
          </w:tcPr>
          <w:p w14:paraId="24570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025" w:type="dxa"/>
            <w:vMerge w:val="continue"/>
            <w:noWrap w:val="0"/>
            <w:vAlign w:val="center"/>
          </w:tcPr>
          <w:p w14:paraId="52CAC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7BA7D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3" w:hRule="exact"/>
          <w:jc w:val="center"/>
        </w:trPr>
        <w:tc>
          <w:tcPr>
            <w:tcW w:w="654" w:type="dxa"/>
            <w:vMerge w:val="continue"/>
            <w:noWrap w:val="0"/>
            <w:vAlign w:val="center"/>
          </w:tcPr>
          <w:p w14:paraId="1AB4C2E5">
            <w:pPr>
              <w:bidi w:val="0"/>
              <w:jc w:val="center"/>
              <w:rPr>
                <w:rFonts w:hint="eastAsia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849" w:type="dxa"/>
            <w:vMerge w:val="continue"/>
            <w:noWrap w:val="0"/>
            <w:vAlign w:val="center"/>
          </w:tcPr>
          <w:p w14:paraId="78AC0032">
            <w:pPr>
              <w:bidi w:val="0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1301" w:type="dxa"/>
            <w:vMerge w:val="restart"/>
            <w:noWrap w:val="0"/>
            <w:vAlign w:val="center"/>
          </w:tcPr>
          <w:p w14:paraId="6C83B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250</w:t>
            </w:r>
          </w:p>
        </w:tc>
        <w:tc>
          <w:tcPr>
            <w:tcW w:w="1215" w:type="dxa"/>
            <w:gridSpan w:val="2"/>
            <w:noWrap w:val="0"/>
            <w:vAlign w:val="center"/>
          </w:tcPr>
          <w:p w14:paraId="46B089FD">
            <w:pPr>
              <w:jc w:val="center"/>
              <w:rPr>
                <w:rFonts w:hint="eastAsia"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示值</w:t>
            </w:r>
          </w:p>
          <w:p w14:paraId="7AC31BC5">
            <w:pPr>
              <w:jc w:val="center"/>
              <w:rPr>
                <w:rFonts w:hint="default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sz w:val="18"/>
                <w:szCs w:val="18"/>
                <w:lang w:val="en-US" w:eastAsia="zh-CN"/>
              </w:rPr>
              <w:t>（</w:t>
            </w:r>
            <w:r>
              <w:rPr>
                <w:rFonts w:ascii="Times New Roman" w:hAnsi="Times New Roman" w:eastAsia="宋体"/>
                <w:sz w:val="18"/>
                <w:szCs w:val="18"/>
                <w:lang w:val="en-US" w:eastAsia="zh-CN"/>
              </w:rPr>
              <w:t>µmol/mol</w:t>
            </w:r>
            <w:r>
              <w:rPr>
                <w:rFonts w:hint="eastAsia" w:ascii="Times New Roman" w:hAnsi="Times New Roman"/>
                <w:sz w:val="18"/>
                <w:szCs w:val="18"/>
                <w:lang w:val="en-US" w:eastAsia="zh-CN"/>
              </w:rPr>
              <w:t>）</w:t>
            </w:r>
          </w:p>
        </w:tc>
        <w:tc>
          <w:tcPr>
            <w:tcW w:w="594" w:type="dxa"/>
            <w:noWrap w:val="0"/>
            <w:vAlign w:val="center"/>
          </w:tcPr>
          <w:p w14:paraId="3DDEE44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cs="宋体"/>
                <w:sz w:val="18"/>
                <w:szCs w:val="18"/>
                <w:lang w:val="en-US" w:eastAsia="zh-CN"/>
              </w:rPr>
              <w:t>248</w:t>
            </w:r>
          </w:p>
        </w:tc>
        <w:tc>
          <w:tcPr>
            <w:tcW w:w="594" w:type="dxa"/>
            <w:gridSpan w:val="2"/>
            <w:noWrap w:val="0"/>
            <w:vAlign w:val="center"/>
          </w:tcPr>
          <w:p w14:paraId="4D78098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cs="宋体"/>
                <w:sz w:val="18"/>
                <w:szCs w:val="18"/>
                <w:lang w:val="en-US" w:eastAsia="zh-CN"/>
              </w:rPr>
              <w:t>248</w:t>
            </w:r>
          </w:p>
        </w:tc>
        <w:tc>
          <w:tcPr>
            <w:tcW w:w="597" w:type="dxa"/>
            <w:gridSpan w:val="2"/>
            <w:noWrap w:val="0"/>
            <w:vAlign w:val="center"/>
          </w:tcPr>
          <w:p w14:paraId="0423834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cs="宋体"/>
                <w:sz w:val="18"/>
                <w:szCs w:val="18"/>
                <w:lang w:val="en-US" w:eastAsia="zh-CN"/>
              </w:rPr>
              <w:t>249</w:t>
            </w:r>
          </w:p>
        </w:tc>
        <w:tc>
          <w:tcPr>
            <w:tcW w:w="717" w:type="dxa"/>
            <w:gridSpan w:val="2"/>
            <w:shd w:val="clear" w:color="auto" w:fill="auto"/>
            <w:noWrap w:val="0"/>
            <w:vAlign w:val="center"/>
          </w:tcPr>
          <w:p w14:paraId="6FC34C7F">
            <w:pPr>
              <w:jc w:val="center"/>
              <w:rPr>
                <w:rFonts w:hint="default" w:ascii="Calibri" w:hAnsi="Calibri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z w:val="18"/>
                <w:szCs w:val="18"/>
                <w:lang w:val="en-US" w:eastAsia="zh-CN"/>
              </w:rPr>
              <w:t>248.3</w:t>
            </w:r>
          </w:p>
        </w:tc>
        <w:tc>
          <w:tcPr>
            <w:tcW w:w="782" w:type="dxa"/>
            <w:vMerge w:val="restart"/>
            <w:shd w:val="clear" w:color="auto" w:fill="auto"/>
            <w:noWrap w:val="0"/>
            <w:vAlign w:val="center"/>
          </w:tcPr>
          <w:p w14:paraId="72728768">
            <w:pPr>
              <w:jc w:val="center"/>
              <w:rPr>
                <w:rFonts w:hint="default" w:ascii="Calibri" w:hAnsi="Calibri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z w:val="18"/>
                <w:szCs w:val="18"/>
                <w:lang w:val="en-US" w:eastAsia="zh-CN"/>
              </w:rPr>
              <w:t>244.4</w:t>
            </w:r>
          </w:p>
          <w:p w14:paraId="72798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65" w:type="dxa"/>
            <w:gridSpan w:val="2"/>
            <w:vMerge w:val="restart"/>
            <w:noWrap w:val="0"/>
            <w:vAlign w:val="center"/>
          </w:tcPr>
          <w:p w14:paraId="65723F6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cs="宋体"/>
                <w:sz w:val="18"/>
                <w:szCs w:val="18"/>
                <w:lang w:val="en-US" w:eastAsia="zh-CN"/>
              </w:rPr>
              <w:t>-1.6%</w:t>
            </w:r>
          </w:p>
        </w:tc>
        <w:tc>
          <w:tcPr>
            <w:tcW w:w="1025" w:type="dxa"/>
            <w:vMerge w:val="restart"/>
            <w:noWrap w:val="0"/>
            <w:vAlign w:val="center"/>
          </w:tcPr>
          <w:p w14:paraId="57D00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cs="宋体"/>
                <w:sz w:val="18"/>
                <w:szCs w:val="18"/>
                <w:lang w:val="en-US" w:eastAsia="zh-CN"/>
              </w:rPr>
              <w:t>-1.6%</w:t>
            </w:r>
          </w:p>
        </w:tc>
      </w:tr>
      <w:tr w14:paraId="4BA77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7" w:hRule="exact"/>
          <w:jc w:val="center"/>
        </w:trPr>
        <w:tc>
          <w:tcPr>
            <w:tcW w:w="654" w:type="dxa"/>
            <w:vMerge w:val="continue"/>
            <w:noWrap w:val="0"/>
            <w:vAlign w:val="center"/>
          </w:tcPr>
          <w:p w14:paraId="1307B05F">
            <w:pPr>
              <w:bidi w:val="0"/>
              <w:jc w:val="center"/>
              <w:rPr>
                <w:rFonts w:hint="eastAsia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849" w:type="dxa"/>
            <w:vMerge w:val="continue"/>
            <w:noWrap w:val="0"/>
            <w:vAlign w:val="center"/>
          </w:tcPr>
          <w:p w14:paraId="794BE70F">
            <w:pPr>
              <w:bidi w:val="0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1301" w:type="dxa"/>
            <w:vMerge w:val="continue"/>
            <w:noWrap w:val="0"/>
            <w:vAlign w:val="center"/>
          </w:tcPr>
          <w:p w14:paraId="569A3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1215" w:type="dxa"/>
            <w:gridSpan w:val="2"/>
            <w:noWrap w:val="0"/>
            <w:vAlign w:val="center"/>
          </w:tcPr>
          <w:p w14:paraId="01E6AB47">
            <w:pPr>
              <w:jc w:val="center"/>
              <w:rPr>
                <w:rFonts w:hint="eastAsia"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测量</w:t>
            </w:r>
          </w:p>
          <w:p w14:paraId="3F1D15E5">
            <w:pPr>
              <w:jc w:val="center"/>
              <w:rPr>
                <w:rFonts w:hint="default" w:cs="宋体"/>
                <w:sz w:val="18"/>
                <w:szCs w:val="18"/>
                <w:lang w:val="en-US" w:eastAsia="zh-CN"/>
              </w:rPr>
            </w:pPr>
            <w:r>
              <w:rPr>
                <w:rFonts w:hint="eastAsia" w:cs="宋体"/>
                <w:sz w:val="18"/>
                <w:szCs w:val="18"/>
                <w:lang w:val="en-US" w:eastAsia="zh-CN"/>
              </w:rPr>
              <w:t>（</w:t>
            </w:r>
            <w:r>
              <w:rPr>
                <w:rFonts w:hint="eastAsia" w:eastAsia="宋体" w:cs="宋体"/>
                <w:sz w:val="18"/>
                <w:szCs w:val="18"/>
                <w:lang w:val="en-US" w:eastAsia="zh-CN"/>
              </w:rPr>
              <w:t>Hz</w:t>
            </w:r>
            <w:r>
              <w:rPr>
                <w:rFonts w:hint="eastAsia" w:cs="宋体"/>
                <w:sz w:val="18"/>
                <w:szCs w:val="18"/>
                <w:lang w:val="en-US" w:eastAsia="zh-CN"/>
              </w:rPr>
              <w:t>）</w:t>
            </w:r>
          </w:p>
        </w:tc>
        <w:tc>
          <w:tcPr>
            <w:tcW w:w="594" w:type="dxa"/>
            <w:noWrap w:val="0"/>
            <w:vAlign w:val="center"/>
          </w:tcPr>
          <w:p w14:paraId="638DC79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cs="宋体"/>
                <w:sz w:val="18"/>
                <w:szCs w:val="18"/>
                <w:lang w:val="en-US" w:eastAsia="zh-CN"/>
              </w:rPr>
              <w:t>395.25</w:t>
            </w:r>
          </w:p>
        </w:tc>
        <w:tc>
          <w:tcPr>
            <w:tcW w:w="594" w:type="dxa"/>
            <w:gridSpan w:val="2"/>
            <w:noWrap w:val="0"/>
            <w:vAlign w:val="center"/>
          </w:tcPr>
          <w:p w14:paraId="028C988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cs="宋体"/>
                <w:sz w:val="18"/>
                <w:szCs w:val="18"/>
                <w:lang w:val="en-US" w:eastAsia="zh-CN"/>
              </w:rPr>
              <w:t>395.04</w:t>
            </w:r>
          </w:p>
        </w:tc>
        <w:tc>
          <w:tcPr>
            <w:tcW w:w="597" w:type="dxa"/>
            <w:gridSpan w:val="2"/>
            <w:noWrap w:val="0"/>
            <w:vAlign w:val="center"/>
          </w:tcPr>
          <w:p w14:paraId="595CE40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cs="宋体"/>
                <w:sz w:val="18"/>
                <w:szCs w:val="18"/>
                <w:lang w:val="en-US" w:eastAsia="zh-CN"/>
              </w:rPr>
              <w:t>396.35</w:t>
            </w:r>
          </w:p>
        </w:tc>
        <w:tc>
          <w:tcPr>
            <w:tcW w:w="717" w:type="dxa"/>
            <w:gridSpan w:val="2"/>
            <w:shd w:val="clear" w:color="auto" w:fill="auto"/>
            <w:noWrap w:val="0"/>
            <w:vAlign w:val="center"/>
          </w:tcPr>
          <w:p w14:paraId="302BF931">
            <w:pPr>
              <w:jc w:val="center"/>
              <w:rPr>
                <w:rFonts w:hint="default" w:ascii="Calibri" w:hAnsi="Calibri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z w:val="18"/>
                <w:szCs w:val="18"/>
                <w:lang w:val="en-US" w:eastAsia="zh-CN"/>
              </w:rPr>
              <w:t>395.55</w:t>
            </w:r>
          </w:p>
        </w:tc>
        <w:tc>
          <w:tcPr>
            <w:tcW w:w="782" w:type="dxa"/>
            <w:vMerge w:val="continue"/>
            <w:noWrap w:val="0"/>
            <w:vAlign w:val="center"/>
          </w:tcPr>
          <w:p w14:paraId="57AC0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65" w:type="dxa"/>
            <w:gridSpan w:val="2"/>
            <w:vMerge w:val="continue"/>
            <w:noWrap w:val="0"/>
            <w:vAlign w:val="center"/>
          </w:tcPr>
          <w:p w14:paraId="237FB4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025" w:type="dxa"/>
            <w:vMerge w:val="continue"/>
            <w:noWrap w:val="0"/>
            <w:vAlign w:val="center"/>
          </w:tcPr>
          <w:p w14:paraId="1E44E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0354C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exact"/>
          <w:jc w:val="center"/>
        </w:trPr>
        <w:tc>
          <w:tcPr>
            <w:tcW w:w="654" w:type="dxa"/>
            <w:vMerge w:val="continue"/>
            <w:noWrap w:val="0"/>
            <w:vAlign w:val="center"/>
          </w:tcPr>
          <w:p w14:paraId="14E3DC76">
            <w:pPr>
              <w:bidi w:val="0"/>
              <w:jc w:val="center"/>
              <w:rPr>
                <w:rFonts w:hint="eastAsia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849" w:type="dxa"/>
            <w:vMerge w:val="continue"/>
            <w:noWrap w:val="0"/>
            <w:vAlign w:val="center"/>
          </w:tcPr>
          <w:p w14:paraId="0743E0BD">
            <w:pPr>
              <w:bidi w:val="0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1301" w:type="dxa"/>
            <w:vMerge w:val="restart"/>
            <w:noWrap w:val="0"/>
            <w:vAlign w:val="center"/>
          </w:tcPr>
          <w:p w14:paraId="65D67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500</w:t>
            </w:r>
          </w:p>
        </w:tc>
        <w:tc>
          <w:tcPr>
            <w:tcW w:w="1215" w:type="dxa"/>
            <w:gridSpan w:val="2"/>
            <w:noWrap w:val="0"/>
            <w:vAlign w:val="center"/>
          </w:tcPr>
          <w:p w14:paraId="465CCE77">
            <w:pPr>
              <w:jc w:val="center"/>
              <w:rPr>
                <w:rFonts w:hint="eastAsia"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示值</w:t>
            </w:r>
          </w:p>
          <w:p w14:paraId="6104174D">
            <w:pPr>
              <w:jc w:val="center"/>
              <w:rPr>
                <w:rFonts w:hint="default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sz w:val="18"/>
                <w:szCs w:val="18"/>
                <w:lang w:val="en-US" w:eastAsia="zh-CN"/>
              </w:rPr>
              <w:t>（</w:t>
            </w:r>
            <w:r>
              <w:rPr>
                <w:rFonts w:ascii="Times New Roman" w:hAnsi="Times New Roman" w:eastAsia="宋体"/>
                <w:sz w:val="18"/>
                <w:szCs w:val="18"/>
                <w:lang w:val="en-US" w:eastAsia="zh-CN"/>
              </w:rPr>
              <w:t>µmol/mol</w:t>
            </w:r>
            <w:r>
              <w:rPr>
                <w:rFonts w:hint="eastAsia" w:ascii="Times New Roman" w:hAnsi="Times New Roman"/>
                <w:sz w:val="18"/>
                <w:szCs w:val="18"/>
                <w:lang w:val="en-US" w:eastAsia="zh-CN"/>
              </w:rPr>
              <w:t>）</w:t>
            </w:r>
          </w:p>
        </w:tc>
        <w:tc>
          <w:tcPr>
            <w:tcW w:w="594" w:type="dxa"/>
            <w:noWrap w:val="0"/>
            <w:vAlign w:val="center"/>
          </w:tcPr>
          <w:p w14:paraId="79C85CB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cs="宋体"/>
                <w:sz w:val="18"/>
                <w:szCs w:val="18"/>
                <w:lang w:val="en-US" w:eastAsia="zh-CN"/>
              </w:rPr>
              <w:t>497</w:t>
            </w:r>
          </w:p>
        </w:tc>
        <w:tc>
          <w:tcPr>
            <w:tcW w:w="594" w:type="dxa"/>
            <w:gridSpan w:val="2"/>
            <w:noWrap w:val="0"/>
            <w:vAlign w:val="center"/>
          </w:tcPr>
          <w:p w14:paraId="7819206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cs="宋体"/>
                <w:sz w:val="18"/>
                <w:szCs w:val="18"/>
                <w:lang w:val="en-US" w:eastAsia="zh-CN"/>
              </w:rPr>
              <w:t>495</w:t>
            </w:r>
          </w:p>
        </w:tc>
        <w:tc>
          <w:tcPr>
            <w:tcW w:w="597" w:type="dxa"/>
            <w:gridSpan w:val="2"/>
            <w:noWrap w:val="0"/>
            <w:vAlign w:val="center"/>
          </w:tcPr>
          <w:p w14:paraId="7439556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cs="宋体"/>
                <w:sz w:val="18"/>
                <w:szCs w:val="18"/>
                <w:lang w:val="en-US" w:eastAsia="zh-CN"/>
              </w:rPr>
              <w:t>496</w:t>
            </w:r>
          </w:p>
        </w:tc>
        <w:tc>
          <w:tcPr>
            <w:tcW w:w="717" w:type="dxa"/>
            <w:gridSpan w:val="2"/>
            <w:shd w:val="clear" w:color="auto" w:fill="auto"/>
            <w:noWrap w:val="0"/>
            <w:vAlign w:val="center"/>
          </w:tcPr>
          <w:p w14:paraId="63EC7613">
            <w:pPr>
              <w:jc w:val="center"/>
              <w:rPr>
                <w:rFonts w:hint="default" w:ascii="Calibri" w:hAnsi="Calibri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z w:val="18"/>
                <w:szCs w:val="18"/>
                <w:lang w:val="en-US" w:eastAsia="zh-CN"/>
              </w:rPr>
              <w:t>496.0</w:t>
            </w:r>
          </w:p>
        </w:tc>
        <w:tc>
          <w:tcPr>
            <w:tcW w:w="782" w:type="dxa"/>
            <w:vMerge w:val="restart"/>
            <w:shd w:val="clear" w:color="auto" w:fill="auto"/>
            <w:noWrap w:val="0"/>
            <w:vAlign w:val="center"/>
          </w:tcPr>
          <w:p w14:paraId="31BE5928">
            <w:pPr>
              <w:jc w:val="center"/>
              <w:rPr>
                <w:rFonts w:hint="default" w:ascii="Calibri" w:hAnsi="Calibri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z w:val="18"/>
                <w:szCs w:val="18"/>
                <w:lang w:val="en-US" w:eastAsia="zh-CN"/>
              </w:rPr>
              <w:t>489.6</w:t>
            </w:r>
          </w:p>
          <w:p w14:paraId="4F3BA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65" w:type="dxa"/>
            <w:gridSpan w:val="2"/>
            <w:vMerge w:val="restart"/>
            <w:noWrap w:val="0"/>
            <w:vAlign w:val="center"/>
          </w:tcPr>
          <w:p w14:paraId="68D22FB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cs="宋体"/>
                <w:kern w:val="2"/>
                <w:sz w:val="18"/>
                <w:szCs w:val="18"/>
                <w:lang w:val="en-US" w:eastAsia="zh-CN" w:bidi="ar-SA"/>
              </w:rPr>
              <w:t>-1.3</w:t>
            </w:r>
            <w:r>
              <w:rPr>
                <w:rFonts w:hint="eastAsia" w:cs="宋体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1025" w:type="dxa"/>
            <w:vMerge w:val="continue"/>
            <w:noWrap w:val="0"/>
            <w:vAlign w:val="center"/>
          </w:tcPr>
          <w:p w14:paraId="07F9B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7512B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exact"/>
          <w:jc w:val="center"/>
        </w:trPr>
        <w:tc>
          <w:tcPr>
            <w:tcW w:w="654" w:type="dxa"/>
            <w:vMerge w:val="continue"/>
            <w:noWrap w:val="0"/>
            <w:vAlign w:val="center"/>
          </w:tcPr>
          <w:p w14:paraId="20372279">
            <w:pPr>
              <w:bidi w:val="0"/>
              <w:jc w:val="center"/>
              <w:rPr>
                <w:rFonts w:hint="eastAsia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849" w:type="dxa"/>
            <w:vMerge w:val="continue"/>
            <w:noWrap w:val="0"/>
            <w:vAlign w:val="center"/>
          </w:tcPr>
          <w:p w14:paraId="4B1A519D">
            <w:pPr>
              <w:bidi w:val="0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1301" w:type="dxa"/>
            <w:vMerge w:val="continue"/>
            <w:noWrap w:val="0"/>
            <w:vAlign w:val="center"/>
          </w:tcPr>
          <w:p w14:paraId="7869B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1215" w:type="dxa"/>
            <w:gridSpan w:val="2"/>
            <w:noWrap w:val="0"/>
            <w:vAlign w:val="center"/>
          </w:tcPr>
          <w:p w14:paraId="6DA355CE">
            <w:pPr>
              <w:jc w:val="center"/>
              <w:rPr>
                <w:rFonts w:hint="eastAsia"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测量</w:t>
            </w:r>
          </w:p>
          <w:p w14:paraId="53B1366B">
            <w:pPr>
              <w:jc w:val="center"/>
              <w:rPr>
                <w:rFonts w:hint="default" w:cs="宋体"/>
                <w:sz w:val="18"/>
                <w:szCs w:val="18"/>
                <w:lang w:val="en-US" w:eastAsia="zh-CN"/>
              </w:rPr>
            </w:pPr>
            <w:r>
              <w:rPr>
                <w:rFonts w:hint="eastAsia" w:cs="宋体"/>
                <w:sz w:val="18"/>
                <w:szCs w:val="18"/>
                <w:lang w:val="en-US" w:eastAsia="zh-CN"/>
              </w:rPr>
              <w:t>（</w:t>
            </w:r>
            <w:r>
              <w:rPr>
                <w:rFonts w:hint="eastAsia" w:eastAsia="宋体" w:cs="宋体"/>
                <w:sz w:val="18"/>
                <w:szCs w:val="18"/>
                <w:lang w:val="en-US" w:eastAsia="zh-CN"/>
              </w:rPr>
              <w:t>Hz</w:t>
            </w:r>
            <w:r>
              <w:rPr>
                <w:rFonts w:hint="eastAsia" w:cs="宋体"/>
                <w:sz w:val="18"/>
                <w:szCs w:val="18"/>
                <w:lang w:val="en-US" w:eastAsia="zh-CN"/>
              </w:rPr>
              <w:t>）</w:t>
            </w:r>
          </w:p>
        </w:tc>
        <w:tc>
          <w:tcPr>
            <w:tcW w:w="594" w:type="dxa"/>
            <w:noWrap w:val="0"/>
            <w:vAlign w:val="center"/>
          </w:tcPr>
          <w:p w14:paraId="5027DB0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cs="宋体"/>
                <w:sz w:val="18"/>
                <w:szCs w:val="18"/>
                <w:lang w:val="en-US" w:eastAsia="zh-CN"/>
              </w:rPr>
              <w:t>592.15</w:t>
            </w:r>
          </w:p>
        </w:tc>
        <w:tc>
          <w:tcPr>
            <w:tcW w:w="594" w:type="dxa"/>
            <w:gridSpan w:val="2"/>
            <w:noWrap w:val="0"/>
            <w:vAlign w:val="center"/>
          </w:tcPr>
          <w:p w14:paraId="6625349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cs="宋体"/>
                <w:sz w:val="18"/>
                <w:szCs w:val="18"/>
                <w:lang w:val="en-US" w:eastAsia="zh-CN"/>
              </w:rPr>
              <w:t>591.52</w:t>
            </w:r>
          </w:p>
        </w:tc>
        <w:tc>
          <w:tcPr>
            <w:tcW w:w="597" w:type="dxa"/>
            <w:gridSpan w:val="2"/>
            <w:noWrap w:val="0"/>
            <w:vAlign w:val="center"/>
          </w:tcPr>
          <w:p w14:paraId="3D6C3DE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cs="宋体"/>
                <w:sz w:val="18"/>
                <w:szCs w:val="18"/>
                <w:lang w:val="en-US" w:eastAsia="zh-CN"/>
              </w:rPr>
              <w:t>591.36</w:t>
            </w:r>
          </w:p>
        </w:tc>
        <w:tc>
          <w:tcPr>
            <w:tcW w:w="717" w:type="dxa"/>
            <w:gridSpan w:val="2"/>
            <w:shd w:val="clear" w:color="auto" w:fill="auto"/>
            <w:noWrap w:val="0"/>
            <w:vAlign w:val="center"/>
          </w:tcPr>
          <w:p w14:paraId="30C81B99">
            <w:pPr>
              <w:jc w:val="center"/>
              <w:rPr>
                <w:rFonts w:hint="default" w:ascii="Calibri" w:hAnsi="Calibri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z w:val="18"/>
                <w:szCs w:val="18"/>
                <w:lang w:val="en-US" w:eastAsia="zh-CN"/>
              </w:rPr>
              <w:t>591.68</w:t>
            </w:r>
          </w:p>
        </w:tc>
        <w:tc>
          <w:tcPr>
            <w:tcW w:w="782" w:type="dxa"/>
            <w:vMerge w:val="continue"/>
            <w:noWrap w:val="0"/>
            <w:vAlign w:val="center"/>
          </w:tcPr>
          <w:p w14:paraId="6C84D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65" w:type="dxa"/>
            <w:gridSpan w:val="2"/>
            <w:vMerge w:val="continue"/>
            <w:noWrap w:val="0"/>
            <w:vAlign w:val="center"/>
          </w:tcPr>
          <w:p w14:paraId="4BA33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025" w:type="dxa"/>
            <w:vMerge w:val="continue"/>
            <w:noWrap w:val="0"/>
            <w:vAlign w:val="center"/>
          </w:tcPr>
          <w:p w14:paraId="04C8C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5882F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exact"/>
          <w:jc w:val="center"/>
        </w:trPr>
        <w:tc>
          <w:tcPr>
            <w:tcW w:w="654" w:type="dxa"/>
            <w:vMerge w:val="continue"/>
            <w:noWrap w:val="0"/>
            <w:vAlign w:val="center"/>
          </w:tcPr>
          <w:p w14:paraId="79CB11BB">
            <w:pPr>
              <w:bidi w:val="0"/>
              <w:jc w:val="center"/>
              <w:rPr>
                <w:rFonts w:hint="eastAsia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849" w:type="dxa"/>
            <w:vMerge w:val="continue"/>
            <w:noWrap w:val="0"/>
            <w:vAlign w:val="center"/>
          </w:tcPr>
          <w:p w14:paraId="158CC7B4">
            <w:pPr>
              <w:bidi w:val="0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1301" w:type="dxa"/>
            <w:vMerge w:val="restart"/>
            <w:noWrap w:val="0"/>
            <w:vAlign w:val="center"/>
          </w:tcPr>
          <w:p w14:paraId="439DF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750</w:t>
            </w:r>
          </w:p>
        </w:tc>
        <w:tc>
          <w:tcPr>
            <w:tcW w:w="1215" w:type="dxa"/>
            <w:gridSpan w:val="2"/>
            <w:noWrap w:val="0"/>
            <w:vAlign w:val="center"/>
          </w:tcPr>
          <w:p w14:paraId="1D70516B">
            <w:pPr>
              <w:jc w:val="center"/>
              <w:rPr>
                <w:rFonts w:hint="eastAsia"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示值</w:t>
            </w:r>
          </w:p>
          <w:p w14:paraId="2DE416E4">
            <w:pPr>
              <w:jc w:val="center"/>
              <w:rPr>
                <w:rFonts w:hint="default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sz w:val="18"/>
                <w:szCs w:val="18"/>
                <w:lang w:val="en-US" w:eastAsia="zh-CN"/>
              </w:rPr>
              <w:t>（</w:t>
            </w:r>
            <w:r>
              <w:rPr>
                <w:rFonts w:ascii="Times New Roman" w:hAnsi="Times New Roman" w:eastAsia="宋体"/>
                <w:sz w:val="18"/>
                <w:szCs w:val="18"/>
                <w:lang w:val="en-US" w:eastAsia="zh-CN"/>
              </w:rPr>
              <w:t>µmol/mol</w:t>
            </w:r>
            <w:r>
              <w:rPr>
                <w:rFonts w:hint="eastAsia" w:ascii="Times New Roman" w:hAnsi="Times New Roman"/>
                <w:sz w:val="18"/>
                <w:szCs w:val="18"/>
                <w:lang w:val="en-US" w:eastAsia="zh-CN"/>
              </w:rPr>
              <w:t>）</w:t>
            </w:r>
          </w:p>
        </w:tc>
        <w:tc>
          <w:tcPr>
            <w:tcW w:w="594" w:type="dxa"/>
            <w:noWrap w:val="0"/>
            <w:vAlign w:val="center"/>
          </w:tcPr>
          <w:p w14:paraId="4A68BEF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cs="宋体"/>
                <w:sz w:val="18"/>
                <w:szCs w:val="18"/>
                <w:lang w:val="en-US" w:eastAsia="zh-CN"/>
              </w:rPr>
              <w:t>745</w:t>
            </w:r>
          </w:p>
        </w:tc>
        <w:tc>
          <w:tcPr>
            <w:tcW w:w="594" w:type="dxa"/>
            <w:gridSpan w:val="2"/>
            <w:noWrap w:val="0"/>
            <w:vAlign w:val="center"/>
          </w:tcPr>
          <w:p w14:paraId="2A889F1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cs="宋体"/>
                <w:sz w:val="18"/>
                <w:szCs w:val="18"/>
                <w:lang w:val="en-US" w:eastAsia="zh-CN"/>
              </w:rPr>
              <w:t>743</w:t>
            </w:r>
          </w:p>
        </w:tc>
        <w:tc>
          <w:tcPr>
            <w:tcW w:w="597" w:type="dxa"/>
            <w:gridSpan w:val="2"/>
            <w:noWrap w:val="0"/>
            <w:vAlign w:val="center"/>
          </w:tcPr>
          <w:p w14:paraId="603FEF8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cs="宋体"/>
                <w:sz w:val="18"/>
                <w:szCs w:val="18"/>
                <w:lang w:val="en-US" w:eastAsia="zh-CN"/>
              </w:rPr>
              <w:t>744</w:t>
            </w:r>
          </w:p>
        </w:tc>
        <w:tc>
          <w:tcPr>
            <w:tcW w:w="717" w:type="dxa"/>
            <w:gridSpan w:val="2"/>
            <w:shd w:val="clear" w:color="auto" w:fill="auto"/>
            <w:noWrap w:val="0"/>
            <w:vAlign w:val="center"/>
          </w:tcPr>
          <w:p w14:paraId="419E788C">
            <w:pPr>
              <w:jc w:val="center"/>
              <w:rPr>
                <w:rFonts w:hint="default" w:ascii="Calibri" w:hAnsi="Calibri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z w:val="18"/>
                <w:szCs w:val="18"/>
                <w:lang w:val="en-US" w:eastAsia="zh-CN"/>
              </w:rPr>
              <w:t>744.0</w:t>
            </w:r>
          </w:p>
        </w:tc>
        <w:tc>
          <w:tcPr>
            <w:tcW w:w="782" w:type="dxa"/>
            <w:vMerge w:val="restart"/>
            <w:shd w:val="clear" w:color="auto" w:fill="auto"/>
            <w:noWrap w:val="0"/>
            <w:vAlign w:val="center"/>
          </w:tcPr>
          <w:p w14:paraId="5029C40B">
            <w:pPr>
              <w:jc w:val="center"/>
              <w:rPr>
                <w:rFonts w:hint="default" w:ascii="Calibri" w:hAnsi="Calibri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z w:val="18"/>
                <w:szCs w:val="18"/>
                <w:lang w:val="en-US" w:eastAsia="zh-CN"/>
              </w:rPr>
              <w:t>739.4</w:t>
            </w:r>
          </w:p>
        </w:tc>
        <w:tc>
          <w:tcPr>
            <w:tcW w:w="865" w:type="dxa"/>
            <w:gridSpan w:val="2"/>
            <w:vMerge w:val="restart"/>
            <w:noWrap w:val="0"/>
            <w:vAlign w:val="center"/>
          </w:tcPr>
          <w:p w14:paraId="4A553E4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cs="宋体"/>
                <w:sz w:val="18"/>
                <w:szCs w:val="18"/>
                <w:lang w:val="en-US" w:eastAsia="zh-CN"/>
              </w:rPr>
              <w:t>-0.6%</w:t>
            </w:r>
          </w:p>
        </w:tc>
        <w:tc>
          <w:tcPr>
            <w:tcW w:w="1025" w:type="dxa"/>
            <w:vMerge w:val="continue"/>
            <w:noWrap w:val="0"/>
            <w:vAlign w:val="center"/>
          </w:tcPr>
          <w:p w14:paraId="105C2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2B0DFA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exact"/>
          <w:jc w:val="center"/>
        </w:trPr>
        <w:tc>
          <w:tcPr>
            <w:tcW w:w="654" w:type="dxa"/>
            <w:vMerge w:val="continue"/>
            <w:noWrap w:val="0"/>
            <w:vAlign w:val="center"/>
          </w:tcPr>
          <w:p w14:paraId="07377D9A">
            <w:pPr>
              <w:bidi w:val="0"/>
              <w:jc w:val="center"/>
              <w:rPr>
                <w:rFonts w:hint="eastAsia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849" w:type="dxa"/>
            <w:vMerge w:val="continue"/>
            <w:noWrap w:val="0"/>
            <w:vAlign w:val="center"/>
          </w:tcPr>
          <w:p w14:paraId="463D6B3E">
            <w:pPr>
              <w:bidi w:val="0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1301" w:type="dxa"/>
            <w:vMerge w:val="continue"/>
            <w:noWrap w:val="0"/>
            <w:vAlign w:val="center"/>
          </w:tcPr>
          <w:p w14:paraId="043C4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1215" w:type="dxa"/>
            <w:gridSpan w:val="2"/>
            <w:noWrap w:val="0"/>
            <w:vAlign w:val="center"/>
          </w:tcPr>
          <w:p w14:paraId="351FA03C">
            <w:pPr>
              <w:jc w:val="center"/>
              <w:rPr>
                <w:rFonts w:hint="eastAsia"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测量</w:t>
            </w:r>
          </w:p>
          <w:p w14:paraId="7DB79B7A">
            <w:pPr>
              <w:jc w:val="center"/>
              <w:rPr>
                <w:rFonts w:hint="default" w:cs="宋体"/>
                <w:sz w:val="18"/>
                <w:szCs w:val="18"/>
                <w:lang w:val="en-US" w:eastAsia="zh-CN"/>
              </w:rPr>
            </w:pPr>
            <w:r>
              <w:rPr>
                <w:rFonts w:hint="eastAsia" w:cs="宋体"/>
                <w:sz w:val="18"/>
                <w:szCs w:val="18"/>
                <w:lang w:val="en-US" w:eastAsia="zh-CN"/>
              </w:rPr>
              <w:t>（</w:t>
            </w:r>
            <w:r>
              <w:rPr>
                <w:rFonts w:hint="eastAsia" w:eastAsia="宋体" w:cs="宋体"/>
                <w:sz w:val="18"/>
                <w:szCs w:val="18"/>
                <w:lang w:val="en-US" w:eastAsia="zh-CN"/>
              </w:rPr>
              <w:t>Hz</w:t>
            </w:r>
            <w:r>
              <w:rPr>
                <w:rFonts w:hint="eastAsia" w:cs="宋体"/>
                <w:sz w:val="18"/>
                <w:szCs w:val="18"/>
                <w:lang w:val="en-US" w:eastAsia="zh-CN"/>
              </w:rPr>
              <w:t>）</w:t>
            </w:r>
          </w:p>
        </w:tc>
        <w:tc>
          <w:tcPr>
            <w:tcW w:w="594" w:type="dxa"/>
            <w:noWrap w:val="0"/>
            <w:vAlign w:val="center"/>
          </w:tcPr>
          <w:p w14:paraId="77FA88C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cs="宋体"/>
                <w:sz w:val="18"/>
                <w:szCs w:val="18"/>
                <w:lang w:val="en-US" w:eastAsia="zh-CN"/>
              </w:rPr>
              <w:t>792.12</w:t>
            </w:r>
          </w:p>
        </w:tc>
        <w:tc>
          <w:tcPr>
            <w:tcW w:w="594" w:type="dxa"/>
            <w:gridSpan w:val="2"/>
            <w:noWrap w:val="0"/>
            <w:vAlign w:val="center"/>
          </w:tcPr>
          <w:p w14:paraId="3CBBB03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cs="宋体"/>
                <w:sz w:val="18"/>
                <w:szCs w:val="18"/>
                <w:lang w:val="en-US" w:eastAsia="zh-CN"/>
              </w:rPr>
              <w:t>791.23</w:t>
            </w:r>
          </w:p>
        </w:tc>
        <w:tc>
          <w:tcPr>
            <w:tcW w:w="597" w:type="dxa"/>
            <w:gridSpan w:val="2"/>
            <w:noWrap w:val="0"/>
            <w:vAlign w:val="center"/>
          </w:tcPr>
          <w:p w14:paraId="54600F8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cs="宋体"/>
                <w:sz w:val="18"/>
                <w:szCs w:val="18"/>
                <w:lang w:val="en-US" w:eastAsia="zh-CN"/>
              </w:rPr>
              <w:t>791.26</w:t>
            </w:r>
          </w:p>
        </w:tc>
        <w:tc>
          <w:tcPr>
            <w:tcW w:w="717" w:type="dxa"/>
            <w:gridSpan w:val="2"/>
            <w:shd w:val="clear" w:color="auto" w:fill="auto"/>
            <w:noWrap w:val="0"/>
            <w:vAlign w:val="center"/>
          </w:tcPr>
          <w:p w14:paraId="26F625B7">
            <w:pPr>
              <w:jc w:val="center"/>
              <w:rPr>
                <w:rFonts w:hint="default" w:ascii="Calibri" w:hAnsi="Calibri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z w:val="18"/>
                <w:szCs w:val="18"/>
                <w:lang w:val="en-US" w:eastAsia="zh-CN"/>
              </w:rPr>
              <w:t>791.54</w:t>
            </w:r>
          </w:p>
        </w:tc>
        <w:tc>
          <w:tcPr>
            <w:tcW w:w="782" w:type="dxa"/>
            <w:vMerge w:val="continue"/>
            <w:noWrap w:val="0"/>
            <w:vAlign w:val="center"/>
          </w:tcPr>
          <w:p w14:paraId="50627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65" w:type="dxa"/>
            <w:gridSpan w:val="2"/>
            <w:vMerge w:val="continue"/>
            <w:noWrap w:val="0"/>
            <w:vAlign w:val="center"/>
          </w:tcPr>
          <w:p w14:paraId="38901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025" w:type="dxa"/>
            <w:vMerge w:val="continue"/>
            <w:noWrap w:val="0"/>
            <w:vAlign w:val="center"/>
          </w:tcPr>
          <w:p w14:paraId="3928E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bookmarkEnd w:id="167"/>
      <w:tr w14:paraId="4189D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654" w:type="dxa"/>
            <w:vMerge w:val="restart"/>
            <w:noWrap w:val="0"/>
            <w:vAlign w:val="center"/>
          </w:tcPr>
          <w:p w14:paraId="60D5DCF7">
            <w:pPr>
              <w:bidi w:val="0"/>
              <w:jc w:val="center"/>
              <w:rPr>
                <w:rFonts w:hint="default" w:eastAsia="宋体" w:cs="宋体"/>
                <w:sz w:val="18"/>
                <w:szCs w:val="18"/>
                <w:lang w:val="en-US" w:eastAsia="zh-CN"/>
              </w:rPr>
            </w:pPr>
            <w:bookmarkStart w:id="169" w:name="_Toc14018"/>
            <w:r>
              <w:rPr>
                <w:rFonts w:hint="eastAsia" w:eastAsia="宋体" w:cs="宋体"/>
                <w:sz w:val="18"/>
                <w:szCs w:val="18"/>
                <w:lang w:val="en-US" w:eastAsia="zh-CN"/>
              </w:rPr>
              <w:t>8</w:t>
            </w:r>
            <w:bookmarkEnd w:id="169"/>
          </w:p>
        </w:tc>
        <w:tc>
          <w:tcPr>
            <w:tcW w:w="849" w:type="dxa"/>
            <w:vMerge w:val="restart"/>
            <w:noWrap w:val="0"/>
            <w:vAlign w:val="center"/>
          </w:tcPr>
          <w:p w14:paraId="7F07ED91">
            <w:pPr>
              <w:bidi w:val="0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>绝缘电阻</w:t>
            </w:r>
          </w:p>
        </w:tc>
        <w:tc>
          <w:tcPr>
            <w:tcW w:w="2313" w:type="dxa"/>
            <w:gridSpan w:val="2"/>
            <w:noWrap w:val="0"/>
            <w:vAlign w:val="center"/>
          </w:tcPr>
          <w:p w14:paraId="4713DCBD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  <w:t>正极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-外壳</w:t>
            </w:r>
          </w:p>
        </w:tc>
        <w:tc>
          <w:tcPr>
            <w:tcW w:w="1792" w:type="dxa"/>
            <w:gridSpan w:val="5"/>
            <w:noWrap w:val="0"/>
            <w:vAlign w:val="center"/>
          </w:tcPr>
          <w:p w14:paraId="768EBA66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  <w:t>负极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-外壳</w:t>
            </w:r>
          </w:p>
        </w:tc>
        <w:tc>
          <w:tcPr>
            <w:tcW w:w="1792" w:type="dxa"/>
            <w:gridSpan w:val="5"/>
            <w:noWrap w:val="0"/>
            <w:vAlign w:val="center"/>
          </w:tcPr>
          <w:p w14:paraId="1800E2F4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  <w:t>信号输出端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-外壳</w:t>
            </w:r>
          </w:p>
        </w:tc>
        <w:tc>
          <w:tcPr>
            <w:tcW w:w="1793" w:type="dxa"/>
            <w:gridSpan w:val="2"/>
            <w:noWrap w:val="0"/>
            <w:vAlign w:val="center"/>
          </w:tcPr>
          <w:p w14:paraId="712AD97D">
            <w:pPr>
              <w:bidi w:val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  <w:t>最小值</w:t>
            </w:r>
          </w:p>
        </w:tc>
      </w:tr>
      <w:tr w14:paraId="194CC7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654" w:type="dxa"/>
            <w:vMerge w:val="continue"/>
            <w:noWrap w:val="0"/>
            <w:vAlign w:val="center"/>
          </w:tcPr>
          <w:p w14:paraId="52DB4B14">
            <w:pPr>
              <w:bidi w:val="0"/>
              <w:jc w:val="center"/>
              <w:rPr>
                <w:rFonts w:hint="eastAsia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849" w:type="dxa"/>
            <w:vMerge w:val="continue"/>
            <w:noWrap w:val="0"/>
            <w:vAlign w:val="center"/>
          </w:tcPr>
          <w:p w14:paraId="4C6BB009">
            <w:pPr>
              <w:bidi w:val="0"/>
              <w:jc w:val="center"/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2313" w:type="dxa"/>
            <w:gridSpan w:val="2"/>
            <w:noWrap w:val="0"/>
            <w:vAlign w:val="center"/>
          </w:tcPr>
          <w:p w14:paraId="21ADF8DF"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+∞</w:t>
            </w:r>
          </w:p>
        </w:tc>
        <w:tc>
          <w:tcPr>
            <w:tcW w:w="1792" w:type="dxa"/>
            <w:gridSpan w:val="5"/>
            <w:noWrap w:val="0"/>
            <w:vAlign w:val="center"/>
          </w:tcPr>
          <w:p w14:paraId="270E08E4"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+∞</w:t>
            </w:r>
          </w:p>
        </w:tc>
        <w:tc>
          <w:tcPr>
            <w:tcW w:w="1792" w:type="dxa"/>
            <w:gridSpan w:val="5"/>
            <w:noWrap w:val="0"/>
            <w:vAlign w:val="center"/>
          </w:tcPr>
          <w:p w14:paraId="71FBE06A"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+∞</w:t>
            </w:r>
          </w:p>
        </w:tc>
        <w:tc>
          <w:tcPr>
            <w:tcW w:w="1793" w:type="dxa"/>
            <w:gridSpan w:val="2"/>
            <w:noWrap w:val="0"/>
            <w:vAlign w:val="center"/>
          </w:tcPr>
          <w:p w14:paraId="121C1E26"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+∞</w:t>
            </w:r>
          </w:p>
        </w:tc>
      </w:tr>
      <w:bookmarkEnd w:id="2"/>
      <w:bookmarkEnd w:id="3"/>
      <w:bookmarkEnd w:id="4"/>
      <w:bookmarkEnd w:id="5"/>
      <w:bookmarkEnd w:id="6"/>
    </w:tbl>
    <w:p w14:paraId="42057ED0">
      <w:pPr>
        <w:snapToGrid w:val="0"/>
        <w:spacing w:beforeLines="50" w:afterLines="50" w:line="360" w:lineRule="auto"/>
        <w:rPr>
          <w:rFonts w:eastAsia="黑体"/>
          <w:sz w:val="24"/>
        </w:rPr>
      </w:pPr>
    </w:p>
    <w:p w14:paraId="0CFB86A9">
      <w:pPr>
        <w:snapToGrid w:val="0"/>
        <w:spacing w:beforeLines="50" w:afterLines="50" w:line="360" w:lineRule="auto"/>
        <w:rPr>
          <w:rFonts w:eastAsia="黑体"/>
          <w:sz w:val="24"/>
        </w:rPr>
      </w:pPr>
      <w:r>
        <w:rPr>
          <w:rFonts w:eastAsia="黑体"/>
          <w:sz w:val="24"/>
        </w:rPr>
        <w:t>5 结论</w:t>
      </w:r>
    </w:p>
    <w:p w14:paraId="05B075DC">
      <w:pPr>
        <w:snapToGrid w:val="0"/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通过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空气中氢气标准物质</w:t>
      </w:r>
      <w:r>
        <w:rPr>
          <w:rFonts w:hint="eastAsia"/>
          <w:sz w:val="24"/>
        </w:rPr>
        <w:t>对</w:t>
      </w:r>
      <w:r>
        <w:rPr>
          <w:rFonts w:hint="eastAsia"/>
          <w:sz w:val="24"/>
          <w:lang w:eastAsia="zh-CN"/>
        </w:rPr>
        <w:t>矿用氢气报警器</w:t>
      </w:r>
      <w:r>
        <w:rPr>
          <w:rFonts w:hint="eastAsia"/>
          <w:sz w:val="24"/>
        </w:rPr>
        <w:t>的试验，最终测得值均在校准规范范围之内。试验结果表明，采取本规范的方法对</w:t>
      </w:r>
      <w:r>
        <w:rPr>
          <w:rFonts w:hint="eastAsia"/>
          <w:sz w:val="24"/>
          <w:lang w:eastAsia="zh-CN"/>
        </w:rPr>
        <w:t>矿用氢气报警器</w:t>
      </w:r>
      <w:r>
        <w:rPr>
          <w:rFonts w:hint="eastAsia"/>
          <w:sz w:val="24"/>
        </w:rPr>
        <w:t>的示值误差、重复性、报警功能、</w:t>
      </w:r>
      <w:bookmarkStart w:id="170" w:name="_Toc27446"/>
      <w:r>
        <w:rPr>
          <w:rFonts w:hint="eastAsia"/>
          <w:sz w:val="24"/>
        </w:rPr>
        <w:t>响应时间</w:t>
      </w:r>
      <w:bookmarkEnd w:id="170"/>
      <w:r>
        <w:rPr>
          <w:rFonts w:hint="eastAsia"/>
          <w:sz w:val="24"/>
        </w:rPr>
        <w:t>、</w:t>
      </w:r>
      <w:bookmarkStart w:id="171" w:name="_Toc17336"/>
      <w:r>
        <w:rPr>
          <w:rFonts w:hint="eastAsia"/>
          <w:sz w:val="24"/>
        </w:rPr>
        <w:t>信号传输误差</w:t>
      </w:r>
      <w:bookmarkEnd w:id="171"/>
      <w:r>
        <w:rPr>
          <w:rFonts w:hint="eastAsia"/>
          <w:sz w:val="24"/>
          <w:lang w:eastAsia="zh-CN"/>
        </w:rPr>
        <w:t>、</w:t>
      </w:r>
      <w:r>
        <w:rPr>
          <w:rFonts w:hint="eastAsia"/>
          <w:sz w:val="24"/>
        </w:rPr>
        <w:t>绝缘电阻等项目进行校准，校准结果均符合校准规范的要求，因此</w:t>
      </w:r>
      <w:r>
        <w:rPr>
          <w:sz w:val="24"/>
        </w:rPr>
        <w:t>规范中的校准方法及相应的计量特性，是科学、适用、合理的。</w:t>
      </w:r>
    </w:p>
    <w:sectPr>
      <w:type w:val="continuous"/>
      <w:pgSz w:w="11906" w:h="16838"/>
      <w:pgMar w:top="1418" w:right="1134" w:bottom="1304" w:left="1418" w:header="851" w:footer="850" w:gutter="0"/>
      <w:pgNumType w:start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A00002EF" w:usb1="420020E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8184BC">
    <w:pPr>
      <w:pStyle w:val="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10</w:t>
    </w:r>
    <w:r>
      <w:rPr>
        <w:lang w:val="zh-CN"/>
      </w:rPr>
      <w:fldChar w:fldCharType="end"/>
    </w:r>
  </w:p>
  <w:p w14:paraId="21894333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CA1A57"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FB7AA8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C72E68">
    <w:pPr>
      <w:pStyle w:val="8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2C4BB8"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6F58EE"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96F8A"/>
    <w:rsid w:val="00001B45"/>
    <w:rsid w:val="00007791"/>
    <w:rsid w:val="000128B7"/>
    <w:rsid w:val="00020AA6"/>
    <w:rsid w:val="000271FB"/>
    <w:rsid w:val="000320F5"/>
    <w:rsid w:val="00032780"/>
    <w:rsid w:val="00037FE6"/>
    <w:rsid w:val="00040EAF"/>
    <w:rsid w:val="00044603"/>
    <w:rsid w:val="000452CF"/>
    <w:rsid w:val="00046553"/>
    <w:rsid w:val="000553BE"/>
    <w:rsid w:val="0006169D"/>
    <w:rsid w:val="00065528"/>
    <w:rsid w:val="000771C3"/>
    <w:rsid w:val="00077B85"/>
    <w:rsid w:val="0008537B"/>
    <w:rsid w:val="00085E2D"/>
    <w:rsid w:val="00091ECB"/>
    <w:rsid w:val="000A0785"/>
    <w:rsid w:val="000B6860"/>
    <w:rsid w:val="000B70E4"/>
    <w:rsid w:val="000C33F3"/>
    <w:rsid w:val="000C550D"/>
    <w:rsid w:val="000D0179"/>
    <w:rsid w:val="000E4241"/>
    <w:rsid w:val="000F03A0"/>
    <w:rsid w:val="000F2EDA"/>
    <w:rsid w:val="0010509E"/>
    <w:rsid w:val="00107B75"/>
    <w:rsid w:val="00112F26"/>
    <w:rsid w:val="00133A1D"/>
    <w:rsid w:val="001355AD"/>
    <w:rsid w:val="001432FA"/>
    <w:rsid w:val="00153519"/>
    <w:rsid w:val="00163927"/>
    <w:rsid w:val="00170693"/>
    <w:rsid w:val="0017450D"/>
    <w:rsid w:val="00181273"/>
    <w:rsid w:val="00183F9A"/>
    <w:rsid w:val="00191D96"/>
    <w:rsid w:val="00196A61"/>
    <w:rsid w:val="001A0BC2"/>
    <w:rsid w:val="001A38B1"/>
    <w:rsid w:val="001A3DDC"/>
    <w:rsid w:val="001B6AB1"/>
    <w:rsid w:val="001B7837"/>
    <w:rsid w:val="001D52D4"/>
    <w:rsid w:val="001D5493"/>
    <w:rsid w:val="001F09AE"/>
    <w:rsid w:val="001F3496"/>
    <w:rsid w:val="002055EE"/>
    <w:rsid w:val="00205FA5"/>
    <w:rsid w:val="00207331"/>
    <w:rsid w:val="00213AF2"/>
    <w:rsid w:val="0021443E"/>
    <w:rsid w:val="002176A8"/>
    <w:rsid w:val="0021799C"/>
    <w:rsid w:val="002202AD"/>
    <w:rsid w:val="00225BBB"/>
    <w:rsid w:val="00225F37"/>
    <w:rsid w:val="00226FB8"/>
    <w:rsid w:val="0023031A"/>
    <w:rsid w:val="00241FFA"/>
    <w:rsid w:val="002437C6"/>
    <w:rsid w:val="0025418D"/>
    <w:rsid w:val="00255079"/>
    <w:rsid w:val="00257204"/>
    <w:rsid w:val="00264BE7"/>
    <w:rsid w:val="002740D9"/>
    <w:rsid w:val="002825E9"/>
    <w:rsid w:val="0028402F"/>
    <w:rsid w:val="002854B9"/>
    <w:rsid w:val="0028661D"/>
    <w:rsid w:val="002902A1"/>
    <w:rsid w:val="002932F9"/>
    <w:rsid w:val="00296482"/>
    <w:rsid w:val="002A139E"/>
    <w:rsid w:val="002A4808"/>
    <w:rsid w:val="002A6866"/>
    <w:rsid w:val="002B461D"/>
    <w:rsid w:val="002B649E"/>
    <w:rsid w:val="002B760A"/>
    <w:rsid w:val="002B7EE8"/>
    <w:rsid w:val="002C42FD"/>
    <w:rsid w:val="002C4992"/>
    <w:rsid w:val="002D3ECC"/>
    <w:rsid w:val="002E1EB9"/>
    <w:rsid w:val="002F3E99"/>
    <w:rsid w:val="00304F1B"/>
    <w:rsid w:val="00306365"/>
    <w:rsid w:val="00312269"/>
    <w:rsid w:val="00312714"/>
    <w:rsid w:val="00323F74"/>
    <w:rsid w:val="0032579D"/>
    <w:rsid w:val="00325CE4"/>
    <w:rsid w:val="00326A89"/>
    <w:rsid w:val="00332CEF"/>
    <w:rsid w:val="00333216"/>
    <w:rsid w:val="00334303"/>
    <w:rsid w:val="0033493B"/>
    <w:rsid w:val="00357E35"/>
    <w:rsid w:val="00363CCD"/>
    <w:rsid w:val="0036659F"/>
    <w:rsid w:val="0037391E"/>
    <w:rsid w:val="00375600"/>
    <w:rsid w:val="00376015"/>
    <w:rsid w:val="00377629"/>
    <w:rsid w:val="0038142F"/>
    <w:rsid w:val="0039053E"/>
    <w:rsid w:val="00390EA9"/>
    <w:rsid w:val="003910E4"/>
    <w:rsid w:val="0039753B"/>
    <w:rsid w:val="003B6E98"/>
    <w:rsid w:val="003C1C30"/>
    <w:rsid w:val="003C2646"/>
    <w:rsid w:val="003C761D"/>
    <w:rsid w:val="003D255E"/>
    <w:rsid w:val="003D3255"/>
    <w:rsid w:val="003E041C"/>
    <w:rsid w:val="003E05A6"/>
    <w:rsid w:val="003E1225"/>
    <w:rsid w:val="003E3E47"/>
    <w:rsid w:val="003E6732"/>
    <w:rsid w:val="003F2CA8"/>
    <w:rsid w:val="003F2E7F"/>
    <w:rsid w:val="003F440D"/>
    <w:rsid w:val="003F51A7"/>
    <w:rsid w:val="003F6F42"/>
    <w:rsid w:val="00404EEE"/>
    <w:rsid w:val="004119CC"/>
    <w:rsid w:val="0041281D"/>
    <w:rsid w:val="00416E9A"/>
    <w:rsid w:val="004226AC"/>
    <w:rsid w:val="004275BB"/>
    <w:rsid w:val="004345E5"/>
    <w:rsid w:val="00435DA8"/>
    <w:rsid w:val="00443172"/>
    <w:rsid w:val="00454187"/>
    <w:rsid w:val="00457831"/>
    <w:rsid w:val="00461022"/>
    <w:rsid w:val="00462160"/>
    <w:rsid w:val="004621E4"/>
    <w:rsid w:val="00462C83"/>
    <w:rsid w:val="00471B46"/>
    <w:rsid w:val="00472CE8"/>
    <w:rsid w:val="0047468E"/>
    <w:rsid w:val="00475D6F"/>
    <w:rsid w:val="0047769F"/>
    <w:rsid w:val="00477783"/>
    <w:rsid w:val="00480A58"/>
    <w:rsid w:val="00481644"/>
    <w:rsid w:val="00481BDE"/>
    <w:rsid w:val="004829BC"/>
    <w:rsid w:val="0048346D"/>
    <w:rsid w:val="0049242C"/>
    <w:rsid w:val="00493405"/>
    <w:rsid w:val="0049740A"/>
    <w:rsid w:val="004B0E4D"/>
    <w:rsid w:val="004B24F9"/>
    <w:rsid w:val="004B4890"/>
    <w:rsid w:val="004C43C6"/>
    <w:rsid w:val="004D70E7"/>
    <w:rsid w:val="004D7FB5"/>
    <w:rsid w:val="004E27CD"/>
    <w:rsid w:val="004E2A4A"/>
    <w:rsid w:val="004F08B7"/>
    <w:rsid w:val="004F2384"/>
    <w:rsid w:val="004F628B"/>
    <w:rsid w:val="00501FAC"/>
    <w:rsid w:val="00513961"/>
    <w:rsid w:val="00516D83"/>
    <w:rsid w:val="005218D8"/>
    <w:rsid w:val="00525AB0"/>
    <w:rsid w:val="00531301"/>
    <w:rsid w:val="005356D0"/>
    <w:rsid w:val="00547482"/>
    <w:rsid w:val="00561C71"/>
    <w:rsid w:val="005635C2"/>
    <w:rsid w:val="00581ABF"/>
    <w:rsid w:val="00586EB2"/>
    <w:rsid w:val="005917FB"/>
    <w:rsid w:val="00593EFF"/>
    <w:rsid w:val="00594AF4"/>
    <w:rsid w:val="005A02AB"/>
    <w:rsid w:val="005A405B"/>
    <w:rsid w:val="005A4918"/>
    <w:rsid w:val="005A4E98"/>
    <w:rsid w:val="005B339C"/>
    <w:rsid w:val="005B76AC"/>
    <w:rsid w:val="005C5DB4"/>
    <w:rsid w:val="005D344C"/>
    <w:rsid w:val="005E1D66"/>
    <w:rsid w:val="005E3914"/>
    <w:rsid w:val="005E3DF4"/>
    <w:rsid w:val="006051D3"/>
    <w:rsid w:val="00612449"/>
    <w:rsid w:val="00632D03"/>
    <w:rsid w:val="0063498D"/>
    <w:rsid w:val="006404B4"/>
    <w:rsid w:val="00641234"/>
    <w:rsid w:val="00642606"/>
    <w:rsid w:val="0064767A"/>
    <w:rsid w:val="00647B36"/>
    <w:rsid w:val="00660FD7"/>
    <w:rsid w:val="0066115F"/>
    <w:rsid w:val="006611F0"/>
    <w:rsid w:val="00662127"/>
    <w:rsid w:val="006644D3"/>
    <w:rsid w:val="00666652"/>
    <w:rsid w:val="00666CA1"/>
    <w:rsid w:val="006675F1"/>
    <w:rsid w:val="00676E41"/>
    <w:rsid w:val="00684AC4"/>
    <w:rsid w:val="00691574"/>
    <w:rsid w:val="00692F71"/>
    <w:rsid w:val="006934C8"/>
    <w:rsid w:val="00693703"/>
    <w:rsid w:val="006942B8"/>
    <w:rsid w:val="006A1C9C"/>
    <w:rsid w:val="006A265B"/>
    <w:rsid w:val="006A6B12"/>
    <w:rsid w:val="006B1315"/>
    <w:rsid w:val="006B5714"/>
    <w:rsid w:val="006C4BD1"/>
    <w:rsid w:val="006C62A4"/>
    <w:rsid w:val="006C6DB3"/>
    <w:rsid w:val="006C7334"/>
    <w:rsid w:val="006D09FE"/>
    <w:rsid w:val="006D1A74"/>
    <w:rsid w:val="006D26F9"/>
    <w:rsid w:val="006D4262"/>
    <w:rsid w:val="006E1DCC"/>
    <w:rsid w:val="006F1B6F"/>
    <w:rsid w:val="006F7F12"/>
    <w:rsid w:val="00705525"/>
    <w:rsid w:val="0071664F"/>
    <w:rsid w:val="00720AEF"/>
    <w:rsid w:val="00725806"/>
    <w:rsid w:val="00730B49"/>
    <w:rsid w:val="00736AF2"/>
    <w:rsid w:val="00740F35"/>
    <w:rsid w:val="007458B3"/>
    <w:rsid w:val="00754A50"/>
    <w:rsid w:val="00763B85"/>
    <w:rsid w:val="00795872"/>
    <w:rsid w:val="007A0510"/>
    <w:rsid w:val="007A345A"/>
    <w:rsid w:val="007A38A1"/>
    <w:rsid w:val="007A6A0F"/>
    <w:rsid w:val="007B3809"/>
    <w:rsid w:val="007D620D"/>
    <w:rsid w:val="007E4506"/>
    <w:rsid w:val="007E61DD"/>
    <w:rsid w:val="007F3BAF"/>
    <w:rsid w:val="007F5099"/>
    <w:rsid w:val="00804185"/>
    <w:rsid w:val="00813DD9"/>
    <w:rsid w:val="00814F28"/>
    <w:rsid w:val="008245E6"/>
    <w:rsid w:val="0082502A"/>
    <w:rsid w:val="00832670"/>
    <w:rsid w:val="008339DB"/>
    <w:rsid w:val="00835AC3"/>
    <w:rsid w:val="00841BCA"/>
    <w:rsid w:val="00843C61"/>
    <w:rsid w:val="00843DB6"/>
    <w:rsid w:val="008469BE"/>
    <w:rsid w:val="008529DE"/>
    <w:rsid w:val="00854169"/>
    <w:rsid w:val="0085586B"/>
    <w:rsid w:val="008570DA"/>
    <w:rsid w:val="00864601"/>
    <w:rsid w:val="00866DCB"/>
    <w:rsid w:val="00870848"/>
    <w:rsid w:val="00874315"/>
    <w:rsid w:val="0087640F"/>
    <w:rsid w:val="008A3CB9"/>
    <w:rsid w:val="008A5841"/>
    <w:rsid w:val="008B2871"/>
    <w:rsid w:val="008C5A6F"/>
    <w:rsid w:val="008D1173"/>
    <w:rsid w:val="008D6135"/>
    <w:rsid w:val="008E7338"/>
    <w:rsid w:val="008F28D5"/>
    <w:rsid w:val="008F6CF2"/>
    <w:rsid w:val="00902AF0"/>
    <w:rsid w:val="00902B00"/>
    <w:rsid w:val="00903573"/>
    <w:rsid w:val="00903F46"/>
    <w:rsid w:val="009109CB"/>
    <w:rsid w:val="00912497"/>
    <w:rsid w:val="009136A0"/>
    <w:rsid w:val="00917BB7"/>
    <w:rsid w:val="00930D13"/>
    <w:rsid w:val="00945F10"/>
    <w:rsid w:val="00947745"/>
    <w:rsid w:val="00956EE9"/>
    <w:rsid w:val="009575AB"/>
    <w:rsid w:val="0096173B"/>
    <w:rsid w:val="009618B0"/>
    <w:rsid w:val="009625CC"/>
    <w:rsid w:val="00963B7F"/>
    <w:rsid w:val="009643FD"/>
    <w:rsid w:val="00964B97"/>
    <w:rsid w:val="009705E3"/>
    <w:rsid w:val="00975DE4"/>
    <w:rsid w:val="0098132E"/>
    <w:rsid w:val="009C2A98"/>
    <w:rsid w:val="009C53DD"/>
    <w:rsid w:val="009D01A8"/>
    <w:rsid w:val="009D3C31"/>
    <w:rsid w:val="009F62BF"/>
    <w:rsid w:val="00A10AF8"/>
    <w:rsid w:val="00A121FC"/>
    <w:rsid w:val="00A166A7"/>
    <w:rsid w:val="00A2260C"/>
    <w:rsid w:val="00A229F7"/>
    <w:rsid w:val="00A25687"/>
    <w:rsid w:val="00A3488A"/>
    <w:rsid w:val="00A434F6"/>
    <w:rsid w:val="00A439AB"/>
    <w:rsid w:val="00A47C21"/>
    <w:rsid w:val="00A52207"/>
    <w:rsid w:val="00A565DD"/>
    <w:rsid w:val="00A57BF2"/>
    <w:rsid w:val="00A646F4"/>
    <w:rsid w:val="00A657EC"/>
    <w:rsid w:val="00A67022"/>
    <w:rsid w:val="00A70FE0"/>
    <w:rsid w:val="00A71DA7"/>
    <w:rsid w:val="00A72470"/>
    <w:rsid w:val="00A74EEF"/>
    <w:rsid w:val="00A77182"/>
    <w:rsid w:val="00A821F1"/>
    <w:rsid w:val="00A86FDE"/>
    <w:rsid w:val="00A877A1"/>
    <w:rsid w:val="00A945A7"/>
    <w:rsid w:val="00A95FBD"/>
    <w:rsid w:val="00AA0302"/>
    <w:rsid w:val="00AA19D0"/>
    <w:rsid w:val="00AA559A"/>
    <w:rsid w:val="00AB6E69"/>
    <w:rsid w:val="00AC007D"/>
    <w:rsid w:val="00AC0891"/>
    <w:rsid w:val="00AC666B"/>
    <w:rsid w:val="00AD1AE8"/>
    <w:rsid w:val="00AE1EA0"/>
    <w:rsid w:val="00AE3C60"/>
    <w:rsid w:val="00AF43A3"/>
    <w:rsid w:val="00AF569A"/>
    <w:rsid w:val="00AF71CB"/>
    <w:rsid w:val="00B00428"/>
    <w:rsid w:val="00B03174"/>
    <w:rsid w:val="00B21B94"/>
    <w:rsid w:val="00B222A9"/>
    <w:rsid w:val="00B22957"/>
    <w:rsid w:val="00B259E5"/>
    <w:rsid w:val="00B30240"/>
    <w:rsid w:val="00B458F9"/>
    <w:rsid w:val="00B45920"/>
    <w:rsid w:val="00B53246"/>
    <w:rsid w:val="00B57A3B"/>
    <w:rsid w:val="00B62631"/>
    <w:rsid w:val="00B63BCA"/>
    <w:rsid w:val="00B63C49"/>
    <w:rsid w:val="00B71FE2"/>
    <w:rsid w:val="00B72420"/>
    <w:rsid w:val="00B80492"/>
    <w:rsid w:val="00B81207"/>
    <w:rsid w:val="00B84A00"/>
    <w:rsid w:val="00B91B9E"/>
    <w:rsid w:val="00BA075D"/>
    <w:rsid w:val="00BA3201"/>
    <w:rsid w:val="00BA393F"/>
    <w:rsid w:val="00BA6803"/>
    <w:rsid w:val="00BC2D08"/>
    <w:rsid w:val="00BC514D"/>
    <w:rsid w:val="00BC520D"/>
    <w:rsid w:val="00BD09F9"/>
    <w:rsid w:val="00BD0A4E"/>
    <w:rsid w:val="00BE269D"/>
    <w:rsid w:val="00BE3E26"/>
    <w:rsid w:val="00BE42DC"/>
    <w:rsid w:val="00BE59AF"/>
    <w:rsid w:val="00BE6BCA"/>
    <w:rsid w:val="00BF134B"/>
    <w:rsid w:val="00BF39CE"/>
    <w:rsid w:val="00C0050C"/>
    <w:rsid w:val="00C02777"/>
    <w:rsid w:val="00C05159"/>
    <w:rsid w:val="00C12E1E"/>
    <w:rsid w:val="00C14B9A"/>
    <w:rsid w:val="00C16B8D"/>
    <w:rsid w:val="00C2189F"/>
    <w:rsid w:val="00C2721B"/>
    <w:rsid w:val="00C27EA2"/>
    <w:rsid w:val="00C30324"/>
    <w:rsid w:val="00C365D8"/>
    <w:rsid w:val="00C44B45"/>
    <w:rsid w:val="00C51A55"/>
    <w:rsid w:val="00C62D30"/>
    <w:rsid w:val="00C66894"/>
    <w:rsid w:val="00C66E4C"/>
    <w:rsid w:val="00C77A10"/>
    <w:rsid w:val="00C81E24"/>
    <w:rsid w:val="00C86646"/>
    <w:rsid w:val="00C92B05"/>
    <w:rsid w:val="00C93BDF"/>
    <w:rsid w:val="00C96F8A"/>
    <w:rsid w:val="00CA2155"/>
    <w:rsid w:val="00CA220E"/>
    <w:rsid w:val="00CB1004"/>
    <w:rsid w:val="00CB3DAB"/>
    <w:rsid w:val="00CC2642"/>
    <w:rsid w:val="00CC4388"/>
    <w:rsid w:val="00CD0B4B"/>
    <w:rsid w:val="00CD1034"/>
    <w:rsid w:val="00CD2CC4"/>
    <w:rsid w:val="00CD65D4"/>
    <w:rsid w:val="00CF2CD9"/>
    <w:rsid w:val="00CF5151"/>
    <w:rsid w:val="00D04026"/>
    <w:rsid w:val="00D042B6"/>
    <w:rsid w:val="00D074FC"/>
    <w:rsid w:val="00D11B75"/>
    <w:rsid w:val="00D34C46"/>
    <w:rsid w:val="00D353E6"/>
    <w:rsid w:val="00D41AA9"/>
    <w:rsid w:val="00D443C6"/>
    <w:rsid w:val="00D47F98"/>
    <w:rsid w:val="00D520DC"/>
    <w:rsid w:val="00D603D8"/>
    <w:rsid w:val="00D64BD4"/>
    <w:rsid w:val="00D66F0F"/>
    <w:rsid w:val="00D75AA4"/>
    <w:rsid w:val="00D8283E"/>
    <w:rsid w:val="00D8367B"/>
    <w:rsid w:val="00D84CF1"/>
    <w:rsid w:val="00DA4F9D"/>
    <w:rsid w:val="00DA6CDB"/>
    <w:rsid w:val="00DB5977"/>
    <w:rsid w:val="00DC2094"/>
    <w:rsid w:val="00DC360F"/>
    <w:rsid w:val="00DC79E6"/>
    <w:rsid w:val="00DD0214"/>
    <w:rsid w:val="00DD3A8E"/>
    <w:rsid w:val="00DE4BBF"/>
    <w:rsid w:val="00DE50C8"/>
    <w:rsid w:val="00DF4FCB"/>
    <w:rsid w:val="00DF53BA"/>
    <w:rsid w:val="00DF5B99"/>
    <w:rsid w:val="00DF7CB9"/>
    <w:rsid w:val="00E0161D"/>
    <w:rsid w:val="00E22898"/>
    <w:rsid w:val="00E247C6"/>
    <w:rsid w:val="00E25942"/>
    <w:rsid w:val="00E41190"/>
    <w:rsid w:val="00E4205C"/>
    <w:rsid w:val="00E45531"/>
    <w:rsid w:val="00E455D8"/>
    <w:rsid w:val="00E46CE1"/>
    <w:rsid w:val="00E4719F"/>
    <w:rsid w:val="00E54977"/>
    <w:rsid w:val="00E56DE4"/>
    <w:rsid w:val="00E71108"/>
    <w:rsid w:val="00E762DF"/>
    <w:rsid w:val="00E772DA"/>
    <w:rsid w:val="00E91FF4"/>
    <w:rsid w:val="00EA109E"/>
    <w:rsid w:val="00EA2EDA"/>
    <w:rsid w:val="00EB134A"/>
    <w:rsid w:val="00EB3A01"/>
    <w:rsid w:val="00EC7B4C"/>
    <w:rsid w:val="00ED2771"/>
    <w:rsid w:val="00ED3089"/>
    <w:rsid w:val="00ED50F0"/>
    <w:rsid w:val="00EE0889"/>
    <w:rsid w:val="00EE16DB"/>
    <w:rsid w:val="00EE5C8A"/>
    <w:rsid w:val="00EE7168"/>
    <w:rsid w:val="00EF2121"/>
    <w:rsid w:val="00F06A5D"/>
    <w:rsid w:val="00F075B6"/>
    <w:rsid w:val="00F131E9"/>
    <w:rsid w:val="00F22593"/>
    <w:rsid w:val="00F266CC"/>
    <w:rsid w:val="00F40611"/>
    <w:rsid w:val="00F40DC4"/>
    <w:rsid w:val="00F41E17"/>
    <w:rsid w:val="00F42A59"/>
    <w:rsid w:val="00F461BC"/>
    <w:rsid w:val="00F529F8"/>
    <w:rsid w:val="00F53833"/>
    <w:rsid w:val="00F55B71"/>
    <w:rsid w:val="00F55DE7"/>
    <w:rsid w:val="00F63A5F"/>
    <w:rsid w:val="00F67EC5"/>
    <w:rsid w:val="00F73531"/>
    <w:rsid w:val="00F8111A"/>
    <w:rsid w:val="00F87E89"/>
    <w:rsid w:val="00F91099"/>
    <w:rsid w:val="00FB0763"/>
    <w:rsid w:val="00FB0CF6"/>
    <w:rsid w:val="00FE3C92"/>
    <w:rsid w:val="00FE53B9"/>
    <w:rsid w:val="00FE7286"/>
    <w:rsid w:val="00FF3987"/>
    <w:rsid w:val="00FF4C83"/>
    <w:rsid w:val="042E0CB1"/>
    <w:rsid w:val="058E65CC"/>
    <w:rsid w:val="05EC33E2"/>
    <w:rsid w:val="06F36DDA"/>
    <w:rsid w:val="07A1459F"/>
    <w:rsid w:val="08D9511C"/>
    <w:rsid w:val="09767FB0"/>
    <w:rsid w:val="0BCE6784"/>
    <w:rsid w:val="0CAA5AA3"/>
    <w:rsid w:val="0ED717B8"/>
    <w:rsid w:val="113445F0"/>
    <w:rsid w:val="13932B9C"/>
    <w:rsid w:val="13D65BB6"/>
    <w:rsid w:val="17AF7124"/>
    <w:rsid w:val="190D1D08"/>
    <w:rsid w:val="1BBE2F58"/>
    <w:rsid w:val="1DBB0378"/>
    <w:rsid w:val="1F604622"/>
    <w:rsid w:val="1FF51AD5"/>
    <w:rsid w:val="23481F3D"/>
    <w:rsid w:val="2456607E"/>
    <w:rsid w:val="252F1F29"/>
    <w:rsid w:val="275E212C"/>
    <w:rsid w:val="28B30CF3"/>
    <w:rsid w:val="29BB536C"/>
    <w:rsid w:val="2A4B31DB"/>
    <w:rsid w:val="2C235FE8"/>
    <w:rsid w:val="2E355A8C"/>
    <w:rsid w:val="2E8E4922"/>
    <w:rsid w:val="2FF52D66"/>
    <w:rsid w:val="310F0472"/>
    <w:rsid w:val="32311BA1"/>
    <w:rsid w:val="32E50095"/>
    <w:rsid w:val="37526BB6"/>
    <w:rsid w:val="3BDF1729"/>
    <w:rsid w:val="3C6763FE"/>
    <w:rsid w:val="3D4412E0"/>
    <w:rsid w:val="3D7B776D"/>
    <w:rsid w:val="3F9F0AE9"/>
    <w:rsid w:val="41275454"/>
    <w:rsid w:val="423E02B9"/>
    <w:rsid w:val="43362EFE"/>
    <w:rsid w:val="443C4C09"/>
    <w:rsid w:val="47764971"/>
    <w:rsid w:val="47910C39"/>
    <w:rsid w:val="480362DC"/>
    <w:rsid w:val="484E625E"/>
    <w:rsid w:val="49681643"/>
    <w:rsid w:val="49C603A2"/>
    <w:rsid w:val="4A7C08C4"/>
    <w:rsid w:val="4E8E7B1E"/>
    <w:rsid w:val="4FB16C38"/>
    <w:rsid w:val="5A6524DD"/>
    <w:rsid w:val="5C092B25"/>
    <w:rsid w:val="61242A9E"/>
    <w:rsid w:val="631F24EF"/>
    <w:rsid w:val="677C28EC"/>
    <w:rsid w:val="677D2FA5"/>
    <w:rsid w:val="69B40DAF"/>
    <w:rsid w:val="6ACD7E8E"/>
    <w:rsid w:val="6DDE2ED1"/>
    <w:rsid w:val="734238BE"/>
    <w:rsid w:val="74484D05"/>
    <w:rsid w:val="7A2166CE"/>
    <w:rsid w:val="7C103ED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3"/>
    <w:qFormat/>
    <w:uiPriority w:val="0"/>
    <w:pPr>
      <w:keepNext/>
      <w:jc w:val="center"/>
      <w:outlineLvl w:val="0"/>
    </w:pPr>
    <w:rPr>
      <w:rFonts w:eastAsia="黑体"/>
      <w:sz w:val="32"/>
      <w:szCs w:val="20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条文"/>
    <w:basedOn w:val="1"/>
    <w:link w:val="22"/>
    <w:qFormat/>
    <w:uiPriority w:val="0"/>
    <w:pPr>
      <w:spacing w:line="312" w:lineRule="auto"/>
      <w:ind w:firstLine="200" w:firstLineChars="200"/>
      <w:outlineLvl w:val="3"/>
    </w:pPr>
  </w:style>
  <w:style w:type="paragraph" w:styleId="4">
    <w:name w:val="annotation text"/>
    <w:basedOn w:val="1"/>
    <w:semiHidden/>
    <w:qFormat/>
    <w:uiPriority w:val="0"/>
    <w:pPr>
      <w:jc w:val="left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</w:style>
  <w:style w:type="paragraph" w:styleId="6">
    <w:name w:val="Balloon Text"/>
    <w:basedOn w:val="1"/>
    <w:link w:val="17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5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Body Text 2"/>
    <w:basedOn w:val="1"/>
    <w:qFormat/>
    <w:uiPriority w:val="0"/>
    <w:pPr>
      <w:spacing w:after="120" w:line="480" w:lineRule="auto"/>
    </w:pPr>
  </w:style>
  <w:style w:type="paragraph" w:styleId="10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Hyperlink"/>
    <w:qFormat/>
    <w:uiPriority w:val="0"/>
    <w:rPr>
      <w:color w:val="333333"/>
      <w:u w:val="single"/>
    </w:rPr>
  </w:style>
  <w:style w:type="character" w:customStyle="1" w:styleId="15">
    <w:name w:val="页眉 Char"/>
    <w:link w:val="8"/>
    <w:qFormat/>
    <w:uiPriority w:val="99"/>
    <w:rPr>
      <w:kern w:val="2"/>
      <w:sz w:val="18"/>
      <w:szCs w:val="18"/>
    </w:rPr>
  </w:style>
  <w:style w:type="character" w:customStyle="1" w:styleId="16">
    <w:name w:val="页脚 Char"/>
    <w:link w:val="7"/>
    <w:qFormat/>
    <w:uiPriority w:val="99"/>
    <w:rPr>
      <w:kern w:val="2"/>
      <w:sz w:val="18"/>
      <w:szCs w:val="18"/>
    </w:rPr>
  </w:style>
  <w:style w:type="character" w:customStyle="1" w:styleId="17">
    <w:name w:val="批注框文本 Char"/>
    <w:link w:val="6"/>
    <w:qFormat/>
    <w:uiPriority w:val="0"/>
    <w:rPr>
      <w:kern w:val="2"/>
      <w:sz w:val="18"/>
      <w:szCs w:val="18"/>
    </w:rPr>
  </w:style>
  <w:style w:type="paragraph" w:styleId="18">
    <w:name w:val="List Paragraph"/>
    <w:basedOn w:val="1"/>
    <w:qFormat/>
    <w:uiPriority w:val="99"/>
    <w:pPr>
      <w:ind w:firstLine="420" w:firstLineChars="200"/>
    </w:pPr>
    <w:rPr>
      <w:szCs w:val="20"/>
    </w:rPr>
  </w:style>
  <w:style w:type="paragraph" w:customStyle="1" w:styleId="19">
    <w:name w:val="正文表标题"/>
    <w:next w:val="1"/>
    <w:qFormat/>
    <w:uiPriority w:val="0"/>
    <w:pPr>
      <w:tabs>
        <w:tab w:val="left" w:pos="420"/>
      </w:tabs>
      <w:spacing w:afterLines="50"/>
      <w:jc w:val="both"/>
    </w:pPr>
    <w:rPr>
      <w:rFonts w:ascii="宋体" w:hAnsi="宋体" w:eastAsia="宋体" w:cs="Arial"/>
      <w:bCs/>
      <w:color w:val="000000"/>
      <w:kern w:val="2"/>
      <w:sz w:val="24"/>
      <w:szCs w:val="24"/>
      <w:lang w:val="en-US" w:eastAsia="zh-CN" w:bidi="ar-SA"/>
    </w:rPr>
  </w:style>
  <w:style w:type="paragraph" w:customStyle="1" w:styleId="20">
    <w:name w:val="3级标题"/>
    <w:basedOn w:val="1"/>
    <w:link w:val="21"/>
    <w:qFormat/>
    <w:uiPriority w:val="0"/>
    <w:pPr>
      <w:spacing w:line="300" w:lineRule="auto"/>
      <w:jc w:val="left"/>
      <w:outlineLvl w:val="2"/>
    </w:pPr>
    <w:rPr>
      <w:rFonts w:ascii="宋体" w:hAnsi="宋体"/>
      <w:sz w:val="24"/>
    </w:rPr>
  </w:style>
  <w:style w:type="character" w:customStyle="1" w:styleId="21">
    <w:name w:val="3级标题 Char"/>
    <w:basedOn w:val="13"/>
    <w:link w:val="20"/>
    <w:qFormat/>
    <w:uiPriority w:val="0"/>
    <w:rPr>
      <w:rFonts w:ascii="宋体" w:hAnsi="宋体"/>
      <w:kern w:val="2"/>
      <w:sz w:val="24"/>
      <w:szCs w:val="24"/>
    </w:rPr>
  </w:style>
  <w:style w:type="character" w:customStyle="1" w:styleId="22">
    <w:name w:val="条文 Char"/>
    <w:basedOn w:val="13"/>
    <w:link w:val="3"/>
    <w:qFormat/>
    <w:uiPriority w:val="0"/>
    <w:rPr>
      <w:kern w:val="2"/>
      <w:sz w:val="21"/>
      <w:szCs w:val="24"/>
    </w:rPr>
  </w:style>
  <w:style w:type="character" w:styleId="23">
    <w:name w:val="Placeholder Text"/>
    <w:basedOn w:val="13"/>
    <w:unhideWhenUsed/>
    <w:qFormat/>
    <w:uiPriority w:val="99"/>
    <w:rPr>
      <w:color w:val="808080"/>
    </w:rPr>
  </w:style>
  <w:style w:type="table" w:customStyle="1" w:styleId="24">
    <w:name w:val="网格型1"/>
    <w:basedOn w:val="11"/>
    <w:qFormat/>
    <w:uiPriority w:val="59"/>
    <w:rPr>
      <w:kern w:val="2"/>
      <w:sz w:val="21"/>
      <w:szCs w:val="2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5">
    <w:name w:val="正文规范名称"/>
    <w:basedOn w:val="2"/>
    <w:qFormat/>
    <w:uiPriority w:val="0"/>
    <w:pPr>
      <w:spacing w:beforeLines="100" w:afterLines="100"/>
      <w:outlineLvl w:val="4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3" Type="http://schemas.openxmlformats.org/officeDocument/2006/relationships/fontTable" Target="fontTable.xml"/><Relationship Id="rId32" Type="http://schemas.openxmlformats.org/officeDocument/2006/relationships/customXml" Target="../customXml/item1.xml"/><Relationship Id="rId31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" Type="http://schemas.openxmlformats.org/officeDocument/2006/relationships/header" Target="header1.xml"/><Relationship Id="rId29" Type="http://schemas.openxmlformats.org/officeDocument/2006/relationships/image" Target="media/image10.wmf"/><Relationship Id="rId28" Type="http://schemas.openxmlformats.org/officeDocument/2006/relationships/oleObject" Target="embeddings/oleObject10.bin"/><Relationship Id="rId27" Type="http://schemas.openxmlformats.org/officeDocument/2006/relationships/image" Target="media/image9.wmf"/><Relationship Id="rId26" Type="http://schemas.openxmlformats.org/officeDocument/2006/relationships/oleObject" Target="embeddings/oleObject9.bin"/><Relationship Id="rId25" Type="http://schemas.openxmlformats.org/officeDocument/2006/relationships/image" Target="media/image8.wmf"/><Relationship Id="rId24" Type="http://schemas.openxmlformats.org/officeDocument/2006/relationships/oleObject" Target="embeddings/oleObject8.bin"/><Relationship Id="rId23" Type="http://schemas.openxmlformats.org/officeDocument/2006/relationships/image" Target="media/image7.wmf"/><Relationship Id="rId22" Type="http://schemas.openxmlformats.org/officeDocument/2006/relationships/oleObject" Target="embeddings/oleObject7.bin"/><Relationship Id="rId21" Type="http://schemas.openxmlformats.org/officeDocument/2006/relationships/image" Target="media/image6.wmf"/><Relationship Id="rId20" Type="http://schemas.openxmlformats.org/officeDocument/2006/relationships/image" Target="media/image5.wmf"/><Relationship Id="rId2" Type="http://schemas.openxmlformats.org/officeDocument/2006/relationships/settings" Target="settings.xml"/><Relationship Id="rId19" Type="http://schemas.openxmlformats.org/officeDocument/2006/relationships/oleObject" Target="embeddings/oleObject6.bin"/><Relationship Id="rId18" Type="http://schemas.openxmlformats.org/officeDocument/2006/relationships/image" Target="media/image4.wmf"/><Relationship Id="rId17" Type="http://schemas.openxmlformats.org/officeDocument/2006/relationships/oleObject" Target="embeddings/oleObject5.bin"/><Relationship Id="rId16" Type="http://schemas.openxmlformats.org/officeDocument/2006/relationships/oleObject" Target="embeddings/oleObject4.bin"/><Relationship Id="rId15" Type="http://schemas.openxmlformats.org/officeDocument/2006/relationships/oleObject" Target="embeddings/oleObject3.bin"/><Relationship Id="rId14" Type="http://schemas.openxmlformats.org/officeDocument/2006/relationships/image" Target="media/image3.wmf"/><Relationship Id="rId13" Type="http://schemas.openxmlformats.org/officeDocument/2006/relationships/oleObject" Target="embeddings/oleObject2.bin"/><Relationship Id="rId12" Type="http://schemas.openxmlformats.org/officeDocument/2006/relationships/image" Target="media/image2.wmf"/><Relationship Id="rId11" Type="http://schemas.openxmlformats.org/officeDocument/2006/relationships/image" Target="media/image1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C2A874-21AA-41F0-98FE-0BB45040DB3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9</Pages>
  <Words>3067</Words>
  <Characters>5009</Characters>
  <Lines>63</Lines>
  <Paragraphs>17</Paragraphs>
  <TotalTime>6</TotalTime>
  <ScaleCrop>false</ScaleCrop>
  <LinksUpToDate>false</LinksUpToDate>
  <CharactersWithSpaces>5229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2025-12-29T06:45:00Z</dcterms:created>
  <dc:creator>黄小雪</dc:creator>
  <cp:lastModifiedBy>古月十尃®</cp:lastModifiedBy>
  <cp:lastPrinted>2020-09-10T08:12:00Z</cp:lastPrinted>
  <dcterms:modified xsi:type="dcterms:W3CDTF">2026-05-11T06:49:35Z</dcterms:modified>
  <dc:title>《交直流电表校验仪》校准规范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eyJoZGlkIjoiZjVjOTdlODZkNmViZDViMGRhMTUwMzNkNmM3OTgzODAiLCJ1c2VySWQiOiI0NDc2NDUxODAifQ==</vt:lpwstr>
  </property>
  <property fmtid="{D5CDD505-2E9C-101B-9397-08002B2CF9AE}" pid="4" name="ICV">
    <vt:lpwstr>4A90FFAE80324B24A886B57B161CC029_12</vt:lpwstr>
  </property>
</Properties>
</file>