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82C79">
      <w:pPr>
        <w:spacing w:line="360" w:lineRule="auto"/>
        <w:jc w:val="center"/>
        <w:rPr>
          <w:b/>
          <w:sz w:val="48"/>
          <w:szCs w:val="52"/>
        </w:rPr>
      </w:pPr>
    </w:p>
    <w:p w14:paraId="187A5F1A">
      <w:pPr>
        <w:spacing w:line="360" w:lineRule="auto"/>
        <w:jc w:val="center"/>
        <w:rPr>
          <w:b/>
          <w:sz w:val="48"/>
          <w:szCs w:val="52"/>
        </w:rPr>
      </w:pPr>
    </w:p>
    <w:p w14:paraId="627BA776">
      <w:pPr>
        <w:spacing w:line="360" w:lineRule="auto"/>
        <w:jc w:val="center"/>
        <w:rPr>
          <w:b/>
          <w:sz w:val="48"/>
          <w:szCs w:val="52"/>
        </w:rPr>
      </w:pPr>
    </w:p>
    <w:p w14:paraId="187F054F">
      <w:pPr>
        <w:spacing w:line="360" w:lineRule="auto"/>
        <w:jc w:val="center"/>
        <w:rPr>
          <w:b/>
          <w:sz w:val="48"/>
          <w:szCs w:val="52"/>
        </w:rPr>
      </w:pPr>
    </w:p>
    <w:p w14:paraId="278682AF">
      <w:pPr>
        <w:spacing w:line="360" w:lineRule="auto"/>
        <w:jc w:val="center"/>
        <w:rPr>
          <w:b/>
          <w:sz w:val="48"/>
          <w:szCs w:val="52"/>
        </w:rPr>
      </w:pPr>
    </w:p>
    <w:p w14:paraId="21E697FA">
      <w:pPr>
        <w:spacing w:line="360" w:lineRule="auto"/>
        <w:jc w:val="center"/>
        <w:rPr>
          <w:b/>
          <w:sz w:val="48"/>
          <w:szCs w:val="52"/>
        </w:rPr>
      </w:pPr>
    </w:p>
    <w:p w14:paraId="1B65FB4F">
      <w:pPr>
        <w:spacing w:line="360" w:lineRule="auto"/>
        <w:jc w:val="center"/>
        <w:rPr>
          <w:b/>
          <w:sz w:val="48"/>
          <w:szCs w:val="52"/>
        </w:rPr>
      </w:pPr>
      <w:r>
        <w:rPr>
          <w:b/>
          <w:sz w:val="48"/>
          <w:szCs w:val="52"/>
        </w:rPr>
        <w:t>矿用氢气报警器校准规范不确定度评定报告</w:t>
      </w:r>
    </w:p>
    <w:p w14:paraId="296634ED">
      <w:pPr>
        <w:spacing w:line="360" w:lineRule="auto"/>
        <w:jc w:val="center"/>
        <w:rPr>
          <w:b/>
          <w:sz w:val="36"/>
          <w:szCs w:val="36"/>
        </w:rPr>
      </w:pPr>
    </w:p>
    <w:p w14:paraId="3CD408A7">
      <w:pPr>
        <w:spacing w:line="360" w:lineRule="auto"/>
        <w:jc w:val="center"/>
        <w:rPr>
          <w:b/>
          <w:sz w:val="36"/>
          <w:szCs w:val="36"/>
        </w:rPr>
      </w:pPr>
    </w:p>
    <w:p w14:paraId="530C711D">
      <w:pPr>
        <w:spacing w:line="360" w:lineRule="auto"/>
        <w:jc w:val="center"/>
        <w:rPr>
          <w:b/>
          <w:sz w:val="36"/>
          <w:szCs w:val="36"/>
        </w:rPr>
      </w:pPr>
    </w:p>
    <w:p w14:paraId="0BDF66DE">
      <w:pPr>
        <w:spacing w:line="360" w:lineRule="auto"/>
        <w:jc w:val="center"/>
        <w:rPr>
          <w:b/>
          <w:sz w:val="36"/>
          <w:szCs w:val="36"/>
        </w:rPr>
      </w:pPr>
    </w:p>
    <w:p w14:paraId="58D0C44E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10D793D3">
      <w:pPr>
        <w:spacing w:line="360" w:lineRule="auto"/>
        <w:jc w:val="center"/>
        <w:rPr>
          <w:b/>
          <w:sz w:val="36"/>
          <w:szCs w:val="36"/>
        </w:rPr>
      </w:pPr>
    </w:p>
    <w:p w14:paraId="62C57347">
      <w:pPr>
        <w:spacing w:line="360" w:lineRule="auto"/>
        <w:jc w:val="center"/>
        <w:rPr>
          <w:b/>
          <w:sz w:val="36"/>
          <w:szCs w:val="36"/>
        </w:rPr>
      </w:pPr>
    </w:p>
    <w:p w14:paraId="3B667D57">
      <w:pPr>
        <w:spacing w:line="360" w:lineRule="auto"/>
        <w:jc w:val="center"/>
        <w:rPr>
          <w:b/>
          <w:sz w:val="36"/>
          <w:szCs w:val="36"/>
        </w:rPr>
      </w:pPr>
    </w:p>
    <w:p w14:paraId="0C0949C1">
      <w:pPr>
        <w:spacing w:line="360" w:lineRule="auto"/>
        <w:jc w:val="center"/>
        <w:rPr>
          <w:b/>
          <w:sz w:val="36"/>
          <w:szCs w:val="36"/>
        </w:rPr>
      </w:pPr>
    </w:p>
    <w:p w14:paraId="34AF1388">
      <w:pPr>
        <w:spacing w:line="360" w:lineRule="auto"/>
        <w:jc w:val="center"/>
        <w:rPr>
          <w:bCs/>
          <w:sz w:val="32"/>
          <w:szCs w:val="36"/>
        </w:rPr>
      </w:pPr>
      <w:r>
        <w:rPr>
          <w:bCs/>
          <w:sz w:val="32"/>
          <w:szCs w:val="36"/>
        </w:rPr>
        <w:t>规范起草小组</w:t>
      </w:r>
    </w:p>
    <w:p w14:paraId="5B1CC861">
      <w:pPr>
        <w:spacing w:line="360" w:lineRule="auto"/>
        <w:jc w:val="center"/>
        <w:rPr>
          <w:bCs/>
          <w:color w:val="000000" w:themeColor="text1"/>
          <w:sz w:val="32"/>
          <w:szCs w:val="36"/>
        </w:rPr>
      </w:pPr>
      <w:r>
        <w:rPr>
          <w:bCs/>
          <w:color w:val="000000" w:themeColor="text1"/>
          <w:sz w:val="32"/>
          <w:szCs w:val="36"/>
        </w:rPr>
        <w:t xml:space="preserve"> 2</w:t>
      </w:r>
      <w:r>
        <w:rPr>
          <w:rFonts w:hint="eastAsia"/>
          <w:bCs/>
          <w:color w:val="000000" w:themeColor="text1"/>
          <w:sz w:val="32"/>
          <w:szCs w:val="36"/>
        </w:rPr>
        <w:t>026</w:t>
      </w:r>
      <w:r>
        <w:rPr>
          <w:bCs/>
          <w:color w:val="000000" w:themeColor="text1"/>
          <w:sz w:val="32"/>
          <w:szCs w:val="36"/>
        </w:rPr>
        <w:t>年</w:t>
      </w:r>
      <w:r>
        <w:rPr>
          <w:rFonts w:hint="eastAsia"/>
          <w:bCs/>
          <w:color w:val="000000" w:themeColor="text1"/>
          <w:sz w:val="32"/>
          <w:szCs w:val="36"/>
        </w:rPr>
        <w:t>0</w:t>
      </w:r>
      <w:r>
        <w:rPr>
          <w:rFonts w:hint="eastAsia"/>
          <w:bCs/>
          <w:color w:val="000000" w:themeColor="text1"/>
          <w:sz w:val="32"/>
          <w:szCs w:val="36"/>
          <w:lang w:val="en-US" w:eastAsia="zh-CN"/>
        </w:rPr>
        <w:t>3</w:t>
      </w:r>
      <w:r>
        <w:rPr>
          <w:bCs/>
          <w:color w:val="000000" w:themeColor="text1"/>
          <w:sz w:val="32"/>
          <w:szCs w:val="36"/>
        </w:rPr>
        <w:t>月</w:t>
      </w:r>
      <w:r>
        <w:rPr>
          <w:rFonts w:hint="eastAsia"/>
          <w:bCs/>
          <w:color w:val="000000" w:themeColor="text1"/>
          <w:sz w:val="32"/>
          <w:szCs w:val="36"/>
          <w:lang w:val="en-US" w:eastAsia="zh-CN"/>
        </w:rPr>
        <w:t>18</w:t>
      </w:r>
      <w:r>
        <w:rPr>
          <w:bCs/>
          <w:color w:val="000000" w:themeColor="text1"/>
          <w:sz w:val="32"/>
          <w:szCs w:val="36"/>
        </w:rPr>
        <w:t>日</w:t>
      </w:r>
    </w:p>
    <w:p w14:paraId="08F81719"/>
    <w:p w14:paraId="11BFE73C"/>
    <w:p w14:paraId="204E2178"/>
    <w:p w14:paraId="5E26831B"/>
    <w:p w14:paraId="0E99C1F2"/>
    <w:p w14:paraId="50259907">
      <w:pPr>
        <w:widowControl/>
        <w:jc w:val="left"/>
      </w:pPr>
      <w:r>
        <w:br w:type="page"/>
      </w:r>
    </w:p>
    <w:p w14:paraId="113B8BBB"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矿用氢气报警器示值误差的测量结果不确定度评定</w:t>
      </w:r>
      <w:r>
        <w:rPr>
          <w:rFonts w:ascii="黑体" w:hAnsi="黑体" w:eastAsia="黑体" w:cs="黑体"/>
          <w:sz w:val="28"/>
          <w:szCs w:val="28"/>
        </w:rPr>
        <w:t>报告</w:t>
      </w:r>
    </w:p>
    <w:p w14:paraId="5E9EC9D2">
      <w:pPr>
        <w:jc w:val="center"/>
        <w:rPr>
          <w:rFonts w:ascii="黑体" w:hAnsi="黑体" w:eastAsia="黑体" w:cs="黑体"/>
          <w:sz w:val="28"/>
          <w:szCs w:val="28"/>
        </w:rPr>
      </w:pPr>
    </w:p>
    <w:p w14:paraId="77970F53">
      <w:pPr>
        <w:pStyle w:val="13"/>
        <w:spacing w:before="156" w:after="156"/>
      </w:pPr>
      <w:bookmarkStart w:id="0" w:name="_Toc37940639"/>
      <w:bookmarkStart w:id="1" w:name="_Toc37921723"/>
      <w:bookmarkStart w:id="2" w:name="_Toc38372718"/>
      <w:bookmarkStart w:id="3" w:name="_Toc38372251"/>
      <w:r>
        <w:rPr>
          <w:rFonts w:hint="eastAsia" w:ascii="黑体" w:hAnsi="黑体" w:eastAsia="黑体" w:cs="黑体"/>
          <w:lang w:val="en-US" w:eastAsia="zh-CN"/>
        </w:rPr>
        <w:t>1</w:t>
      </w:r>
      <w:r>
        <w:t xml:space="preserve"> </w:t>
      </w:r>
      <w:r>
        <w:rPr>
          <w:rFonts w:hint="eastAsia"/>
        </w:rPr>
        <w:t>评定</w:t>
      </w:r>
      <w:r>
        <w:t>目的</w:t>
      </w:r>
    </w:p>
    <w:p w14:paraId="02D9FAA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在《矿用氢气报警器校准规范》的制定过程中，为了更好的验证校准方法的可靠性，</w:t>
      </w:r>
      <w:r>
        <w:rPr>
          <w:sz w:val="24"/>
        </w:rPr>
        <w:t>我们对</w:t>
      </w:r>
      <w:r>
        <w:rPr>
          <w:rFonts w:hint="eastAsia"/>
          <w:sz w:val="24"/>
        </w:rPr>
        <w:t>矿用氢气报警器</w:t>
      </w:r>
      <w:r>
        <w:rPr>
          <w:sz w:val="24"/>
        </w:rPr>
        <w:t>校准规范中</w:t>
      </w:r>
      <w:r>
        <w:rPr>
          <w:rFonts w:hint="eastAsia"/>
          <w:sz w:val="24"/>
        </w:rPr>
        <w:t>矿用氢气报警器示值误差的测量结果</w:t>
      </w:r>
      <w:r>
        <w:rPr>
          <w:sz w:val="24"/>
        </w:rPr>
        <w:t>进行了</w:t>
      </w:r>
      <w:r>
        <w:rPr>
          <w:rFonts w:hint="eastAsia"/>
          <w:sz w:val="24"/>
        </w:rPr>
        <w:t>测量不确定度评定</w:t>
      </w:r>
      <w:r>
        <w:rPr>
          <w:sz w:val="24"/>
        </w:rPr>
        <w:t>。</w:t>
      </w:r>
    </w:p>
    <w:p w14:paraId="2A6CDE0B">
      <w:pPr>
        <w:pStyle w:val="13"/>
        <w:spacing w:before="156" w:after="156"/>
      </w:pPr>
      <w:r>
        <w:rPr>
          <w:rFonts w:hint="eastAsia" w:ascii="黑体" w:hAnsi="黑体" w:eastAsia="黑体" w:cs="黑体"/>
        </w:rPr>
        <w:t>2</w:t>
      </w:r>
      <w:r>
        <w:rPr>
          <w:rFonts w:hint="eastAsia" w:ascii="黑体" w:hAnsi="黑体" w:cs="黑体"/>
          <w:lang w:val="en-US" w:eastAsia="zh-CN"/>
        </w:rPr>
        <w:t xml:space="preserve"> </w:t>
      </w:r>
      <w:r>
        <w:t>标准设备与试验用</w:t>
      </w:r>
      <w:r>
        <w:rPr>
          <w:rFonts w:hint="eastAsia"/>
        </w:rPr>
        <w:t>矿用氢气报警器</w:t>
      </w:r>
      <w:r>
        <w:t>基本信息</w:t>
      </w:r>
    </w:p>
    <w:p w14:paraId="7831266D">
      <w:pPr>
        <w:spacing w:afterLines="5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.1 </w:t>
      </w:r>
      <w:r>
        <w:rPr>
          <w:rFonts w:hint="eastAsia"/>
          <w:sz w:val="24"/>
        </w:rPr>
        <w:t>评定</w:t>
      </w:r>
      <w:r>
        <w:rPr>
          <w:sz w:val="24"/>
        </w:rPr>
        <w:t>条件</w:t>
      </w:r>
    </w:p>
    <w:p w14:paraId="67942528">
      <w:pPr>
        <w:spacing w:line="360" w:lineRule="auto"/>
        <w:ind w:firstLine="480"/>
        <w:rPr>
          <w:color w:val="FF0000"/>
          <w:sz w:val="24"/>
        </w:rPr>
      </w:pPr>
      <w:r>
        <w:rPr>
          <w:rFonts w:hint="eastAsia"/>
          <w:sz w:val="24"/>
        </w:rPr>
        <w:t>a）</w:t>
      </w:r>
      <w:r>
        <w:rPr>
          <w:sz w:val="24"/>
        </w:rPr>
        <w:t>试验日期：20</w:t>
      </w:r>
      <w:r>
        <w:rPr>
          <w:rFonts w:hint="eastAsia"/>
          <w:sz w:val="24"/>
        </w:rPr>
        <w:t>25</w:t>
      </w:r>
      <w:r>
        <w:rPr>
          <w:sz w:val="24"/>
        </w:rPr>
        <w:t>.</w:t>
      </w:r>
      <w:r>
        <w:rPr>
          <w:rFonts w:hint="eastAsia"/>
          <w:sz w:val="24"/>
        </w:rPr>
        <w:t>12</w:t>
      </w:r>
      <w:r>
        <w:rPr>
          <w:sz w:val="24"/>
        </w:rPr>
        <w:t>.</w:t>
      </w:r>
      <w:r>
        <w:rPr>
          <w:rFonts w:hint="eastAsia"/>
          <w:sz w:val="24"/>
        </w:rPr>
        <w:t>1</w:t>
      </w:r>
      <w:r>
        <w:rPr>
          <w:sz w:val="24"/>
        </w:rPr>
        <w:t>8～20</w:t>
      </w:r>
      <w:r>
        <w:rPr>
          <w:rFonts w:hint="eastAsia"/>
          <w:sz w:val="24"/>
        </w:rPr>
        <w:t>26</w:t>
      </w:r>
      <w:r>
        <w:rPr>
          <w:sz w:val="24"/>
        </w:rPr>
        <w:t>.</w:t>
      </w:r>
      <w:r>
        <w:rPr>
          <w:rFonts w:hint="eastAsia"/>
          <w:sz w:val="24"/>
        </w:rPr>
        <w:t>0</w:t>
      </w: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>.1</w:t>
      </w:r>
      <w:r>
        <w:rPr>
          <w:rFonts w:hint="eastAsia"/>
          <w:sz w:val="24"/>
        </w:rPr>
        <w:t>8</w:t>
      </w:r>
    </w:p>
    <w:p w14:paraId="2D065F1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b</w:t>
      </w:r>
      <w:r>
        <w:rPr>
          <w:sz w:val="24"/>
        </w:rPr>
        <w:t>) 试验地点：</w:t>
      </w:r>
      <w:r>
        <w:rPr>
          <w:rFonts w:hint="eastAsia"/>
          <w:sz w:val="24"/>
        </w:rPr>
        <w:t>六盘水市检验检测中心214室</w:t>
      </w:r>
    </w:p>
    <w:p w14:paraId="6F710E6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c）</w:t>
      </w:r>
      <w:r>
        <w:rPr>
          <w:sz w:val="24"/>
        </w:rPr>
        <w:t>试验人员：</w:t>
      </w:r>
      <w:r>
        <w:rPr>
          <w:rFonts w:hint="eastAsia"/>
          <w:sz w:val="24"/>
        </w:rPr>
        <w:t>李梅静、程禹宁、邵诗衢、文柳、杨俊旋、宋政鉴、郑钧尹</w:t>
      </w:r>
    </w:p>
    <w:p w14:paraId="370F9C15">
      <w:pPr>
        <w:spacing w:afterLines="50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.2  主要标准设备</w:t>
      </w:r>
    </w:p>
    <w:p w14:paraId="0ECC7AAF">
      <w:pPr>
        <w:spacing w:afterLines="50"/>
        <w:jc w:val="left"/>
        <w:rPr>
          <w:sz w:val="24"/>
        </w:rPr>
      </w:pPr>
    </w:p>
    <w:tbl>
      <w:tblPr>
        <w:tblStyle w:val="7"/>
        <w:tblW w:w="95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2"/>
        <w:gridCol w:w="1687"/>
        <w:gridCol w:w="2450"/>
        <w:gridCol w:w="1675"/>
        <w:gridCol w:w="1293"/>
      </w:tblGrid>
      <w:tr w14:paraId="62766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56" w:type="dxa"/>
            <w:vAlign w:val="center"/>
          </w:tcPr>
          <w:p w14:paraId="503BFB7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标准器名称</w:t>
            </w:r>
          </w:p>
        </w:tc>
        <w:tc>
          <w:tcPr>
            <w:tcW w:w="992" w:type="dxa"/>
            <w:vAlign w:val="center"/>
          </w:tcPr>
          <w:p w14:paraId="5E8AE6B9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型号规格</w:t>
            </w:r>
          </w:p>
        </w:tc>
        <w:tc>
          <w:tcPr>
            <w:tcW w:w="1687" w:type="dxa"/>
            <w:vAlign w:val="center"/>
          </w:tcPr>
          <w:p w14:paraId="386DCCD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生产厂家及出厂编号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37EF0D70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不确定度或最大允许误差或准确度等级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9497B3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测量范围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33DDE447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有效期至</w:t>
            </w:r>
          </w:p>
        </w:tc>
      </w:tr>
      <w:tr w14:paraId="17E0A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1BD3A06F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空气中氢气标准物质</w:t>
            </w:r>
          </w:p>
        </w:tc>
        <w:tc>
          <w:tcPr>
            <w:tcW w:w="992" w:type="dxa"/>
            <w:vAlign w:val="center"/>
          </w:tcPr>
          <w:p w14:paraId="2DAB247F">
            <w:pPr>
              <w:spacing w:line="260" w:lineRule="exact"/>
              <w:jc w:val="center"/>
              <w:rPr>
                <w:rFonts w:ascii="宋体" w:hAnsi="宋体"/>
                <w:color w:val="FF0000"/>
                <w:sz w:val="21"/>
                <w:szCs w:val="21"/>
                <w:lang w:val="de-D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GBW(E)06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3294</w:t>
            </w:r>
          </w:p>
        </w:tc>
        <w:tc>
          <w:tcPr>
            <w:tcW w:w="1687" w:type="dxa"/>
            <w:vAlign w:val="center"/>
          </w:tcPr>
          <w:p w14:paraId="341B4E55">
            <w:pPr>
              <w:bidi w:val="0"/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重庆市标物科技有限公司/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de-DE"/>
              </w:rPr>
              <w:t>163231707043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5D14F671">
            <w:pPr>
              <w:bidi w:val="0"/>
              <w:jc w:val="center"/>
              <w:rPr>
                <w:bCs/>
                <w:iCs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21"/>
                <w:szCs w:val="21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  <w:lang w:val="en-US" w:eastAsia="zh-CN"/>
              </w:rPr>
              <w:t>rel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=2%，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1"/>
                <w:szCs w:val="21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=2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027EA4">
            <w:pPr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250</w:t>
            </w:r>
          </w:p>
          <w:p w14:paraId="797476AF">
            <w:pPr>
              <w:jc w:val="center"/>
              <w:rPr>
                <w:bCs/>
                <w:color w:val="FF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  <w:lang w:val="en-US" w:eastAsia="zh-CN"/>
              </w:rPr>
              <w:t>µmol/mol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6E55D548">
            <w:pPr>
              <w:bidi w:val="0"/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2026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06</w:t>
            </w:r>
          </w:p>
        </w:tc>
      </w:tr>
      <w:tr w14:paraId="05345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0DE07F28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空气中氢气标准物质</w:t>
            </w:r>
          </w:p>
        </w:tc>
        <w:tc>
          <w:tcPr>
            <w:tcW w:w="992" w:type="dxa"/>
            <w:vAlign w:val="center"/>
          </w:tcPr>
          <w:p w14:paraId="0FBD1D79">
            <w:pPr>
              <w:spacing w:line="260" w:lineRule="exact"/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GBW(E)06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3294</w:t>
            </w:r>
          </w:p>
        </w:tc>
        <w:tc>
          <w:tcPr>
            <w:tcW w:w="1687" w:type="dxa"/>
            <w:vAlign w:val="center"/>
          </w:tcPr>
          <w:p w14:paraId="53F522E3">
            <w:pPr>
              <w:bidi w:val="0"/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重庆市标物科技有限公司/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de-DE"/>
              </w:rPr>
              <w:t>163268903105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1CF22A9B">
            <w:pPr>
              <w:bidi w:val="0"/>
              <w:jc w:val="center"/>
              <w:rPr>
                <w:bCs/>
                <w:iCs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21"/>
                <w:szCs w:val="21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  <w:lang w:val="en-US" w:eastAsia="zh-CN"/>
              </w:rPr>
              <w:t>rel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=2%，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1"/>
                <w:szCs w:val="21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=2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A9FA84">
            <w:pPr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500</w:t>
            </w:r>
          </w:p>
          <w:p w14:paraId="15F7ABFA">
            <w:pPr>
              <w:jc w:val="center"/>
              <w:rPr>
                <w:bCs/>
                <w:color w:val="FF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  <w:lang w:val="en-US" w:eastAsia="zh-CN"/>
              </w:rPr>
              <w:t>µmol/mol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2D761908">
            <w:pPr>
              <w:bidi w:val="0"/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2026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06</w:t>
            </w:r>
          </w:p>
        </w:tc>
      </w:tr>
      <w:tr w14:paraId="6446F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33E33CE1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空气中氢气标准物质</w:t>
            </w:r>
          </w:p>
        </w:tc>
        <w:tc>
          <w:tcPr>
            <w:tcW w:w="992" w:type="dxa"/>
            <w:vAlign w:val="center"/>
          </w:tcPr>
          <w:p w14:paraId="769900EF">
            <w:pPr>
              <w:spacing w:line="260" w:lineRule="exact"/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GBW(E)06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3294</w:t>
            </w:r>
          </w:p>
        </w:tc>
        <w:tc>
          <w:tcPr>
            <w:tcW w:w="1687" w:type="dxa"/>
            <w:vAlign w:val="center"/>
          </w:tcPr>
          <w:p w14:paraId="12DC1596">
            <w:pPr>
              <w:bidi w:val="0"/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重庆市标物科技有限公司/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de-DE"/>
              </w:rPr>
              <w:t>163276404108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0877BF60">
            <w:pPr>
              <w:bidi w:val="0"/>
              <w:jc w:val="center"/>
              <w:rPr>
                <w:bCs/>
                <w:iCs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21"/>
                <w:szCs w:val="21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  <w:lang w:val="en-US" w:eastAsia="zh-CN"/>
              </w:rPr>
              <w:t>rel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=2%，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1"/>
                <w:szCs w:val="21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=2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6D6EAA">
            <w:pPr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750</w:t>
            </w:r>
          </w:p>
          <w:p w14:paraId="26A88D70">
            <w:pPr>
              <w:jc w:val="center"/>
              <w:rPr>
                <w:bCs/>
                <w:color w:val="FF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  <w:lang w:val="en-US" w:eastAsia="zh-CN"/>
              </w:rPr>
              <w:t>µmol/mol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75FBC992">
            <w:pPr>
              <w:bidi w:val="0"/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2026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06</w:t>
            </w:r>
          </w:p>
        </w:tc>
      </w:tr>
      <w:tr w14:paraId="42392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1F5350D7"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纯氮气体</w:t>
            </w:r>
          </w:p>
        </w:tc>
        <w:tc>
          <w:tcPr>
            <w:tcW w:w="992" w:type="dxa"/>
            <w:vAlign w:val="center"/>
          </w:tcPr>
          <w:p w14:paraId="59A091E5">
            <w:pPr>
              <w:spacing w:line="260" w:lineRule="exact"/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BWQ06060001</w:t>
            </w:r>
          </w:p>
        </w:tc>
        <w:tc>
          <w:tcPr>
            <w:tcW w:w="1687" w:type="dxa"/>
            <w:vAlign w:val="center"/>
          </w:tcPr>
          <w:p w14:paraId="4E61920C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四川中测标物科技有限公司/</w:t>
            </w:r>
            <w:r>
              <w:rPr>
                <w:rFonts w:hint="eastAsia"/>
                <w:color w:val="auto"/>
                <w:sz w:val="21"/>
                <w:szCs w:val="21"/>
              </w:rPr>
              <w:t>93212020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2A805ED9">
            <w:pPr>
              <w:spacing w:line="300" w:lineRule="auto"/>
              <w:jc w:val="center"/>
              <w:rPr>
                <w:bCs/>
                <w:iCs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纯度≥99.99%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D27AB">
            <w:pPr>
              <w:jc w:val="center"/>
              <w:rPr>
                <w:rFonts w:hint="default" w:eastAsia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99.999%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300A0FA1"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2026.11.20</w:t>
            </w:r>
          </w:p>
        </w:tc>
      </w:tr>
      <w:tr w14:paraId="04706E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6DBF18B4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电子秒表</w:t>
            </w:r>
          </w:p>
        </w:tc>
        <w:tc>
          <w:tcPr>
            <w:tcW w:w="992" w:type="dxa"/>
            <w:vAlign w:val="center"/>
          </w:tcPr>
          <w:p w14:paraId="55598E44">
            <w:pPr>
              <w:spacing w:line="260" w:lineRule="exact"/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PS-1003A</w:t>
            </w:r>
          </w:p>
        </w:tc>
        <w:tc>
          <w:tcPr>
            <w:tcW w:w="1687" w:type="dxa"/>
            <w:vAlign w:val="center"/>
          </w:tcPr>
          <w:p w14:paraId="60058BEB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深圳市追日电子科技有限公司/001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2607E290">
            <w:pPr>
              <w:spacing w:line="300" w:lineRule="auto"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最大允许误差±0.10s/h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0955EE">
            <w:pPr>
              <w:jc w:val="center"/>
              <w:rPr>
                <w:rFonts w:hint="default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（0～99999）s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34011D58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2027.02.06</w:t>
            </w:r>
          </w:p>
        </w:tc>
      </w:tr>
      <w:tr w14:paraId="731F1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00A9F4EE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浮子流量计</w:t>
            </w:r>
          </w:p>
        </w:tc>
        <w:tc>
          <w:tcPr>
            <w:tcW w:w="992" w:type="dxa"/>
            <w:vAlign w:val="center"/>
          </w:tcPr>
          <w:p w14:paraId="626E0E80">
            <w:pPr>
              <w:spacing w:line="260" w:lineRule="exact"/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LZB-3WB</w:t>
            </w:r>
          </w:p>
        </w:tc>
        <w:tc>
          <w:tcPr>
            <w:tcW w:w="1687" w:type="dxa"/>
            <w:vAlign w:val="center"/>
          </w:tcPr>
          <w:p w14:paraId="1EE5F95C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成丰仪表/290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5C76A2EC">
            <w:pPr>
              <w:spacing w:line="30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4.0级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E66591">
            <w:pPr>
              <w:jc w:val="center"/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(60～600) mL/min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107F718F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2027.01.14</w:t>
            </w:r>
          </w:p>
        </w:tc>
      </w:tr>
      <w:tr w14:paraId="3E651F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6FB01E70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声级计</w:t>
            </w:r>
          </w:p>
        </w:tc>
        <w:tc>
          <w:tcPr>
            <w:tcW w:w="992" w:type="dxa"/>
            <w:vAlign w:val="center"/>
          </w:tcPr>
          <w:p w14:paraId="2DDA9988">
            <w:pPr>
              <w:spacing w:line="260" w:lineRule="exact"/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AWA563.6</w:t>
            </w:r>
          </w:p>
        </w:tc>
        <w:tc>
          <w:tcPr>
            <w:tcW w:w="1687" w:type="dxa"/>
            <w:vAlign w:val="center"/>
          </w:tcPr>
          <w:p w14:paraId="0612F27F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杭州爱华仪器有限公司/398740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7CA80266">
            <w:pPr>
              <w:spacing w:line="30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2级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92BB1D">
            <w:pPr>
              <w:jc w:val="center"/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(30～130)dB(A)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61195413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2026.12.30</w:t>
            </w:r>
          </w:p>
        </w:tc>
      </w:tr>
      <w:tr w14:paraId="650A0F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2D2D99E0"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bookmarkStart w:id="4" w:name="_Toc4598"/>
            <w:bookmarkStart w:id="5" w:name="_Toc9523"/>
            <w:r>
              <w:rPr>
                <w:rFonts w:hint="eastAsia"/>
                <w:sz w:val="21"/>
                <w:szCs w:val="21"/>
              </w:rPr>
              <w:t>绝缘电阻表</w:t>
            </w:r>
            <w:bookmarkEnd w:id="4"/>
            <w:bookmarkEnd w:id="5"/>
          </w:p>
        </w:tc>
        <w:tc>
          <w:tcPr>
            <w:tcW w:w="992" w:type="dxa"/>
            <w:vAlign w:val="center"/>
          </w:tcPr>
          <w:p w14:paraId="6BA808CD">
            <w:pPr>
              <w:spacing w:line="260" w:lineRule="exact"/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ZC-7</w:t>
            </w:r>
          </w:p>
        </w:tc>
        <w:tc>
          <w:tcPr>
            <w:tcW w:w="1687" w:type="dxa"/>
            <w:vAlign w:val="center"/>
          </w:tcPr>
          <w:p w14:paraId="3660BBBB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上海第六电表厂有限公司/23092150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3E646258">
            <w:pPr>
              <w:spacing w:line="30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10级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8579C9"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（0～500）</w:t>
            </w:r>
            <w:r>
              <w:rPr>
                <w:rFonts w:hint="eastAsia"/>
                <w:sz w:val="21"/>
                <w:szCs w:val="21"/>
              </w:rPr>
              <w:t>MΩ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7DCB94E5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2026.12.29</w:t>
            </w:r>
          </w:p>
        </w:tc>
      </w:tr>
      <w:tr w14:paraId="29822E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3FE3536C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数字万用表</w:t>
            </w:r>
          </w:p>
        </w:tc>
        <w:tc>
          <w:tcPr>
            <w:tcW w:w="992" w:type="dxa"/>
            <w:vAlign w:val="center"/>
          </w:tcPr>
          <w:p w14:paraId="60EF6D01">
            <w:pPr>
              <w:spacing w:line="260" w:lineRule="exact"/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15B+</w:t>
            </w:r>
          </w:p>
        </w:tc>
        <w:tc>
          <w:tcPr>
            <w:tcW w:w="1687" w:type="dxa"/>
            <w:vAlign w:val="center"/>
          </w:tcPr>
          <w:p w14:paraId="53C2C6E7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FLUKE/62121009WS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247A9619">
            <w:pPr>
              <w:spacing w:line="30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1.0级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718447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（0</w:t>
            </w:r>
            <w:r>
              <w:rPr>
                <w:rFonts w:hint="eastAsia" w:cs="宋体"/>
                <w:sz w:val="21"/>
                <w:szCs w:val="21"/>
              </w:rPr>
              <w:t>～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1000</w:t>
            </w:r>
            <w:r>
              <w:rPr>
                <w:rFonts w:hint="eastAsia"/>
                <w:sz w:val="21"/>
                <w:szCs w:val="21"/>
              </w:rPr>
              <w:t>） V；（0</w:t>
            </w:r>
            <w:r>
              <w:rPr>
                <w:rFonts w:hint="eastAsia" w:cs="宋体"/>
                <w:sz w:val="21"/>
                <w:szCs w:val="21"/>
              </w:rPr>
              <w:t>～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/>
                <w:sz w:val="21"/>
                <w:szCs w:val="21"/>
              </w:rPr>
              <w:t>） A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753A727B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2027.01.07</w:t>
            </w:r>
          </w:p>
        </w:tc>
      </w:tr>
    </w:tbl>
    <w:p w14:paraId="0782968C">
      <w:pPr>
        <w:spacing w:afterLines="50"/>
        <w:jc w:val="left"/>
        <w:rPr>
          <w:color w:val="auto"/>
          <w:sz w:val="24"/>
        </w:rPr>
      </w:pPr>
    </w:p>
    <w:p w14:paraId="1BE0D7F3">
      <w:pPr>
        <w:spacing w:afterLines="50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3.3 </w:t>
      </w:r>
      <w:r>
        <w:rPr>
          <w:sz w:val="24"/>
          <w:szCs w:val="24"/>
        </w:rPr>
        <w:t>试验用</w:t>
      </w:r>
      <w:r>
        <w:rPr>
          <w:rFonts w:hint="eastAsia"/>
          <w:sz w:val="24"/>
          <w:szCs w:val="24"/>
        </w:rPr>
        <w:t>矿用氢气报警器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7"/>
        <w:gridCol w:w="1246"/>
        <w:gridCol w:w="1257"/>
        <w:gridCol w:w="3722"/>
      </w:tblGrid>
      <w:tr w14:paraId="5AB2E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660" w:type="dxa"/>
            <w:vAlign w:val="center"/>
          </w:tcPr>
          <w:p w14:paraId="4E589EF1">
            <w:pPr>
              <w:spacing w:before="100" w:beforeAutospacing="1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名   称</w:t>
            </w:r>
          </w:p>
        </w:tc>
        <w:tc>
          <w:tcPr>
            <w:tcW w:w="1276" w:type="dxa"/>
            <w:vAlign w:val="center"/>
          </w:tcPr>
          <w:p w14:paraId="1B44EFC8">
            <w:pPr>
              <w:spacing w:before="100" w:beforeAutospacing="1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型号规格</w:t>
            </w:r>
          </w:p>
        </w:tc>
        <w:tc>
          <w:tcPr>
            <w:tcW w:w="1275" w:type="dxa"/>
            <w:vAlign w:val="center"/>
          </w:tcPr>
          <w:p w14:paraId="4BB6C3CD">
            <w:pPr>
              <w:spacing w:before="100" w:beforeAutospacing="1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出厂编号</w:t>
            </w:r>
          </w:p>
        </w:tc>
        <w:tc>
          <w:tcPr>
            <w:tcW w:w="4359" w:type="dxa"/>
            <w:vAlign w:val="center"/>
          </w:tcPr>
          <w:p w14:paraId="3094C192">
            <w:pPr>
              <w:spacing w:before="100" w:beforeAutospacing="1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生产厂家</w:t>
            </w:r>
          </w:p>
        </w:tc>
      </w:tr>
      <w:tr w14:paraId="4B04B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2660" w:type="dxa"/>
            <w:vAlign w:val="center"/>
          </w:tcPr>
          <w:p w14:paraId="12420BAC">
            <w:pPr>
              <w:spacing w:before="100" w:beforeAutospacing="1" w:line="320" w:lineRule="exac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矿用氢气报警器</w:t>
            </w:r>
          </w:p>
        </w:tc>
        <w:tc>
          <w:tcPr>
            <w:tcW w:w="1276" w:type="dxa"/>
            <w:vAlign w:val="center"/>
          </w:tcPr>
          <w:p w14:paraId="51B721C1">
            <w:pPr>
              <w:spacing w:before="100" w:beforeAutospacing="1" w:line="320" w:lineRule="exac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GQH1000</w:t>
            </w:r>
          </w:p>
        </w:tc>
        <w:tc>
          <w:tcPr>
            <w:tcW w:w="1275" w:type="dxa"/>
            <w:vAlign w:val="center"/>
          </w:tcPr>
          <w:p w14:paraId="5C3D05AB">
            <w:pPr>
              <w:spacing w:before="100" w:beforeAutospacing="1" w:line="320" w:lineRule="exac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373000079</w:t>
            </w:r>
          </w:p>
        </w:tc>
        <w:tc>
          <w:tcPr>
            <w:tcW w:w="4359" w:type="dxa"/>
            <w:vAlign w:val="center"/>
          </w:tcPr>
          <w:p w14:paraId="0D566493">
            <w:pPr>
              <w:spacing w:before="100" w:beforeAutospacing="1" w:line="320" w:lineRule="exac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重庆梅安森科技股份有限公司</w:t>
            </w:r>
          </w:p>
        </w:tc>
      </w:tr>
    </w:tbl>
    <w:p w14:paraId="62A336B1">
      <w:pPr>
        <w:pStyle w:val="13"/>
        <w:spacing w:before="156" w:after="156"/>
        <w:rPr>
          <w:rFonts w:ascii="黑体" w:hAnsi="黑体" w:cs="黑体"/>
        </w:rPr>
      </w:pPr>
      <w:r>
        <w:rPr>
          <w:rFonts w:hint="eastAsia" w:ascii="黑体" w:hAnsi="黑体" w:eastAsia="黑体" w:cs="黑体"/>
        </w:rPr>
        <w:t>3</w:t>
      </w:r>
      <w:r>
        <w:t xml:space="preserve"> </w:t>
      </w:r>
      <w:bookmarkEnd w:id="0"/>
      <w:bookmarkEnd w:id="1"/>
      <w:bookmarkEnd w:id="2"/>
      <w:bookmarkEnd w:id="3"/>
      <w:r>
        <w:rPr>
          <w:rFonts w:hint="eastAsia"/>
        </w:rPr>
        <w:t>概述</w:t>
      </w:r>
    </w:p>
    <w:p w14:paraId="1A9265CA">
      <w:pPr>
        <w:pStyle w:val="11"/>
        <w:ind w:firstLine="0" w:firstLineChars="0"/>
        <w:rPr>
          <w:rFonts w:cs="宋体"/>
        </w:rPr>
      </w:pPr>
      <w:r>
        <w:rPr>
          <w:rFonts w:hint="eastAsia" w:cs="宋体"/>
        </w:rPr>
        <w:t>3.1 测量依据：依据JJF（黔）XXXX-2026《</w:t>
      </w:r>
      <w:r>
        <w:rPr>
          <w:rFonts w:hint="eastAsia"/>
        </w:rPr>
        <w:t>矿用氢气报警器校准规范</w:t>
      </w:r>
      <w:r>
        <w:rPr>
          <w:rFonts w:hint="eastAsia" w:cs="宋体"/>
        </w:rPr>
        <w:t>》。</w:t>
      </w:r>
    </w:p>
    <w:p w14:paraId="70D18D00">
      <w:pPr>
        <w:pStyle w:val="11"/>
        <w:ind w:firstLine="0" w:firstLineChars="0"/>
        <w:rPr>
          <w:rFonts w:cs="宋体"/>
        </w:rPr>
      </w:pPr>
      <w:r>
        <w:rPr>
          <w:rFonts w:hint="eastAsia" w:cs="宋体"/>
        </w:rPr>
        <w:t>3.2环境条件：</w:t>
      </w:r>
      <w:r>
        <w:rPr>
          <w:rFonts w:hint="eastAsia" w:ascii="宋体" w:eastAsia="宋体" w:cs="宋体"/>
        </w:rPr>
        <w:t>相对湿度≤8</w:t>
      </w:r>
      <w:r>
        <w:rPr>
          <w:rFonts w:hint="eastAsia" w:ascii="宋体" w:eastAsia="宋体" w:cs="宋体"/>
          <w:lang w:val="en-US" w:eastAsia="zh-CN"/>
        </w:rPr>
        <w:t>5</w:t>
      </w:r>
      <w:r>
        <w:rPr>
          <w:rFonts w:hint="eastAsia" w:ascii="宋体" w:eastAsia="宋体" w:cs="宋体"/>
        </w:rPr>
        <w:t>%，温度（</w:t>
      </w:r>
      <w:r>
        <w:rPr>
          <w:rFonts w:hint="eastAsia" w:ascii="宋体" w:eastAsia="宋体" w:cs="宋体"/>
          <w:lang w:val="en-US" w:eastAsia="zh-CN"/>
        </w:rPr>
        <w:t>15～35</w:t>
      </w:r>
      <w:r>
        <w:rPr>
          <w:rFonts w:hint="eastAsia" w:ascii="宋体" w:eastAsia="宋体" w:cs="宋体"/>
        </w:rPr>
        <w:t>）℃</w:t>
      </w:r>
      <w:r>
        <w:rPr>
          <w:rFonts w:hint="eastAsia" w:cs="宋体"/>
        </w:rPr>
        <w:t>。</w:t>
      </w:r>
    </w:p>
    <w:p w14:paraId="1A6D722A">
      <w:pPr>
        <w:pStyle w:val="11"/>
        <w:ind w:firstLine="0" w:firstLineChars="0"/>
        <w:rPr>
          <w:rFonts w:cs="宋体"/>
        </w:rPr>
      </w:pPr>
      <w:r>
        <w:rPr>
          <w:rFonts w:hint="eastAsia" w:cs="宋体"/>
        </w:rPr>
        <w:t>3.3 测量对象：矿用氢气报警器。测量范围：（0～</w:t>
      </w:r>
      <w:r>
        <w:rPr>
          <w:rFonts w:hint="eastAsia" w:cs="宋体"/>
          <w:lang w:val="en-US" w:eastAsia="zh-CN"/>
        </w:rPr>
        <w:t>1000</w:t>
      </w:r>
      <w:r>
        <w:rPr>
          <w:rFonts w:hint="eastAsia" w:cs="宋体"/>
        </w:rPr>
        <w:t>）</w:t>
      </w:r>
      <w:r>
        <w:rPr>
          <w:rFonts w:hint="eastAsia" w:cs="宋体"/>
          <w:lang w:val="en-US" w:eastAsia="zh-CN"/>
        </w:rPr>
        <w:t>，µmol/mol，最大允许误差：±5%FS</w:t>
      </w:r>
      <w:r>
        <w:rPr>
          <w:rFonts w:hint="eastAsia" w:cs="宋体"/>
        </w:rPr>
        <w:t>。</w:t>
      </w:r>
    </w:p>
    <w:p w14:paraId="1ACBCE54">
      <w:pPr>
        <w:pStyle w:val="11"/>
        <w:ind w:firstLine="0" w:firstLineChars="0"/>
        <w:rPr>
          <w:rFonts w:cs="宋体"/>
        </w:rPr>
      </w:pPr>
      <w:r>
        <w:rPr>
          <w:rFonts w:hint="eastAsia" w:cs="宋体"/>
        </w:rPr>
        <w:t>3.4 测量标准：空气中氢气标准物质，其相对扩展不确定度</w:t>
      </w:r>
      <w:r>
        <w:rPr>
          <w:rFonts w:ascii="Times New Roman" w:hAnsi="Times New Roman"/>
          <w:i/>
          <w:iCs/>
        </w:rPr>
        <w:t>U</w:t>
      </w:r>
      <w:r>
        <w:rPr>
          <w:rFonts w:ascii="Times New Roman" w:hAnsi="Times New Roman"/>
          <w:vertAlign w:val="subscript"/>
        </w:rPr>
        <w:t>rel</w:t>
      </w:r>
      <w:r>
        <w:rPr>
          <w:rFonts w:hint="eastAsia" w:cs="宋体"/>
        </w:rPr>
        <w:t>=2%,（</w:t>
      </w:r>
      <w:r>
        <w:rPr>
          <w:rFonts w:ascii="Times New Roman" w:hAnsi="Times New Roman"/>
          <w:i/>
          <w:iCs/>
        </w:rPr>
        <w:t>k</w:t>
      </w:r>
      <w:r>
        <w:rPr>
          <w:rFonts w:ascii="Times New Roman" w:hAnsi="Times New Roman"/>
        </w:rPr>
        <w:t>=2</w:t>
      </w:r>
      <w:r>
        <w:rPr>
          <w:rFonts w:hint="eastAsia" w:cs="宋体"/>
        </w:rPr>
        <w:t>）</w:t>
      </w:r>
    </w:p>
    <w:p w14:paraId="3961BF49">
      <w:pPr>
        <w:pStyle w:val="11"/>
        <w:ind w:firstLine="0" w:firstLineChars="0"/>
        <w:rPr>
          <w:rFonts w:eastAsia="宋体" w:cs="宋体"/>
          <w:color w:val="000000"/>
          <w:sz w:val="24"/>
          <w:szCs w:val="24"/>
        </w:rPr>
      </w:pPr>
      <w:r>
        <w:rPr>
          <w:rFonts w:hint="eastAsia" w:cs="宋体"/>
        </w:rPr>
        <w:t>3.5 测量方法：</w:t>
      </w:r>
      <w:r>
        <w:rPr>
          <w:rFonts w:hint="eastAsia" w:eastAsia="宋体" w:cs="宋体"/>
          <w:sz w:val="24"/>
          <w:szCs w:val="24"/>
        </w:rPr>
        <w:t>按报警仪说明书的要求控制流量，分别通入浓度值约为满量程25%、50%、</w:t>
      </w:r>
      <w:r>
        <w:rPr>
          <w:rFonts w:hint="eastAsia" w:eastAsia="宋体" w:cs="宋体"/>
          <w:color w:val="000000"/>
          <w:sz w:val="24"/>
          <w:szCs w:val="24"/>
        </w:rPr>
        <w:t>75%左右的空气中氢气标准物质，待读数稳定后，记录报警器的显示值。每点测量3次，取其算术平均值为报警器各点的示值，计算各点的示值误差。</w:t>
      </w:r>
    </w:p>
    <w:p w14:paraId="2C2F6D75">
      <w:pPr>
        <w:pStyle w:val="13"/>
        <w:spacing w:before="156" w:after="156"/>
        <w:rPr>
          <w:rFonts w:ascii="黑体" w:hAnsi="黑体" w:cs="黑体"/>
        </w:rPr>
      </w:pPr>
      <w:r>
        <w:rPr>
          <w:rFonts w:hint="eastAsia" w:ascii="黑体" w:hAnsi="黑体" w:eastAsia="黑体" w:cs="黑体"/>
        </w:rPr>
        <w:t>4</w:t>
      </w:r>
      <w:r>
        <w:t xml:space="preserve"> </w:t>
      </w:r>
      <w:r>
        <w:rPr>
          <w:rFonts w:hint="eastAsia"/>
        </w:rPr>
        <w:t>测量模型</w:t>
      </w:r>
    </w:p>
    <w:p w14:paraId="4751064F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528" w:firstLineChars="220"/>
        <w:jc w:val="both"/>
        <w:textAlignment w:val="auto"/>
        <w:outlineLvl w:val="9"/>
        <w:rPr>
          <w:rFonts w:ascii="Times New Roman" w:hAnsi="Times New Roman" w:eastAsia="宋体"/>
          <w:iCs/>
          <w:sz w:val="24"/>
          <w:szCs w:val="24"/>
        </w:rPr>
      </w:pPr>
      <w:bookmarkStart w:id="6" w:name="_Toc21319"/>
      <w:bookmarkStart w:id="7" w:name="_Toc13040"/>
      <w:bookmarkStart w:id="8" w:name="_Toc5346"/>
      <w:r>
        <w:rPr>
          <w:rFonts w:hint="eastAsia" w:ascii="Times New Roman" w:hAnsi="Times New Roman" w:eastAsia="宋体"/>
          <w:iCs/>
          <w:sz w:val="24"/>
          <w:szCs w:val="24"/>
        </w:rPr>
        <w:t>测量模型按公式（C.1）建立。</w:t>
      </w:r>
      <w:bookmarkEnd w:id="6"/>
      <w:bookmarkEnd w:id="7"/>
      <w:bookmarkEnd w:id="8"/>
    </w:p>
    <w:p w14:paraId="463D80AD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60" w:firstLineChars="200"/>
        <w:jc w:val="right"/>
        <w:textAlignment w:val="auto"/>
        <w:outlineLvl w:val="9"/>
        <w:rPr>
          <w:rFonts w:ascii="Times New Roman" w:hAnsi="Times New Roman" w:eastAsia="宋体"/>
          <w:color w:val="000000"/>
          <w:sz w:val="23"/>
          <w:szCs w:val="24"/>
        </w:rPr>
      </w:pPr>
      <w:r>
        <w:rPr>
          <w:rFonts w:hint="eastAsia" w:ascii="Times New Roman" w:hAnsi="Times New Roman" w:eastAsia="宋体"/>
          <w:color w:val="000000"/>
          <w:position w:val="-20"/>
          <w:sz w:val="23"/>
          <w:szCs w:val="24"/>
        </w:rPr>
        <w:object>
          <v:shape id="_x0000_i1035" o:spt="75" alt="" type="#_x0000_t75" style="height:31.25pt;width:61.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3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eastAsia="宋体"/>
          <w:color w:val="000000"/>
          <w:sz w:val="23"/>
          <w:szCs w:val="24"/>
        </w:rPr>
        <w:t xml:space="preserve">                                （C.1）</w:t>
      </w:r>
    </w:p>
    <w:p w14:paraId="74590AAF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60" w:firstLineChars="200"/>
        <w:jc w:val="both"/>
        <w:textAlignment w:val="auto"/>
        <w:outlineLvl w:val="9"/>
        <w:rPr>
          <w:rFonts w:ascii="Times New Roman" w:hAnsi="Times New Roman" w:eastAsia="宋体"/>
          <w:color w:val="000000"/>
          <w:sz w:val="23"/>
          <w:szCs w:val="24"/>
        </w:rPr>
      </w:pPr>
      <w:r>
        <w:rPr>
          <w:rFonts w:hint="eastAsia" w:ascii="Times New Roman" w:hAnsi="Times New Roman" w:eastAsia="宋体"/>
          <w:color w:val="000000"/>
          <w:sz w:val="23"/>
          <w:szCs w:val="24"/>
        </w:rPr>
        <w:t>式中：</w:t>
      </w:r>
    </w:p>
    <w:p w14:paraId="1969AE2C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20" w:lineRule="exact"/>
        <w:ind w:firstLine="480" w:firstLineChars="200"/>
        <w:jc w:val="both"/>
        <w:textAlignment w:val="auto"/>
        <w:outlineLvl w:val="9"/>
        <w:rPr>
          <w:rFonts w:eastAsia="宋体" w:cs="宋体"/>
          <w:sz w:val="24"/>
          <w:szCs w:val="24"/>
        </w:rPr>
      </w:pPr>
      <w:r>
        <w:rPr>
          <w:rFonts w:hint="eastAsia" w:eastAsia="宋体" w:cs="宋体"/>
          <w:sz w:val="24"/>
          <w:szCs w:val="24"/>
        </w:rPr>
        <w:t>Δ</w:t>
      </w:r>
      <w:r>
        <w:rPr>
          <w:rFonts w:ascii="Times New Roman" w:hAnsi="Times New Roman" w:eastAsia="宋体"/>
          <w:i/>
          <w:iCs/>
          <w:sz w:val="24"/>
          <w:szCs w:val="24"/>
        </w:rPr>
        <w:t>C</w:t>
      </w:r>
      <w:r>
        <w:rPr>
          <w:rFonts w:hint="eastAsia" w:ascii="Times New Roman" w:hAnsi="Times New Roman" w:eastAsia="宋体"/>
          <w:i/>
          <w:iCs/>
          <w:sz w:val="24"/>
          <w:szCs w:val="24"/>
        </w:rPr>
        <w:t xml:space="preserve"> </w:t>
      </w:r>
      <w:r>
        <w:rPr>
          <w:rFonts w:hint="eastAsia" w:eastAsia="宋体" w:cs="宋体"/>
          <w:spacing w:val="-20"/>
          <w:sz w:val="24"/>
          <w:szCs w:val="24"/>
        </w:rPr>
        <w:t xml:space="preserve">——  </w:t>
      </w:r>
      <w:r>
        <w:rPr>
          <w:rFonts w:hint="eastAsia" w:eastAsia="宋体" w:cs="宋体"/>
          <w:sz w:val="24"/>
          <w:szCs w:val="24"/>
        </w:rPr>
        <w:t>报警器示值误差，%；</w:t>
      </w:r>
    </w:p>
    <w:p w14:paraId="5524F617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20" w:lineRule="exact"/>
        <w:ind w:firstLine="528" w:firstLineChars="220"/>
        <w:jc w:val="both"/>
        <w:textAlignment w:val="auto"/>
        <w:outlineLvl w:val="9"/>
        <w:rPr>
          <w:rFonts w:eastAsia="宋体" w:cs="宋体"/>
          <w:spacing w:val="-20"/>
          <w:sz w:val="24"/>
          <w:szCs w:val="24"/>
        </w:rPr>
      </w:pPr>
      <w:r>
        <w:rPr>
          <w:rFonts w:ascii="Times New Roman" w:hAnsi="Times New Roman" w:eastAsia="宋体"/>
          <w:i/>
          <w:iCs/>
          <w:sz w:val="24"/>
          <w:szCs w:val="24"/>
        </w:rPr>
        <w:sym w:font="Symbol" w:char="0060"/>
      </w:r>
      <w:r>
        <w:rPr>
          <w:rFonts w:ascii="Times New Roman" w:hAnsi="Times New Roman" w:eastAsia="宋体"/>
          <w:i/>
          <w:iCs/>
          <w:sz w:val="24"/>
          <w:szCs w:val="24"/>
        </w:rPr>
        <w:t>C</w:t>
      </w:r>
      <w:r>
        <w:rPr>
          <w:rFonts w:hint="eastAsia" w:ascii="Times New Roman" w:hAnsi="Times New Roman" w:eastAsia="宋体"/>
          <w:i/>
          <w:iCs/>
          <w:sz w:val="24"/>
          <w:szCs w:val="24"/>
          <w:vertAlign w:val="subscript"/>
        </w:rPr>
        <w:t>i</w:t>
      </w:r>
      <w:r>
        <w:rPr>
          <w:rFonts w:hint="eastAsia" w:eastAsia="宋体" w:cs="宋体"/>
          <w:sz w:val="24"/>
          <w:szCs w:val="24"/>
        </w:rPr>
        <w:t xml:space="preserve"> </w:t>
      </w:r>
      <w:r>
        <w:rPr>
          <w:rFonts w:hint="eastAsia" w:eastAsia="宋体" w:cs="宋体"/>
          <w:spacing w:val="-20"/>
          <w:sz w:val="24"/>
          <w:szCs w:val="24"/>
        </w:rPr>
        <w:t xml:space="preserve">——  </w:t>
      </w:r>
      <w:r>
        <w:rPr>
          <w:rFonts w:hint="eastAsia" w:eastAsia="宋体" w:cs="宋体"/>
          <w:sz w:val="24"/>
          <w:szCs w:val="24"/>
        </w:rPr>
        <w:t>报警器示值的算术平均值，</w:t>
      </w:r>
      <w:r>
        <w:rPr>
          <w:rFonts w:ascii="Times New Roman" w:hAnsi="Times New Roman" w:eastAsia="宋体"/>
          <w:sz w:val="24"/>
          <w:szCs w:val="24"/>
        </w:rPr>
        <w:t>µmol/mol</w:t>
      </w:r>
      <w:r>
        <w:rPr>
          <w:rFonts w:hint="eastAsia" w:eastAsia="宋体" w:cs="宋体"/>
          <w:spacing w:val="-20"/>
          <w:sz w:val="24"/>
          <w:szCs w:val="24"/>
        </w:rPr>
        <w:t>；</w:t>
      </w:r>
    </w:p>
    <w:p w14:paraId="29A5655A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20" w:lineRule="exact"/>
        <w:ind w:firstLine="740" w:firstLineChars="370"/>
        <w:jc w:val="both"/>
        <w:textAlignment w:val="auto"/>
        <w:outlineLvl w:val="9"/>
        <w:rPr>
          <w:rFonts w:eastAsia="宋体" w:cs="宋体"/>
          <w:sz w:val="24"/>
          <w:szCs w:val="24"/>
        </w:rPr>
      </w:pPr>
      <w:r>
        <w:rPr>
          <w:rFonts w:ascii="Times New Roman" w:hAnsi="Times New Roman" w:eastAsia="宋体"/>
          <w:i/>
          <w:iCs/>
          <w:spacing w:val="-20"/>
          <w:sz w:val="24"/>
          <w:szCs w:val="24"/>
        </w:rPr>
        <w:t>C</w:t>
      </w:r>
      <w:r>
        <w:rPr>
          <w:rFonts w:hint="eastAsia" w:eastAsia="宋体" w:cs="宋体"/>
          <w:spacing w:val="-20"/>
          <w:sz w:val="24"/>
          <w:szCs w:val="24"/>
          <w:vertAlign w:val="subscript"/>
        </w:rPr>
        <w:t xml:space="preserve">0  </w:t>
      </w:r>
      <w:r>
        <w:rPr>
          <w:rFonts w:hint="eastAsia" w:eastAsia="宋体" w:cs="宋体"/>
          <w:spacing w:val="-20"/>
          <w:sz w:val="24"/>
          <w:szCs w:val="24"/>
        </w:rPr>
        <w:t xml:space="preserve">——  </w:t>
      </w:r>
      <w:r>
        <w:rPr>
          <w:rFonts w:hint="eastAsia" w:eastAsia="宋体" w:cs="宋体"/>
          <w:sz w:val="24"/>
          <w:szCs w:val="24"/>
        </w:rPr>
        <w:t>通入的空气中氢气标准物质浓度值，</w:t>
      </w:r>
      <w:r>
        <w:rPr>
          <w:rFonts w:ascii="Times New Roman" w:hAnsi="Times New Roman" w:eastAsia="宋体"/>
          <w:sz w:val="24"/>
          <w:szCs w:val="24"/>
        </w:rPr>
        <w:t>µmol/mol</w:t>
      </w:r>
      <w:r>
        <w:rPr>
          <w:rFonts w:hint="eastAsia" w:eastAsia="宋体" w:cs="宋体"/>
          <w:sz w:val="24"/>
          <w:szCs w:val="24"/>
        </w:rPr>
        <w:t>；</w:t>
      </w:r>
    </w:p>
    <w:p w14:paraId="02CF6313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20" w:lineRule="exact"/>
        <w:ind w:firstLine="700" w:firstLineChars="350"/>
        <w:jc w:val="both"/>
        <w:textAlignment w:val="auto"/>
        <w:outlineLvl w:val="9"/>
        <w:rPr>
          <w:rFonts w:eastAsia="宋体" w:cs="宋体"/>
          <w:spacing w:val="-20"/>
          <w:sz w:val="24"/>
          <w:szCs w:val="24"/>
        </w:rPr>
      </w:pPr>
      <w:r>
        <w:rPr>
          <w:rFonts w:ascii="Times New Roman" w:hAnsi="Times New Roman" w:eastAsia="宋体"/>
          <w:i/>
          <w:iCs/>
          <w:spacing w:val="-20"/>
          <w:sz w:val="24"/>
          <w:szCs w:val="24"/>
        </w:rPr>
        <w:t>R</w:t>
      </w:r>
      <w:r>
        <w:rPr>
          <w:rFonts w:hint="eastAsia" w:eastAsia="宋体" w:cs="宋体"/>
          <w:spacing w:val="-20"/>
          <w:sz w:val="24"/>
          <w:szCs w:val="24"/>
          <w:vertAlign w:val="subscript"/>
        </w:rPr>
        <w:t xml:space="preserve">      </w:t>
      </w:r>
      <w:r>
        <w:rPr>
          <w:rFonts w:hint="eastAsia" w:eastAsia="宋体" w:cs="宋体"/>
          <w:spacing w:val="-20"/>
          <w:sz w:val="24"/>
          <w:szCs w:val="24"/>
        </w:rPr>
        <w:t xml:space="preserve">——  </w:t>
      </w:r>
      <w:r>
        <w:rPr>
          <w:rFonts w:hint="eastAsia" w:eastAsia="宋体" w:cs="宋体"/>
          <w:sz w:val="24"/>
          <w:szCs w:val="24"/>
        </w:rPr>
        <w:t>报警器的满量程，</w:t>
      </w:r>
      <w:r>
        <w:rPr>
          <w:rFonts w:ascii="Times New Roman" w:hAnsi="Times New Roman" w:eastAsia="宋体"/>
          <w:sz w:val="24"/>
          <w:szCs w:val="24"/>
        </w:rPr>
        <w:t>µmol/mol</w:t>
      </w:r>
      <w:r>
        <w:rPr>
          <w:rFonts w:hint="eastAsia" w:eastAsia="宋体" w:cs="宋体"/>
          <w:spacing w:val="-20"/>
          <w:sz w:val="24"/>
          <w:szCs w:val="24"/>
        </w:rPr>
        <w:t>。</w:t>
      </w:r>
    </w:p>
    <w:p w14:paraId="5404BFA4">
      <w:pPr>
        <w:pStyle w:val="13"/>
        <w:spacing w:before="156" w:after="156"/>
        <w:jc w:val="both"/>
        <w:outlineLvl w:val="9"/>
        <w:rPr>
          <w:rFonts w:ascii="黑体" w:hAnsi="黑体" w:cs="宋体"/>
        </w:rPr>
      </w:pPr>
      <w:r>
        <w:rPr>
          <w:rFonts w:hint="eastAsia" w:ascii="黑体" w:hAnsi="黑体" w:cs="宋体"/>
        </w:rPr>
        <w:t>5  灵敏系数</w:t>
      </w:r>
    </w:p>
    <w:p w14:paraId="42372333">
      <w:pPr>
        <w:pStyle w:val="11"/>
        <w:spacing w:line="360" w:lineRule="auto"/>
        <w:ind w:firstLine="480"/>
        <w:jc w:val="both"/>
        <w:outlineLvl w:val="9"/>
        <w:rPr>
          <w:color w:val="000000"/>
          <w:position w:val="-16"/>
        </w:rPr>
      </w:pPr>
      <w:r>
        <w:rPr>
          <w:rFonts w:hint="eastAsia"/>
          <w:color w:val="000000"/>
          <w:position w:val="-16"/>
        </w:rPr>
        <w:t>合成标准不确定为公式（C.2）。</w:t>
      </w:r>
    </w:p>
    <w:p w14:paraId="43DF88D9">
      <w:pPr>
        <w:pStyle w:val="11"/>
        <w:spacing w:line="360" w:lineRule="auto"/>
        <w:ind w:firstLine="1920" w:firstLineChars="800"/>
        <w:jc w:val="right"/>
        <w:outlineLvl w:val="9"/>
        <w:rPr>
          <w:color w:val="000000"/>
        </w:rPr>
      </w:pPr>
      <w:r>
        <w:rPr>
          <w:rFonts w:hint="eastAsia"/>
          <w:color w:val="000000"/>
          <w:position w:val="-10"/>
        </w:rPr>
        <w:object>
          <v:shape id="_x0000_i1026" o:spt="75" type="#_x0000_t75" style="height:19pt;width:170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/>
          <w:color w:val="000000"/>
        </w:rPr>
        <w:t xml:space="preserve">      </w:t>
      </w:r>
      <w:r>
        <w:rPr>
          <w:rFonts w:hint="eastAsia"/>
          <w:color w:val="FF0000"/>
        </w:rPr>
        <w:t xml:space="preserve">             </w:t>
      </w:r>
      <w:r>
        <w:rPr>
          <w:rFonts w:hint="eastAsia"/>
          <w:color w:val="000000"/>
        </w:rPr>
        <w:t>（C.2）</w:t>
      </w:r>
    </w:p>
    <w:p w14:paraId="61B78B0A">
      <w:pPr>
        <w:pStyle w:val="11"/>
        <w:spacing w:line="360" w:lineRule="auto"/>
        <w:ind w:firstLine="480"/>
        <w:jc w:val="both"/>
        <w:outlineLvl w:val="9"/>
        <w:rPr>
          <w:color w:val="000000"/>
          <w:position w:val="-16"/>
        </w:rPr>
      </w:pPr>
      <w:r>
        <w:rPr>
          <w:rFonts w:hint="eastAsia"/>
          <w:color w:val="000000"/>
          <w:position w:val="-16"/>
        </w:rPr>
        <w:t>灵敏系数为公式（C.3）和公式（C.4）。</w:t>
      </w:r>
    </w:p>
    <w:p w14:paraId="04345C5F">
      <w:pPr>
        <w:pStyle w:val="11"/>
        <w:wordWrap w:val="0"/>
        <w:spacing w:line="360" w:lineRule="auto"/>
        <w:ind w:firstLine="1080" w:firstLineChars="450"/>
        <w:jc w:val="right"/>
        <w:outlineLvl w:val="9"/>
        <w:rPr>
          <w:rFonts w:ascii="Times New Roman" w:hAnsi="Times New Roman"/>
        </w:rPr>
      </w:pPr>
      <w:r>
        <w:fldChar w:fldCharType="begin"/>
      </w:r>
      <w:r>
        <w:instrText xml:space="preserve"> QUOTE </w:instrText>
      </w:r>
      <m:oMath>
        <m:r>
          <m:rPr/>
          <w:rPr>
            <w:rFonts w:ascii="Cambria Math" w:hAnsi="Times New Roman"/>
          </w:rPr>
          <m:t xml:space="preserve">𝑐</m:t>
        </m:r>
        <m:d>
          <m:dPr>
            <m:begChr m:val="（"/>
            <m:endChr m:val="）"/>
            <m:ctrlPr>
              <w:rPr>
                <w:rFonts w:ascii="Cambria Math" w:hAnsi="Times New Roman"/>
              </w:rPr>
            </m:ctrlPr>
          </m:dPr>
          <m:e>
            <m:r>
              <m:rPr/>
              <w:rPr>
                <w:rFonts w:ascii="Cambria Math" w:hAnsi="Cambria Math"/>
              </w:rPr>
              <m:t xml:space="preserve">𝑃</m:t>
            </m:r>
            <m:ctrlPr>
              <w:rPr>
                <w:rFonts w:ascii="Cambria Math" w:hAnsi="Times New Roman"/>
              </w:rPr>
            </m:ctrlPr>
          </m:e>
        </m:d>
        <m:r>
          <m:rPr/>
          <w:rPr>
            <w:rFonts w:ascii="Cambria Math" w:hAnsi="Times New Roman"/>
          </w:rPr>
          <m:t xml:space="preserve">=</m:t>
        </m:r>
        <m:f>
          <m:fPr>
            <m:ctrlPr>
              <w:rPr>
                <w:rFonts w:ascii="Cambria Math" w:hAnsi="Times New Roman"/>
              </w:rPr>
            </m:ctrlPr>
          </m:fPr>
          <m:num>
            <m:r>
              <m:rPr/>
              <w:rPr>
                <w:rFonts w:ascii="Cambria Math" w:hAnsi="Cambria Math"/>
              </w:rPr>
              <m:t xml:space="preserve">𝜕</m:t>
            </m:r>
            <m:sSub>
              <m:sSubPr>
                <m:ctrlPr>
                  <w:rPr>
                    <w:rFonts w:ascii="Cambria Math" w:hAnsi="Times New Roman"/>
                  </w:rPr>
                </m:ctrlPr>
              </m:sSubPr>
              <m:e>
                <m:r>
                  <m:rPr/>
                  <w:rPr>
                    <w:rFonts w:ascii="Cambria Math" w:hAnsi="Times New Roman"/>
                  </w:rPr>
                  <m:t xml:space="preserve">𝐸</m:t>
                </m:r>
                <m:ctrlPr>
                  <w:rPr>
                    <w:rFonts w:ascii="Cambria Math" w:hAnsi="Times New Roman"/>
                  </w:rPr>
                </m:ctrlPr>
              </m:e>
              <m:sub>
                <m:r>
                  <m:rPr/>
                  <w:rPr>
                    <w:rFonts w:ascii="Cambria Math" w:hAnsi="Times New Roman"/>
                  </w:rPr>
                  <m:t xml:space="preserve">𝑖</m:t>
                </m:r>
                <m:ctrlPr>
                  <w:rPr>
                    <w:rFonts w:ascii="Cambria Math" w:hAnsi="Times New Roman"/>
                  </w:rPr>
                </m:ctrlPr>
              </m:sub>
            </m:sSub>
            <m:ctrlPr>
              <w:rPr>
                <w:rFonts w:ascii="Cambria Math" w:hAnsi="Times New Roman"/>
              </w:rPr>
            </m:ctrlPr>
          </m:num>
          <m:den>
            <m:r>
              <m:rPr/>
              <w:rPr>
                <w:rFonts w:ascii="Cambria Math" w:hAnsi="Cambria Math"/>
              </w:rPr>
              <m:t xml:space="preserve">𝜕</m:t>
            </m:r>
            <m:r>
              <m:rPr/>
              <w:rPr>
                <w:rFonts w:ascii="Cambria Math" w:hAnsi="Times New Roman"/>
              </w:rPr>
              <m:t xml:space="preserve">𝑚</m:t>
            </m:r>
            <m:ctrlPr>
              <w:rPr>
                <w:rFonts w:ascii="Cambria Math" w:hAnsi="Times New Roman"/>
              </w:rPr>
            </m:ctrlPr>
          </m:den>
        </m:f>
        <m:r>
          <m:rPr/>
          <w:rPr>
            <w:rFonts w:ascii="Cambria Math" w:hAnsi="Times New Roman"/>
          </w:rPr>
          <m:t xml:space="preserve">=1/𝑚</m:t>
        </m:r>
      </m:oMath>
      <w:r>
        <w:instrText xml:space="preserve"> </w:instrText>
      </w:r>
      <w:r>
        <w:fldChar w:fldCharType="end"/>
      </w:r>
      <w:r>
        <w:rPr>
          <w:rFonts w:hint="eastAsia"/>
          <w:position w:val="-24"/>
        </w:rPr>
        <w:object>
          <v:shape id="_x0000_i1027" o:spt="75" type="#_x0000_t75" style="height:31.25pt;width:8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 xml:space="preserve">                            （C.3）</w:t>
      </w:r>
    </w:p>
    <w:p w14:paraId="6DC3D27D">
      <w:pPr>
        <w:pStyle w:val="11"/>
        <w:wordWrap w:val="0"/>
        <w:spacing w:line="360" w:lineRule="auto"/>
        <w:ind w:firstLine="960" w:firstLineChars="400"/>
        <w:jc w:val="right"/>
        <w:outlineLvl w:val="9"/>
      </w:pPr>
      <w:r>
        <w:fldChar w:fldCharType="begin"/>
      </w:r>
      <w:r>
        <w:instrText xml:space="preserve"> QUOTE </w:instrText>
      </w:r>
      <m:oMath>
        <m:r>
          <m:rPr/>
          <w:rPr>
            <w:rFonts w:ascii="Cambria Math" w:hAnsi="Times New Roman"/>
          </w:rPr>
          <m:t xml:space="preserve">𝑐</m:t>
        </m:r>
        <m:d>
          <m:dPr>
            <m:begChr m:val="（"/>
            <m:endChr m:val="）"/>
            <m:ctrlPr>
              <w:rPr>
                <w:rFonts w:ascii="Cambria Math" w:hAnsi="Times New Roman"/>
              </w:rPr>
            </m:ctrlPr>
          </m:dPr>
          <m:e>
            <m:r>
              <m:rPr/>
              <w:rPr>
                <w:rFonts w:ascii="Cambria Math" w:hAnsi="Times New Roman"/>
              </w:rPr>
              <m:t xml:space="preserve">𝑚</m:t>
            </m:r>
            <m:ctrlPr>
              <w:rPr>
                <w:rFonts w:ascii="Cambria Math" w:hAnsi="Times New Roman"/>
              </w:rPr>
            </m:ctrlPr>
          </m:e>
        </m:d>
        <m:r>
          <m:rPr/>
          <w:rPr>
            <w:rFonts w:ascii="Cambria Math" w:hAnsi="Times New Roman"/>
          </w:rPr>
          <m:t xml:space="preserve">=</m:t>
        </m:r>
        <m:f>
          <m:fPr>
            <m:ctrlPr>
              <w:rPr>
                <w:rFonts w:ascii="Cambria Math" w:hAnsi="Times New Roman"/>
              </w:rPr>
            </m:ctrlPr>
          </m:fPr>
          <m:num>
            <m:r>
              <m:rPr/>
              <w:rPr>
                <w:rFonts w:ascii="Cambria Math" w:hAnsi="Times New Roman"/>
              </w:rPr>
              <m:t xml:space="preserve">𝜕</m:t>
            </m:r>
            <m:sSub>
              <m:sSubPr>
                <m:ctrlPr>
                  <w:rPr>
                    <w:rFonts w:ascii="Cambria Math" w:hAnsi="Times New Roman"/>
                  </w:rPr>
                </m:ctrlPr>
              </m:sSubPr>
              <m:e>
                <m:r>
                  <m:rPr/>
                  <w:rPr>
                    <w:rFonts w:ascii="Cambria Math" w:hAnsi="Times New Roman"/>
                  </w:rPr>
                  <m:t xml:space="preserve">𝐸</m:t>
                </m:r>
                <m:ctrlPr>
                  <w:rPr>
                    <w:rFonts w:ascii="Cambria Math" w:hAnsi="Times New Roman"/>
                  </w:rPr>
                </m:ctrlPr>
              </m:e>
              <m:sub>
                <m:r>
                  <m:rPr/>
                  <w:rPr>
                    <w:rFonts w:ascii="Cambria Math" w:hAnsi="Times New Roman"/>
                  </w:rPr>
                  <m:t xml:space="preserve">𝑖</m:t>
                </m:r>
                <m:ctrlPr>
                  <w:rPr>
                    <w:rFonts w:ascii="Cambria Math" w:hAnsi="Times New Roman"/>
                  </w:rPr>
                </m:ctrlPr>
              </m:sub>
            </m:sSub>
            <m:ctrlPr>
              <w:rPr>
                <w:rFonts w:ascii="Cambria Math" w:hAnsi="Times New Roman"/>
              </w:rPr>
            </m:ctrlPr>
          </m:num>
          <m:den>
            <m:r>
              <m:rPr/>
              <w:rPr>
                <w:rFonts w:ascii="Cambria Math" w:hAnsi="Times New Roman"/>
              </w:rPr>
              <m:t xml:space="preserve">𝜕𝑃</m:t>
            </m:r>
            <m:ctrlPr>
              <w:rPr>
                <w:rFonts w:ascii="Cambria Math" w:hAnsi="Times New Roman"/>
              </w:rPr>
            </m:ctrlPr>
          </m:den>
        </m:f>
        <m:r>
          <m:rPr/>
          <w:rPr>
            <w:rFonts w:ascii="Cambria Math" w:hAnsi="Times New Roman"/>
          </w:rPr>
          <m:t xml:space="preserve">=</m:t>
        </m:r>
        <m:r>
          <m:rPr/>
          <w:rPr>
            <w:rFonts w:ascii="Cambria Math" w:hAnsi="Cambria Math"/>
          </w:rPr>
          <m:t xml:space="preserve">−</m:t>
        </m:r>
        <m:r>
          <m:rPr/>
          <w:rPr>
            <w:rFonts w:ascii="Cambria Math" w:hAnsi="Times New Roman"/>
          </w:rPr>
          <m:t xml:space="preserve">𝑃/</m:t>
        </m:r>
        <m:sSup>
          <m:sSupPr>
            <m:ctrlPr>
              <w:rPr>
                <w:rFonts w:ascii="Cambria Math" w:hAnsi="Times New Roman"/>
              </w:rPr>
            </m:ctrlPr>
          </m:sSupPr>
          <m:e>
            <m:r>
              <m:rPr/>
              <w:rPr>
                <w:rFonts w:ascii="Cambria Math" w:hAnsi="Times New Roman"/>
              </w:rPr>
              <m:t xml:space="preserve">𝑚</m:t>
            </m:r>
            <m:ctrlPr>
              <w:rPr>
                <w:rFonts w:ascii="Cambria Math" w:hAnsi="Times New Roman"/>
              </w:rPr>
            </m:ctrlPr>
          </m:e>
          <m:sup>
            <m:r>
              <m:rPr/>
              <w:rPr>
                <w:rFonts w:ascii="Cambria Math" w:hAnsi="Times New Roman"/>
              </w:rPr>
              <m:t xml:space="preserve">2</m:t>
            </m:r>
            <m:ctrlPr>
              <w:rPr>
                <w:rFonts w:ascii="Cambria Math" w:hAnsi="Times New Roman"/>
              </w:rPr>
            </m:ctrlPr>
          </m:sup>
        </m:sSup>
      </m:oMath>
      <w:r>
        <w:instrText xml:space="preserve"> </w:instrText>
      </w:r>
      <w:r>
        <w:fldChar w:fldCharType="end"/>
      </w:r>
      <w:r>
        <w:rPr>
          <w:rFonts w:hint="eastAsia"/>
          <w:position w:val="-24"/>
        </w:rPr>
        <w:object>
          <v:shape id="_x0000_i1028" o:spt="75" type="#_x0000_t75" style="height:31.25pt;width:95.1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 xml:space="preserve">                           （C.4）</w:t>
      </w:r>
    </w:p>
    <w:p w14:paraId="224D5C50">
      <w:pPr>
        <w:pStyle w:val="13"/>
        <w:spacing w:before="156" w:after="156"/>
        <w:jc w:val="both"/>
        <w:outlineLvl w:val="9"/>
        <w:rPr>
          <w:rFonts w:ascii="黑体" w:hAnsi="黑体" w:cs="宋体"/>
        </w:rPr>
      </w:pPr>
      <w:r>
        <w:rPr>
          <w:rFonts w:hint="eastAsia" w:ascii="黑体" w:hAnsi="黑体" w:cs="宋体"/>
        </w:rPr>
        <w:t>6  不确定度来源</w:t>
      </w:r>
    </w:p>
    <w:p w14:paraId="0B95E9C8">
      <w:pPr>
        <w:pStyle w:val="11"/>
        <w:spacing w:line="360" w:lineRule="auto"/>
        <w:ind w:firstLine="0" w:firstLineChars="0"/>
        <w:jc w:val="both"/>
        <w:outlineLvl w:val="9"/>
      </w:pPr>
      <w:r>
        <w:rPr>
          <w:rFonts w:hint="eastAsia" w:ascii="黑体" w:hAnsi="黑体" w:cs="宋体"/>
        </w:rPr>
        <w:t xml:space="preserve">    </w:t>
      </w:r>
      <w:r>
        <w:rPr>
          <w:rFonts w:hint="eastAsia" w:cs="宋体"/>
        </w:rPr>
        <w:t>不确定来源主要包括：</w:t>
      </w:r>
    </w:p>
    <w:p w14:paraId="5CEF7FAB">
      <w:pPr>
        <w:pStyle w:val="11"/>
        <w:spacing w:line="360" w:lineRule="auto"/>
        <w:ind w:firstLine="0" w:firstLineChars="0"/>
        <w:jc w:val="both"/>
        <w:outlineLvl w:val="9"/>
      </w:pPr>
      <w:r>
        <w:rPr>
          <w:rFonts w:hint="eastAsia"/>
        </w:rPr>
        <w:t xml:space="preserve">    a）测量重复性引入的标准不确定分量；</w:t>
      </w:r>
    </w:p>
    <w:p w14:paraId="3E380078">
      <w:pPr>
        <w:pStyle w:val="11"/>
        <w:spacing w:line="360" w:lineRule="auto"/>
        <w:ind w:firstLine="0" w:firstLineChars="0"/>
        <w:jc w:val="both"/>
        <w:outlineLvl w:val="9"/>
      </w:pPr>
      <w:r>
        <w:rPr>
          <w:rFonts w:hint="eastAsia"/>
        </w:rPr>
        <w:t xml:space="preserve">    b）被校仪器数显量化误差引入的标准不确定分量；</w:t>
      </w:r>
    </w:p>
    <w:p w14:paraId="6717E970">
      <w:pPr>
        <w:pStyle w:val="11"/>
        <w:spacing w:line="360" w:lineRule="auto"/>
        <w:ind w:firstLine="0" w:firstLineChars="0"/>
        <w:jc w:val="both"/>
        <w:outlineLvl w:val="9"/>
      </w:pPr>
      <w:r>
        <w:rPr>
          <w:rFonts w:hint="eastAsia"/>
        </w:rPr>
        <w:t xml:space="preserve">    c）标准气体引入的不确定度。</w:t>
      </w:r>
    </w:p>
    <w:p w14:paraId="22AE1199">
      <w:pPr>
        <w:pStyle w:val="13"/>
        <w:spacing w:before="156" w:after="156"/>
        <w:jc w:val="both"/>
        <w:outlineLvl w:val="9"/>
        <w:rPr>
          <w:rFonts w:ascii="黑体" w:hAnsi="黑体" w:cs="宋体"/>
        </w:rPr>
      </w:pPr>
      <w:r>
        <w:rPr>
          <w:rFonts w:hint="eastAsia" w:ascii="黑体" w:hAnsi="黑体" w:cs="宋体"/>
        </w:rPr>
        <w:t>7  标准不确定度分量的评定</w:t>
      </w:r>
    </w:p>
    <w:p w14:paraId="7913D51A">
      <w:pPr>
        <w:pStyle w:val="11"/>
        <w:spacing w:line="360" w:lineRule="auto"/>
        <w:ind w:firstLine="0" w:firstLineChars="0"/>
        <w:jc w:val="both"/>
        <w:outlineLvl w:val="9"/>
      </w:pPr>
      <w:r>
        <w:rPr>
          <w:rFonts w:hint="eastAsia"/>
        </w:rPr>
        <w:t>7.1  被校仪器引入的标准不确定分量</w:t>
      </w:r>
      <w:r>
        <w:rPr>
          <w:rFonts w:ascii="Times New Roman" w:hAnsi="Times New Roman"/>
          <w:i/>
          <w:iCs/>
        </w:rPr>
        <w:t>u</w:t>
      </w:r>
      <w:r>
        <w:rPr>
          <w:rFonts w:hint="eastAsia"/>
        </w:rPr>
        <w:t>（</w:t>
      </w:r>
      <w:r>
        <w:rPr>
          <w:rFonts w:ascii="Times New Roman" w:hAnsi="Times New Roman"/>
          <w:i/>
          <w:iCs/>
        </w:rPr>
        <w:t>C</w:t>
      </w:r>
      <w:r>
        <w:rPr>
          <w:rFonts w:ascii="Times New Roman" w:hAnsi="Times New Roman"/>
          <w:vertAlign w:val="subscript"/>
        </w:rPr>
        <w:t>i</w:t>
      </w:r>
      <w:r>
        <w:rPr>
          <w:rFonts w:hint="eastAsia"/>
        </w:rPr>
        <w:t>）</w:t>
      </w:r>
    </w:p>
    <w:p w14:paraId="37595477">
      <w:pPr>
        <w:pStyle w:val="11"/>
        <w:spacing w:line="360" w:lineRule="auto"/>
        <w:ind w:firstLine="0" w:firstLineChars="0"/>
        <w:jc w:val="both"/>
        <w:outlineLvl w:val="9"/>
      </w:pPr>
      <w:r>
        <w:rPr>
          <w:rFonts w:hint="eastAsia"/>
        </w:rPr>
        <w:t>7.1.1  测量重复性引入的标准不确定分量</w:t>
      </w:r>
      <w:r>
        <w:rPr>
          <w:rFonts w:ascii="Times New Roman" w:hAnsi="Times New Roman"/>
          <w:i/>
          <w:iCs/>
        </w:rPr>
        <w:t>u</w:t>
      </w:r>
      <w:r>
        <w:rPr>
          <w:rFonts w:hint="eastAsia" w:cs="宋体"/>
          <w:sz w:val="32"/>
          <w:szCs w:val="32"/>
          <w:vertAlign w:val="subscript"/>
        </w:rPr>
        <w:t>1</w:t>
      </w:r>
      <w:r>
        <w:rPr>
          <w:rFonts w:hint="eastAsia"/>
        </w:rPr>
        <w:t>（</w:t>
      </w:r>
      <w:r>
        <w:rPr>
          <w:rFonts w:ascii="Times New Roman" w:hAnsi="Times New Roman"/>
          <w:i/>
          <w:iCs/>
        </w:rPr>
        <w:t>C</w:t>
      </w:r>
      <w:r>
        <w:rPr>
          <w:rFonts w:ascii="Times New Roman" w:hAnsi="Times New Roman"/>
          <w:vertAlign w:val="subscript"/>
        </w:rPr>
        <w:t>i</w:t>
      </w:r>
      <w:r>
        <w:rPr>
          <w:rFonts w:hint="eastAsia"/>
        </w:rPr>
        <w:t>）</w:t>
      </w:r>
    </w:p>
    <w:p w14:paraId="70FE5219">
      <w:pPr>
        <w:pStyle w:val="11"/>
        <w:spacing w:line="360" w:lineRule="auto"/>
        <w:ind w:firstLine="480"/>
        <w:jc w:val="both"/>
        <w:outlineLvl w:val="9"/>
      </w:pPr>
      <w:r>
        <w:rPr>
          <w:rFonts w:hint="eastAsia"/>
        </w:rPr>
        <w:t>采用A类方法评定，通过连续10次测量的方法进行。以通入</w:t>
      </w:r>
      <w:r>
        <w:rPr>
          <w:rFonts w:hint="eastAsia" w:cs="宋体"/>
          <w:lang w:val="en-US" w:eastAsia="zh-CN"/>
        </w:rPr>
        <w:t>500</w:t>
      </w:r>
      <w:r>
        <w:rPr>
          <w:rFonts w:hint="eastAsia" w:cs="宋体"/>
        </w:rPr>
        <w:t xml:space="preserve"> </w:t>
      </w:r>
      <w:bookmarkStart w:id="9" w:name="OLE_LINK1"/>
      <w:r>
        <w:rPr>
          <w:rFonts w:ascii="Times New Roman" w:hAnsi="Times New Roman"/>
        </w:rPr>
        <w:t>µmol/mo</w:t>
      </w:r>
      <w:bookmarkEnd w:id="9"/>
      <w:r>
        <w:rPr>
          <w:rFonts w:ascii="Times New Roman" w:hAnsi="Times New Roman"/>
        </w:rPr>
        <w:t>l</w:t>
      </w:r>
      <w:r>
        <w:rPr>
          <w:rFonts w:hint="eastAsia" w:cs="宋体"/>
          <w:color w:val="000000"/>
        </w:rPr>
        <w:t>空气中氢气标准物质</w:t>
      </w:r>
      <w:r>
        <w:rPr>
          <w:rFonts w:hint="eastAsia"/>
        </w:rPr>
        <w:t>为例，重复性测量试验数据见表C.1。</w:t>
      </w:r>
    </w:p>
    <w:p w14:paraId="21BCEAB5">
      <w:pPr>
        <w:pStyle w:val="11"/>
        <w:wordWrap w:val="0"/>
        <w:spacing w:line="360" w:lineRule="auto"/>
        <w:ind w:firstLine="0" w:firstLineChars="0"/>
        <w:jc w:val="right"/>
        <w:outlineLvl w:val="9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表C.1  重复性测量试验数据</w:t>
      </w:r>
      <w:r>
        <w:rPr>
          <w:rFonts w:hint="eastAsia"/>
        </w:rPr>
        <w:t xml:space="preserve">                单位（</w:t>
      </w:r>
      <w:r>
        <w:rPr>
          <w:rFonts w:ascii="Times New Roman" w:hAnsi="Times New Roman"/>
        </w:rPr>
        <w:t>µmol/mo</w:t>
      </w:r>
      <w:r>
        <w:rPr>
          <w:rFonts w:hint="eastAsia" w:ascii="Times New Roman" w:hAnsi="Times New Roman"/>
        </w:rPr>
        <w:t>l</w:t>
      </w:r>
      <w:r>
        <w:rPr>
          <w:rFonts w:hint="eastAsia"/>
        </w:rPr>
        <w:t>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849"/>
        <w:gridCol w:w="850"/>
        <w:gridCol w:w="849"/>
        <w:gridCol w:w="849"/>
        <w:gridCol w:w="850"/>
        <w:gridCol w:w="849"/>
        <w:gridCol w:w="849"/>
        <w:gridCol w:w="850"/>
        <w:gridCol w:w="849"/>
        <w:gridCol w:w="850"/>
      </w:tblGrid>
      <w:tr w14:paraId="17571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96" w:type="dxa"/>
            <w:vAlign w:val="center"/>
          </w:tcPr>
          <w:p w14:paraId="3289D9A8">
            <w:pPr>
              <w:jc w:val="center"/>
              <w:rPr>
                <w:szCs w:val="21"/>
              </w:rPr>
            </w:pPr>
            <w:bookmarkStart w:id="10" w:name="_Toc27835"/>
            <w:bookmarkStart w:id="11" w:name="_Toc5580"/>
            <w:bookmarkStart w:id="12" w:name="_Toc2961"/>
            <w:r>
              <w:rPr>
                <w:szCs w:val="21"/>
              </w:rPr>
              <w:t>序号</w:t>
            </w:r>
            <w:bookmarkEnd w:id="10"/>
            <w:bookmarkEnd w:id="11"/>
            <w:bookmarkEnd w:id="12"/>
          </w:p>
        </w:tc>
        <w:tc>
          <w:tcPr>
            <w:tcW w:w="849" w:type="dxa"/>
            <w:vAlign w:val="center"/>
          </w:tcPr>
          <w:p w14:paraId="196DE1F1">
            <w:pPr>
              <w:jc w:val="center"/>
              <w:rPr>
                <w:szCs w:val="21"/>
              </w:rPr>
            </w:pPr>
            <w:bookmarkStart w:id="13" w:name="_Toc5470"/>
            <w:bookmarkStart w:id="14" w:name="_Toc27133"/>
            <w:bookmarkStart w:id="15" w:name="_Toc31892"/>
            <w:r>
              <w:rPr>
                <w:szCs w:val="21"/>
              </w:rPr>
              <w:t>1</w:t>
            </w:r>
            <w:bookmarkEnd w:id="13"/>
            <w:bookmarkEnd w:id="14"/>
            <w:bookmarkEnd w:id="15"/>
          </w:p>
        </w:tc>
        <w:tc>
          <w:tcPr>
            <w:tcW w:w="850" w:type="dxa"/>
            <w:vAlign w:val="center"/>
          </w:tcPr>
          <w:p w14:paraId="32471441">
            <w:pPr>
              <w:jc w:val="center"/>
              <w:rPr>
                <w:szCs w:val="21"/>
              </w:rPr>
            </w:pPr>
            <w:bookmarkStart w:id="16" w:name="_Toc8094"/>
            <w:bookmarkStart w:id="17" w:name="_Toc28042"/>
            <w:bookmarkStart w:id="18" w:name="_Toc840"/>
            <w:r>
              <w:rPr>
                <w:szCs w:val="21"/>
              </w:rPr>
              <w:t>2</w:t>
            </w:r>
            <w:bookmarkEnd w:id="16"/>
            <w:bookmarkEnd w:id="17"/>
            <w:bookmarkEnd w:id="18"/>
          </w:p>
        </w:tc>
        <w:tc>
          <w:tcPr>
            <w:tcW w:w="849" w:type="dxa"/>
            <w:vAlign w:val="center"/>
          </w:tcPr>
          <w:p w14:paraId="5D4587D7">
            <w:pPr>
              <w:jc w:val="center"/>
              <w:rPr>
                <w:szCs w:val="21"/>
              </w:rPr>
            </w:pPr>
            <w:bookmarkStart w:id="19" w:name="_Toc14898"/>
            <w:bookmarkStart w:id="20" w:name="_Toc20092"/>
            <w:bookmarkStart w:id="21" w:name="_Toc28824"/>
            <w:r>
              <w:rPr>
                <w:szCs w:val="21"/>
              </w:rPr>
              <w:t>3</w:t>
            </w:r>
            <w:bookmarkEnd w:id="19"/>
            <w:bookmarkEnd w:id="20"/>
            <w:bookmarkEnd w:id="21"/>
          </w:p>
        </w:tc>
        <w:tc>
          <w:tcPr>
            <w:tcW w:w="849" w:type="dxa"/>
            <w:vAlign w:val="center"/>
          </w:tcPr>
          <w:p w14:paraId="54A15656">
            <w:pPr>
              <w:jc w:val="center"/>
              <w:rPr>
                <w:szCs w:val="21"/>
              </w:rPr>
            </w:pPr>
            <w:bookmarkStart w:id="22" w:name="_Toc23954"/>
            <w:bookmarkStart w:id="23" w:name="_Toc1007"/>
            <w:bookmarkStart w:id="24" w:name="_Toc16332"/>
            <w:r>
              <w:rPr>
                <w:szCs w:val="21"/>
              </w:rPr>
              <w:t>4</w:t>
            </w:r>
            <w:bookmarkEnd w:id="22"/>
            <w:bookmarkEnd w:id="23"/>
            <w:bookmarkEnd w:id="24"/>
          </w:p>
        </w:tc>
        <w:tc>
          <w:tcPr>
            <w:tcW w:w="850" w:type="dxa"/>
            <w:vAlign w:val="center"/>
          </w:tcPr>
          <w:p w14:paraId="0B029008">
            <w:pPr>
              <w:jc w:val="center"/>
              <w:rPr>
                <w:szCs w:val="21"/>
              </w:rPr>
            </w:pPr>
            <w:bookmarkStart w:id="25" w:name="_Toc31852"/>
            <w:bookmarkStart w:id="26" w:name="_Toc31367"/>
            <w:bookmarkStart w:id="27" w:name="_Toc18944"/>
            <w:r>
              <w:rPr>
                <w:szCs w:val="21"/>
              </w:rPr>
              <w:t>5</w:t>
            </w:r>
            <w:bookmarkEnd w:id="25"/>
            <w:bookmarkEnd w:id="26"/>
            <w:bookmarkEnd w:id="27"/>
          </w:p>
        </w:tc>
        <w:tc>
          <w:tcPr>
            <w:tcW w:w="849" w:type="dxa"/>
            <w:vAlign w:val="center"/>
          </w:tcPr>
          <w:p w14:paraId="16DB9CFE">
            <w:pPr>
              <w:jc w:val="center"/>
              <w:rPr>
                <w:szCs w:val="21"/>
              </w:rPr>
            </w:pPr>
            <w:bookmarkStart w:id="28" w:name="_Toc8447"/>
            <w:bookmarkStart w:id="29" w:name="_Toc32486"/>
            <w:bookmarkStart w:id="30" w:name="_Toc32000"/>
            <w:r>
              <w:rPr>
                <w:szCs w:val="21"/>
              </w:rPr>
              <w:t>6</w:t>
            </w:r>
            <w:bookmarkEnd w:id="28"/>
            <w:bookmarkEnd w:id="29"/>
            <w:bookmarkEnd w:id="30"/>
          </w:p>
        </w:tc>
        <w:tc>
          <w:tcPr>
            <w:tcW w:w="849" w:type="dxa"/>
            <w:vAlign w:val="center"/>
          </w:tcPr>
          <w:p w14:paraId="1393EE87">
            <w:pPr>
              <w:jc w:val="center"/>
              <w:rPr>
                <w:szCs w:val="21"/>
              </w:rPr>
            </w:pPr>
            <w:bookmarkStart w:id="31" w:name="_Toc6791"/>
            <w:bookmarkStart w:id="32" w:name="_Toc14358"/>
            <w:bookmarkStart w:id="33" w:name="_Toc16276"/>
            <w:r>
              <w:rPr>
                <w:szCs w:val="21"/>
              </w:rPr>
              <w:t>7</w:t>
            </w:r>
            <w:bookmarkEnd w:id="31"/>
            <w:bookmarkEnd w:id="32"/>
            <w:bookmarkEnd w:id="33"/>
          </w:p>
        </w:tc>
        <w:tc>
          <w:tcPr>
            <w:tcW w:w="850" w:type="dxa"/>
            <w:vAlign w:val="center"/>
          </w:tcPr>
          <w:p w14:paraId="3DFC570D">
            <w:pPr>
              <w:jc w:val="center"/>
              <w:rPr>
                <w:szCs w:val="21"/>
              </w:rPr>
            </w:pPr>
            <w:bookmarkStart w:id="34" w:name="_Toc23632"/>
            <w:bookmarkStart w:id="35" w:name="_Toc32077"/>
            <w:bookmarkStart w:id="36" w:name="_Toc20438"/>
            <w:r>
              <w:rPr>
                <w:szCs w:val="21"/>
              </w:rPr>
              <w:t>8</w:t>
            </w:r>
            <w:bookmarkEnd w:id="34"/>
            <w:bookmarkEnd w:id="35"/>
            <w:bookmarkEnd w:id="36"/>
          </w:p>
        </w:tc>
        <w:tc>
          <w:tcPr>
            <w:tcW w:w="849" w:type="dxa"/>
            <w:vAlign w:val="center"/>
          </w:tcPr>
          <w:p w14:paraId="70FA1289">
            <w:pPr>
              <w:jc w:val="center"/>
              <w:rPr>
                <w:szCs w:val="21"/>
              </w:rPr>
            </w:pPr>
            <w:bookmarkStart w:id="37" w:name="_Toc12807"/>
            <w:bookmarkStart w:id="38" w:name="_Toc27720"/>
            <w:bookmarkStart w:id="39" w:name="_Toc26683"/>
            <w:r>
              <w:rPr>
                <w:szCs w:val="21"/>
              </w:rPr>
              <w:t>9</w:t>
            </w:r>
            <w:bookmarkEnd w:id="37"/>
            <w:bookmarkEnd w:id="38"/>
            <w:bookmarkEnd w:id="39"/>
          </w:p>
        </w:tc>
        <w:tc>
          <w:tcPr>
            <w:tcW w:w="850" w:type="dxa"/>
            <w:vAlign w:val="center"/>
          </w:tcPr>
          <w:p w14:paraId="040A3537">
            <w:pPr>
              <w:jc w:val="center"/>
              <w:rPr>
                <w:szCs w:val="21"/>
              </w:rPr>
            </w:pPr>
            <w:bookmarkStart w:id="40" w:name="_Toc17069"/>
            <w:bookmarkStart w:id="41" w:name="_Toc23547"/>
            <w:bookmarkStart w:id="42" w:name="_Toc3857"/>
            <w:r>
              <w:rPr>
                <w:szCs w:val="21"/>
              </w:rPr>
              <w:t>10</w:t>
            </w:r>
            <w:bookmarkEnd w:id="40"/>
            <w:bookmarkEnd w:id="41"/>
            <w:bookmarkEnd w:id="42"/>
          </w:p>
        </w:tc>
      </w:tr>
      <w:tr w14:paraId="13E83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96" w:type="dxa"/>
            <w:vAlign w:val="center"/>
          </w:tcPr>
          <w:p w14:paraId="7E3FCAF6">
            <w:pPr>
              <w:jc w:val="center"/>
              <w:rPr>
                <w:szCs w:val="21"/>
              </w:rPr>
            </w:pPr>
            <w:bookmarkStart w:id="43" w:name="_Toc30355"/>
            <w:bookmarkStart w:id="44" w:name="_Toc16545"/>
            <w:bookmarkStart w:id="45" w:name="_Toc4202"/>
            <w:r>
              <w:rPr>
                <w:szCs w:val="21"/>
              </w:rPr>
              <w:t>示值</w:t>
            </w:r>
            <w:bookmarkEnd w:id="43"/>
            <w:bookmarkEnd w:id="44"/>
            <w:bookmarkEnd w:id="45"/>
          </w:p>
        </w:tc>
        <w:tc>
          <w:tcPr>
            <w:tcW w:w="849" w:type="dxa"/>
            <w:vAlign w:val="center"/>
          </w:tcPr>
          <w:p w14:paraId="2C935C58">
            <w:pPr>
              <w:jc w:val="center"/>
              <w:rPr>
                <w:szCs w:val="21"/>
              </w:rPr>
            </w:pPr>
            <w:bookmarkStart w:id="46" w:name="_Toc14505"/>
            <w:r>
              <w:rPr>
                <w:rFonts w:hint="eastAsia"/>
                <w:szCs w:val="21"/>
              </w:rPr>
              <w:t>497</w:t>
            </w:r>
            <w:bookmarkEnd w:id="46"/>
          </w:p>
        </w:tc>
        <w:tc>
          <w:tcPr>
            <w:tcW w:w="850" w:type="dxa"/>
            <w:vAlign w:val="center"/>
          </w:tcPr>
          <w:p w14:paraId="431CBB05">
            <w:pPr>
              <w:jc w:val="center"/>
              <w:rPr>
                <w:szCs w:val="21"/>
              </w:rPr>
            </w:pPr>
            <w:bookmarkStart w:id="47" w:name="_Toc4103"/>
            <w:r>
              <w:rPr>
                <w:rFonts w:hint="eastAsia"/>
                <w:szCs w:val="21"/>
              </w:rPr>
              <w:t>497</w:t>
            </w:r>
            <w:bookmarkEnd w:id="47"/>
          </w:p>
        </w:tc>
        <w:tc>
          <w:tcPr>
            <w:tcW w:w="849" w:type="dxa"/>
            <w:vAlign w:val="center"/>
          </w:tcPr>
          <w:p w14:paraId="26258282">
            <w:pPr>
              <w:jc w:val="center"/>
              <w:rPr>
                <w:szCs w:val="21"/>
              </w:rPr>
            </w:pPr>
            <w:bookmarkStart w:id="48" w:name="_Toc23233"/>
            <w:r>
              <w:rPr>
                <w:rFonts w:hint="eastAsia"/>
                <w:szCs w:val="21"/>
              </w:rPr>
              <w:t>498</w:t>
            </w:r>
            <w:bookmarkEnd w:id="48"/>
          </w:p>
        </w:tc>
        <w:tc>
          <w:tcPr>
            <w:tcW w:w="849" w:type="dxa"/>
            <w:vAlign w:val="center"/>
          </w:tcPr>
          <w:p w14:paraId="75421F6C">
            <w:pPr>
              <w:jc w:val="center"/>
              <w:rPr>
                <w:szCs w:val="21"/>
              </w:rPr>
            </w:pPr>
            <w:bookmarkStart w:id="49" w:name="_Toc19205"/>
            <w:r>
              <w:rPr>
                <w:rFonts w:hint="eastAsia"/>
                <w:szCs w:val="21"/>
              </w:rPr>
              <w:t>496</w:t>
            </w:r>
            <w:bookmarkEnd w:id="49"/>
          </w:p>
        </w:tc>
        <w:tc>
          <w:tcPr>
            <w:tcW w:w="850" w:type="dxa"/>
            <w:vAlign w:val="center"/>
          </w:tcPr>
          <w:p w14:paraId="36396534">
            <w:pPr>
              <w:jc w:val="center"/>
              <w:rPr>
                <w:szCs w:val="21"/>
              </w:rPr>
            </w:pPr>
            <w:bookmarkStart w:id="50" w:name="_Toc12"/>
            <w:r>
              <w:rPr>
                <w:rFonts w:hint="eastAsia"/>
                <w:szCs w:val="21"/>
              </w:rPr>
              <w:t>495</w:t>
            </w:r>
            <w:bookmarkEnd w:id="50"/>
          </w:p>
        </w:tc>
        <w:tc>
          <w:tcPr>
            <w:tcW w:w="849" w:type="dxa"/>
            <w:vAlign w:val="center"/>
          </w:tcPr>
          <w:p w14:paraId="2C5DD87F">
            <w:pPr>
              <w:jc w:val="center"/>
              <w:rPr>
                <w:szCs w:val="21"/>
              </w:rPr>
            </w:pPr>
            <w:bookmarkStart w:id="51" w:name="_Toc10732"/>
            <w:r>
              <w:rPr>
                <w:rFonts w:hint="eastAsia"/>
                <w:szCs w:val="21"/>
              </w:rPr>
              <w:t>497</w:t>
            </w:r>
            <w:bookmarkEnd w:id="51"/>
          </w:p>
        </w:tc>
        <w:tc>
          <w:tcPr>
            <w:tcW w:w="849" w:type="dxa"/>
            <w:vAlign w:val="center"/>
          </w:tcPr>
          <w:p w14:paraId="2EA15C0B">
            <w:pPr>
              <w:jc w:val="center"/>
              <w:rPr>
                <w:szCs w:val="21"/>
              </w:rPr>
            </w:pPr>
            <w:bookmarkStart w:id="52" w:name="_Toc544"/>
            <w:r>
              <w:rPr>
                <w:rFonts w:hint="eastAsia"/>
                <w:szCs w:val="21"/>
              </w:rPr>
              <w:t>496</w:t>
            </w:r>
            <w:bookmarkEnd w:id="52"/>
          </w:p>
        </w:tc>
        <w:tc>
          <w:tcPr>
            <w:tcW w:w="850" w:type="dxa"/>
            <w:vAlign w:val="center"/>
          </w:tcPr>
          <w:p w14:paraId="430C242D">
            <w:pPr>
              <w:jc w:val="center"/>
              <w:rPr>
                <w:szCs w:val="21"/>
              </w:rPr>
            </w:pPr>
            <w:bookmarkStart w:id="53" w:name="_Toc9723"/>
            <w:r>
              <w:rPr>
                <w:rFonts w:hint="eastAsia"/>
                <w:szCs w:val="21"/>
              </w:rPr>
              <w:t>495</w:t>
            </w:r>
            <w:bookmarkEnd w:id="53"/>
          </w:p>
        </w:tc>
        <w:tc>
          <w:tcPr>
            <w:tcW w:w="849" w:type="dxa"/>
            <w:vAlign w:val="center"/>
          </w:tcPr>
          <w:p w14:paraId="560370E4">
            <w:pPr>
              <w:jc w:val="center"/>
              <w:rPr>
                <w:szCs w:val="21"/>
              </w:rPr>
            </w:pPr>
            <w:bookmarkStart w:id="54" w:name="_Toc27443"/>
            <w:r>
              <w:rPr>
                <w:rFonts w:hint="eastAsia"/>
                <w:szCs w:val="21"/>
              </w:rPr>
              <w:t>497</w:t>
            </w:r>
            <w:bookmarkEnd w:id="54"/>
          </w:p>
        </w:tc>
        <w:tc>
          <w:tcPr>
            <w:tcW w:w="850" w:type="dxa"/>
            <w:vAlign w:val="center"/>
          </w:tcPr>
          <w:p w14:paraId="16DA7DCE">
            <w:pPr>
              <w:jc w:val="center"/>
              <w:rPr>
                <w:szCs w:val="21"/>
              </w:rPr>
            </w:pPr>
            <w:bookmarkStart w:id="55" w:name="_Toc9890"/>
            <w:r>
              <w:rPr>
                <w:rFonts w:hint="eastAsia"/>
                <w:szCs w:val="21"/>
              </w:rPr>
              <w:t>497</w:t>
            </w:r>
            <w:bookmarkEnd w:id="55"/>
          </w:p>
        </w:tc>
      </w:tr>
    </w:tbl>
    <w:p w14:paraId="581C6086">
      <w:pPr>
        <w:pStyle w:val="11"/>
        <w:spacing w:line="360" w:lineRule="auto"/>
        <w:ind w:firstLine="480"/>
        <w:jc w:val="both"/>
        <w:outlineLvl w:val="9"/>
      </w:pPr>
      <w:r>
        <w:rPr>
          <w:rFonts w:hint="eastAsia"/>
        </w:rPr>
        <w:t>计算得出实验标准偏差为：</w:t>
      </w:r>
      <w:r>
        <w:rPr>
          <w:rFonts w:ascii="Times New Roman" w:hAnsi="Times New Roman"/>
          <w:i/>
        </w:rPr>
        <w:t>s</w:t>
      </w:r>
      <w:r>
        <w:rPr>
          <w:rFonts w:hint="eastAsia" w:ascii="Times New Roman" w:hAnsi="Times New Roman"/>
          <w:i/>
        </w:rPr>
        <w:t xml:space="preserve"> </w:t>
      </w:r>
      <w:r>
        <w:rPr>
          <w:rFonts w:hint="eastAsia"/>
        </w:rPr>
        <w:t xml:space="preserve">=0.97 </w:t>
      </w:r>
      <w:r>
        <w:rPr>
          <w:rFonts w:ascii="Times New Roman" w:hAnsi="Times New Roman"/>
        </w:rPr>
        <w:t>µmol/mo</w:t>
      </w:r>
      <w:r>
        <w:rPr>
          <w:rFonts w:hint="eastAsia" w:ascii="Times New Roman" w:hAnsi="Times New Roman"/>
        </w:rPr>
        <w:t>l</w:t>
      </w:r>
      <w:r>
        <w:rPr>
          <w:rFonts w:hint="eastAsia"/>
        </w:rPr>
        <w:t>。</w:t>
      </w:r>
    </w:p>
    <w:p w14:paraId="4C028663">
      <w:pPr>
        <w:pStyle w:val="11"/>
        <w:spacing w:line="360" w:lineRule="auto"/>
        <w:ind w:firstLine="480"/>
        <w:jc w:val="both"/>
        <w:outlineLvl w:val="9"/>
      </w:pPr>
      <w:r>
        <w:rPr>
          <w:rFonts w:hint="eastAsia"/>
        </w:rPr>
        <w:t>实际测量时，在重复性条件下连续测量3次，以3次测量值作为测量结果，则标准不确定度为：</w:t>
      </w:r>
    </w:p>
    <w:p w14:paraId="53BF6C36">
      <w:pPr>
        <w:pStyle w:val="11"/>
        <w:spacing w:line="360" w:lineRule="auto"/>
        <w:ind w:firstLine="480"/>
        <w:jc w:val="center"/>
        <w:outlineLvl w:val="9"/>
      </w:pPr>
      <w:r>
        <w:rPr>
          <w:rFonts w:ascii="Times New Roman" w:hAnsi="Times New Roman"/>
          <w:i/>
          <w:position w:val="-10"/>
        </w:rPr>
        <w:object>
          <v:shape id="_x0000_i1029" o:spt="75" type="#_x0000_t75" style="height:18.35pt;width:117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</w:p>
    <w:p w14:paraId="6B157731">
      <w:pPr>
        <w:pStyle w:val="11"/>
        <w:spacing w:line="360" w:lineRule="auto"/>
        <w:ind w:firstLine="0" w:firstLineChars="0"/>
        <w:jc w:val="both"/>
        <w:outlineLvl w:val="9"/>
      </w:pPr>
      <w:r>
        <w:rPr>
          <w:rFonts w:hint="eastAsia"/>
        </w:rPr>
        <w:t>7.1.2  示值的数显量化误差引入的标准不确定度</w:t>
      </w:r>
      <w:r>
        <w:rPr>
          <w:rFonts w:ascii="Times New Roman" w:hAnsi="Times New Roman"/>
          <w:i/>
        </w:rPr>
        <w:t>u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（</w:t>
      </w:r>
      <w:r>
        <w:rPr>
          <w:rFonts w:ascii="Times New Roman" w:hAnsi="Times New Roman"/>
          <w:i/>
          <w:iCs/>
        </w:rPr>
        <w:t>C</w:t>
      </w:r>
      <w:r>
        <w:rPr>
          <w:rFonts w:ascii="Times New Roman" w:hAnsi="Times New Roman"/>
          <w:vertAlign w:val="subscript"/>
        </w:rPr>
        <w:t>i</w:t>
      </w:r>
      <w:r>
        <w:rPr>
          <w:rFonts w:hint="eastAsia"/>
        </w:rPr>
        <w:t>）</w:t>
      </w:r>
    </w:p>
    <w:p w14:paraId="5743F6D5">
      <w:pPr>
        <w:pStyle w:val="11"/>
        <w:spacing w:line="360" w:lineRule="auto"/>
        <w:ind w:firstLine="480"/>
        <w:jc w:val="both"/>
        <w:outlineLvl w:val="9"/>
      </w:pPr>
      <w:r>
        <w:rPr>
          <w:rFonts w:hint="eastAsia"/>
        </w:rPr>
        <w:t xml:space="preserve">矿用氢气报警器数显量化分辨力为1 </w:t>
      </w:r>
      <w:r>
        <w:rPr>
          <w:rFonts w:ascii="Times New Roman" w:hAnsi="Times New Roman"/>
        </w:rPr>
        <w:t>µmol/mo</w:t>
      </w:r>
      <w:r>
        <w:rPr>
          <w:rFonts w:hint="eastAsia" w:ascii="Times New Roman" w:hAnsi="Times New Roman"/>
        </w:rPr>
        <w:t>l</w:t>
      </w:r>
      <w:r>
        <w:rPr>
          <w:rFonts w:hint="eastAsia"/>
        </w:rPr>
        <w:t xml:space="preserve">，其量化误差以矩形分布落在半宽度为0.5 </w:t>
      </w:r>
      <w:r>
        <w:rPr>
          <w:rFonts w:ascii="Times New Roman" w:hAnsi="Times New Roman"/>
        </w:rPr>
        <w:t>µmol/mo</w:t>
      </w:r>
      <w:r>
        <w:rPr>
          <w:rFonts w:hint="eastAsia" w:ascii="Times New Roman" w:hAnsi="Times New Roman"/>
        </w:rPr>
        <w:t>l</w:t>
      </w:r>
      <w:r>
        <w:rPr>
          <w:rFonts w:hint="eastAsia"/>
        </w:rPr>
        <w:t>的区间内，则其引入的标准不确定度为：</w:t>
      </w:r>
    </w:p>
    <w:p w14:paraId="5CDE15C6">
      <w:pPr>
        <w:pStyle w:val="11"/>
        <w:wordWrap w:val="0"/>
        <w:spacing w:line="360" w:lineRule="auto"/>
        <w:ind w:firstLine="0" w:firstLineChars="0"/>
        <w:jc w:val="center"/>
        <w:outlineLvl w:val="9"/>
      </w:pPr>
      <w:r>
        <w:rPr>
          <w:rFonts w:ascii="Times New Roman" w:hAnsi="Times New Roman"/>
          <w:i/>
          <w:iCs/>
          <w:position w:val="-10"/>
        </w:rPr>
        <w:object>
          <v:shape id="_x0000_i1030" o:spt="75" type="#_x0000_t75" style="height:18.35pt;width:127.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</w:p>
    <w:p w14:paraId="5FBDFD84">
      <w:pPr>
        <w:pStyle w:val="11"/>
        <w:spacing w:line="360" w:lineRule="auto"/>
        <w:ind w:firstLine="480"/>
        <w:jc w:val="both"/>
        <w:outlineLvl w:val="9"/>
      </w:pPr>
      <w:r>
        <w:rPr>
          <w:rFonts w:hint="eastAsia"/>
        </w:rPr>
        <w:t>重复性引入的标准不确定度</w:t>
      </w:r>
      <w:r>
        <w:rPr>
          <w:rFonts w:ascii="Times New Roman" w:hAnsi="Times New Roman"/>
          <w:i/>
          <w:iCs/>
        </w:rPr>
        <w:t>u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大于示值的数显量化误差引入的标准不确定度</w:t>
      </w:r>
      <w:r>
        <w:rPr>
          <w:rFonts w:ascii="Times New Roman" w:hAnsi="Times New Roman"/>
          <w:i/>
          <w:iCs/>
        </w:rPr>
        <w:t>u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，因此，数显量化误差引入的标准不确定度可忽略。</w:t>
      </w:r>
    </w:p>
    <w:p w14:paraId="7073D6BA">
      <w:pPr>
        <w:pStyle w:val="11"/>
        <w:spacing w:line="360" w:lineRule="auto"/>
        <w:ind w:firstLine="0" w:firstLineChars="0"/>
        <w:jc w:val="both"/>
        <w:outlineLvl w:val="9"/>
      </w:pPr>
      <w:r>
        <w:rPr>
          <w:rFonts w:hint="eastAsia"/>
        </w:rPr>
        <w:t>7.2  标准气体引入的标准不确定分量</w:t>
      </w:r>
      <w:r>
        <w:rPr>
          <w:rFonts w:ascii="Times New Roman" w:hAnsi="Times New Roman"/>
          <w:i/>
          <w:iCs/>
        </w:rPr>
        <w:t>u</w:t>
      </w:r>
      <w:r>
        <w:rPr>
          <w:rFonts w:hint="eastAsia"/>
        </w:rPr>
        <w:t>（</w:t>
      </w:r>
      <w:r>
        <w:rPr>
          <w:rFonts w:ascii="Times New Roman" w:hAnsi="Times New Roman"/>
          <w:i/>
          <w:iCs/>
        </w:rPr>
        <w:t>C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）</w:t>
      </w:r>
    </w:p>
    <w:p w14:paraId="4487429E">
      <w:pPr>
        <w:pStyle w:val="11"/>
        <w:spacing w:line="360" w:lineRule="auto"/>
        <w:ind w:firstLine="480"/>
        <w:jc w:val="both"/>
        <w:outlineLvl w:val="9"/>
        <w:rPr>
          <w:rFonts w:cs="宋体"/>
        </w:rPr>
      </w:pPr>
      <w:r>
        <w:rPr>
          <w:rFonts w:hint="eastAsia" w:cs="宋体"/>
        </w:rPr>
        <w:t>根据空气中氢气标准物质溯源证书可知，</w:t>
      </w:r>
      <w:r>
        <w:rPr>
          <w:rFonts w:hint="eastAsia" w:cs="宋体"/>
          <w:i/>
          <w:iCs/>
        </w:rPr>
        <w:t>U</w:t>
      </w:r>
      <w:r>
        <w:rPr>
          <w:rFonts w:hint="eastAsia" w:cs="宋体"/>
          <w:vertAlign w:val="subscript"/>
        </w:rPr>
        <w:t>rel</w:t>
      </w:r>
      <w:r>
        <w:rPr>
          <w:rFonts w:hint="eastAsia" w:cs="宋体"/>
        </w:rPr>
        <w:t>=2%，</w:t>
      </w:r>
      <w:r>
        <w:rPr>
          <w:rFonts w:hint="eastAsia" w:cs="宋体"/>
          <w:i/>
          <w:iCs/>
        </w:rPr>
        <w:t>k</w:t>
      </w:r>
      <w:r>
        <w:rPr>
          <w:rFonts w:hint="eastAsia" w:cs="宋体"/>
        </w:rPr>
        <w:t>=2，按均匀分布计算，则其引入的标准不确定度为：</w:t>
      </w:r>
      <w:bookmarkStart w:id="56" w:name="_GoBack"/>
      <w:bookmarkEnd w:id="56"/>
    </w:p>
    <w:p w14:paraId="620B8C53">
      <w:pPr>
        <w:pStyle w:val="11"/>
        <w:spacing w:line="360" w:lineRule="auto"/>
        <w:ind w:firstLine="0" w:firstLineChars="0"/>
        <w:jc w:val="center"/>
        <w:outlineLvl w:val="9"/>
        <w:rPr>
          <w:position w:val="-24"/>
        </w:rPr>
      </w:pPr>
      <w:r>
        <w:rPr>
          <w:rFonts w:ascii="Times New Roman" w:hAnsi="Times New Roman"/>
          <w:i/>
          <w:iCs/>
          <w:position w:val="-10"/>
        </w:rPr>
        <w:object>
          <v:shape id="_x0000_i1031" o:spt="75" type="#_x0000_t75" style="height:16.3pt;width:170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</w:p>
    <w:p w14:paraId="47417558">
      <w:pPr>
        <w:pStyle w:val="13"/>
        <w:spacing w:before="156" w:after="156"/>
        <w:jc w:val="both"/>
        <w:outlineLvl w:val="9"/>
        <w:rPr>
          <w:rFonts w:ascii="黑体" w:hAnsi="黑体" w:cs="宋体"/>
        </w:rPr>
      </w:pPr>
      <w:r>
        <w:rPr>
          <w:rFonts w:hint="eastAsia" w:ascii="黑体" w:hAnsi="黑体" w:cs="宋体"/>
        </w:rPr>
        <w:t>8  标准不确定度分量一览表</w:t>
      </w:r>
    </w:p>
    <w:p w14:paraId="4924AEE2">
      <w:pPr>
        <w:pStyle w:val="11"/>
        <w:spacing w:line="360" w:lineRule="auto"/>
        <w:ind w:firstLine="480"/>
        <w:jc w:val="both"/>
        <w:outlineLvl w:val="9"/>
      </w:pPr>
      <w:r>
        <w:rPr>
          <w:rFonts w:hint="eastAsia"/>
        </w:rPr>
        <w:t>标准不确定度分量一览表见表C.2。</w:t>
      </w:r>
    </w:p>
    <w:p w14:paraId="38114747">
      <w:pPr>
        <w:pStyle w:val="11"/>
        <w:spacing w:line="360" w:lineRule="auto"/>
        <w:ind w:firstLine="0" w:firstLineChars="0"/>
        <w:jc w:val="center"/>
        <w:outlineLvl w:val="9"/>
        <w:rPr>
          <w:rFonts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表C.2  标准不确定度分量一览表</w:t>
      </w:r>
    </w:p>
    <w:tbl>
      <w:tblPr>
        <w:tblStyle w:val="7"/>
        <w:tblW w:w="92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929"/>
        <w:gridCol w:w="1099"/>
        <w:gridCol w:w="1144"/>
        <w:gridCol w:w="1069"/>
        <w:gridCol w:w="1882"/>
      </w:tblGrid>
      <w:tr w14:paraId="32951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307" w:type="dxa"/>
            <w:gridSpan w:val="4"/>
            <w:vAlign w:val="center"/>
          </w:tcPr>
          <w:p w14:paraId="1EBA7EAC">
            <w:pPr>
              <w:pStyle w:val="11"/>
              <w:spacing w:line="360" w:lineRule="auto"/>
              <w:ind w:firstLine="0" w:firstLine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输入量的标准不确定度分量</w:t>
            </w:r>
          </w:p>
        </w:tc>
        <w:tc>
          <w:tcPr>
            <w:tcW w:w="1069" w:type="dxa"/>
            <w:vMerge w:val="restart"/>
            <w:vAlign w:val="center"/>
          </w:tcPr>
          <w:p w14:paraId="29E24B0F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灵敏</w:t>
            </w:r>
          </w:p>
          <w:p w14:paraId="15A17AD9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系数</w:t>
            </w:r>
            <w:r>
              <w:rPr>
                <w:rFonts w:hint="eastAsia"/>
                <w:i/>
                <w:sz w:val="21"/>
                <w:szCs w:val="21"/>
              </w:rPr>
              <w:t>c</w:t>
            </w:r>
            <w:r>
              <w:rPr>
                <w:rFonts w:hint="eastAsia"/>
                <w:i/>
                <w:sz w:val="21"/>
                <w:szCs w:val="21"/>
                <w:vertAlign w:val="subscript"/>
              </w:rPr>
              <w:t>i</w:t>
            </w:r>
          </w:p>
        </w:tc>
        <w:tc>
          <w:tcPr>
            <w:tcW w:w="1882" w:type="dxa"/>
            <w:vAlign w:val="center"/>
          </w:tcPr>
          <w:p w14:paraId="08B30AC7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position w:val="-14"/>
                <w:sz w:val="21"/>
                <w:szCs w:val="21"/>
              </w:rPr>
            </w:pPr>
            <w:r>
              <w:rPr>
                <w:rFonts w:hint="eastAsia"/>
                <w:position w:val="-14"/>
                <w:sz w:val="21"/>
                <w:szCs w:val="21"/>
              </w:rPr>
              <w:t>输入量的标准不确定度分量</w:t>
            </w:r>
          </w:p>
        </w:tc>
      </w:tr>
      <w:tr w14:paraId="6D214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5" w:type="dxa"/>
            <w:vAlign w:val="center"/>
          </w:tcPr>
          <w:p w14:paraId="2C416D25">
            <w:pPr>
              <w:pStyle w:val="11"/>
              <w:spacing w:line="360" w:lineRule="auto"/>
              <w:ind w:firstLine="0" w:firstLine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2929" w:type="dxa"/>
            <w:vAlign w:val="center"/>
          </w:tcPr>
          <w:p w14:paraId="4D9B2375">
            <w:pPr>
              <w:pStyle w:val="11"/>
              <w:spacing w:line="360" w:lineRule="auto"/>
              <w:ind w:firstLine="0" w:firstLine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不确定度来源</w:t>
            </w:r>
          </w:p>
        </w:tc>
        <w:tc>
          <w:tcPr>
            <w:tcW w:w="1099" w:type="dxa"/>
            <w:vAlign w:val="center"/>
          </w:tcPr>
          <w:p w14:paraId="09B10417">
            <w:pPr>
              <w:pStyle w:val="11"/>
              <w:spacing w:line="360" w:lineRule="auto"/>
              <w:ind w:firstLine="0" w:firstLine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符号</w:t>
            </w:r>
          </w:p>
        </w:tc>
        <w:tc>
          <w:tcPr>
            <w:tcW w:w="1144" w:type="dxa"/>
            <w:vAlign w:val="center"/>
          </w:tcPr>
          <w:p w14:paraId="2DE27314">
            <w:pPr>
              <w:pStyle w:val="11"/>
              <w:spacing w:line="360" w:lineRule="auto"/>
              <w:ind w:firstLine="0" w:firstLine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数值</w:t>
            </w:r>
          </w:p>
        </w:tc>
        <w:tc>
          <w:tcPr>
            <w:tcW w:w="1069" w:type="dxa"/>
            <w:vMerge w:val="continue"/>
            <w:vAlign w:val="center"/>
          </w:tcPr>
          <w:p w14:paraId="3FC2177D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rFonts w:cs="宋体"/>
                <w:sz w:val="21"/>
                <w:szCs w:val="21"/>
              </w:rPr>
            </w:pPr>
          </w:p>
        </w:tc>
        <w:tc>
          <w:tcPr>
            <w:tcW w:w="1882" w:type="dxa"/>
            <w:vAlign w:val="center"/>
          </w:tcPr>
          <w:p w14:paraId="4D9ABE72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|</w:t>
            </w:r>
            <w:r>
              <w:rPr>
                <w:rFonts w:ascii="Times New Roman" w:hAnsi="Times New Roman"/>
                <w:i/>
                <w:sz w:val="21"/>
                <w:szCs w:val="21"/>
              </w:rPr>
              <w:t>c</w:t>
            </w:r>
            <w:r>
              <w:rPr>
                <w:rFonts w:ascii="Times New Roman" w:hAnsi="Times New Roman"/>
                <w:i/>
                <w:sz w:val="21"/>
                <w:szCs w:val="21"/>
                <w:vertAlign w:val="subscript"/>
              </w:rPr>
              <w:t>i</w:t>
            </w:r>
            <w:r>
              <w:rPr>
                <w:rFonts w:hint="eastAsia"/>
                <w:sz w:val="21"/>
                <w:szCs w:val="21"/>
              </w:rPr>
              <w:t>|×</w:t>
            </w:r>
            <w:r>
              <w:rPr>
                <w:rFonts w:ascii="Times New Roman" w:hAnsi="Times New Roman"/>
                <w:i/>
                <w:sz w:val="21"/>
                <w:szCs w:val="21"/>
              </w:rPr>
              <w:t>u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ascii="Times New Roman" w:hAnsi="Times New Roman"/>
                <w:i/>
                <w:sz w:val="21"/>
                <w:szCs w:val="21"/>
              </w:rPr>
              <w:t>x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14:paraId="75E57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135" w:type="dxa"/>
            <w:vAlign w:val="center"/>
          </w:tcPr>
          <w:p w14:paraId="373C56FE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929" w:type="dxa"/>
            <w:vAlign w:val="center"/>
          </w:tcPr>
          <w:p w14:paraId="3CFC87C1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重复性</w:t>
            </w:r>
          </w:p>
        </w:tc>
        <w:tc>
          <w:tcPr>
            <w:tcW w:w="1099" w:type="dxa"/>
            <w:vAlign w:val="center"/>
          </w:tcPr>
          <w:p w14:paraId="25EA08A6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/>
                <w:sz w:val="21"/>
                <w:szCs w:val="21"/>
                <w:vertAlign w:val="subscript"/>
              </w:rPr>
              <w:t>1</w:t>
            </w:r>
            <w:r>
              <w:rPr>
                <w:rFonts w:hint="eastAsia"/>
              </w:rPr>
              <w:t>（</w:t>
            </w:r>
            <w:r>
              <w:rPr>
                <w:rFonts w:ascii="Times New Roman" w:hAnsi="Times New Roman"/>
                <w:i/>
                <w:iCs/>
              </w:rPr>
              <w:t>C</w:t>
            </w:r>
            <w:r>
              <w:rPr>
                <w:rFonts w:ascii="Times New Roman" w:hAnsi="Times New Roman"/>
                <w:vertAlign w:val="subscript"/>
              </w:rPr>
              <w:t>i</w:t>
            </w:r>
            <w:r>
              <w:rPr>
                <w:rFonts w:hint="eastAsia"/>
              </w:rPr>
              <w:t>）</w:t>
            </w:r>
          </w:p>
        </w:tc>
        <w:tc>
          <w:tcPr>
            <w:tcW w:w="1144" w:type="dxa"/>
            <w:vAlign w:val="center"/>
          </w:tcPr>
          <w:p w14:paraId="0CE3F707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0.56</w:t>
            </w:r>
          </w:p>
        </w:tc>
        <w:tc>
          <w:tcPr>
            <w:tcW w:w="1069" w:type="dxa"/>
            <w:vAlign w:val="center"/>
          </w:tcPr>
          <w:p w14:paraId="44B6CD23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 xml:space="preserve"> 0.002</w:t>
            </w:r>
          </w:p>
        </w:tc>
        <w:tc>
          <w:tcPr>
            <w:tcW w:w="1882" w:type="dxa"/>
            <w:vAlign w:val="center"/>
          </w:tcPr>
          <w:p w14:paraId="286E576E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 xml:space="preserve"> 0.0011</w:t>
            </w:r>
          </w:p>
        </w:tc>
      </w:tr>
      <w:tr w14:paraId="0C3F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35" w:type="dxa"/>
            <w:vAlign w:val="center"/>
          </w:tcPr>
          <w:p w14:paraId="763E9681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929" w:type="dxa"/>
            <w:vAlign w:val="center"/>
          </w:tcPr>
          <w:p w14:paraId="61AE96D3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示值的数显量化误差</w:t>
            </w:r>
          </w:p>
        </w:tc>
        <w:tc>
          <w:tcPr>
            <w:tcW w:w="1099" w:type="dxa"/>
            <w:vAlign w:val="center"/>
          </w:tcPr>
          <w:p w14:paraId="0490121A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sz w:val="21"/>
                <w:szCs w:val="21"/>
              </w:rPr>
              <w:t>u</w:t>
            </w:r>
            <w:r>
              <w:rPr>
                <w:rFonts w:hint="eastAsia"/>
                <w:sz w:val="21"/>
                <w:szCs w:val="21"/>
                <w:vertAlign w:val="subscript"/>
              </w:rPr>
              <w:t>2</w:t>
            </w:r>
            <w:r>
              <w:rPr>
                <w:rFonts w:hint="eastAsia"/>
              </w:rPr>
              <w:t>（</w:t>
            </w:r>
            <w:r>
              <w:rPr>
                <w:rFonts w:ascii="Times New Roman" w:hAnsi="Times New Roman"/>
                <w:i/>
                <w:iCs/>
              </w:rPr>
              <w:t>C</w:t>
            </w:r>
            <w:r>
              <w:rPr>
                <w:rFonts w:ascii="Times New Roman" w:hAnsi="Times New Roman"/>
                <w:vertAlign w:val="subscript"/>
              </w:rPr>
              <w:t>i</w:t>
            </w:r>
            <w:r>
              <w:rPr>
                <w:rFonts w:hint="eastAsia"/>
              </w:rPr>
              <w:t>）</w:t>
            </w:r>
          </w:p>
        </w:tc>
        <w:tc>
          <w:tcPr>
            <w:tcW w:w="1144" w:type="dxa"/>
            <w:vAlign w:val="center"/>
          </w:tcPr>
          <w:p w14:paraId="1B23E49C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0.29</w:t>
            </w:r>
          </w:p>
        </w:tc>
        <w:tc>
          <w:tcPr>
            <w:tcW w:w="1069" w:type="dxa"/>
            <w:vAlign w:val="center"/>
          </w:tcPr>
          <w:p w14:paraId="3F8ECE07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 xml:space="preserve"> 0.002</w:t>
            </w:r>
          </w:p>
        </w:tc>
        <w:tc>
          <w:tcPr>
            <w:tcW w:w="1882" w:type="dxa"/>
            <w:vAlign w:val="center"/>
          </w:tcPr>
          <w:p w14:paraId="0C95A73E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 xml:space="preserve"> 0.0014</w:t>
            </w:r>
          </w:p>
        </w:tc>
      </w:tr>
      <w:tr w14:paraId="250CD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049EB5A8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929" w:type="dxa"/>
            <w:vAlign w:val="center"/>
          </w:tcPr>
          <w:p w14:paraId="07877184">
            <w:pPr>
              <w:pStyle w:val="11"/>
              <w:spacing w:line="240" w:lineRule="auto"/>
              <w:ind w:firstLine="0" w:firstLineChars="0"/>
              <w:jc w:val="center"/>
              <w:outlineLvl w:val="9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标准气体</w:t>
            </w:r>
          </w:p>
        </w:tc>
        <w:tc>
          <w:tcPr>
            <w:tcW w:w="1099" w:type="dxa"/>
            <w:vAlign w:val="center"/>
          </w:tcPr>
          <w:p w14:paraId="0DD36A0A">
            <w:pPr>
              <w:pStyle w:val="11"/>
              <w:spacing w:line="360" w:lineRule="auto"/>
              <w:ind w:firstLine="0" w:firstLineChars="0"/>
              <w:jc w:val="center"/>
              <w:outlineLvl w:val="9"/>
              <w:rPr>
                <w:color w:val="FF0000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ascii="Times New Roman" w:hAnsi="Times New Roman"/>
                <w:i/>
                <w:iCs/>
              </w:rPr>
              <w:t>C</w:t>
            </w:r>
            <w:r>
              <w:rPr>
                <w:rFonts w:hint="eastAsia"/>
                <w:vertAlign w:val="subscript"/>
              </w:rPr>
              <w:t>0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144" w:type="dxa"/>
            <w:vAlign w:val="center"/>
          </w:tcPr>
          <w:p w14:paraId="09F6AC3E">
            <w:pPr>
              <w:pStyle w:val="11"/>
              <w:spacing w:line="360" w:lineRule="auto"/>
              <w:ind w:firstLine="0" w:firstLineChars="0"/>
              <w:jc w:val="center"/>
              <w:outlineLvl w:val="9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4.99</w:t>
            </w:r>
          </w:p>
        </w:tc>
        <w:tc>
          <w:tcPr>
            <w:tcW w:w="1069" w:type="dxa"/>
            <w:vAlign w:val="center"/>
          </w:tcPr>
          <w:p w14:paraId="1693EDB1">
            <w:pPr>
              <w:pStyle w:val="11"/>
              <w:spacing w:line="360" w:lineRule="auto"/>
              <w:ind w:firstLine="0" w:firstLineChars="0"/>
              <w:jc w:val="center"/>
              <w:outlineLvl w:val="9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-0.002</w:t>
            </w:r>
          </w:p>
        </w:tc>
        <w:tc>
          <w:tcPr>
            <w:tcW w:w="1882" w:type="dxa"/>
            <w:vAlign w:val="center"/>
          </w:tcPr>
          <w:p w14:paraId="5E009AB0">
            <w:pPr>
              <w:pStyle w:val="11"/>
              <w:spacing w:line="360" w:lineRule="auto"/>
              <w:ind w:firstLine="0" w:firstLineChars="0"/>
              <w:jc w:val="center"/>
              <w:outlineLvl w:val="9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-0.0100</w:t>
            </w:r>
          </w:p>
        </w:tc>
      </w:tr>
    </w:tbl>
    <w:p w14:paraId="11EF0AC7">
      <w:pPr>
        <w:pStyle w:val="13"/>
        <w:spacing w:before="156" w:after="156"/>
        <w:jc w:val="both"/>
        <w:outlineLvl w:val="9"/>
        <w:rPr>
          <w:rFonts w:ascii="黑体" w:hAnsi="黑体" w:cs="宋体"/>
        </w:rPr>
      </w:pPr>
      <w:r>
        <w:rPr>
          <w:rFonts w:hint="eastAsia" w:ascii="黑体" w:hAnsi="黑体" w:cs="宋体"/>
        </w:rPr>
        <w:t>9  合成标准不确定度</w:t>
      </w:r>
    </w:p>
    <w:p w14:paraId="42AE8B39">
      <w:pPr>
        <w:pStyle w:val="11"/>
        <w:spacing w:line="360" w:lineRule="auto"/>
        <w:ind w:firstLine="480"/>
        <w:jc w:val="both"/>
        <w:outlineLvl w:val="9"/>
      </w:pPr>
      <w:r>
        <w:rPr>
          <w:rFonts w:hint="eastAsia"/>
        </w:rPr>
        <w:t>由于各标准不确定度分量不相关，则合成不确定度：</w:t>
      </w:r>
    </w:p>
    <w:p w14:paraId="65CE1F79">
      <w:pPr>
        <w:pStyle w:val="11"/>
        <w:wordWrap w:val="0"/>
        <w:spacing w:line="360" w:lineRule="auto"/>
        <w:ind w:firstLine="480"/>
        <w:jc w:val="center"/>
        <w:outlineLvl w:val="9"/>
      </w:pPr>
      <w:r>
        <w:rPr>
          <w:rFonts w:ascii="Times New Roman" w:hAnsi="Times New Roman"/>
          <w:i/>
          <w:iCs/>
          <w:position w:val="-8"/>
        </w:rPr>
        <w:object>
          <v:shape id="_x0000_i1032" o:spt="75" type="#_x0000_t75" style="height:18.35pt;width:170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</w:p>
    <w:p w14:paraId="741F5A70">
      <w:pPr>
        <w:pStyle w:val="13"/>
        <w:spacing w:before="156" w:after="156"/>
        <w:jc w:val="both"/>
        <w:outlineLvl w:val="9"/>
        <w:rPr>
          <w:rFonts w:ascii="黑体" w:hAnsi="黑体" w:cs="宋体"/>
        </w:rPr>
      </w:pPr>
      <w:r>
        <w:rPr>
          <w:rFonts w:hint="eastAsia" w:ascii="黑体" w:hAnsi="黑体" w:cs="宋体"/>
        </w:rPr>
        <w:t>C.10  扩展不确定度</w:t>
      </w:r>
    </w:p>
    <w:p w14:paraId="3E913096">
      <w:pPr>
        <w:pStyle w:val="11"/>
        <w:spacing w:line="360" w:lineRule="auto"/>
        <w:ind w:firstLine="480"/>
        <w:jc w:val="both"/>
        <w:outlineLvl w:val="9"/>
      </w:pPr>
      <w:r>
        <w:rPr>
          <w:rFonts w:hint="eastAsia"/>
        </w:rPr>
        <w:t>取包含因子</w:t>
      </w:r>
      <w:r>
        <w:rPr>
          <w:rFonts w:ascii="Times New Roman" w:hAnsi="Times New Roman"/>
          <w:i/>
          <w:iCs/>
        </w:rPr>
        <w:t>k</w:t>
      </w:r>
      <w:r>
        <w:rPr>
          <w:rFonts w:hint="eastAsia"/>
        </w:rPr>
        <w:t>=2，则示值误差的测量结果的扩展不确定度：</w:t>
      </w:r>
    </w:p>
    <w:p w14:paraId="66A71851">
      <w:pPr>
        <w:pStyle w:val="11"/>
        <w:spacing w:line="360" w:lineRule="auto"/>
        <w:ind w:firstLine="0" w:firstLineChars="0"/>
        <w:jc w:val="center"/>
        <w:outlineLvl w:val="9"/>
      </w:pPr>
      <w:r>
        <w:rPr>
          <w:rFonts w:ascii="Times New Roman" w:hAnsi="Times New Roman"/>
          <w:i/>
          <w:iCs/>
        </w:rPr>
        <w:t>U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  <w:iCs/>
        </w:rPr>
        <w:t>u</w:t>
      </w:r>
      <w:r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>×</w:t>
      </w:r>
      <w:r>
        <w:rPr>
          <w:rFonts w:ascii="Times New Roman" w:hAnsi="Times New Roman"/>
          <w:i/>
          <w:iCs/>
        </w:rPr>
        <w:t>k</w:t>
      </w:r>
      <w:r>
        <w:rPr>
          <w:rFonts w:hint="eastAsia" w:ascii="Times New Roman" w:hAnsi="Times New Roman"/>
          <w:i/>
          <w:iCs/>
        </w:rPr>
        <w:t>=</w:t>
      </w:r>
      <w:r>
        <w:rPr>
          <w:rFonts w:hint="eastAsia" w:ascii="Times New Roman" w:hAnsi="Times New Roman"/>
        </w:rPr>
        <w:t>1.0%</w:t>
      </w:r>
      <w:r>
        <w:rPr>
          <w:rFonts w:ascii="Times New Roman" w:hAnsi="Times New Roman"/>
        </w:rPr>
        <w:t>×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=</w:t>
      </w:r>
      <w:r>
        <w:rPr>
          <w:rFonts w:hint="eastAsia" w:ascii="Times New Roman" w:hAnsi="Times New Roman"/>
        </w:rPr>
        <w:t>2.0 %FS</w:t>
      </w:r>
    </w:p>
    <w:p w14:paraId="07B1A282"/>
    <w:p w14:paraId="737E785C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3BBA"/>
    <w:rsid w:val="000D2770"/>
    <w:rsid w:val="002074F1"/>
    <w:rsid w:val="0032576D"/>
    <w:rsid w:val="00393BBA"/>
    <w:rsid w:val="003F663F"/>
    <w:rsid w:val="00537082"/>
    <w:rsid w:val="006B38E0"/>
    <w:rsid w:val="00755DA2"/>
    <w:rsid w:val="00A17B76"/>
    <w:rsid w:val="00BC5374"/>
    <w:rsid w:val="00C74A38"/>
    <w:rsid w:val="1711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uiPriority w:val="99"/>
    <w:rPr>
      <w:sz w:val="18"/>
      <w:szCs w:val="18"/>
    </w:rPr>
  </w:style>
  <w:style w:type="paragraph" w:customStyle="1" w:styleId="11">
    <w:name w:val="条文"/>
    <w:basedOn w:val="1"/>
    <w:link w:val="12"/>
    <w:qFormat/>
    <w:uiPriority w:val="0"/>
    <w:pPr>
      <w:spacing w:line="312" w:lineRule="auto"/>
      <w:ind w:firstLine="200" w:firstLineChars="200"/>
      <w:jc w:val="left"/>
      <w:outlineLvl w:val="3"/>
    </w:pPr>
    <w:rPr>
      <w:rFonts w:ascii="宋体" w:hAnsi="宋体"/>
      <w:sz w:val="24"/>
    </w:rPr>
  </w:style>
  <w:style w:type="character" w:customStyle="1" w:styleId="12">
    <w:name w:val="条文 Char"/>
    <w:basedOn w:val="8"/>
    <w:link w:val="11"/>
    <w:qFormat/>
    <w:uiPriority w:val="0"/>
    <w:rPr>
      <w:rFonts w:ascii="宋体" w:hAnsi="宋体" w:eastAsia="宋体" w:cs="Times New Roman"/>
      <w:sz w:val="24"/>
      <w:szCs w:val="24"/>
    </w:rPr>
  </w:style>
  <w:style w:type="paragraph" w:customStyle="1" w:styleId="13">
    <w:name w:val="附录1级标题"/>
    <w:basedOn w:val="3"/>
    <w:link w:val="14"/>
    <w:qFormat/>
    <w:uiPriority w:val="0"/>
    <w:pPr>
      <w:keepLines w:val="0"/>
      <w:tabs>
        <w:tab w:val="left" w:pos="432"/>
      </w:tabs>
      <w:spacing w:beforeLines="50" w:afterLines="50" w:line="360" w:lineRule="auto"/>
      <w:jc w:val="left"/>
      <w:outlineLvl w:val="3"/>
    </w:pPr>
    <w:rPr>
      <w:rFonts w:ascii="仿宋_GB2312" w:hAnsi="宋体" w:eastAsia="黑体" w:cs="Times New Roman"/>
      <w:b w:val="0"/>
      <w:bCs w:val="0"/>
      <w:sz w:val="24"/>
      <w:szCs w:val="24"/>
    </w:rPr>
  </w:style>
  <w:style w:type="character" w:customStyle="1" w:styleId="14">
    <w:name w:val="附录1级标题 Char"/>
    <w:basedOn w:val="8"/>
    <w:link w:val="13"/>
    <w:qFormat/>
    <w:uiPriority w:val="0"/>
    <w:rPr>
      <w:rFonts w:ascii="仿宋_GB2312" w:hAnsi="宋体" w:eastAsia="黑体" w:cs="Times New Roman"/>
      <w:sz w:val="24"/>
      <w:szCs w:val="24"/>
    </w:rPr>
  </w:style>
  <w:style w:type="character" w:customStyle="1" w:styleId="15">
    <w:name w:val="标题 2 Char"/>
    <w:basedOn w:val="8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正文规范名称"/>
    <w:basedOn w:val="2"/>
    <w:link w:val="18"/>
    <w:qFormat/>
    <w:uiPriority w:val="0"/>
    <w:pPr>
      <w:keepLines w:val="0"/>
      <w:spacing w:beforeLines="100" w:afterLines="100" w:line="240" w:lineRule="auto"/>
      <w:jc w:val="center"/>
      <w:outlineLvl w:val="4"/>
    </w:pPr>
    <w:rPr>
      <w:rFonts w:ascii="宋体" w:hAnsi="宋体" w:eastAsia="黑体"/>
      <w:b w:val="0"/>
      <w:bCs w:val="0"/>
      <w:kern w:val="2"/>
      <w:sz w:val="32"/>
      <w:szCs w:val="20"/>
    </w:rPr>
  </w:style>
  <w:style w:type="character" w:customStyle="1" w:styleId="18">
    <w:name w:val="正文规范名称 Char"/>
    <w:link w:val="17"/>
    <w:qFormat/>
    <w:uiPriority w:val="0"/>
    <w:rPr>
      <w:rFonts w:ascii="宋体" w:hAnsi="宋体" w:eastAsia="黑体" w:cs="Times New Roman"/>
      <w:sz w:val="32"/>
      <w:szCs w:val="20"/>
    </w:rPr>
  </w:style>
  <w:style w:type="character" w:customStyle="1" w:styleId="19">
    <w:name w:val="标题 1 Char"/>
    <w:basedOn w:val="8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1387</Words>
  <Characters>1850</Characters>
  <Lines>18</Lines>
  <Paragraphs>5</Paragraphs>
  <TotalTime>2</TotalTime>
  <ScaleCrop>false</ScaleCrop>
  <LinksUpToDate>false</LinksUpToDate>
  <CharactersWithSpaces>2059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2026-04-27T06:26:00Z</dcterms:created>
  <dc:creator>li</dc:creator>
  <cp:lastModifiedBy>程禹宁</cp:lastModifiedBy>
  <dcterms:modified xsi:type="dcterms:W3CDTF">2026-05-10T15:02:52Z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eyJoZGlkIjoiY2U2MjNjNzY3Yzk3MDIwNmM0ZWViNGMxOTY0ZjNmMzciLCJ1c2VySWQiOiIyMzIzNzAxNDUifQ==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5560E63D37C34B93A87E0113DDAD705D_12</vt:lpwstr>
  </property>
</Properties>
</file>