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F7227A">
      <w:pPr>
        <w:spacing w:line="360" w:lineRule="auto"/>
        <w:jc w:val="center"/>
        <w:rPr>
          <w:rFonts w:hint="eastAsia" w:ascii="黑体" w:hAnsi="黑体" w:eastAsia="黑体"/>
          <w:sz w:val="44"/>
          <w:szCs w:val="44"/>
        </w:rPr>
      </w:pPr>
      <w:bookmarkStart w:id="0" w:name="OLE_LINK142"/>
      <w:bookmarkStart w:id="1" w:name="OLE_LINK141"/>
    </w:p>
    <w:p w14:paraId="2BF27B90">
      <w:pPr>
        <w:spacing w:after="312" w:afterLines="100" w:line="360" w:lineRule="auto"/>
        <w:jc w:val="center"/>
        <w:rPr>
          <w:rFonts w:hint="eastAsia" w:ascii="黑体" w:hAnsi="黑体" w:eastAsia="黑体"/>
          <w:sz w:val="44"/>
          <w:szCs w:val="44"/>
        </w:rPr>
      </w:pPr>
      <w:r>
        <w:rPr>
          <w:rFonts w:ascii="黑体" w:hAnsi="黑体" w:eastAsia="黑体"/>
          <w:sz w:val="44"/>
          <w:szCs w:val="44"/>
        </w:rPr>
        <w:t>国家计量技术</w:t>
      </w:r>
      <w:r>
        <w:rPr>
          <w:rFonts w:hint="eastAsia" w:ascii="黑体" w:hAnsi="黑体" w:eastAsia="黑体"/>
          <w:sz w:val="44"/>
          <w:szCs w:val="44"/>
        </w:rPr>
        <w:t>规范</w:t>
      </w:r>
    </w:p>
    <w:p w14:paraId="107B039B">
      <w:pPr>
        <w:spacing w:line="360" w:lineRule="auto"/>
        <w:jc w:val="center"/>
        <w:rPr>
          <w:rFonts w:hint="eastAsia" w:ascii="黑体" w:hAnsi="黑体" w:eastAsia="黑体"/>
          <w:sz w:val="36"/>
          <w:szCs w:val="36"/>
        </w:rPr>
      </w:pPr>
      <w:r>
        <w:rPr>
          <w:rFonts w:ascii="黑体" w:hAnsi="黑体" w:eastAsia="黑体"/>
          <w:sz w:val="36"/>
          <w:szCs w:val="36"/>
        </w:rPr>
        <w:t>《</w:t>
      </w:r>
      <w:r>
        <w:rPr>
          <w:rFonts w:hint="eastAsia" w:ascii="黑体" w:hAnsi="黑体" w:eastAsia="黑体"/>
          <w:sz w:val="36"/>
          <w:szCs w:val="36"/>
        </w:rPr>
        <w:t>工频高压分压器检定规程</w:t>
      </w:r>
      <w:r>
        <w:rPr>
          <w:rFonts w:ascii="黑体" w:hAnsi="黑体" w:eastAsia="黑体"/>
          <w:sz w:val="36"/>
          <w:szCs w:val="36"/>
        </w:rPr>
        <w:t>》</w:t>
      </w:r>
    </w:p>
    <w:p w14:paraId="5A45FEF0">
      <w:pPr>
        <w:spacing w:line="360" w:lineRule="auto"/>
        <w:jc w:val="center"/>
        <w:rPr>
          <w:rFonts w:eastAsia="黑体"/>
          <w:b/>
          <w:sz w:val="36"/>
          <w:szCs w:val="36"/>
        </w:rPr>
      </w:pPr>
    </w:p>
    <w:p w14:paraId="4A522EC7">
      <w:pPr>
        <w:spacing w:line="360" w:lineRule="auto"/>
        <w:jc w:val="center"/>
        <w:rPr>
          <w:rFonts w:hint="eastAsia" w:ascii="黑体" w:hAnsi="黑体" w:eastAsia="黑体"/>
          <w:sz w:val="44"/>
          <w:szCs w:val="44"/>
        </w:rPr>
      </w:pPr>
      <w:r>
        <w:rPr>
          <w:rFonts w:ascii="黑体" w:hAnsi="黑体" w:eastAsia="黑体"/>
          <w:sz w:val="44"/>
          <w:szCs w:val="44"/>
        </w:rPr>
        <w:t>编 制 说 明</w:t>
      </w:r>
    </w:p>
    <w:bookmarkEnd w:id="0"/>
    <w:bookmarkEnd w:id="1"/>
    <w:p w14:paraId="4DD97038">
      <w:pPr>
        <w:spacing w:line="360" w:lineRule="auto"/>
        <w:jc w:val="center"/>
        <w:rPr>
          <w:rFonts w:eastAsia="黑体"/>
          <w:sz w:val="36"/>
          <w:szCs w:val="28"/>
        </w:rPr>
      </w:pPr>
    </w:p>
    <w:p w14:paraId="29B2EBB6">
      <w:pPr>
        <w:spacing w:line="360" w:lineRule="auto"/>
        <w:jc w:val="center"/>
        <w:rPr>
          <w:rFonts w:eastAsia="黑体"/>
          <w:sz w:val="36"/>
          <w:szCs w:val="28"/>
        </w:rPr>
      </w:pPr>
    </w:p>
    <w:p w14:paraId="50097703">
      <w:pPr>
        <w:spacing w:line="360" w:lineRule="auto"/>
        <w:jc w:val="center"/>
        <w:rPr>
          <w:rFonts w:eastAsia="黑体"/>
          <w:sz w:val="36"/>
          <w:szCs w:val="28"/>
        </w:rPr>
      </w:pPr>
    </w:p>
    <w:p w14:paraId="16279C63">
      <w:pPr>
        <w:spacing w:line="360" w:lineRule="auto"/>
        <w:jc w:val="center"/>
        <w:rPr>
          <w:rFonts w:eastAsia="黑体"/>
          <w:sz w:val="36"/>
          <w:szCs w:val="28"/>
        </w:rPr>
      </w:pPr>
    </w:p>
    <w:p w14:paraId="08A743D5">
      <w:pPr>
        <w:spacing w:line="360" w:lineRule="auto"/>
        <w:jc w:val="center"/>
        <w:rPr>
          <w:rFonts w:eastAsia="黑体"/>
          <w:sz w:val="36"/>
          <w:szCs w:val="28"/>
        </w:rPr>
      </w:pPr>
    </w:p>
    <w:p w14:paraId="13E1E8E5">
      <w:pPr>
        <w:spacing w:line="360" w:lineRule="auto"/>
        <w:jc w:val="center"/>
        <w:rPr>
          <w:rFonts w:eastAsia="黑体"/>
          <w:sz w:val="36"/>
          <w:szCs w:val="28"/>
        </w:rPr>
      </w:pPr>
    </w:p>
    <w:p w14:paraId="5CB05A9A">
      <w:pPr>
        <w:spacing w:line="360" w:lineRule="auto"/>
        <w:jc w:val="center"/>
        <w:rPr>
          <w:rFonts w:eastAsia="黑体"/>
          <w:sz w:val="36"/>
          <w:szCs w:val="28"/>
        </w:rPr>
      </w:pPr>
    </w:p>
    <w:p w14:paraId="7490B5BC">
      <w:pPr>
        <w:spacing w:line="360" w:lineRule="auto"/>
        <w:jc w:val="center"/>
        <w:rPr>
          <w:rFonts w:eastAsia="黑体"/>
          <w:sz w:val="36"/>
          <w:szCs w:val="28"/>
        </w:rPr>
      </w:pPr>
    </w:p>
    <w:p w14:paraId="6E98EDCC">
      <w:pPr>
        <w:spacing w:line="460" w:lineRule="exact"/>
        <w:jc w:val="center"/>
        <w:rPr>
          <w:rFonts w:hint="eastAsia" w:ascii="黑体" w:hAnsi="黑体" w:eastAsia="黑体"/>
          <w:sz w:val="28"/>
          <w:szCs w:val="28"/>
        </w:rPr>
      </w:pPr>
      <w:bookmarkStart w:id="2" w:name="_Hlk116467268"/>
      <w:r>
        <w:rPr>
          <w:rFonts w:hint="eastAsia" w:ascii="黑体" w:hAnsi="黑体" w:eastAsia="黑体"/>
          <w:sz w:val="28"/>
          <w:szCs w:val="28"/>
        </w:rPr>
        <w:t>国家高电压计量站</w:t>
      </w:r>
    </w:p>
    <w:p w14:paraId="7BE798BA">
      <w:pPr>
        <w:spacing w:line="460" w:lineRule="exact"/>
        <w:jc w:val="center"/>
        <w:rPr>
          <w:rFonts w:hint="eastAsia" w:ascii="黑体" w:hAnsi="黑体" w:eastAsia="黑体"/>
          <w:sz w:val="28"/>
          <w:szCs w:val="28"/>
        </w:rPr>
      </w:pPr>
      <w:bookmarkStart w:id="3" w:name="_Hlk179789772"/>
      <w:r>
        <w:rPr>
          <w:rFonts w:hint="eastAsia" w:ascii="黑体" w:hAnsi="黑体" w:eastAsia="黑体"/>
          <w:sz w:val="28"/>
          <w:szCs w:val="28"/>
        </w:rPr>
        <w:t>西安高压电器研究院股份有限公司</w:t>
      </w:r>
    </w:p>
    <w:p w14:paraId="7EDB0DE1">
      <w:pPr>
        <w:spacing w:line="460" w:lineRule="exact"/>
        <w:jc w:val="center"/>
        <w:rPr>
          <w:rFonts w:hint="eastAsia" w:ascii="黑体" w:hAnsi="黑体" w:eastAsia="黑体"/>
          <w:sz w:val="28"/>
          <w:szCs w:val="28"/>
        </w:rPr>
      </w:pPr>
      <w:r>
        <w:rPr>
          <w:rFonts w:hint="eastAsia" w:ascii="黑体" w:hAnsi="黑体" w:eastAsia="黑体"/>
          <w:sz w:val="28"/>
          <w:szCs w:val="28"/>
        </w:rPr>
        <w:t>宜昌市计量检定测试所</w:t>
      </w:r>
    </w:p>
    <w:p w14:paraId="34B069C0">
      <w:pPr>
        <w:spacing w:line="460" w:lineRule="exact"/>
        <w:jc w:val="center"/>
        <w:rPr>
          <w:rFonts w:hint="eastAsia" w:ascii="黑体" w:hAnsi="黑体" w:eastAsia="黑体"/>
          <w:sz w:val="28"/>
          <w:szCs w:val="28"/>
        </w:rPr>
      </w:pPr>
      <w:r>
        <w:rPr>
          <w:rFonts w:hint="eastAsia" w:ascii="黑体" w:hAnsi="黑体" w:eastAsia="黑体"/>
          <w:sz w:val="28"/>
          <w:szCs w:val="28"/>
        </w:rPr>
        <w:t>国网四川省电力公司营销服务中心</w:t>
      </w:r>
    </w:p>
    <w:p w14:paraId="6ED5ABB6">
      <w:pPr>
        <w:spacing w:line="460" w:lineRule="exact"/>
        <w:jc w:val="center"/>
        <w:rPr>
          <w:rFonts w:hint="eastAsia" w:ascii="黑体" w:hAnsi="黑体" w:eastAsia="黑体"/>
          <w:sz w:val="28"/>
          <w:szCs w:val="28"/>
        </w:rPr>
      </w:pPr>
      <w:r>
        <w:rPr>
          <w:rFonts w:hint="eastAsia" w:ascii="黑体" w:hAnsi="黑体" w:eastAsia="黑体"/>
          <w:sz w:val="28"/>
          <w:szCs w:val="28"/>
        </w:rPr>
        <w:t>武汉磐电科技股份有限公司</w:t>
      </w:r>
    </w:p>
    <w:p w14:paraId="16295177">
      <w:pPr>
        <w:spacing w:line="460" w:lineRule="exact"/>
        <w:jc w:val="center"/>
        <w:rPr>
          <w:rFonts w:hint="eastAsia" w:ascii="黑体" w:hAnsi="黑体" w:eastAsia="黑体"/>
          <w:sz w:val="28"/>
          <w:szCs w:val="28"/>
        </w:rPr>
      </w:pPr>
      <w:r>
        <w:rPr>
          <w:rFonts w:hint="eastAsia" w:ascii="黑体" w:hAnsi="黑体" w:eastAsia="黑体"/>
          <w:sz w:val="28"/>
          <w:szCs w:val="28"/>
        </w:rPr>
        <w:t>安徽大为电气科技有限公司</w:t>
      </w:r>
    </w:p>
    <w:bookmarkEnd w:id="3"/>
    <w:p w14:paraId="4A270EE2">
      <w:pPr>
        <w:spacing w:line="460" w:lineRule="exact"/>
        <w:jc w:val="center"/>
        <w:rPr>
          <w:rFonts w:hint="eastAsia" w:ascii="黑体" w:hAnsi="黑体" w:eastAsia="黑体"/>
          <w:sz w:val="32"/>
          <w:szCs w:val="32"/>
        </w:rPr>
      </w:pPr>
    </w:p>
    <w:p w14:paraId="5772C6F9">
      <w:pPr>
        <w:jc w:val="center"/>
        <w:rPr>
          <w:rFonts w:hint="eastAsia" w:ascii="黑体" w:hAnsi="黑体" w:eastAsia="黑体"/>
          <w:sz w:val="32"/>
          <w:szCs w:val="32"/>
        </w:rPr>
      </w:pPr>
      <w:r>
        <w:rPr>
          <w:rFonts w:ascii="黑体" w:hAnsi="黑体" w:eastAsia="黑体"/>
          <w:sz w:val="32"/>
          <w:szCs w:val="32"/>
        </w:rPr>
        <w:t>20</w:t>
      </w:r>
      <w:r>
        <w:rPr>
          <w:rFonts w:hint="eastAsia" w:ascii="黑体" w:hAnsi="黑体" w:eastAsia="黑体"/>
          <w:sz w:val="32"/>
          <w:szCs w:val="32"/>
        </w:rPr>
        <w:t>25</w:t>
      </w:r>
      <w:r>
        <w:rPr>
          <w:rFonts w:ascii="黑体" w:hAnsi="黑体" w:eastAsia="黑体"/>
          <w:sz w:val="32"/>
          <w:szCs w:val="32"/>
        </w:rPr>
        <w:t>年</w:t>
      </w:r>
      <w:r>
        <w:rPr>
          <w:rFonts w:hint="eastAsia" w:ascii="黑体" w:hAnsi="黑体" w:eastAsia="黑体"/>
          <w:sz w:val="32"/>
          <w:szCs w:val="32"/>
        </w:rPr>
        <w:t>11</w:t>
      </w:r>
      <w:r>
        <w:rPr>
          <w:rFonts w:ascii="黑体" w:hAnsi="黑体" w:eastAsia="黑体"/>
          <w:sz w:val="32"/>
          <w:szCs w:val="32"/>
        </w:rPr>
        <w:t>月</w:t>
      </w:r>
    </w:p>
    <w:p w14:paraId="6948143F">
      <w:pPr>
        <w:jc w:val="center"/>
        <w:rPr>
          <w:rFonts w:hint="eastAsia" w:ascii="黑体" w:hAnsi="黑体" w:eastAsia="黑体"/>
          <w:sz w:val="32"/>
          <w:szCs w:val="32"/>
        </w:rPr>
      </w:pPr>
    </w:p>
    <w:p w14:paraId="0D3DB445">
      <w:pPr>
        <w:jc w:val="center"/>
        <w:rPr>
          <w:rFonts w:hint="eastAsia" w:ascii="黑体" w:hAnsi="黑体" w:eastAsia="黑体"/>
          <w:sz w:val="32"/>
          <w:szCs w:val="32"/>
        </w:rPr>
      </w:pPr>
    </w:p>
    <w:bookmarkEnd w:id="2"/>
    <w:sdt>
      <w:sdtPr>
        <w:rPr>
          <w:rFonts w:ascii="Times New Roman" w:hAnsi="Times New Roman" w:eastAsia="宋体" w:cs="Times New Roman"/>
          <w:color w:val="auto"/>
          <w:kern w:val="2"/>
          <w:sz w:val="21"/>
          <w:szCs w:val="24"/>
          <w:lang w:val="zh-CN"/>
        </w:rPr>
        <w:id w:val="-2135084583"/>
        <w:docPartObj>
          <w:docPartGallery w:val="Table of Contents"/>
          <w:docPartUnique/>
        </w:docPartObj>
      </w:sdtPr>
      <w:sdtEndPr>
        <w:rPr>
          <w:rFonts w:ascii="Times New Roman" w:hAnsi="Times New Roman" w:eastAsia="宋体" w:cs="Times New Roman"/>
          <w:b/>
          <w:bCs/>
          <w:color w:val="auto"/>
          <w:kern w:val="2"/>
          <w:sz w:val="21"/>
          <w:szCs w:val="24"/>
          <w:lang w:val="zh-CN"/>
        </w:rPr>
      </w:sdtEndPr>
      <w:sdtContent>
        <w:p w14:paraId="13396674">
          <w:pPr>
            <w:pStyle w:val="34"/>
            <w:jc w:val="center"/>
            <w:rPr>
              <w:rFonts w:hint="eastAsia"/>
            </w:rPr>
          </w:pPr>
          <w:bookmarkStart w:id="4" w:name="_Toc116567667"/>
          <w:r>
            <w:rPr>
              <w:lang w:val="zh-CN"/>
            </w:rPr>
            <w:t>目录</w:t>
          </w:r>
        </w:p>
        <w:p w14:paraId="1C1C2A23">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TOC \o "1-3" \h \z \u </w:instrText>
          </w:r>
          <w:r>
            <w:fldChar w:fldCharType="separate"/>
          </w:r>
          <w:r>
            <w:fldChar w:fldCharType="begin"/>
          </w:r>
          <w:r>
            <w:instrText xml:space="preserve"> HYPERLINK \l "_Toc180389748" </w:instrText>
          </w:r>
          <w:r>
            <w:fldChar w:fldCharType="separate"/>
          </w:r>
          <w:r>
            <w:rPr>
              <w:rStyle w:val="19"/>
              <w:rFonts w:hint="eastAsia" w:ascii="仿宋_GB2312" w:hAnsi="仿宋_GB2312" w:eastAsia="仿宋_GB2312" w:cs="仿宋_GB2312"/>
            </w:rPr>
            <w:t>一、工作简况</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_Toc180389748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- 2 -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7F894AD1">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"_Toc180389749" </w:instrText>
          </w:r>
          <w:r>
            <w:fldChar w:fldCharType="separate"/>
          </w:r>
          <w:r>
            <w:rPr>
              <w:rStyle w:val="19"/>
              <w:rFonts w:hint="eastAsia" w:ascii="仿宋_GB2312" w:hAnsi="仿宋_GB2312" w:eastAsia="仿宋_GB2312" w:cs="仿宋_GB2312"/>
            </w:rPr>
            <w:t>（一）</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任务来源</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_Toc180389749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- 2 -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5108266A">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"_Toc180389750" </w:instrText>
          </w:r>
          <w:r>
            <w:fldChar w:fldCharType="separate"/>
          </w:r>
          <w:r>
            <w:rPr>
              <w:rStyle w:val="19"/>
              <w:rFonts w:hint="eastAsia" w:ascii="仿宋_GB2312" w:hAnsi="仿宋_GB2312" w:eastAsia="仿宋_GB2312" w:cs="仿宋_GB2312"/>
            </w:rPr>
            <w:t>（二）</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制定背景</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_Toc180389750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- 2 -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40B69F54">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"_Toc180389751" </w:instrText>
          </w:r>
          <w:r>
            <w:fldChar w:fldCharType="separate"/>
          </w:r>
          <w:r>
            <w:rPr>
              <w:rStyle w:val="19"/>
              <w:rFonts w:hint="eastAsia" w:ascii="仿宋_GB2312" w:hAnsi="仿宋_GB2312" w:eastAsia="仿宋_GB2312" w:cs="仿宋_GB2312"/>
            </w:rPr>
            <w:t>（三）</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起草过程</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_Toc180389751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- 2 -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390B25CB">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"_Toc180389752" </w:instrText>
          </w:r>
          <w:r>
            <w:fldChar w:fldCharType="separate"/>
          </w:r>
          <w:r>
            <w:rPr>
              <w:rStyle w:val="19"/>
              <w:rFonts w:hint="eastAsia" w:ascii="仿宋_GB2312" w:hAnsi="仿宋_GB2312" w:eastAsia="仿宋_GB2312" w:cs="仿宋_GB2312"/>
            </w:rPr>
            <w:t>二、采纳国际建议情况。</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_Toc180389752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- 4 -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7BB5B323">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"_Toc180389753" </w:instrText>
          </w:r>
          <w:r>
            <w:fldChar w:fldCharType="separate"/>
          </w:r>
          <w:r>
            <w:rPr>
              <w:rStyle w:val="19"/>
              <w:rFonts w:hint="eastAsia" w:ascii="仿宋_GB2312" w:hAnsi="仿宋_GB2312" w:eastAsia="仿宋_GB2312" w:cs="仿宋_GB2312"/>
            </w:rPr>
            <w:t>三、国家计量检定规程编写规则、主要内容及其确定依据</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_Toc180389753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- 4 -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04A6301E">
          <w:pPr>
            <w:pStyle w:val="12"/>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"_Toc180389754" </w:instrText>
          </w:r>
          <w:r>
            <w:fldChar w:fldCharType="separate"/>
          </w:r>
          <w:r>
            <w:rPr>
              <w:rStyle w:val="19"/>
              <w:rFonts w:hint="eastAsia" w:ascii="仿宋_GB2312" w:hAnsi="仿宋_GB2312" w:eastAsia="仿宋_GB2312" w:cs="仿宋_GB2312"/>
            </w:rPr>
            <w:t>（一）编写原则</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_Toc180389754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- 4 -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76909FAC">
          <w:pPr>
            <w:pStyle w:val="12"/>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"_Toc180389755" </w:instrText>
          </w:r>
          <w:r>
            <w:fldChar w:fldCharType="separate"/>
          </w:r>
          <w:r>
            <w:rPr>
              <w:rStyle w:val="19"/>
              <w:rFonts w:hint="eastAsia" w:ascii="仿宋_GB2312" w:hAnsi="仿宋_GB2312" w:eastAsia="仿宋_GB2312" w:cs="仿宋_GB2312"/>
            </w:rPr>
            <w:t>（二）主要内容及其确定依据</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_Toc180389755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- 5 -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254A9334">
          <w:pPr>
            <w:pStyle w:val="12"/>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"_Toc180389756" </w:instrText>
          </w:r>
          <w:r>
            <w:fldChar w:fldCharType="separate"/>
          </w:r>
          <w:r>
            <w:rPr>
              <w:rStyle w:val="19"/>
              <w:rFonts w:hint="eastAsia" w:ascii="仿宋_GB2312" w:hAnsi="仿宋_GB2312" w:eastAsia="仿宋_GB2312" w:cs="仿宋_GB2312"/>
            </w:rPr>
            <w:t>（三）修订前后技术内容对比</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_Toc180389756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- 5 -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38FE0656">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"_Toc180389757" </w:instrText>
          </w:r>
          <w:r>
            <w:fldChar w:fldCharType="separate"/>
          </w:r>
          <w:r>
            <w:rPr>
              <w:rStyle w:val="19"/>
              <w:rFonts w:hint="eastAsia" w:ascii="仿宋_GB2312" w:hAnsi="仿宋_GB2312" w:eastAsia="仿宋_GB2312" w:cs="仿宋_GB2312"/>
            </w:rPr>
            <w:t>四、试验验证</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_Toc180389757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- 5 -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0445DFEC">
          <w:pPr>
            <w:pStyle w:val="12"/>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"_Toc180389758" </w:instrText>
          </w:r>
          <w:r>
            <w:fldChar w:fldCharType="separate"/>
          </w:r>
          <w:r>
            <w:rPr>
              <w:rStyle w:val="19"/>
              <w:rFonts w:hint="eastAsia" w:ascii="仿宋_GB2312" w:hAnsi="仿宋_GB2312" w:eastAsia="仿宋_GB2312" w:cs="仿宋_GB2312"/>
            </w:rPr>
            <w:t>（一）试验验证的分析、综述报告</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_Toc180389758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- 5 -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07AC0993">
          <w:pPr>
            <w:pStyle w:val="12"/>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"_Toc180389759" </w:instrText>
          </w:r>
          <w:r>
            <w:fldChar w:fldCharType="separate"/>
          </w:r>
          <w:r>
            <w:rPr>
              <w:rStyle w:val="19"/>
              <w:rFonts w:hint="eastAsia" w:ascii="仿宋_GB2312" w:hAnsi="仿宋_GB2312" w:eastAsia="仿宋_GB2312" w:cs="仿宋_GB2312"/>
            </w:rPr>
            <w:t>（二）技术经济论证，预期的经济效益、社会效益和生态效益</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_Toc180389759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- 6 -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6DF7FFA7">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"_Toc180389760" </w:instrText>
          </w:r>
          <w:r>
            <w:fldChar w:fldCharType="separate"/>
          </w:r>
          <w:r>
            <w:rPr>
              <w:rStyle w:val="19"/>
              <w:rFonts w:hint="eastAsia" w:ascii="仿宋_GB2312" w:hAnsi="仿宋_GB2312" w:eastAsia="仿宋_GB2312" w:cs="仿宋_GB2312"/>
            </w:rPr>
            <w:t>五、与国际、国外同类标准技术内容的对比情况</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_Toc180389760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- 6 -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5E178CCC">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"_Toc180389761" </w:instrText>
          </w:r>
          <w:r>
            <w:fldChar w:fldCharType="separate"/>
          </w:r>
          <w:r>
            <w:rPr>
              <w:rStyle w:val="19"/>
              <w:rFonts w:hint="eastAsia" w:ascii="仿宋_GB2312" w:hAnsi="仿宋_GB2312" w:eastAsia="仿宋_GB2312" w:cs="仿宋_GB2312"/>
            </w:rPr>
            <w:t>六、与有关法律、行政法规及相关标准的关系</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_Toc180389761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- 6 -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488153F0">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"_Toc180389762" </w:instrText>
          </w:r>
          <w:r>
            <w:fldChar w:fldCharType="separate"/>
          </w:r>
          <w:r>
            <w:rPr>
              <w:rStyle w:val="19"/>
              <w:rFonts w:hint="eastAsia" w:ascii="仿宋_GB2312" w:hAnsi="仿宋_GB2312" w:eastAsia="仿宋_GB2312" w:cs="仿宋_GB2312"/>
            </w:rPr>
            <w:t>七、重大分歧意见的处理经过和依据</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_Toc180389762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- 6 -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247DF242">
          <w:pPr>
            <w:pStyle w:val="12"/>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"_Toc180389763" </w:instrText>
          </w:r>
          <w:r>
            <w:fldChar w:fldCharType="separate"/>
          </w:r>
          <w:r>
            <w:rPr>
              <w:rStyle w:val="19"/>
              <w:rFonts w:hint="eastAsia" w:ascii="仿宋_GB2312" w:hAnsi="仿宋_GB2312" w:eastAsia="仿宋_GB2312" w:cs="仿宋_GB2312"/>
            </w:rPr>
            <w:t>（一）起草工作组内部分歧意见的处理经过和依据。</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_Toc180389763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- 6 -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0EC3A02D">
          <w:pPr>
            <w:pStyle w:val="12"/>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"_Toc180389764" </w:instrText>
          </w:r>
          <w:r>
            <w:fldChar w:fldCharType="separate"/>
          </w:r>
          <w:r>
            <w:rPr>
              <w:rStyle w:val="19"/>
              <w:rFonts w:hint="eastAsia" w:ascii="仿宋_GB2312" w:hAnsi="仿宋_GB2312" w:eastAsia="仿宋_GB2312" w:cs="仿宋_GB2312"/>
            </w:rPr>
            <w:t>（二）评审过程的分歧意见处理经过和依据。</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_Toc180389764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- 6 -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01E49BCB">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"_Toc180389765" </w:instrText>
          </w:r>
          <w:r>
            <w:fldChar w:fldCharType="separate"/>
          </w:r>
          <w:r>
            <w:rPr>
              <w:rStyle w:val="19"/>
              <w:rFonts w:hint="eastAsia" w:ascii="仿宋_GB2312" w:hAnsi="仿宋_GB2312" w:eastAsia="仿宋_GB2312" w:cs="仿宋_GB2312"/>
            </w:rPr>
            <w:t>八、涉及专利的说明。</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_Toc180389765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- 7 -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3A396C20">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"_Toc180389766" </w:instrText>
          </w:r>
          <w:r>
            <w:fldChar w:fldCharType="separate"/>
          </w:r>
          <w:r>
            <w:rPr>
              <w:rStyle w:val="19"/>
              <w:rFonts w:hint="eastAsia" w:ascii="仿宋_GB2312" w:hAnsi="仿宋_GB2312" w:eastAsia="仿宋_GB2312" w:cs="仿宋_GB2312"/>
            </w:rPr>
            <w:t>九、实施国家计量技术规范的要求，以及组织措施、技术措施、过渡期和实施日期的建议等措施建议。</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_Toc180389766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- 7 -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47F5D601">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"_Toc180389767" </w:instrText>
          </w:r>
          <w:r>
            <w:fldChar w:fldCharType="separate"/>
          </w:r>
          <w:r>
            <w:rPr>
              <w:rStyle w:val="19"/>
              <w:rFonts w:hint="eastAsia" w:ascii="仿宋_GB2312" w:hAnsi="仿宋_GB2312" w:eastAsia="仿宋_GB2312" w:cs="仿宋_GB2312"/>
            </w:rPr>
            <w:t>十、 重要技术条文解释。</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_Toc180389767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- 7 -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3D1FAEB1">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"_Toc180389768" </w:instrText>
          </w:r>
          <w:r>
            <w:fldChar w:fldCharType="separate"/>
          </w:r>
          <w:r>
            <w:rPr>
              <w:rStyle w:val="19"/>
              <w:rFonts w:hint="eastAsia" w:ascii="仿宋_GB2312" w:hAnsi="仿宋_GB2312" w:eastAsia="仿宋_GB2312" w:cs="仿宋_GB2312"/>
            </w:rPr>
            <w:t>（一）</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范围</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_Toc180389768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- 7 -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037D9D56">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"_Toc180389769" </w:instrText>
          </w:r>
          <w:r>
            <w:fldChar w:fldCharType="separate"/>
          </w:r>
          <w:r>
            <w:rPr>
              <w:rStyle w:val="19"/>
              <w:rFonts w:hint="eastAsia" w:ascii="仿宋_GB2312" w:hAnsi="仿宋_GB2312" w:eastAsia="仿宋_GB2312" w:cs="仿宋_GB2312"/>
            </w:rPr>
            <w:t>（二）</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规范性引用文件</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_Toc180389769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- 7 -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0509A857">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"_Toc180389770" </w:instrText>
          </w:r>
          <w:r>
            <w:fldChar w:fldCharType="separate"/>
          </w:r>
          <w:r>
            <w:rPr>
              <w:rStyle w:val="19"/>
              <w:rFonts w:hint="eastAsia" w:ascii="仿宋_GB2312" w:hAnsi="仿宋_GB2312" w:eastAsia="仿宋_GB2312" w:cs="仿宋_GB2312"/>
            </w:rPr>
            <w:t>（三）</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术语和计量单位</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_Toc180389770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- 7 -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5E8BB8A4">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"_Toc180389771" </w:instrText>
          </w:r>
          <w:r>
            <w:fldChar w:fldCharType="separate"/>
          </w:r>
          <w:r>
            <w:rPr>
              <w:rStyle w:val="19"/>
              <w:rFonts w:hint="eastAsia" w:ascii="仿宋_GB2312" w:hAnsi="仿宋_GB2312" w:eastAsia="仿宋_GB2312" w:cs="仿宋_GB2312"/>
            </w:rPr>
            <w:t>（四）</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概述</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_Toc180389771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- 7 -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31375DC5">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"_Toc180389772" </w:instrText>
          </w:r>
          <w:r>
            <w:fldChar w:fldCharType="separate"/>
          </w:r>
          <w:r>
            <w:rPr>
              <w:rStyle w:val="19"/>
              <w:rFonts w:hint="eastAsia" w:ascii="仿宋_GB2312" w:hAnsi="仿宋_GB2312" w:eastAsia="仿宋_GB2312" w:cs="仿宋_GB2312"/>
            </w:rPr>
            <w:t>（五）</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计量性能要求</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_Toc180389772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- 8 -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34152183">
          <w:pPr>
            <w:pStyle w:val="6"/>
            <w:tabs>
              <w:tab w:val="right" w:leader="dot" w:pos="8296"/>
            </w:tabs>
            <w:rPr>
              <w:rFonts w:hint="eastAsia" w:ascii="仿宋_GB2312" w:hAnsi="仿宋_GB2312" w:eastAsia="仿宋_GB2312" w:cs="仿宋_GB2312"/>
              <w:kern w:val="2"/>
              <w:sz w:val="21"/>
              <w14:ligatures w14:val="standardContextual"/>
            </w:rPr>
          </w:pPr>
          <w:r>
            <w:fldChar w:fldCharType="begin"/>
          </w:r>
          <w:r>
            <w:instrText xml:space="preserve"> HYPERLINK \l "_Toc180389773" </w:instrText>
          </w:r>
          <w:r>
            <w:fldChar w:fldCharType="separate"/>
          </w:r>
          <w:r>
            <w:rPr>
              <w:rStyle w:val="19"/>
              <w:rFonts w:hint="eastAsia" w:ascii="仿宋_GB2312" w:hAnsi="仿宋_GB2312" w:eastAsia="仿宋_GB2312" w:cs="仿宋_GB2312"/>
            </w:rPr>
            <w:t>1）关于工频分压器结构形式：</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_Toc180389773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- 8 -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29B37B5A">
          <w:pPr>
            <w:pStyle w:val="6"/>
            <w:tabs>
              <w:tab w:val="right" w:leader="dot" w:pos="8296"/>
            </w:tabs>
            <w:rPr>
              <w:rFonts w:hint="eastAsia" w:ascii="仿宋_GB2312" w:hAnsi="仿宋_GB2312" w:eastAsia="仿宋_GB2312" w:cs="仿宋_GB2312"/>
              <w:kern w:val="2"/>
              <w:sz w:val="21"/>
              <w14:ligatures w14:val="standardContextual"/>
            </w:rPr>
          </w:pPr>
          <w:r>
            <w:fldChar w:fldCharType="begin"/>
          </w:r>
          <w:r>
            <w:instrText xml:space="preserve"> HYPERLINK \l "_Toc180389774" </w:instrText>
          </w:r>
          <w:r>
            <w:fldChar w:fldCharType="separate"/>
          </w:r>
          <w:r>
            <w:rPr>
              <w:rStyle w:val="19"/>
              <w:rFonts w:hint="eastAsia" w:ascii="仿宋_GB2312" w:hAnsi="仿宋_GB2312" w:eastAsia="仿宋_GB2312" w:cs="仿宋_GB2312"/>
            </w:rPr>
            <w:t>2）关于分压比的考核（试验）方法：</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_Toc180389774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- 8 -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65900096">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"_Toc180389775" </w:instrText>
          </w:r>
          <w:r>
            <w:fldChar w:fldCharType="separate"/>
          </w:r>
          <w:r>
            <w:rPr>
              <w:rStyle w:val="19"/>
              <w:rFonts w:hint="eastAsia" w:ascii="仿宋_GB2312" w:hAnsi="仿宋_GB2312" w:eastAsia="仿宋_GB2312" w:cs="仿宋_GB2312"/>
            </w:rPr>
            <w:t>（六）</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通用技术要求</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_Toc180389775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- 10 -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607372FA">
          <w:pPr>
            <w:pStyle w:val="12"/>
            <w:tabs>
              <w:tab w:val="left" w:pos="1470"/>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"_Toc180389776" </w:instrText>
          </w:r>
          <w:r>
            <w:fldChar w:fldCharType="separate"/>
          </w:r>
          <w:r>
            <w:rPr>
              <w:rStyle w:val="19"/>
              <w:rFonts w:hint="eastAsia" w:ascii="仿宋_GB2312" w:hAnsi="仿宋_GB2312" w:eastAsia="仿宋_GB2312" w:cs="仿宋_GB2312"/>
            </w:rPr>
            <w:t>（七）</w:t>
          </w:r>
          <w:r>
            <w:rPr>
              <w:rFonts w:hint="eastAsia" w:ascii="仿宋_GB2312" w:hAnsi="仿宋_GB2312" w:eastAsia="仿宋_GB2312" w:cs="仿宋_GB2312"/>
              <w:szCs w:val="22"/>
              <w14:ligatures w14:val="standardContextual"/>
            </w:rPr>
            <w:tab/>
          </w:r>
          <w:r>
            <w:rPr>
              <w:rStyle w:val="19"/>
              <w:rFonts w:hint="eastAsia" w:ascii="仿宋_GB2312" w:hAnsi="仿宋_GB2312" w:eastAsia="仿宋_GB2312" w:cs="仿宋_GB2312"/>
            </w:rPr>
            <w:t>计量器具控制</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_Toc180389776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- 11 -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480EBDA8">
          <w:pPr>
            <w:pStyle w:val="10"/>
            <w:tabs>
              <w:tab w:val="right" w:leader="dot" w:pos="8296"/>
            </w:tabs>
            <w:rPr>
              <w:rFonts w:hint="eastAsia" w:ascii="仿宋_GB2312" w:hAnsi="仿宋_GB2312" w:eastAsia="仿宋_GB2312" w:cs="仿宋_GB2312"/>
              <w:szCs w:val="22"/>
              <w14:ligatures w14:val="standardContextual"/>
            </w:rPr>
          </w:pPr>
          <w:r>
            <w:fldChar w:fldCharType="begin"/>
          </w:r>
          <w:r>
            <w:instrText xml:space="preserve"> HYPERLINK \l "_Toc180389777" </w:instrText>
          </w:r>
          <w:r>
            <w:fldChar w:fldCharType="separate"/>
          </w:r>
          <w:r>
            <w:rPr>
              <w:rStyle w:val="19"/>
              <w:rFonts w:hint="eastAsia" w:ascii="仿宋_GB2312" w:hAnsi="仿宋_GB2312" w:eastAsia="仿宋_GB2312" w:cs="仿宋_GB2312"/>
            </w:rPr>
            <w:t>十一、 其他应当说明的事项。</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_Toc180389777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- 13 -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788EB1E4">
          <w:pPr>
            <w:pStyle w:val="12"/>
            <w:tabs>
              <w:tab w:val="right" w:leader="dot" w:pos="8296"/>
            </w:tabs>
            <w:rPr>
              <w:rFonts w:hint="eastAsia" w:asciiTheme="minorHAnsi" w:hAnsiTheme="minorHAnsi" w:eastAsiaTheme="minorEastAsia" w:cstheme="minorBidi"/>
              <w:szCs w:val="22"/>
              <w14:ligatures w14:val="standardContextual"/>
            </w:rPr>
          </w:pPr>
          <w:r>
            <w:fldChar w:fldCharType="begin"/>
          </w:r>
          <w:r>
            <w:instrText xml:space="preserve"> HYPERLINK \l "_Toc180389778" </w:instrText>
          </w:r>
          <w:r>
            <w:fldChar w:fldCharType="separate"/>
          </w:r>
          <w:r>
            <w:rPr>
              <w:rStyle w:val="19"/>
              <w:rFonts w:hint="eastAsia" w:ascii="仿宋_GB2312" w:hAnsi="仿宋_GB2312" w:eastAsia="仿宋_GB2312" w:cs="仿宋_GB2312"/>
            </w:rPr>
            <w:t>无。</w:t>
          </w:r>
          <w:r>
            <w:rPr>
              <w:rFonts w:hint="eastAsia" w:ascii="仿宋_GB2312" w:hAnsi="仿宋_GB2312" w:eastAsia="仿宋_GB2312" w:cs="仿宋_GB2312"/>
            </w:rPr>
            <w:tab/>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PAGEREF _Toc180389778 \h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- 13 -</w:t>
          </w:r>
          <w:r>
            <w:rPr>
              <w:rFonts w:hint="eastAsia" w:ascii="仿宋_GB2312" w:hAnsi="仿宋_GB2312" w:eastAsia="仿宋_GB2312" w:cs="仿宋_GB2312"/>
            </w:rPr>
            <w:fldChar w:fldCharType="end"/>
          </w:r>
          <w:r>
            <w:rPr>
              <w:rFonts w:hint="eastAsia" w:ascii="仿宋_GB2312" w:hAnsi="仿宋_GB2312" w:eastAsia="仿宋_GB2312" w:cs="仿宋_GB2312"/>
            </w:rPr>
            <w:fldChar w:fldCharType="end"/>
          </w:r>
        </w:p>
        <w:p w14:paraId="154B6C32">
          <w:r>
            <w:rPr>
              <w:b/>
              <w:bCs/>
              <w:lang w:val="zh-CN"/>
            </w:rPr>
            <w:fldChar w:fldCharType="end"/>
          </w:r>
        </w:p>
      </w:sdtContent>
    </w:sdt>
    <w:p w14:paraId="09827117">
      <w:pPr>
        <w:widowControl/>
        <w:jc w:val="left"/>
        <w:rPr>
          <w:rFonts w:hint="eastAsia" w:ascii="宋体" w:hAnsi="宋体"/>
          <w:b/>
          <w:bCs/>
          <w:color w:val="000000"/>
          <w:kern w:val="0"/>
          <w:sz w:val="36"/>
          <w:szCs w:val="36"/>
        </w:rPr>
      </w:pPr>
      <w:r>
        <w:rPr>
          <w:rFonts w:hint="eastAsia" w:ascii="宋体" w:hAnsi="宋体"/>
          <w:color w:val="000000"/>
          <w:sz w:val="36"/>
          <w:szCs w:val="36"/>
        </w:rPr>
        <w:br w:type="page"/>
      </w:r>
    </w:p>
    <w:p w14:paraId="6C39384C">
      <w:pPr>
        <w:pStyle w:val="13"/>
        <w:spacing w:before="0" w:line="500" w:lineRule="exact"/>
        <w:outlineLvl w:val="9"/>
        <w:rPr>
          <w:rFonts w:hint="eastAsia" w:ascii="宋体" w:hAnsi="宋体"/>
          <w:color w:val="000000"/>
          <w:sz w:val="36"/>
          <w:szCs w:val="36"/>
        </w:rPr>
      </w:pPr>
      <w:r>
        <w:rPr>
          <w:rFonts w:ascii="宋体" w:hAnsi="宋体"/>
          <w:color w:val="000000"/>
          <w:sz w:val="36"/>
          <w:szCs w:val="36"/>
        </w:rPr>
        <w:t>国家计量技术</w:t>
      </w:r>
      <w:r>
        <w:rPr>
          <w:rFonts w:hint="eastAsia" w:ascii="宋体" w:hAnsi="宋体"/>
          <w:color w:val="000000"/>
          <w:sz w:val="36"/>
          <w:szCs w:val="36"/>
        </w:rPr>
        <w:t>规范</w:t>
      </w:r>
      <w:bookmarkEnd w:id="4"/>
    </w:p>
    <w:p w14:paraId="6A31BD9C">
      <w:pPr>
        <w:pStyle w:val="13"/>
        <w:spacing w:before="0" w:line="500" w:lineRule="exact"/>
        <w:outlineLvl w:val="9"/>
        <w:rPr>
          <w:rFonts w:hint="eastAsia" w:ascii="宋体" w:hAnsi="宋体"/>
          <w:color w:val="000000"/>
          <w:sz w:val="36"/>
          <w:szCs w:val="36"/>
        </w:rPr>
      </w:pPr>
      <w:bookmarkStart w:id="5" w:name="_Toc116567668"/>
      <w:r>
        <w:rPr>
          <w:rFonts w:ascii="宋体" w:hAnsi="宋体"/>
          <w:color w:val="000000"/>
          <w:sz w:val="36"/>
          <w:szCs w:val="36"/>
        </w:rPr>
        <w:t>《</w:t>
      </w:r>
      <w:r>
        <w:rPr>
          <w:rFonts w:hint="eastAsia" w:ascii="宋体" w:hAnsi="宋体"/>
          <w:color w:val="000000"/>
          <w:sz w:val="36"/>
          <w:szCs w:val="36"/>
        </w:rPr>
        <w:t>工频高压分压器检定规程</w:t>
      </w:r>
      <w:r>
        <w:rPr>
          <w:rFonts w:ascii="宋体" w:hAnsi="宋体"/>
          <w:color w:val="000000"/>
          <w:sz w:val="36"/>
          <w:szCs w:val="36"/>
        </w:rPr>
        <w:t>》</w:t>
      </w:r>
      <w:bookmarkEnd w:id="5"/>
    </w:p>
    <w:p w14:paraId="1143E935">
      <w:pPr>
        <w:pStyle w:val="13"/>
        <w:spacing w:before="120" w:after="240"/>
        <w:outlineLvl w:val="9"/>
        <w:rPr>
          <w:rFonts w:ascii="Times New Roman" w:hAnsi="Times New Roman"/>
        </w:rPr>
      </w:pPr>
      <w:bookmarkStart w:id="6" w:name="_Toc116567669"/>
      <w:r>
        <w:rPr>
          <w:rFonts w:ascii="Times New Roman" w:hAnsi="Times New Roman"/>
        </w:rPr>
        <w:t>编制说明</w:t>
      </w:r>
      <w:bookmarkEnd w:id="6"/>
    </w:p>
    <w:p w14:paraId="7556606E">
      <w:pPr>
        <w:pStyle w:val="11"/>
        <w:spacing w:after="0"/>
        <w:jc w:val="left"/>
        <w:outlineLvl w:val="0"/>
        <w:rPr>
          <w:rFonts w:hint="eastAsia"/>
          <w:sz w:val="28"/>
          <w:szCs w:val="28"/>
        </w:rPr>
      </w:pPr>
      <w:bookmarkStart w:id="7" w:name="_Toc116567851"/>
      <w:bookmarkStart w:id="8" w:name="_Toc180389748"/>
      <w:bookmarkStart w:id="9" w:name="_Toc116567670"/>
      <w:bookmarkStart w:id="10" w:name="_Hlk71556174"/>
      <w:r>
        <w:rPr>
          <w:rFonts w:hint="eastAsia"/>
          <w:sz w:val="28"/>
          <w:szCs w:val="28"/>
        </w:rPr>
        <w:t>一、工作简况</w:t>
      </w:r>
      <w:bookmarkEnd w:id="7"/>
      <w:bookmarkEnd w:id="8"/>
      <w:bookmarkEnd w:id="9"/>
    </w:p>
    <w:p w14:paraId="0DBE556C">
      <w:pPr>
        <w:pStyle w:val="27"/>
        <w:numPr>
          <w:ilvl w:val="0"/>
          <w:numId w:val="1"/>
        </w:numPr>
        <w:spacing w:line="360" w:lineRule="auto"/>
        <w:ind w:left="0" w:firstLine="0" w:firstLineChars="0"/>
        <w:outlineLvl w:val="1"/>
      </w:pPr>
      <w:bookmarkStart w:id="11" w:name="_Toc180389749_ai"/>
      <w:r>
        <w:rPr>
          <w:rFonts w:hint="eastAsia" w:ascii="宋体"/>
          <w:sz w:val="24"/>
          <w:szCs w:val="20"/>
        </w:rPr>
        <w:t>任务来源</w:t>
      </w:r>
      <w:bookmarkEnd w:id="11"/>
    </w:p>
    <w:p w14:paraId="59DFD4A5">
      <w:pPr>
        <w:spacing w:line="360" w:lineRule="auto"/>
        <w:ind w:firstLine="480" w:firstLineChars="200"/>
      </w:pPr>
      <w:r>
        <w:rPr>
          <w:rFonts w:hint="eastAsia" w:ascii="宋体"/>
          <w:sz w:val="24"/>
          <w:szCs w:val="20"/>
        </w:rPr>
        <w:t>本国家计量技术规范《工频高压分压器检定</w:t>
      </w:r>
      <w:r>
        <w:rPr>
          <w:rFonts w:hint="eastAsia" w:ascii="宋体"/>
          <w:sz w:val="24"/>
          <w:szCs w:val="20"/>
          <w:highlight w:val="none"/>
        </w:rPr>
        <w:t>规程》（以下简称本规程）依</w:t>
      </w:r>
      <w:r>
        <w:rPr>
          <w:rFonts w:hint="eastAsia" w:ascii="宋体"/>
          <w:sz w:val="24"/>
          <w:szCs w:val="20"/>
        </w:rPr>
        <w:t>据国家市场监督管理总局办公厅发布的《市场监管总局办公厅关于印发2025年国家计量技术规范制定、修订及宣贯计划的通知</w:t>
      </w:r>
      <w:r>
        <w:rPr>
          <w:rFonts w:hint="eastAsia"/>
          <w:sz w:val="24"/>
          <w:szCs w:val="20"/>
        </w:rPr>
        <w:t>》（市监计量发〔2025〕45号）制定，项目编号为MTC18/SC1-2025-02。</w:t>
      </w:r>
    </w:p>
    <w:p w14:paraId="7AED918F">
      <w:pPr>
        <w:pStyle w:val="27"/>
        <w:numPr>
          <w:ilvl w:val="0"/>
          <w:numId w:val="1"/>
        </w:numPr>
        <w:spacing w:line="360" w:lineRule="auto"/>
        <w:ind w:left="0" w:firstLine="0" w:firstLineChars="0"/>
        <w:outlineLvl w:val="1"/>
      </w:pPr>
      <w:bookmarkStart w:id="12" w:name="_Toc180389750_ai"/>
      <w:r>
        <w:rPr>
          <w:rFonts w:hint="eastAsia" w:ascii="宋体"/>
          <w:sz w:val="24"/>
          <w:szCs w:val="20"/>
        </w:rPr>
        <w:t>制定背景</w:t>
      </w:r>
      <w:bookmarkEnd w:id="12"/>
    </w:p>
    <w:p w14:paraId="06F61011">
      <w:pPr>
        <w:spacing w:line="360" w:lineRule="auto"/>
        <w:ind w:firstLine="480" w:firstLineChars="200"/>
      </w:pPr>
      <w:r>
        <w:rPr>
          <w:rFonts w:hint="eastAsia" w:ascii="宋体"/>
          <w:sz w:val="24"/>
          <w:szCs w:val="20"/>
        </w:rPr>
        <w:t>工频高压分压器作为测量工频高电压的主要技术手段及工作计量器具，在我国电力行业、铁路运输、机械制造等领域获得广泛应用。国家质量监督检验检疫总局早于1996年即制定了国家计量检定规程JJG 496-1996。随着我国在工频分压器的研发、生产及实际应用水平的持续提升，各级计量技术机构对该类设备的认识亦不断深化。2016年，国家高电压计量站对JJG 496《工频高压分压器检定规程》完成了首次修订。修订内容涵盖术语与定义、计量特性、环境条件、绝缘强度及基本误差试验方法等多个方面，并在文本结构上全面遵循JJF 1002–2010《国家计量检定规程编写规则》予以调整。</w:t>
      </w:r>
    </w:p>
    <w:p w14:paraId="28D30C0F">
      <w:pPr>
        <w:spacing w:line="360" w:lineRule="auto"/>
        <w:ind w:firstLine="480" w:firstLineChars="200"/>
      </w:pPr>
      <w:r>
        <w:rPr>
          <w:rFonts w:hint="eastAsia" w:ascii="宋体"/>
          <w:sz w:val="24"/>
          <w:szCs w:val="20"/>
        </w:rPr>
        <w:t>工频高压分压器（以下简称工频分压器）为用于高电压测量的专用测试仪器。依据JJG 496-2016的规定，该类设备按其实际用途划分为两类：A类用于计量标准用途，其准确度要求较高，故对分压比的比值差及相位差均提出明确技术要求；B类用于工程测量用途，其准确度要求相对较低，故仅对分压比的基本误差作出技术规定。</w:t>
      </w:r>
    </w:p>
    <w:p w14:paraId="4382518C">
      <w:pPr>
        <w:spacing w:line="360" w:lineRule="auto"/>
        <w:ind w:firstLine="480" w:firstLineChars="200"/>
      </w:pPr>
      <w:r>
        <w:rPr>
          <w:rFonts w:hint="eastAsia" w:ascii="宋体"/>
          <w:sz w:val="24"/>
          <w:szCs w:val="20"/>
        </w:rPr>
        <w:t>工频高压分压器的主要计量特性参数为分压比。目前，国内已有若干计量技术机构（如省级电力科学研究院、省级计量院等）开展了工频高压分压器的检定与校准工作。因此，亟须修订《工频高压分压器检定规程》，以规范其全部计量特性参数的检定流程，保障高压试验结果的准确性，并为输电线路及电网的安全运行提供技术支撑。</w:t>
      </w:r>
    </w:p>
    <w:p w14:paraId="797F473D">
      <w:pPr>
        <w:pStyle w:val="27"/>
        <w:numPr>
          <w:ilvl w:val="0"/>
          <w:numId w:val="1"/>
        </w:numPr>
        <w:spacing w:line="360" w:lineRule="auto"/>
        <w:ind w:left="0" w:firstLine="0" w:firstLineChars="0"/>
        <w:outlineLvl w:val="1"/>
      </w:pPr>
      <w:bookmarkStart w:id="13" w:name="_Toc180389751_ai"/>
      <w:r>
        <w:rPr>
          <w:rFonts w:hint="eastAsia" w:ascii="宋体"/>
          <w:sz w:val="24"/>
          <w:szCs w:val="20"/>
        </w:rPr>
        <w:t>起草过程</w:t>
      </w:r>
      <w:bookmarkEnd w:id="13"/>
    </w:p>
    <w:p w14:paraId="22DCF822">
      <w:pPr>
        <w:spacing w:line="360" w:lineRule="auto"/>
        <w:ind w:firstLine="480" w:firstLineChars="200"/>
        <w:rPr>
          <w:sz w:val="24"/>
          <w:szCs w:val="20"/>
        </w:rPr>
      </w:pPr>
      <w:r>
        <w:rPr>
          <w:rFonts w:hint="eastAsia" w:ascii="宋体"/>
          <w:sz w:val="24"/>
          <w:szCs w:val="20"/>
        </w:rPr>
        <w:t>本规程</w:t>
      </w:r>
      <w:r>
        <w:rPr>
          <w:rFonts w:hint="eastAsia" w:ascii="宋体"/>
          <w:sz w:val="24"/>
          <w:szCs w:val="20"/>
          <w:lang w:val="en-US" w:eastAsia="zh-CN"/>
        </w:rPr>
        <w:t>指导老师为国网陕西电力公司朱跃老师，</w:t>
      </w:r>
      <w:r>
        <w:rPr>
          <w:rFonts w:hint="eastAsia" w:ascii="宋体"/>
          <w:sz w:val="24"/>
          <w:szCs w:val="20"/>
        </w:rPr>
        <w:t>起草单</w:t>
      </w:r>
      <w:r>
        <w:rPr>
          <w:sz w:val="24"/>
          <w:szCs w:val="20"/>
        </w:rPr>
        <w:t>位</w:t>
      </w:r>
      <w:r>
        <w:rPr>
          <w:rFonts w:hint="eastAsia"/>
          <w:sz w:val="24"/>
          <w:szCs w:val="20"/>
        </w:rPr>
        <w:t>共6</w:t>
      </w:r>
      <w:r>
        <w:rPr>
          <w:sz w:val="24"/>
          <w:szCs w:val="20"/>
        </w:rPr>
        <w:t>家</w:t>
      </w:r>
      <w:r>
        <w:rPr>
          <w:rFonts w:hint="eastAsia"/>
          <w:sz w:val="24"/>
          <w:szCs w:val="20"/>
        </w:rPr>
        <w:t>，</w:t>
      </w:r>
      <w:r>
        <w:rPr>
          <w:rFonts w:hint="eastAsia"/>
          <w:sz w:val="24"/>
          <w:szCs w:val="20"/>
          <w:lang w:val="en-US" w:eastAsia="zh-CN"/>
        </w:rPr>
        <w:t>具体</w:t>
      </w:r>
      <w:r>
        <w:rPr>
          <w:rFonts w:hint="eastAsia"/>
          <w:sz w:val="24"/>
          <w:szCs w:val="20"/>
        </w:rPr>
        <w:t>包括</w:t>
      </w:r>
      <w:r>
        <w:rPr>
          <w:sz w:val="24"/>
          <w:szCs w:val="20"/>
        </w:rPr>
        <w:t>：</w:t>
      </w:r>
      <w:bookmarkStart w:id="14" w:name="OLE_LINK22"/>
      <w:r>
        <w:rPr>
          <w:rFonts w:hint="eastAsia"/>
          <w:sz w:val="24"/>
          <w:szCs w:val="20"/>
        </w:rPr>
        <w:t>国家</w:t>
      </w:r>
      <w:r>
        <w:rPr>
          <w:sz w:val="24"/>
          <w:szCs w:val="20"/>
        </w:rPr>
        <w:t>高电压计量站</w:t>
      </w:r>
      <w:r>
        <w:rPr>
          <w:rFonts w:hint="eastAsia"/>
          <w:sz w:val="24"/>
          <w:szCs w:val="20"/>
        </w:rPr>
        <w:t>、西安高压电器研究院股份有限公司、宜昌市计量检定测试所、国网四川省电力公司营销服务中心、武汉磐电科技股份有限公司、安徽大为电气科技有限公司</w:t>
      </w:r>
      <w:bookmarkEnd w:id="14"/>
      <w:r>
        <w:rPr>
          <w:sz w:val="24"/>
          <w:szCs w:val="20"/>
        </w:rPr>
        <w:t>；起草人</w:t>
      </w:r>
      <w:r>
        <w:rPr>
          <w:rFonts w:hint="eastAsia"/>
          <w:sz w:val="24"/>
          <w:szCs w:val="20"/>
        </w:rPr>
        <w:t>共</w:t>
      </w:r>
      <w:r>
        <w:rPr>
          <w:sz w:val="24"/>
          <w:szCs w:val="20"/>
        </w:rPr>
        <w:t>7</w:t>
      </w:r>
      <w:r>
        <w:rPr>
          <w:rFonts w:hint="eastAsia"/>
          <w:sz w:val="24"/>
          <w:szCs w:val="20"/>
        </w:rPr>
        <w:t>位，分别为</w:t>
      </w:r>
      <w:r>
        <w:rPr>
          <w:sz w:val="24"/>
          <w:szCs w:val="20"/>
        </w:rPr>
        <w:t>：</w:t>
      </w:r>
      <w:r>
        <w:rPr>
          <w:rFonts w:hint="eastAsia"/>
          <w:sz w:val="24"/>
          <w:szCs w:val="20"/>
        </w:rPr>
        <w:t>雷民、王斯琪、钟磊、谭磊、张杰夫、孙军、樊松</w:t>
      </w:r>
      <w:r>
        <w:rPr>
          <w:sz w:val="24"/>
          <w:szCs w:val="20"/>
        </w:rPr>
        <w:t>。</w:t>
      </w:r>
    </w:p>
    <w:p w14:paraId="246AD662">
      <w:pPr>
        <w:spacing w:line="360" w:lineRule="auto"/>
        <w:ind w:firstLine="480" w:firstLineChars="200"/>
        <w:rPr>
          <w:rFonts w:hint="eastAsia"/>
          <w:sz w:val="24"/>
          <w:szCs w:val="20"/>
          <w:lang w:val="en-US" w:eastAsia="zh-CN"/>
        </w:rPr>
      </w:pPr>
      <w:r>
        <w:rPr>
          <w:rFonts w:hint="eastAsia"/>
          <w:sz w:val="24"/>
          <w:szCs w:val="20"/>
          <w:lang w:val="en-US" w:eastAsia="zh-CN"/>
        </w:rPr>
        <w:t>工作组任务分工：</w:t>
      </w:r>
    </w:p>
    <w:p w14:paraId="3497B730">
      <w:pPr>
        <w:spacing w:line="360" w:lineRule="auto"/>
        <w:ind w:firstLine="480" w:firstLineChars="200"/>
        <w:rPr>
          <w:rFonts w:hint="default"/>
          <w:sz w:val="24"/>
          <w:szCs w:val="20"/>
          <w:lang w:val="en-US" w:eastAsia="zh-CN"/>
        </w:rPr>
      </w:pPr>
      <w:r>
        <w:rPr>
          <w:rFonts w:hint="default"/>
          <w:sz w:val="24"/>
          <w:szCs w:val="20"/>
          <w:lang w:val="en-US" w:eastAsia="zh-CN"/>
        </w:rPr>
        <w:t>国家高电压计量站</w:t>
      </w:r>
      <w:r>
        <w:rPr>
          <w:rFonts w:hint="eastAsia"/>
          <w:sz w:val="24"/>
          <w:szCs w:val="20"/>
          <w:lang w:val="en-US" w:eastAsia="zh-CN"/>
        </w:rPr>
        <w:t>雷民及王斯琪负责标准正文第一、第二、第六、第七章编制及合稿</w:t>
      </w:r>
      <w:r>
        <w:rPr>
          <w:rFonts w:hint="default"/>
          <w:sz w:val="24"/>
          <w:szCs w:val="20"/>
          <w:lang w:val="en-US" w:eastAsia="zh-CN"/>
        </w:rPr>
        <w:t>、西安高压电器研究院股份有限公司</w:t>
      </w:r>
      <w:r>
        <w:rPr>
          <w:rFonts w:hint="eastAsia"/>
          <w:sz w:val="24"/>
          <w:szCs w:val="20"/>
        </w:rPr>
        <w:t>钟磊</w:t>
      </w:r>
      <w:r>
        <w:rPr>
          <w:rFonts w:hint="eastAsia"/>
          <w:sz w:val="24"/>
          <w:szCs w:val="20"/>
          <w:lang w:val="en-US" w:eastAsia="zh-CN"/>
        </w:rPr>
        <w:t>负责标准正文第三、第四及第五章编制、国网四川省电力公司营销服务中心</w:t>
      </w:r>
      <w:r>
        <w:rPr>
          <w:rFonts w:hint="eastAsia"/>
          <w:sz w:val="24"/>
          <w:szCs w:val="20"/>
        </w:rPr>
        <w:t>张杰夫</w:t>
      </w:r>
      <w:r>
        <w:rPr>
          <w:rFonts w:hint="eastAsia"/>
          <w:sz w:val="24"/>
          <w:szCs w:val="20"/>
          <w:lang w:val="en-US" w:eastAsia="zh-CN"/>
        </w:rPr>
        <w:t>负责附录及不确定度评定报告部分编制、宜昌市计量检定测试所</w:t>
      </w:r>
      <w:r>
        <w:rPr>
          <w:rFonts w:hint="eastAsia"/>
          <w:sz w:val="24"/>
          <w:szCs w:val="20"/>
        </w:rPr>
        <w:t>谭磊</w:t>
      </w:r>
      <w:r>
        <w:rPr>
          <w:rFonts w:hint="eastAsia"/>
          <w:sz w:val="24"/>
          <w:szCs w:val="20"/>
          <w:lang w:val="en-US" w:eastAsia="zh-CN"/>
        </w:rPr>
        <w:t>负责编制说明部分编制，武汉磐电科技股份有限公司</w:t>
      </w:r>
      <w:r>
        <w:rPr>
          <w:rFonts w:hint="eastAsia"/>
          <w:sz w:val="24"/>
          <w:szCs w:val="20"/>
        </w:rPr>
        <w:t>孙军</w:t>
      </w:r>
      <w:r>
        <w:rPr>
          <w:rFonts w:hint="eastAsia"/>
          <w:sz w:val="24"/>
          <w:szCs w:val="20"/>
          <w:lang w:val="en-US" w:eastAsia="zh-CN"/>
        </w:rPr>
        <w:t>负责试验验证报告部分编制、安徽大为电气科技有限公司</w:t>
      </w:r>
      <w:r>
        <w:rPr>
          <w:rFonts w:hint="eastAsia"/>
          <w:sz w:val="24"/>
          <w:szCs w:val="20"/>
        </w:rPr>
        <w:t>樊松</w:t>
      </w:r>
      <w:r>
        <w:rPr>
          <w:rFonts w:hint="eastAsia"/>
          <w:sz w:val="24"/>
          <w:szCs w:val="20"/>
          <w:lang w:val="en-US" w:eastAsia="zh-CN"/>
        </w:rPr>
        <w:t>负责产品调研报告部分编制。</w:t>
      </w:r>
    </w:p>
    <w:p w14:paraId="1227E554">
      <w:pPr>
        <w:pStyle w:val="27"/>
        <w:numPr>
          <w:ilvl w:val="0"/>
          <w:numId w:val="2"/>
        </w:numPr>
        <w:spacing w:line="360" w:lineRule="auto"/>
        <w:ind w:firstLineChars="0"/>
      </w:pPr>
      <w:r>
        <w:rPr>
          <w:rFonts w:hint="eastAsia"/>
          <w:sz w:val="24"/>
        </w:rPr>
        <w:t>2024年6月，项目计划正式下达。</w:t>
      </w:r>
    </w:p>
    <w:p w14:paraId="1F958B1A">
      <w:pPr>
        <w:pStyle w:val="27"/>
        <w:numPr>
          <w:ilvl w:val="0"/>
          <w:numId w:val="2"/>
        </w:numPr>
        <w:spacing w:line="360" w:lineRule="auto"/>
        <w:ind w:firstLineChars="0"/>
        <w:rPr>
          <w:sz w:val="24"/>
          <w:szCs w:val="20"/>
        </w:rPr>
      </w:pPr>
      <w:r>
        <w:rPr>
          <w:rFonts w:hint="eastAsia"/>
          <w:sz w:val="24"/>
        </w:rPr>
        <w:t>起草过程如下：</w:t>
      </w:r>
    </w:p>
    <w:p w14:paraId="47063824">
      <w:pPr>
        <w:snapToGrid w:val="0"/>
        <w:spacing w:line="360" w:lineRule="auto"/>
        <w:ind w:firstLine="480" w:firstLineChars="200"/>
      </w:pPr>
      <w:r>
        <w:rPr>
          <w:rFonts w:hint="eastAsia"/>
          <w:sz w:val="24"/>
        </w:rPr>
        <w:t>（1）2024年7月22日，于武汉召开起草工作组启动会议。在计划申报阶段所提交初稿的基础上，讨论并确定了技术规范的框架及主要技术内容。会议具体情况详见《起草工作组启动工作会议纪要》。</w:t>
      </w:r>
    </w:p>
    <w:p w14:paraId="54A492CC">
      <w:pPr>
        <w:snapToGrid w:val="0"/>
        <w:spacing w:line="360" w:lineRule="auto"/>
        <w:ind w:firstLine="480" w:firstLineChars="200"/>
      </w:pPr>
      <w:r>
        <w:rPr>
          <w:rFonts w:hint="eastAsia"/>
          <w:sz w:val="24"/>
        </w:rPr>
        <w:t>（2）2025年9月至11月，起草工作组根据会议意见，组织开展了试验频率对测量结果的影响分析及试验验证，并进行相关调研，最终编写形成《征求意见稿》及其附件材料。</w:t>
      </w:r>
    </w:p>
    <w:p w14:paraId="48A06E28">
      <w:pPr>
        <w:snapToGrid w:val="0"/>
        <w:spacing w:line="360" w:lineRule="auto"/>
        <w:ind w:firstLine="480" w:firstLineChars="200"/>
      </w:pPr>
      <w:r>
        <w:rPr>
          <w:rFonts w:hint="eastAsia"/>
          <w:sz w:val="24"/>
        </w:rPr>
        <w:t>（3）2025年11月13日至</w:t>
      </w:r>
      <w:r>
        <w:rPr>
          <w:rFonts w:hint="eastAsia"/>
          <w:sz w:val="24"/>
          <w:lang w:val="en-US" w:eastAsia="zh-CN"/>
        </w:rPr>
        <w:t>2026年4月</w:t>
      </w:r>
      <w:r>
        <w:rPr>
          <w:rFonts w:hint="eastAsia"/>
          <w:sz w:val="24"/>
        </w:rPr>
        <w:t>，召开起草工作组第二次工作会议，就调研分析及验证试验情况进行讨论，对征求意见稿初稿进行逐条审议并达成一致。会议详情参见《起草工作组第二次工作会议纪要》。会后，各成员分工开展进一步调研与验证，完成征求意见稿材料的修改与完善，并提交至分技术委员会进入评审阶段。</w:t>
      </w:r>
    </w:p>
    <w:p w14:paraId="31E50BA8">
      <w:pPr>
        <w:snapToGrid w:val="0"/>
        <w:spacing w:line="360" w:lineRule="auto"/>
        <w:ind w:firstLine="480" w:firstLineChars="200"/>
        <w:rPr>
          <w:rFonts w:hint="eastAsia"/>
          <w:sz w:val="24"/>
          <w:highlight w:val="none"/>
        </w:rPr>
      </w:pPr>
      <w:r>
        <w:rPr>
          <w:rFonts w:hint="eastAsia"/>
          <w:sz w:val="24"/>
          <w:highlight w:val="none"/>
        </w:rPr>
        <w:t>（4）2026年</w:t>
      </w:r>
      <w:r>
        <w:rPr>
          <w:rFonts w:hint="eastAsia"/>
          <w:sz w:val="24"/>
          <w:highlight w:val="none"/>
          <w:lang w:val="en-US" w:eastAsia="zh-CN"/>
        </w:rPr>
        <w:t>5</w:t>
      </w:r>
      <w:r>
        <w:rPr>
          <w:rFonts w:hint="eastAsia"/>
          <w:sz w:val="24"/>
          <w:highlight w:val="none"/>
        </w:rPr>
        <w:t>月1</w:t>
      </w:r>
      <w:r>
        <w:rPr>
          <w:rFonts w:hint="eastAsia"/>
          <w:sz w:val="24"/>
          <w:highlight w:val="none"/>
          <w:lang w:val="en-US" w:eastAsia="zh-CN"/>
        </w:rPr>
        <w:t>5</w:t>
      </w:r>
      <w:r>
        <w:rPr>
          <w:rFonts w:hint="eastAsia"/>
          <w:sz w:val="24"/>
          <w:highlight w:val="none"/>
        </w:rPr>
        <w:t>日，全国电磁计量技术委员会高压计量分技术委员会组织</w:t>
      </w:r>
      <w:r>
        <w:rPr>
          <w:rFonts w:hint="eastAsia"/>
          <w:sz w:val="24"/>
          <w:highlight w:val="none"/>
          <w:lang w:val="en-US" w:eastAsia="zh-CN"/>
        </w:rPr>
        <w:t>在杭州召开了《</w:t>
      </w:r>
      <w:r>
        <w:rPr>
          <w:rFonts w:hint="eastAsia"/>
          <w:sz w:val="24"/>
          <w:highlight w:val="none"/>
        </w:rPr>
        <w:t>征求意见稿</w:t>
      </w:r>
      <w:r>
        <w:rPr>
          <w:rFonts w:hint="eastAsia"/>
          <w:sz w:val="24"/>
          <w:highlight w:val="none"/>
          <w:lang w:val="en-US" w:eastAsia="zh-CN"/>
        </w:rPr>
        <w:t>》审查会。评审专家组</w:t>
      </w:r>
      <w:r>
        <w:rPr>
          <w:rFonts w:hint="eastAsia"/>
          <w:sz w:val="24"/>
          <w:highlight w:val="none"/>
        </w:rPr>
        <w:t>对《征求意见稿》</w:t>
      </w:r>
      <w:r>
        <w:rPr>
          <w:rFonts w:hint="eastAsia"/>
          <w:sz w:val="24"/>
          <w:highlight w:val="none"/>
          <w:lang w:val="en-US" w:eastAsia="zh-CN"/>
        </w:rPr>
        <w:t>相关材料</w:t>
      </w:r>
      <w:r>
        <w:rPr>
          <w:rFonts w:hint="eastAsia"/>
          <w:sz w:val="24"/>
          <w:highlight w:val="none"/>
        </w:rPr>
        <w:t>进行评审</w:t>
      </w:r>
      <w:r>
        <w:rPr>
          <w:rFonts w:hint="eastAsia"/>
          <w:sz w:val="24"/>
          <w:highlight w:val="none"/>
          <w:lang w:val="en-US" w:eastAsia="zh-CN"/>
        </w:rPr>
        <w:t>并原则通过</w:t>
      </w:r>
      <w:r>
        <w:rPr>
          <w:rFonts w:hint="eastAsia"/>
          <w:sz w:val="24"/>
          <w:highlight w:val="none"/>
        </w:rPr>
        <w:t>。评审组提出主要意见</w:t>
      </w:r>
      <w:r>
        <w:rPr>
          <w:rFonts w:hint="eastAsia"/>
          <w:sz w:val="24"/>
          <w:highlight w:val="none"/>
          <w:lang w:val="en-US" w:eastAsia="zh-CN"/>
        </w:rPr>
        <w:t>为</w:t>
      </w:r>
      <w:r>
        <w:rPr>
          <w:rFonts w:hint="eastAsia"/>
          <w:sz w:val="24"/>
          <w:highlight w:val="none"/>
        </w:rPr>
        <w:t>：</w:t>
      </w:r>
    </w:p>
    <w:p w14:paraId="7573A29E">
      <w:pPr>
        <w:numPr>
          <w:ilvl w:val="0"/>
          <w:numId w:val="3"/>
        </w:numPr>
        <w:snapToGrid w:val="0"/>
        <w:spacing w:line="360" w:lineRule="auto"/>
        <w:ind w:firstLine="480" w:firstLineChars="200"/>
        <w:rPr>
          <w:rFonts w:hint="eastAsia"/>
          <w:sz w:val="24"/>
          <w:highlight w:val="none"/>
        </w:rPr>
      </w:pPr>
      <w:r>
        <w:rPr>
          <w:rFonts w:hint="eastAsia"/>
          <w:sz w:val="24"/>
          <w:highlight w:val="none"/>
        </w:rPr>
        <w:t>删除第3章术语中3.4相关内容；</w:t>
      </w:r>
    </w:p>
    <w:p w14:paraId="45292A7E">
      <w:pPr>
        <w:numPr>
          <w:ilvl w:val="0"/>
          <w:numId w:val="3"/>
        </w:numPr>
        <w:snapToGrid w:val="0"/>
        <w:spacing w:line="360" w:lineRule="auto"/>
        <w:ind w:firstLine="480" w:firstLineChars="200"/>
        <w:rPr>
          <w:highlight w:val="none"/>
        </w:rPr>
      </w:pPr>
      <w:r>
        <w:rPr>
          <w:rFonts w:hint="eastAsia"/>
          <w:sz w:val="24"/>
          <w:highlight w:val="none"/>
          <w:lang w:val="en-US" w:eastAsia="zh-CN"/>
        </w:rPr>
        <w:t>修改第6章6.1外观及结构要求中的部分内容</w:t>
      </w:r>
      <w:r>
        <w:rPr>
          <w:rFonts w:hint="eastAsia"/>
          <w:sz w:val="24"/>
          <w:highlight w:val="none"/>
        </w:rPr>
        <w:t>；</w:t>
      </w:r>
    </w:p>
    <w:p w14:paraId="45978B0A">
      <w:pPr>
        <w:spacing w:line="360" w:lineRule="auto"/>
        <w:ind w:firstLine="480" w:firstLineChars="200"/>
        <w:rPr>
          <w:highlight w:val="none"/>
        </w:rPr>
      </w:pPr>
      <w:r>
        <w:rPr>
          <w:rFonts w:hint="eastAsia"/>
          <w:sz w:val="24"/>
          <w:szCs w:val="20"/>
          <w:highlight w:val="none"/>
        </w:rPr>
        <w:t>（5）2026年</w:t>
      </w:r>
      <w:r>
        <w:rPr>
          <w:rFonts w:hint="eastAsia"/>
          <w:sz w:val="24"/>
          <w:szCs w:val="20"/>
          <w:highlight w:val="none"/>
          <w:lang w:val="en-US" w:eastAsia="zh-CN"/>
        </w:rPr>
        <w:t>5</w:t>
      </w:r>
      <w:r>
        <w:rPr>
          <w:rFonts w:hint="eastAsia"/>
          <w:sz w:val="24"/>
          <w:szCs w:val="20"/>
          <w:highlight w:val="none"/>
        </w:rPr>
        <w:t>月</w:t>
      </w:r>
      <w:r>
        <w:rPr>
          <w:rFonts w:hint="eastAsia"/>
          <w:sz w:val="24"/>
          <w:szCs w:val="20"/>
          <w:highlight w:val="none"/>
          <w:lang w:val="en-US" w:eastAsia="zh-CN"/>
        </w:rPr>
        <w:t>23</w:t>
      </w:r>
      <w:r>
        <w:rPr>
          <w:rFonts w:hint="eastAsia"/>
          <w:sz w:val="24"/>
          <w:szCs w:val="20"/>
          <w:highlight w:val="none"/>
        </w:rPr>
        <w:t>日，</w:t>
      </w:r>
      <w:r>
        <w:rPr>
          <w:rFonts w:hint="eastAsia" w:ascii="宋体"/>
          <w:sz w:val="24"/>
          <w:szCs w:val="20"/>
          <w:highlight w:val="none"/>
        </w:rPr>
        <w:t>起草工作组依据评审意见进行修改与完善，经审核组长复核后，向秘书处提交《征求意见定稿》及附件材料。</w:t>
      </w:r>
    </w:p>
    <w:p w14:paraId="61BDCC42">
      <w:pPr>
        <w:spacing w:line="360" w:lineRule="auto"/>
        <w:ind w:left="480"/>
        <w:rPr>
          <w:highlight w:val="none"/>
        </w:rPr>
      </w:pPr>
      <w:r>
        <w:rPr>
          <w:rFonts w:hint="eastAsia" w:ascii="宋体"/>
          <w:sz w:val="24"/>
          <w:szCs w:val="20"/>
          <w:highlight w:val="none"/>
        </w:rPr>
        <w:t>征求意见</w:t>
      </w:r>
    </w:p>
    <w:p w14:paraId="4951E0B5">
      <w:pPr>
        <w:spacing w:line="360" w:lineRule="auto"/>
        <w:ind w:firstLine="480" w:firstLineChars="200"/>
        <w:rPr>
          <w:rFonts w:hint="eastAsia"/>
          <w:sz w:val="24"/>
          <w:szCs w:val="20"/>
          <w:highlight w:val="none"/>
        </w:rPr>
      </w:pPr>
      <w:r>
        <w:rPr>
          <w:rFonts w:hint="eastAsia"/>
          <w:sz w:val="24"/>
          <w:szCs w:val="20"/>
          <w:highlight w:val="none"/>
        </w:rPr>
        <w:t>（6）202</w:t>
      </w:r>
      <w:r>
        <w:rPr>
          <w:rFonts w:hint="eastAsia"/>
          <w:sz w:val="24"/>
          <w:szCs w:val="20"/>
          <w:highlight w:val="none"/>
          <w:lang w:val="en-US" w:eastAsia="zh-CN"/>
        </w:rPr>
        <w:t>6</w:t>
      </w:r>
      <w:r>
        <w:rPr>
          <w:rFonts w:hint="eastAsia"/>
          <w:sz w:val="24"/>
          <w:szCs w:val="20"/>
          <w:highlight w:val="none"/>
        </w:rPr>
        <w:t>年</w:t>
      </w:r>
      <w:r>
        <w:rPr>
          <w:rFonts w:hint="eastAsia"/>
          <w:sz w:val="24"/>
          <w:szCs w:val="20"/>
          <w:highlight w:val="none"/>
          <w:lang w:val="en-US" w:eastAsia="zh-CN"/>
        </w:rPr>
        <w:t>6</w:t>
      </w:r>
      <w:r>
        <w:rPr>
          <w:rFonts w:hint="eastAsia"/>
          <w:sz w:val="24"/>
          <w:szCs w:val="20"/>
          <w:highlight w:val="none"/>
        </w:rPr>
        <w:t>月至</w:t>
      </w:r>
      <w:r>
        <w:rPr>
          <w:rFonts w:hint="eastAsia"/>
          <w:sz w:val="24"/>
          <w:szCs w:val="20"/>
          <w:highlight w:val="none"/>
          <w:lang w:val="en-US" w:eastAsia="zh-CN"/>
        </w:rPr>
        <w:t>7</w:t>
      </w:r>
      <w:r>
        <w:rPr>
          <w:rFonts w:hint="eastAsia"/>
          <w:sz w:val="24"/>
          <w:szCs w:val="20"/>
          <w:highlight w:val="none"/>
        </w:rPr>
        <w:t>月，全国电磁计量技术委员会高压计量分技术委员会发函，面向37家委员单位及其他全国范围内科研院所、高等院校、检测机构、生产企业等相关单位广泛征求意见。</w:t>
      </w:r>
    </w:p>
    <w:p w14:paraId="65266CB3">
      <w:pPr>
        <w:snapToGrid w:val="0"/>
        <w:spacing w:line="360" w:lineRule="auto"/>
        <w:ind w:firstLine="480" w:firstLineChars="200"/>
        <w:rPr>
          <w:highlight w:val="none"/>
        </w:rPr>
      </w:pPr>
      <w:r>
        <w:rPr>
          <w:rFonts w:hint="eastAsia" w:ascii="宋体"/>
          <w:sz w:val="24"/>
          <w:szCs w:val="20"/>
          <w:highlight w:val="none"/>
        </w:rPr>
        <w:t>经过60天的征求意见期，共收到X家单位提出的X条意见，其中技术类意见X条，格式类意见X条。</w:t>
      </w:r>
      <w:r>
        <w:rPr>
          <w:rFonts w:hint="eastAsia" w:ascii="宋体"/>
          <w:sz w:val="24"/>
          <w:szCs w:val="20"/>
          <w:highlight w:val="none"/>
          <w:u w:val="single"/>
        </w:rPr>
        <w:t>经起草工作组讨论，采纳X条，部分采纳X条，未采纳X条。针对下列重要技术意见未予采纳，起草工作组考虑如下：</w:t>
      </w:r>
    </w:p>
    <w:p w14:paraId="0E24ECEA">
      <w:pPr>
        <w:spacing w:line="360" w:lineRule="auto"/>
        <w:ind w:firstLine="480" w:firstLineChars="200"/>
        <w:rPr>
          <w:rFonts w:ascii="宋体"/>
          <w:sz w:val="24"/>
          <w:szCs w:val="20"/>
          <w:highlight w:val="none"/>
          <w:u w:val="single"/>
        </w:rPr>
      </w:pPr>
      <w:r>
        <w:rPr>
          <w:rFonts w:hint="eastAsia" w:ascii="宋体"/>
          <w:sz w:val="24"/>
          <w:szCs w:val="20"/>
          <w:highlight w:val="none"/>
          <w:u w:val="single"/>
        </w:rPr>
        <w:t>a)</w:t>
      </w:r>
    </w:p>
    <w:p w14:paraId="39A19756">
      <w:pPr>
        <w:spacing w:line="360" w:lineRule="auto"/>
        <w:ind w:firstLine="480" w:firstLineChars="200"/>
        <w:rPr>
          <w:rFonts w:ascii="宋体"/>
          <w:color w:val="A6A6A6" w:themeColor="background1" w:themeShade="A6"/>
          <w:sz w:val="24"/>
          <w:szCs w:val="20"/>
          <w:highlight w:val="none"/>
          <w:u w:val="single"/>
        </w:rPr>
      </w:pPr>
      <w:r>
        <w:rPr>
          <w:rFonts w:hint="eastAsia" w:ascii="宋体"/>
          <w:sz w:val="24"/>
          <w:szCs w:val="20"/>
          <w:highlight w:val="none"/>
          <w:u w:val="single"/>
        </w:rPr>
        <w:t>b)</w:t>
      </w:r>
    </w:p>
    <w:p w14:paraId="07379F47">
      <w:pPr>
        <w:snapToGrid w:val="0"/>
        <w:spacing w:line="360" w:lineRule="auto"/>
        <w:ind w:firstLine="480" w:firstLineChars="200"/>
        <w:rPr>
          <w:highlight w:val="none"/>
        </w:rPr>
      </w:pPr>
      <w:r>
        <w:rPr>
          <w:rFonts w:hint="eastAsia" w:ascii="宋体"/>
          <w:sz w:val="24"/>
          <w:szCs w:val="20"/>
          <w:highlight w:val="none"/>
        </w:rPr>
        <w:t>送审稿起草</w:t>
      </w:r>
    </w:p>
    <w:p w14:paraId="7BE622E2">
      <w:pPr>
        <w:snapToGrid w:val="0"/>
        <w:spacing w:line="360" w:lineRule="auto"/>
        <w:ind w:firstLine="480" w:firstLineChars="200"/>
        <w:rPr>
          <w:highlight w:val="none"/>
        </w:rPr>
      </w:pPr>
      <w:r>
        <w:rPr>
          <w:rFonts w:hint="eastAsia" w:ascii="宋体"/>
          <w:sz w:val="24"/>
          <w:szCs w:val="20"/>
          <w:highlight w:val="none"/>
        </w:rPr>
        <w:t>（7）</w:t>
      </w:r>
      <w:r>
        <w:rPr>
          <w:rFonts w:hint="eastAsia" w:ascii="宋体"/>
          <w:sz w:val="24"/>
          <w:szCs w:val="20"/>
          <w:highlight w:val="none"/>
          <w:lang w:val="en-US" w:eastAsia="zh-CN"/>
        </w:rPr>
        <w:t>8</w:t>
      </w:r>
      <w:r>
        <w:rPr>
          <w:rFonts w:hint="eastAsia" w:ascii="宋体"/>
          <w:sz w:val="24"/>
          <w:szCs w:val="20"/>
          <w:highlight w:val="none"/>
        </w:rPr>
        <w:t>月至</w:t>
      </w:r>
      <w:r>
        <w:rPr>
          <w:rFonts w:hint="eastAsia" w:ascii="宋体"/>
          <w:sz w:val="24"/>
          <w:szCs w:val="20"/>
          <w:highlight w:val="none"/>
          <w:lang w:val="en-US" w:eastAsia="zh-CN"/>
        </w:rPr>
        <w:t>9</w:t>
      </w:r>
      <w:r>
        <w:rPr>
          <w:rFonts w:hint="eastAsia" w:ascii="宋体"/>
          <w:sz w:val="24"/>
          <w:szCs w:val="20"/>
          <w:highlight w:val="none"/>
        </w:rPr>
        <w:t>月，起草工作组对秘书处所反馈的8家单位共计37条意见进行处理，</w:t>
      </w:r>
      <w:r>
        <w:rPr>
          <w:rFonts w:hint="eastAsia" w:ascii="宋体"/>
          <w:sz w:val="24"/>
          <w:szCs w:val="20"/>
          <w:highlight w:val="none"/>
          <w:u w:val="single"/>
        </w:rPr>
        <w:t>其中采纳X条，部分采纳X条，未采纳X条</w:t>
      </w:r>
      <w:r>
        <w:rPr>
          <w:rFonts w:hint="eastAsia" w:ascii="宋体"/>
          <w:sz w:val="24"/>
          <w:szCs w:val="20"/>
          <w:highlight w:val="none"/>
        </w:rPr>
        <w:t>。为提升编制质量，起草工作组于6月28日至29日召开第三次全体会议，对意见处理情况进行研讨。详见《起草工作组第三次工作会议纪要》。</w:t>
      </w:r>
    </w:p>
    <w:p w14:paraId="46D52BDE">
      <w:pPr>
        <w:snapToGrid w:val="0"/>
        <w:spacing w:line="360" w:lineRule="auto"/>
        <w:ind w:firstLine="480" w:firstLineChars="200"/>
        <w:rPr>
          <w:highlight w:val="none"/>
        </w:rPr>
      </w:pPr>
      <w:r>
        <w:rPr>
          <w:rFonts w:hint="eastAsia" w:ascii="宋体"/>
          <w:sz w:val="24"/>
          <w:szCs w:val="20"/>
          <w:highlight w:val="none"/>
        </w:rPr>
        <w:t>（8）X月，起草工作组修改形成《送审稿》及附件材料。</w:t>
      </w:r>
    </w:p>
    <w:p w14:paraId="7B00AF8C">
      <w:pPr>
        <w:snapToGrid w:val="0"/>
        <w:spacing w:line="360" w:lineRule="auto"/>
        <w:ind w:firstLine="480" w:firstLineChars="200"/>
        <w:rPr>
          <w:highlight w:val="none"/>
        </w:rPr>
      </w:pPr>
      <w:r>
        <w:rPr>
          <w:rFonts w:hint="eastAsia" w:ascii="宋体"/>
          <w:color w:val="A6A6A6" w:themeColor="background1" w:themeShade="A6"/>
          <w:sz w:val="24"/>
          <w:szCs w:val="20"/>
          <w:highlight w:val="none"/>
        </w:rPr>
        <w:t>（9）XX月XX日，全国电磁计量技术委员会高压计量分技术委员会组织召开了《送审稿》预审会。评审组主要提出XXX等方面问题，该稿通过审查。</w:t>
      </w:r>
    </w:p>
    <w:p w14:paraId="645B8E22">
      <w:pPr>
        <w:spacing w:line="360" w:lineRule="auto"/>
        <w:ind w:firstLine="480" w:firstLineChars="200"/>
        <w:rPr>
          <w:highlight w:val="none"/>
        </w:rPr>
      </w:pPr>
      <w:r>
        <w:rPr>
          <w:rFonts w:hint="eastAsia" w:ascii="宋体"/>
          <w:color w:val="A6A6A6" w:themeColor="background1" w:themeShade="A6"/>
          <w:sz w:val="24"/>
          <w:szCs w:val="20"/>
          <w:highlight w:val="none"/>
        </w:rPr>
        <w:t>（10）XX月至XX月，起草工作组根据评审意见进行修改与完善，并向秘书处提交《审定稿》及附件材料。</w:t>
      </w:r>
    </w:p>
    <w:p w14:paraId="2768AD5B">
      <w:pPr>
        <w:snapToGrid w:val="0"/>
        <w:spacing w:line="360" w:lineRule="auto"/>
        <w:ind w:firstLine="480" w:firstLineChars="200"/>
        <w:rPr>
          <w:highlight w:val="none"/>
        </w:rPr>
      </w:pPr>
      <w:r>
        <w:rPr>
          <w:rFonts w:hint="eastAsia" w:ascii="宋体"/>
          <w:color w:val="A6A6A6" w:themeColor="background1" w:themeShade="A6"/>
          <w:sz w:val="24"/>
          <w:szCs w:val="20"/>
          <w:highlight w:val="none"/>
        </w:rPr>
        <w:t>审定工作</w:t>
      </w:r>
    </w:p>
    <w:p w14:paraId="75CF5153">
      <w:pPr>
        <w:spacing w:line="360" w:lineRule="auto"/>
        <w:ind w:firstLine="480" w:firstLineChars="200"/>
        <w:rPr>
          <w:highlight w:val="none"/>
        </w:rPr>
      </w:pPr>
      <w:r>
        <w:rPr>
          <w:rFonts w:hint="eastAsia" w:ascii="宋体"/>
          <w:color w:val="A6A6A6" w:themeColor="background1" w:themeShade="A6"/>
          <w:sz w:val="24"/>
          <w:szCs w:val="20"/>
          <w:highlight w:val="none"/>
        </w:rPr>
        <w:t>XX月XX日，全国电磁计量技术委员会高压计量分技术委员会组织召开《送审稿》审定会。委员会主要提出XXX等方面意见，该稿经全体委员表决通过/未通过。</w:t>
      </w:r>
    </w:p>
    <w:p w14:paraId="2D6FD21E">
      <w:pPr>
        <w:snapToGrid w:val="0"/>
        <w:spacing w:line="360" w:lineRule="auto"/>
        <w:ind w:firstLine="480" w:firstLineChars="200"/>
        <w:rPr>
          <w:highlight w:val="none"/>
        </w:rPr>
      </w:pPr>
      <w:r>
        <w:rPr>
          <w:rFonts w:hint="eastAsia" w:ascii="宋体"/>
          <w:color w:val="A6A6A6" w:themeColor="background1" w:themeShade="A6"/>
          <w:sz w:val="24"/>
          <w:szCs w:val="20"/>
          <w:highlight w:val="none"/>
        </w:rPr>
        <w:t>报批稿</w:t>
      </w:r>
    </w:p>
    <w:p w14:paraId="35DC9135">
      <w:pPr>
        <w:spacing w:line="360" w:lineRule="auto"/>
        <w:ind w:firstLine="480" w:firstLineChars="200"/>
        <w:rPr>
          <w:highlight w:val="none"/>
        </w:rPr>
      </w:pPr>
      <w:r>
        <w:rPr>
          <w:rFonts w:hint="eastAsia" w:ascii="宋体"/>
          <w:color w:val="A6A6A6" w:themeColor="background1" w:themeShade="A6"/>
          <w:sz w:val="24"/>
          <w:szCs w:val="20"/>
          <w:highlight w:val="none"/>
        </w:rPr>
        <w:t>XX月至XX月，起草工作组根据审定意见进行修改与完善，并向秘书处提交《报批稿》及附件材料。</w:t>
      </w:r>
    </w:p>
    <w:p w14:paraId="69BB5C98">
      <w:pPr>
        <w:pStyle w:val="11"/>
        <w:jc w:val="left"/>
        <w:rPr>
          <w:rFonts w:hint="eastAsia"/>
        </w:rPr>
      </w:pPr>
      <w:bookmarkStart w:id="15" w:name="_Toc116567671_ai"/>
      <w:bookmarkStart w:id="16" w:name="_Toc116567852_ai"/>
      <w:bookmarkStart w:id="17" w:name="_Toc180389752_ai"/>
      <w:r>
        <w:rPr>
          <w:rFonts w:hint="eastAsia"/>
          <w:sz w:val="28"/>
          <w:szCs w:val="28"/>
        </w:rPr>
        <w:t>二、</w:t>
      </w:r>
      <w:bookmarkEnd w:id="15"/>
      <w:bookmarkEnd w:id="16"/>
      <w:bookmarkEnd w:id="17"/>
      <w:r>
        <w:rPr>
          <w:rFonts w:hint="eastAsia"/>
          <w:sz w:val="28"/>
          <w:szCs w:val="28"/>
        </w:rPr>
        <w:t>关于国际建议采纳情况的说明</w:t>
      </w:r>
    </w:p>
    <w:p w14:paraId="53DC11DA">
      <w:pPr>
        <w:spacing w:line="360" w:lineRule="auto"/>
        <w:ind w:firstLine="480" w:firstLineChars="200"/>
      </w:pPr>
      <w:r>
        <w:rPr>
          <w:rFonts w:hint="eastAsia" w:ascii="宋体"/>
          <w:sz w:val="24"/>
          <w:szCs w:val="20"/>
        </w:rPr>
        <w:t>在本规程编制过程中，未涉及采纳国际建议的相关内容。</w:t>
      </w:r>
    </w:p>
    <w:p w14:paraId="3CA5C1D8">
      <w:pPr>
        <w:pStyle w:val="11"/>
        <w:jc w:val="left"/>
        <w:rPr>
          <w:rFonts w:hint="eastAsia"/>
          <w:sz w:val="28"/>
          <w:szCs w:val="28"/>
        </w:rPr>
      </w:pPr>
      <w:bookmarkStart w:id="18" w:name="_Toc180389754"/>
      <w:r>
        <w:rPr>
          <w:rFonts w:hint="eastAsia"/>
          <w:sz w:val="28"/>
          <w:szCs w:val="28"/>
        </w:rPr>
        <w:t>三、国家计量检定规程的编写规则、主要内容及确定依据</w:t>
      </w:r>
    </w:p>
    <w:bookmarkEnd w:id="18"/>
    <w:p w14:paraId="3E0A59A7">
      <w:pPr>
        <w:spacing w:line="360" w:lineRule="auto"/>
        <w:ind w:firstLine="480" w:firstLineChars="200"/>
        <w:outlineLvl w:val="1"/>
      </w:pPr>
      <w:bookmarkStart w:id="19" w:name="_Toc180389754_ai"/>
      <w:r>
        <w:rPr>
          <w:rFonts w:hint="eastAsia" w:ascii="宋体"/>
          <w:sz w:val="24"/>
          <w:szCs w:val="20"/>
        </w:rPr>
        <w:t>（一）编写原则</w:t>
      </w:r>
      <w:bookmarkEnd w:id="19"/>
    </w:p>
    <w:p w14:paraId="2E1E41DF">
      <w:pPr>
        <w:spacing w:line="360" w:lineRule="auto"/>
        <w:ind w:firstLine="480" w:firstLineChars="200"/>
      </w:pPr>
      <w:r>
        <w:rPr>
          <w:rFonts w:hint="eastAsia"/>
          <w:sz w:val="24"/>
        </w:rPr>
        <w:t>本规程依据JJF 1002–2010《国家计量检定规程编写规则》、JJF 1001–2011《通用计量术语及定义》及JJF 1059.1–2012《测量不确定度评定与表示》进行编写。</w:t>
      </w:r>
    </w:p>
    <w:p w14:paraId="59D1D88F">
      <w:pPr>
        <w:spacing w:line="360" w:lineRule="auto"/>
        <w:ind w:firstLine="480" w:firstLineChars="200"/>
        <w:outlineLvl w:val="1"/>
      </w:pPr>
      <w:bookmarkStart w:id="20" w:name="_Toc180389755_ai"/>
      <w:r>
        <w:rPr>
          <w:rFonts w:hint="eastAsia" w:ascii="宋体"/>
          <w:sz w:val="24"/>
          <w:szCs w:val="20"/>
        </w:rPr>
        <w:t>（二）主要内容及其确定依据</w:t>
      </w:r>
      <w:bookmarkEnd w:id="20"/>
    </w:p>
    <w:p w14:paraId="626DC9E7">
      <w:pPr>
        <w:spacing w:line="360" w:lineRule="auto"/>
        <w:ind w:firstLine="480" w:firstLineChars="200"/>
      </w:pPr>
      <w:r>
        <w:rPr>
          <w:rFonts w:hint="eastAsia"/>
          <w:sz w:val="24"/>
        </w:rPr>
        <w:t>根据国家计量检定规程编写规则的编制要求，本规程在内容结构上主要包括目次、引言、正文和附录四个部分。正文涵盖范围、引用文件、术语和计量单位、概述、计量性能要求、通用技术要求以及计量器具控制，共八个章节。附录包括以下四项：附录A 测量不确定度评定示例、附录B 原始记录格式、附录C 证书内页格式。</w:t>
      </w:r>
    </w:p>
    <w:p w14:paraId="28E78899">
      <w:pPr>
        <w:spacing w:line="360" w:lineRule="auto"/>
        <w:ind w:firstLine="480" w:firstLineChars="200"/>
        <w:outlineLvl w:val="1"/>
        <w:rPr>
          <w:rFonts w:ascii="宋体"/>
          <w:sz w:val="24"/>
          <w:szCs w:val="20"/>
        </w:rPr>
      </w:pPr>
      <w:bookmarkStart w:id="21" w:name="_Toc180389756"/>
      <w:r>
        <w:rPr>
          <w:rFonts w:hint="eastAsia" w:ascii="宋体"/>
          <w:sz w:val="24"/>
          <w:szCs w:val="20"/>
        </w:rPr>
        <w:t>（三）修订前后技术内容对比</w:t>
      </w:r>
      <w:bookmarkEnd w:id="21"/>
    </w:p>
    <w:p w14:paraId="55701BB7">
      <w:pPr>
        <w:spacing w:line="360" w:lineRule="auto"/>
        <w:ind w:firstLine="480" w:firstLineChars="200"/>
        <w:rPr>
          <w:rFonts w:ascii="宋体"/>
          <w:sz w:val="24"/>
          <w:szCs w:val="20"/>
        </w:rPr>
      </w:pPr>
      <w:r>
        <w:rPr>
          <w:rFonts w:hint="eastAsia" w:ascii="宋体"/>
          <w:sz w:val="24"/>
          <w:szCs w:val="20"/>
        </w:rPr>
        <w:t>本规程属第二次修订。</w:t>
      </w:r>
    </w:p>
    <w:p w14:paraId="48E415EB">
      <w:pPr>
        <w:snapToGrid w:val="0"/>
        <w:spacing w:line="360" w:lineRule="auto"/>
        <w:ind w:firstLine="480" w:firstLineChars="200"/>
      </w:pPr>
      <w:r>
        <w:rPr>
          <w:rFonts w:hint="eastAsia" w:ascii="宋体"/>
          <w:sz w:val="24"/>
          <w:szCs w:val="20"/>
        </w:rPr>
        <w:t>与JJG 496–2016相比，除编辑性修改外，主要技术变更包括：</w:t>
      </w:r>
    </w:p>
    <w:p w14:paraId="7129BB6C">
      <w:pPr>
        <w:spacing w:line="360" w:lineRule="auto"/>
        <w:ind w:firstLine="480" w:firstLineChars="200"/>
        <w:rPr>
          <w:rFonts w:ascii="宋体"/>
          <w:sz w:val="24"/>
          <w:szCs w:val="20"/>
        </w:rPr>
      </w:pPr>
      <w:r>
        <w:rPr>
          <w:rFonts w:hint="eastAsia" w:ascii="宋体"/>
          <w:sz w:val="24"/>
          <w:szCs w:val="20"/>
        </w:rPr>
        <w:t>——增加了与“工频高压分压器”相关的术语与定义（见3.1～3.4）；</w:t>
      </w:r>
    </w:p>
    <w:p w14:paraId="69082361">
      <w:pPr>
        <w:spacing w:line="360" w:lineRule="auto"/>
        <w:ind w:firstLine="480" w:firstLineChars="200"/>
        <w:rPr>
          <w:rFonts w:ascii="宋体"/>
          <w:sz w:val="24"/>
          <w:szCs w:val="20"/>
        </w:rPr>
      </w:pPr>
      <w:r>
        <w:rPr>
          <w:rFonts w:hint="eastAsia" w:ascii="宋体"/>
          <w:sz w:val="24"/>
          <w:szCs w:val="20"/>
        </w:rPr>
        <w:t>——修改了“基本误差与变差”的要求（见5.2、5.3，将“变差”明确为“升降压变差”，并单独规定短时稳定性）；</w:t>
      </w:r>
    </w:p>
    <w:p w14:paraId="784237E5">
      <w:pPr>
        <w:spacing w:line="360" w:lineRule="auto"/>
        <w:ind w:firstLine="480" w:firstLineChars="200"/>
        <w:rPr>
          <w:rFonts w:ascii="宋体"/>
          <w:sz w:val="24"/>
          <w:szCs w:val="20"/>
        </w:rPr>
      </w:pPr>
      <w:r>
        <w:rPr>
          <w:rFonts w:hint="eastAsia" w:ascii="宋体"/>
          <w:sz w:val="24"/>
          <w:szCs w:val="20"/>
        </w:rPr>
        <w:t>——增加了对B类高压分压器准确度等级的限制（见5.2，B类分压器准确度等级限定为0.1级至2级，不再包含0.02级和0.05级）；</w:t>
      </w:r>
    </w:p>
    <w:p w14:paraId="1F674F78">
      <w:pPr>
        <w:spacing w:line="360" w:lineRule="auto"/>
        <w:ind w:firstLine="480" w:firstLineChars="200"/>
        <w:rPr>
          <w:rFonts w:ascii="宋体"/>
          <w:sz w:val="24"/>
          <w:szCs w:val="20"/>
        </w:rPr>
      </w:pPr>
      <w:r>
        <w:rPr>
          <w:rFonts w:hint="eastAsia" w:ascii="宋体"/>
          <w:sz w:val="24"/>
          <w:szCs w:val="20"/>
        </w:rPr>
        <w:t>——修改了“稳定性”（见5.4，明确区分“短时稳定性”与作为标准器使用的周期稳定性要求）；</w:t>
      </w:r>
    </w:p>
    <w:p w14:paraId="59606B0F">
      <w:pPr>
        <w:spacing w:line="360" w:lineRule="auto"/>
        <w:ind w:firstLine="480" w:firstLineChars="200"/>
        <w:rPr>
          <w:rFonts w:ascii="宋体"/>
          <w:sz w:val="24"/>
          <w:szCs w:val="20"/>
        </w:rPr>
      </w:pPr>
      <w:r>
        <w:rPr>
          <w:rFonts w:hint="eastAsia" w:ascii="宋体"/>
          <w:sz w:val="24"/>
          <w:szCs w:val="20"/>
        </w:rPr>
        <w:t>——修改了“环境条件”的要求（见7.1.1，按准确度等级细化了差异化的温湿度控制要求）；</w:t>
      </w:r>
    </w:p>
    <w:p w14:paraId="62F80EB1">
      <w:pPr>
        <w:spacing w:line="360" w:lineRule="auto"/>
        <w:ind w:firstLine="480" w:firstLineChars="200"/>
        <w:rPr>
          <w:rFonts w:ascii="宋体"/>
          <w:sz w:val="24"/>
          <w:szCs w:val="20"/>
        </w:rPr>
      </w:pPr>
      <w:r>
        <w:rPr>
          <w:rFonts w:hint="eastAsia" w:ascii="宋体"/>
          <w:sz w:val="24"/>
          <w:szCs w:val="20"/>
        </w:rPr>
        <w:t>——增加了“试验场所”的要求（见7.1.2，对试验场地空间、高压引线等作出具体规定）；</w:t>
      </w:r>
    </w:p>
    <w:p w14:paraId="615879E2">
      <w:pPr>
        <w:spacing w:line="360" w:lineRule="auto"/>
        <w:ind w:firstLine="480" w:firstLineChars="200"/>
        <w:rPr>
          <w:rFonts w:ascii="宋体"/>
          <w:sz w:val="24"/>
          <w:szCs w:val="20"/>
        </w:rPr>
      </w:pPr>
      <w:r>
        <w:rPr>
          <w:rFonts w:hint="eastAsia" w:ascii="宋体"/>
          <w:sz w:val="24"/>
          <w:szCs w:val="20"/>
        </w:rPr>
        <w:t>——增加了“辅助设备”的要求（见7.2.2，对高压试验电源的稳定度、调节细度及波形畸变率提出明确要求）；</w:t>
      </w:r>
    </w:p>
    <w:p w14:paraId="1A48CE49">
      <w:pPr>
        <w:spacing w:line="360" w:lineRule="auto"/>
        <w:ind w:firstLine="480" w:firstLineChars="200"/>
        <w:rPr>
          <w:rFonts w:ascii="宋体"/>
          <w:sz w:val="24"/>
          <w:szCs w:val="20"/>
        </w:rPr>
      </w:pPr>
      <w:r>
        <w:rPr>
          <w:rFonts w:hint="eastAsia" w:ascii="宋体"/>
          <w:sz w:val="24"/>
          <w:szCs w:val="20"/>
        </w:rPr>
        <w:t>——增加了对A级和B级高压分压器检定标准器的配置要求（见7.2.1，以表格形式明确了两类分压器的标准器配置方案与技术指标）；</w:t>
      </w:r>
    </w:p>
    <w:p w14:paraId="761E91AB">
      <w:pPr>
        <w:spacing w:line="360" w:lineRule="auto"/>
        <w:ind w:firstLine="480" w:firstLineChars="200"/>
        <w:rPr>
          <w:rFonts w:ascii="宋体"/>
          <w:sz w:val="24"/>
          <w:szCs w:val="20"/>
        </w:rPr>
      </w:pPr>
      <w:r>
        <w:rPr>
          <w:rFonts w:hint="eastAsia" w:ascii="宋体"/>
          <w:sz w:val="24"/>
          <w:szCs w:val="20"/>
        </w:rPr>
        <w:t>——修改了“检定项目表”（见7.3.1，调整了后续检定和使用中检查的必检项目）；</w:t>
      </w:r>
    </w:p>
    <w:p w14:paraId="0DC75472">
      <w:pPr>
        <w:spacing w:line="360" w:lineRule="auto"/>
        <w:ind w:firstLine="480" w:firstLineChars="200"/>
        <w:rPr>
          <w:rFonts w:ascii="宋体"/>
          <w:sz w:val="24"/>
          <w:szCs w:val="20"/>
        </w:rPr>
      </w:pPr>
      <w:r>
        <w:rPr>
          <w:rFonts w:hint="eastAsia" w:ascii="宋体"/>
          <w:sz w:val="24"/>
          <w:szCs w:val="20"/>
        </w:rPr>
        <w:t>——删除了“等功率电桥法”（2016版7.3.3.3，本版检定方法统一为直接比较法）；</w:t>
      </w:r>
    </w:p>
    <w:p w14:paraId="32FF4EB0">
      <w:pPr>
        <w:spacing w:line="360" w:lineRule="auto"/>
        <w:ind w:firstLine="480" w:firstLineChars="200"/>
        <w:rPr>
          <w:rFonts w:ascii="宋体"/>
          <w:sz w:val="24"/>
          <w:szCs w:val="20"/>
        </w:rPr>
      </w:pPr>
      <w:r>
        <w:rPr>
          <w:rFonts w:hint="eastAsia" w:ascii="宋体"/>
          <w:sz w:val="24"/>
          <w:szCs w:val="20"/>
        </w:rPr>
        <w:t>——修改了“绝缘强度”引用的文件（见6.2，引用GB/T 16927.1―2011的具体条款）；</w:t>
      </w:r>
    </w:p>
    <w:p w14:paraId="077A9566">
      <w:pPr>
        <w:spacing w:line="360" w:lineRule="auto"/>
        <w:ind w:firstLine="480" w:firstLineChars="200"/>
        <w:rPr>
          <w:rFonts w:ascii="宋体"/>
          <w:sz w:val="24"/>
          <w:szCs w:val="20"/>
        </w:rPr>
      </w:pPr>
      <w:r>
        <w:rPr>
          <w:rFonts w:hint="eastAsia" w:ascii="宋体"/>
          <w:sz w:val="24"/>
          <w:szCs w:val="20"/>
        </w:rPr>
        <w:t>——修改了“附录A”（本版附录A为“双通道数字同步采样装置”的技术说明，2016版附录A为原始记录格式）。</w:t>
      </w:r>
    </w:p>
    <w:p w14:paraId="04C22D45">
      <w:pPr>
        <w:spacing w:line="360" w:lineRule="auto"/>
        <w:ind w:firstLine="480" w:firstLineChars="200"/>
        <w:rPr>
          <w:rFonts w:ascii="宋体"/>
          <w:sz w:val="24"/>
          <w:szCs w:val="20"/>
        </w:rPr>
      </w:pPr>
      <w:r>
        <w:rPr>
          <w:rFonts w:hint="eastAsia" w:ascii="宋体"/>
          <w:sz w:val="24"/>
          <w:szCs w:val="20"/>
        </w:rPr>
        <w:t>此外，本次修订还优化了原始记录与证书内页格式（见附录B、C、D）。</w:t>
      </w:r>
    </w:p>
    <w:p w14:paraId="284F60EC">
      <w:pPr>
        <w:pStyle w:val="11"/>
        <w:spacing w:before="156" w:beforeLines="50" w:after="0" w:line="500" w:lineRule="exact"/>
        <w:jc w:val="left"/>
        <w:outlineLvl w:val="0"/>
        <w:rPr>
          <w:rFonts w:hint="eastAsia"/>
        </w:rPr>
      </w:pPr>
      <w:bookmarkStart w:id="22" w:name="_Toc116567673_ai"/>
      <w:bookmarkStart w:id="23" w:name="_Toc180389757_ai"/>
      <w:bookmarkStart w:id="24" w:name="_Toc116567854_ai"/>
      <w:r>
        <w:rPr>
          <w:rFonts w:hint="eastAsia"/>
          <w:sz w:val="28"/>
          <w:szCs w:val="28"/>
        </w:rPr>
        <w:t>四、试验验证</w:t>
      </w:r>
      <w:bookmarkEnd w:id="22"/>
      <w:bookmarkEnd w:id="23"/>
      <w:bookmarkEnd w:id="24"/>
    </w:p>
    <w:p w14:paraId="084601B3">
      <w:pPr>
        <w:spacing w:line="360" w:lineRule="auto"/>
        <w:ind w:firstLine="480" w:firstLineChars="200"/>
        <w:outlineLvl w:val="1"/>
      </w:pPr>
      <w:r>
        <w:rPr>
          <w:rFonts w:hint="eastAsia" w:ascii="宋体"/>
          <w:sz w:val="24"/>
          <w:szCs w:val="20"/>
        </w:rPr>
        <w:t>（一）试验验证的分析与综述报告</w:t>
      </w:r>
    </w:p>
    <w:p w14:paraId="00BBD9D7">
      <w:pPr>
        <w:spacing w:line="360" w:lineRule="auto"/>
        <w:ind w:firstLine="480" w:firstLineChars="200"/>
      </w:pPr>
      <w:r>
        <w:rPr>
          <w:rFonts w:hint="eastAsia"/>
          <w:sz w:val="24"/>
        </w:rPr>
        <w:t>起草工作组在编写过程中，重点对本规程第7.2条所列主要条款进行了验证试验。验证内容包括以下内容：</w:t>
      </w:r>
    </w:p>
    <w:p w14:paraId="41A0CE38">
      <w:pPr>
        <w:numPr>
          <w:ilvl w:val="0"/>
          <w:numId w:val="4"/>
        </w:numPr>
        <w:spacing w:line="360" w:lineRule="auto"/>
        <w:ind w:firstLine="480" w:firstLineChars="200"/>
        <w:rPr>
          <w:sz w:val="24"/>
        </w:rPr>
      </w:pPr>
      <w:r>
        <w:rPr>
          <w:rFonts w:hint="eastAsia"/>
          <w:sz w:val="24"/>
        </w:rPr>
        <w:t>验证基本误差试验方法的可行性</w:t>
      </w:r>
    </w:p>
    <w:p w14:paraId="51140E44">
      <w:pPr>
        <w:spacing w:line="360" w:lineRule="auto"/>
        <w:ind w:firstLine="480" w:firstLineChars="200"/>
        <w:rPr>
          <w:sz w:val="24"/>
        </w:rPr>
      </w:pPr>
      <w:r>
        <w:rPr>
          <w:sz w:val="24"/>
        </w:rPr>
        <w:t>基本误差</w:t>
      </w:r>
      <w:r>
        <w:rPr>
          <w:rFonts w:hint="eastAsia"/>
          <w:sz w:val="24"/>
        </w:rPr>
        <w:t>、</w:t>
      </w:r>
      <w:r>
        <w:rPr>
          <w:sz w:val="24"/>
        </w:rPr>
        <w:t>升降压变差</w:t>
      </w:r>
      <w:r>
        <w:rPr>
          <w:rFonts w:hint="eastAsia"/>
          <w:sz w:val="24"/>
        </w:rPr>
        <w:t>、</w:t>
      </w:r>
      <w:r>
        <w:rPr>
          <w:sz w:val="24"/>
        </w:rPr>
        <w:t>短时稳定性</w:t>
      </w:r>
      <w:r>
        <w:rPr>
          <w:rFonts w:hint="eastAsia"/>
          <w:sz w:val="24"/>
        </w:rPr>
        <w:t>。</w:t>
      </w:r>
    </w:p>
    <w:p w14:paraId="0974166E">
      <w:pPr>
        <w:spacing w:line="360" w:lineRule="auto"/>
        <w:ind w:firstLine="480" w:firstLineChars="200"/>
        <w:rPr>
          <w:sz w:val="24"/>
        </w:rPr>
      </w:pPr>
      <w:r>
        <w:rPr>
          <w:rFonts w:hint="eastAsia"/>
          <w:sz w:val="24"/>
        </w:rPr>
        <w:t>2. 验证技术指标的试验方法的可行性。</w:t>
      </w:r>
    </w:p>
    <w:p w14:paraId="458D37A0">
      <w:pPr>
        <w:spacing w:line="360" w:lineRule="auto"/>
        <w:ind w:firstLine="480" w:firstLineChars="200"/>
      </w:pPr>
      <w:r>
        <w:rPr>
          <w:rFonts w:hint="eastAsia" w:ascii="宋体" w:hAnsi="宋体"/>
          <w:sz w:val="24"/>
        </w:rPr>
        <w:t>试验验证的详细综述报告见附件。</w:t>
      </w:r>
    </w:p>
    <w:p w14:paraId="559BE1C5">
      <w:pPr>
        <w:spacing w:line="360" w:lineRule="auto"/>
        <w:ind w:firstLine="480" w:firstLineChars="200"/>
        <w:outlineLvl w:val="1"/>
      </w:pPr>
      <w:bookmarkStart w:id="25" w:name="_Toc116567855"/>
      <w:bookmarkStart w:id="26" w:name="_Toc116567674"/>
      <w:r>
        <w:rPr>
          <w:rFonts w:hint="eastAsia" w:ascii="宋体"/>
          <w:sz w:val="24"/>
          <w:szCs w:val="20"/>
        </w:rPr>
        <w:t>（二）技术经济论证及预期效益</w:t>
      </w:r>
    </w:p>
    <w:p w14:paraId="58312AF1">
      <w:pPr>
        <w:autoSpaceDE w:val="0"/>
        <w:autoSpaceDN w:val="0"/>
        <w:spacing w:line="360" w:lineRule="auto"/>
        <w:ind w:firstLine="480" w:firstLineChars="200"/>
      </w:pPr>
      <w:r>
        <w:rPr>
          <w:rFonts w:hint="eastAsia"/>
          <w:sz w:val="24"/>
        </w:rPr>
        <w:t>本规程自实施之日起，将在全国范围内逐步建立工频分压器计量检定工作的计量标准，以确保在用工频分压器的准确性与可靠性，并规范此类设备的生产、制造、检验及运行维护过程。通过规范化开展检定工作，可有效识别性能不达标的工频分压器，从而推动产品技术革新与现场试验水平提升，进而促进高电压试验技术的发展。尤为重要的是，规范的计量检定工作将保障高电压试验数据的可靠性与准确性，为电网的安全稳定运行提供技术依据，并产生显著的经济效益与社会效益。</w:t>
      </w:r>
    </w:p>
    <w:bookmarkEnd w:id="25"/>
    <w:bookmarkEnd w:id="26"/>
    <w:p w14:paraId="71493A5C">
      <w:pPr>
        <w:pStyle w:val="11"/>
        <w:spacing w:before="156" w:beforeLines="50" w:after="0" w:line="500" w:lineRule="exact"/>
        <w:jc w:val="left"/>
        <w:outlineLvl w:val="0"/>
        <w:rPr>
          <w:rFonts w:hint="eastAsia"/>
        </w:rPr>
      </w:pPr>
      <w:bookmarkStart w:id="27" w:name="_Toc180389760_ai"/>
      <w:r>
        <w:rPr>
          <w:rFonts w:hint="eastAsia"/>
          <w:sz w:val="28"/>
          <w:szCs w:val="28"/>
        </w:rPr>
        <w:t>五、与国际、国外同类标准技术内容的对比</w:t>
      </w:r>
      <w:bookmarkEnd w:id="27"/>
      <w:bookmarkStart w:id="28" w:name="_Toc116567674_ai"/>
      <w:bookmarkEnd w:id="28"/>
      <w:bookmarkStart w:id="29" w:name="_Toc116567855_ai"/>
      <w:bookmarkEnd w:id="29"/>
    </w:p>
    <w:p w14:paraId="2150E152">
      <w:pPr>
        <w:snapToGrid w:val="0"/>
        <w:spacing w:line="360" w:lineRule="auto"/>
        <w:ind w:firstLine="480" w:firstLineChars="200"/>
      </w:pPr>
      <w:r>
        <w:rPr>
          <w:rFonts w:hint="eastAsia" w:ascii="宋体"/>
          <w:sz w:val="24"/>
          <w:szCs w:val="20"/>
        </w:rPr>
        <w:t>本规程未直接采用国际标准或国外标准。</w:t>
      </w:r>
    </w:p>
    <w:p w14:paraId="36E0D10B">
      <w:pPr>
        <w:spacing w:line="360" w:lineRule="auto"/>
        <w:ind w:firstLine="480" w:firstLineChars="200"/>
      </w:pPr>
      <w:r>
        <w:rPr>
          <w:rFonts w:hint="eastAsia" w:ascii="宋体" w:hAnsi="宋体"/>
          <w:sz w:val="24"/>
        </w:rPr>
        <w:t>经对比，本规程技术内容处于国际先进水平，尤其在工频分压器误差试验方法方面优于国际现行规范。</w:t>
      </w:r>
    </w:p>
    <w:p w14:paraId="69C06D0F">
      <w:pPr>
        <w:pStyle w:val="11"/>
        <w:spacing w:before="156" w:beforeLines="50" w:after="0" w:line="500" w:lineRule="exact"/>
        <w:jc w:val="left"/>
        <w:outlineLvl w:val="0"/>
        <w:rPr>
          <w:rFonts w:hint="eastAsia"/>
        </w:rPr>
      </w:pPr>
      <w:bookmarkStart w:id="30" w:name="_Toc116567675_ai"/>
      <w:bookmarkStart w:id="31" w:name="_Toc116567856_ai"/>
      <w:bookmarkStart w:id="32" w:name="_Toc180389761_ai"/>
      <w:r>
        <w:rPr>
          <w:rFonts w:hint="eastAsia"/>
          <w:sz w:val="28"/>
          <w:szCs w:val="28"/>
        </w:rPr>
        <w:t>六、与</w:t>
      </w:r>
      <w:bookmarkEnd w:id="30"/>
      <w:bookmarkEnd w:id="31"/>
      <w:r>
        <w:rPr>
          <w:rFonts w:hint="eastAsia"/>
          <w:sz w:val="28"/>
          <w:szCs w:val="28"/>
        </w:rPr>
        <w:t>有关法律、行政法规及相关标准的关系</w:t>
      </w:r>
      <w:bookmarkEnd w:id="32"/>
    </w:p>
    <w:p w14:paraId="1624BF07">
      <w:pPr>
        <w:snapToGrid w:val="0"/>
        <w:spacing w:before="156" w:beforeLines="50" w:line="360" w:lineRule="auto"/>
        <w:ind w:firstLine="480" w:firstLineChars="200"/>
      </w:pPr>
      <w:bookmarkStart w:id="33" w:name="_Hlk180054317"/>
      <w:r>
        <w:rPr>
          <w:rFonts w:hint="eastAsia" w:ascii="宋体"/>
          <w:sz w:val="24"/>
          <w:szCs w:val="20"/>
        </w:rPr>
        <w:t>本规程在编制过程中，主要参照下列技术文件：</w:t>
      </w:r>
    </w:p>
    <w:p w14:paraId="1AC13C92">
      <w:pPr>
        <w:autoSpaceDE w:val="0"/>
        <w:autoSpaceDN w:val="0"/>
        <w:spacing w:before="156" w:beforeLines="50" w:line="360" w:lineRule="auto"/>
        <w:ind w:firstLine="480" w:firstLineChars="200"/>
        <w:rPr>
          <w:strike/>
          <w:highlight w:val="none"/>
        </w:rPr>
      </w:pPr>
      <w:r>
        <w:rPr>
          <w:rFonts w:hint="eastAsia" w:ascii="宋体"/>
          <w:sz w:val="24"/>
          <w:szCs w:val="20"/>
          <w:highlight w:val="none"/>
        </w:rPr>
        <w:t>GB/T 16927.1―2011 高电压试验技术 第1部分：一般定义及试验要求（与引用文件一致）</w:t>
      </w:r>
    </w:p>
    <w:bookmarkEnd w:id="33"/>
    <w:p w14:paraId="0BD9C985">
      <w:pPr>
        <w:spacing w:before="156" w:beforeLines="50" w:line="360" w:lineRule="auto"/>
        <w:ind w:firstLine="480" w:firstLineChars="200"/>
      </w:pPr>
      <w:r>
        <w:rPr>
          <w:rFonts w:hint="eastAsia" w:ascii="宋体" w:hAnsi="宋体"/>
          <w:sz w:val="24"/>
        </w:rPr>
        <w:t>本规程符合国家现行相关法律法规及政策的要求。</w:t>
      </w:r>
    </w:p>
    <w:p w14:paraId="3D14A7D8">
      <w:pPr>
        <w:pStyle w:val="11"/>
        <w:spacing w:before="156" w:beforeLines="50" w:after="0" w:line="500" w:lineRule="exact"/>
        <w:jc w:val="left"/>
        <w:outlineLvl w:val="0"/>
        <w:rPr>
          <w:rFonts w:hint="eastAsia"/>
          <w:sz w:val="28"/>
          <w:szCs w:val="28"/>
        </w:rPr>
      </w:pPr>
      <w:bookmarkStart w:id="34" w:name="_Toc180389763"/>
      <w:r>
        <w:rPr>
          <w:rFonts w:hint="eastAsia"/>
          <w:sz w:val="28"/>
          <w:szCs w:val="28"/>
        </w:rPr>
        <w:t>七、重大分歧意见的处理经过与依据</w:t>
      </w:r>
    </w:p>
    <w:bookmarkEnd w:id="34"/>
    <w:p w14:paraId="5C77E099">
      <w:pPr>
        <w:spacing w:line="360" w:lineRule="auto"/>
        <w:ind w:firstLine="480" w:firstLineChars="200"/>
        <w:outlineLvl w:val="1"/>
      </w:pPr>
      <w:bookmarkStart w:id="35" w:name="_Toc180389763_ai"/>
      <w:r>
        <w:rPr>
          <w:rFonts w:hint="eastAsia" w:ascii="宋体"/>
          <w:sz w:val="24"/>
          <w:szCs w:val="20"/>
        </w:rPr>
        <w:t>（一）起草工作组内部分歧意见的处理</w:t>
      </w:r>
      <w:bookmarkEnd w:id="35"/>
    </w:p>
    <w:p w14:paraId="7DF04803">
      <w:pPr>
        <w:spacing w:line="360" w:lineRule="auto"/>
        <w:ind w:firstLine="480" w:firstLineChars="200"/>
        <w:rPr>
          <w:rFonts w:hint="eastAsia" w:ascii="宋体" w:hAnsi="宋体"/>
          <w:sz w:val="24"/>
        </w:rPr>
      </w:pPr>
      <w:r>
        <w:rPr>
          <w:rFonts w:hint="eastAsia" w:ascii="宋体" w:hAnsi="宋体"/>
          <w:sz w:val="24"/>
        </w:rPr>
        <w:t>无。</w:t>
      </w:r>
    </w:p>
    <w:p w14:paraId="060793A7">
      <w:pPr>
        <w:spacing w:line="360" w:lineRule="auto"/>
        <w:ind w:firstLine="480" w:firstLineChars="200"/>
        <w:outlineLvl w:val="1"/>
      </w:pPr>
      <w:r>
        <w:rPr>
          <w:rFonts w:hint="eastAsia" w:ascii="宋体"/>
          <w:sz w:val="24"/>
          <w:szCs w:val="20"/>
        </w:rPr>
        <w:t>（二）评审过程中的分歧意见处理</w:t>
      </w:r>
    </w:p>
    <w:p w14:paraId="6BB82B2F">
      <w:pPr>
        <w:spacing w:line="360" w:lineRule="auto"/>
        <w:ind w:left="480"/>
        <w:rPr>
          <w:rFonts w:hint="eastAsia" w:ascii="宋体" w:hAnsi="宋体"/>
          <w:sz w:val="24"/>
        </w:rPr>
      </w:pPr>
      <w:r>
        <w:rPr>
          <w:rFonts w:hint="eastAsia" w:ascii="宋体" w:hAnsi="宋体"/>
          <w:sz w:val="24"/>
        </w:rPr>
        <w:t>无。</w:t>
      </w:r>
    </w:p>
    <w:p w14:paraId="135D88C9">
      <w:pPr>
        <w:pStyle w:val="11"/>
        <w:spacing w:before="156" w:beforeLines="50" w:after="0" w:line="500" w:lineRule="exact"/>
        <w:jc w:val="left"/>
        <w:outlineLvl w:val="0"/>
        <w:rPr>
          <w:rFonts w:hint="eastAsia"/>
          <w:sz w:val="28"/>
          <w:szCs w:val="28"/>
        </w:rPr>
      </w:pPr>
      <w:r>
        <w:rPr>
          <w:rFonts w:hint="eastAsia"/>
          <w:sz w:val="28"/>
          <w:szCs w:val="28"/>
        </w:rPr>
        <w:t>八、专利情况说明</w:t>
      </w:r>
    </w:p>
    <w:p w14:paraId="06555147">
      <w:pPr>
        <w:spacing w:line="360" w:lineRule="auto"/>
        <w:ind w:firstLine="480" w:firstLineChars="200"/>
      </w:pPr>
      <w:r>
        <w:rPr>
          <w:rFonts w:hint="eastAsia" w:ascii="宋体"/>
          <w:sz w:val="24"/>
          <w:szCs w:val="20"/>
        </w:rPr>
        <w:t>本规程不涉及任何专利。</w:t>
      </w:r>
    </w:p>
    <w:p w14:paraId="121BC47F">
      <w:pPr>
        <w:pStyle w:val="11"/>
        <w:spacing w:before="156" w:beforeLines="50" w:after="0" w:line="500" w:lineRule="exact"/>
        <w:jc w:val="left"/>
        <w:outlineLvl w:val="0"/>
        <w:rPr>
          <w:rFonts w:hint="eastAsia"/>
          <w:sz w:val="28"/>
          <w:szCs w:val="28"/>
        </w:rPr>
      </w:pPr>
      <w:bookmarkStart w:id="36" w:name="_Toc116567678"/>
      <w:bookmarkStart w:id="37" w:name="_Toc116567859"/>
      <w:bookmarkStart w:id="38" w:name="_Toc180389766"/>
      <w:r>
        <w:rPr>
          <w:rFonts w:hint="eastAsia"/>
          <w:sz w:val="28"/>
          <w:szCs w:val="28"/>
        </w:rPr>
        <w:t>九、实施国家计量技术规范的要求</w:t>
      </w:r>
      <w:bookmarkEnd w:id="36"/>
      <w:bookmarkEnd w:id="37"/>
      <w:bookmarkEnd w:id="38"/>
    </w:p>
    <w:p w14:paraId="4E4DFC5A">
      <w:pPr>
        <w:autoSpaceDE w:val="0"/>
        <w:autoSpaceDN w:val="0"/>
        <w:spacing w:line="360" w:lineRule="auto"/>
        <w:ind w:firstLine="480" w:firstLineChars="200"/>
      </w:pPr>
      <w:r>
        <w:rPr>
          <w:rFonts w:hint="eastAsia"/>
          <w:sz w:val="24"/>
        </w:rPr>
        <w:t>本规程作为国家计量技术规范，旨在规定工频分压器的检定条件、检定项目、检定方法、检定结果的处理及检定周期等内容，从而有效规范此类工频分压器的检定工作程序。</w:t>
      </w:r>
    </w:p>
    <w:p w14:paraId="20D6D5B9">
      <w:pPr>
        <w:autoSpaceDE w:val="0"/>
        <w:autoSpaceDN w:val="0"/>
        <w:spacing w:line="360" w:lineRule="auto"/>
        <w:ind w:firstLine="480" w:firstLineChars="200"/>
      </w:pPr>
      <w:r>
        <w:rPr>
          <w:rFonts w:hint="eastAsia"/>
          <w:sz w:val="24"/>
        </w:rPr>
        <w:t>故此，在实施本规程过程中，应组织各省/地区计量检测机构从事工频分压器检定的技术人员、各省/地区从事高电压测试的相关人员，以及工频分压器生产制造企业的相关人员，进行学习宣贯，并对相关技术条款予以详细明确解读，以确保条款内容执行的正确性与规范性。</w:t>
      </w:r>
    </w:p>
    <w:p w14:paraId="6CD1E98E">
      <w:pPr>
        <w:pStyle w:val="11"/>
        <w:numPr>
          <w:ilvl w:val="0"/>
          <w:numId w:val="5"/>
        </w:numPr>
        <w:spacing w:before="156" w:beforeLines="50" w:after="0" w:line="500" w:lineRule="exact"/>
        <w:jc w:val="left"/>
        <w:outlineLvl w:val="0"/>
        <w:rPr>
          <w:rFonts w:hint="eastAsia"/>
          <w:sz w:val="28"/>
          <w:szCs w:val="28"/>
        </w:rPr>
      </w:pPr>
      <w:bookmarkStart w:id="39" w:name="_Toc116567679"/>
      <w:bookmarkStart w:id="40" w:name="_Toc116567860"/>
      <w:bookmarkStart w:id="41" w:name="_Toc180389767"/>
      <w:bookmarkStart w:id="42" w:name="_Hlk120178554"/>
      <w:r>
        <w:rPr>
          <w:rFonts w:hint="eastAsia"/>
          <w:sz w:val="28"/>
          <w:szCs w:val="28"/>
        </w:rPr>
        <w:t>重要技术条文解</w:t>
      </w:r>
      <w:bookmarkEnd w:id="39"/>
      <w:bookmarkEnd w:id="40"/>
      <w:r>
        <w:rPr>
          <w:rFonts w:hint="eastAsia"/>
          <w:sz w:val="28"/>
          <w:szCs w:val="28"/>
        </w:rPr>
        <w:t>释</w:t>
      </w:r>
      <w:bookmarkEnd w:id="41"/>
    </w:p>
    <w:p w14:paraId="4BF9D423">
      <w:pPr>
        <w:pStyle w:val="27"/>
        <w:numPr>
          <w:ilvl w:val="1"/>
          <w:numId w:val="6"/>
        </w:numPr>
        <w:spacing w:line="360" w:lineRule="auto"/>
        <w:ind w:left="442" w:hanging="442" w:firstLineChars="0"/>
        <w:outlineLvl w:val="1"/>
      </w:pPr>
      <w:bookmarkStart w:id="43" w:name="_Toc180389768_ai"/>
      <w:r>
        <w:rPr>
          <w:rFonts w:hint="eastAsia" w:ascii="宋体"/>
          <w:sz w:val="24"/>
          <w:szCs w:val="20"/>
        </w:rPr>
        <w:t>范围</w:t>
      </w:r>
      <w:bookmarkEnd w:id="43"/>
    </w:p>
    <w:p w14:paraId="4A4C1DC1">
      <w:pPr>
        <w:autoSpaceDE w:val="0"/>
        <w:autoSpaceDN w:val="0"/>
        <w:spacing w:line="360" w:lineRule="auto"/>
        <w:ind w:firstLine="480" w:firstLineChars="200"/>
      </w:pPr>
      <w:r>
        <w:rPr>
          <w:rFonts w:hint="eastAsia"/>
          <w:sz w:val="24"/>
        </w:rPr>
        <w:t>本规程明确了</w:t>
      </w:r>
      <w:r>
        <w:rPr>
          <w:rFonts w:hint="eastAsia" w:ascii="宋体" w:hAnsi="宋体"/>
          <w:sz w:val="24"/>
        </w:rPr>
        <w:t>工频分压器检定工作的技术要求与实施方法。依据GB/T 16927.1《高电压试验技术 第1部分：一般定义及试验要求》第6.2条关于试验电压的规定：“试验电压应为频率45Hz至55Hz的交流电压，通常称为工频试验电压”，本规程所涉及的“工频”（power frequency）具体界定为45Hz至55H</w:t>
      </w:r>
      <w:r>
        <w:rPr>
          <w:rFonts w:hint="eastAsia"/>
        </w:rPr>
        <w:t>z的频率范围。</w:t>
      </w:r>
    </w:p>
    <w:p w14:paraId="651E4330">
      <w:pPr>
        <w:pStyle w:val="27"/>
        <w:numPr>
          <w:ilvl w:val="1"/>
          <w:numId w:val="6"/>
        </w:numPr>
        <w:spacing w:line="360" w:lineRule="auto"/>
        <w:ind w:left="442" w:hanging="442" w:firstLineChars="0"/>
        <w:outlineLvl w:val="1"/>
      </w:pPr>
      <w:bookmarkStart w:id="44" w:name="_Toc180389769_ai"/>
      <w:r>
        <w:rPr>
          <w:rFonts w:hint="eastAsia" w:ascii="宋体"/>
          <w:sz w:val="24"/>
          <w:szCs w:val="20"/>
        </w:rPr>
        <w:t>规范性引用文件</w:t>
      </w:r>
      <w:bookmarkEnd w:id="44"/>
    </w:p>
    <w:p w14:paraId="55046C9E">
      <w:pPr>
        <w:autoSpaceDE w:val="0"/>
        <w:autoSpaceDN w:val="0"/>
        <w:spacing w:line="360" w:lineRule="auto"/>
        <w:ind w:firstLine="480" w:firstLineChars="200"/>
        <w:rPr>
          <w:sz w:val="24"/>
          <w:highlight w:val="none"/>
        </w:rPr>
      </w:pPr>
      <w:r>
        <w:rPr>
          <w:rFonts w:hint="eastAsia"/>
          <w:sz w:val="24"/>
          <w:highlight w:val="none"/>
        </w:rPr>
        <w:t>本规程主要引用GB/T 16927.1―2011 高电压试验技术 第1部分：一般定义及试验要求。引用该标准旨在确保本规程中工频分压器耐压试验方法与其技术要求保持一致。</w:t>
      </w:r>
    </w:p>
    <w:p w14:paraId="25C7BD9F">
      <w:pPr>
        <w:pStyle w:val="27"/>
        <w:numPr>
          <w:ilvl w:val="1"/>
          <w:numId w:val="6"/>
        </w:numPr>
        <w:spacing w:line="360" w:lineRule="auto"/>
        <w:ind w:left="442" w:hanging="442" w:firstLineChars="0"/>
        <w:outlineLvl w:val="1"/>
      </w:pPr>
      <w:bookmarkStart w:id="45" w:name="_Toc180389770_ai"/>
      <w:r>
        <w:rPr>
          <w:rFonts w:hint="eastAsia" w:ascii="宋体"/>
          <w:sz w:val="24"/>
          <w:szCs w:val="20"/>
        </w:rPr>
        <w:t>术语和计量单位</w:t>
      </w:r>
      <w:bookmarkEnd w:id="45"/>
    </w:p>
    <w:p w14:paraId="7AC23687">
      <w:pPr>
        <w:autoSpaceDE w:val="0"/>
        <w:autoSpaceDN w:val="0"/>
        <w:spacing w:line="360" w:lineRule="auto"/>
        <w:ind w:firstLine="480" w:firstLineChars="200"/>
      </w:pPr>
      <w:r>
        <w:rPr>
          <w:rFonts w:hint="eastAsia"/>
          <w:sz w:val="24"/>
        </w:rPr>
        <w:t>基于工频高压分压器的计量特性，诸如“分压比”“基本误差”等相关概念系本规程的核心内容。为便于在后续章节中规范使用，特以术语形式予以明确定义。在2016版基础上，本次修订新增“标称分压比”“（分压器的）升降压变差”及“（分压器的）基本误差”的术语定义，以支持对工频分压器工作原理的准确描述。相关术语的设立基于以下考虑：</w:t>
      </w:r>
    </w:p>
    <w:p w14:paraId="07B2DAF9">
      <w:pPr>
        <w:autoSpaceDE w:val="0"/>
        <w:autoSpaceDN w:val="0"/>
        <w:spacing w:line="360" w:lineRule="auto"/>
      </w:pPr>
      <w:r>
        <w:rPr>
          <w:rFonts w:hint="eastAsia"/>
          <w:sz w:val="24"/>
        </w:rPr>
        <w:t>1.术语“标称分压比”</w:t>
      </w:r>
    </w:p>
    <w:p w14:paraId="738734BB">
      <w:pPr>
        <w:autoSpaceDE w:val="0"/>
        <w:autoSpaceDN w:val="0"/>
        <w:spacing w:line="360" w:lineRule="auto"/>
        <w:ind w:firstLine="480" w:firstLineChars="200"/>
        <w:rPr>
          <w:sz w:val="24"/>
        </w:rPr>
      </w:pPr>
      <w:r>
        <w:rPr>
          <w:rFonts w:hint="eastAsia"/>
          <w:sz w:val="24"/>
        </w:rPr>
        <w:t>此概念作为计算基本误差及实施合格判定的基础，故需在术语部分予以明确界定。依据JJF 1001-2011《通用计量术语及定义》第7.4条，“标称量值”（nominal quantity value，VIM 4.6）系指测量仪器或测量系统特征量的经化整或近似值，旨在为应用提供指导。基于此定义，本规程将“标称分压比”定义为：“在规定条件下，分压器高压输入端与低压输出端之间电压比例的设计值。”</w:t>
      </w:r>
    </w:p>
    <w:p w14:paraId="24FEE591">
      <w:pPr>
        <w:autoSpaceDE w:val="0"/>
        <w:autoSpaceDN w:val="0"/>
        <w:spacing w:line="360" w:lineRule="auto"/>
      </w:pPr>
      <w:r>
        <w:rPr>
          <w:rFonts w:hint="eastAsia"/>
          <w:sz w:val="24"/>
        </w:rPr>
        <w:t>2.术语“升降压变差”</w:t>
      </w:r>
    </w:p>
    <w:p w14:paraId="61B9BA6C">
      <w:pPr>
        <w:autoSpaceDE w:val="0"/>
        <w:autoSpaceDN w:val="0"/>
        <w:spacing w:line="360" w:lineRule="auto"/>
        <w:ind w:firstLine="480" w:firstLineChars="200"/>
      </w:pPr>
      <w:r>
        <w:rPr>
          <w:rFonts w:hint="eastAsia"/>
          <w:sz w:val="24"/>
        </w:rPr>
        <w:t>在2016年版中，该概念未以术语形式明确界定，但检定方法及相关项目均涉及相关内容。为提升文本的规范性与可读性，本次修订增设了该术语。</w:t>
      </w:r>
    </w:p>
    <w:p w14:paraId="74CAD92A">
      <w:pPr>
        <w:pStyle w:val="27"/>
        <w:numPr>
          <w:ilvl w:val="1"/>
          <w:numId w:val="6"/>
        </w:numPr>
        <w:spacing w:line="360" w:lineRule="auto"/>
        <w:ind w:left="442" w:hanging="442" w:firstLineChars="0"/>
        <w:outlineLvl w:val="1"/>
      </w:pPr>
      <w:bookmarkStart w:id="46" w:name="_Toc180389771_ai"/>
      <w:r>
        <w:rPr>
          <w:rFonts w:hint="eastAsia" w:ascii="宋体"/>
          <w:sz w:val="24"/>
          <w:szCs w:val="20"/>
        </w:rPr>
        <w:t>概述</w:t>
      </w:r>
      <w:bookmarkEnd w:id="46"/>
    </w:p>
    <w:p w14:paraId="24FA28DB">
      <w:pPr>
        <w:spacing w:line="360" w:lineRule="auto"/>
        <w:ind w:firstLine="480" w:firstLineChars="200"/>
      </w:pPr>
      <w:r>
        <w:rPr>
          <w:rFonts w:hint="eastAsia"/>
          <w:sz w:val="24"/>
        </w:rPr>
        <w:t>为便于使用者理解工频分压器的工作原理，本规程阐述了其作用、基本结构，并提供了相应的原理框图。</w:t>
      </w:r>
    </w:p>
    <w:p w14:paraId="2BFE1222">
      <w:pPr>
        <w:pStyle w:val="27"/>
        <w:numPr>
          <w:ilvl w:val="1"/>
          <w:numId w:val="6"/>
        </w:numPr>
        <w:spacing w:line="360" w:lineRule="auto"/>
        <w:ind w:left="442" w:hanging="442" w:firstLineChars="0"/>
        <w:outlineLvl w:val="1"/>
      </w:pPr>
      <w:bookmarkStart w:id="47" w:name="_Toc180389772_ai"/>
      <w:r>
        <w:rPr>
          <w:rFonts w:hint="eastAsia" w:ascii="宋体"/>
          <w:sz w:val="24"/>
          <w:szCs w:val="20"/>
        </w:rPr>
        <w:t>计量性能要求</w:t>
      </w:r>
      <w:bookmarkEnd w:id="47"/>
    </w:p>
    <w:p w14:paraId="4D0A5B26">
      <w:pPr>
        <w:autoSpaceDE w:val="0"/>
        <w:autoSpaceDN w:val="0"/>
        <w:spacing w:line="360" w:lineRule="auto"/>
        <w:outlineLvl w:val="2"/>
      </w:pPr>
      <w:r>
        <w:rPr>
          <w:rFonts w:hint="eastAsia" w:ascii="宋体" w:hAnsi="宋体"/>
          <w:sz w:val="24"/>
        </w:rPr>
        <w:t>1.工频分压器的结构形式</w:t>
      </w:r>
    </w:p>
    <w:p w14:paraId="21578E82">
      <w:pPr>
        <w:snapToGrid w:val="0"/>
        <w:spacing w:line="360" w:lineRule="auto"/>
        <w:ind w:firstLine="480" w:firstLineChars="200"/>
      </w:pPr>
      <w:r>
        <w:rPr>
          <w:rFonts w:hint="eastAsia" w:ascii="宋体"/>
          <w:sz w:val="24"/>
          <w:szCs w:val="20"/>
        </w:rPr>
        <w:t>需指出的是，工频分压器在结构上主要涵盖基于无源纯阻抗元件的分压形式，包括电容分压型、电阻分压型以及阻容分压型。</w:t>
      </w:r>
    </w:p>
    <w:p w14:paraId="3702D291">
      <w:pPr>
        <w:snapToGrid w:val="0"/>
        <w:spacing w:line="360" w:lineRule="auto"/>
        <w:ind w:firstLine="480" w:firstLineChars="200"/>
      </w:pPr>
      <w:r>
        <w:rPr>
          <w:rFonts w:hint="eastAsia" w:ascii="宋体"/>
          <w:sz w:val="24"/>
          <w:szCs w:val="20"/>
        </w:rPr>
        <w:t>随着技术发展，部分技术机构与生产单位在无源分压结构的基础上，开发出在低压臂引入电子线路与信号处理电路的分压器（即有源分压器）。此类分压器通常作为电压比例标准或工作计量标准器具使用，具有较高的准确度等级（例如0.02级、0.05级）。为保障其计量性能的可溯源性，相应的标准装置及检定方法需满足更高的技术要求。因此，本规程将试验方法区分为A类与B类。</w:t>
      </w:r>
    </w:p>
    <w:p w14:paraId="0254C724">
      <w:pPr>
        <w:autoSpaceDE w:val="0"/>
        <w:autoSpaceDN w:val="0"/>
        <w:spacing w:line="360" w:lineRule="auto"/>
        <w:ind w:firstLine="480" w:firstLineChars="200"/>
        <w:rPr>
          <w:rFonts w:hint="eastAsia" w:ascii="宋体" w:hAnsi="宋体"/>
          <w:sz w:val="24"/>
        </w:rPr>
      </w:pPr>
      <w:r>
        <w:rPr>
          <w:rFonts w:hint="eastAsia" w:ascii="宋体" w:hAnsi="宋体"/>
          <w:sz w:val="24"/>
        </w:rPr>
        <w:t>根据产品调研结果，四种结构分压器的分布情况如表1所示。</w:t>
      </w:r>
    </w:p>
    <w:p w14:paraId="096867FA">
      <w:pPr>
        <w:autoSpaceDE w:val="0"/>
        <w:autoSpaceDN w:val="0"/>
        <w:spacing w:line="360" w:lineRule="auto"/>
        <w:ind w:firstLine="480" w:firstLineChars="200"/>
        <w:jc w:val="center"/>
      </w:pPr>
      <w:r>
        <w:rPr>
          <w:rFonts w:hint="eastAsia" w:ascii="宋体" w:hAnsi="宋体"/>
          <w:sz w:val="24"/>
        </w:rPr>
        <w:t>表1 工频分压器构型分布情况</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200"/>
        <w:gridCol w:w="2200"/>
        <w:gridCol w:w="2200"/>
      </w:tblGrid>
      <w:tr w14:paraId="484CD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tcPr>
          <w:p w14:paraId="0569A8A2">
            <w:pPr>
              <w:autoSpaceDE w:val="0"/>
              <w:autoSpaceDN w:val="0"/>
              <w:spacing w:line="360" w:lineRule="auto"/>
              <w:jc w:val="center"/>
              <w:rPr>
                <w:rFonts w:hint="eastAsia" w:ascii="宋体" w:hAnsi="宋体"/>
                <w:sz w:val="24"/>
              </w:rPr>
            </w:pPr>
            <w:r>
              <w:rPr>
                <w:rFonts w:hint="eastAsia" w:ascii="宋体" w:hAnsi="宋体"/>
                <w:sz w:val="24"/>
              </w:rPr>
              <w:t>分压器构型</w:t>
            </w:r>
          </w:p>
        </w:tc>
        <w:tc>
          <w:tcPr>
            <w:tcW w:w="2200" w:type="dxa"/>
          </w:tcPr>
          <w:p w14:paraId="41770BE9">
            <w:pPr>
              <w:autoSpaceDE w:val="0"/>
              <w:autoSpaceDN w:val="0"/>
              <w:spacing w:line="360" w:lineRule="auto"/>
              <w:jc w:val="center"/>
              <w:rPr>
                <w:rFonts w:hint="eastAsia" w:ascii="宋体" w:hAnsi="宋体"/>
                <w:sz w:val="24"/>
              </w:rPr>
            </w:pPr>
            <w:r>
              <w:rPr>
                <w:rFonts w:hint="eastAsia" w:ascii="宋体" w:hAnsi="宋体"/>
                <w:sz w:val="24"/>
              </w:rPr>
              <w:t>电网试验研究机构</w:t>
            </w:r>
          </w:p>
        </w:tc>
        <w:tc>
          <w:tcPr>
            <w:tcW w:w="2200" w:type="dxa"/>
          </w:tcPr>
          <w:p w14:paraId="0F10B5A7">
            <w:pPr>
              <w:autoSpaceDE w:val="0"/>
              <w:autoSpaceDN w:val="0"/>
              <w:spacing w:line="360" w:lineRule="auto"/>
              <w:jc w:val="center"/>
              <w:rPr>
                <w:rFonts w:hint="eastAsia" w:ascii="宋体" w:hAnsi="宋体"/>
                <w:sz w:val="24"/>
              </w:rPr>
            </w:pPr>
            <w:r>
              <w:rPr>
                <w:rFonts w:hint="eastAsia" w:ascii="宋体" w:hAnsi="宋体"/>
                <w:sz w:val="24"/>
              </w:rPr>
              <w:t>计量检测机构</w:t>
            </w:r>
          </w:p>
        </w:tc>
        <w:tc>
          <w:tcPr>
            <w:tcW w:w="2200" w:type="dxa"/>
          </w:tcPr>
          <w:p w14:paraId="0F15899C">
            <w:pPr>
              <w:autoSpaceDE w:val="0"/>
              <w:autoSpaceDN w:val="0"/>
              <w:spacing w:line="360" w:lineRule="auto"/>
              <w:jc w:val="center"/>
              <w:rPr>
                <w:rFonts w:hint="eastAsia" w:ascii="宋体" w:hAnsi="宋体"/>
                <w:sz w:val="24"/>
              </w:rPr>
            </w:pPr>
            <w:r>
              <w:rPr>
                <w:rFonts w:hint="eastAsia" w:ascii="宋体" w:hAnsi="宋体"/>
                <w:sz w:val="24"/>
              </w:rPr>
              <w:t>高压设备生产单位</w:t>
            </w:r>
          </w:p>
        </w:tc>
      </w:tr>
      <w:tr w14:paraId="59D7F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tcPr>
          <w:p w14:paraId="464D62D3">
            <w:pPr>
              <w:autoSpaceDE w:val="0"/>
              <w:autoSpaceDN w:val="0"/>
              <w:spacing w:line="360" w:lineRule="auto"/>
              <w:jc w:val="center"/>
              <w:rPr>
                <w:rFonts w:hint="eastAsia" w:ascii="宋体" w:hAnsi="宋体"/>
                <w:sz w:val="24"/>
              </w:rPr>
            </w:pPr>
            <w:r>
              <w:rPr>
                <w:rFonts w:hint="eastAsia" w:ascii="宋体" w:hAnsi="宋体"/>
                <w:sz w:val="24"/>
              </w:rPr>
              <w:t>电容式分压器</w:t>
            </w:r>
          </w:p>
        </w:tc>
        <w:tc>
          <w:tcPr>
            <w:tcW w:w="2200" w:type="dxa"/>
          </w:tcPr>
          <w:p w14:paraId="21D50275">
            <w:pPr>
              <w:autoSpaceDE w:val="0"/>
              <w:autoSpaceDN w:val="0"/>
              <w:spacing w:line="360" w:lineRule="auto"/>
              <w:jc w:val="center"/>
              <w:rPr>
                <w:rFonts w:hint="eastAsia" w:ascii="宋体" w:hAnsi="宋体"/>
                <w:sz w:val="24"/>
              </w:rPr>
            </w:pPr>
            <w:r>
              <w:rPr>
                <w:rFonts w:hint="eastAsia" w:ascii="宋体" w:hAnsi="宋体"/>
                <w:sz w:val="24"/>
              </w:rPr>
              <w:t>13</w:t>
            </w:r>
          </w:p>
        </w:tc>
        <w:tc>
          <w:tcPr>
            <w:tcW w:w="2200" w:type="dxa"/>
          </w:tcPr>
          <w:p w14:paraId="03CC1920">
            <w:pPr>
              <w:autoSpaceDE w:val="0"/>
              <w:autoSpaceDN w:val="0"/>
              <w:spacing w:line="360" w:lineRule="auto"/>
              <w:jc w:val="center"/>
              <w:rPr>
                <w:rFonts w:hint="eastAsia" w:ascii="宋体" w:hAnsi="宋体"/>
                <w:sz w:val="24"/>
              </w:rPr>
            </w:pPr>
            <w:r>
              <w:rPr>
                <w:rFonts w:hint="eastAsia" w:ascii="宋体" w:hAnsi="宋体"/>
                <w:sz w:val="24"/>
              </w:rPr>
              <w:t>3</w:t>
            </w:r>
          </w:p>
        </w:tc>
        <w:tc>
          <w:tcPr>
            <w:tcW w:w="2200" w:type="dxa"/>
          </w:tcPr>
          <w:p w14:paraId="47EC9334">
            <w:pPr>
              <w:autoSpaceDE w:val="0"/>
              <w:autoSpaceDN w:val="0"/>
              <w:spacing w:line="360" w:lineRule="auto"/>
              <w:jc w:val="center"/>
              <w:rPr>
                <w:rFonts w:hint="eastAsia" w:ascii="宋体" w:hAnsi="宋体"/>
                <w:sz w:val="24"/>
              </w:rPr>
            </w:pPr>
            <w:r>
              <w:rPr>
                <w:rFonts w:hint="eastAsia" w:ascii="宋体" w:hAnsi="宋体"/>
                <w:sz w:val="24"/>
              </w:rPr>
              <w:t>11</w:t>
            </w:r>
          </w:p>
        </w:tc>
      </w:tr>
      <w:tr w14:paraId="4ECB9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tcPr>
          <w:p w14:paraId="4E051099">
            <w:pPr>
              <w:autoSpaceDE w:val="0"/>
              <w:autoSpaceDN w:val="0"/>
              <w:spacing w:line="360" w:lineRule="auto"/>
              <w:jc w:val="center"/>
              <w:rPr>
                <w:rFonts w:hint="eastAsia" w:ascii="宋体" w:hAnsi="宋体"/>
                <w:sz w:val="24"/>
              </w:rPr>
            </w:pPr>
            <w:r>
              <w:rPr>
                <w:rFonts w:hint="eastAsia" w:ascii="宋体" w:hAnsi="宋体"/>
                <w:sz w:val="24"/>
              </w:rPr>
              <w:t>阻容式分压器</w:t>
            </w:r>
          </w:p>
        </w:tc>
        <w:tc>
          <w:tcPr>
            <w:tcW w:w="2200" w:type="dxa"/>
          </w:tcPr>
          <w:p w14:paraId="335AADAD">
            <w:pPr>
              <w:autoSpaceDE w:val="0"/>
              <w:autoSpaceDN w:val="0"/>
              <w:spacing w:line="360" w:lineRule="auto"/>
              <w:jc w:val="center"/>
              <w:rPr>
                <w:rFonts w:hint="eastAsia" w:ascii="宋体" w:hAnsi="宋体"/>
                <w:sz w:val="24"/>
              </w:rPr>
            </w:pPr>
            <w:r>
              <w:rPr>
                <w:rFonts w:hint="eastAsia" w:ascii="宋体" w:hAnsi="宋体"/>
                <w:sz w:val="24"/>
              </w:rPr>
              <w:t>0</w:t>
            </w:r>
          </w:p>
        </w:tc>
        <w:tc>
          <w:tcPr>
            <w:tcW w:w="2200" w:type="dxa"/>
          </w:tcPr>
          <w:p w14:paraId="38C5957F">
            <w:pPr>
              <w:autoSpaceDE w:val="0"/>
              <w:autoSpaceDN w:val="0"/>
              <w:spacing w:line="360" w:lineRule="auto"/>
              <w:jc w:val="center"/>
              <w:rPr>
                <w:rFonts w:hint="eastAsia" w:ascii="宋体" w:hAnsi="宋体"/>
                <w:sz w:val="24"/>
              </w:rPr>
            </w:pPr>
            <w:r>
              <w:rPr>
                <w:rFonts w:hint="eastAsia" w:ascii="宋体" w:hAnsi="宋体"/>
                <w:sz w:val="24"/>
              </w:rPr>
              <w:t>0</w:t>
            </w:r>
          </w:p>
        </w:tc>
        <w:tc>
          <w:tcPr>
            <w:tcW w:w="2200" w:type="dxa"/>
          </w:tcPr>
          <w:p w14:paraId="0F050633">
            <w:pPr>
              <w:autoSpaceDE w:val="0"/>
              <w:autoSpaceDN w:val="0"/>
              <w:spacing w:line="360" w:lineRule="auto"/>
              <w:jc w:val="center"/>
              <w:rPr>
                <w:rFonts w:hint="eastAsia" w:ascii="宋体" w:hAnsi="宋体"/>
                <w:sz w:val="24"/>
              </w:rPr>
            </w:pPr>
            <w:r>
              <w:rPr>
                <w:rFonts w:hint="eastAsia" w:ascii="宋体" w:hAnsi="宋体"/>
                <w:sz w:val="24"/>
              </w:rPr>
              <w:t>0</w:t>
            </w:r>
          </w:p>
        </w:tc>
      </w:tr>
      <w:tr w14:paraId="14602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tcPr>
          <w:p w14:paraId="74503E75">
            <w:pPr>
              <w:autoSpaceDE w:val="0"/>
              <w:autoSpaceDN w:val="0"/>
              <w:spacing w:line="360" w:lineRule="auto"/>
              <w:jc w:val="center"/>
              <w:rPr>
                <w:rFonts w:hint="eastAsia" w:ascii="宋体" w:hAnsi="宋体"/>
                <w:sz w:val="24"/>
              </w:rPr>
            </w:pPr>
            <w:r>
              <w:rPr>
                <w:rFonts w:hint="eastAsia" w:ascii="宋体" w:hAnsi="宋体"/>
                <w:sz w:val="24"/>
              </w:rPr>
              <w:t>电阻式分压器</w:t>
            </w:r>
          </w:p>
        </w:tc>
        <w:tc>
          <w:tcPr>
            <w:tcW w:w="2200" w:type="dxa"/>
          </w:tcPr>
          <w:p w14:paraId="45791334">
            <w:pPr>
              <w:autoSpaceDE w:val="0"/>
              <w:autoSpaceDN w:val="0"/>
              <w:spacing w:line="360" w:lineRule="auto"/>
              <w:jc w:val="center"/>
              <w:rPr>
                <w:rFonts w:hint="eastAsia" w:ascii="宋体" w:hAnsi="宋体"/>
                <w:sz w:val="24"/>
              </w:rPr>
            </w:pPr>
            <w:r>
              <w:rPr>
                <w:rFonts w:hint="eastAsia" w:ascii="宋体" w:hAnsi="宋体"/>
                <w:sz w:val="24"/>
              </w:rPr>
              <w:t>0</w:t>
            </w:r>
          </w:p>
        </w:tc>
        <w:tc>
          <w:tcPr>
            <w:tcW w:w="2200" w:type="dxa"/>
          </w:tcPr>
          <w:p w14:paraId="50E27FBE">
            <w:pPr>
              <w:autoSpaceDE w:val="0"/>
              <w:autoSpaceDN w:val="0"/>
              <w:spacing w:line="360" w:lineRule="auto"/>
              <w:jc w:val="center"/>
              <w:rPr>
                <w:rFonts w:hint="eastAsia" w:ascii="宋体" w:hAnsi="宋体"/>
                <w:sz w:val="24"/>
              </w:rPr>
            </w:pPr>
            <w:r>
              <w:rPr>
                <w:rFonts w:hint="eastAsia" w:ascii="宋体" w:hAnsi="宋体"/>
                <w:sz w:val="24"/>
              </w:rPr>
              <w:t>0</w:t>
            </w:r>
          </w:p>
        </w:tc>
        <w:tc>
          <w:tcPr>
            <w:tcW w:w="2200" w:type="dxa"/>
          </w:tcPr>
          <w:p w14:paraId="1C4B6B4D">
            <w:pPr>
              <w:autoSpaceDE w:val="0"/>
              <w:autoSpaceDN w:val="0"/>
              <w:spacing w:line="360" w:lineRule="auto"/>
              <w:jc w:val="center"/>
              <w:rPr>
                <w:rFonts w:hint="eastAsia" w:ascii="宋体" w:hAnsi="宋体"/>
                <w:sz w:val="24"/>
              </w:rPr>
            </w:pPr>
            <w:r>
              <w:rPr>
                <w:rFonts w:hint="eastAsia" w:ascii="宋体" w:hAnsi="宋体"/>
                <w:sz w:val="24"/>
              </w:rPr>
              <w:t>0</w:t>
            </w:r>
          </w:p>
        </w:tc>
      </w:tr>
      <w:tr w14:paraId="4C584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tcPr>
          <w:p w14:paraId="4732EDCF">
            <w:pPr>
              <w:autoSpaceDE w:val="0"/>
              <w:autoSpaceDN w:val="0"/>
              <w:spacing w:line="360" w:lineRule="auto"/>
              <w:jc w:val="center"/>
              <w:rPr>
                <w:rFonts w:hint="eastAsia" w:ascii="宋体" w:hAnsi="宋体"/>
                <w:sz w:val="24"/>
              </w:rPr>
            </w:pPr>
            <w:r>
              <w:rPr>
                <w:rFonts w:hint="eastAsia" w:ascii="宋体" w:hAnsi="宋体"/>
                <w:sz w:val="24"/>
              </w:rPr>
              <w:t>电子式分压器</w:t>
            </w:r>
          </w:p>
        </w:tc>
        <w:tc>
          <w:tcPr>
            <w:tcW w:w="2200" w:type="dxa"/>
          </w:tcPr>
          <w:p w14:paraId="07DA0455">
            <w:pPr>
              <w:autoSpaceDE w:val="0"/>
              <w:autoSpaceDN w:val="0"/>
              <w:spacing w:line="360" w:lineRule="auto"/>
              <w:jc w:val="center"/>
              <w:rPr>
                <w:rFonts w:hint="eastAsia" w:ascii="宋体" w:hAnsi="宋体"/>
                <w:sz w:val="24"/>
              </w:rPr>
            </w:pPr>
            <w:r>
              <w:rPr>
                <w:rFonts w:hint="eastAsia" w:ascii="宋体" w:hAnsi="宋体"/>
                <w:sz w:val="24"/>
              </w:rPr>
              <w:t>0</w:t>
            </w:r>
          </w:p>
        </w:tc>
        <w:tc>
          <w:tcPr>
            <w:tcW w:w="2200" w:type="dxa"/>
          </w:tcPr>
          <w:p w14:paraId="51E4D418">
            <w:pPr>
              <w:autoSpaceDE w:val="0"/>
              <w:autoSpaceDN w:val="0"/>
              <w:spacing w:line="360" w:lineRule="auto"/>
              <w:jc w:val="center"/>
              <w:rPr>
                <w:rFonts w:hint="eastAsia" w:ascii="宋体" w:hAnsi="宋体"/>
                <w:sz w:val="24"/>
              </w:rPr>
            </w:pPr>
            <w:r>
              <w:rPr>
                <w:rFonts w:hint="eastAsia" w:ascii="宋体" w:hAnsi="宋体"/>
                <w:sz w:val="24"/>
              </w:rPr>
              <w:t>3</w:t>
            </w:r>
          </w:p>
        </w:tc>
        <w:tc>
          <w:tcPr>
            <w:tcW w:w="2200" w:type="dxa"/>
          </w:tcPr>
          <w:p w14:paraId="52A984CB">
            <w:pPr>
              <w:autoSpaceDE w:val="0"/>
              <w:autoSpaceDN w:val="0"/>
              <w:spacing w:line="360" w:lineRule="auto"/>
              <w:jc w:val="center"/>
              <w:rPr>
                <w:rFonts w:hint="eastAsia" w:ascii="宋体" w:hAnsi="宋体"/>
                <w:sz w:val="24"/>
              </w:rPr>
            </w:pPr>
            <w:r>
              <w:rPr>
                <w:rFonts w:hint="eastAsia" w:ascii="宋体" w:hAnsi="宋体"/>
                <w:sz w:val="24"/>
              </w:rPr>
              <w:t>0</w:t>
            </w:r>
          </w:p>
        </w:tc>
      </w:tr>
    </w:tbl>
    <w:p w14:paraId="715DCD60">
      <w:pPr>
        <w:snapToGrid w:val="0"/>
        <w:spacing w:line="360" w:lineRule="auto"/>
        <w:ind w:firstLine="480" w:firstLineChars="200"/>
      </w:pPr>
      <w:r>
        <w:rPr>
          <w:rFonts w:hint="eastAsia" w:ascii="宋体"/>
          <w:sz w:val="24"/>
          <w:szCs w:val="20"/>
        </w:rPr>
        <w:t>由表1统计结果可知，电容式分压器在工频测量场合中应用最为广泛，该类分压器普遍应用于电力设备生产单位，尤其作为调感式串联谐振试验装置中测量系统的关键组成部分。</w:t>
      </w:r>
    </w:p>
    <w:p w14:paraId="369CCAEB">
      <w:pPr>
        <w:autoSpaceDE w:val="0"/>
        <w:autoSpaceDN w:val="0"/>
        <w:spacing w:line="360" w:lineRule="auto"/>
        <w:outlineLvl w:val="2"/>
      </w:pPr>
      <w:r>
        <w:rPr>
          <w:rFonts w:hint="eastAsia" w:ascii="宋体"/>
          <w:sz w:val="24"/>
          <w:szCs w:val="20"/>
        </w:rPr>
        <w:t>2. 分压比说明</w:t>
      </w:r>
    </w:p>
    <w:p w14:paraId="38217AB4">
      <w:pPr>
        <w:pStyle w:val="35"/>
        <w:spacing w:before="156" w:after="156" w:line="360" w:lineRule="auto"/>
        <w:ind w:firstLine="480"/>
        <w:jc w:val="both"/>
      </w:pPr>
      <w:r>
        <w:rPr>
          <w:rFonts w:hint="eastAsia"/>
        </w:rPr>
        <w:t>根据概述中分压比定义的推导，对分压比的考核实质上是对电压比例关系的考核</w:t>
      </w:r>
      <w:r>
        <w:rPr>
          <w:position w:val="-40"/>
          <w:sz w:val="21"/>
          <w:szCs w:val="21"/>
        </w:rPr>
        <w:object>
          <v:shape id="_x0000_i1025" o:spt="75" type="#_x0000_t75" style="height:43.2pt;width:40.8pt;" o:ole="t" filled="f" o:preferrelative="t" stroked="f" coordsize="21600,21600">
            <v:path/>
            <v:fill on="f" focussize="0,0"/>
            <v:stroke on="f" joinstyle="miter"/>
            <v:imagedata r:id="rId7" o:title=""/>
            <o:lock v:ext="edit" aspectratio="t"/>
            <w10:wrap type="none"/>
            <w10:anchorlock/>
          </v:shape>
          <o:OLEObject Type="Embed" ProgID="Equation.DSMT4" ShapeID="_x0000_i1025" DrawAspect="Content" ObjectID="_1468075725" r:id="rId6">
            <o:LockedField>false</o:LockedField>
          </o:OLEObject>
        </w:object>
      </w:r>
      <w:r>
        <w:rPr>
          <w:rFonts w:hint="eastAsia"/>
          <w:kern w:val="0"/>
          <w:sz w:val="21"/>
          <w:szCs w:val="21"/>
        </w:rPr>
        <w:t>。该概念</w:t>
      </w:r>
      <w:r>
        <w:rPr>
          <w:rFonts w:hint="eastAsia"/>
        </w:rPr>
        <w:t>对误差试验方法的设计具有明确的指导意义。</w:t>
      </w:r>
    </w:p>
    <w:p w14:paraId="776D235A">
      <w:pPr>
        <w:autoSpaceDE w:val="0"/>
        <w:autoSpaceDN w:val="0"/>
        <w:spacing w:line="360" w:lineRule="auto"/>
        <w:jc w:val="center"/>
      </w:pPr>
      <w:r>
        <w:rPr>
          <w:rFonts w:hint="eastAsia" w:ascii="宋体"/>
          <w:sz w:val="24"/>
          <w:szCs w:val="20"/>
        </w:rPr>
        <w:t>A类</w:t>
      </w:r>
      <w:r>
        <w:rPr>
          <w:rFonts w:hint="eastAsia"/>
          <w:sz w:val="24"/>
        </w:rPr>
        <w:t>工频分压器主要作为电容型电压比例标准使用，对其准确度具有较高要求。纯无源阻抗分压形式受限于元器件的温度系数、电压系数及输出负载能力等技术指标，难以满足其作为电压比例标准的计量特性要求。从国内外技术发展现状来看，工频分压器已发展出基于高压标准电容器的电子分压形式，主要包括精密电压跟随器方式及有源电流比较仪自动阻抗平衡方式。其主体结构如图1与图2所示</w:t>
      </w:r>
    </w:p>
    <w:p w14:paraId="30F23D57">
      <w:pPr>
        <w:jc w:val="center"/>
      </w:pPr>
      <w:r>
        <w:rPr>
          <w:sz w:val="24"/>
        </w:rPr>
        <w:drawing>
          <wp:inline distT="0" distB="0" distL="0" distR="0">
            <wp:extent cx="3324860" cy="1414780"/>
            <wp:effectExtent l="0" t="0" r="1270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324860" cy="1414780"/>
                    </a:xfrm>
                    <a:prstGeom prst="rect">
                      <a:avLst/>
                    </a:prstGeom>
                    <a:noFill/>
                    <a:ln>
                      <a:noFill/>
                    </a:ln>
                  </pic:spPr>
                </pic:pic>
              </a:graphicData>
            </a:graphic>
          </wp:inline>
        </w:drawing>
      </w:r>
      <w:r>
        <w:rPr>
          <w:rFonts w:hint="eastAsia"/>
          <w:sz w:val="24"/>
        </w:rPr>
        <w:t>：</w:t>
      </w:r>
    </w:p>
    <w:p w14:paraId="58280001">
      <w:pPr>
        <w:autoSpaceDE w:val="0"/>
        <w:autoSpaceDN w:val="0"/>
        <w:spacing w:line="360" w:lineRule="auto"/>
        <w:ind w:firstLine="480" w:firstLineChars="200"/>
        <w:jc w:val="center"/>
      </w:pPr>
      <w:r>
        <w:rPr>
          <w:rFonts w:hint="eastAsia"/>
          <w:sz w:val="24"/>
        </w:rPr>
        <w:t>图1 电压跟随型电子分压器</w:t>
      </w:r>
    </w:p>
    <w:p w14:paraId="1195188F">
      <w:pPr>
        <w:autoSpaceDE w:val="0"/>
        <w:autoSpaceDN w:val="0"/>
        <w:spacing w:line="360" w:lineRule="auto"/>
        <w:ind w:firstLine="480" w:firstLineChars="200"/>
        <w:rPr>
          <w:sz w:val="24"/>
        </w:rPr>
      </w:pPr>
      <w:r>
        <w:rPr>
          <w:rFonts w:hint="eastAsia"/>
          <w:sz w:val="24"/>
        </w:rPr>
        <w:t>图中标识：</w:t>
      </w:r>
    </w:p>
    <w:p w14:paraId="1FDBD289">
      <w:pPr>
        <w:snapToGrid w:val="0"/>
        <w:spacing w:line="360" w:lineRule="auto"/>
        <w:ind w:firstLine="480" w:firstLineChars="200"/>
      </w:pPr>
      <w:r>
        <w:rPr>
          <w:rFonts w:hint="eastAsia"/>
          <w:i/>
          <w:iCs/>
          <w:sz w:val="24"/>
        </w:rPr>
        <w:t>U</w:t>
      </w:r>
      <w:r>
        <w:rPr>
          <w:rFonts w:hint="eastAsia"/>
          <w:sz w:val="24"/>
          <w:vertAlign w:val="subscript"/>
        </w:rPr>
        <w:t>prim</w:t>
      </w:r>
      <w:r>
        <w:rPr>
          <w:rFonts w:hint="eastAsia"/>
          <w:sz w:val="24"/>
        </w:rPr>
        <w:t>：被测高电压；</w:t>
      </w:r>
    </w:p>
    <w:p w14:paraId="4F28882B">
      <w:pPr>
        <w:snapToGrid w:val="0"/>
        <w:spacing w:line="360" w:lineRule="auto"/>
        <w:ind w:firstLine="480" w:firstLineChars="200"/>
      </w:pPr>
      <w:r>
        <w:rPr>
          <w:rFonts w:hint="eastAsia"/>
          <w:i/>
          <w:iCs/>
          <w:sz w:val="24"/>
        </w:rPr>
        <w:t>U</w:t>
      </w:r>
      <w:r>
        <w:rPr>
          <w:rFonts w:hint="eastAsia"/>
          <w:sz w:val="24"/>
          <w:vertAlign w:val="subscript"/>
        </w:rPr>
        <w:t>sec</w:t>
      </w:r>
      <w:r>
        <w:rPr>
          <w:rFonts w:hint="eastAsia"/>
          <w:sz w:val="24"/>
        </w:rPr>
        <w:t>：分压器输出电压；</w:t>
      </w:r>
    </w:p>
    <w:p w14:paraId="60FCAE83">
      <w:pPr>
        <w:snapToGrid w:val="0"/>
        <w:spacing w:line="360" w:lineRule="auto"/>
        <w:ind w:firstLine="480" w:firstLineChars="200"/>
      </w:pPr>
      <w:r>
        <w:rPr>
          <w:rFonts w:hint="eastAsia"/>
          <w:sz w:val="24"/>
        </w:rPr>
        <w:t>分压比</w:t>
      </w:r>
      <w:r>
        <w:rPr>
          <w:rFonts w:hint="eastAsia"/>
          <w:i/>
          <w:iCs/>
          <w:sz w:val="24"/>
        </w:rPr>
        <w:t>K表示</w:t>
      </w:r>
      <w:r>
        <w:rPr>
          <w:rFonts w:hint="eastAsia"/>
          <w:sz w:val="24"/>
        </w:rPr>
        <w:t>为：</w:t>
      </w:r>
    </w:p>
    <w:p w14:paraId="58BFD013">
      <w:pPr>
        <w:autoSpaceDE w:val="0"/>
        <w:autoSpaceDN w:val="0"/>
        <w:spacing w:line="360" w:lineRule="auto"/>
        <w:ind w:firstLine="420" w:firstLineChars="200"/>
        <w:jc w:val="center"/>
      </w:pPr>
      <w:r>
        <w:drawing>
          <wp:inline distT="0" distB="0" distL="0" distR="0">
            <wp:extent cx="3284855" cy="2637155"/>
            <wp:effectExtent l="0" t="0" r="6985" b="14605"/>
            <wp:docPr id="10495720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572005"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284855" cy="2637155"/>
                    </a:xfrm>
                    <a:prstGeom prst="rect">
                      <a:avLst/>
                    </a:prstGeom>
                    <a:noFill/>
                    <a:ln>
                      <a:noFill/>
                    </a:ln>
                  </pic:spPr>
                </pic:pic>
              </a:graphicData>
            </a:graphic>
          </wp:inline>
        </w:drawing>
      </w:r>
    </w:p>
    <w:p w14:paraId="519E45BD">
      <w:pPr>
        <w:autoSpaceDE w:val="0"/>
        <w:autoSpaceDN w:val="0"/>
        <w:spacing w:line="360" w:lineRule="auto"/>
        <w:ind w:firstLine="420" w:firstLineChars="200"/>
        <w:jc w:val="center"/>
      </w:pPr>
      <w:r>
        <w:rPr>
          <w:rFonts w:hint="eastAsia"/>
        </w:rPr>
        <w:t>图2 有源电流比较仪型电子分压器</w:t>
      </w:r>
    </w:p>
    <w:p w14:paraId="3FE63F86">
      <w:pPr>
        <w:autoSpaceDE w:val="0"/>
        <w:autoSpaceDN w:val="0"/>
        <w:spacing w:line="360" w:lineRule="auto"/>
        <w:ind w:firstLine="480" w:firstLineChars="200"/>
        <w:rPr>
          <w:sz w:val="24"/>
        </w:rPr>
      </w:pPr>
      <w:r>
        <w:rPr>
          <w:rFonts w:hint="eastAsia"/>
          <w:sz w:val="24"/>
        </w:rPr>
        <w:t>图中标识：</w:t>
      </w:r>
    </w:p>
    <w:p w14:paraId="7F1FC5AD">
      <w:pPr>
        <w:snapToGrid w:val="0"/>
        <w:spacing w:line="360" w:lineRule="auto"/>
        <w:ind w:firstLine="480" w:firstLineChars="200"/>
      </w:pPr>
      <w:r>
        <w:rPr>
          <w:rFonts w:hint="eastAsia"/>
          <w:sz w:val="24"/>
        </w:rPr>
        <w:t>E</w:t>
      </w:r>
      <w:r>
        <w:rPr>
          <w:rFonts w:hint="eastAsia"/>
          <w:sz w:val="24"/>
          <w:vertAlign w:val="subscript"/>
        </w:rPr>
        <w:t>H</w:t>
      </w:r>
      <w:r>
        <w:rPr>
          <w:rFonts w:hint="eastAsia"/>
          <w:sz w:val="24"/>
        </w:rPr>
        <w:t>：被测高电压；</w:t>
      </w:r>
    </w:p>
    <w:p w14:paraId="00EF816D">
      <w:pPr>
        <w:snapToGrid w:val="0"/>
        <w:spacing w:line="360" w:lineRule="auto"/>
        <w:ind w:firstLine="480" w:firstLineChars="200"/>
      </w:pPr>
      <w:r>
        <w:rPr>
          <w:rFonts w:hint="eastAsia"/>
          <w:sz w:val="24"/>
        </w:rPr>
        <w:t>E</w:t>
      </w:r>
      <w:r>
        <w:rPr>
          <w:rFonts w:hint="eastAsia"/>
          <w:sz w:val="24"/>
          <w:vertAlign w:val="subscript"/>
        </w:rPr>
        <w:t>L</w:t>
      </w:r>
      <w:r>
        <w:rPr>
          <w:rFonts w:hint="eastAsia"/>
          <w:sz w:val="24"/>
        </w:rPr>
        <w:t>：分压器输出电压；</w:t>
      </w:r>
    </w:p>
    <w:p w14:paraId="7F44E492">
      <w:pPr>
        <w:snapToGrid w:val="0"/>
        <w:spacing w:line="360" w:lineRule="auto"/>
        <w:ind w:firstLine="480" w:firstLineChars="200"/>
      </w:pPr>
      <w:r>
        <w:rPr>
          <w:rFonts w:hint="eastAsia"/>
          <w:sz w:val="24"/>
        </w:rPr>
        <w:t>分压比</w:t>
      </w:r>
      <w:r>
        <w:rPr>
          <w:rFonts w:hint="eastAsia"/>
          <w:i/>
          <w:iCs/>
          <w:sz w:val="24"/>
        </w:rPr>
        <w:t>K表示</w:t>
      </w:r>
      <w:r>
        <w:rPr>
          <w:rFonts w:hint="eastAsia"/>
          <w:sz w:val="24"/>
        </w:rPr>
        <w:t>为：</w:t>
      </w:r>
    </w:p>
    <w:p w14:paraId="1101BB2A">
      <w:pPr>
        <w:autoSpaceDE w:val="0"/>
        <w:autoSpaceDN w:val="0"/>
        <w:spacing w:line="360" w:lineRule="auto"/>
        <w:ind w:firstLine="480" w:firstLineChars="200"/>
      </w:pPr>
      <m:oMathPara>
        <m:oMath>
          <m:r>
            <m:rPr/>
            <w:rPr>
              <w:rFonts w:ascii="Cambria Math" w:hAnsi="Cambria Math"/>
              <w:sz w:val="24"/>
            </w:rPr>
            <m:t>K=</m:t>
          </m:r>
          <m:f>
            <m:fPr>
              <m:ctrlPr>
                <w:rPr>
                  <w:rFonts w:ascii="Cambria Math" w:hAnsi="Cambria Math"/>
                  <w:i/>
                  <w:sz w:val="24"/>
                </w:rPr>
              </m:ctrlPr>
            </m:fPr>
            <m:num>
              <m:sSub>
                <m:sSubPr>
                  <m:ctrlPr>
                    <w:rPr>
                      <w:rFonts w:ascii="Cambria Math" w:hAnsi="Cambria Math"/>
                      <w:i/>
                      <w:sz w:val="24"/>
                    </w:rPr>
                  </m:ctrlPr>
                </m:sSubPr>
                <m:e>
                  <m:r>
                    <m:rPr/>
                    <w:rPr>
                      <w:rFonts w:ascii="Cambria Math" w:hAnsi="Cambria Math"/>
                      <w:sz w:val="24"/>
                    </w:rPr>
                    <m:t>E</m:t>
                  </m:r>
                  <m:ctrlPr>
                    <w:rPr>
                      <w:rFonts w:ascii="Cambria Math" w:hAnsi="Cambria Math"/>
                      <w:i/>
                      <w:sz w:val="24"/>
                    </w:rPr>
                  </m:ctrlPr>
                </m:e>
                <m:sub>
                  <m:r>
                    <m:rPr>
                      <m:sty m:val="p"/>
                    </m:rPr>
                    <w:rPr>
                      <w:rFonts w:ascii="Cambria Math" w:hAnsi="Cambria Math"/>
                      <w:sz w:val="24"/>
                    </w:rPr>
                    <m:t>H</m:t>
                  </m:r>
                  <m:ctrlPr>
                    <w:rPr>
                      <w:rFonts w:ascii="Cambria Math" w:hAnsi="Cambria Math"/>
                      <w:i/>
                      <w:sz w:val="24"/>
                    </w:rPr>
                  </m:ctrlPr>
                </m:sub>
              </m:sSub>
              <m:ctrlPr>
                <w:rPr>
                  <w:rFonts w:ascii="Cambria Math" w:hAnsi="Cambria Math"/>
                  <w:i/>
                  <w:sz w:val="24"/>
                </w:rPr>
              </m:ctrlPr>
            </m:num>
            <m:den>
              <m:sSub>
                <m:sSubPr>
                  <m:ctrlPr>
                    <w:rPr>
                      <w:rFonts w:ascii="Cambria Math" w:hAnsi="Cambria Math"/>
                      <w:i/>
                      <w:sz w:val="24"/>
                    </w:rPr>
                  </m:ctrlPr>
                </m:sSubPr>
                <m:e>
                  <m:r>
                    <m:rPr/>
                    <w:rPr>
                      <w:rFonts w:ascii="Cambria Math" w:hAnsi="Cambria Math"/>
                      <w:sz w:val="24"/>
                    </w:rPr>
                    <m:t>E</m:t>
                  </m:r>
                  <m:ctrlPr>
                    <w:rPr>
                      <w:rFonts w:ascii="Cambria Math" w:hAnsi="Cambria Math"/>
                      <w:i/>
                      <w:sz w:val="24"/>
                    </w:rPr>
                  </m:ctrlPr>
                </m:e>
                <m:sub>
                  <m:r>
                    <m:rPr>
                      <m:sty m:val="p"/>
                    </m:rPr>
                    <w:rPr>
                      <w:rFonts w:ascii="Cambria Math" w:hAnsi="Cambria Math"/>
                      <w:sz w:val="24"/>
                    </w:rPr>
                    <m:t>L</m:t>
                  </m:r>
                  <m:ctrlPr>
                    <w:rPr>
                      <w:rFonts w:ascii="Cambria Math" w:hAnsi="Cambria Math"/>
                      <w:i/>
                      <w:sz w:val="24"/>
                    </w:rPr>
                  </m:ctrlPr>
                </m:sub>
              </m:sSub>
              <m:ctrlPr>
                <w:rPr>
                  <w:rFonts w:ascii="Cambria Math" w:hAnsi="Cambria Math"/>
                  <w:i/>
                  <w:sz w:val="24"/>
                </w:rPr>
              </m:ctrlPr>
            </m:den>
          </m:f>
          <m:r>
            <m:rPr/>
            <w:rPr>
              <w:rFonts w:ascii="Cambria Math" w:hAnsi="Cambria Math"/>
              <w:sz w:val="24"/>
            </w:rPr>
            <m:t>=</m:t>
          </m:r>
          <m:f>
            <m:fPr>
              <m:ctrlPr>
                <w:rPr>
                  <w:rFonts w:ascii="Cambria Math" w:hAnsi="Cambria Math"/>
                  <w:i/>
                  <w:sz w:val="24"/>
                </w:rPr>
              </m:ctrlPr>
            </m:fPr>
            <m:num>
              <m:sSub>
                <m:sSubPr>
                  <m:ctrlPr>
                    <w:rPr>
                      <w:rFonts w:ascii="Cambria Math" w:hAnsi="Cambria Math"/>
                      <w:i/>
                      <w:sz w:val="24"/>
                    </w:rPr>
                  </m:ctrlPr>
                </m:sSubPr>
                <m:e>
                  <m:r>
                    <m:rPr/>
                    <w:rPr>
                      <w:rFonts w:ascii="Cambria Math" w:hAnsi="Cambria Math"/>
                      <w:sz w:val="24"/>
                    </w:rPr>
                    <m:t>C</m:t>
                  </m:r>
                  <m:ctrlPr>
                    <w:rPr>
                      <w:rFonts w:ascii="Cambria Math" w:hAnsi="Cambria Math"/>
                      <w:i/>
                      <w:sz w:val="24"/>
                    </w:rPr>
                  </m:ctrlPr>
                </m:e>
                <m:sub>
                  <m:r>
                    <m:rPr/>
                    <w:rPr>
                      <w:rFonts w:ascii="Cambria Math" w:hAnsi="Cambria Math"/>
                      <w:sz w:val="24"/>
                    </w:rPr>
                    <m:t>L</m:t>
                  </m:r>
                  <m:ctrlPr>
                    <w:rPr>
                      <w:rFonts w:ascii="Cambria Math" w:hAnsi="Cambria Math"/>
                      <w:i/>
                      <w:sz w:val="24"/>
                    </w:rPr>
                  </m:ctrlPr>
                </m:sub>
              </m:sSub>
              <m:ctrlPr>
                <w:rPr>
                  <w:rFonts w:ascii="Cambria Math" w:hAnsi="Cambria Math"/>
                  <w:i/>
                  <w:sz w:val="24"/>
                </w:rPr>
              </m:ctrlPr>
            </m:num>
            <m:den>
              <m:sSub>
                <m:sSubPr>
                  <m:ctrlPr>
                    <w:rPr>
                      <w:rFonts w:ascii="Cambria Math" w:hAnsi="Cambria Math"/>
                      <w:i/>
                      <w:sz w:val="24"/>
                    </w:rPr>
                  </m:ctrlPr>
                </m:sSubPr>
                <m:e>
                  <m:r>
                    <m:rPr/>
                    <w:rPr>
                      <w:rFonts w:ascii="Cambria Math" w:hAnsi="Cambria Math"/>
                      <w:sz w:val="24"/>
                    </w:rPr>
                    <m:t>C</m:t>
                  </m:r>
                  <m:ctrlPr>
                    <w:rPr>
                      <w:rFonts w:ascii="Cambria Math" w:hAnsi="Cambria Math"/>
                      <w:i/>
                      <w:sz w:val="24"/>
                    </w:rPr>
                  </m:ctrlPr>
                </m:e>
                <m:sub>
                  <m:r>
                    <m:rPr/>
                    <w:rPr>
                      <w:rFonts w:ascii="Cambria Math" w:hAnsi="Cambria Math"/>
                      <w:sz w:val="24"/>
                    </w:rPr>
                    <m:t>H</m:t>
                  </m:r>
                  <m:ctrlPr>
                    <w:rPr>
                      <w:rFonts w:ascii="Cambria Math" w:hAnsi="Cambria Math"/>
                      <w:i/>
                      <w:sz w:val="24"/>
                    </w:rPr>
                  </m:ctrlPr>
                </m:sub>
              </m:sSub>
              <m:ctrlPr>
                <w:rPr>
                  <w:rFonts w:ascii="Cambria Math" w:hAnsi="Cambria Math"/>
                  <w:i/>
                  <w:sz w:val="24"/>
                </w:rPr>
              </m:ctrlPr>
            </m:den>
          </m:f>
          <m:r>
            <m:rPr/>
            <w:rPr>
              <w:rFonts w:hint="eastAsia" w:ascii="Cambria Math" w:hAnsi="Cambria Math"/>
              <w:sz w:val="24"/>
            </w:rPr>
            <m:t>×</m:t>
          </m:r>
          <m:f>
            <m:fPr>
              <m:ctrlPr>
                <w:rPr>
                  <w:rFonts w:ascii="Cambria Math" w:hAnsi="Cambria Math"/>
                  <w:i/>
                  <w:sz w:val="24"/>
                </w:rPr>
              </m:ctrlPr>
            </m:fPr>
            <m:num>
              <m:r>
                <m:rPr/>
                <w:rPr>
                  <w:rFonts w:ascii="Cambria Math" w:hAnsi="Cambria Math"/>
                  <w:sz w:val="24"/>
                </w:rPr>
                <m:t>1</m:t>
              </m:r>
              <m:ctrlPr>
                <w:rPr>
                  <w:rFonts w:ascii="Cambria Math" w:hAnsi="Cambria Math"/>
                  <w:i/>
                  <w:sz w:val="24"/>
                </w:rPr>
              </m:ctrlPr>
            </m:num>
            <m:den>
              <m:r>
                <m:rPr/>
                <w:rPr>
                  <w:rFonts w:ascii="Cambria Math" w:hAnsi="Cambria Math"/>
                  <w:sz w:val="24"/>
                </w:rPr>
                <m:t>G</m:t>
              </m:r>
              <m:r>
                <m:rPr/>
                <w:rPr>
                  <w:rFonts w:hint="eastAsia" w:ascii="Cambria Math" w:hAnsi="Cambria Math"/>
                  <w:sz w:val="24"/>
                </w:rPr>
                <m:t>ain</m:t>
              </m:r>
              <m:ctrlPr>
                <w:rPr>
                  <w:rFonts w:ascii="Cambria Math" w:hAnsi="Cambria Math"/>
                  <w:i/>
                  <w:sz w:val="24"/>
                </w:rPr>
              </m:ctrlPr>
            </m:den>
          </m:f>
          <m:r>
            <w:rPr>
              <w:rFonts w:hAnsi="Cambria Math"/>
              <w:sz w:val="24"/>
            </w:rPr>
            <w:br w:type="textWrapping"/>
          </m:r>
        </m:oMath>
      </m:oMathPara>
      <w:r>
        <w:rPr>
          <w:rFonts w:hint="eastAsia"/>
          <w:sz w:val="24"/>
        </w:rPr>
        <w:t>针对前述工频分压器，在作为电容型电压比例标准应用时，其准确度等级可达到0.02级或0.05级。因此，在评估其分压特性时，需分别考量比值差与相位差。根据JJG 496</w:t>
      </w:r>
      <w:r>
        <w:rPr>
          <w:rFonts w:hint="eastAsia" w:ascii="宋体" w:hAnsi="宋体"/>
          <w:sz w:val="24"/>
        </w:rPr>
        <w:t>—</w:t>
      </w:r>
      <w:r>
        <w:rPr>
          <w:rFonts w:hint="eastAsia"/>
          <w:sz w:val="24"/>
        </w:rPr>
        <w:t>2016标准的规定，A级工频分压器相位差的允许误差限值为</w:t>
      </w:r>
      <w:r>
        <w:rPr>
          <w:rFonts w:hint="eastAsia" w:ascii="Cambria Math" w:hAnsi="Cambria Math"/>
          <w:sz w:val="24"/>
        </w:rPr>
        <w:t xml:space="preserve">𝛿 </w:t>
      </w:r>
      <w:r>
        <w:rPr>
          <w:rFonts w:hint="eastAsia"/>
          <w:sz w:val="24"/>
        </w:rPr>
        <w:t>= ±0.03</w:t>
      </w:r>
      <w:r>
        <w:rPr>
          <w:rFonts w:hint="eastAsia"/>
          <w:i/>
          <w:iCs/>
          <w:sz w:val="24"/>
        </w:rPr>
        <w:t>a</w:t>
      </w:r>
      <w:r>
        <w:rPr>
          <w:rFonts w:hint="eastAsia"/>
          <w:sz w:val="24"/>
        </w:rPr>
        <w:t>，其中</w:t>
      </w:r>
      <w:r>
        <w:rPr>
          <w:rFonts w:hint="eastAsia"/>
          <w:i/>
          <w:iCs/>
          <w:sz w:val="24"/>
        </w:rPr>
        <w:t>a</w:t>
      </w:r>
      <w:r>
        <w:rPr>
          <w:rFonts w:hint="eastAsia"/>
          <w:sz w:val="24"/>
        </w:rPr>
        <w:t>表示工频分压器的准确度等级指数。以0.05级为例，计算得出</w:t>
      </w:r>
      <w:r>
        <w:rPr>
          <w:rFonts w:hint="eastAsia" w:ascii="Cambria Math" w:hAnsi="Cambria Math"/>
          <w:sz w:val="24"/>
        </w:rPr>
        <w:t xml:space="preserve">𝛿 </w:t>
      </w:r>
      <w:r>
        <w:rPr>
          <w:rFonts w:hint="eastAsia"/>
          <w:sz w:val="24"/>
        </w:rPr>
        <w:t>= ±0.03 × 0.05 = 0.0015 rad，约合5.15</w:t>
      </w:r>
      <w:r>
        <w:rPr>
          <w:rFonts w:hint="eastAsia" w:ascii="宋体" w:hAnsi="宋体" w:cs="宋体"/>
          <w:sz w:val="24"/>
        </w:rPr>
        <w:t>′</w:t>
      </w:r>
      <w:r>
        <w:rPr>
          <w:rFonts w:hint="eastAsia"/>
          <w:sz w:val="24"/>
        </w:rPr>
        <w:t>。然而，根据JJG 314—2010《测量用电压互感器》标准的规定，0.05级电压互感器相位差的允许误差限值为2′。由此可见，JJG 496—2016标准对A级工频分压器相位差的允许误差限值要求，低于同准确度等级电压互感器的相应要求。这一差异限制了A级工频分压器在高电压比例标准应用中的适用性。基于A级工频分压器的结构设计原理及实际应用情况分析，将其相位差允许误差限值设定为与同准确度等级电压互感器相一致，具有充分的可行性。</w:t>
      </w:r>
    </w:p>
    <w:p w14:paraId="0A75FE85">
      <w:pPr>
        <w:pStyle w:val="27"/>
        <w:numPr>
          <w:ilvl w:val="1"/>
          <w:numId w:val="6"/>
        </w:numPr>
        <w:spacing w:line="360" w:lineRule="auto"/>
        <w:ind w:left="442" w:hanging="442" w:firstLineChars="0"/>
        <w:outlineLvl w:val="1"/>
        <w:rPr>
          <w:rFonts w:ascii="宋体"/>
          <w:sz w:val="24"/>
          <w:szCs w:val="20"/>
        </w:rPr>
      </w:pPr>
      <w:bookmarkStart w:id="48" w:name="_Toc22736"/>
      <w:bookmarkStart w:id="49" w:name="_Toc180389775"/>
      <w:r>
        <w:rPr>
          <w:rFonts w:hint="eastAsia" w:ascii="宋体"/>
          <w:sz w:val="24"/>
          <w:szCs w:val="20"/>
        </w:rPr>
        <w:t>通用技术要求</w:t>
      </w:r>
      <w:bookmarkEnd w:id="48"/>
      <w:bookmarkEnd w:id="49"/>
    </w:p>
    <w:p w14:paraId="6BB1F9FF">
      <w:pPr>
        <w:snapToGrid w:val="0"/>
        <w:spacing w:line="360" w:lineRule="auto"/>
        <w:ind w:firstLine="480" w:firstLineChars="200"/>
        <w:jc w:val="left"/>
      </w:pPr>
      <w:r>
        <w:rPr>
          <w:rFonts w:hint="eastAsia"/>
          <w:kern w:val="0"/>
          <w:sz w:val="24"/>
        </w:rPr>
        <w:t>本部分主要包括外观与结构要求以及绝缘强度要求，相关内容参考了DL/T 846.1中的相应规定。</w:t>
      </w:r>
    </w:p>
    <w:p w14:paraId="25D0A8FE">
      <w:pPr>
        <w:pStyle w:val="27"/>
        <w:numPr>
          <w:ilvl w:val="1"/>
          <w:numId w:val="6"/>
        </w:numPr>
        <w:spacing w:line="360" w:lineRule="auto"/>
        <w:ind w:left="442" w:hanging="442" w:firstLineChars="0"/>
        <w:outlineLvl w:val="1"/>
        <w:rPr>
          <w:rFonts w:ascii="宋体"/>
          <w:sz w:val="24"/>
          <w:szCs w:val="20"/>
        </w:rPr>
      </w:pPr>
      <w:bookmarkStart w:id="50" w:name="_Toc180389776"/>
      <w:r>
        <w:rPr>
          <w:rFonts w:hint="eastAsia" w:ascii="宋体"/>
          <w:sz w:val="24"/>
          <w:szCs w:val="20"/>
        </w:rPr>
        <w:t>计量器具控制</w:t>
      </w:r>
      <w:bookmarkEnd w:id="50"/>
    </w:p>
    <w:p w14:paraId="50EFEDC4">
      <w:pPr>
        <w:pStyle w:val="27"/>
        <w:numPr>
          <w:ilvl w:val="8"/>
          <w:numId w:val="7"/>
        </w:numPr>
        <w:snapToGrid w:val="0"/>
        <w:spacing w:line="360" w:lineRule="auto"/>
        <w:ind w:left="45" w:hanging="45" w:firstLineChars="0"/>
        <w:jc w:val="left"/>
        <w:rPr>
          <w:kern w:val="0"/>
          <w:sz w:val="24"/>
        </w:rPr>
      </w:pPr>
      <w:r>
        <w:rPr>
          <w:rFonts w:hint="eastAsia"/>
          <w:sz w:val="24"/>
        </w:rPr>
        <w:t>关于检定条件</w:t>
      </w:r>
    </w:p>
    <w:p w14:paraId="1F815BB6">
      <w:pPr>
        <w:snapToGrid w:val="0"/>
        <w:spacing w:line="360" w:lineRule="auto"/>
        <w:ind w:firstLine="480" w:firstLineChars="200"/>
        <w:rPr>
          <w:kern w:val="0"/>
          <w:sz w:val="24"/>
        </w:rPr>
      </w:pPr>
      <w:r>
        <w:rPr>
          <w:rFonts w:hint="eastAsia"/>
          <w:kern w:val="0"/>
          <w:sz w:val="24"/>
        </w:rPr>
        <w:t>B类分压器主要应用于工程测量领域，其使用环境涵盖室内及户外场所。实际运行环境的温湿度范围较广，因此，其检定实验室的温湿度控制条件可适当放宽。A类分压器作为计量标准器使用，其计量特性的建立与维持需满足更为严格的环境要求。此类设备在结构、原理、制造工艺及材料选择方面均针对特定环境条件进行设计。以陶瓷电容器和云母电容器为例，其温度系数通常在30 ppm/℃至100 ppm/℃之间。若检定环境温度为20℃ ± 2℃，则电容量的变化幅度可达120 ppm至400 ppm。因此，将A类分压器的检定环境控制在20℃ ± 2℃范围内是必要的。</w:t>
      </w:r>
    </w:p>
    <w:p w14:paraId="40A810FC">
      <w:pPr>
        <w:pStyle w:val="27"/>
        <w:numPr>
          <w:ilvl w:val="8"/>
          <w:numId w:val="7"/>
        </w:numPr>
        <w:snapToGrid w:val="0"/>
        <w:spacing w:line="360" w:lineRule="auto"/>
        <w:ind w:left="45" w:hanging="45" w:firstLineChars="0"/>
        <w:jc w:val="left"/>
        <w:rPr>
          <w:kern w:val="0"/>
          <w:sz w:val="24"/>
        </w:rPr>
      </w:pPr>
      <w:r>
        <w:rPr>
          <w:rFonts w:hint="eastAsia"/>
          <w:sz w:val="24"/>
        </w:rPr>
        <w:t>关于标准器配置</w:t>
      </w:r>
    </w:p>
    <w:p w14:paraId="0AA07269">
      <w:pPr>
        <w:snapToGrid w:val="0"/>
        <w:spacing w:line="360" w:lineRule="auto"/>
        <w:ind w:firstLine="480" w:firstLineChars="200"/>
        <w:rPr>
          <w:kern w:val="0"/>
          <w:sz w:val="24"/>
        </w:rPr>
      </w:pPr>
      <w:r>
        <w:rPr>
          <w:rFonts w:hint="eastAsia"/>
          <w:kern w:val="0"/>
          <w:sz w:val="24"/>
        </w:rPr>
        <w:t>根据规程表1与表2中A类与B类分压器的准确度等级及其允许误差限值要求，开展基本误差检定所需的标准器配置存在明显差异。B类工频分压器通常采用由无源纯阻抗元件构成的分压结构，实际应用中主要为（耦合）电容分压器与阻容分压器。此类分压器结构较为简单，工艺要求不高，制造成本相对较低，广泛应用于电力工程试验及生产制造领域，因此对其准确度等级的要求不宜过高。同时，由于B类分压器未对相位差作出明确规定，原则上可采用由标准电压互感器与数字电压测量表计组成的复合标准装置，或标准高压分压器与数字电压测量表计组合装置进行检定。该类标准设备及其组合形式较为常见且易于获取，因此，采用电压比例法对B类工频分压器进行分压比基本误差检定，对大多数计量技术机构而言具有较高的可行性。</w:t>
      </w:r>
    </w:p>
    <w:p w14:paraId="4851D7F9">
      <w:pPr>
        <w:snapToGrid w:val="0"/>
        <w:spacing w:line="360" w:lineRule="auto"/>
        <w:ind w:firstLine="480" w:firstLineChars="200"/>
      </w:pPr>
      <w:r>
        <w:rPr>
          <w:rFonts w:hint="eastAsia"/>
          <w:kern w:val="0"/>
          <w:sz w:val="24"/>
        </w:rPr>
        <w:t>A类分压器的应用对象相对集中于计量技术机构。鉴于其具备较高的准确度等级（0.02级和0.05级），依据标准器应优于被检对象两个计量等级的原则，建议采用标准电压互感器（0.005级）、感应分压器（0.0005级）及数字式双通道同步采样装置等设备，并需根据具体检定任务进行合理配置。</w:t>
      </w:r>
    </w:p>
    <w:p w14:paraId="06D73D48">
      <w:pPr>
        <w:pStyle w:val="27"/>
        <w:keepNext/>
        <w:numPr>
          <w:ilvl w:val="8"/>
          <w:numId w:val="8"/>
        </w:numPr>
        <w:snapToGrid w:val="0"/>
        <w:spacing w:line="360" w:lineRule="auto"/>
        <w:ind w:left="0" w:firstLine="0" w:firstLineChars="0"/>
        <w:jc w:val="center"/>
      </w:pPr>
      <w:r>
        <w:rPr>
          <w:rFonts w:hint="eastAsia"/>
        </w:rPr>
        <w:t>数字电压测量表计相关信息汇总</w:t>
      </w:r>
    </w:p>
    <w:tbl>
      <w:tblPr>
        <w:tblStyle w:val="16"/>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71"/>
        <w:gridCol w:w="1871"/>
        <w:gridCol w:w="1871"/>
        <w:gridCol w:w="1871"/>
        <w:gridCol w:w="1872"/>
      </w:tblGrid>
      <w:tr w14:paraId="33083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1871" w:type="dxa"/>
            <w:vAlign w:val="center"/>
          </w:tcPr>
          <w:p w14:paraId="7B9A23E9">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default" w:eastAsia="宋体"/>
                <w:kern w:val="0"/>
                <w:sz w:val="21"/>
                <w:szCs w:val="21"/>
                <w:vertAlign w:val="baseline"/>
                <w:lang w:val="en-US" w:eastAsia="zh-CN"/>
              </w:rPr>
            </w:pPr>
            <w:r>
              <w:rPr>
                <w:rFonts w:hint="eastAsia"/>
                <w:kern w:val="0"/>
                <w:sz w:val="21"/>
                <w:szCs w:val="21"/>
                <w:vertAlign w:val="baseline"/>
                <w:lang w:val="en-US" w:eastAsia="zh-CN"/>
              </w:rPr>
              <w:t>仪表名称</w:t>
            </w:r>
          </w:p>
        </w:tc>
        <w:tc>
          <w:tcPr>
            <w:tcW w:w="1871" w:type="dxa"/>
            <w:vAlign w:val="center"/>
          </w:tcPr>
          <w:p w14:paraId="189C52F5">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default" w:eastAsia="宋体"/>
                <w:kern w:val="0"/>
                <w:sz w:val="21"/>
                <w:szCs w:val="21"/>
                <w:vertAlign w:val="baseline"/>
                <w:lang w:val="en-US" w:eastAsia="zh-CN"/>
              </w:rPr>
            </w:pPr>
            <w:r>
              <w:rPr>
                <w:rFonts w:hint="eastAsia"/>
                <w:kern w:val="0"/>
                <w:sz w:val="21"/>
                <w:szCs w:val="21"/>
                <w:vertAlign w:val="baseline"/>
                <w:lang w:val="en-US" w:eastAsia="zh-CN"/>
              </w:rPr>
              <w:t>测量范围或量程</w:t>
            </w:r>
          </w:p>
        </w:tc>
        <w:tc>
          <w:tcPr>
            <w:tcW w:w="1871" w:type="dxa"/>
            <w:vAlign w:val="center"/>
          </w:tcPr>
          <w:p w14:paraId="49257744">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default" w:eastAsia="宋体"/>
                <w:kern w:val="0"/>
                <w:sz w:val="21"/>
                <w:szCs w:val="21"/>
                <w:vertAlign w:val="baseline"/>
                <w:lang w:val="en-US" w:eastAsia="zh-CN"/>
              </w:rPr>
            </w:pPr>
            <w:r>
              <w:rPr>
                <w:rFonts w:hint="eastAsia"/>
                <w:kern w:val="0"/>
                <w:sz w:val="21"/>
                <w:szCs w:val="21"/>
                <w:vertAlign w:val="baseline"/>
                <w:lang w:val="en-US" w:eastAsia="zh-CN"/>
              </w:rPr>
              <w:t>显示位数</w:t>
            </w:r>
          </w:p>
        </w:tc>
        <w:tc>
          <w:tcPr>
            <w:tcW w:w="1871" w:type="dxa"/>
            <w:vAlign w:val="center"/>
          </w:tcPr>
          <w:p w14:paraId="28753692">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eastAsia="宋体"/>
                <w:kern w:val="0"/>
                <w:sz w:val="21"/>
                <w:szCs w:val="21"/>
                <w:vertAlign w:val="baseline"/>
                <w:lang w:val="en-US" w:eastAsia="zh-CN"/>
              </w:rPr>
            </w:pPr>
            <w:r>
              <w:rPr>
                <w:rFonts w:hint="eastAsia"/>
                <w:kern w:val="0"/>
                <w:sz w:val="21"/>
                <w:szCs w:val="21"/>
                <w:vertAlign w:val="baseline"/>
                <w:lang w:val="en-US" w:eastAsia="zh-CN"/>
              </w:rPr>
              <w:t>最大允许误差</w:t>
            </w:r>
          </w:p>
        </w:tc>
        <w:tc>
          <w:tcPr>
            <w:tcW w:w="1872" w:type="dxa"/>
            <w:vAlign w:val="center"/>
          </w:tcPr>
          <w:p w14:paraId="74832A62">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default" w:eastAsia="宋体"/>
                <w:kern w:val="0"/>
                <w:sz w:val="21"/>
                <w:szCs w:val="21"/>
                <w:vertAlign w:val="baseline"/>
                <w:lang w:val="en-US" w:eastAsia="zh-CN"/>
              </w:rPr>
            </w:pPr>
            <w:r>
              <w:rPr>
                <w:rFonts w:hint="eastAsia"/>
                <w:kern w:val="0"/>
                <w:sz w:val="21"/>
                <w:szCs w:val="21"/>
                <w:vertAlign w:val="baseline"/>
                <w:lang w:val="en-US" w:eastAsia="zh-CN"/>
              </w:rPr>
              <w:t>参考型号</w:t>
            </w:r>
          </w:p>
        </w:tc>
      </w:tr>
      <w:tr w14:paraId="66826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jc w:val="center"/>
        </w:trPr>
        <w:tc>
          <w:tcPr>
            <w:tcW w:w="1871" w:type="dxa"/>
            <w:vAlign w:val="center"/>
          </w:tcPr>
          <w:p w14:paraId="401FC3D5">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default" w:eastAsia="宋体"/>
                <w:kern w:val="0"/>
                <w:sz w:val="21"/>
                <w:szCs w:val="21"/>
                <w:vertAlign w:val="baseline"/>
                <w:lang w:val="en-US" w:eastAsia="zh-CN"/>
              </w:rPr>
            </w:pPr>
            <w:r>
              <w:rPr>
                <w:rFonts w:hint="eastAsia"/>
                <w:kern w:val="0"/>
                <w:sz w:val="21"/>
                <w:szCs w:val="21"/>
                <w:vertAlign w:val="baseline"/>
                <w:lang w:val="en-US" w:eastAsia="zh-CN"/>
              </w:rPr>
              <w:t>数字多用表</w:t>
            </w:r>
          </w:p>
        </w:tc>
        <w:tc>
          <w:tcPr>
            <w:tcW w:w="1871" w:type="dxa"/>
            <w:vAlign w:val="center"/>
          </w:tcPr>
          <w:p w14:paraId="1E8C82E6">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rPr>
              <w:t>ACV:</w:t>
            </w:r>
          </w:p>
          <w:p w14:paraId="312AA464">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rPr>
              <w:t>100mV、1V、10V、100V、750V</w:t>
            </w:r>
          </w:p>
        </w:tc>
        <w:tc>
          <w:tcPr>
            <w:tcW w:w="1871" w:type="dxa"/>
            <w:vAlign w:val="center"/>
          </w:tcPr>
          <w:p w14:paraId="7AA61FE7">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kern w:val="0"/>
                <w:position w:val="-24"/>
                <w:szCs w:val="21"/>
              </w:rPr>
              <w:object>
                <v:shape id="_x0000_i1026" o:spt="75" type="#_x0000_t75" style="height:31.2pt;width:18.6pt;" o:ole="t" filled="f" o:preferrelative="t" stroked="f" coordsize="21600,21600">
                  <v:path/>
                  <v:fill on="f" focussize="0,0"/>
                  <v:stroke on="f" joinstyle="miter"/>
                  <v:imagedata r:id="rId11" o:title=""/>
                  <o:lock v:ext="edit" aspectratio="t"/>
                  <w10:wrap type="none"/>
                  <w10:anchorlock/>
                </v:shape>
                <o:OLEObject Type="Embed" ProgID="Equation.DSMT4" ShapeID="_x0000_i1026" DrawAspect="Content" ObjectID="_1468075726" r:id="rId10">
                  <o:LockedField>false</o:LockedField>
                </o:OLEObject>
              </w:object>
            </w:r>
            <w:r>
              <w:rPr>
                <w:rFonts w:hint="eastAsia"/>
                <w:kern w:val="0"/>
                <w:szCs w:val="21"/>
              </w:rPr>
              <w:t>位</w:t>
            </w:r>
          </w:p>
        </w:tc>
        <w:tc>
          <w:tcPr>
            <w:tcW w:w="1871" w:type="dxa"/>
            <w:vAlign w:val="center"/>
          </w:tcPr>
          <w:p w14:paraId="5E020A84">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Cs w:val="21"/>
              </w:rPr>
              <w:t>（0.05%读数+0.02%量程）</w:t>
            </w:r>
          </w:p>
        </w:tc>
        <w:tc>
          <w:tcPr>
            <w:tcW w:w="1872" w:type="dxa"/>
            <w:vAlign w:val="center"/>
          </w:tcPr>
          <w:p w14:paraId="2F55AD70">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Cs w:val="21"/>
              </w:rPr>
              <w:t>34465A等</w:t>
            </w:r>
          </w:p>
        </w:tc>
      </w:tr>
      <w:tr w14:paraId="2250A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jc w:val="center"/>
        </w:trPr>
        <w:tc>
          <w:tcPr>
            <w:tcW w:w="1871" w:type="dxa"/>
            <w:vAlign w:val="center"/>
          </w:tcPr>
          <w:p w14:paraId="106FA68C">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lang w:val="en-US" w:eastAsia="zh-CN"/>
              </w:rPr>
              <w:t>数字多用表</w:t>
            </w:r>
          </w:p>
        </w:tc>
        <w:tc>
          <w:tcPr>
            <w:tcW w:w="1871" w:type="dxa"/>
            <w:vAlign w:val="center"/>
          </w:tcPr>
          <w:p w14:paraId="3DE9B960">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rPr>
              <w:t>ACV:</w:t>
            </w:r>
          </w:p>
          <w:p w14:paraId="3B7BC51E">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rPr>
              <w:t>100mV、1V、10V、100V、750V</w:t>
            </w:r>
          </w:p>
        </w:tc>
        <w:tc>
          <w:tcPr>
            <w:tcW w:w="1871" w:type="dxa"/>
            <w:vAlign w:val="center"/>
          </w:tcPr>
          <w:p w14:paraId="02D0E781">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kern w:val="0"/>
                <w:position w:val="-24"/>
                <w:szCs w:val="21"/>
              </w:rPr>
              <w:object>
                <v:shape id="_x0000_i1027" o:spt="75" type="#_x0000_t75" style="height:31.2pt;width:18.6pt;" o:ole="t" filled="f" o:preferrelative="t" stroked="f" coordsize="21600,21600">
                  <v:path/>
                  <v:fill on="f" focussize="0,0"/>
                  <v:stroke on="f"/>
                  <v:imagedata r:id="rId13" o:title=""/>
                  <o:lock v:ext="edit" aspectratio="t"/>
                  <w10:wrap type="none"/>
                  <w10:anchorlock/>
                </v:shape>
                <o:OLEObject Type="Embed" ProgID="Equation.DSMT4" ShapeID="_x0000_i1027" DrawAspect="Content" ObjectID="_1468075727" r:id="rId12">
                  <o:LockedField>false</o:LockedField>
                </o:OLEObject>
              </w:object>
            </w:r>
            <w:r>
              <w:rPr>
                <w:rFonts w:hint="eastAsia"/>
                <w:kern w:val="0"/>
                <w:szCs w:val="21"/>
              </w:rPr>
              <w:t>位</w:t>
            </w:r>
          </w:p>
        </w:tc>
        <w:tc>
          <w:tcPr>
            <w:tcW w:w="1871" w:type="dxa"/>
            <w:vAlign w:val="center"/>
          </w:tcPr>
          <w:p w14:paraId="0AAA3962">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Cs w:val="21"/>
              </w:rPr>
              <w:t>（0.05%读数+0.02%量程）</w:t>
            </w:r>
          </w:p>
        </w:tc>
        <w:tc>
          <w:tcPr>
            <w:tcW w:w="1872" w:type="dxa"/>
            <w:vAlign w:val="center"/>
          </w:tcPr>
          <w:p w14:paraId="1C5D67D6">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Cs w:val="21"/>
              </w:rPr>
              <w:t>344</w:t>
            </w:r>
            <w:r>
              <w:rPr>
                <w:rFonts w:hint="eastAsia"/>
                <w:kern w:val="0"/>
                <w:szCs w:val="21"/>
                <w:lang w:val="en-US" w:eastAsia="zh-CN"/>
              </w:rPr>
              <w:t>70</w:t>
            </w:r>
            <w:r>
              <w:rPr>
                <w:rFonts w:hint="eastAsia"/>
                <w:kern w:val="0"/>
                <w:szCs w:val="21"/>
              </w:rPr>
              <w:t>A等</w:t>
            </w:r>
          </w:p>
        </w:tc>
      </w:tr>
      <w:tr w14:paraId="6D055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jc w:val="center"/>
        </w:trPr>
        <w:tc>
          <w:tcPr>
            <w:tcW w:w="1871" w:type="dxa"/>
            <w:vAlign w:val="center"/>
          </w:tcPr>
          <w:p w14:paraId="1A064B0B">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lang w:val="en-US" w:eastAsia="zh-CN"/>
              </w:rPr>
              <w:t>数字多用表</w:t>
            </w:r>
          </w:p>
        </w:tc>
        <w:tc>
          <w:tcPr>
            <w:tcW w:w="1871" w:type="dxa"/>
            <w:vAlign w:val="center"/>
          </w:tcPr>
          <w:p w14:paraId="0FB1C3BE">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rPr>
              <w:t>ACV:</w:t>
            </w:r>
          </w:p>
          <w:p w14:paraId="08CC7ECF">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rPr>
              <w:t>100mV、1V、10V、100V、750V</w:t>
            </w:r>
          </w:p>
        </w:tc>
        <w:tc>
          <w:tcPr>
            <w:tcW w:w="1871" w:type="dxa"/>
            <w:vAlign w:val="center"/>
          </w:tcPr>
          <w:p w14:paraId="521FEE05">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kern w:val="0"/>
                <w:position w:val="-24"/>
                <w:szCs w:val="21"/>
              </w:rPr>
              <w:object>
                <v:shape id="_x0000_i1028" o:spt="75" type="#_x0000_t75" style="height:31.2pt;width:17.65pt;" o:ole="t" filled="f" o:preferrelative="t" stroked="f" coordsize="21600,21600">
                  <v:path/>
                  <v:fill on="f" focussize="0,0"/>
                  <v:stroke on="f"/>
                  <v:imagedata r:id="rId15" o:title=""/>
                  <o:lock v:ext="edit" aspectratio="t"/>
                  <w10:wrap type="none"/>
                  <w10:anchorlock/>
                </v:shape>
                <o:OLEObject Type="Embed" ProgID="Equation.DSMT4" ShapeID="_x0000_i1028" DrawAspect="Content" ObjectID="_1468075728" r:id="rId14">
                  <o:LockedField>false</o:LockedField>
                </o:OLEObject>
              </w:object>
            </w:r>
            <w:r>
              <w:rPr>
                <w:rFonts w:hint="eastAsia"/>
                <w:kern w:val="0"/>
                <w:szCs w:val="21"/>
              </w:rPr>
              <w:t>位</w:t>
            </w:r>
          </w:p>
        </w:tc>
        <w:tc>
          <w:tcPr>
            <w:tcW w:w="1871" w:type="dxa"/>
            <w:vAlign w:val="center"/>
          </w:tcPr>
          <w:p w14:paraId="0C8F7F75">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Cs w:val="21"/>
              </w:rPr>
              <w:t>（0.0</w:t>
            </w:r>
            <w:r>
              <w:rPr>
                <w:rFonts w:hint="eastAsia"/>
                <w:kern w:val="0"/>
                <w:szCs w:val="21"/>
                <w:lang w:val="en-US" w:eastAsia="zh-CN"/>
              </w:rPr>
              <w:t>2</w:t>
            </w:r>
            <w:r>
              <w:rPr>
                <w:rFonts w:hint="eastAsia"/>
                <w:kern w:val="0"/>
                <w:szCs w:val="21"/>
              </w:rPr>
              <w:t>%读数+0.0</w:t>
            </w:r>
            <w:r>
              <w:rPr>
                <w:rFonts w:hint="eastAsia"/>
                <w:kern w:val="0"/>
                <w:szCs w:val="21"/>
                <w:lang w:val="en-US" w:eastAsia="zh-CN"/>
              </w:rPr>
              <w:t>004</w:t>
            </w:r>
            <w:r>
              <w:rPr>
                <w:rFonts w:hint="eastAsia"/>
                <w:kern w:val="0"/>
                <w:szCs w:val="21"/>
              </w:rPr>
              <w:t>%量程）</w:t>
            </w:r>
          </w:p>
        </w:tc>
        <w:tc>
          <w:tcPr>
            <w:tcW w:w="1872" w:type="dxa"/>
            <w:vAlign w:val="center"/>
          </w:tcPr>
          <w:p w14:paraId="3A8A9472">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Cs w:val="21"/>
              </w:rPr>
              <w:t>34</w:t>
            </w:r>
            <w:r>
              <w:rPr>
                <w:rFonts w:hint="eastAsia"/>
                <w:kern w:val="0"/>
                <w:szCs w:val="21"/>
                <w:lang w:val="en-US" w:eastAsia="zh-CN"/>
              </w:rPr>
              <w:t>58</w:t>
            </w:r>
            <w:r>
              <w:rPr>
                <w:rFonts w:hint="eastAsia"/>
                <w:kern w:val="0"/>
                <w:szCs w:val="21"/>
              </w:rPr>
              <w:t>A等</w:t>
            </w:r>
          </w:p>
        </w:tc>
      </w:tr>
      <w:tr w14:paraId="27CD3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jc w:val="center"/>
        </w:trPr>
        <w:tc>
          <w:tcPr>
            <w:tcW w:w="1871" w:type="dxa"/>
            <w:vAlign w:val="center"/>
          </w:tcPr>
          <w:p w14:paraId="6DB65C1F">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eastAsia="宋体"/>
                <w:kern w:val="0"/>
                <w:sz w:val="21"/>
                <w:szCs w:val="21"/>
                <w:vertAlign w:val="baseline"/>
                <w:lang w:val="en-US" w:eastAsia="zh-CN"/>
              </w:rPr>
            </w:pPr>
            <w:r>
              <w:rPr>
                <w:rFonts w:hint="eastAsia"/>
                <w:kern w:val="0"/>
                <w:sz w:val="21"/>
                <w:szCs w:val="21"/>
                <w:vertAlign w:val="baseline"/>
                <w:lang w:val="en-US" w:eastAsia="zh-CN"/>
              </w:rPr>
              <w:t>功率分析仪</w:t>
            </w:r>
          </w:p>
        </w:tc>
        <w:tc>
          <w:tcPr>
            <w:tcW w:w="1871" w:type="dxa"/>
            <w:vAlign w:val="center"/>
          </w:tcPr>
          <w:p w14:paraId="6E4460D4">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rPr>
              <w:t>ACV:</w:t>
            </w:r>
          </w:p>
          <w:p w14:paraId="205F0781">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 w:val="21"/>
                <w:szCs w:val="21"/>
                <w:vertAlign w:val="baseline"/>
              </w:rPr>
              <w:t>15V、30V、60V、100V、150V、300V、600V、1000V</w:t>
            </w:r>
          </w:p>
        </w:tc>
        <w:tc>
          <w:tcPr>
            <w:tcW w:w="1871" w:type="dxa"/>
            <w:vAlign w:val="center"/>
          </w:tcPr>
          <w:p w14:paraId="752FFE27">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kern w:val="0"/>
                <w:position w:val="-24"/>
                <w:szCs w:val="21"/>
              </w:rPr>
              <w:object>
                <v:shape id="_x0000_i1029" o:spt="75" type="#_x0000_t75" style="height:31.2pt;width:17.65pt;" o:ole="t" filled="f" o:preferrelative="t" stroked="f" coordsize="21600,21600">
                  <v:path/>
                  <v:fill on="f" focussize="0,0"/>
                  <v:stroke on="f"/>
                  <v:imagedata r:id="rId17" o:title=""/>
                  <o:lock v:ext="edit" aspectratio="t"/>
                  <w10:wrap type="none"/>
                  <w10:anchorlock/>
                </v:shape>
                <o:OLEObject Type="Embed" ProgID="Equation.DSMT4" ShapeID="_x0000_i1029" DrawAspect="Content" ObjectID="_1468075729" r:id="rId16">
                  <o:LockedField>false</o:LockedField>
                </o:OLEObject>
              </w:object>
            </w:r>
            <w:r>
              <w:rPr>
                <w:rFonts w:hint="eastAsia"/>
                <w:kern w:val="0"/>
                <w:szCs w:val="21"/>
              </w:rPr>
              <w:t>位</w:t>
            </w:r>
          </w:p>
        </w:tc>
        <w:tc>
          <w:tcPr>
            <w:tcW w:w="1871" w:type="dxa"/>
            <w:vAlign w:val="center"/>
          </w:tcPr>
          <w:p w14:paraId="1323E45B">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Cs w:val="21"/>
              </w:rPr>
              <w:t>（0.05%读数+0.0</w:t>
            </w:r>
            <w:r>
              <w:rPr>
                <w:rFonts w:hint="eastAsia"/>
                <w:kern w:val="0"/>
                <w:szCs w:val="21"/>
                <w:lang w:val="en-US" w:eastAsia="zh-CN"/>
              </w:rPr>
              <w:t>5</w:t>
            </w:r>
            <w:r>
              <w:rPr>
                <w:rFonts w:hint="eastAsia"/>
                <w:kern w:val="0"/>
                <w:szCs w:val="21"/>
              </w:rPr>
              <w:t>%量程）</w:t>
            </w:r>
          </w:p>
        </w:tc>
        <w:tc>
          <w:tcPr>
            <w:tcW w:w="1872" w:type="dxa"/>
            <w:vAlign w:val="center"/>
          </w:tcPr>
          <w:p w14:paraId="4ACA108E">
            <w:pPr>
              <w:keepNext w:val="0"/>
              <w:keepLines w:val="0"/>
              <w:pageBreakBefore w:val="0"/>
              <w:widowControl w:val="0"/>
              <w:kinsoku/>
              <w:wordWrap/>
              <w:overflowPunct/>
              <w:topLinePunct w:val="0"/>
              <w:autoSpaceDE/>
              <w:autoSpaceDN/>
              <w:bidi w:val="0"/>
              <w:adjustRightInd/>
              <w:snapToGrid w:val="0"/>
              <w:spacing w:line="240" w:lineRule="auto"/>
              <w:ind w:left="-105" w:leftChars="-50" w:right="-105" w:rightChars="-50"/>
              <w:jc w:val="center"/>
              <w:textAlignment w:val="auto"/>
              <w:rPr>
                <w:rFonts w:hint="eastAsia"/>
                <w:kern w:val="0"/>
                <w:sz w:val="21"/>
                <w:szCs w:val="21"/>
                <w:vertAlign w:val="baseline"/>
              </w:rPr>
            </w:pPr>
            <w:r>
              <w:rPr>
                <w:rFonts w:hint="eastAsia"/>
                <w:kern w:val="0"/>
                <w:szCs w:val="21"/>
                <w:lang w:val="en-US" w:eastAsia="zh-CN"/>
              </w:rPr>
              <w:t>PA8000</w:t>
            </w:r>
            <w:r>
              <w:rPr>
                <w:rFonts w:hint="eastAsia"/>
                <w:kern w:val="0"/>
                <w:szCs w:val="21"/>
              </w:rPr>
              <w:t>等</w:t>
            </w:r>
          </w:p>
        </w:tc>
      </w:tr>
    </w:tbl>
    <w:p w14:paraId="2D58A9B0">
      <w:pPr>
        <w:snapToGrid w:val="0"/>
        <w:spacing w:line="360" w:lineRule="auto"/>
        <w:ind w:firstLine="480" w:firstLineChars="200"/>
        <w:rPr>
          <w:kern w:val="0"/>
          <w:sz w:val="24"/>
        </w:rPr>
      </w:pPr>
      <w:r>
        <w:rPr>
          <w:rFonts w:hint="eastAsia"/>
          <w:kern w:val="0"/>
          <w:sz w:val="24"/>
        </w:rPr>
        <w:t>随着现代数字精密采样技术的持续发展，具备同步采样能力的数字多用表或24位高准确度信号采集系统已获得广泛应用。以采用两台3458A八位半数字多用表构建的双通道同步采样系统为例，其系统组成如图所示。该系统基于3458A的电压采样性能（例如在数字化采样模式下优于20ppm），能够实现对分压器输出信号的同步采集与精确比对分析，其测量准确度完全满足0.02级和0.05级A类分压器的检定需求，并显著优于被检对象两个计量等级的标准要求。相较于传统的标准电压互感器或感应分压器检定方式，双通道同步采样方法可有效抑制信号传输过程中的相位延迟误差，从而提升检定结果的可靠性。若检定任务涉及宽量程交流高压测量（如1000 V级别），可配合使用PA8000系列功率分析仪作为辅助标准设备，但须确保其交流电压允许误差限值（0.05% 读数 + 0.05% 量程）与被检分压器等级相匹配（对于0.05级分压器仍遵循高两个等级的原则）。在实际配置时，还应结合被检分压器的量程范围（如分压器所覆盖的电压等级），选用量程覆盖能力相适应的标准设备。例如，3458A的交流电压量程为100 mV至750 V，可满足大多数A类分压器的检定需求；若涉及更高电压等级，则需增配相应的标准器具。</w:t>
      </w:r>
    </w:p>
    <w:p w14:paraId="3D728F1E">
      <w:pPr>
        <w:pStyle w:val="27"/>
        <w:numPr>
          <w:ilvl w:val="8"/>
          <w:numId w:val="7"/>
        </w:numPr>
        <w:snapToGrid w:val="0"/>
        <w:spacing w:line="360" w:lineRule="auto"/>
        <w:ind w:left="45" w:hanging="45" w:firstLineChars="0"/>
        <w:jc w:val="left"/>
      </w:pPr>
      <w:r>
        <w:rPr>
          <w:rFonts w:hint="eastAsia"/>
          <w:sz w:val="24"/>
        </w:rPr>
        <w:t>检定项目与检定方法</w:t>
      </w:r>
    </w:p>
    <w:p w14:paraId="6EE944FE">
      <w:pPr>
        <w:snapToGrid w:val="0"/>
        <w:spacing w:line="360" w:lineRule="auto"/>
        <w:ind w:firstLine="480" w:firstLineChars="200"/>
        <w:jc w:val="left"/>
      </w:pPr>
      <w:r>
        <w:rPr>
          <w:rFonts w:hint="eastAsia"/>
          <w:sz w:val="24"/>
        </w:rPr>
        <w:t>A、检定项目概述</w:t>
      </w:r>
    </w:p>
    <w:p w14:paraId="0608AEFA">
      <w:pPr>
        <w:snapToGrid w:val="0"/>
        <w:spacing w:line="360" w:lineRule="auto"/>
        <w:ind w:firstLine="480" w:firstLineChars="200"/>
        <w:jc w:val="left"/>
      </w:pPr>
      <w:r>
        <w:rPr>
          <w:rFonts w:hint="eastAsia"/>
          <w:sz w:val="24"/>
        </w:rPr>
        <w:t>本规程规定的首次检定项目涵盖以下五项：外观检查、绝缘强度、基本误差、升降变差及稳定性。</w:t>
      </w:r>
    </w:p>
    <w:p w14:paraId="162D531D">
      <w:pPr>
        <w:snapToGrid w:val="0"/>
        <w:spacing w:line="360" w:lineRule="auto"/>
        <w:ind w:firstLine="480" w:firstLineChars="200"/>
      </w:pPr>
      <w:r>
        <w:rPr>
          <w:rFonts w:hint="eastAsia"/>
          <w:sz w:val="24"/>
        </w:rPr>
        <w:t>相较于2016年版规程，除外观检查项目外，对基本误差的试验方法亦作出了相应调整。</w:t>
      </w:r>
    </w:p>
    <w:p w14:paraId="63DA2C0A">
      <w:pPr>
        <w:snapToGrid w:val="0"/>
        <w:spacing w:line="360" w:lineRule="auto"/>
        <w:ind w:firstLine="480" w:firstLineChars="200"/>
      </w:pPr>
      <w:r>
        <w:rPr>
          <w:rFonts w:hint="eastAsia"/>
          <w:sz w:val="24"/>
        </w:rPr>
        <w:t>B、基本误差检定方法</w:t>
      </w:r>
    </w:p>
    <w:p w14:paraId="43D877CA">
      <w:pPr>
        <w:snapToGrid w:val="0"/>
        <w:spacing w:line="360" w:lineRule="auto"/>
        <w:ind w:firstLine="480" w:firstLineChars="200"/>
      </w:pPr>
      <w:r>
        <w:rPr>
          <w:rFonts w:hint="eastAsia"/>
          <w:sz w:val="24"/>
        </w:rPr>
        <w:t>鉴于A类与B类分压器在计量学特性方面存在差异，且二者对基本误差检定方法的具体要求与实际应用情况有所不同，本次修订将2016年版规程中规定的三种检定方法（电压比法、差值法及等功率电桥法）统一简化为比较法。该方法主要通过标准器配置的差异予以体现，旨在提升本标准的适用性与可操作性。</w:t>
      </w:r>
    </w:p>
    <w:p w14:paraId="62785965">
      <w:pPr>
        <w:snapToGrid w:val="0"/>
        <w:spacing w:line="360" w:lineRule="auto"/>
        <w:ind w:firstLine="480" w:firstLineChars="200"/>
      </w:pPr>
      <w:r>
        <w:rPr>
          <w:rFonts w:hint="eastAsia"/>
          <w:sz w:val="24"/>
        </w:rPr>
        <w:t>由于A类与B类分压器在计量特性（主要指准确度等级）上有所区别，其基本误差检定方法在具体实施路径、检定环境及标准器配置方面亦存在相应差异。</w:t>
      </w:r>
    </w:p>
    <w:p w14:paraId="3E0A6FCD">
      <w:pPr>
        <w:snapToGrid w:val="0"/>
        <w:spacing w:line="360" w:lineRule="auto"/>
        <w:ind w:firstLine="480" w:firstLineChars="200"/>
      </w:pPr>
      <w:r>
        <w:rPr>
          <w:rFonts w:hint="eastAsia"/>
          <w:sz w:val="24"/>
        </w:rPr>
        <w:t>针对B类分压器，其准确度等级一般为0.1级及以下，且不涉及相位差要求。因此，在检定过程中，可采用由标准电压互感器（或标准电容分压器）与两台数字电压表构成的组合标准装置，即可满足检定需求。该标准装置在配置成本与操作便利性方面，均有利于各类计量技术机构的实际应用与推广。</w:t>
      </w:r>
    </w:p>
    <w:p w14:paraId="316FEBD5">
      <w:pPr>
        <w:snapToGrid w:val="0"/>
        <w:spacing w:line="360" w:lineRule="auto"/>
        <w:ind w:firstLine="480" w:firstLineChars="200"/>
        <w:rPr>
          <w:sz w:val="24"/>
        </w:rPr>
      </w:pPr>
      <w:r>
        <w:rPr>
          <w:rFonts w:hint="eastAsia"/>
          <w:sz w:val="24"/>
        </w:rPr>
        <w:t>对于A类分压器，因其通常作为各级计量机构的电压比例工作标准，应用范围相对特定，故对检定环境及标准器配置提出了更为严格的要求。基于直接比较法的技术特点，可采用由标准电压互感器、感应分压器及双通道数字同步采样装置构成的检定系统执行该项检定。鉴于电工指零式校验仪已逐步淘汰，本标准亦相应删除了差值法对应的接线图示。2016年版规程已就检定方法对校验仪的要求作出了相应调整。</w:t>
      </w:r>
    </w:p>
    <w:p w14:paraId="2DB7147C">
      <w:pPr>
        <w:snapToGrid w:val="0"/>
        <w:spacing w:line="360" w:lineRule="auto"/>
        <w:ind w:firstLine="480" w:firstLineChars="200"/>
      </w:pPr>
      <w:r>
        <w:rPr>
          <w:rFonts w:hint="eastAsia"/>
          <w:sz w:val="24"/>
        </w:rPr>
        <w:t>有关双通道数字同步采样装置的计量特性，在附录中予以详细说明，并以基于两台八位半数字多用表3458A所构建的装置（见图示）为例进行阐述。</w:t>
      </w:r>
    </w:p>
    <w:p w14:paraId="6399A52C">
      <w:pPr>
        <w:snapToGrid w:val="0"/>
        <w:spacing w:line="360" w:lineRule="auto"/>
        <w:ind w:firstLine="420" w:firstLineChars="200"/>
        <w:rPr>
          <w:rFonts w:hint="eastAsia"/>
          <w:sz w:val="24"/>
        </w:rPr>
      </w:pPr>
      <w:r>
        <w:rPr>
          <w:rFonts w:hint="eastAsia"/>
        </w:rPr>
        <w:object>
          <v:shape id="_x0000_i1030" o:spt="75" type="#_x0000_t75" style="height:97.8pt;width:411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r>
        <w:rPr>
          <w:rFonts w:hint="eastAsia"/>
          <w:sz w:val="24"/>
        </w:rPr>
        <w:t>在同步采样模式下，其单个通道的电压幅值测量误差可控制在 ±0.005% 以内，通道间一致性误差可被控制在 ±0.001% 范围内。在外部触发条件下，该装置的采样时间抖动（Time Jitter）极低，通常不超过 100 ps。因此，凭借该装置优异的计量性能，配合0.005级标准电压互感器，其对0.02级和0.05级分压器的比值差与相位差进行检定具备充分能力。此外，该装置在量值溯源方面可参照JJF 1995-2022 电子式互感器校验仪校准规范进行。</w:t>
      </w:r>
    </w:p>
    <w:p w14:paraId="1A03CB8F">
      <w:pPr>
        <w:snapToGrid w:val="0"/>
        <w:spacing w:line="360" w:lineRule="auto"/>
        <w:ind w:firstLine="480" w:firstLineChars="200"/>
        <w:rPr>
          <w:rFonts w:hint="eastAsia" w:eastAsia="宋体"/>
          <w:lang w:eastAsia="zh-CN"/>
        </w:rPr>
      </w:pPr>
      <w:r>
        <w:rPr>
          <w:rFonts w:hint="eastAsia"/>
          <w:sz w:val="24"/>
          <w:lang w:val="en-US" w:eastAsia="zh-CN"/>
        </w:rPr>
        <w:t>针对分压器基本误差检定过程中二次负荷的相关问题，经分析，分压器实际应用场景中接入的设备多为数字多用表、峰值电压表或数字采集装置。针对上述三类装置开展调研（详见表2），结果显示其输入阻抗典型值为1 MΩ并联几十至几百pF。据此可知，在交流输出模式下选取1 MΩ作为典型值具备普遍适用性，因此针对分压器基本误差检定的二次负荷额外提出特殊要求不具备显著实际意义。</w:t>
      </w:r>
    </w:p>
    <w:p w14:paraId="59B75CE8">
      <w:pPr>
        <w:pStyle w:val="27"/>
        <w:keepNext/>
        <w:numPr>
          <w:ilvl w:val="8"/>
          <w:numId w:val="8"/>
        </w:numPr>
        <w:snapToGrid w:val="0"/>
        <w:spacing w:line="360" w:lineRule="auto"/>
        <w:ind w:left="0" w:firstLine="0" w:firstLineChars="0"/>
        <w:jc w:val="center"/>
        <w:rPr>
          <w:rFonts w:hint="default"/>
          <w:lang w:val="en-US" w:eastAsia="zh-CN"/>
        </w:rPr>
      </w:pPr>
      <w:r>
        <w:rPr>
          <w:rFonts w:hint="eastAsia"/>
          <w:lang w:val="en-US" w:eastAsia="zh-CN"/>
        </w:rPr>
        <w:t>表计交流输入阻抗调研</w:t>
      </w:r>
      <w:r>
        <w:rPr>
          <w:rFonts w:hint="default"/>
          <w:lang w:val="en-US" w:eastAsia="zh-CN"/>
        </w:rPr>
        <w:t>信息汇总</w:t>
      </w:r>
    </w:p>
    <w:tbl>
      <w:tblPr>
        <w:tblStyle w:val="15"/>
        <w:tblW w:w="80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15" w:type="dxa"/>
          <w:left w:w="15" w:type="dxa"/>
          <w:bottom w:w="15" w:type="dxa"/>
          <w:right w:w="15" w:type="dxa"/>
        </w:tblCellMar>
      </w:tblPr>
      <w:tblGrid>
        <w:gridCol w:w="1728"/>
        <w:gridCol w:w="1724"/>
        <w:gridCol w:w="2596"/>
        <w:gridCol w:w="2051"/>
      </w:tblGrid>
      <w:tr w14:paraId="2D825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tblHeader/>
          <w:jc w:val="center"/>
        </w:trPr>
        <w:tc>
          <w:tcPr>
            <w:tcW w:w="8099" w:type="dxa"/>
            <w:gridSpan w:val="4"/>
            <w:shd w:val="clear" w:color="auto" w:fill="auto"/>
            <w:tcMar>
              <w:top w:w="120" w:type="dxa"/>
              <w:left w:w="0" w:type="dxa"/>
              <w:bottom w:w="120" w:type="dxa"/>
              <w:right w:w="192" w:type="dxa"/>
            </w:tcMar>
            <w:vAlign w:val="center"/>
          </w:tcPr>
          <w:p w14:paraId="4C0FDC27">
            <w:pPr>
              <w:pStyle w:val="4"/>
              <w:keepNext w:val="0"/>
              <w:keepLines w:val="0"/>
              <w:pageBreakBefore w:val="0"/>
              <w:widowControl/>
              <w:suppressLineNumbers w:val="0"/>
              <w:shd w:val="clear" w:fill="FFFFFF"/>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Segoe UI" w:cs="Times New Roman"/>
                <w:b/>
                <w:sz w:val="18"/>
                <w:szCs w:val="18"/>
              </w:rPr>
            </w:pPr>
            <w:r>
              <w:rPr>
                <w:rFonts w:hint="default" w:ascii="Times New Roman" w:hAnsi="Times New Roman" w:cs="Times New Roman"/>
                <w:b w:val="0"/>
                <w:bCs w:val="0"/>
                <w:kern w:val="2"/>
                <w:sz w:val="18"/>
                <w:szCs w:val="18"/>
                <w:lang w:val="en-US" w:eastAsia="zh-CN" w:bidi="ar-SA"/>
              </w:rPr>
              <w:t>参考级</w:t>
            </w:r>
            <w:r>
              <w:rPr>
                <w:rFonts w:hint="default" w:ascii="Times New Roman" w:hAnsi="Times New Roman" w:eastAsia="宋体" w:cs="Times New Roman"/>
                <w:b w:val="0"/>
                <w:bCs w:val="0"/>
                <w:kern w:val="2"/>
                <w:sz w:val="18"/>
                <w:szCs w:val="18"/>
                <w:lang w:val="en-US" w:eastAsia="zh-CN" w:bidi="ar-SA"/>
              </w:rPr>
              <w:t>数字多用表及数字采集装置交流输入阻抗</w:t>
            </w:r>
          </w:p>
        </w:tc>
      </w:tr>
      <w:tr w14:paraId="1838B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tblHeader/>
          <w:jc w:val="center"/>
        </w:trPr>
        <w:tc>
          <w:tcPr>
            <w:tcW w:w="1728" w:type="dxa"/>
            <w:shd w:val="clear" w:color="auto" w:fill="auto"/>
            <w:tcMar>
              <w:top w:w="120" w:type="dxa"/>
              <w:left w:w="0" w:type="dxa"/>
              <w:bottom w:w="120" w:type="dxa"/>
              <w:right w:w="192" w:type="dxa"/>
            </w:tcMar>
            <w:vAlign w:val="center"/>
          </w:tcPr>
          <w:p w14:paraId="66DDA639">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b/>
                <w:kern w:val="2"/>
                <w:sz w:val="18"/>
                <w:szCs w:val="18"/>
                <w:lang w:val="en-US" w:eastAsia="zh-CN" w:bidi="ar-SA"/>
              </w:rPr>
            </w:pPr>
            <w:r>
              <w:rPr>
                <w:rFonts w:hint="default" w:ascii="Times New Roman" w:hAnsi="Times New Roman" w:eastAsia="Segoe UI" w:cs="Times New Roman"/>
                <w:b/>
                <w:kern w:val="0"/>
                <w:sz w:val="18"/>
                <w:szCs w:val="18"/>
                <w:lang w:val="en-US" w:eastAsia="zh-CN" w:bidi="ar"/>
              </w:rPr>
              <w:t>品牌</w:t>
            </w:r>
          </w:p>
        </w:tc>
        <w:tc>
          <w:tcPr>
            <w:tcW w:w="1724" w:type="dxa"/>
            <w:shd w:val="clear" w:color="auto" w:fill="auto"/>
            <w:tcMar>
              <w:top w:w="120" w:type="dxa"/>
              <w:left w:w="192" w:type="dxa"/>
              <w:bottom w:w="120" w:type="dxa"/>
              <w:right w:w="192" w:type="dxa"/>
            </w:tcMar>
            <w:vAlign w:val="center"/>
          </w:tcPr>
          <w:p w14:paraId="288C99F5">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b/>
                <w:kern w:val="2"/>
                <w:sz w:val="18"/>
                <w:szCs w:val="18"/>
                <w:lang w:val="en-US" w:eastAsia="zh-CN" w:bidi="ar-SA"/>
              </w:rPr>
            </w:pPr>
            <w:r>
              <w:rPr>
                <w:rFonts w:hint="default" w:ascii="Times New Roman" w:hAnsi="Times New Roman" w:eastAsia="Segoe UI" w:cs="Times New Roman"/>
                <w:b/>
                <w:kern w:val="0"/>
                <w:sz w:val="18"/>
                <w:szCs w:val="18"/>
                <w:lang w:val="en-US" w:eastAsia="zh-CN" w:bidi="ar"/>
              </w:rPr>
              <w:t>型号</w:t>
            </w:r>
          </w:p>
        </w:tc>
        <w:tc>
          <w:tcPr>
            <w:tcW w:w="2596" w:type="dxa"/>
            <w:shd w:val="clear" w:color="auto" w:fill="auto"/>
            <w:tcMar>
              <w:top w:w="120" w:type="dxa"/>
              <w:left w:w="192" w:type="dxa"/>
              <w:bottom w:w="120" w:type="dxa"/>
              <w:right w:w="192" w:type="dxa"/>
            </w:tcMar>
            <w:vAlign w:val="center"/>
          </w:tcPr>
          <w:p w14:paraId="65A71866">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b/>
                <w:kern w:val="2"/>
                <w:sz w:val="18"/>
                <w:szCs w:val="18"/>
                <w:lang w:val="en-US" w:eastAsia="zh-CN" w:bidi="ar-SA"/>
              </w:rPr>
            </w:pPr>
            <w:r>
              <w:rPr>
                <w:rFonts w:hint="default" w:ascii="Times New Roman" w:hAnsi="Times New Roman" w:eastAsia="Segoe UI" w:cs="Times New Roman"/>
                <w:b/>
                <w:kern w:val="0"/>
                <w:sz w:val="18"/>
                <w:szCs w:val="18"/>
                <w:lang w:val="en-US" w:eastAsia="zh-CN" w:bidi="ar"/>
              </w:rPr>
              <w:t>交流输入阻抗典型值</w:t>
            </w:r>
          </w:p>
        </w:tc>
        <w:tc>
          <w:tcPr>
            <w:tcW w:w="2051" w:type="dxa"/>
            <w:shd w:val="clear" w:color="auto" w:fill="auto"/>
            <w:tcMar>
              <w:top w:w="120" w:type="dxa"/>
              <w:left w:w="192" w:type="dxa"/>
              <w:bottom w:w="120" w:type="dxa"/>
              <w:right w:w="192" w:type="dxa"/>
            </w:tcMar>
            <w:vAlign w:val="center"/>
          </w:tcPr>
          <w:p w14:paraId="100DD6D5">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b/>
                <w:kern w:val="2"/>
                <w:sz w:val="18"/>
                <w:szCs w:val="18"/>
                <w:lang w:val="en-US" w:eastAsia="zh-CN" w:bidi="ar-SA"/>
              </w:rPr>
            </w:pPr>
            <w:r>
              <w:rPr>
                <w:rFonts w:hint="default" w:ascii="Times New Roman" w:hAnsi="Times New Roman" w:eastAsia="Segoe UI" w:cs="Times New Roman"/>
                <w:b/>
                <w:kern w:val="0"/>
                <w:sz w:val="18"/>
                <w:szCs w:val="18"/>
                <w:lang w:val="en-US" w:eastAsia="zh-CN" w:bidi="ar"/>
              </w:rPr>
              <w:t>备注</w:t>
            </w:r>
          </w:p>
        </w:tc>
      </w:tr>
      <w:tr w14:paraId="1842B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4A1F96D4">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Keithley</w:t>
            </w:r>
          </w:p>
        </w:tc>
        <w:tc>
          <w:tcPr>
            <w:tcW w:w="1724" w:type="dxa"/>
            <w:shd w:val="clear" w:color="auto" w:fill="auto"/>
            <w:tcMar>
              <w:top w:w="120" w:type="dxa"/>
              <w:left w:w="192" w:type="dxa"/>
              <w:bottom w:w="120" w:type="dxa"/>
              <w:right w:w="192" w:type="dxa"/>
            </w:tcMar>
            <w:vAlign w:val="center"/>
          </w:tcPr>
          <w:p w14:paraId="5CA8A1D7">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lang w:val="en-US"/>
              </w:rPr>
            </w:pPr>
            <w:r>
              <w:rPr>
                <w:rFonts w:hint="default" w:ascii="Times New Roman" w:hAnsi="Times New Roman" w:eastAsia="Segoe UI" w:cs="Times New Roman"/>
                <w:kern w:val="0"/>
                <w:sz w:val="18"/>
                <w:szCs w:val="18"/>
                <w:lang w:val="en-US" w:eastAsia="zh-CN" w:bidi="ar"/>
              </w:rPr>
              <w:t>2000</w:t>
            </w:r>
            <w:r>
              <w:rPr>
                <w:rFonts w:hint="eastAsia" w:eastAsia="Segoe UI" w:cs="Times New Roman"/>
                <w:kern w:val="0"/>
                <w:sz w:val="18"/>
                <w:szCs w:val="18"/>
                <w:lang w:val="en-US" w:eastAsia="zh-CN" w:bidi="ar"/>
              </w:rPr>
              <w:t>/2001</w:t>
            </w:r>
          </w:p>
        </w:tc>
        <w:tc>
          <w:tcPr>
            <w:tcW w:w="2596" w:type="dxa"/>
            <w:shd w:val="clear" w:color="auto" w:fill="auto"/>
            <w:tcMar>
              <w:top w:w="120" w:type="dxa"/>
              <w:left w:w="192" w:type="dxa"/>
              <w:bottom w:w="120" w:type="dxa"/>
              <w:right w:w="192" w:type="dxa"/>
            </w:tcMar>
            <w:vAlign w:val="center"/>
          </w:tcPr>
          <w:p w14:paraId="44DA2563">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1 MΩ ± 2%, &lt; 100 pF 并联</w:t>
            </w:r>
          </w:p>
        </w:tc>
        <w:tc>
          <w:tcPr>
            <w:tcW w:w="2051" w:type="dxa"/>
            <w:shd w:val="clear" w:color="auto" w:fill="auto"/>
            <w:tcMar>
              <w:top w:w="120" w:type="dxa"/>
              <w:left w:w="192" w:type="dxa"/>
              <w:bottom w:w="120" w:type="dxa"/>
              <w:right w:w="0" w:type="dxa"/>
            </w:tcMar>
            <w:vAlign w:val="center"/>
          </w:tcPr>
          <w:p w14:paraId="78EBC5C5">
            <w:pPr>
              <w:keepNext w:val="0"/>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auto"/>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进口品牌</w: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begin"/>
            </w:r>
            <w:r>
              <w:rPr>
                <w:rFonts w:hint="default" w:ascii="Times New Roman" w:hAnsi="Times New Roman" w:eastAsia="Segoe UI" w:cs="Times New Roman"/>
                <w:color w:val="3964FE"/>
                <w:kern w:val="0"/>
                <w:sz w:val="18"/>
                <w:szCs w:val="18"/>
                <w:u w:val="none"/>
                <w:bdr w:val="single" w:color="auto" w:sz="12" w:space="0"/>
                <w:lang w:val="en-US" w:eastAsia="zh-CN" w:bidi="ar"/>
              </w:rPr>
              <w:instrText xml:space="preserve"> HYPERLINK "https://www.tek.com/tw/documents/specification/keithley-model-2000-6-1-2-digit-multimeter-specifications" \t "https://chat.deepseek.com/a/chat/s/_blank" </w:instrTex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separate"/>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end"/>
            </w:r>
          </w:p>
        </w:tc>
      </w:tr>
      <w:tr w14:paraId="251D5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38ACD1A4">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Keithley</w:t>
            </w:r>
          </w:p>
        </w:tc>
        <w:tc>
          <w:tcPr>
            <w:tcW w:w="1724" w:type="dxa"/>
            <w:shd w:val="clear" w:color="auto" w:fill="auto"/>
            <w:tcMar>
              <w:top w:w="120" w:type="dxa"/>
              <w:left w:w="192" w:type="dxa"/>
              <w:bottom w:w="120" w:type="dxa"/>
              <w:right w:w="192" w:type="dxa"/>
            </w:tcMar>
            <w:vAlign w:val="center"/>
          </w:tcPr>
          <w:p w14:paraId="78872F52">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DMM6500</w:t>
            </w:r>
          </w:p>
        </w:tc>
        <w:tc>
          <w:tcPr>
            <w:tcW w:w="2596" w:type="dxa"/>
            <w:shd w:val="clear" w:color="auto" w:fill="auto"/>
            <w:tcMar>
              <w:top w:w="120" w:type="dxa"/>
              <w:left w:w="192" w:type="dxa"/>
              <w:bottom w:w="120" w:type="dxa"/>
              <w:right w:w="192" w:type="dxa"/>
            </w:tcMar>
            <w:vAlign w:val="center"/>
          </w:tcPr>
          <w:p w14:paraId="5E2C7377">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典型值 &gt;10 MΩ</w:t>
            </w:r>
          </w:p>
        </w:tc>
        <w:tc>
          <w:tcPr>
            <w:tcW w:w="2051" w:type="dxa"/>
            <w:shd w:val="clear" w:color="auto" w:fill="auto"/>
            <w:tcMar>
              <w:top w:w="120" w:type="dxa"/>
              <w:left w:w="192" w:type="dxa"/>
              <w:bottom w:w="120" w:type="dxa"/>
              <w:right w:w="0" w:type="dxa"/>
            </w:tcMar>
            <w:vAlign w:val="center"/>
          </w:tcPr>
          <w:p w14:paraId="4F75EF3F">
            <w:pPr>
              <w:keepNext w:val="0"/>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auto"/>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进口品牌</w:t>
            </w:r>
          </w:p>
        </w:tc>
      </w:tr>
      <w:tr w14:paraId="3D73F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13821536">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Keysight</w:t>
            </w:r>
          </w:p>
        </w:tc>
        <w:tc>
          <w:tcPr>
            <w:tcW w:w="1724" w:type="dxa"/>
            <w:shd w:val="clear" w:color="auto" w:fill="auto"/>
            <w:tcMar>
              <w:top w:w="120" w:type="dxa"/>
              <w:left w:w="192" w:type="dxa"/>
              <w:bottom w:w="120" w:type="dxa"/>
              <w:right w:w="192" w:type="dxa"/>
            </w:tcMar>
            <w:vAlign w:val="center"/>
          </w:tcPr>
          <w:p w14:paraId="32E40B77">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lang w:val="en-US"/>
              </w:rPr>
            </w:pPr>
            <w:r>
              <w:rPr>
                <w:rFonts w:hint="default" w:ascii="Times New Roman" w:hAnsi="Times New Roman" w:eastAsia="Segoe UI" w:cs="Times New Roman"/>
                <w:kern w:val="0"/>
                <w:sz w:val="18"/>
                <w:szCs w:val="18"/>
                <w:lang w:val="en-US" w:eastAsia="zh-CN" w:bidi="ar"/>
              </w:rPr>
              <w:t>34465A/34470A/3458A</w:t>
            </w:r>
          </w:p>
        </w:tc>
        <w:tc>
          <w:tcPr>
            <w:tcW w:w="2596" w:type="dxa"/>
            <w:shd w:val="clear" w:color="auto" w:fill="auto"/>
            <w:tcMar>
              <w:top w:w="120" w:type="dxa"/>
              <w:left w:w="192" w:type="dxa"/>
              <w:bottom w:w="120" w:type="dxa"/>
              <w:right w:w="192" w:type="dxa"/>
            </w:tcMar>
            <w:vAlign w:val="center"/>
          </w:tcPr>
          <w:p w14:paraId="6919E23C">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1 MΩ ± 1%, &lt;100 pF 并联</w:t>
            </w:r>
          </w:p>
        </w:tc>
        <w:tc>
          <w:tcPr>
            <w:tcW w:w="2051" w:type="dxa"/>
            <w:shd w:val="clear" w:color="auto" w:fill="auto"/>
            <w:tcMar>
              <w:top w:w="120" w:type="dxa"/>
              <w:left w:w="192" w:type="dxa"/>
              <w:bottom w:w="120" w:type="dxa"/>
              <w:right w:w="0" w:type="dxa"/>
            </w:tcMar>
            <w:vAlign w:val="center"/>
          </w:tcPr>
          <w:p w14:paraId="5FFCD221">
            <w:pPr>
              <w:keepNext w:val="0"/>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auto"/>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进口品牌</w: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begin"/>
            </w:r>
            <w:r>
              <w:rPr>
                <w:rFonts w:hint="default" w:ascii="Times New Roman" w:hAnsi="Times New Roman" w:eastAsia="Segoe UI" w:cs="Times New Roman"/>
                <w:color w:val="3964FE"/>
                <w:kern w:val="0"/>
                <w:sz w:val="18"/>
                <w:szCs w:val="18"/>
                <w:u w:val="none"/>
                <w:bdr w:val="single" w:color="auto" w:sz="12" w:space="0"/>
                <w:lang w:val="en-US" w:eastAsia="zh-CN" w:bidi="ar"/>
              </w:rPr>
              <w:instrText xml:space="preserve"> HYPERLINK "https://www.alldatasheet.jp/html-pdf/858958/KEYSIGHT/34465A/6607/17/34465A.html" \t "https://chat.deepseek.com/a/chat/s/_blank" </w:instrTex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separate"/>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end"/>
            </w:r>
          </w:p>
        </w:tc>
      </w:tr>
      <w:tr w14:paraId="62D66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6861A4C8">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Fluke</w:t>
            </w:r>
          </w:p>
        </w:tc>
        <w:tc>
          <w:tcPr>
            <w:tcW w:w="1724" w:type="dxa"/>
            <w:shd w:val="clear" w:color="auto" w:fill="auto"/>
            <w:tcMar>
              <w:top w:w="120" w:type="dxa"/>
              <w:left w:w="192" w:type="dxa"/>
              <w:bottom w:w="120" w:type="dxa"/>
              <w:right w:w="192" w:type="dxa"/>
            </w:tcMar>
            <w:vAlign w:val="center"/>
          </w:tcPr>
          <w:p w14:paraId="456D8032">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lang w:val="en-US"/>
              </w:rPr>
            </w:pPr>
            <w:r>
              <w:rPr>
                <w:rFonts w:hint="default" w:ascii="Times New Roman" w:hAnsi="Times New Roman" w:eastAsia="Segoe UI" w:cs="Times New Roman"/>
                <w:kern w:val="0"/>
                <w:sz w:val="18"/>
                <w:szCs w:val="18"/>
                <w:lang w:val="en-US" w:eastAsia="zh-CN" w:bidi="ar"/>
              </w:rPr>
              <w:t>8845A/8846A/8508A</w:t>
            </w:r>
          </w:p>
        </w:tc>
        <w:tc>
          <w:tcPr>
            <w:tcW w:w="2596" w:type="dxa"/>
            <w:shd w:val="clear" w:color="auto" w:fill="auto"/>
            <w:tcMar>
              <w:top w:w="120" w:type="dxa"/>
              <w:left w:w="192" w:type="dxa"/>
              <w:bottom w:w="120" w:type="dxa"/>
              <w:right w:w="192" w:type="dxa"/>
            </w:tcMar>
            <w:vAlign w:val="center"/>
          </w:tcPr>
          <w:p w14:paraId="5B1E4F6C">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1 MΩ</w:t>
            </w:r>
          </w:p>
        </w:tc>
        <w:tc>
          <w:tcPr>
            <w:tcW w:w="2051" w:type="dxa"/>
            <w:shd w:val="clear" w:color="auto" w:fill="auto"/>
            <w:tcMar>
              <w:top w:w="120" w:type="dxa"/>
              <w:left w:w="192" w:type="dxa"/>
              <w:bottom w:w="120" w:type="dxa"/>
              <w:right w:w="0" w:type="dxa"/>
            </w:tcMar>
            <w:vAlign w:val="center"/>
          </w:tcPr>
          <w:p w14:paraId="29497300">
            <w:pPr>
              <w:keepNext w:val="0"/>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auto"/>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进口品牌</w: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begin"/>
            </w:r>
            <w:r>
              <w:rPr>
                <w:rFonts w:hint="default" w:ascii="Times New Roman" w:hAnsi="Times New Roman" w:eastAsia="Segoe UI" w:cs="Times New Roman"/>
                <w:color w:val="3964FE"/>
                <w:kern w:val="0"/>
                <w:sz w:val="18"/>
                <w:szCs w:val="18"/>
                <w:u w:val="none"/>
                <w:bdr w:val="single" w:color="auto" w:sz="12" w:space="0"/>
                <w:lang w:val="en-US" w:eastAsia="zh-CN" w:bidi="ar"/>
              </w:rPr>
              <w:instrText xml:space="preserve"> HYPERLINK "https://microprecision.com/zh-hans/calibration/fluke-8846a-multimeter-precision-6-5digit/" \t "https://chat.deepseek.com/a/chat/s/_blank" </w:instrTex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separate"/>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end"/>
            </w:r>
          </w:p>
        </w:tc>
      </w:tr>
      <w:tr w14:paraId="11DD8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5B72A97A">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Style w:val="18"/>
                <w:rFonts w:hint="default" w:ascii="Times New Roman" w:hAnsi="Times New Roman" w:eastAsia="Segoe UI" w:cs="Times New Roman"/>
                <w:b/>
                <w:bCs/>
                <w:kern w:val="0"/>
                <w:sz w:val="18"/>
                <w:szCs w:val="18"/>
                <w:lang w:val="en-US" w:eastAsia="zh-CN" w:bidi="ar"/>
              </w:rPr>
            </w:pPr>
            <w:r>
              <w:rPr>
                <w:rStyle w:val="18"/>
                <w:rFonts w:hint="default" w:ascii="Times New Roman" w:hAnsi="Times New Roman" w:eastAsia="Segoe UI" w:cs="Times New Roman"/>
                <w:b/>
                <w:bCs/>
                <w:kern w:val="0"/>
                <w:sz w:val="18"/>
                <w:szCs w:val="18"/>
                <w:lang w:val="en-US" w:eastAsia="zh-CN" w:bidi="ar"/>
              </w:rPr>
              <w:t>Rigol</w:t>
            </w:r>
          </w:p>
          <w:p w14:paraId="610E65C5">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 xml:space="preserve"> (普源精电)</w:t>
            </w:r>
          </w:p>
        </w:tc>
        <w:tc>
          <w:tcPr>
            <w:tcW w:w="1724" w:type="dxa"/>
            <w:shd w:val="clear" w:color="auto" w:fill="auto"/>
            <w:tcMar>
              <w:top w:w="120" w:type="dxa"/>
              <w:left w:w="192" w:type="dxa"/>
              <w:bottom w:w="120" w:type="dxa"/>
              <w:right w:w="192" w:type="dxa"/>
            </w:tcMar>
            <w:vAlign w:val="center"/>
          </w:tcPr>
          <w:p w14:paraId="20055EFB">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DM3068</w:t>
            </w:r>
          </w:p>
        </w:tc>
        <w:tc>
          <w:tcPr>
            <w:tcW w:w="2596" w:type="dxa"/>
            <w:shd w:val="clear" w:color="auto" w:fill="auto"/>
            <w:tcMar>
              <w:top w:w="120" w:type="dxa"/>
              <w:left w:w="192" w:type="dxa"/>
              <w:bottom w:w="120" w:type="dxa"/>
              <w:right w:w="192" w:type="dxa"/>
            </w:tcMar>
            <w:vAlign w:val="center"/>
          </w:tcPr>
          <w:p w14:paraId="07974373">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1 MΩ ± 2%, &lt;150 pF 并联</w:t>
            </w:r>
          </w:p>
        </w:tc>
        <w:tc>
          <w:tcPr>
            <w:tcW w:w="2051" w:type="dxa"/>
            <w:shd w:val="clear" w:color="auto" w:fill="auto"/>
            <w:tcMar>
              <w:top w:w="120" w:type="dxa"/>
              <w:left w:w="192" w:type="dxa"/>
              <w:bottom w:w="120" w:type="dxa"/>
              <w:right w:w="0" w:type="dxa"/>
            </w:tcMar>
            <w:vAlign w:val="center"/>
          </w:tcPr>
          <w:p w14:paraId="67F2F49B">
            <w:pPr>
              <w:keepNext w:val="0"/>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auto"/>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国产品牌</w: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begin"/>
            </w:r>
            <w:r>
              <w:rPr>
                <w:rFonts w:hint="default" w:ascii="Times New Roman" w:hAnsi="Times New Roman" w:eastAsia="Segoe UI" w:cs="Times New Roman"/>
                <w:color w:val="3964FE"/>
                <w:kern w:val="0"/>
                <w:sz w:val="18"/>
                <w:szCs w:val="18"/>
                <w:u w:val="none"/>
                <w:bdr w:val="single" w:color="auto" w:sz="12" w:space="0"/>
                <w:lang w:val="en-US" w:eastAsia="zh-CN" w:bidi="ar"/>
              </w:rPr>
              <w:instrText xml:space="preserve"> HYPERLINK "https://chinese.alibaba.com/product-detail/RIGOL-DM3068-Bench-Type-Digital-Multimeter-1601449091281.html" \t "https://chat.deepseek.com/a/chat/s/_blank" </w:instrTex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separate"/>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end"/>
            </w:r>
          </w:p>
        </w:tc>
      </w:tr>
      <w:tr w14:paraId="46F58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16DB923D">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Style w:val="18"/>
                <w:rFonts w:hint="default" w:ascii="Times New Roman" w:hAnsi="Times New Roman" w:eastAsia="Segoe UI" w:cs="Times New Roman"/>
                <w:b/>
                <w:bCs/>
                <w:kern w:val="0"/>
                <w:sz w:val="18"/>
                <w:szCs w:val="18"/>
                <w:lang w:val="en-US" w:eastAsia="zh-CN" w:bidi="ar"/>
              </w:rPr>
            </w:pPr>
            <w:r>
              <w:rPr>
                <w:rStyle w:val="18"/>
                <w:rFonts w:hint="default" w:ascii="Times New Roman" w:hAnsi="Times New Roman" w:eastAsia="Segoe UI" w:cs="Times New Roman"/>
                <w:b/>
                <w:bCs/>
                <w:kern w:val="0"/>
                <w:sz w:val="18"/>
                <w:szCs w:val="18"/>
                <w:lang w:val="en-US" w:eastAsia="zh-CN" w:bidi="ar"/>
              </w:rPr>
              <w:t>ZLG</w:t>
            </w:r>
          </w:p>
          <w:p w14:paraId="11A7D38B">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 xml:space="preserve"> (致远电子)</w:t>
            </w:r>
          </w:p>
        </w:tc>
        <w:tc>
          <w:tcPr>
            <w:tcW w:w="1724" w:type="dxa"/>
            <w:shd w:val="clear" w:color="auto" w:fill="auto"/>
            <w:tcMar>
              <w:top w:w="120" w:type="dxa"/>
              <w:left w:w="192" w:type="dxa"/>
              <w:bottom w:w="120" w:type="dxa"/>
              <w:right w:w="192" w:type="dxa"/>
            </w:tcMar>
            <w:vAlign w:val="center"/>
          </w:tcPr>
          <w:p w14:paraId="6DDEE1FC">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DMM6000</w:t>
            </w:r>
          </w:p>
        </w:tc>
        <w:tc>
          <w:tcPr>
            <w:tcW w:w="2596" w:type="dxa"/>
            <w:shd w:val="clear" w:color="auto" w:fill="auto"/>
            <w:tcMar>
              <w:top w:w="120" w:type="dxa"/>
              <w:left w:w="192" w:type="dxa"/>
              <w:bottom w:w="120" w:type="dxa"/>
              <w:right w:w="192" w:type="dxa"/>
            </w:tcMar>
            <w:vAlign w:val="center"/>
          </w:tcPr>
          <w:p w14:paraId="199AD8C0">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10 MΩ (高电压量程) / &gt;10 GΩ (低电压量程)</w:t>
            </w:r>
          </w:p>
        </w:tc>
        <w:tc>
          <w:tcPr>
            <w:tcW w:w="2051" w:type="dxa"/>
            <w:shd w:val="clear" w:color="auto" w:fill="auto"/>
            <w:tcMar>
              <w:top w:w="120" w:type="dxa"/>
              <w:left w:w="192" w:type="dxa"/>
              <w:bottom w:w="120" w:type="dxa"/>
              <w:right w:w="0" w:type="dxa"/>
            </w:tcMar>
            <w:vAlign w:val="center"/>
          </w:tcPr>
          <w:p w14:paraId="0B27A188">
            <w:pPr>
              <w:keepNext w:val="0"/>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auto"/>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国产品牌</w:t>
            </w:r>
          </w:p>
        </w:tc>
      </w:tr>
      <w:tr w14:paraId="14513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3DD33B3B">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Style w:val="18"/>
                <w:rFonts w:hint="default" w:ascii="Times New Roman" w:hAnsi="Times New Roman" w:eastAsia="Segoe UI" w:cs="Times New Roman"/>
                <w:b/>
                <w:bCs/>
                <w:kern w:val="0"/>
                <w:sz w:val="18"/>
                <w:szCs w:val="18"/>
                <w:lang w:val="en-US" w:eastAsia="zh-CN" w:bidi="ar"/>
              </w:rPr>
            </w:pPr>
            <w:r>
              <w:rPr>
                <w:rStyle w:val="18"/>
                <w:rFonts w:hint="default" w:ascii="Times New Roman" w:hAnsi="Times New Roman" w:eastAsia="Segoe UI" w:cs="Times New Roman"/>
                <w:b/>
                <w:bCs/>
                <w:kern w:val="0"/>
                <w:sz w:val="18"/>
                <w:szCs w:val="18"/>
                <w:lang w:val="en-US" w:eastAsia="zh-CN" w:bidi="ar"/>
              </w:rPr>
              <w:t>NI</w:t>
            </w:r>
          </w:p>
          <w:p w14:paraId="18C9544B">
            <w:pPr>
              <w:keepNext w:val="0"/>
              <w:keepLines w:val="0"/>
              <w:pageBreakBefore w:val="0"/>
              <w:widowControl/>
              <w:suppressLineNumbers w:val="0"/>
              <w:kinsoku/>
              <w:wordWrap/>
              <w:overflowPunct/>
              <w:topLinePunct w:val="0"/>
              <w:autoSpaceDE/>
              <w:autoSpaceDN/>
              <w:bidi w:val="0"/>
              <w:adjustRightInd/>
              <w:snapToGrid w:val="0"/>
              <w:spacing w:line="240" w:lineRule="auto"/>
              <w:ind w:left="-105" w:leftChars="-50" w:right="-105" w:rightChars="-50" w:firstLine="0" w:firstLineChars="0"/>
              <w:jc w:val="center"/>
              <w:textAlignment w:val="auto"/>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(美国国家仪器)</w:t>
            </w:r>
          </w:p>
        </w:tc>
        <w:tc>
          <w:tcPr>
            <w:tcW w:w="1724" w:type="dxa"/>
            <w:shd w:val="clear" w:color="auto" w:fill="auto"/>
            <w:tcMar>
              <w:top w:w="120" w:type="dxa"/>
              <w:left w:w="192" w:type="dxa"/>
              <w:bottom w:w="120" w:type="dxa"/>
              <w:right w:w="192" w:type="dxa"/>
            </w:tcMar>
            <w:vAlign w:val="center"/>
          </w:tcPr>
          <w:p w14:paraId="67B3764A">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PXI/PCI-5922</w:t>
            </w:r>
          </w:p>
        </w:tc>
        <w:tc>
          <w:tcPr>
            <w:tcW w:w="2596" w:type="dxa"/>
            <w:shd w:val="clear" w:color="auto" w:fill="auto"/>
            <w:tcMar>
              <w:top w:w="120" w:type="dxa"/>
              <w:left w:w="192" w:type="dxa"/>
              <w:bottom w:w="120" w:type="dxa"/>
              <w:right w:w="192" w:type="dxa"/>
            </w:tcMar>
            <w:vAlign w:val="center"/>
          </w:tcPr>
          <w:p w14:paraId="6FE56708">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可软件设置：1 MΩ ± 2% 并联 60 pF；或 50 Ω ± 2.0%</w:t>
            </w:r>
          </w:p>
        </w:tc>
        <w:tc>
          <w:tcPr>
            <w:tcW w:w="2051" w:type="dxa"/>
            <w:shd w:val="clear" w:color="auto" w:fill="auto"/>
            <w:tcMar>
              <w:top w:w="120" w:type="dxa"/>
              <w:left w:w="192" w:type="dxa"/>
              <w:bottom w:w="120" w:type="dxa"/>
              <w:right w:w="0" w:type="dxa"/>
            </w:tcMar>
            <w:vAlign w:val="center"/>
          </w:tcPr>
          <w:p w14:paraId="47AB4B09">
            <w:pPr>
              <w:keepNext w:val="0"/>
              <w:keepLines w:val="0"/>
              <w:pageBreakBefore w:val="0"/>
              <w:widowControl/>
              <w:suppressLineNumbers w:val="0"/>
              <w:kinsoku/>
              <w:wordWrap/>
              <w:overflowPunct/>
              <w:topLinePunct w:val="0"/>
              <w:autoSpaceDE/>
              <w:autoSpaceDN/>
              <w:bidi w:val="0"/>
              <w:adjustRightInd/>
              <w:snapToGrid w:val="0"/>
              <w:spacing w:line="240" w:lineRule="auto"/>
              <w:ind w:left="0" w:leftChars="0" w:right="0" w:rightChars="0" w:firstLine="0" w:firstLineChars="0"/>
              <w:jc w:val="left"/>
              <w:textAlignment w:val="auto"/>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数字采集装置</w: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begin"/>
            </w:r>
            <w:r>
              <w:rPr>
                <w:rFonts w:hint="default" w:ascii="Times New Roman" w:hAnsi="Times New Roman" w:eastAsia="Segoe UI" w:cs="Times New Roman"/>
                <w:color w:val="3964FE"/>
                <w:kern w:val="0"/>
                <w:sz w:val="18"/>
                <w:szCs w:val="18"/>
                <w:u w:val="none"/>
                <w:bdr w:val="single" w:color="auto" w:sz="12" w:space="0"/>
                <w:lang w:val="en-US" w:eastAsia="zh-CN" w:bidi="ar"/>
              </w:rPr>
              <w:instrText xml:space="preserve"> HYPERLINK "https://www.ni.com/docs/en-KE/bundle/pci-5922-specs/page/specs.html" \t "https://chat.deepseek.com/a/chat/s/_blank" </w:instrTex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separate"/>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end"/>
            </w:r>
          </w:p>
        </w:tc>
      </w:tr>
      <w:tr w14:paraId="21C75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tblHeader/>
          <w:jc w:val="center"/>
        </w:trPr>
        <w:tc>
          <w:tcPr>
            <w:tcW w:w="8099" w:type="dxa"/>
            <w:gridSpan w:val="4"/>
            <w:shd w:val="clear" w:color="auto" w:fill="auto"/>
            <w:tcMar>
              <w:top w:w="120" w:type="dxa"/>
              <w:left w:w="0" w:type="dxa"/>
              <w:bottom w:w="120" w:type="dxa"/>
              <w:right w:w="192" w:type="dxa"/>
            </w:tcMar>
            <w:vAlign w:val="center"/>
          </w:tcPr>
          <w:p w14:paraId="3ABDD4F9">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b/>
                <w:kern w:val="0"/>
                <w:sz w:val="18"/>
                <w:szCs w:val="18"/>
                <w:lang w:val="en-US" w:eastAsia="zh-CN" w:bidi="ar"/>
              </w:rPr>
            </w:pPr>
            <w:r>
              <w:rPr>
                <w:rFonts w:hint="default" w:ascii="Times New Roman" w:hAnsi="Times New Roman" w:eastAsia="Segoe UI" w:cs="Times New Roman"/>
                <w:b/>
                <w:bCs/>
                <w:caps w:val="0"/>
                <w:color w:val="0F1115"/>
                <w:spacing w:val="0"/>
                <w:sz w:val="18"/>
                <w:szCs w:val="18"/>
                <w:shd w:val="clear" w:fill="FFFFFF"/>
              </w:rPr>
              <w:t>峰值电压表等其他仪表</w:t>
            </w:r>
          </w:p>
        </w:tc>
      </w:tr>
      <w:tr w14:paraId="33626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tblHeader/>
          <w:jc w:val="center"/>
        </w:trPr>
        <w:tc>
          <w:tcPr>
            <w:tcW w:w="1728" w:type="dxa"/>
            <w:shd w:val="clear" w:color="auto" w:fill="auto"/>
            <w:tcMar>
              <w:top w:w="120" w:type="dxa"/>
              <w:left w:w="0" w:type="dxa"/>
              <w:bottom w:w="120" w:type="dxa"/>
              <w:right w:w="192" w:type="dxa"/>
            </w:tcMar>
            <w:vAlign w:val="center"/>
          </w:tcPr>
          <w:p w14:paraId="7242AF14">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b/>
                <w:sz w:val="18"/>
                <w:szCs w:val="18"/>
              </w:rPr>
            </w:pPr>
            <w:r>
              <w:rPr>
                <w:rFonts w:hint="default" w:ascii="Times New Roman" w:hAnsi="Times New Roman" w:eastAsia="Segoe UI" w:cs="Times New Roman"/>
                <w:b/>
                <w:kern w:val="0"/>
                <w:sz w:val="18"/>
                <w:szCs w:val="18"/>
                <w:lang w:val="en-US" w:eastAsia="zh-CN" w:bidi="ar"/>
              </w:rPr>
              <w:t>品牌</w:t>
            </w:r>
          </w:p>
        </w:tc>
        <w:tc>
          <w:tcPr>
            <w:tcW w:w="1724" w:type="dxa"/>
            <w:shd w:val="clear" w:color="auto" w:fill="auto"/>
            <w:tcMar>
              <w:top w:w="120" w:type="dxa"/>
              <w:left w:w="192" w:type="dxa"/>
              <w:bottom w:w="120" w:type="dxa"/>
              <w:right w:w="192" w:type="dxa"/>
            </w:tcMar>
            <w:vAlign w:val="center"/>
          </w:tcPr>
          <w:p w14:paraId="6A1CB56C">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b/>
                <w:sz w:val="18"/>
                <w:szCs w:val="18"/>
              </w:rPr>
            </w:pPr>
            <w:r>
              <w:rPr>
                <w:rFonts w:hint="default" w:ascii="Times New Roman" w:hAnsi="Times New Roman" w:eastAsia="Segoe UI" w:cs="Times New Roman"/>
                <w:b/>
                <w:kern w:val="0"/>
                <w:sz w:val="18"/>
                <w:szCs w:val="18"/>
                <w:lang w:val="en-US" w:eastAsia="zh-CN" w:bidi="ar"/>
              </w:rPr>
              <w:t>型号</w:t>
            </w:r>
          </w:p>
        </w:tc>
        <w:tc>
          <w:tcPr>
            <w:tcW w:w="2596" w:type="dxa"/>
            <w:shd w:val="clear" w:color="auto" w:fill="auto"/>
            <w:tcMar>
              <w:top w:w="120" w:type="dxa"/>
              <w:left w:w="192" w:type="dxa"/>
              <w:bottom w:w="120" w:type="dxa"/>
              <w:right w:w="192" w:type="dxa"/>
            </w:tcMar>
            <w:vAlign w:val="center"/>
          </w:tcPr>
          <w:p w14:paraId="1D30B163">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b/>
                <w:sz w:val="18"/>
                <w:szCs w:val="18"/>
              </w:rPr>
            </w:pPr>
            <w:r>
              <w:rPr>
                <w:rFonts w:hint="default" w:ascii="Times New Roman" w:hAnsi="Times New Roman" w:eastAsia="Segoe UI" w:cs="Times New Roman"/>
                <w:b/>
                <w:kern w:val="0"/>
                <w:sz w:val="18"/>
                <w:szCs w:val="18"/>
                <w:lang w:val="en-US" w:eastAsia="zh-CN" w:bidi="ar"/>
              </w:rPr>
              <w:t>输入阻抗典型值</w:t>
            </w:r>
          </w:p>
        </w:tc>
        <w:tc>
          <w:tcPr>
            <w:tcW w:w="2051" w:type="dxa"/>
            <w:shd w:val="clear" w:color="auto" w:fill="auto"/>
            <w:tcMar>
              <w:top w:w="120" w:type="dxa"/>
              <w:left w:w="192" w:type="dxa"/>
              <w:bottom w:w="120" w:type="dxa"/>
              <w:right w:w="192" w:type="dxa"/>
            </w:tcMar>
            <w:vAlign w:val="center"/>
          </w:tcPr>
          <w:p w14:paraId="054DAD15">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b/>
                <w:sz w:val="18"/>
                <w:szCs w:val="18"/>
              </w:rPr>
            </w:pPr>
            <w:r>
              <w:rPr>
                <w:rFonts w:hint="default" w:ascii="Times New Roman" w:hAnsi="Times New Roman" w:eastAsia="Segoe UI" w:cs="Times New Roman"/>
                <w:b/>
                <w:kern w:val="0"/>
                <w:sz w:val="18"/>
                <w:szCs w:val="18"/>
                <w:lang w:val="en-US" w:eastAsia="zh-CN" w:bidi="ar"/>
              </w:rPr>
              <w:t>备注</w:t>
            </w:r>
          </w:p>
        </w:tc>
      </w:tr>
      <w:tr w14:paraId="62793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2DB77460">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南澳电气</w:t>
            </w:r>
          </w:p>
        </w:tc>
        <w:tc>
          <w:tcPr>
            <w:tcW w:w="1724" w:type="dxa"/>
            <w:shd w:val="clear" w:color="auto" w:fill="auto"/>
            <w:tcMar>
              <w:top w:w="120" w:type="dxa"/>
              <w:left w:w="192" w:type="dxa"/>
              <w:bottom w:w="120" w:type="dxa"/>
              <w:right w:w="192" w:type="dxa"/>
            </w:tcMar>
            <w:vAlign w:val="center"/>
          </w:tcPr>
          <w:p w14:paraId="77263A1E">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NA201</w:t>
            </w:r>
          </w:p>
        </w:tc>
        <w:tc>
          <w:tcPr>
            <w:tcW w:w="2596" w:type="dxa"/>
            <w:shd w:val="clear" w:color="auto" w:fill="auto"/>
            <w:tcMar>
              <w:top w:w="120" w:type="dxa"/>
              <w:left w:w="192" w:type="dxa"/>
              <w:bottom w:w="120" w:type="dxa"/>
              <w:right w:w="192" w:type="dxa"/>
            </w:tcMar>
            <w:vAlign w:val="center"/>
          </w:tcPr>
          <w:p w14:paraId="4F8197BD">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≥4 MΩ</w:t>
            </w:r>
          </w:p>
        </w:tc>
        <w:tc>
          <w:tcPr>
            <w:tcW w:w="2051" w:type="dxa"/>
            <w:shd w:val="clear" w:color="auto" w:fill="auto"/>
            <w:tcMar>
              <w:top w:w="120" w:type="dxa"/>
              <w:left w:w="192" w:type="dxa"/>
              <w:bottom w:w="120" w:type="dxa"/>
              <w:right w:w="0" w:type="dxa"/>
            </w:tcMar>
            <w:vAlign w:val="center"/>
          </w:tcPr>
          <w:p w14:paraId="6AF780A9">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国产品牌，峰值电压表</w: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begin"/>
            </w:r>
            <w:r>
              <w:rPr>
                <w:rFonts w:hint="default" w:ascii="Times New Roman" w:hAnsi="Times New Roman" w:eastAsia="Segoe UI" w:cs="Times New Roman"/>
                <w:color w:val="3964FE"/>
                <w:kern w:val="0"/>
                <w:sz w:val="18"/>
                <w:szCs w:val="18"/>
                <w:u w:val="none"/>
                <w:bdr w:val="single" w:color="auto" w:sz="12" w:space="0"/>
                <w:lang w:val="en-US" w:eastAsia="zh-CN" w:bidi="ar"/>
              </w:rPr>
              <w:instrText xml:space="preserve"> HYPERLINK "http://www.nanaoelec.com/shebeizhongxin/bianyaqijianceshebei_kaiguanjianceshebei/29.html" \t "https://chat.deepseek.com/a/chat/s/_blank" </w:instrTex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separate"/>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end"/>
            </w:r>
          </w:p>
        </w:tc>
      </w:tr>
      <w:tr w14:paraId="3DC3A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46DB7E5A">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上海徐吉电气</w:t>
            </w:r>
          </w:p>
        </w:tc>
        <w:tc>
          <w:tcPr>
            <w:tcW w:w="1724" w:type="dxa"/>
            <w:shd w:val="clear" w:color="auto" w:fill="auto"/>
            <w:tcMar>
              <w:top w:w="120" w:type="dxa"/>
              <w:left w:w="192" w:type="dxa"/>
              <w:bottom w:w="120" w:type="dxa"/>
              <w:right w:w="192" w:type="dxa"/>
            </w:tcMar>
            <w:vAlign w:val="center"/>
          </w:tcPr>
          <w:p w14:paraId="2ADD0FB1">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XL4005</w:t>
            </w:r>
          </w:p>
        </w:tc>
        <w:tc>
          <w:tcPr>
            <w:tcW w:w="2596" w:type="dxa"/>
            <w:shd w:val="clear" w:color="auto" w:fill="auto"/>
            <w:tcMar>
              <w:top w:w="120" w:type="dxa"/>
              <w:left w:w="192" w:type="dxa"/>
              <w:bottom w:w="120" w:type="dxa"/>
              <w:right w:w="192" w:type="dxa"/>
            </w:tcMar>
            <w:vAlign w:val="center"/>
          </w:tcPr>
          <w:p w14:paraId="3F21AD90">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≥6 MΩ</w:t>
            </w:r>
          </w:p>
        </w:tc>
        <w:tc>
          <w:tcPr>
            <w:tcW w:w="2051" w:type="dxa"/>
            <w:shd w:val="clear" w:color="auto" w:fill="auto"/>
            <w:tcMar>
              <w:top w:w="120" w:type="dxa"/>
              <w:left w:w="192" w:type="dxa"/>
              <w:bottom w:w="120" w:type="dxa"/>
              <w:right w:w="0" w:type="dxa"/>
            </w:tcMar>
            <w:vAlign w:val="center"/>
          </w:tcPr>
          <w:p w14:paraId="4E40C35E">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国产品牌，峰值电压表</w: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begin"/>
            </w:r>
            <w:r>
              <w:rPr>
                <w:rFonts w:hint="default" w:ascii="Times New Roman" w:hAnsi="Times New Roman" w:eastAsia="Segoe UI" w:cs="Times New Roman"/>
                <w:color w:val="3964FE"/>
                <w:kern w:val="0"/>
                <w:sz w:val="18"/>
                <w:szCs w:val="18"/>
                <w:u w:val="none"/>
                <w:bdr w:val="single" w:color="auto" w:sz="12" w:space="0"/>
                <w:lang w:val="en-US" w:eastAsia="zh-CN" w:bidi="ar"/>
              </w:rPr>
              <w:instrText xml:space="preserve"> HYPERLINK "http://www.shst100.com/sute19-Products-24848575/" \t "https://chat.deepseek.com/a/chat/s/_blank" </w:instrText>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separate"/>
            </w:r>
            <w:r>
              <w:rPr>
                <w:rFonts w:hint="default" w:ascii="Times New Roman" w:hAnsi="Times New Roman" w:eastAsia="Segoe UI" w:cs="Times New Roman"/>
                <w:color w:val="3964FE"/>
                <w:kern w:val="0"/>
                <w:sz w:val="18"/>
                <w:szCs w:val="18"/>
                <w:u w:val="none"/>
                <w:bdr w:val="single" w:color="auto" w:sz="12" w:space="0"/>
                <w:lang w:val="en-US" w:eastAsia="zh-CN" w:bidi="ar"/>
              </w:rPr>
              <w:fldChar w:fldCharType="end"/>
            </w:r>
          </w:p>
        </w:tc>
      </w:tr>
      <w:tr w14:paraId="36C8A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231CD2D1">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中试控股</w:t>
            </w:r>
          </w:p>
        </w:tc>
        <w:tc>
          <w:tcPr>
            <w:tcW w:w="1724" w:type="dxa"/>
            <w:shd w:val="clear" w:color="auto" w:fill="auto"/>
            <w:tcMar>
              <w:top w:w="120" w:type="dxa"/>
              <w:left w:w="192" w:type="dxa"/>
              <w:bottom w:w="120" w:type="dxa"/>
              <w:right w:w="192" w:type="dxa"/>
            </w:tcMar>
            <w:vAlign w:val="center"/>
          </w:tcPr>
          <w:p w14:paraId="6068BE40">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ZS-SMGF</w:t>
            </w:r>
          </w:p>
        </w:tc>
        <w:tc>
          <w:tcPr>
            <w:tcW w:w="2596" w:type="dxa"/>
            <w:shd w:val="clear" w:color="auto" w:fill="auto"/>
            <w:tcMar>
              <w:top w:w="120" w:type="dxa"/>
              <w:left w:w="192" w:type="dxa"/>
              <w:bottom w:w="120" w:type="dxa"/>
              <w:right w:w="192" w:type="dxa"/>
            </w:tcMar>
            <w:vAlign w:val="center"/>
          </w:tcPr>
          <w:p w14:paraId="217EDAAC">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≥10 MΩ</w:t>
            </w:r>
          </w:p>
        </w:tc>
        <w:tc>
          <w:tcPr>
            <w:tcW w:w="2051" w:type="dxa"/>
            <w:shd w:val="clear" w:color="auto" w:fill="auto"/>
            <w:tcMar>
              <w:top w:w="120" w:type="dxa"/>
              <w:left w:w="192" w:type="dxa"/>
              <w:bottom w:w="120" w:type="dxa"/>
              <w:right w:w="0" w:type="dxa"/>
            </w:tcMar>
            <w:vAlign w:val="center"/>
          </w:tcPr>
          <w:p w14:paraId="575E504A">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国产品牌，峰值电压表</w:t>
            </w:r>
          </w:p>
        </w:tc>
      </w:tr>
      <w:tr w14:paraId="5AE91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195B7968">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武汉博试电力</w:t>
            </w:r>
          </w:p>
        </w:tc>
        <w:tc>
          <w:tcPr>
            <w:tcW w:w="1724" w:type="dxa"/>
            <w:shd w:val="clear" w:color="auto" w:fill="auto"/>
            <w:tcMar>
              <w:top w:w="120" w:type="dxa"/>
              <w:left w:w="192" w:type="dxa"/>
              <w:bottom w:w="120" w:type="dxa"/>
              <w:right w:w="192" w:type="dxa"/>
            </w:tcMar>
            <w:vAlign w:val="center"/>
          </w:tcPr>
          <w:p w14:paraId="081E74AB">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BOS-DCMS</w:t>
            </w:r>
          </w:p>
        </w:tc>
        <w:tc>
          <w:tcPr>
            <w:tcW w:w="2596" w:type="dxa"/>
            <w:shd w:val="clear" w:color="auto" w:fill="auto"/>
            <w:tcMar>
              <w:top w:w="120" w:type="dxa"/>
              <w:left w:w="192" w:type="dxa"/>
              <w:bottom w:w="120" w:type="dxa"/>
              <w:right w:w="192" w:type="dxa"/>
            </w:tcMar>
            <w:vAlign w:val="center"/>
          </w:tcPr>
          <w:p w14:paraId="779E5E6C">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&gt;2 MΩ</w:t>
            </w:r>
          </w:p>
        </w:tc>
        <w:tc>
          <w:tcPr>
            <w:tcW w:w="2051" w:type="dxa"/>
            <w:shd w:val="clear" w:color="auto" w:fill="auto"/>
            <w:tcMar>
              <w:top w:w="120" w:type="dxa"/>
              <w:left w:w="192" w:type="dxa"/>
              <w:bottom w:w="120" w:type="dxa"/>
              <w:right w:w="0" w:type="dxa"/>
            </w:tcMar>
            <w:vAlign w:val="center"/>
          </w:tcPr>
          <w:p w14:paraId="0112C29A">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国产品牌，峰值电压表</w:t>
            </w:r>
          </w:p>
        </w:tc>
      </w:tr>
      <w:tr w14:paraId="7B686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4A6B728B">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Style w:val="18"/>
                <w:rFonts w:hint="default" w:ascii="Times New Roman" w:hAnsi="Times New Roman" w:eastAsia="Segoe UI" w:cs="Times New Roman"/>
                <w:b/>
                <w:bCs/>
                <w:kern w:val="0"/>
                <w:sz w:val="18"/>
                <w:szCs w:val="18"/>
                <w:lang w:val="en-US" w:eastAsia="zh-CN" w:bidi="ar"/>
              </w:rPr>
              <w:t>武汉国电西高</w:t>
            </w:r>
          </w:p>
        </w:tc>
        <w:tc>
          <w:tcPr>
            <w:tcW w:w="1724" w:type="dxa"/>
            <w:shd w:val="clear" w:color="auto" w:fill="auto"/>
            <w:tcMar>
              <w:top w:w="120" w:type="dxa"/>
              <w:left w:w="192" w:type="dxa"/>
              <w:bottom w:w="120" w:type="dxa"/>
              <w:right w:w="192" w:type="dxa"/>
            </w:tcMar>
            <w:vAlign w:val="center"/>
          </w:tcPr>
          <w:p w14:paraId="4FB73A95">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GDFR-W</w:t>
            </w:r>
          </w:p>
        </w:tc>
        <w:tc>
          <w:tcPr>
            <w:tcW w:w="2596" w:type="dxa"/>
            <w:shd w:val="clear" w:color="auto" w:fill="auto"/>
            <w:tcMar>
              <w:top w:w="120" w:type="dxa"/>
              <w:left w:w="192" w:type="dxa"/>
              <w:bottom w:w="120" w:type="dxa"/>
              <w:right w:w="192" w:type="dxa"/>
            </w:tcMar>
            <w:vAlign w:val="center"/>
          </w:tcPr>
          <w:p w14:paraId="3C9270CE">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≥10 MΩ</w:t>
            </w:r>
          </w:p>
        </w:tc>
        <w:tc>
          <w:tcPr>
            <w:tcW w:w="2051" w:type="dxa"/>
            <w:shd w:val="clear" w:color="auto" w:fill="auto"/>
            <w:tcMar>
              <w:top w:w="120" w:type="dxa"/>
              <w:left w:w="192" w:type="dxa"/>
              <w:bottom w:w="120" w:type="dxa"/>
              <w:right w:w="0" w:type="dxa"/>
            </w:tcMar>
            <w:vAlign w:val="center"/>
          </w:tcPr>
          <w:p w14:paraId="42D3A8BD">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sz w:val="18"/>
                <w:szCs w:val="18"/>
              </w:rPr>
            </w:pPr>
            <w:r>
              <w:rPr>
                <w:rFonts w:hint="default" w:ascii="Times New Roman" w:hAnsi="Times New Roman" w:eastAsia="Segoe UI" w:cs="Times New Roman"/>
                <w:kern w:val="0"/>
                <w:sz w:val="18"/>
                <w:szCs w:val="18"/>
                <w:lang w:val="en-US" w:eastAsia="zh-CN" w:bidi="ar"/>
              </w:rPr>
              <w:t>国产品牌，峰值电压表</w:t>
            </w:r>
          </w:p>
        </w:tc>
      </w:tr>
      <w:tr w14:paraId="0FCD6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742B561A">
            <w:pPr>
              <w:keepNext w:val="0"/>
              <w:keepLines w:val="0"/>
              <w:widowControl/>
              <w:suppressLineNumbers w:val="0"/>
              <w:snapToGrid w:val="0"/>
              <w:spacing w:line="240" w:lineRule="auto"/>
              <w:ind w:left="0" w:leftChars="0" w:right="0" w:rightChars="0" w:firstLine="0" w:firstLineChars="0"/>
              <w:jc w:val="center"/>
              <w:rPr>
                <w:rStyle w:val="18"/>
                <w:rFonts w:hint="default" w:ascii="Times New Roman" w:hAnsi="Times New Roman" w:eastAsia="Segoe UI" w:cs="Times New Roman"/>
                <w:b/>
                <w:bCs/>
                <w:kern w:val="0"/>
                <w:sz w:val="18"/>
                <w:szCs w:val="18"/>
                <w:lang w:val="en-US" w:eastAsia="zh-CN" w:bidi="ar"/>
              </w:rPr>
            </w:pPr>
            <w:r>
              <w:rPr>
                <w:rStyle w:val="18"/>
                <w:rFonts w:hint="eastAsia" w:eastAsia="Segoe UI" w:cs="Times New Roman"/>
                <w:b/>
                <w:bCs/>
                <w:kern w:val="0"/>
                <w:sz w:val="18"/>
                <w:szCs w:val="18"/>
                <w:lang w:val="en-US" w:eastAsia="zh-CN" w:bidi="ar"/>
              </w:rPr>
              <w:t>广州致远电子股份</w:t>
            </w:r>
          </w:p>
        </w:tc>
        <w:tc>
          <w:tcPr>
            <w:tcW w:w="1724" w:type="dxa"/>
            <w:shd w:val="clear" w:color="auto" w:fill="auto"/>
            <w:tcMar>
              <w:top w:w="120" w:type="dxa"/>
              <w:left w:w="192" w:type="dxa"/>
              <w:bottom w:w="120" w:type="dxa"/>
              <w:right w:w="192" w:type="dxa"/>
            </w:tcMar>
            <w:vAlign w:val="center"/>
          </w:tcPr>
          <w:p w14:paraId="3722EC45">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kern w:val="0"/>
                <w:sz w:val="18"/>
                <w:szCs w:val="18"/>
                <w:lang w:val="en-US" w:eastAsia="zh-CN" w:bidi="ar"/>
              </w:rPr>
            </w:pPr>
            <w:r>
              <w:rPr>
                <w:rFonts w:hint="eastAsia" w:eastAsia="Segoe UI" w:cs="Times New Roman"/>
                <w:kern w:val="0"/>
                <w:sz w:val="18"/>
                <w:szCs w:val="18"/>
                <w:lang w:val="en-US" w:eastAsia="zh-CN" w:bidi="ar"/>
              </w:rPr>
              <w:t>PA8000</w:t>
            </w:r>
          </w:p>
        </w:tc>
        <w:tc>
          <w:tcPr>
            <w:tcW w:w="2596" w:type="dxa"/>
            <w:shd w:val="clear" w:color="auto" w:fill="auto"/>
            <w:tcMar>
              <w:top w:w="120" w:type="dxa"/>
              <w:left w:w="192" w:type="dxa"/>
              <w:bottom w:w="120" w:type="dxa"/>
              <w:right w:w="192" w:type="dxa"/>
            </w:tcMar>
            <w:vAlign w:val="center"/>
          </w:tcPr>
          <w:p w14:paraId="3E27F200">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kern w:val="0"/>
                <w:sz w:val="18"/>
                <w:szCs w:val="18"/>
                <w:lang w:val="en-US" w:eastAsia="zh-CN" w:bidi="ar"/>
              </w:rPr>
            </w:pPr>
            <w:r>
              <w:rPr>
                <w:rFonts w:hint="eastAsia" w:eastAsia="Segoe UI" w:cs="Times New Roman"/>
                <w:kern w:val="0"/>
                <w:sz w:val="18"/>
                <w:szCs w:val="18"/>
                <w:lang w:val="en-US" w:eastAsia="zh-CN" w:bidi="ar"/>
              </w:rPr>
              <w:t>2</w:t>
            </w:r>
            <w:r>
              <w:rPr>
                <w:rFonts w:hint="default" w:ascii="Times New Roman" w:hAnsi="Times New Roman" w:eastAsia="Segoe UI" w:cs="Times New Roman"/>
                <w:kern w:val="0"/>
                <w:sz w:val="18"/>
                <w:szCs w:val="18"/>
                <w:lang w:val="en-US" w:eastAsia="zh-CN" w:bidi="ar"/>
              </w:rPr>
              <w:t xml:space="preserve"> MΩ</w:t>
            </w:r>
          </w:p>
        </w:tc>
        <w:tc>
          <w:tcPr>
            <w:tcW w:w="2051" w:type="dxa"/>
            <w:shd w:val="clear" w:color="auto" w:fill="auto"/>
            <w:tcMar>
              <w:top w:w="120" w:type="dxa"/>
              <w:left w:w="192" w:type="dxa"/>
              <w:bottom w:w="120" w:type="dxa"/>
              <w:right w:w="0" w:type="dxa"/>
            </w:tcMar>
            <w:vAlign w:val="center"/>
          </w:tcPr>
          <w:p w14:paraId="425E1D99">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kern w:val="0"/>
                <w:sz w:val="18"/>
                <w:szCs w:val="18"/>
                <w:lang w:val="en-US" w:eastAsia="zh-CN" w:bidi="ar"/>
              </w:rPr>
            </w:pPr>
            <w:r>
              <w:rPr>
                <w:rFonts w:hint="default" w:ascii="Times New Roman" w:hAnsi="Times New Roman" w:eastAsia="Segoe UI" w:cs="Times New Roman"/>
                <w:kern w:val="0"/>
                <w:sz w:val="18"/>
                <w:szCs w:val="18"/>
                <w:lang w:val="en-US" w:eastAsia="zh-CN" w:bidi="ar"/>
              </w:rPr>
              <w:t>国产品牌，</w:t>
            </w:r>
            <w:r>
              <w:rPr>
                <w:rFonts w:hint="eastAsia" w:eastAsia="Segoe UI" w:cs="Times New Roman"/>
                <w:kern w:val="0"/>
                <w:sz w:val="18"/>
                <w:szCs w:val="18"/>
                <w:lang w:val="en-US" w:eastAsia="zh-CN" w:bidi="ar"/>
              </w:rPr>
              <w:t>功率分析仪</w:t>
            </w:r>
          </w:p>
        </w:tc>
      </w:tr>
      <w:tr w14:paraId="73344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0" w:hRule="atLeast"/>
          <w:jc w:val="center"/>
        </w:trPr>
        <w:tc>
          <w:tcPr>
            <w:tcW w:w="1728" w:type="dxa"/>
            <w:shd w:val="clear" w:color="auto" w:fill="auto"/>
            <w:tcMar>
              <w:top w:w="120" w:type="dxa"/>
              <w:left w:w="0" w:type="dxa"/>
              <w:bottom w:w="120" w:type="dxa"/>
              <w:right w:w="192" w:type="dxa"/>
            </w:tcMar>
            <w:vAlign w:val="center"/>
          </w:tcPr>
          <w:p w14:paraId="0AE39254">
            <w:pPr>
              <w:keepNext w:val="0"/>
              <w:keepLines w:val="0"/>
              <w:widowControl/>
              <w:suppressLineNumbers w:val="0"/>
              <w:snapToGrid w:val="0"/>
              <w:spacing w:line="240" w:lineRule="auto"/>
              <w:ind w:left="0" w:leftChars="0" w:right="0" w:rightChars="0" w:firstLine="0" w:firstLineChars="0"/>
              <w:jc w:val="center"/>
              <w:rPr>
                <w:rStyle w:val="18"/>
                <w:rFonts w:hint="default" w:eastAsia="Segoe UI" w:cs="Times New Roman"/>
                <w:b/>
                <w:bCs/>
                <w:kern w:val="0"/>
                <w:sz w:val="18"/>
                <w:szCs w:val="18"/>
                <w:lang w:val="en-US" w:eastAsia="zh-CN" w:bidi="ar"/>
              </w:rPr>
            </w:pPr>
            <w:r>
              <w:rPr>
                <w:rStyle w:val="18"/>
                <w:rFonts w:hint="eastAsia" w:eastAsia="Segoe UI" w:cs="Times New Roman"/>
                <w:b/>
                <w:bCs/>
                <w:kern w:val="0"/>
                <w:sz w:val="18"/>
                <w:szCs w:val="18"/>
                <w:lang w:val="en-US" w:eastAsia="zh-CN" w:bidi="ar"/>
              </w:rPr>
              <w:t>日本YOKOGAWA</w:t>
            </w:r>
          </w:p>
        </w:tc>
        <w:tc>
          <w:tcPr>
            <w:tcW w:w="1724" w:type="dxa"/>
            <w:shd w:val="clear" w:color="auto" w:fill="auto"/>
            <w:tcMar>
              <w:top w:w="120" w:type="dxa"/>
              <w:left w:w="192" w:type="dxa"/>
              <w:bottom w:w="120" w:type="dxa"/>
              <w:right w:w="192" w:type="dxa"/>
            </w:tcMar>
            <w:vAlign w:val="center"/>
          </w:tcPr>
          <w:p w14:paraId="45C66711">
            <w:pPr>
              <w:keepNext w:val="0"/>
              <w:keepLines w:val="0"/>
              <w:widowControl/>
              <w:suppressLineNumbers w:val="0"/>
              <w:snapToGrid w:val="0"/>
              <w:spacing w:line="240" w:lineRule="auto"/>
              <w:ind w:left="0" w:leftChars="0" w:right="0" w:rightChars="0" w:firstLine="0" w:firstLineChars="0"/>
              <w:jc w:val="center"/>
              <w:rPr>
                <w:rFonts w:hint="default" w:eastAsia="Segoe UI" w:cs="Times New Roman"/>
                <w:kern w:val="0"/>
                <w:sz w:val="18"/>
                <w:szCs w:val="18"/>
                <w:lang w:val="en-US" w:eastAsia="zh-CN" w:bidi="ar"/>
              </w:rPr>
            </w:pPr>
            <w:r>
              <w:rPr>
                <w:rFonts w:hint="eastAsia" w:eastAsia="Segoe UI" w:cs="Times New Roman"/>
                <w:kern w:val="0"/>
                <w:sz w:val="18"/>
                <w:szCs w:val="18"/>
                <w:lang w:val="en-US" w:eastAsia="zh-CN" w:bidi="ar"/>
              </w:rPr>
              <w:t>W3000/W5000</w:t>
            </w:r>
          </w:p>
        </w:tc>
        <w:tc>
          <w:tcPr>
            <w:tcW w:w="2596" w:type="dxa"/>
            <w:shd w:val="clear" w:color="auto" w:fill="auto"/>
            <w:tcMar>
              <w:top w:w="120" w:type="dxa"/>
              <w:left w:w="192" w:type="dxa"/>
              <w:bottom w:w="120" w:type="dxa"/>
              <w:right w:w="192" w:type="dxa"/>
            </w:tcMar>
            <w:vAlign w:val="center"/>
          </w:tcPr>
          <w:p w14:paraId="0A858D49">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kern w:val="0"/>
                <w:sz w:val="18"/>
                <w:szCs w:val="18"/>
                <w:lang w:val="en-US" w:eastAsia="zh-CN" w:bidi="ar"/>
              </w:rPr>
            </w:pPr>
            <w:r>
              <w:rPr>
                <w:rFonts w:hint="default" w:ascii="Times New Roman" w:hAnsi="Times New Roman" w:eastAsia="Segoe UI" w:cs="Times New Roman"/>
                <w:kern w:val="0"/>
                <w:sz w:val="18"/>
                <w:szCs w:val="18"/>
                <w:lang w:val="en-US" w:eastAsia="zh-CN" w:bidi="ar"/>
              </w:rPr>
              <w:t>1 MΩ</w:t>
            </w:r>
          </w:p>
        </w:tc>
        <w:tc>
          <w:tcPr>
            <w:tcW w:w="2051" w:type="dxa"/>
            <w:shd w:val="clear" w:color="auto" w:fill="auto"/>
            <w:tcMar>
              <w:top w:w="120" w:type="dxa"/>
              <w:left w:w="192" w:type="dxa"/>
              <w:bottom w:w="120" w:type="dxa"/>
              <w:right w:w="0" w:type="dxa"/>
            </w:tcMar>
            <w:vAlign w:val="center"/>
          </w:tcPr>
          <w:p w14:paraId="100DDB4F">
            <w:pPr>
              <w:keepNext w:val="0"/>
              <w:keepLines w:val="0"/>
              <w:widowControl/>
              <w:suppressLineNumbers w:val="0"/>
              <w:snapToGrid w:val="0"/>
              <w:spacing w:line="240" w:lineRule="auto"/>
              <w:ind w:left="0" w:leftChars="0" w:right="0" w:rightChars="0" w:firstLine="0" w:firstLineChars="0"/>
              <w:jc w:val="center"/>
              <w:rPr>
                <w:rFonts w:hint="default" w:ascii="Times New Roman" w:hAnsi="Times New Roman" w:eastAsia="Segoe UI" w:cs="Times New Roman"/>
                <w:kern w:val="0"/>
                <w:sz w:val="18"/>
                <w:szCs w:val="18"/>
                <w:lang w:val="en-US" w:eastAsia="zh-CN" w:bidi="ar"/>
              </w:rPr>
            </w:pPr>
            <w:r>
              <w:rPr>
                <w:rFonts w:hint="eastAsia" w:eastAsia="Segoe UI" w:cs="Times New Roman"/>
                <w:kern w:val="0"/>
                <w:sz w:val="18"/>
                <w:szCs w:val="18"/>
                <w:lang w:val="en-US" w:eastAsia="zh-CN" w:bidi="ar"/>
              </w:rPr>
              <w:t>进口</w:t>
            </w:r>
            <w:r>
              <w:rPr>
                <w:rFonts w:hint="default" w:ascii="Times New Roman" w:hAnsi="Times New Roman" w:eastAsia="Segoe UI" w:cs="Times New Roman"/>
                <w:kern w:val="0"/>
                <w:sz w:val="18"/>
                <w:szCs w:val="18"/>
                <w:lang w:val="en-US" w:eastAsia="zh-CN" w:bidi="ar"/>
              </w:rPr>
              <w:t>品牌，</w:t>
            </w:r>
            <w:r>
              <w:rPr>
                <w:rFonts w:hint="eastAsia" w:eastAsia="Segoe UI" w:cs="Times New Roman"/>
                <w:kern w:val="0"/>
                <w:sz w:val="18"/>
                <w:szCs w:val="18"/>
                <w:lang w:val="en-US" w:eastAsia="zh-CN" w:bidi="ar"/>
              </w:rPr>
              <w:t>功率分析仪</w:t>
            </w:r>
          </w:p>
        </w:tc>
      </w:tr>
    </w:tbl>
    <w:p w14:paraId="14DEED5E">
      <w:pPr>
        <w:snapToGrid w:val="0"/>
        <w:spacing w:line="360" w:lineRule="auto"/>
        <w:ind w:firstLine="480" w:firstLineChars="200"/>
        <w:rPr>
          <w:rFonts w:hint="default"/>
          <w:sz w:val="24"/>
          <w:lang w:val="en-US" w:eastAsia="zh-CN"/>
        </w:rPr>
      </w:pPr>
    </w:p>
    <w:p w14:paraId="186277CE">
      <w:pPr>
        <w:snapToGrid w:val="0"/>
        <w:spacing w:line="360" w:lineRule="auto"/>
        <w:ind w:firstLine="480" w:firstLineChars="200"/>
      </w:pPr>
      <w:r>
        <w:rPr>
          <w:rFonts w:hint="eastAsia"/>
          <w:kern w:val="0"/>
          <w:sz w:val="24"/>
        </w:rPr>
        <w:t>C、基本误差的检定点</w:t>
      </w:r>
    </w:p>
    <w:p w14:paraId="149AE61E">
      <w:pPr>
        <w:snapToGrid w:val="0"/>
        <w:spacing w:line="360" w:lineRule="auto"/>
        <w:ind w:firstLine="480" w:firstLineChars="200"/>
      </w:pPr>
      <w:r>
        <w:rPr>
          <w:rFonts w:hint="eastAsia"/>
          <w:sz w:val="24"/>
        </w:rPr>
        <w:t>本规程延续2016年版的规定，基本误差的检定点仍设置为被检分压器额定电压的10%、20%、50%、80%及100%。</w:t>
      </w:r>
    </w:p>
    <w:p w14:paraId="157ABCEE">
      <w:pPr>
        <w:snapToGrid w:val="0"/>
        <w:spacing w:line="360" w:lineRule="auto"/>
        <w:ind w:firstLine="480" w:firstLineChars="200"/>
        <w:rPr>
          <w:rFonts w:hint="eastAsia" w:eastAsia="宋体"/>
          <w:color w:val="FF0000"/>
          <w:kern w:val="0"/>
          <w:sz w:val="24"/>
          <w:lang w:eastAsia="zh-CN"/>
        </w:rPr>
      </w:pPr>
      <w:r>
        <w:rPr>
          <w:rFonts w:hint="eastAsia"/>
          <w:kern w:val="0"/>
          <w:sz w:val="24"/>
        </w:rPr>
        <w:t>对于阻容式分压器，由于高、低压臂材料特性存在差异，其分压比（阻抗比）易受频率影响，因此有必要对其频率特性进行专项评估。然而，根据调研结果，电阻式分压器作为独立元件在实际应用中并不普遍，而阻容式分压器通常作为数字高压表的组成部分，一般不单独使用。因此，仅电容分压器与电子式分压器在实际应用中具备一定数量的案例。基于上述情况，增加阻容型分压器频率特性</w:t>
      </w:r>
      <w:r>
        <w:rPr>
          <w:rFonts w:hint="eastAsia"/>
          <w:kern w:val="0"/>
          <w:sz w:val="24"/>
          <w:lang w:val="en-US" w:eastAsia="zh-CN"/>
        </w:rPr>
        <w:t>考核</w:t>
      </w:r>
      <w:r>
        <w:rPr>
          <w:rFonts w:hint="eastAsia"/>
          <w:kern w:val="0"/>
          <w:sz w:val="24"/>
        </w:rPr>
        <w:t>的内容</w:t>
      </w:r>
      <w:r>
        <w:rPr>
          <w:rFonts w:hint="eastAsia"/>
          <w:kern w:val="0"/>
          <w:sz w:val="24"/>
          <w:lang w:eastAsia="zh-CN"/>
        </w:rPr>
        <w:t>。</w:t>
      </w:r>
    </w:p>
    <w:p w14:paraId="20AEBA80">
      <w:pPr>
        <w:snapToGrid w:val="0"/>
        <w:spacing w:line="360" w:lineRule="auto"/>
        <w:ind w:firstLine="480" w:firstLineChars="200"/>
      </w:pPr>
      <w:r>
        <w:rPr>
          <w:rFonts w:hint="eastAsia"/>
          <w:kern w:val="0"/>
          <w:sz w:val="24"/>
        </w:rPr>
        <w:t>D、短期稳定性的设定依据</w:t>
      </w:r>
    </w:p>
    <w:p w14:paraId="6A357147">
      <w:pPr>
        <w:snapToGrid w:val="0"/>
        <w:spacing w:line="360" w:lineRule="auto"/>
        <w:ind w:firstLine="480" w:firstLineChars="200"/>
      </w:pPr>
      <w:r>
        <w:rPr>
          <w:rFonts w:hint="eastAsia"/>
          <w:kern w:val="0"/>
          <w:sz w:val="24"/>
        </w:rPr>
        <w:t>依据GB/T 16927.2标准的规定，“短期稳定性”试验是高压测量系统性能验证的关键项目之一，旨在量化系统在单次或规定运行时段内，因自身发热所导致的瞬时性能漂移程度。</w:t>
      </w:r>
    </w:p>
    <w:p w14:paraId="1F479426">
      <w:pPr>
        <w:snapToGrid w:val="0"/>
        <w:spacing w:line="360" w:lineRule="auto"/>
        <w:ind w:firstLine="480" w:firstLineChars="200"/>
        <w:rPr>
          <w:kern w:val="0"/>
          <w:sz w:val="24"/>
        </w:rPr>
      </w:pPr>
      <w:r>
        <w:rPr>
          <w:rFonts w:hint="eastAsia"/>
          <w:kern w:val="0"/>
          <w:sz w:val="24"/>
        </w:rPr>
        <w:t>工频分压器作为工频高压试验中用于高电压转换的工作计量器具，其典型耐压试验持续时间通常为1分钟。鉴于在加压老练试验等其他应用场景中，加压时间一般不超过30分钟，基于此实际应用背景，本规程规定短期稳定性的考核时间为30分钟。该规定既兼顾了分压器的典型应用情况，又避免了检定工作量的增加。</w:t>
      </w:r>
    </w:p>
    <w:p w14:paraId="180B4A1A">
      <w:pPr>
        <w:snapToGrid w:val="0"/>
        <w:spacing w:line="360" w:lineRule="auto"/>
        <w:ind w:firstLine="480" w:firstLineChars="200"/>
        <w:jc w:val="left"/>
      </w:pPr>
      <w:r>
        <w:rPr>
          <w:rFonts w:hint="eastAsia"/>
          <w:kern w:val="0"/>
          <w:sz w:val="24"/>
        </w:rPr>
        <w:t>E、删除等功率电桥法的说明</w:t>
      </w:r>
    </w:p>
    <w:p w14:paraId="04268830">
      <w:pPr>
        <w:snapToGrid w:val="0"/>
        <w:spacing w:line="360" w:lineRule="auto"/>
        <w:ind w:firstLine="480" w:firstLineChars="200"/>
      </w:pPr>
      <w:r>
        <w:rPr>
          <w:rFonts w:hint="eastAsia"/>
          <w:kern w:val="0"/>
          <w:sz w:val="24"/>
        </w:rPr>
        <w:t>等功率电桥法在北美地区被广泛应用于工频高压分压器的校准工作，其技术实施主要依据美国国家标准技术研究院（NIST）及加拿大国家研究委员会（NRC）所采用的标准方法。在该地区，电压互感器及高压分压器的校准通常基于电流比较仪式高压电容电桥，结合高、低压标准电容器构成测量系统，通过精确测定电流比率，进而转换为电压比值差与相位差。</w:t>
      </w:r>
    </w:p>
    <w:p w14:paraId="55434A84">
      <w:pPr>
        <w:snapToGrid w:val="0"/>
        <w:spacing w:line="360" w:lineRule="auto"/>
        <w:ind w:firstLine="480" w:firstLineChars="200"/>
      </w:pPr>
      <w:r>
        <w:rPr>
          <w:rFonts w:hint="eastAsia"/>
          <w:kern w:val="0"/>
          <w:sz w:val="24"/>
        </w:rPr>
        <w:t>在2016年版检定规程的制订过程中，为扩充基本误差的检定手段并拓宽技术实现路径，引入了等功率电桥法。然而，该规程颁布近十年来的实践表明，该方法在实际操作中复杂度较高，且存在若干明显局限，包括高、低压标准电容器的量值溯源问题，以及高压电容电桥在电流比率与介质损耗因数测量中引入的附加误差等。由于该方法通过间接途径计算分压器的基本误差，涉及测量环节较多，对最终结果的合成不确定度贡献显著，同时对使用单位人员的技术能力提出较高要求，因此未能在国内得到广泛推行。</w:t>
      </w:r>
    </w:p>
    <w:p w14:paraId="118E82D2">
      <w:pPr>
        <w:snapToGrid w:val="0"/>
        <w:spacing w:line="360" w:lineRule="auto"/>
        <w:ind w:firstLine="480" w:firstLineChars="200"/>
      </w:pPr>
      <w:r>
        <w:rPr>
          <w:rFonts w:hint="eastAsia"/>
          <w:kern w:val="0"/>
          <w:sz w:val="24"/>
        </w:rPr>
        <w:t>此外，作为检定规程，在检定方法的遴选上应优先考虑技术成熟、应用广泛的方法，例如比较法，以提升规程的可操作性与适用性。</w:t>
      </w:r>
    </w:p>
    <w:p w14:paraId="233D761A">
      <w:pPr>
        <w:pStyle w:val="27"/>
        <w:snapToGrid w:val="0"/>
        <w:spacing w:line="360" w:lineRule="auto"/>
        <w:ind w:left="659" w:leftChars="314" w:firstLine="0" w:firstLineChars="0"/>
        <w:jc w:val="left"/>
      </w:pPr>
      <w:r>
        <w:rPr>
          <w:rFonts w:hint="eastAsia"/>
          <w:sz w:val="24"/>
        </w:rPr>
        <w:t>F、检定结果的处理</w:t>
      </w:r>
    </w:p>
    <w:p w14:paraId="07E885B0">
      <w:pPr>
        <w:snapToGrid w:val="0"/>
        <w:spacing w:line="360" w:lineRule="auto"/>
        <w:ind w:firstLine="480" w:firstLineChars="200"/>
        <w:jc w:val="left"/>
      </w:pPr>
      <w:r>
        <w:rPr>
          <w:rFonts w:hint="eastAsia"/>
          <w:sz w:val="24"/>
        </w:rPr>
        <w:t>依据JJF 1002及相关技术规范制定。</w:t>
      </w:r>
    </w:p>
    <w:p w14:paraId="7E5D53ED">
      <w:pPr>
        <w:pStyle w:val="27"/>
        <w:snapToGrid w:val="0"/>
        <w:spacing w:line="360" w:lineRule="auto"/>
        <w:ind w:left="659" w:leftChars="314" w:firstLine="0" w:firstLineChars="0"/>
        <w:jc w:val="left"/>
      </w:pPr>
      <w:r>
        <w:rPr>
          <w:rFonts w:hint="eastAsia"/>
          <w:kern w:val="0"/>
          <w:sz w:val="24"/>
        </w:rPr>
        <w:t>G、检定周期</w:t>
      </w:r>
    </w:p>
    <w:p w14:paraId="5D69A4A1">
      <w:pPr>
        <w:snapToGrid w:val="0"/>
        <w:spacing w:line="360" w:lineRule="auto"/>
        <w:ind w:firstLine="480" w:firstLineChars="200"/>
        <w:jc w:val="left"/>
      </w:pPr>
      <w:r>
        <w:rPr>
          <w:rFonts w:hint="eastAsia"/>
          <w:kern w:val="0"/>
          <w:sz w:val="24"/>
        </w:rPr>
        <w:t>依据JJF 1139-2026《计量器具检定周期确定原则和方法》，采用“借用间隔法”，工频分压器的检定周期可参照同类高压计量器具（例如高压标准电容器、电压互感器）的现行周期（通常为2年）予以确定。具体依据如下：</w:t>
      </w:r>
    </w:p>
    <w:p w14:paraId="38DDA64E">
      <w:pPr>
        <w:snapToGrid w:val="0"/>
        <w:spacing w:line="360" w:lineRule="auto"/>
        <w:ind w:firstLine="480" w:firstLineChars="200"/>
        <w:jc w:val="left"/>
        <w:rPr>
          <w:kern w:val="0"/>
          <w:sz w:val="24"/>
        </w:rPr>
      </w:pPr>
      <w:r>
        <w:rPr>
          <w:rFonts w:hint="eastAsia"/>
          <w:sz w:val="24"/>
        </w:rPr>
        <w:t>1 借用间隔法的核心要求</w:t>
      </w:r>
    </w:p>
    <w:p w14:paraId="2A41D4CE">
      <w:pPr>
        <w:snapToGrid w:val="0"/>
        <w:spacing w:line="360" w:lineRule="auto"/>
        <w:ind w:firstLine="480" w:firstLineChars="200"/>
        <w:jc w:val="left"/>
        <w:rPr>
          <w:kern w:val="0"/>
          <w:sz w:val="24"/>
        </w:rPr>
      </w:pPr>
      <w:r>
        <w:rPr>
          <w:rFonts w:hint="eastAsia"/>
          <w:sz w:val="24"/>
        </w:rPr>
        <w:t>1.1 适用条件</w:t>
      </w:r>
    </w:p>
    <w:p w14:paraId="3A8DADD7">
      <w:pPr>
        <w:snapToGrid w:val="0"/>
        <w:spacing w:line="360" w:lineRule="auto"/>
        <w:ind w:firstLine="480" w:firstLineChars="200"/>
        <w:jc w:val="left"/>
      </w:pPr>
      <w:r>
        <w:rPr>
          <w:rFonts w:hint="eastAsia"/>
          <w:sz w:val="24"/>
        </w:rPr>
        <w:t>当待确定周期的计量器具与已确定周期的器具在测量可靠性目标、检定程序、使用环境、维护方法等方面具有相似性时，可直接将其周期作为初始值借用；若存在差异，则需评估影响并进行相应修正。</w:t>
      </w:r>
    </w:p>
    <w:p w14:paraId="6852E420">
      <w:pPr>
        <w:snapToGrid w:val="0"/>
        <w:spacing w:line="360" w:lineRule="auto"/>
        <w:ind w:firstLine="480" w:firstLineChars="200"/>
        <w:jc w:val="left"/>
        <w:rPr>
          <w:kern w:val="0"/>
          <w:sz w:val="24"/>
        </w:rPr>
      </w:pPr>
      <w:r>
        <w:rPr>
          <w:rFonts w:hint="eastAsia"/>
          <w:sz w:val="24"/>
        </w:rPr>
        <w:t>1.2 关键原则</w:t>
      </w:r>
    </w:p>
    <w:p w14:paraId="4F06835B">
      <w:pPr>
        <w:snapToGrid w:val="0"/>
        <w:spacing w:line="360" w:lineRule="auto"/>
        <w:ind w:firstLine="480" w:firstLineChars="200"/>
        <w:jc w:val="left"/>
        <w:rPr>
          <w:kern w:val="0"/>
          <w:sz w:val="24"/>
        </w:rPr>
      </w:pPr>
      <w:r>
        <w:rPr>
          <w:rFonts w:hint="eastAsia"/>
          <w:sz w:val="24"/>
        </w:rPr>
        <w:t>优先选择功能、结构、使用场景高度相似的器具周期；</w:t>
      </w:r>
    </w:p>
    <w:p w14:paraId="47EA0AD5">
      <w:pPr>
        <w:snapToGrid w:val="0"/>
        <w:spacing w:line="360" w:lineRule="auto"/>
        <w:ind w:firstLine="480" w:firstLineChars="200"/>
        <w:jc w:val="left"/>
        <w:rPr>
          <w:kern w:val="0"/>
          <w:sz w:val="24"/>
        </w:rPr>
      </w:pPr>
      <w:r>
        <w:rPr>
          <w:rFonts w:hint="eastAsia"/>
          <w:kern w:val="0"/>
          <w:sz w:val="24"/>
        </w:rPr>
        <w:t>若差异较小（例如环境条件略有不同），可通过将周期缩短20%至30%的方式进行修正。</w:t>
      </w:r>
    </w:p>
    <w:p w14:paraId="78AE5FDF">
      <w:pPr>
        <w:snapToGrid w:val="0"/>
        <w:spacing w:line="360" w:lineRule="auto"/>
        <w:ind w:firstLine="480" w:firstLineChars="200"/>
        <w:jc w:val="left"/>
        <w:rPr>
          <w:sz w:val="24"/>
        </w:rPr>
      </w:pPr>
      <w:r>
        <w:rPr>
          <w:rFonts w:hint="eastAsia"/>
          <w:sz w:val="24"/>
        </w:rPr>
        <w:t>2 工频分压器的借用依据</w:t>
      </w:r>
    </w:p>
    <w:p w14:paraId="54A0EDB0">
      <w:pPr>
        <w:snapToGrid w:val="0"/>
        <w:spacing w:line="360" w:lineRule="auto"/>
        <w:ind w:firstLine="480" w:firstLineChars="200"/>
        <w:jc w:val="left"/>
      </w:pPr>
      <w:r>
        <w:rPr>
          <w:rFonts w:hint="eastAsia"/>
          <w:sz w:val="24"/>
        </w:rPr>
        <w:t>分析同类设备的周期，</w:t>
      </w:r>
      <w:r>
        <w:rPr>
          <w:rFonts w:hint="eastAsia"/>
          <w:kern w:val="0"/>
          <w:sz w:val="24"/>
        </w:rPr>
        <w:t>在电力行业中，与工频分压器特性相近的高压计量器具（如标准电压互感器、标准电容器）的检定周期通常设定为2年。其共同特征包括：</w:t>
      </w:r>
    </w:p>
    <w:p w14:paraId="3CCB668F">
      <w:pPr>
        <w:snapToGrid w:val="0"/>
        <w:spacing w:line="360" w:lineRule="auto"/>
        <w:ind w:firstLine="480" w:firstLineChars="200"/>
        <w:jc w:val="left"/>
      </w:pPr>
      <w:r>
        <w:rPr>
          <w:rFonts w:hint="eastAsia"/>
          <w:sz w:val="24"/>
        </w:rPr>
        <w:t>1）测量原理：均基于电磁或电容分压原理，其稳定性受温度、湿度影响的规律相似；</w:t>
      </w:r>
    </w:p>
    <w:p w14:paraId="622A4BD2">
      <w:pPr>
        <w:snapToGrid w:val="0"/>
        <w:spacing w:line="360" w:lineRule="auto"/>
        <w:ind w:firstLine="480" w:firstLineChars="200"/>
        <w:jc w:val="left"/>
        <w:rPr>
          <w:kern w:val="0"/>
          <w:sz w:val="24"/>
        </w:rPr>
      </w:pPr>
      <w:r>
        <w:rPr>
          <w:rFonts w:hint="eastAsia"/>
          <w:sz w:val="24"/>
        </w:rPr>
        <w:t>2）使用环境：多安装于实验室或变电站，环境条件相对可控；</w:t>
      </w:r>
    </w:p>
    <w:p w14:paraId="0BABA942">
      <w:pPr>
        <w:snapToGrid w:val="0"/>
        <w:spacing w:line="360" w:lineRule="auto"/>
        <w:ind w:firstLine="480" w:firstLineChars="200"/>
        <w:jc w:val="left"/>
      </w:pPr>
      <w:r>
        <w:rPr>
          <w:rFonts w:hint="eastAsia"/>
          <w:sz w:val="24"/>
        </w:rPr>
        <w:t>3）维护要求：均需定期进行清洁、绝缘检测等，维护流程基本一致。</w:t>
      </w:r>
    </w:p>
    <w:p w14:paraId="53890704">
      <w:pPr>
        <w:snapToGrid w:val="0"/>
        <w:spacing w:line="360" w:lineRule="auto"/>
        <w:ind w:firstLine="480" w:firstLineChars="200"/>
        <w:jc w:val="left"/>
        <w:rPr>
          <w:sz w:val="24"/>
        </w:rPr>
      </w:pPr>
      <w:r>
        <w:rPr>
          <w:rFonts w:hint="eastAsia"/>
          <w:sz w:val="24"/>
        </w:rPr>
        <w:t>2.2 相似性评估</w:t>
      </w:r>
    </w:p>
    <w:p w14:paraId="4ADF0D94">
      <w:pPr>
        <w:snapToGrid w:val="0"/>
        <w:spacing w:line="360" w:lineRule="auto"/>
        <w:ind w:firstLine="480" w:firstLineChars="200"/>
        <w:jc w:val="left"/>
      </w:pPr>
      <w:r>
        <w:rPr>
          <w:rFonts w:hint="eastAsia"/>
          <w:kern w:val="0"/>
          <w:sz w:val="24"/>
        </w:rPr>
        <w:t>工频分压器与电压互感器的主要差异在于分压比的准确性及工作电压范围。通常，电压互感器的准确度等级较高，而工频分压器在保证最大允许误差的工作电压范围（10%~100%）较电压互感器更宽。然而，两者的检定程序（包括绝缘电阻测试和基本误差试验）均完全一致。因此，无需修正检定周期，可直接沿用两年的周期。</w:t>
      </w:r>
    </w:p>
    <w:p w14:paraId="6A18BA89">
      <w:pPr>
        <w:snapToGrid w:val="0"/>
        <w:spacing w:line="360" w:lineRule="auto"/>
        <w:ind w:firstLine="480" w:firstLineChars="200"/>
        <w:jc w:val="left"/>
      </w:pPr>
      <w:r>
        <w:rPr>
          <w:rFonts w:hint="eastAsia"/>
          <w:sz w:val="24"/>
        </w:rPr>
        <w:t>3 结论与后续调整</w:t>
      </w:r>
    </w:p>
    <w:p w14:paraId="51B8F674">
      <w:pPr>
        <w:snapToGrid w:val="0"/>
        <w:spacing w:line="360" w:lineRule="auto"/>
        <w:ind w:firstLine="480" w:firstLineChars="200"/>
        <w:jc w:val="left"/>
      </w:pPr>
      <w:r>
        <w:rPr>
          <w:rFonts w:hint="eastAsia"/>
          <w:sz w:val="24"/>
        </w:rPr>
        <w:t>综上所述，建议将工频分压器的检定周期</w:t>
      </w:r>
      <w:r>
        <w:rPr>
          <w:rFonts w:hint="eastAsia"/>
          <w:sz w:val="24"/>
          <w:lang w:val="en-US" w:eastAsia="zh-CN"/>
        </w:rPr>
        <w:t>维持</w:t>
      </w:r>
      <w:bookmarkStart w:id="53" w:name="_GoBack"/>
      <w:bookmarkEnd w:id="53"/>
      <w:r>
        <w:rPr>
          <w:rFonts w:hint="eastAsia"/>
          <w:sz w:val="24"/>
        </w:rPr>
        <w:t>为2年，理由如下：</w:t>
      </w:r>
    </w:p>
    <w:p w14:paraId="3FD3B46E">
      <w:pPr>
        <w:snapToGrid w:val="0"/>
        <w:spacing w:line="360" w:lineRule="auto"/>
        <w:ind w:firstLine="480" w:firstLineChars="200"/>
        <w:jc w:val="left"/>
      </w:pPr>
      <w:r>
        <w:rPr>
          <w:rFonts w:hint="eastAsia"/>
          <w:sz w:val="24"/>
        </w:rPr>
        <w:t>1）符合借用间隔法中“相似设备直接复用周期”的原则，无需额外数据积累；</w:t>
      </w:r>
    </w:p>
    <w:p w14:paraId="37BDB634">
      <w:pPr>
        <w:snapToGrid w:val="0"/>
        <w:spacing w:line="360" w:lineRule="auto"/>
        <w:ind w:firstLine="480" w:firstLineChars="200"/>
        <w:jc w:val="left"/>
      </w:pPr>
      <w:r>
        <w:rPr>
          <w:rFonts w:hint="eastAsia"/>
          <w:sz w:val="24"/>
        </w:rPr>
        <w:t>2）2年周期在电力行业高压设备中已得到成熟验证，兼顾了测量可靠性与经济性；</w:t>
      </w:r>
    </w:p>
    <w:p w14:paraId="0403C55B">
      <w:pPr>
        <w:snapToGrid w:val="0"/>
        <w:spacing w:line="360" w:lineRule="auto"/>
        <w:ind w:firstLine="480" w:firstLineChars="200"/>
        <w:jc w:val="left"/>
      </w:pPr>
      <w:r>
        <w:rPr>
          <w:rFonts w:hint="eastAsia"/>
          <w:sz w:val="24"/>
        </w:rPr>
        <w:t>3）若后续发现分压器稳定性出现下降（如超差率大于10%），可通过反应法将周期缩短至1.5年或1年。</w:t>
      </w:r>
    </w:p>
    <w:p w14:paraId="1FB6ED15">
      <w:pPr>
        <w:snapToGrid w:val="0"/>
        <w:spacing w:line="360" w:lineRule="auto"/>
        <w:ind w:firstLine="480" w:firstLineChars="200"/>
        <w:jc w:val="left"/>
      </w:pPr>
      <w:r>
        <w:rPr>
          <w:rFonts w:hint="eastAsia"/>
          <w:kern w:val="0"/>
          <w:sz w:val="24"/>
        </w:rPr>
        <w:t>该周期既符合“借用间隔法”的规范要求，也与行业通行实践相一致，适宜作为初始周期采用。</w:t>
      </w:r>
    </w:p>
    <w:p w14:paraId="47B1FADF">
      <w:pPr>
        <w:pStyle w:val="11"/>
        <w:numPr>
          <w:ilvl w:val="0"/>
          <w:numId w:val="5"/>
        </w:numPr>
        <w:spacing w:before="156" w:beforeLines="50" w:after="0" w:line="500" w:lineRule="exact"/>
        <w:ind w:firstLine="560" w:firstLineChars="200"/>
        <w:jc w:val="left"/>
        <w:outlineLvl w:val="0"/>
        <w:rPr>
          <w:rFonts w:hint="eastAsia"/>
        </w:rPr>
      </w:pPr>
      <w:bookmarkStart w:id="51" w:name="_Toc180389777"/>
      <w:r>
        <w:rPr>
          <w:rFonts w:hint="eastAsia"/>
          <w:sz w:val="28"/>
          <w:szCs w:val="28"/>
        </w:rPr>
        <w:t>其他应当说明的事项。</w:t>
      </w:r>
      <w:bookmarkEnd w:id="51"/>
    </w:p>
    <w:bookmarkEnd w:id="42"/>
    <w:p w14:paraId="11F2185A">
      <w:pPr>
        <w:pStyle w:val="11"/>
        <w:spacing w:before="156" w:beforeLines="50" w:after="0" w:line="500" w:lineRule="exact"/>
        <w:ind w:firstLine="480" w:firstLineChars="200"/>
        <w:jc w:val="left"/>
        <w:rPr>
          <w:rFonts w:ascii="Times New Roman" w:hAnsi="Times New Roman" w:eastAsia="宋体" w:cs="Times New Roman"/>
          <w:b w:val="0"/>
          <w:bCs w:val="0"/>
          <w:kern w:val="2"/>
          <w:sz w:val="24"/>
          <w:szCs w:val="24"/>
        </w:rPr>
      </w:pPr>
      <w:bookmarkStart w:id="52" w:name="_Toc180389778"/>
      <w:r>
        <w:rPr>
          <w:rFonts w:hint="eastAsia" w:ascii="Times New Roman" w:hAnsi="Times New Roman" w:eastAsia="宋体" w:cs="Times New Roman"/>
          <w:b w:val="0"/>
          <w:bCs w:val="0"/>
          <w:kern w:val="2"/>
          <w:sz w:val="24"/>
          <w:szCs w:val="24"/>
        </w:rPr>
        <w:t>无。</w:t>
      </w:r>
      <w:bookmarkEnd w:id="10"/>
      <w:bookmarkEnd w:id="52"/>
    </w:p>
    <w:p w14:paraId="2B878709">
      <w:pPr>
        <w:widowControl/>
        <w:jc w:val="left"/>
      </w:pPr>
    </w:p>
    <w:p w14:paraId="09543B1D">
      <w:pPr>
        <w:widowControl/>
        <w:jc w:val="left"/>
      </w:pPr>
      <w:r>
        <mc:AlternateContent>
          <mc:Choice Requires="wps">
            <w:drawing>
              <wp:anchor distT="0" distB="0" distL="114300" distR="114300" simplePos="0" relativeHeight="251659264" behindDoc="0" locked="0" layoutInCell="1" allowOverlap="1">
                <wp:simplePos x="0" y="0"/>
                <wp:positionH relativeFrom="column">
                  <wp:posOffset>1818005</wp:posOffset>
                </wp:positionH>
                <wp:positionV relativeFrom="paragraph">
                  <wp:posOffset>178435</wp:posOffset>
                </wp:positionV>
                <wp:extent cx="1720850" cy="0"/>
                <wp:effectExtent l="0" t="6350" r="0" b="6350"/>
                <wp:wrapNone/>
                <wp:docPr id="1" name="直接连接符 1"/>
                <wp:cNvGraphicFramePr/>
                <a:graphic xmlns:a="http://schemas.openxmlformats.org/drawingml/2006/main">
                  <a:graphicData uri="http://schemas.microsoft.com/office/word/2010/wordprocessingShape">
                    <wps:wsp>
                      <wps:cNvCnPr/>
                      <wps:spPr>
                        <a:xfrm>
                          <a:off x="2961005" y="8452485"/>
                          <a:ext cx="1720850" cy="0"/>
                        </a:xfrm>
                        <a:prstGeom prst="line">
                          <a:avLst/>
                        </a:prstGeom>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43.15pt;margin-top:14.05pt;height:0pt;width:135.5pt;z-index:251659264;mso-width-relative:page;mso-height-relative:page;" filled="f" stroked="t" coordsize="21600,21600" o:gfxdata="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9mYXrVAAAACQEAAA8AAAAAAAAAAQAgAAAAIgAAAGRycy9kb3ducmV2LnhtbFBLAQIU&#10;ABQAAAAIAIdO4kAvN8nu9gEAAL4DAAAOAAAAAAAAAAEAIAAAACQBAABkcnMvZTJvRG9jLnhtbFBL&#10;BQYAAAAABgAGAFkBAACMBQAAAAA=&#10;">
                <v:fill on="f" focussize="0,0"/>
                <v:stroke weight="1pt" color="#4472C4 [3204]" miterlimit="8" joinstyle="miter"/>
                <v:imagedata o:title=""/>
                <o:lock v:ext="edit" aspectratio="f"/>
              </v:line>
            </w:pict>
          </mc:Fallback>
        </mc:AlternateContent>
      </w:r>
    </w:p>
    <w:p w14:paraId="7F6C8F03">
      <w:pPr>
        <w:widowControl/>
        <w:jc w:val="left"/>
      </w:pPr>
    </w:p>
    <w:p w14:paraId="02B7713C">
      <w:pPr>
        <w:widowControl/>
        <w:jc w:val="left"/>
      </w:pPr>
    </w:p>
    <w:sectPr>
      <w:headerReference r:id="rId3" w:type="default"/>
      <w:footerReference r:id="rId4" w:type="default"/>
      <w:pgSz w:w="11906" w:h="16838"/>
      <w:pgMar w:top="1440" w:right="1800" w:bottom="1440" w:left="1800" w:header="851" w:footer="567" w:gutter="0"/>
      <w:pgNumType w:fmt="numberInDash"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Cambria Math">
    <w:panose1 w:val="02040503050406030204"/>
    <w:charset w:val="00"/>
    <w:family w:val="roman"/>
    <w:pitch w:val="default"/>
    <w:sig w:usb0="E00006FF" w:usb1="420024FF" w:usb2="02000000" w:usb3="00000000" w:csb0="2000019F" w:csb1="00000000"/>
  </w:font>
  <w:font w:name="Segoe UI">
    <w:panose1 w:val="020B0502040204020203"/>
    <w:charset w:val="00"/>
    <w:family w:val="auto"/>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00334049"/>
    </w:sdtPr>
    <w:sdtEndPr>
      <w:rPr>
        <w:rFonts w:ascii="宋体" w:hAnsi="宋体"/>
        <w:sz w:val="24"/>
        <w:szCs w:val="24"/>
      </w:rPr>
    </w:sdtEndPr>
    <w:sdtContent>
      <w:p w14:paraId="626741D0">
        <w:pPr>
          <w:pStyle w:val="8"/>
          <w:jc w:val="center"/>
          <w:rPr>
            <w:rFonts w:hint="eastAsia" w:ascii="宋体" w:hAnsi="宋体"/>
            <w:sz w:val="24"/>
            <w:szCs w:val="24"/>
          </w:rPr>
        </w:pPr>
        <w:r>
          <w:rPr>
            <w:rFonts w:ascii="宋体" w:hAnsi="宋体"/>
            <w:sz w:val="24"/>
            <w:szCs w:val="24"/>
          </w:rPr>
          <w:fldChar w:fldCharType="begin"/>
        </w:r>
        <w:r>
          <w:rPr>
            <w:rFonts w:ascii="宋体" w:hAnsi="宋体"/>
            <w:sz w:val="24"/>
            <w:szCs w:val="24"/>
          </w:rPr>
          <w:instrText xml:space="preserve">PAGE   \* MERGEFORMAT</w:instrText>
        </w:r>
        <w:r>
          <w:rPr>
            <w:rFonts w:ascii="宋体" w:hAnsi="宋体"/>
            <w:sz w:val="24"/>
            <w:szCs w:val="24"/>
          </w:rPr>
          <w:fldChar w:fldCharType="separate"/>
        </w:r>
        <w:r>
          <w:rPr>
            <w:rFonts w:ascii="宋体" w:hAnsi="宋体"/>
            <w:sz w:val="24"/>
            <w:szCs w:val="24"/>
            <w:lang w:val="zh-CN"/>
          </w:rPr>
          <w:t>2</w:t>
        </w:r>
        <w:r>
          <w:rPr>
            <w:rFonts w:ascii="宋体" w:hAnsi="宋体"/>
            <w:sz w:val="24"/>
            <w:szCs w:val="24"/>
          </w:rPr>
          <w:fldChar w:fldCharType="end"/>
        </w:r>
      </w:p>
    </w:sdtContent>
  </w:sdt>
  <w:p w14:paraId="2E54C4DF">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01E15">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CB4199"/>
    <w:multiLevelType w:val="singleLevel"/>
    <w:tmpl w:val="B7CB4199"/>
    <w:lvl w:ilvl="0" w:tentative="0">
      <w:start w:val="1"/>
      <w:numFmt w:val="lowerLetter"/>
      <w:suff w:val="nothing"/>
      <w:lvlText w:val="%1）"/>
      <w:lvlJc w:val="left"/>
    </w:lvl>
  </w:abstractNum>
  <w:abstractNum w:abstractNumId="1">
    <w:nsid w:val="02FF32A3"/>
    <w:multiLevelType w:val="multilevel"/>
    <w:tmpl w:val="02FF32A3"/>
    <w:lvl w:ilvl="0" w:tentative="0">
      <w:start w:val="1"/>
      <w:numFmt w:val="japaneseCounting"/>
      <w:lvlText w:val="（%1）"/>
      <w:lvlJc w:val="left"/>
      <w:pPr>
        <w:ind w:left="1997" w:hanging="720"/>
      </w:pPr>
      <w:rPr>
        <w:rFonts w:hint="default"/>
      </w:rPr>
    </w:lvl>
    <w:lvl w:ilvl="1" w:tentative="0">
      <w:start w:val="1"/>
      <w:numFmt w:val="lowerLetter"/>
      <w:lvlText w:val="%2)"/>
      <w:lvlJc w:val="left"/>
      <w:pPr>
        <w:ind w:left="2117" w:hanging="420"/>
      </w:pPr>
    </w:lvl>
    <w:lvl w:ilvl="2" w:tentative="0">
      <w:start w:val="1"/>
      <w:numFmt w:val="lowerRoman"/>
      <w:lvlText w:val="%3."/>
      <w:lvlJc w:val="right"/>
      <w:pPr>
        <w:ind w:left="2537" w:hanging="420"/>
      </w:pPr>
    </w:lvl>
    <w:lvl w:ilvl="3" w:tentative="0">
      <w:start w:val="1"/>
      <w:numFmt w:val="decimal"/>
      <w:lvlText w:val="%4."/>
      <w:lvlJc w:val="left"/>
      <w:pPr>
        <w:ind w:left="2957" w:hanging="420"/>
      </w:pPr>
    </w:lvl>
    <w:lvl w:ilvl="4" w:tentative="0">
      <w:start w:val="1"/>
      <w:numFmt w:val="lowerLetter"/>
      <w:lvlText w:val="%5)"/>
      <w:lvlJc w:val="left"/>
      <w:pPr>
        <w:ind w:left="3377" w:hanging="420"/>
      </w:pPr>
    </w:lvl>
    <w:lvl w:ilvl="5" w:tentative="0">
      <w:start w:val="1"/>
      <w:numFmt w:val="lowerRoman"/>
      <w:lvlText w:val="%6."/>
      <w:lvlJc w:val="right"/>
      <w:pPr>
        <w:ind w:left="3797" w:hanging="420"/>
      </w:pPr>
    </w:lvl>
    <w:lvl w:ilvl="6" w:tentative="0">
      <w:start w:val="1"/>
      <w:numFmt w:val="decimal"/>
      <w:lvlText w:val="%7."/>
      <w:lvlJc w:val="left"/>
      <w:pPr>
        <w:ind w:left="4217" w:hanging="420"/>
      </w:pPr>
    </w:lvl>
    <w:lvl w:ilvl="7" w:tentative="0">
      <w:start w:val="1"/>
      <w:numFmt w:val="lowerLetter"/>
      <w:lvlText w:val="%8)"/>
      <w:lvlJc w:val="left"/>
      <w:pPr>
        <w:ind w:left="4637" w:hanging="420"/>
      </w:pPr>
    </w:lvl>
    <w:lvl w:ilvl="8" w:tentative="0">
      <w:start w:val="1"/>
      <w:numFmt w:val="lowerRoman"/>
      <w:lvlText w:val="%9."/>
      <w:lvlJc w:val="right"/>
      <w:pPr>
        <w:ind w:left="5057" w:hanging="420"/>
      </w:pPr>
    </w:lvl>
  </w:abstractNum>
  <w:abstractNum w:abstractNumId="2">
    <w:nsid w:val="1219745B"/>
    <w:multiLevelType w:val="multilevel"/>
    <w:tmpl w:val="1219745B"/>
    <w:lvl w:ilvl="0" w:tentative="0">
      <w:start w:val="1"/>
      <w:numFmt w:val="decimal"/>
      <w:lvlText w:val="%1."/>
      <w:lvlJc w:val="left"/>
      <w:pPr>
        <w:ind w:left="1345" w:hanging="440"/>
      </w:pPr>
      <w:rPr>
        <w:rFonts w:hint="eastAsia"/>
      </w:rPr>
    </w:lvl>
    <w:lvl w:ilvl="1" w:tentative="0">
      <w:start w:val="1"/>
      <w:numFmt w:val="lowerLetter"/>
      <w:lvlText w:val="%2)"/>
      <w:lvlJc w:val="left"/>
      <w:pPr>
        <w:ind w:left="880" w:hanging="440"/>
      </w:pPr>
      <w:rPr>
        <w:rFonts w:hint="eastAsia"/>
      </w:rPr>
    </w:lvl>
    <w:lvl w:ilvl="2" w:tentative="0">
      <w:start w:val="1"/>
      <w:numFmt w:val="decimal"/>
      <w:lvlText w:val="%3.）"/>
      <w:lvlJc w:val="right"/>
      <w:pPr>
        <w:ind w:left="1320" w:hanging="440"/>
      </w:pPr>
      <w:rPr>
        <w:rFonts w:hint="eastAsia"/>
      </w:rPr>
    </w:lvl>
    <w:lvl w:ilvl="3" w:tentative="0">
      <w:start w:val="1"/>
      <w:numFmt w:val="decimal"/>
      <w:lvlText w:val="%4."/>
      <w:lvlJc w:val="left"/>
      <w:pPr>
        <w:ind w:left="1760" w:hanging="440"/>
      </w:pPr>
      <w:rPr>
        <w:rFonts w:hint="eastAsia"/>
      </w:rPr>
    </w:lvl>
    <w:lvl w:ilvl="4" w:tentative="0">
      <w:start w:val="1"/>
      <w:numFmt w:val="lowerLetter"/>
      <w:lvlText w:val="%5)"/>
      <w:lvlJc w:val="left"/>
      <w:pPr>
        <w:ind w:left="2200" w:hanging="440"/>
      </w:pPr>
      <w:rPr>
        <w:rFonts w:hint="eastAsia"/>
      </w:rPr>
    </w:lvl>
    <w:lvl w:ilvl="5" w:tentative="0">
      <w:start w:val="1"/>
      <w:numFmt w:val="lowerRoman"/>
      <w:lvlText w:val="%6."/>
      <w:lvlJc w:val="right"/>
      <w:pPr>
        <w:ind w:left="2640" w:hanging="440"/>
      </w:pPr>
      <w:rPr>
        <w:rFonts w:hint="eastAsia"/>
      </w:rPr>
    </w:lvl>
    <w:lvl w:ilvl="6" w:tentative="0">
      <w:start w:val="1"/>
      <w:numFmt w:val="decimal"/>
      <w:lvlText w:val="%7."/>
      <w:lvlJc w:val="left"/>
      <w:pPr>
        <w:ind w:left="3080" w:hanging="440"/>
      </w:pPr>
      <w:rPr>
        <w:rFonts w:hint="eastAsia"/>
      </w:rPr>
    </w:lvl>
    <w:lvl w:ilvl="7" w:tentative="0">
      <w:start w:val="1"/>
      <w:numFmt w:val="lowerLetter"/>
      <w:lvlText w:val="%8)"/>
      <w:lvlJc w:val="left"/>
      <w:pPr>
        <w:ind w:left="3520" w:hanging="440"/>
      </w:pPr>
      <w:rPr>
        <w:rFonts w:hint="eastAsia"/>
      </w:rPr>
    </w:lvl>
    <w:lvl w:ilvl="8" w:tentative="0">
      <w:start w:val="1"/>
      <w:numFmt w:val="decimal"/>
      <w:lvlText w:val="%9）"/>
      <w:lvlJc w:val="left"/>
      <w:pPr>
        <w:ind w:left="1150" w:hanging="440"/>
      </w:pPr>
      <w:rPr>
        <w:rFonts w:hint="eastAsia"/>
      </w:rPr>
    </w:lvl>
  </w:abstractNum>
  <w:abstractNum w:abstractNumId="3">
    <w:nsid w:val="36A930FD"/>
    <w:multiLevelType w:val="multilevel"/>
    <w:tmpl w:val="36A930FD"/>
    <w:lvl w:ilvl="0" w:tentative="0">
      <w:start w:val="1"/>
      <w:numFmt w:val="decimal"/>
      <w:lvlText w:val="%1."/>
      <w:lvlJc w:val="left"/>
      <w:pPr>
        <w:ind w:left="840" w:hanging="360"/>
      </w:pPr>
      <w:rPr>
        <w:rFonts w:hint="default"/>
        <w:sz w:val="24"/>
        <w:szCs w:val="24"/>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6217E730"/>
    <w:multiLevelType w:val="singleLevel"/>
    <w:tmpl w:val="6217E730"/>
    <w:lvl w:ilvl="0" w:tentative="0">
      <w:start w:val="10"/>
      <w:numFmt w:val="chineseCounting"/>
      <w:suff w:val="nothing"/>
      <w:lvlText w:val="%1、"/>
      <w:lvlJc w:val="left"/>
      <w:rPr>
        <w:rFonts w:hint="eastAsia"/>
      </w:rPr>
    </w:lvl>
  </w:abstractNum>
  <w:abstractNum w:abstractNumId="5">
    <w:nsid w:val="6F06DC88"/>
    <w:multiLevelType w:val="singleLevel"/>
    <w:tmpl w:val="6F06DC88"/>
    <w:lvl w:ilvl="0" w:tentative="0">
      <w:start w:val="1"/>
      <w:numFmt w:val="decimal"/>
      <w:suff w:val="space"/>
      <w:lvlText w:val="%1."/>
      <w:lvlJc w:val="left"/>
    </w:lvl>
  </w:abstractNum>
  <w:abstractNum w:abstractNumId="6">
    <w:nsid w:val="77013ECA"/>
    <w:multiLevelType w:val="multilevel"/>
    <w:tmpl w:val="77013ECA"/>
    <w:lvl w:ilvl="0" w:tentative="0">
      <w:start w:val="1"/>
      <w:numFmt w:val="decimal"/>
      <w:lvlText w:val="%1"/>
      <w:lvlJc w:val="left"/>
      <w:pPr>
        <w:ind w:left="425" w:hanging="425"/>
      </w:pPr>
      <w:rPr>
        <w:rFonts w:hint="eastAsia"/>
      </w:rPr>
    </w:lvl>
    <w:lvl w:ilvl="1" w:tentative="0">
      <w:start w:val="1"/>
      <w:numFmt w:val="chineseCountingThousand"/>
      <w:lvlText w:val="（%2）"/>
      <w:lvlJc w:val="left"/>
      <w:pPr>
        <w:ind w:left="865" w:hanging="440"/>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7">
    <w:nsid w:val="7E920109"/>
    <w:multiLevelType w:val="multilevel"/>
    <w:tmpl w:val="7E920109"/>
    <w:lvl w:ilvl="0" w:tentative="0">
      <w:start w:val="1"/>
      <w:numFmt w:val="decimal"/>
      <w:lvlText w:val="表 %1"/>
      <w:lvlJc w:val="left"/>
      <w:pPr>
        <w:ind w:left="92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decimal"/>
      <w:lvlText w:val="表%9"/>
      <w:lvlJc w:val="right"/>
      <w:pPr>
        <w:ind w:left="3960" w:hanging="440"/>
      </w:pPr>
      <w:rPr>
        <w:rFonts w:hint="eastAsia"/>
      </w:rPr>
    </w:lvl>
  </w:abstractNum>
  <w:num w:numId="1">
    <w:abstractNumId w:val="1"/>
  </w:num>
  <w:num w:numId="2">
    <w:abstractNumId w:val="3"/>
  </w:num>
  <w:num w:numId="3">
    <w:abstractNumId w:val="0"/>
  </w:num>
  <w:num w:numId="4">
    <w:abstractNumId w:val="5"/>
  </w:num>
  <w:num w:numId="5">
    <w:abstractNumId w:val="4"/>
  </w:num>
  <w:num w:numId="6">
    <w:abstractNumId w:val="6"/>
  </w:num>
  <w:num w:numId="7">
    <w:abstractNumId w:val="2"/>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5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4D4E"/>
    <w:rsid w:val="0003007A"/>
    <w:rsid w:val="000318D6"/>
    <w:rsid w:val="0005687B"/>
    <w:rsid w:val="00071E23"/>
    <w:rsid w:val="00077151"/>
    <w:rsid w:val="00083283"/>
    <w:rsid w:val="000842BA"/>
    <w:rsid w:val="00091DD9"/>
    <w:rsid w:val="00093419"/>
    <w:rsid w:val="00097FBD"/>
    <w:rsid w:val="000A093F"/>
    <w:rsid w:val="000B0C66"/>
    <w:rsid w:val="000C3492"/>
    <w:rsid w:val="000C455B"/>
    <w:rsid w:val="000D0F54"/>
    <w:rsid w:val="000D3754"/>
    <w:rsid w:val="000E21B6"/>
    <w:rsid w:val="000F0246"/>
    <w:rsid w:val="000F2BA8"/>
    <w:rsid w:val="001001C8"/>
    <w:rsid w:val="001131A2"/>
    <w:rsid w:val="001159E7"/>
    <w:rsid w:val="001437AE"/>
    <w:rsid w:val="00147D18"/>
    <w:rsid w:val="001504B5"/>
    <w:rsid w:val="0015519E"/>
    <w:rsid w:val="001625FA"/>
    <w:rsid w:val="00162DCF"/>
    <w:rsid w:val="0016627B"/>
    <w:rsid w:val="00175B5D"/>
    <w:rsid w:val="00183F2B"/>
    <w:rsid w:val="00186516"/>
    <w:rsid w:val="0018772D"/>
    <w:rsid w:val="00187961"/>
    <w:rsid w:val="001A3AA7"/>
    <w:rsid w:val="001B3421"/>
    <w:rsid w:val="001B3CAE"/>
    <w:rsid w:val="001B5B74"/>
    <w:rsid w:val="001B7CB7"/>
    <w:rsid w:val="001C247B"/>
    <w:rsid w:val="001C506A"/>
    <w:rsid w:val="001D6A94"/>
    <w:rsid w:val="001E5372"/>
    <w:rsid w:val="001F1F30"/>
    <w:rsid w:val="00203242"/>
    <w:rsid w:val="00206BFC"/>
    <w:rsid w:val="00211179"/>
    <w:rsid w:val="00221076"/>
    <w:rsid w:val="002220A1"/>
    <w:rsid w:val="00233732"/>
    <w:rsid w:val="00243C0D"/>
    <w:rsid w:val="00247EF6"/>
    <w:rsid w:val="00255476"/>
    <w:rsid w:val="002624A9"/>
    <w:rsid w:val="002627C3"/>
    <w:rsid w:val="00264F9E"/>
    <w:rsid w:val="00265ED4"/>
    <w:rsid w:val="00284C28"/>
    <w:rsid w:val="00287C0D"/>
    <w:rsid w:val="00292CD9"/>
    <w:rsid w:val="002B0BF9"/>
    <w:rsid w:val="002B13B9"/>
    <w:rsid w:val="002B32E2"/>
    <w:rsid w:val="002D1469"/>
    <w:rsid w:val="002D7197"/>
    <w:rsid w:val="002E0477"/>
    <w:rsid w:val="002E56FD"/>
    <w:rsid w:val="002F4CF4"/>
    <w:rsid w:val="003027C5"/>
    <w:rsid w:val="003066B6"/>
    <w:rsid w:val="00312897"/>
    <w:rsid w:val="00320FCA"/>
    <w:rsid w:val="00325957"/>
    <w:rsid w:val="00327D28"/>
    <w:rsid w:val="0033244C"/>
    <w:rsid w:val="00332B08"/>
    <w:rsid w:val="00374D58"/>
    <w:rsid w:val="003762A0"/>
    <w:rsid w:val="003927B2"/>
    <w:rsid w:val="00394273"/>
    <w:rsid w:val="003A787E"/>
    <w:rsid w:val="003B329F"/>
    <w:rsid w:val="003C1527"/>
    <w:rsid w:val="003C1D16"/>
    <w:rsid w:val="003C525D"/>
    <w:rsid w:val="003D30C6"/>
    <w:rsid w:val="003D61AC"/>
    <w:rsid w:val="003F040F"/>
    <w:rsid w:val="00402F0E"/>
    <w:rsid w:val="0040622C"/>
    <w:rsid w:val="00412EBF"/>
    <w:rsid w:val="00414D4E"/>
    <w:rsid w:val="00417CC7"/>
    <w:rsid w:val="0042249D"/>
    <w:rsid w:val="004338A5"/>
    <w:rsid w:val="00435B37"/>
    <w:rsid w:val="00446500"/>
    <w:rsid w:val="00453E55"/>
    <w:rsid w:val="004565D9"/>
    <w:rsid w:val="00466CA5"/>
    <w:rsid w:val="004711A7"/>
    <w:rsid w:val="00471B5D"/>
    <w:rsid w:val="00474B78"/>
    <w:rsid w:val="00476283"/>
    <w:rsid w:val="0048458B"/>
    <w:rsid w:val="0049129E"/>
    <w:rsid w:val="00494F9D"/>
    <w:rsid w:val="004A1589"/>
    <w:rsid w:val="004A2680"/>
    <w:rsid w:val="004A576D"/>
    <w:rsid w:val="004B2BD3"/>
    <w:rsid w:val="004B45D2"/>
    <w:rsid w:val="004D24A0"/>
    <w:rsid w:val="004E317E"/>
    <w:rsid w:val="004F28DF"/>
    <w:rsid w:val="004F3928"/>
    <w:rsid w:val="00516C10"/>
    <w:rsid w:val="00521AA6"/>
    <w:rsid w:val="005369A7"/>
    <w:rsid w:val="00552AD0"/>
    <w:rsid w:val="00560E6C"/>
    <w:rsid w:val="0056368E"/>
    <w:rsid w:val="00564A65"/>
    <w:rsid w:val="0056636F"/>
    <w:rsid w:val="005901CE"/>
    <w:rsid w:val="00594F3E"/>
    <w:rsid w:val="005A6465"/>
    <w:rsid w:val="005A69C9"/>
    <w:rsid w:val="005B5161"/>
    <w:rsid w:val="005C7B2B"/>
    <w:rsid w:val="005C7ECC"/>
    <w:rsid w:val="005D0CE9"/>
    <w:rsid w:val="005E084B"/>
    <w:rsid w:val="005F1639"/>
    <w:rsid w:val="005F545E"/>
    <w:rsid w:val="005F5462"/>
    <w:rsid w:val="005F6EBE"/>
    <w:rsid w:val="00605308"/>
    <w:rsid w:val="00607A3B"/>
    <w:rsid w:val="006333CE"/>
    <w:rsid w:val="006518E7"/>
    <w:rsid w:val="00653C2A"/>
    <w:rsid w:val="00654924"/>
    <w:rsid w:val="0066591B"/>
    <w:rsid w:val="006704BF"/>
    <w:rsid w:val="00681C94"/>
    <w:rsid w:val="00685677"/>
    <w:rsid w:val="006860A3"/>
    <w:rsid w:val="00690ACA"/>
    <w:rsid w:val="00697CDB"/>
    <w:rsid w:val="006A4ABA"/>
    <w:rsid w:val="006D5DA8"/>
    <w:rsid w:val="006F1DE3"/>
    <w:rsid w:val="00701F33"/>
    <w:rsid w:val="007234D1"/>
    <w:rsid w:val="00743CCB"/>
    <w:rsid w:val="00745FE3"/>
    <w:rsid w:val="00760535"/>
    <w:rsid w:val="00760F5B"/>
    <w:rsid w:val="00765DD7"/>
    <w:rsid w:val="007706B8"/>
    <w:rsid w:val="00771F29"/>
    <w:rsid w:val="007726F8"/>
    <w:rsid w:val="00786F73"/>
    <w:rsid w:val="007925CF"/>
    <w:rsid w:val="007930A8"/>
    <w:rsid w:val="00794399"/>
    <w:rsid w:val="00794D0D"/>
    <w:rsid w:val="007B59EF"/>
    <w:rsid w:val="007D182F"/>
    <w:rsid w:val="007E4E45"/>
    <w:rsid w:val="007F2C8D"/>
    <w:rsid w:val="00800B11"/>
    <w:rsid w:val="00804463"/>
    <w:rsid w:val="008106C6"/>
    <w:rsid w:val="00824913"/>
    <w:rsid w:val="008349D8"/>
    <w:rsid w:val="00847324"/>
    <w:rsid w:val="00847AB6"/>
    <w:rsid w:val="00851FBE"/>
    <w:rsid w:val="00853FDC"/>
    <w:rsid w:val="0086345F"/>
    <w:rsid w:val="00867CE2"/>
    <w:rsid w:val="00872C32"/>
    <w:rsid w:val="0087608F"/>
    <w:rsid w:val="00882041"/>
    <w:rsid w:val="00883929"/>
    <w:rsid w:val="00883FAD"/>
    <w:rsid w:val="00887282"/>
    <w:rsid w:val="008875AD"/>
    <w:rsid w:val="008906C9"/>
    <w:rsid w:val="008942A5"/>
    <w:rsid w:val="008A27AF"/>
    <w:rsid w:val="008B05AF"/>
    <w:rsid w:val="008B1F70"/>
    <w:rsid w:val="008D23F4"/>
    <w:rsid w:val="008D251D"/>
    <w:rsid w:val="008D70D4"/>
    <w:rsid w:val="008D7550"/>
    <w:rsid w:val="008E6AA7"/>
    <w:rsid w:val="008F3981"/>
    <w:rsid w:val="008F44ED"/>
    <w:rsid w:val="008F4A5D"/>
    <w:rsid w:val="009105B1"/>
    <w:rsid w:val="00920EA3"/>
    <w:rsid w:val="0092394B"/>
    <w:rsid w:val="00953042"/>
    <w:rsid w:val="009749CF"/>
    <w:rsid w:val="00980F8D"/>
    <w:rsid w:val="009A2C2A"/>
    <w:rsid w:val="009B79D0"/>
    <w:rsid w:val="009C6720"/>
    <w:rsid w:val="009E0285"/>
    <w:rsid w:val="009F6882"/>
    <w:rsid w:val="00A02695"/>
    <w:rsid w:val="00A030CD"/>
    <w:rsid w:val="00A05DD8"/>
    <w:rsid w:val="00A06584"/>
    <w:rsid w:val="00A137C6"/>
    <w:rsid w:val="00A170B2"/>
    <w:rsid w:val="00A23638"/>
    <w:rsid w:val="00A45D3E"/>
    <w:rsid w:val="00A53535"/>
    <w:rsid w:val="00A546AF"/>
    <w:rsid w:val="00A70D86"/>
    <w:rsid w:val="00A74E58"/>
    <w:rsid w:val="00A846D2"/>
    <w:rsid w:val="00A87CFA"/>
    <w:rsid w:val="00A92F3C"/>
    <w:rsid w:val="00AC4071"/>
    <w:rsid w:val="00AD64E7"/>
    <w:rsid w:val="00AE23A2"/>
    <w:rsid w:val="00B00ADC"/>
    <w:rsid w:val="00B0489E"/>
    <w:rsid w:val="00B2729A"/>
    <w:rsid w:val="00B524FB"/>
    <w:rsid w:val="00B52ECC"/>
    <w:rsid w:val="00B62032"/>
    <w:rsid w:val="00B863AA"/>
    <w:rsid w:val="00BA1FE3"/>
    <w:rsid w:val="00BA4E80"/>
    <w:rsid w:val="00BC7BB4"/>
    <w:rsid w:val="00BE43CE"/>
    <w:rsid w:val="00BE773D"/>
    <w:rsid w:val="00BF0B56"/>
    <w:rsid w:val="00BF3885"/>
    <w:rsid w:val="00C01B45"/>
    <w:rsid w:val="00C02555"/>
    <w:rsid w:val="00C02843"/>
    <w:rsid w:val="00C03137"/>
    <w:rsid w:val="00C07E3F"/>
    <w:rsid w:val="00C10466"/>
    <w:rsid w:val="00C130E8"/>
    <w:rsid w:val="00C17151"/>
    <w:rsid w:val="00C336C0"/>
    <w:rsid w:val="00C518DA"/>
    <w:rsid w:val="00C56AB9"/>
    <w:rsid w:val="00C63536"/>
    <w:rsid w:val="00C63C21"/>
    <w:rsid w:val="00C666CD"/>
    <w:rsid w:val="00C72826"/>
    <w:rsid w:val="00C9515A"/>
    <w:rsid w:val="00CA31F2"/>
    <w:rsid w:val="00CA5678"/>
    <w:rsid w:val="00CB2AA6"/>
    <w:rsid w:val="00CB5532"/>
    <w:rsid w:val="00CB6B5B"/>
    <w:rsid w:val="00CC0B04"/>
    <w:rsid w:val="00CC0E2B"/>
    <w:rsid w:val="00CC2857"/>
    <w:rsid w:val="00CC67B2"/>
    <w:rsid w:val="00CD1085"/>
    <w:rsid w:val="00CE18BA"/>
    <w:rsid w:val="00CF20A5"/>
    <w:rsid w:val="00CF744B"/>
    <w:rsid w:val="00D34E12"/>
    <w:rsid w:val="00D41948"/>
    <w:rsid w:val="00D42C0F"/>
    <w:rsid w:val="00D551B1"/>
    <w:rsid w:val="00D55475"/>
    <w:rsid w:val="00D81F58"/>
    <w:rsid w:val="00D84B43"/>
    <w:rsid w:val="00D90288"/>
    <w:rsid w:val="00DA0DC1"/>
    <w:rsid w:val="00DA69CE"/>
    <w:rsid w:val="00DC696D"/>
    <w:rsid w:val="00DD5963"/>
    <w:rsid w:val="00DD786D"/>
    <w:rsid w:val="00E116F8"/>
    <w:rsid w:val="00E1532F"/>
    <w:rsid w:val="00E35F8B"/>
    <w:rsid w:val="00E35FA0"/>
    <w:rsid w:val="00E53B86"/>
    <w:rsid w:val="00E600BB"/>
    <w:rsid w:val="00E84A68"/>
    <w:rsid w:val="00E9168A"/>
    <w:rsid w:val="00EA0C92"/>
    <w:rsid w:val="00EA4A37"/>
    <w:rsid w:val="00EA4FB9"/>
    <w:rsid w:val="00EA534D"/>
    <w:rsid w:val="00EB4E80"/>
    <w:rsid w:val="00EB6F98"/>
    <w:rsid w:val="00EB708D"/>
    <w:rsid w:val="00EC095A"/>
    <w:rsid w:val="00EC0F3F"/>
    <w:rsid w:val="00EC13B5"/>
    <w:rsid w:val="00ED0427"/>
    <w:rsid w:val="00ED11A9"/>
    <w:rsid w:val="00ED1431"/>
    <w:rsid w:val="00ED59F8"/>
    <w:rsid w:val="00EE0979"/>
    <w:rsid w:val="00EF4616"/>
    <w:rsid w:val="00F02B36"/>
    <w:rsid w:val="00F05098"/>
    <w:rsid w:val="00F136DE"/>
    <w:rsid w:val="00F152E3"/>
    <w:rsid w:val="00F2776C"/>
    <w:rsid w:val="00F3189E"/>
    <w:rsid w:val="00F348DF"/>
    <w:rsid w:val="00F37136"/>
    <w:rsid w:val="00F423EC"/>
    <w:rsid w:val="00F5125A"/>
    <w:rsid w:val="00F569D3"/>
    <w:rsid w:val="00F5787D"/>
    <w:rsid w:val="00F57C93"/>
    <w:rsid w:val="00F705FC"/>
    <w:rsid w:val="00F819F4"/>
    <w:rsid w:val="00F854F0"/>
    <w:rsid w:val="00F87202"/>
    <w:rsid w:val="00FA1E45"/>
    <w:rsid w:val="00FD6AFC"/>
    <w:rsid w:val="02F84BAB"/>
    <w:rsid w:val="046C3066"/>
    <w:rsid w:val="089963F4"/>
    <w:rsid w:val="09102B5A"/>
    <w:rsid w:val="0C177D5B"/>
    <w:rsid w:val="0D3A63F7"/>
    <w:rsid w:val="148C5044"/>
    <w:rsid w:val="1A4D4EF5"/>
    <w:rsid w:val="20992871"/>
    <w:rsid w:val="21345EE2"/>
    <w:rsid w:val="257F27A2"/>
    <w:rsid w:val="25B271E9"/>
    <w:rsid w:val="26BA5EB0"/>
    <w:rsid w:val="27BC5F2F"/>
    <w:rsid w:val="2935110A"/>
    <w:rsid w:val="2C492802"/>
    <w:rsid w:val="2E3123D8"/>
    <w:rsid w:val="2F3A2FAC"/>
    <w:rsid w:val="3193256B"/>
    <w:rsid w:val="3AC54CA3"/>
    <w:rsid w:val="40A03CFB"/>
    <w:rsid w:val="44023F98"/>
    <w:rsid w:val="45292D11"/>
    <w:rsid w:val="46400498"/>
    <w:rsid w:val="468633F9"/>
    <w:rsid w:val="48EB3280"/>
    <w:rsid w:val="4F3D2C02"/>
    <w:rsid w:val="51323BB6"/>
    <w:rsid w:val="51A65F32"/>
    <w:rsid w:val="51C44034"/>
    <w:rsid w:val="554A65CF"/>
    <w:rsid w:val="55BB4987"/>
    <w:rsid w:val="56D04CBF"/>
    <w:rsid w:val="586438F5"/>
    <w:rsid w:val="59734491"/>
    <w:rsid w:val="5EB36A3D"/>
    <w:rsid w:val="609805E0"/>
    <w:rsid w:val="64521A5B"/>
    <w:rsid w:val="64FC16CD"/>
    <w:rsid w:val="66DB4D83"/>
    <w:rsid w:val="6B7C4F8F"/>
    <w:rsid w:val="6BB43DF4"/>
    <w:rsid w:val="6CE4695B"/>
    <w:rsid w:val="70873FF6"/>
    <w:rsid w:val="71666222"/>
    <w:rsid w:val="730814C9"/>
    <w:rsid w:val="732C3EDF"/>
    <w:rsid w:val="734C0DB6"/>
    <w:rsid w:val="744B031E"/>
    <w:rsid w:val="74C4654A"/>
    <w:rsid w:val="760608E9"/>
    <w:rsid w:val="760D6F22"/>
    <w:rsid w:val="7924080B"/>
    <w:rsid w:val="7BDD1145"/>
    <w:rsid w:val="7DCE76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3"/>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1"/>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2"/>
    <w:semiHidden/>
    <w:unhideWhenUsed/>
    <w:qFormat/>
    <w:uiPriority w:val="9"/>
    <w:pPr>
      <w:keepNext/>
      <w:keepLines/>
      <w:spacing w:before="260" w:after="260" w:line="416" w:lineRule="auto"/>
      <w:outlineLvl w:val="2"/>
    </w:pPr>
    <w:rPr>
      <w:b/>
      <w:bCs/>
      <w:sz w:val="32"/>
      <w:szCs w:val="32"/>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3"/>
    <w:unhideWhenUsed/>
    <w:qFormat/>
    <w:uiPriority w:val="99"/>
    <w:pPr>
      <w:jc w:val="left"/>
    </w:pPr>
  </w:style>
  <w:style w:type="paragraph" w:styleId="6">
    <w:name w:val="toc 3"/>
    <w:basedOn w:val="1"/>
    <w:next w:val="1"/>
    <w:autoRedefine/>
    <w:unhideWhenUsed/>
    <w:qFormat/>
    <w:uiPriority w:val="39"/>
    <w:pPr>
      <w:widowControl/>
      <w:spacing w:after="100" w:line="259" w:lineRule="auto"/>
      <w:ind w:left="440"/>
      <w:jc w:val="left"/>
    </w:pPr>
    <w:rPr>
      <w:rFonts w:asciiTheme="minorHAnsi" w:hAnsiTheme="minorHAnsi" w:eastAsiaTheme="minorEastAsia"/>
      <w:kern w:val="0"/>
      <w:sz w:val="22"/>
      <w:szCs w:val="22"/>
    </w:rPr>
  </w:style>
  <w:style w:type="paragraph" w:styleId="7">
    <w:name w:val="Body Text Indent 2"/>
    <w:basedOn w:val="1"/>
    <w:link w:val="28"/>
    <w:qFormat/>
    <w:uiPriority w:val="0"/>
    <w:pPr>
      <w:spacing w:after="120" w:line="480" w:lineRule="auto"/>
      <w:ind w:left="420" w:leftChars="200" w:hanging="357"/>
    </w:pPr>
    <w:rPr>
      <w:rFonts w:asciiTheme="minorHAnsi" w:hAnsiTheme="minorHAnsi" w:eastAsiaTheme="minorEastAsia" w:cstheme="minorBidi"/>
      <w:szCs w:val="22"/>
    </w:rPr>
  </w:style>
  <w:style w:type="paragraph" w:styleId="8">
    <w:name w:val="footer"/>
    <w:basedOn w:val="1"/>
    <w:link w:val="22"/>
    <w:unhideWhenUsed/>
    <w:qFormat/>
    <w:uiPriority w:val="99"/>
    <w:pPr>
      <w:tabs>
        <w:tab w:val="center" w:pos="4153"/>
        <w:tab w:val="right" w:pos="8306"/>
      </w:tabs>
      <w:snapToGrid w:val="0"/>
      <w:jc w:val="left"/>
    </w:pPr>
    <w:rPr>
      <w:sz w:val="18"/>
      <w:szCs w:val="18"/>
    </w:rPr>
  </w:style>
  <w:style w:type="paragraph" w:styleId="9">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autoRedefine/>
    <w:unhideWhenUsed/>
    <w:qFormat/>
    <w:uiPriority w:val="39"/>
  </w:style>
  <w:style w:type="paragraph" w:styleId="11">
    <w:name w:val="Subtitle"/>
    <w:basedOn w:val="1"/>
    <w:next w:val="1"/>
    <w:link w:val="30"/>
    <w:qFormat/>
    <w:uiPriority w:val="11"/>
    <w:pPr>
      <w:spacing w:before="240" w:after="60" w:line="312" w:lineRule="auto"/>
      <w:jc w:val="center"/>
      <w:outlineLvl w:val="1"/>
    </w:pPr>
    <w:rPr>
      <w:rFonts w:asciiTheme="minorHAnsi" w:hAnsiTheme="minorHAnsi" w:eastAsiaTheme="minorEastAsia" w:cstheme="minorBidi"/>
      <w:b/>
      <w:bCs/>
      <w:kern w:val="28"/>
      <w:sz w:val="32"/>
      <w:szCs w:val="32"/>
    </w:rPr>
  </w:style>
  <w:style w:type="paragraph" w:styleId="12">
    <w:name w:val="toc 2"/>
    <w:basedOn w:val="1"/>
    <w:next w:val="1"/>
    <w:autoRedefine/>
    <w:unhideWhenUsed/>
    <w:qFormat/>
    <w:uiPriority w:val="39"/>
    <w:pPr>
      <w:ind w:left="420" w:leftChars="200"/>
    </w:pPr>
  </w:style>
  <w:style w:type="paragraph" w:styleId="13">
    <w:name w:val="Title"/>
    <w:basedOn w:val="1"/>
    <w:next w:val="1"/>
    <w:link w:val="26"/>
    <w:qFormat/>
    <w:uiPriority w:val="0"/>
    <w:pPr>
      <w:spacing w:before="240" w:after="60"/>
      <w:jc w:val="center"/>
      <w:outlineLvl w:val="0"/>
    </w:pPr>
    <w:rPr>
      <w:rFonts w:ascii="Cambria" w:hAnsi="Cambria"/>
      <w:b/>
      <w:bCs/>
      <w:kern w:val="0"/>
      <w:sz w:val="32"/>
      <w:szCs w:val="32"/>
    </w:rPr>
  </w:style>
  <w:style w:type="paragraph" w:styleId="14">
    <w:name w:val="annotation subject"/>
    <w:basedOn w:val="5"/>
    <w:next w:val="5"/>
    <w:link w:val="24"/>
    <w:semiHidden/>
    <w:unhideWhenUsed/>
    <w:qFormat/>
    <w:uiPriority w:val="99"/>
    <w:rPr>
      <w:b/>
      <w:bCs/>
    </w:rPr>
  </w:style>
  <w:style w:type="table" w:styleId="16">
    <w:name w:val="Table Grid"/>
    <w:basedOn w:val="1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qFormat/>
    <w:uiPriority w:val="22"/>
    <w:rPr>
      <w:b/>
    </w:rPr>
  </w:style>
  <w:style w:type="character" w:styleId="19">
    <w:name w:val="Hyperlink"/>
    <w:basedOn w:val="17"/>
    <w:unhideWhenUsed/>
    <w:qFormat/>
    <w:uiPriority w:val="99"/>
    <w:rPr>
      <w:color w:val="0563C1" w:themeColor="hyperlink"/>
      <w:u w:val="single"/>
      <w14:textFill>
        <w14:solidFill>
          <w14:schemeClr w14:val="hlink"/>
        </w14:solidFill>
      </w14:textFill>
    </w:rPr>
  </w:style>
  <w:style w:type="character" w:styleId="20">
    <w:name w:val="annotation reference"/>
    <w:basedOn w:val="17"/>
    <w:semiHidden/>
    <w:unhideWhenUsed/>
    <w:qFormat/>
    <w:uiPriority w:val="99"/>
    <w:rPr>
      <w:sz w:val="21"/>
      <w:szCs w:val="21"/>
    </w:rPr>
  </w:style>
  <w:style w:type="character" w:customStyle="1" w:styleId="21">
    <w:name w:val="页眉 字符"/>
    <w:basedOn w:val="17"/>
    <w:link w:val="9"/>
    <w:qFormat/>
    <w:uiPriority w:val="99"/>
    <w:rPr>
      <w:sz w:val="18"/>
      <w:szCs w:val="18"/>
    </w:rPr>
  </w:style>
  <w:style w:type="character" w:customStyle="1" w:styleId="22">
    <w:name w:val="页脚 字符"/>
    <w:basedOn w:val="17"/>
    <w:link w:val="8"/>
    <w:qFormat/>
    <w:uiPriority w:val="99"/>
    <w:rPr>
      <w:sz w:val="18"/>
      <w:szCs w:val="18"/>
    </w:rPr>
  </w:style>
  <w:style w:type="character" w:customStyle="1" w:styleId="23">
    <w:name w:val="批注文字 字符"/>
    <w:basedOn w:val="17"/>
    <w:link w:val="5"/>
    <w:qFormat/>
    <w:uiPriority w:val="99"/>
    <w:rPr>
      <w:rFonts w:ascii="Times New Roman" w:hAnsi="Times New Roman" w:eastAsia="宋体" w:cs="Times New Roman"/>
      <w:szCs w:val="24"/>
    </w:rPr>
  </w:style>
  <w:style w:type="character" w:customStyle="1" w:styleId="24">
    <w:name w:val="批注主题 字符"/>
    <w:basedOn w:val="23"/>
    <w:link w:val="14"/>
    <w:semiHidden/>
    <w:qFormat/>
    <w:uiPriority w:val="99"/>
    <w:rPr>
      <w:rFonts w:ascii="Times New Roman" w:hAnsi="Times New Roman" w:eastAsia="宋体" w:cs="Times New Roman"/>
      <w:b/>
      <w:bCs/>
      <w:szCs w:val="24"/>
    </w:rPr>
  </w:style>
  <w:style w:type="character" w:customStyle="1" w:styleId="25">
    <w:name w:val="标题 字符"/>
    <w:basedOn w:val="17"/>
    <w:qFormat/>
    <w:uiPriority w:val="10"/>
    <w:rPr>
      <w:rFonts w:asciiTheme="majorHAnsi" w:hAnsiTheme="majorHAnsi" w:eastAsiaTheme="majorEastAsia" w:cstheme="majorBidi"/>
      <w:b/>
      <w:bCs/>
      <w:sz w:val="32"/>
      <w:szCs w:val="32"/>
    </w:rPr>
  </w:style>
  <w:style w:type="character" w:customStyle="1" w:styleId="26">
    <w:name w:val="标题 字符1"/>
    <w:link w:val="13"/>
    <w:qFormat/>
    <w:uiPriority w:val="0"/>
    <w:rPr>
      <w:rFonts w:ascii="Cambria" w:hAnsi="Cambria" w:eastAsia="宋体" w:cs="Times New Roman"/>
      <w:b/>
      <w:bCs/>
      <w:kern w:val="0"/>
      <w:sz w:val="32"/>
      <w:szCs w:val="32"/>
    </w:rPr>
  </w:style>
  <w:style w:type="paragraph" w:styleId="27">
    <w:name w:val="List Paragraph"/>
    <w:basedOn w:val="1"/>
    <w:qFormat/>
    <w:uiPriority w:val="34"/>
    <w:pPr>
      <w:ind w:firstLine="420" w:firstLineChars="200"/>
    </w:pPr>
  </w:style>
  <w:style w:type="character" w:customStyle="1" w:styleId="28">
    <w:name w:val="正文文本缩进 2 字符"/>
    <w:link w:val="7"/>
    <w:qFormat/>
    <w:uiPriority w:val="0"/>
  </w:style>
  <w:style w:type="character" w:customStyle="1" w:styleId="29">
    <w:name w:val="正文文本缩进 2 字符1"/>
    <w:basedOn w:val="17"/>
    <w:semiHidden/>
    <w:qFormat/>
    <w:uiPriority w:val="99"/>
    <w:rPr>
      <w:rFonts w:ascii="Times New Roman" w:hAnsi="Times New Roman" w:eastAsia="宋体" w:cs="Times New Roman"/>
      <w:szCs w:val="24"/>
    </w:rPr>
  </w:style>
  <w:style w:type="character" w:customStyle="1" w:styleId="30">
    <w:name w:val="副标题 字符"/>
    <w:basedOn w:val="17"/>
    <w:link w:val="11"/>
    <w:qFormat/>
    <w:uiPriority w:val="11"/>
    <w:rPr>
      <w:b/>
      <w:bCs/>
      <w:kern w:val="28"/>
      <w:sz w:val="32"/>
      <w:szCs w:val="32"/>
    </w:rPr>
  </w:style>
  <w:style w:type="character" w:customStyle="1" w:styleId="31">
    <w:name w:val="标题 2 字符"/>
    <w:basedOn w:val="17"/>
    <w:link w:val="3"/>
    <w:semiHidden/>
    <w:qFormat/>
    <w:uiPriority w:val="9"/>
    <w:rPr>
      <w:rFonts w:asciiTheme="majorHAnsi" w:hAnsiTheme="majorHAnsi" w:eastAsiaTheme="majorEastAsia" w:cstheme="majorBidi"/>
      <w:b/>
      <w:bCs/>
      <w:sz w:val="32"/>
      <w:szCs w:val="32"/>
    </w:rPr>
  </w:style>
  <w:style w:type="character" w:customStyle="1" w:styleId="32">
    <w:name w:val="标题 3 字符"/>
    <w:basedOn w:val="17"/>
    <w:link w:val="4"/>
    <w:semiHidden/>
    <w:qFormat/>
    <w:uiPriority w:val="9"/>
    <w:rPr>
      <w:rFonts w:ascii="Times New Roman" w:hAnsi="Times New Roman" w:eastAsia="宋体" w:cs="Times New Roman"/>
      <w:b/>
      <w:bCs/>
      <w:sz w:val="32"/>
      <w:szCs w:val="32"/>
    </w:rPr>
  </w:style>
  <w:style w:type="character" w:customStyle="1" w:styleId="33">
    <w:name w:val="标题 1 字符"/>
    <w:basedOn w:val="17"/>
    <w:link w:val="2"/>
    <w:qFormat/>
    <w:uiPriority w:val="9"/>
    <w:rPr>
      <w:rFonts w:ascii="Times New Roman" w:hAnsi="Times New Roman" w:eastAsia="宋体" w:cs="Times New Roman"/>
      <w:b/>
      <w:bCs/>
      <w:kern w:val="44"/>
      <w:sz w:val="44"/>
      <w:szCs w:val="44"/>
    </w:rPr>
  </w:style>
  <w:style w:type="paragraph" w:customStyle="1" w:styleId="34">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35">
    <w:name w:val="列出段落1"/>
    <w:basedOn w:val="1"/>
    <w:qFormat/>
    <w:uiPriority w:val="0"/>
    <w:pPr>
      <w:widowControl/>
      <w:ind w:firstLine="420" w:firstLineChars="200"/>
      <w:jc w:val="left"/>
    </w:pPr>
    <w:rPr>
      <w:sz w:val="24"/>
    </w:rPr>
  </w:style>
  <w:style w:type="character" w:styleId="36">
    <w:name w:val="Placeholder Text"/>
    <w:basedOn w:val="17"/>
    <w:semiHidden/>
    <w:qFormat/>
    <w:uiPriority w:val="99"/>
    <w:rPr>
      <w:color w:val="666666"/>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png"/><Relationship Id="rId7" Type="http://schemas.openxmlformats.org/officeDocument/2006/relationships/image" Target="media/image1.w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3.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package" Target="embeddings/Microsoft_Visio___1.vsdx"/><Relationship Id="rId17" Type="http://schemas.openxmlformats.org/officeDocument/2006/relationships/image" Target="media/image7.wmf"/><Relationship Id="rId16" Type="http://schemas.openxmlformats.org/officeDocument/2006/relationships/oleObject" Target="embeddings/oleObject5.bin"/><Relationship Id="rId15" Type="http://schemas.openxmlformats.org/officeDocument/2006/relationships/image" Target="media/image6.wmf"/><Relationship Id="rId14" Type="http://schemas.openxmlformats.org/officeDocument/2006/relationships/oleObject" Target="embeddings/oleObject4.bin"/><Relationship Id="rId13" Type="http://schemas.openxmlformats.org/officeDocument/2006/relationships/image" Target="media/image5.wmf"/><Relationship Id="rId12" Type="http://schemas.openxmlformats.org/officeDocument/2006/relationships/oleObject" Target="embeddings/oleObject3.bin"/><Relationship Id="rId11" Type="http://schemas.openxmlformats.org/officeDocument/2006/relationships/image" Target="media/image4.w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ontractReview xmlns="http://schemas.wps.cn/vas-ai-hub/contract-review">
  <reviewItems>
    <reviewItem>
      <errorID>b90a3e61-0ae6-4bdb-8a99-3f2cc463d4aa</errorID>
      <errorWord>国家质量监督检验检疫总局</errorWord>
      <group>L1_Knowledge</group>
      <groupName>知识性问题</groupName>
      <ability>L2_Organization</ability>
      <abilityName>机构检查</abilityName>
      <candidateList/>
      <explain>2018年3月，中共中央印发了《深化党和国家机构改革方案》，国家质量监督检验检疫总局的职责整合到新组建的国家市场监督管理总局，出入境检验检疫管理职责和队伍划入海关总署。不再保留国家质量监督检验检疫总局。</explain>
      <paraID> FD17C87</paraID>
      <start>58</start>
      <end>70</end>
      <status>ignored</status>
      <modifiedWord/>
      <trackRevisions>false</trackRevisions>
    </reviewItem>
    <reviewItem>
      <errorID>b3e7d1d6-9529-4379-8d76-9f2c5b1c422a</errorID>
      <errorWord>*</errorWord>
      <group>L1_Punc</group>
      <groupName>标点问题</groupName>
      <ability>L2_Punc</ability>
      <abilityName>标点符号检查</abilityName>
      <candidateList/>
      <explain/>
      <paraID>3E394477</paraID>
      <start>1</start>
      <end>2</end>
      <status>unmodified</status>
      <modifiedWord/>
      <trackRevisions>false</trackRevisions>
    </reviewItem>
  </reviewItems>
  <config/>
</contractReview>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8E11F04-1CAA-4EB1-AFDE-0EBB62ADD5B1}">
  <ds:schemaRefs/>
</ds:datastoreItem>
</file>

<file path=customXml/itemProps3.xml><?xml version="1.0" encoding="utf-8"?>
<ds:datastoreItem xmlns:ds="http://schemas.openxmlformats.org/officeDocument/2006/customXml" ds:itemID="{611633BE-32DC-4F48-9648-F681E0FA8048}">
  <ds:schemaRefs/>
</ds:datastoreItem>
</file>

<file path=docProps/app.xml><?xml version="1.0" encoding="utf-8"?>
<Properties xmlns="http://schemas.openxmlformats.org/officeDocument/2006/extended-properties" xmlns:vt="http://schemas.openxmlformats.org/officeDocument/2006/docPropsVTypes">
  <Template>Normal.dotm</Template>
  <Pages>18</Pages>
  <Words>7165</Words>
  <Characters>7708</Characters>
  <Lines>97</Lines>
  <Paragraphs>27</Paragraphs>
  <TotalTime>4</TotalTime>
  <ScaleCrop>false</ScaleCrop>
  <LinksUpToDate>false</LinksUpToDate>
  <CharactersWithSpaces>7951</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2026-01-30T06:32:00Z</dcterms:created>
  <dc:creator>贺家慧</dc:creator>
  <cp:lastModifiedBy>phenwsq</cp:lastModifiedBy>
  <dcterms:modified xsi:type="dcterms:W3CDTF">2026-05-21T07:22:12Z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TemplateDocerSaveRecord">
    <vt:lpwstr>eyJoZGlkIjoiZDYyMjY1Y2JkMGZlOGQxMmY1MDRjNzEzNmY0OTY1YTIiLCJ1c2VySWQiOiI3MTA5NjcxMjQifQ==</vt:lpwstr>
  </property>
  <property fmtid="{D5CDD505-2E9C-101B-9397-08002B2CF9AE}" pid="4" name="KSOProductBuildVer">
    <vt:lpwstr>2052-12.1.0.26375</vt:lpwstr>
  </property>
  <property fmtid="{D5CDD505-2E9C-101B-9397-08002B2CF9AE}" pid="5" name="ICV">
    <vt:lpwstr>D83433D5305D4887825CF7196E62FCAD_13</vt:lpwstr>
  </property>
</Properties>
</file>