
<file path=[Content_Types].xml><?xml version="1.0" encoding="utf-8"?>
<Types xmlns="http://schemas.openxmlformats.org/package/2006/content-types">
  <Default Extension="xml" ContentType="application/xml"/>
  <Default Extension="emf" ContentType="image/x-e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D9D47F">
      <w:pPr>
        <w:pStyle w:val="11"/>
        <w:spacing w:before="0" w:after="0" w:line="360" w:lineRule="auto"/>
        <w:rPr>
          <w:rFonts w:hint="default" w:ascii="Times New Roman" w:hAnsi="Times New Roman" w:eastAsia="仿宋_GB2312" w:cs="Times New Roman"/>
          <w:sz w:val="44"/>
          <w:szCs w:val="44"/>
        </w:rPr>
      </w:pPr>
      <w:r>
        <w:rPr>
          <w:rFonts w:hint="default" w:ascii="Times New Roman" w:hAnsi="Times New Roman" w:eastAsia="仿宋_GB2312" w:cs="Times New Roman"/>
          <w:sz w:val="44"/>
          <w:szCs w:val="44"/>
        </w:rPr>
        <w:t>特高频局部放电测试用传感器</w:t>
      </w:r>
    </w:p>
    <w:p w14:paraId="65DB8019">
      <w:pPr>
        <w:pStyle w:val="11"/>
        <w:spacing w:before="0" w:after="0" w:line="360" w:lineRule="auto"/>
        <w:rPr>
          <w:rFonts w:hint="default" w:ascii="Times New Roman" w:hAnsi="Times New Roman" w:eastAsia="仿宋_GB2312" w:cs="Times New Roman"/>
          <w:sz w:val="44"/>
          <w:szCs w:val="44"/>
        </w:rPr>
      </w:pPr>
      <w:r>
        <w:rPr>
          <w:rFonts w:hint="default" w:ascii="Times New Roman" w:hAnsi="Times New Roman" w:eastAsia="仿宋_GB2312" w:cs="Times New Roman"/>
          <w:sz w:val="44"/>
          <w:szCs w:val="44"/>
        </w:rPr>
        <w:t>调研报告</w:t>
      </w:r>
    </w:p>
    <w:p w14:paraId="36F3DB06">
      <w:pPr>
        <w:pStyle w:val="2"/>
        <w:snapToGrid w:val="0"/>
        <w:spacing w:before="156" w:beforeLines="50" w:after="156" w:afterLines="50" w:line="240" w:lineRule="auto"/>
        <w:rPr>
          <w:rFonts w:hint="default" w:ascii="Times New Roman" w:hAnsi="Times New Roman" w:eastAsia="仿宋_GB2312" w:cs="Times New Roman"/>
          <w:sz w:val="28"/>
        </w:rPr>
      </w:pPr>
      <w:r>
        <w:rPr>
          <w:rFonts w:hint="default" w:ascii="Times New Roman" w:hAnsi="Times New Roman" w:eastAsia="仿宋_GB2312" w:cs="Times New Roman"/>
          <w:sz w:val="28"/>
        </w:rPr>
        <w:t>1.调研任务来源</w:t>
      </w:r>
    </w:p>
    <w:p w14:paraId="12ECE375">
      <w:pPr>
        <w:spacing w:line="360" w:lineRule="auto"/>
        <w:ind w:firstLine="560" w:firstLineChars="200"/>
        <w:rPr>
          <w:rFonts w:hint="default" w:ascii="Times New Roman" w:hAnsi="Times New Roman" w:cs="Times New Roman"/>
        </w:rPr>
      </w:pPr>
      <w:r>
        <w:rPr>
          <w:rFonts w:hint="default" w:ascii="Times New Roman" w:hAnsi="Times New Roman" w:eastAsia="仿宋_GB2312" w:cs="Times New Roman"/>
          <w:bCs/>
          <w:color w:val="000000"/>
          <w:sz w:val="28"/>
        </w:rPr>
        <w:t>202</w:t>
      </w:r>
      <w:r>
        <w:rPr>
          <w:rFonts w:hint="default" w:ascii="Times New Roman" w:hAnsi="Times New Roman" w:eastAsia="仿宋_GB2312" w:cs="Times New Roman"/>
          <w:bCs/>
          <w:color w:val="000000"/>
          <w:sz w:val="28"/>
          <w:lang w:val="en-US" w:eastAsia="zh-CN"/>
        </w:rPr>
        <w:t>2</w:t>
      </w:r>
      <w:r>
        <w:rPr>
          <w:rFonts w:hint="default" w:ascii="Times New Roman" w:hAnsi="Times New Roman" w:eastAsia="仿宋_GB2312" w:cs="Times New Roman"/>
          <w:bCs/>
          <w:color w:val="000000"/>
          <w:sz w:val="28"/>
        </w:rPr>
        <w:t>年</w:t>
      </w:r>
      <w:r>
        <w:rPr>
          <w:rFonts w:hint="default" w:ascii="Times New Roman" w:hAnsi="Times New Roman" w:eastAsia="仿宋_GB2312" w:cs="Times New Roman"/>
          <w:bCs/>
          <w:color w:val="000000"/>
          <w:sz w:val="28"/>
          <w:lang w:val="en-US" w:eastAsia="zh-CN"/>
        </w:rPr>
        <w:t>10</w:t>
      </w:r>
      <w:r>
        <w:rPr>
          <w:rFonts w:hint="default" w:ascii="Times New Roman" w:hAnsi="Times New Roman" w:eastAsia="仿宋_GB2312" w:cs="Times New Roman"/>
          <w:bCs/>
          <w:color w:val="000000"/>
          <w:sz w:val="28"/>
        </w:rPr>
        <w:t>月</w:t>
      </w:r>
      <w:r>
        <w:rPr>
          <w:rFonts w:hint="default" w:ascii="Times New Roman" w:hAnsi="Times New Roman" w:eastAsia="仿宋_GB2312" w:cs="Times New Roman"/>
          <w:bCs/>
          <w:color w:val="000000"/>
          <w:sz w:val="28"/>
          <w:lang w:val="en-US" w:eastAsia="zh-CN"/>
        </w:rPr>
        <w:t>28</w:t>
      </w:r>
      <w:r>
        <w:rPr>
          <w:rFonts w:hint="default" w:ascii="Times New Roman" w:hAnsi="Times New Roman" w:eastAsia="仿宋_GB2312" w:cs="Times New Roman"/>
          <w:bCs/>
          <w:color w:val="000000"/>
          <w:sz w:val="28"/>
        </w:rPr>
        <w:t>日，根据《特高频局部放电测试用传感器特性测评方法》编制工作组启动工作会议提出的调研要求，对特高频局部放电</w:t>
      </w:r>
      <w:r>
        <w:rPr>
          <w:rFonts w:hint="eastAsia" w:ascii="Times New Roman" w:hAnsi="Times New Roman" w:eastAsia="仿宋_GB2312" w:cs="Times New Roman"/>
          <w:bCs/>
          <w:color w:val="000000"/>
          <w:sz w:val="28"/>
          <w:lang w:val="en-US" w:eastAsia="zh-CN"/>
        </w:rPr>
        <w:t>检测基本</w:t>
      </w:r>
      <w:r>
        <w:rPr>
          <w:rFonts w:hint="default" w:ascii="Times New Roman" w:hAnsi="Times New Roman" w:eastAsia="仿宋_GB2312" w:cs="Times New Roman"/>
          <w:bCs/>
          <w:color w:val="000000"/>
          <w:sz w:val="28"/>
        </w:rPr>
        <w:t>原理、特高频传感器的分类、商用传感器进行调研。</w:t>
      </w:r>
    </w:p>
    <w:p w14:paraId="12702364">
      <w:pPr>
        <w:pStyle w:val="2"/>
        <w:snapToGrid w:val="0"/>
        <w:spacing w:before="156" w:beforeLines="50" w:after="156" w:afterLines="50" w:line="240" w:lineRule="auto"/>
        <w:rPr>
          <w:rFonts w:hint="default" w:ascii="Times New Roman" w:hAnsi="Times New Roman" w:eastAsia="仿宋_GB2312" w:cs="Times New Roman"/>
          <w:sz w:val="28"/>
        </w:rPr>
      </w:pPr>
      <w:r>
        <w:rPr>
          <w:rFonts w:hint="default" w:ascii="Times New Roman" w:hAnsi="Times New Roman" w:eastAsia="仿宋_GB2312" w:cs="Times New Roman"/>
          <w:sz w:val="28"/>
        </w:rPr>
        <w:t>2.特高频局部放电检测基本原理</w:t>
      </w:r>
    </w:p>
    <w:p w14:paraId="37B2C4FF">
      <w:pPr>
        <w:spacing w:line="360" w:lineRule="auto"/>
        <w:ind w:firstLine="560" w:firstLineChars="200"/>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t>运行中的输变电站设备（GIS、变压器）故障超过一半是由绝缘问题所导致的。检测设备局部放电能够尽早发现设备内部的绝缘缺陷，是预防严重绝缘事故发生最为有效的手段。局部放电的检测通过测量局部放电发生过程中伴随的声、光、电磁等物理信号而实现，其中测量和分析300MHz</w:t>
      </w:r>
      <w:r>
        <w:rPr>
          <w:rFonts w:hint="default" w:ascii="Times New Roman" w:hAnsi="Times New Roman" w:eastAsia="仿宋_GB2312" w:cs="Times New Roman"/>
          <w:bCs/>
          <w:color w:val="000000"/>
          <w:sz w:val="28"/>
          <w:lang w:val="en-US" w:eastAsia="zh-CN"/>
        </w:rPr>
        <w:t>~</w:t>
      </w:r>
      <w:r>
        <w:rPr>
          <w:rFonts w:hint="default" w:ascii="Times New Roman" w:hAnsi="Times New Roman" w:eastAsia="仿宋_GB2312" w:cs="Times New Roman"/>
          <w:bCs/>
          <w:color w:val="000000"/>
          <w:sz w:val="28"/>
        </w:rPr>
        <w:t>3GHz范围内的电磁波信号的特高频法，由于能够有效排除空气中电晕放电（产生的电磁波信号频率范围在300MHz以下）干扰的影响，目前在现场得到广泛应用。</w:t>
      </w:r>
    </w:p>
    <w:p w14:paraId="087FE31D">
      <w:pPr>
        <w:spacing w:line="360" w:lineRule="auto"/>
        <w:ind w:firstLine="560" w:firstLineChars="200"/>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t>自1992年英国DMS公司创始人研制成功了第一台商用的局部放电监测仪，特高频检测系统已经在工程上深入应用了有30年之久，特高频局部放电检测系统的组成如图2-1所示。</w:t>
      </w:r>
    </w:p>
    <w:p w14:paraId="4061CC54">
      <w:pPr>
        <w:spacing w:line="360" w:lineRule="auto"/>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drawing>
          <wp:inline distT="0" distB="0" distL="0" distR="0">
            <wp:extent cx="5376545" cy="88519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5">
                      <a:extLst>
                        <a:ext uri="{28A0092B-C50C-407E-A947-70E740481C1C}">
                          <a14:useLocalDpi xmlns:a14="http://schemas.microsoft.com/office/drawing/2010/main" val="0"/>
                        </a:ext>
                      </a:extLst>
                    </a:blip>
                    <a:srcRect l="3752" b="18518"/>
                    <a:stretch>
                      <a:fillRect/>
                    </a:stretch>
                  </pic:blipFill>
                  <pic:spPr>
                    <a:xfrm>
                      <a:off x="0" y="0"/>
                      <a:ext cx="5376545" cy="885190"/>
                    </a:xfrm>
                    <a:prstGeom prst="rect">
                      <a:avLst/>
                    </a:prstGeom>
                    <a:noFill/>
                    <a:ln>
                      <a:noFill/>
                    </a:ln>
                  </pic:spPr>
                </pic:pic>
              </a:graphicData>
            </a:graphic>
          </wp:inline>
        </w:drawing>
      </w:r>
    </w:p>
    <w:p w14:paraId="7B810F7B">
      <w:pPr>
        <w:spacing w:line="360" w:lineRule="auto"/>
        <w:ind w:firstLine="480" w:firstLineChars="200"/>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图2-1 特高频局部放电检测系统组成</w:t>
      </w:r>
    </w:p>
    <w:p w14:paraId="1927EC56">
      <w:pPr>
        <w:spacing w:line="360" w:lineRule="auto"/>
        <w:ind w:firstLine="560" w:firstLineChars="200"/>
        <w:rPr>
          <w:rFonts w:hint="default" w:ascii="Times New Roman" w:hAnsi="Times New Roman" w:cs="Times New Roman"/>
        </w:rPr>
      </w:pPr>
      <w:r>
        <w:rPr>
          <w:rFonts w:hint="default" w:ascii="Times New Roman" w:hAnsi="Times New Roman" w:eastAsia="仿宋_GB2312" w:cs="Times New Roman"/>
          <w:bCs/>
          <w:color w:val="000000"/>
          <w:sz w:val="28"/>
        </w:rPr>
        <w:t>特高频局部放电测试用传感器</w:t>
      </w:r>
      <w:r>
        <w:rPr>
          <w:rFonts w:hint="eastAsia" w:ascii="Times New Roman" w:hAnsi="Times New Roman" w:eastAsia="仿宋_GB2312" w:cs="Times New Roman"/>
          <w:bCs/>
          <w:color w:val="000000"/>
          <w:sz w:val="28"/>
          <w:lang w:eastAsia="zh-CN"/>
        </w:rPr>
        <w:t>（</w:t>
      </w:r>
      <w:r>
        <w:rPr>
          <w:rFonts w:hint="eastAsia" w:ascii="Times New Roman" w:hAnsi="Times New Roman" w:eastAsia="仿宋_GB2312" w:cs="Times New Roman"/>
          <w:bCs/>
          <w:color w:val="000000"/>
          <w:sz w:val="28"/>
          <w:lang w:val="en-US" w:eastAsia="zh-CN"/>
        </w:rPr>
        <w:t>后续简称“</w:t>
      </w:r>
      <w:r>
        <w:rPr>
          <w:rFonts w:hint="default" w:ascii="Times New Roman" w:hAnsi="Times New Roman" w:eastAsia="仿宋_GB2312" w:cs="Times New Roman"/>
          <w:bCs/>
          <w:color w:val="000000"/>
          <w:sz w:val="28"/>
        </w:rPr>
        <w:t>特高频传感器</w:t>
      </w:r>
      <w:r>
        <w:rPr>
          <w:rFonts w:hint="eastAsia" w:ascii="Times New Roman" w:hAnsi="Times New Roman" w:eastAsia="仿宋_GB2312" w:cs="Times New Roman"/>
          <w:bCs/>
          <w:color w:val="000000"/>
          <w:sz w:val="28"/>
          <w:lang w:eastAsia="zh-CN"/>
        </w:rPr>
        <w:t>”）</w:t>
      </w:r>
      <w:r>
        <w:rPr>
          <w:rFonts w:hint="default" w:ascii="Times New Roman" w:hAnsi="Times New Roman" w:eastAsia="仿宋_GB2312" w:cs="Times New Roman"/>
          <w:bCs/>
          <w:color w:val="000000"/>
          <w:sz w:val="28"/>
        </w:rPr>
        <w:t>是检测系统的最前端，对于特高频检测至关重要，起到采集局部放电电磁波信号的作用，是后续处理和分析信号的前提。在局部放电特高频法发展的这30年间，特高频检测系统的结构以及实现的功能与第一套系统相比变化不大，但是作为系统最前端的特高频传感器在科研人员的开发研究过程中，不断改善，形成了结构各异、性能不同的形形色色的特高频传感器。为了掌握目前的特高频特点，支撑局部放电特高频方法的有效开展，有必要对特高频的发展状况进行调研分析。</w:t>
      </w:r>
    </w:p>
    <w:p w14:paraId="1EFDF082">
      <w:pPr>
        <w:pStyle w:val="2"/>
        <w:snapToGrid w:val="0"/>
        <w:spacing w:before="156" w:beforeLines="50" w:after="156" w:afterLines="50" w:line="240" w:lineRule="auto"/>
        <w:ind w:left="140"/>
        <w:rPr>
          <w:rFonts w:hint="default" w:ascii="Times New Roman" w:hAnsi="Times New Roman" w:eastAsia="仿宋_GB2312" w:cs="Times New Roman"/>
          <w:sz w:val="28"/>
        </w:rPr>
      </w:pPr>
      <w:r>
        <w:rPr>
          <w:rFonts w:hint="default" w:ascii="Times New Roman" w:hAnsi="Times New Roman" w:eastAsia="仿宋_GB2312" w:cs="Times New Roman"/>
          <w:sz w:val="28"/>
        </w:rPr>
        <w:t>3.特高频传感器的分类</w:t>
      </w:r>
    </w:p>
    <w:p w14:paraId="37E1569C">
      <w:pPr>
        <w:pStyle w:val="3"/>
        <w:rPr>
          <w:rFonts w:hint="default" w:ascii="Times New Roman" w:hAnsi="Times New Roman" w:cs="Times New Roman"/>
          <w:sz w:val="24"/>
          <w:szCs w:val="28"/>
        </w:rPr>
      </w:pPr>
      <w:r>
        <w:rPr>
          <w:rFonts w:hint="default" w:ascii="Times New Roman" w:hAnsi="Times New Roman" w:cs="Times New Roman"/>
          <w:sz w:val="24"/>
          <w:szCs w:val="28"/>
        </w:rPr>
        <w:t>（1）按照安装位置分类</w:t>
      </w:r>
    </w:p>
    <w:p w14:paraId="35F806E0">
      <w:pPr>
        <w:spacing w:line="360" w:lineRule="auto"/>
        <w:ind w:firstLine="560" w:firstLineChars="200"/>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t>特高频传感按照其相对于被测设备的安装位置大致可分为两大类：内置式传感器和外置式传感器，外置式传感器放置在设备的外部，内置式传感器通过特殊的安装窗口植入设备内部，图3-1展示了目前在GIS和变压器设备上常见的两种特高频传感器安装方式。</w:t>
      </w:r>
    </w:p>
    <w:p w14:paraId="4D03D859">
      <w:pPr>
        <w:jc w:val="center"/>
        <w:rPr>
          <w:rFonts w:hint="default" w:ascii="Times New Roman" w:hAnsi="Times New Roman" w:cs="Times New Roman"/>
        </w:rPr>
      </w:pPr>
      <w:r>
        <w:rPr>
          <w:rFonts w:hint="default" w:ascii="Times New Roman" w:hAnsi="Times New Roman" w:cs="Times New Roman"/>
        </w:rPr>
        <w:drawing>
          <wp:inline distT="0" distB="0" distL="0" distR="0">
            <wp:extent cx="3549650" cy="1440180"/>
            <wp:effectExtent l="0" t="0" r="1270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6">
                      <a:extLst>
                        <a:ext uri="{28A0092B-C50C-407E-A947-70E740481C1C}">
                          <a14:useLocalDpi xmlns:a14="http://schemas.microsoft.com/office/drawing/2010/main" val="0"/>
                        </a:ext>
                      </a:extLst>
                    </a:blip>
                    <a:srcRect l="2274" t="17902" r="10931" b="4120"/>
                    <a:stretch>
                      <a:fillRect/>
                    </a:stretch>
                  </pic:blipFill>
                  <pic:spPr>
                    <a:xfrm>
                      <a:off x="0" y="0"/>
                      <a:ext cx="3549650" cy="1440180"/>
                    </a:xfrm>
                    <a:prstGeom prst="rect">
                      <a:avLst/>
                    </a:prstGeom>
                    <a:noFill/>
                    <a:ln>
                      <a:noFill/>
                    </a:ln>
                  </pic:spPr>
                </pic:pic>
              </a:graphicData>
            </a:graphic>
          </wp:inline>
        </w:drawing>
      </w:r>
    </w:p>
    <w:p w14:paraId="2C206A39">
      <w:pPr>
        <w:jc w:val="center"/>
        <w:rPr>
          <w:rFonts w:hint="default" w:ascii="Times New Roman" w:hAnsi="Times New Roman" w:cs="Times New Roman"/>
        </w:rPr>
      </w:pPr>
      <w:r>
        <w:rPr>
          <w:rFonts w:hint="default" w:ascii="Times New Roman" w:hAnsi="Times New Roman" w:cs="Times New Roman"/>
        </w:rPr>
        <w:drawing>
          <wp:inline distT="0" distB="0" distL="0" distR="0">
            <wp:extent cx="3776980" cy="2160270"/>
            <wp:effectExtent l="0" t="0" r="13970" b="1143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7">
                      <a:extLst>
                        <a:ext uri="{28A0092B-C50C-407E-A947-70E740481C1C}">
                          <a14:useLocalDpi xmlns:a14="http://schemas.microsoft.com/office/drawing/2010/main" val="0"/>
                        </a:ext>
                      </a:extLst>
                    </a:blip>
                    <a:srcRect l="1755" t="2077" r="6410" b="1714"/>
                    <a:stretch>
                      <a:fillRect/>
                    </a:stretch>
                  </pic:blipFill>
                  <pic:spPr>
                    <a:xfrm>
                      <a:off x="0" y="0"/>
                      <a:ext cx="3776980" cy="2160270"/>
                    </a:xfrm>
                    <a:prstGeom prst="rect">
                      <a:avLst/>
                    </a:prstGeom>
                    <a:noFill/>
                    <a:ln>
                      <a:noFill/>
                    </a:ln>
                  </pic:spPr>
                </pic:pic>
              </a:graphicData>
            </a:graphic>
          </wp:inline>
        </w:drawing>
      </w:r>
    </w:p>
    <w:p w14:paraId="359B3C66">
      <w:pPr>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图3-1 局部放电特高频传感器安装示意图：（a）GIS；（b）变压器</w:t>
      </w:r>
    </w:p>
    <w:p w14:paraId="74ECA073">
      <w:pPr>
        <w:spacing w:line="360" w:lineRule="auto"/>
        <w:rPr>
          <w:rFonts w:hint="default" w:ascii="Times New Roman" w:hAnsi="Times New Roman" w:eastAsia="仿宋_GB2312" w:cs="Times New Roman"/>
          <w:bCs/>
          <w:color w:val="000000"/>
          <w:sz w:val="28"/>
        </w:rPr>
      </w:pPr>
    </w:p>
    <w:p w14:paraId="21111F35">
      <w:pPr>
        <w:spacing w:line="360" w:lineRule="auto"/>
        <w:ind w:firstLine="560" w:firstLineChars="200"/>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t>内置式传感器由于需要植入设备内部，为了不引起设备内部的电场畸变，对设备的安全运行带来隐患，传感器植入需要置于被测设备的低场强区域。如图3-1（a）所示，对于GIS设备而言，需要在GIS设备的外壳处设计制作独立的安装窗，从而保证特高频传感器植入后不超过GIS外壳的内表面，特高频传感器整体处于接地外壳位置处的低场强区。对于变压器设备而言，如图3-1（b）所示，内置式传感器的安装有两种方式，一种是和GIS的内置式特高频传感器相类似，在变压器的外壳（箱体）处预先设计制作相应的安装窗，从而实现内置式传感器的植入；一种是在变压器的油阀处植入相应的特高频传感器。变压器的这两种传感器由于植入位置的区别，外观形式上具有明显的差异，如图3-2所示，箱体预埋式的传感器一般为一安装在金属底板上的天线，而油阀内置式特高频传感器一般需要为狭窄式的结构，因此通常采用单极子天线形式。</w:t>
      </w:r>
    </w:p>
    <w:p w14:paraId="38C495D3">
      <w:pPr>
        <w:spacing w:line="360" w:lineRule="auto"/>
        <w:jc w:val="center"/>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drawing>
          <wp:inline distT="0" distB="0" distL="0" distR="0">
            <wp:extent cx="1775460" cy="1440180"/>
            <wp:effectExtent l="0" t="0" r="1524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775460" cy="1440180"/>
                    </a:xfrm>
                    <a:prstGeom prst="rect">
                      <a:avLst/>
                    </a:prstGeom>
                    <a:noFill/>
                    <a:ln>
                      <a:noFill/>
                    </a:ln>
                  </pic:spPr>
                </pic:pic>
              </a:graphicData>
            </a:graphic>
          </wp:inline>
        </w:drawing>
      </w:r>
      <w:r>
        <w:rPr>
          <w:rFonts w:hint="default" w:ascii="Times New Roman" w:hAnsi="Times New Roman" w:eastAsia="仿宋_GB2312" w:cs="Times New Roman"/>
          <w:bCs/>
          <w:color w:val="000000"/>
          <w:sz w:val="28"/>
        </w:rPr>
        <w:drawing>
          <wp:inline distT="0" distB="0" distL="0" distR="0">
            <wp:extent cx="2697480" cy="1440180"/>
            <wp:effectExtent l="0" t="0" r="6985"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697480" cy="1440180"/>
                    </a:xfrm>
                    <a:prstGeom prst="rect">
                      <a:avLst/>
                    </a:prstGeom>
                    <a:noFill/>
                    <a:ln>
                      <a:noFill/>
                    </a:ln>
                  </pic:spPr>
                </pic:pic>
              </a:graphicData>
            </a:graphic>
          </wp:inline>
        </w:drawing>
      </w:r>
    </w:p>
    <w:p w14:paraId="18C15E82">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图3-2 变压器内置式特高频传感器：（a）箱体预埋式；（b）油阀</w:t>
      </w:r>
      <w:r>
        <w:rPr>
          <w:rFonts w:hint="eastAsia" w:ascii="Times New Roman" w:hAnsi="Times New Roman" w:eastAsia="仿宋_GB2312" w:cs="Times New Roman"/>
          <w:bCs/>
          <w:color w:val="000000"/>
          <w:sz w:val="24"/>
          <w:lang w:val="en-US" w:eastAsia="zh-CN"/>
        </w:rPr>
        <w:t>侵</w:t>
      </w:r>
      <w:r>
        <w:rPr>
          <w:rFonts w:hint="default" w:ascii="Times New Roman" w:hAnsi="Times New Roman" w:eastAsia="仿宋_GB2312" w:cs="Times New Roman"/>
          <w:bCs/>
          <w:color w:val="000000"/>
          <w:sz w:val="24"/>
        </w:rPr>
        <w:t>入式</w:t>
      </w:r>
    </w:p>
    <w:p w14:paraId="1570101C">
      <w:pPr>
        <w:spacing w:line="360" w:lineRule="auto"/>
        <w:ind w:firstLine="560" w:firstLineChars="200"/>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t>无论是变压器还是GIS设备，设备的外壳均是采用金属材料进行一体化密封制作，因此内部局部放电产的电磁波信号通常是难以辐射出设备外部的，此时对于外置式特高频传感器的安装布置具有特殊的要求。如图3-1（a）所示，对于GIS设备来说，外置式传感器常常布置于环氧材料的绝缘子处，从而接收到内部局部放电信号产生的电磁波信号，而对于变压器设备而言，外置式传感器会布置在非金属材料的高压套管附件，从而接收到辐射出的电磁波信号。此外，除了以上两种安装位置，早期的设备上通常还会在设备外壳处布置用于观察设备内部状态的玻璃观察窗，如图3-3所示。此外，在变压器箱体上还会安装电介质窗，透过电介质窗可以实现利用外置式特高频传感器检测到油箱内部局部放电电磁波信号的作用。</w:t>
      </w:r>
    </w:p>
    <w:p w14:paraId="3A87C44E">
      <w:pPr>
        <w:spacing w:line="360" w:lineRule="auto"/>
        <w:ind w:firstLine="560" w:firstLineChars="200"/>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drawing>
          <wp:inline distT="0" distB="0" distL="0" distR="0">
            <wp:extent cx="2252980" cy="1477645"/>
            <wp:effectExtent l="0" t="0" r="0" b="0"/>
            <wp:docPr id="7" name="图片 7" descr="1669432846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66943284677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252980" cy="1477645"/>
                    </a:xfrm>
                    <a:prstGeom prst="rect">
                      <a:avLst/>
                    </a:prstGeom>
                    <a:noFill/>
                    <a:ln>
                      <a:noFill/>
                    </a:ln>
                  </pic:spPr>
                </pic:pic>
              </a:graphicData>
            </a:graphic>
          </wp:inline>
        </w:drawing>
      </w:r>
      <w:r>
        <w:rPr>
          <w:rFonts w:hint="default" w:ascii="Times New Roman" w:hAnsi="Times New Roman" w:eastAsia="仿宋_GB2312" w:cs="Times New Roman"/>
          <w:bCs/>
          <w:color w:val="000000"/>
          <w:sz w:val="28"/>
        </w:rPr>
        <w:drawing>
          <wp:inline distT="0" distB="0" distL="0" distR="0">
            <wp:extent cx="2516505" cy="1411605"/>
            <wp:effectExtent l="0" t="0" r="0" b="0"/>
            <wp:docPr id="8" name="图片 8" descr="1669432903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66943290310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516505" cy="1411605"/>
                    </a:xfrm>
                    <a:prstGeom prst="rect">
                      <a:avLst/>
                    </a:prstGeom>
                    <a:noFill/>
                    <a:ln>
                      <a:noFill/>
                    </a:ln>
                  </pic:spPr>
                </pic:pic>
              </a:graphicData>
            </a:graphic>
          </wp:inline>
        </w:drawing>
      </w:r>
    </w:p>
    <w:p w14:paraId="0F0418FA">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图3-3 观察窗和对应的外置式特高频传感器</w:t>
      </w:r>
    </w:p>
    <w:p w14:paraId="049313CC">
      <w:pPr>
        <w:pStyle w:val="3"/>
        <w:rPr>
          <w:rFonts w:hint="default" w:ascii="Times New Roman" w:hAnsi="Times New Roman" w:cs="Times New Roman"/>
          <w:sz w:val="24"/>
          <w:szCs w:val="28"/>
        </w:rPr>
      </w:pPr>
      <w:r>
        <w:rPr>
          <w:rFonts w:hint="default" w:ascii="Times New Roman" w:hAnsi="Times New Roman" w:cs="Times New Roman"/>
          <w:sz w:val="24"/>
          <w:szCs w:val="28"/>
        </w:rPr>
        <w:t>（2）按照天线类型分类</w:t>
      </w:r>
    </w:p>
    <w:p w14:paraId="4BA6D727">
      <w:pPr>
        <w:spacing w:line="360" w:lineRule="auto"/>
        <w:ind w:firstLine="560" w:firstLineChars="200"/>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t>局部放电特高频传感器从本质上来说就是可以将电磁波转换为电信号的天线，因此，对于特高频传感器可以根据其所使用的天线类型将其进行分类。如图3-4所示，在国内外文献中常提到的天线包括如下几类。</w:t>
      </w:r>
    </w:p>
    <w:tbl>
      <w:tblPr>
        <w:tblStyle w:val="14"/>
        <w:tblW w:w="8528" w:type="dxa"/>
        <w:tblInd w:w="0" w:type="dxa"/>
        <w:tblLayout w:type="fixed"/>
        <w:tblCellMar>
          <w:top w:w="0" w:type="dxa"/>
          <w:left w:w="108" w:type="dxa"/>
          <w:bottom w:w="0" w:type="dxa"/>
          <w:right w:w="108" w:type="dxa"/>
        </w:tblCellMar>
      </w:tblPr>
      <w:tblGrid>
        <w:gridCol w:w="4644"/>
        <w:gridCol w:w="3884"/>
      </w:tblGrid>
      <w:tr w14:paraId="59C7CE5B">
        <w:tblPrEx>
          <w:tblCellMar>
            <w:top w:w="0" w:type="dxa"/>
            <w:left w:w="108" w:type="dxa"/>
            <w:bottom w:w="0" w:type="dxa"/>
            <w:right w:w="108" w:type="dxa"/>
          </w:tblCellMar>
        </w:tblPrEx>
        <w:tc>
          <w:tcPr>
            <w:tcW w:w="4644" w:type="dxa"/>
            <w:shd w:val="clear" w:color="auto" w:fill="auto"/>
            <w:vAlign w:val="center"/>
          </w:tcPr>
          <w:p w14:paraId="606B6FBD">
            <w:pPr>
              <w:spacing w:line="360" w:lineRule="auto"/>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drawing>
                <wp:inline distT="0" distB="0" distL="0" distR="0">
                  <wp:extent cx="2538095" cy="1089660"/>
                  <wp:effectExtent l="0" t="0" r="0" b="0"/>
                  <wp:docPr id="9" name="图片 9" descr="1669541284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669541284105"/>
                          <pic:cNvPicPr>
                            <a:picLocks noChangeAspect="1" noChangeArrowheads="1"/>
                          </pic:cNvPicPr>
                        </pic:nvPicPr>
                        <pic:blipFill>
                          <a:blip r:embed="rId12" cstate="print">
                            <a:extLst>
                              <a:ext uri="{28A0092B-C50C-407E-A947-70E740481C1C}">
                                <a14:useLocalDpi xmlns:a14="http://schemas.microsoft.com/office/drawing/2010/main" val="0"/>
                              </a:ext>
                            </a:extLst>
                          </a:blip>
                          <a:srcRect t="6976" r="6729" b="10077"/>
                          <a:stretch>
                            <a:fillRect/>
                          </a:stretch>
                        </pic:blipFill>
                        <pic:spPr>
                          <a:xfrm>
                            <a:off x="0" y="0"/>
                            <a:ext cx="2538095" cy="1089660"/>
                          </a:xfrm>
                          <a:prstGeom prst="rect">
                            <a:avLst/>
                          </a:prstGeom>
                          <a:noFill/>
                          <a:ln>
                            <a:noFill/>
                          </a:ln>
                        </pic:spPr>
                      </pic:pic>
                    </a:graphicData>
                  </a:graphic>
                </wp:inline>
              </w:drawing>
            </w:r>
          </w:p>
        </w:tc>
        <w:tc>
          <w:tcPr>
            <w:tcW w:w="3884" w:type="dxa"/>
            <w:shd w:val="clear" w:color="auto" w:fill="auto"/>
            <w:vAlign w:val="center"/>
          </w:tcPr>
          <w:p w14:paraId="1137542B">
            <w:pPr>
              <w:spacing w:line="360" w:lineRule="auto"/>
              <w:jc w:val="center"/>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drawing>
                <wp:inline distT="0" distB="0" distL="0" distR="0">
                  <wp:extent cx="1192530" cy="1331595"/>
                  <wp:effectExtent l="0" t="0" r="0" b="0"/>
                  <wp:docPr id="10" name="图片 10" descr="1669543890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66954389055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192530" cy="1331595"/>
                          </a:xfrm>
                          <a:prstGeom prst="rect">
                            <a:avLst/>
                          </a:prstGeom>
                          <a:noFill/>
                          <a:ln>
                            <a:noFill/>
                          </a:ln>
                        </pic:spPr>
                      </pic:pic>
                    </a:graphicData>
                  </a:graphic>
                </wp:inline>
              </w:drawing>
            </w:r>
          </w:p>
        </w:tc>
      </w:tr>
      <w:tr w14:paraId="0B0CFB20">
        <w:tblPrEx>
          <w:tblCellMar>
            <w:top w:w="0" w:type="dxa"/>
            <w:left w:w="108" w:type="dxa"/>
            <w:bottom w:w="0" w:type="dxa"/>
            <w:right w:w="108" w:type="dxa"/>
          </w:tblCellMar>
        </w:tblPrEx>
        <w:tc>
          <w:tcPr>
            <w:tcW w:w="4644" w:type="dxa"/>
            <w:shd w:val="clear" w:color="auto" w:fill="auto"/>
            <w:vAlign w:val="center"/>
          </w:tcPr>
          <w:p w14:paraId="3E5CBD91">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（a）平板型天线</w:t>
            </w:r>
          </w:p>
        </w:tc>
        <w:tc>
          <w:tcPr>
            <w:tcW w:w="3884" w:type="dxa"/>
            <w:shd w:val="clear" w:color="auto" w:fill="auto"/>
            <w:vAlign w:val="center"/>
          </w:tcPr>
          <w:p w14:paraId="4048F12D">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（b）环形天线</w:t>
            </w:r>
          </w:p>
        </w:tc>
      </w:tr>
      <w:tr w14:paraId="5951D74E">
        <w:tblPrEx>
          <w:tblCellMar>
            <w:top w:w="0" w:type="dxa"/>
            <w:left w:w="108" w:type="dxa"/>
            <w:bottom w:w="0" w:type="dxa"/>
            <w:right w:w="108" w:type="dxa"/>
          </w:tblCellMar>
        </w:tblPrEx>
        <w:tc>
          <w:tcPr>
            <w:tcW w:w="4644" w:type="dxa"/>
            <w:shd w:val="clear" w:color="auto" w:fill="auto"/>
            <w:vAlign w:val="center"/>
          </w:tcPr>
          <w:p w14:paraId="48D1BD29">
            <w:pPr>
              <w:spacing w:line="360" w:lineRule="auto"/>
              <w:rPr>
                <w:rFonts w:hint="default" w:ascii="Times New Roman" w:hAnsi="Times New Roman" w:eastAsia="仿宋_GB2312" w:cs="Times New Roman"/>
                <w:bCs/>
                <w:color w:val="000000"/>
                <w:sz w:val="28"/>
              </w:rPr>
            </w:pPr>
            <w:r>
              <w:rPr>
                <w:rFonts w:hint="eastAsia" w:ascii="Times New Roman" w:hAnsi="Times New Roman" w:eastAsia="仿宋_GB2312" w:cs="Times New Roman"/>
                <w:bCs/>
                <w:color w:val="000000"/>
                <w:sz w:val="28"/>
                <w:lang w:val="en-US" w:eastAsia="zh-CN"/>
              </w:rPr>
              <w:t xml:space="preserve">    </w:t>
            </w:r>
            <w:r>
              <w:rPr>
                <w:rFonts w:hint="default" w:ascii="Times New Roman" w:hAnsi="Times New Roman" w:eastAsia="仿宋_GB2312" w:cs="Times New Roman"/>
                <w:bCs/>
                <w:color w:val="000000"/>
                <w:sz w:val="28"/>
              </w:rPr>
              <w:drawing>
                <wp:inline distT="0" distB="0" distL="0" distR="0">
                  <wp:extent cx="2084705" cy="1375410"/>
                  <wp:effectExtent l="0" t="0" r="0" b="0"/>
                  <wp:docPr id="11" name="图片 11" descr="1669544868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66954486809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084705" cy="1375410"/>
                          </a:xfrm>
                          <a:prstGeom prst="rect">
                            <a:avLst/>
                          </a:prstGeom>
                          <a:noFill/>
                          <a:ln>
                            <a:noFill/>
                          </a:ln>
                        </pic:spPr>
                      </pic:pic>
                    </a:graphicData>
                  </a:graphic>
                </wp:inline>
              </w:drawing>
            </w:r>
          </w:p>
        </w:tc>
        <w:tc>
          <w:tcPr>
            <w:tcW w:w="3884" w:type="dxa"/>
            <w:shd w:val="clear" w:color="auto" w:fill="auto"/>
            <w:vAlign w:val="center"/>
          </w:tcPr>
          <w:p w14:paraId="4C0C4996">
            <w:pPr>
              <w:spacing w:line="360" w:lineRule="auto"/>
              <w:jc w:val="both"/>
              <w:rPr>
                <w:rFonts w:hint="default" w:ascii="Times New Roman" w:hAnsi="Times New Roman" w:eastAsia="仿宋_GB2312" w:cs="Times New Roman"/>
                <w:bCs/>
                <w:color w:val="000000"/>
                <w:sz w:val="28"/>
              </w:rPr>
            </w:pPr>
            <w:r>
              <w:rPr>
                <w:rFonts w:hint="eastAsia" w:ascii="Times New Roman" w:hAnsi="Times New Roman" w:eastAsia="仿宋_GB2312" w:cs="Times New Roman"/>
                <w:bCs/>
                <w:color w:val="000000"/>
                <w:sz w:val="28"/>
                <w:lang w:val="en-US" w:eastAsia="zh-CN"/>
              </w:rPr>
              <w:t xml:space="preserve">     </w:t>
            </w:r>
            <w:r>
              <w:rPr>
                <w:rFonts w:hint="default" w:ascii="Times New Roman" w:hAnsi="Times New Roman" w:eastAsia="仿宋_GB2312" w:cs="Times New Roman"/>
                <w:bCs/>
                <w:color w:val="000000"/>
                <w:sz w:val="28"/>
              </w:rPr>
              <w:drawing>
                <wp:inline distT="0" distB="0" distL="0" distR="0">
                  <wp:extent cx="1463040" cy="1390015"/>
                  <wp:effectExtent l="0" t="0" r="0" b="0"/>
                  <wp:docPr id="12" name="图片 12" descr="1669551339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66955133943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463040" cy="1390015"/>
                          </a:xfrm>
                          <a:prstGeom prst="rect">
                            <a:avLst/>
                          </a:prstGeom>
                          <a:noFill/>
                          <a:ln>
                            <a:noFill/>
                          </a:ln>
                        </pic:spPr>
                      </pic:pic>
                    </a:graphicData>
                  </a:graphic>
                </wp:inline>
              </w:drawing>
            </w:r>
          </w:p>
        </w:tc>
      </w:tr>
      <w:tr w14:paraId="1D82804D">
        <w:tblPrEx>
          <w:tblCellMar>
            <w:top w:w="0" w:type="dxa"/>
            <w:left w:w="108" w:type="dxa"/>
            <w:bottom w:w="0" w:type="dxa"/>
            <w:right w:w="108" w:type="dxa"/>
          </w:tblCellMar>
        </w:tblPrEx>
        <w:tc>
          <w:tcPr>
            <w:tcW w:w="4644" w:type="dxa"/>
            <w:shd w:val="clear" w:color="auto" w:fill="auto"/>
            <w:vAlign w:val="center"/>
          </w:tcPr>
          <w:p w14:paraId="5CAA067F">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（c）增强型蝴蝶天线</w:t>
            </w:r>
          </w:p>
        </w:tc>
        <w:tc>
          <w:tcPr>
            <w:tcW w:w="3884" w:type="dxa"/>
            <w:shd w:val="clear" w:color="auto" w:fill="auto"/>
            <w:vAlign w:val="center"/>
          </w:tcPr>
          <w:p w14:paraId="454E30F0">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（d）平面等角螺旋天线</w:t>
            </w:r>
          </w:p>
        </w:tc>
      </w:tr>
      <w:tr w14:paraId="51FDB637">
        <w:tblPrEx>
          <w:tblCellMar>
            <w:top w:w="0" w:type="dxa"/>
            <w:left w:w="108" w:type="dxa"/>
            <w:bottom w:w="0" w:type="dxa"/>
            <w:right w:w="108" w:type="dxa"/>
          </w:tblCellMar>
        </w:tblPrEx>
        <w:tc>
          <w:tcPr>
            <w:tcW w:w="4644" w:type="dxa"/>
            <w:shd w:val="clear" w:color="auto" w:fill="auto"/>
            <w:vAlign w:val="center"/>
          </w:tcPr>
          <w:p w14:paraId="263DD95D">
            <w:pPr>
              <w:spacing w:line="360" w:lineRule="auto"/>
              <w:jc w:val="center"/>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drawing>
                <wp:inline distT="0" distB="0" distL="0" distR="0">
                  <wp:extent cx="1163320" cy="1126490"/>
                  <wp:effectExtent l="0" t="0" r="0" b="0"/>
                  <wp:docPr id="13" name="图片 13" descr="1669555967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66955596763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163320" cy="1126490"/>
                          </a:xfrm>
                          <a:prstGeom prst="rect">
                            <a:avLst/>
                          </a:prstGeom>
                          <a:noFill/>
                          <a:ln>
                            <a:noFill/>
                          </a:ln>
                        </pic:spPr>
                      </pic:pic>
                    </a:graphicData>
                  </a:graphic>
                </wp:inline>
              </w:drawing>
            </w:r>
          </w:p>
        </w:tc>
        <w:tc>
          <w:tcPr>
            <w:tcW w:w="3884" w:type="dxa"/>
            <w:shd w:val="clear" w:color="auto" w:fill="auto"/>
            <w:vAlign w:val="center"/>
          </w:tcPr>
          <w:p w14:paraId="45CDC0DF">
            <w:pPr>
              <w:spacing w:line="360" w:lineRule="auto"/>
              <w:jc w:val="center"/>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drawing>
                <wp:inline distT="0" distB="0" distL="0" distR="0">
                  <wp:extent cx="1166495" cy="1059815"/>
                  <wp:effectExtent l="0" t="0" r="0" b="0"/>
                  <wp:docPr id="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166495" cy="1059815"/>
                          </a:xfrm>
                          <a:prstGeom prst="rect">
                            <a:avLst/>
                          </a:prstGeom>
                          <a:noFill/>
                        </pic:spPr>
                      </pic:pic>
                    </a:graphicData>
                  </a:graphic>
                </wp:inline>
              </w:drawing>
            </w:r>
          </w:p>
        </w:tc>
      </w:tr>
      <w:tr w14:paraId="6BF4251B">
        <w:tblPrEx>
          <w:tblCellMar>
            <w:top w:w="0" w:type="dxa"/>
            <w:left w:w="108" w:type="dxa"/>
            <w:bottom w:w="0" w:type="dxa"/>
            <w:right w:w="108" w:type="dxa"/>
          </w:tblCellMar>
        </w:tblPrEx>
        <w:tc>
          <w:tcPr>
            <w:tcW w:w="4644" w:type="dxa"/>
            <w:shd w:val="clear" w:color="auto" w:fill="auto"/>
            <w:vAlign w:val="center"/>
          </w:tcPr>
          <w:p w14:paraId="163471F0">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（e）具有正弦波曲折臂的平面螺旋天线</w:t>
            </w:r>
          </w:p>
        </w:tc>
        <w:tc>
          <w:tcPr>
            <w:tcW w:w="3884" w:type="dxa"/>
            <w:shd w:val="clear" w:color="auto" w:fill="auto"/>
            <w:vAlign w:val="center"/>
          </w:tcPr>
          <w:p w14:paraId="70D7CBC6">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（f）平面双螺旋天线</w:t>
            </w:r>
          </w:p>
        </w:tc>
      </w:tr>
      <w:tr w14:paraId="6C449AAB">
        <w:tblPrEx>
          <w:tblCellMar>
            <w:top w:w="0" w:type="dxa"/>
            <w:left w:w="108" w:type="dxa"/>
            <w:bottom w:w="0" w:type="dxa"/>
            <w:right w:w="108" w:type="dxa"/>
          </w:tblCellMar>
        </w:tblPrEx>
        <w:tc>
          <w:tcPr>
            <w:tcW w:w="4644" w:type="dxa"/>
            <w:shd w:val="clear" w:color="auto" w:fill="auto"/>
            <w:vAlign w:val="center"/>
          </w:tcPr>
          <w:p w14:paraId="3DA1B8BF">
            <w:pPr>
              <w:spacing w:line="360" w:lineRule="auto"/>
              <w:jc w:val="center"/>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drawing>
                <wp:inline distT="0" distB="0" distL="0" distR="0">
                  <wp:extent cx="1631315" cy="1616710"/>
                  <wp:effectExtent l="0" t="0" r="0" b="0"/>
                  <wp:docPr id="14" name="图片 14" descr="1669536660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66953666073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631315" cy="1616710"/>
                          </a:xfrm>
                          <a:prstGeom prst="rect">
                            <a:avLst/>
                          </a:prstGeom>
                          <a:noFill/>
                          <a:ln>
                            <a:noFill/>
                          </a:ln>
                        </pic:spPr>
                      </pic:pic>
                    </a:graphicData>
                  </a:graphic>
                </wp:inline>
              </w:drawing>
            </w:r>
          </w:p>
        </w:tc>
        <w:tc>
          <w:tcPr>
            <w:tcW w:w="3884" w:type="dxa"/>
            <w:shd w:val="clear" w:color="auto" w:fill="auto"/>
            <w:vAlign w:val="center"/>
          </w:tcPr>
          <w:p w14:paraId="7BCEA54A">
            <w:pPr>
              <w:spacing w:line="360" w:lineRule="auto"/>
              <w:jc w:val="center"/>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drawing>
                <wp:inline distT="0" distB="0" distL="0" distR="0">
                  <wp:extent cx="1668145" cy="1609090"/>
                  <wp:effectExtent l="0" t="0" r="0"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668145" cy="1609090"/>
                          </a:xfrm>
                          <a:prstGeom prst="rect">
                            <a:avLst/>
                          </a:prstGeom>
                          <a:noFill/>
                          <a:ln>
                            <a:noFill/>
                          </a:ln>
                        </pic:spPr>
                      </pic:pic>
                    </a:graphicData>
                  </a:graphic>
                </wp:inline>
              </w:drawing>
            </w:r>
          </w:p>
        </w:tc>
      </w:tr>
      <w:tr w14:paraId="348498AF">
        <w:tblPrEx>
          <w:tblCellMar>
            <w:top w:w="0" w:type="dxa"/>
            <w:left w:w="108" w:type="dxa"/>
            <w:bottom w:w="0" w:type="dxa"/>
            <w:right w:w="108" w:type="dxa"/>
          </w:tblCellMar>
        </w:tblPrEx>
        <w:tc>
          <w:tcPr>
            <w:tcW w:w="4644" w:type="dxa"/>
            <w:shd w:val="clear" w:color="auto" w:fill="auto"/>
            <w:vAlign w:val="center"/>
          </w:tcPr>
          <w:p w14:paraId="3BCEBE3A">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（g）希尔伯特分形天线</w:t>
            </w:r>
          </w:p>
        </w:tc>
        <w:tc>
          <w:tcPr>
            <w:tcW w:w="3884" w:type="dxa"/>
            <w:shd w:val="clear" w:color="auto" w:fill="auto"/>
            <w:vAlign w:val="center"/>
          </w:tcPr>
          <w:p w14:paraId="3908159E">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（h）Minkowski分形天线</w:t>
            </w:r>
          </w:p>
        </w:tc>
      </w:tr>
      <w:tr w14:paraId="37F1186B">
        <w:tblPrEx>
          <w:tblCellMar>
            <w:top w:w="0" w:type="dxa"/>
            <w:left w:w="108" w:type="dxa"/>
            <w:bottom w:w="0" w:type="dxa"/>
            <w:right w:w="108" w:type="dxa"/>
          </w:tblCellMar>
        </w:tblPrEx>
        <w:tc>
          <w:tcPr>
            <w:tcW w:w="4644" w:type="dxa"/>
            <w:shd w:val="clear" w:color="auto" w:fill="auto"/>
            <w:vAlign w:val="center"/>
          </w:tcPr>
          <w:p w14:paraId="4EE519C2">
            <w:pPr>
              <w:spacing w:line="360" w:lineRule="auto"/>
              <w:jc w:val="center"/>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drawing>
                <wp:inline distT="0" distB="0" distL="0" distR="0">
                  <wp:extent cx="2684780" cy="1499870"/>
                  <wp:effectExtent l="0" t="0" r="0" b="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b="8629"/>
                          <a:stretch>
                            <a:fillRect/>
                          </a:stretch>
                        </pic:blipFill>
                        <pic:spPr>
                          <a:xfrm>
                            <a:off x="0" y="0"/>
                            <a:ext cx="2684780" cy="1499870"/>
                          </a:xfrm>
                          <a:prstGeom prst="rect">
                            <a:avLst/>
                          </a:prstGeom>
                          <a:noFill/>
                          <a:ln>
                            <a:noFill/>
                          </a:ln>
                        </pic:spPr>
                      </pic:pic>
                    </a:graphicData>
                  </a:graphic>
                </wp:inline>
              </w:drawing>
            </w:r>
          </w:p>
        </w:tc>
        <w:tc>
          <w:tcPr>
            <w:tcW w:w="3884" w:type="dxa"/>
            <w:shd w:val="clear" w:color="auto" w:fill="auto"/>
            <w:vAlign w:val="center"/>
          </w:tcPr>
          <w:p w14:paraId="3E4907A6">
            <w:pPr>
              <w:spacing w:line="360" w:lineRule="auto"/>
              <w:jc w:val="center"/>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drawing>
                <wp:inline distT="0" distB="0" distL="0" distR="0">
                  <wp:extent cx="2428875" cy="1602105"/>
                  <wp:effectExtent l="0" t="0" r="0"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noChangeArrowheads="1"/>
                          </pic:cNvPicPr>
                        </pic:nvPicPr>
                        <pic:blipFill>
                          <a:blip r:embed="rId21" cstate="print">
                            <a:extLst>
                              <a:ext uri="{28A0092B-C50C-407E-A947-70E740481C1C}">
                                <a14:useLocalDpi xmlns:a14="http://schemas.microsoft.com/office/drawing/2010/main" val="0"/>
                              </a:ext>
                            </a:extLst>
                          </a:blip>
                          <a:srcRect b="51813"/>
                          <a:stretch>
                            <a:fillRect/>
                          </a:stretch>
                        </pic:blipFill>
                        <pic:spPr>
                          <a:xfrm>
                            <a:off x="0" y="0"/>
                            <a:ext cx="2428875" cy="1602105"/>
                          </a:xfrm>
                          <a:prstGeom prst="rect">
                            <a:avLst/>
                          </a:prstGeom>
                          <a:noFill/>
                          <a:ln>
                            <a:noFill/>
                          </a:ln>
                        </pic:spPr>
                      </pic:pic>
                    </a:graphicData>
                  </a:graphic>
                </wp:inline>
              </w:drawing>
            </w:r>
          </w:p>
        </w:tc>
      </w:tr>
      <w:tr w14:paraId="37CFF5E2">
        <w:tblPrEx>
          <w:tblCellMar>
            <w:top w:w="0" w:type="dxa"/>
            <w:left w:w="108" w:type="dxa"/>
            <w:bottom w:w="0" w:type="dxa"/>
            <w:right w:w="108" w:type="dxa"/>
          </w:tblCellMar>
        </w:tblPrEx>
        <w:tc>
          <w:tcPr>
            <w:tcW w:w="4644" w:type="dxa"/>
            <w:shd w:val="clear" w:color="auto" w:fill="auto"/>
            <w:vAlign w:val="center"/>
          </w:tcPr>
          <w:p w14:paraId="6960D136">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（i）方形贴片天线</w:t>
            </w:r>
          </w:p>
        </w:tc>
        <w:tc>
          <w:tcPr>
            <w:tcW w:w="3884" w:type="dxa"/>
            <w:shd w:val="clear" w:color="auto" w:fill="auto"/>
            <w:vAlign w:val="center"/>
          </w:tcPr>
          <w:p w14:paraId="2E1CEA3F">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（j）圆形贴片天线</w:t>
            </w:r>
          </w:p>
        </w:tc>
      </w:tr>
      <w:tr w14:paraId="11389A5E">
        <w:tblPrEx>
          <w:tblCellMar>
            <w:top w:w="0" w:type="dxa"/>
            <w:left w:w="108" w:type="dxa"/>
            <w:bottom w:w="0" w:type="dxa"/>
            <w:right w:w="108" w:type="dxa"/>
          </w:tblCellMar>
        </w:tblPrEx>
        <w:tc>
          <w:tcPr>
            <w:tcW w:w="4644" w:type="dxa"/>
            <w:shd w:val="clear" w:color="auto" w:fill="auto"/>
            <w:vAlign w:val="center"/>
          </w:tcPr>
          <w:p w14:paraId="5B757FBC">
            <w:pPr>
              <w:spacing w:line="360" w:lineRule="auto"/>
              <w:jc w:val="center"/>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drawing>
                <wp:inline distT="0" distB="0" distL="0" distR="0">
                  <wp:extent cx="2333625" cy="1492250"/>
                  <wp:effectExtent l="0" t="0" r="0" b="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rcRect l="21617" r="19835" b="21402"/>
                          <a:stretch>
                            <a:fillRect/>
                          </a:stretch>
                        </pic:blipFill>
                        <pic:spPr>
                          <a:xfrm>
                            <a:off x="0" y="0"/>
                            <a:ext cx="2333625" cy="1492250"/>
                          </a:xfrm>
                          <a:prstGeom prst="rect">
                            <a:avLst/>
                          </a:prstGeom>
                          <a:noFill/>
                          <a:ln>
                            <a:noFill/>
                          </a:ln>
                        </pic:spPr>
                      </pic:pic>
                    </a:graphicData>
                  </a:graphic>
                </wp:inline>
              </w:drawing>
            </w:r>
          </w:p>
        </w:tc>
        <w:tc>
          <w:tcPr>
            <w:tcW w:w="3884" w:type="dxa"/>
            <w:shd w:val="clear" w:color="auto" w:fill="auto"/>
            <w:vAlign w:val="center"/>
          </w:tcPr>
          <w:p w14:paraId="039184B2">
            <w:pPr>
              <w:spacing w:line="360" w:lineRule="auto"/>
              <w:jc w:val="center"/>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drawing>
                <wp:inline distT="0" distB="0" distL="0" distR="0">
                  <wp:extent cx="2231390" cy="1338580"/>
                  <wp:effectExtent l="0" t="0" r="0" b="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noChangeArrowheads="1"/>
                          </pic:cNvPicPr>
                        </pic:nvPicPr>
                        <pic:blipFill>
                          <a:blip r:embed="rId23" cstate="print">
                            <a:extLst>
                              <a:ext uri="{28A0092B-C50C-407E-A947-70E740481C1C}">
                                <a14:useLocalDpi xmlns:a14="http://schemas.microsoft.com/office/drawing/2010/main" val="0"/>
                              </a:ext>
                            </a:extLst>
                          </a:blip>
                          <a:srcRect b="10588"/>
                          <a:stretch>
                            <a:fillRect/>
                          </a:stretch>
                        </pic:blipFill>
                        <pic:spPr>
                          <a:xfrm>
                            <a:off x="0" y="0"/>
                            <a:ext cx="2231390" cy="1338580"/>
                          </a:xfrm>
                          <a:prstGeom prst="rect">
                            <a:avLst/>
                          </a:prstGeom>
                          <a:noFill/>
                          <a:ln>
                            <a:noFill/>
                          </a:ln>
                        </pic:spPr>
                      </pic:pic>
                    </a:graphicData>
                  </a:graphic>
                </wp:inline>
              </w:drawing>
            </w:r>
          </w:p>
        </w:tc>
      </w:tr>
      <w:tr w14:paraId="01FDC82C">
        <w:tblPrEx>
          <w:tblCellMar>
            <w:top w:w="0" w:type="dxa"/>
            <w:left w:w="108" w:type="dxa"/>
            <w:bottom w:w="0" w:type="dxa"/>
            <w:right w:w="108" w:type="dxa"/>
          </w:tblCellMar>
        </w:tblPrEx>
        <w:tc>
          <w:tcPr>
            <w:tcW w:w="4644" w:type="dxa"/>
            <w:shd w:val="clear" w:color="auto" w:fill="auto"/>
            <w:vAlign w:val="center"/>
          </w:tcPr>
          <w:p w14:paraId="4FCC838A">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（k）U型超宽带天线</w:t>
            </w:r>
          </w:p>
        </w:tc>
        <w:tc>
          <w:tcPr>
            <w:tcW w:w="3884" w:type="dxa"/>
            <w:shd w:val="clear" w:color="auto" w:fill="auto"/>
            <w:vAlign w:val="center"/>
          </w:tcPr>
          <w:p w14:paraId="489EDB16">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（l）三维方形天线</w:t>
            </w:r>
          </w:p>
        </w:tc>
      </w:tr>
    </w:tbl>
    <w:p w14:paraId="671ABD0D">
      <w:pPr>
        <w:spacing w:line="360" w:lineRule="auto"/>
        <w:ind w:firstLine="480" w:firstLineChars="200"/>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图3-4 国内外文献中体提及的部分局部放电特高频天线类型</w:t>
      </w:r>
    </w:p>
    <w:p w14:paraId="2F349510">
      <w:pPr>
        <w:spacing w:line="360" w:lineRule="auto"/>
        <w:ind w:firstLine="560" w:firstLineChars="200"/>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t>目前所广泛使用的内置式特高频天线大多是从图3-4（a）所示的平板型天线所演变而来，这一类天线由于其具有较高的可靠性与安全性，而在现场中取得了较为广泛的应用。</w:t>
      </w:r>
    </w:p>
    <w:p w14:paraId="08EEA615">
      <w:pPr>
        <w:spacing w:line="360" w:lineRule="auto"/>
        <w:ind w:firstLine="560" w:firstLineChars="200"/>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t>实际上，由于局部放电特高频检测覆盖了300M</w:t>
      </w:r>
      <w:r>
        <w:rPr>
          <w:rFonts w:hint="eastAsia" w:ascii="Times New Roman" w:hAnsi="Times New Roman" w:eastAsia="仿宋_GB2312" w:cs="Times New Roman"/>
          <w:bCs/>
          <w:color w:val="000000"/>
          <w:sz w:val="28"/>
          <w:lang w:val="en-US" w:eastAsia="zh-CN"/>
        </w:rPr>
        <w:t>Hz</w:t>
      </w:r>
      <w:r>
        <w:rPr>
          <w:rFonts w:hint="default" w:ascii="Times New Roman" w:hAnsi="Times New Roman" w:eastAsia="仿宋_GB2312" w:cs="Times New Roman"/>
          <w:bCs/>
          <w:color w:val="000000"/>
          <w:sz w:val="28"/>
        </w:rPr>
        <w:t>到3GHz的一个较宽的频率范围，因此从理论上而言大多数的射频天线都满足对于局部放特高频信号的检测，此处难以穷举所有类型的特高频传感器天线，除了上述天线，常见的还有喇叭天线、偶极子天线、锥形天线、开槽天线等。</w:t>
      </w:r>
    </w:p>
    <w:p w14:paraId="2D5B4ADD">
      <w:pPr>
        <w:pStyle w:val="2"/>
        <w:snapToGrid w:val="0"/>
        <w:spacing w:before="156" w:beforeLines="50" w:after="156" w:afterLines="50" w:line="240" w:lineRule="auto"/>
        <w:ind w:left="140"/>
        <w:rPr>
          <w:rFonts w:hint="default" w:ascii="Times New Roman" w:hAnsi="Times New Roman" w:eastAsia="仿宋_GB2312" w:cs="Times New Roman"/>
          <w:sz w:val="28"/>
        </w:rPr>
      </w:pPr>
      <w:r>
        <w:rPr>
          <w:rFonts w:hint="default" w:ascii="Times New Roman" w:hAnsi="Times New Roman" w:eastAsia="仿宋_GB2312" w:cs="Times New Roman"/>
          <w:sz w:val="28"/>
        </w:rPr>
        <w:t>4.商用传感器</w:t>
      </w:r>
    </w:p>
    <w:p w14:paraId="2DED7925">
      <w:pPr>
        <w:spacing w:line="300" w:lineRule="auto"/>
        <w:ind w:firstLine="560" w:firstLineChars="200"/>
        <w:rPr>
          <w:rFonts w:hint="default" w:ascii="Times New Roman" w:hAnsi="Times New Roman" w:eastAsia="仿宋_GB2312" w:cs="Times New Roman"/>
          <w:kern w:val="0"/>
          <w:szCs w:val="28"/>
        </w:rPr>
      </w:pPr>
      <w:r>
        <w:rPr>
          <w:rFonts w:hint="default" w:ascii="Times New Roman" w:hAnsi="Times New Roman" w:eastAsia="仿宋_GB2312" w:cs="Times New Roman"/>
          <w:kern w:val="0"/>
          <w:sz w:val="28"/>
          <w:szCs w:val="28"/>
        </w:rPr>
        <w:t>编制组对国内外主流特高频局部放电传感器生产厂家以及科研单位所研制的特高频传感器进行了调研，调研对象主要包括：河南平高、河南宏博测控、西安茂荣、韦弗斯(上海)、山西国盟、西安英诺威、福建电科院、苏州赛通、Power Diagnostix、Doble、Power Diagnostic Service、Omicron、上海格鲁布、重庆臻远以及上海华乘等十余家单位设计研发的特高频传感器，统计了其产品的参数以及公开的设计结构设计。此外，还调研了西安交通大学最新研制的GIS局部放电特高频融合型传感器，包括在GIS内置式特高频传感器的基础上融合了荧光光纤以及过电压分压臂两款传感器，新型的融合传感器能够实现局部放电特高频-光信号以及过电压-局部放电特高频的融合检测，具有较好的检测效果。</w:t>
      </w:r>
    </w:p>
    <w:p w14:paraId="48B64CE4">
      <w:pPr>
        <w:pStyle w:val="3"/>
        <w:rPr>
          <w:rFonts w:hint="default" w:ascii="Times New Roman" w:hAnsi="Times New Roman" w:cs="Times New Roman"/>
          <w:sz w:val="24"/>
          <w:szCs w:val="28"/>
        </w:rPr>
      </w:pPr>
      <w:r>
        <w:rPr>
          <w:rFonts w:hint="default" w:ascii="Times New Roman" w:hAnsi="Times New Roman" w:cs="Times New Roman"/>
          <w:sz w:val="24"/>
          <w:szCs w:val="28"/>
        </w:rPr>
        <w:t>（1）传感器的天线类型</w:t>
      </w:r>
    </w:p>
    <w:p w14:paraId="5AAD8DC2">
      <w:pPr>
        <w:spacing w:line="300" w:lineRule="auto"/>
        <w:ind w:firstLine="560" w:firstLineChars="200"/>
        <w:rPr>
          <w:rFonts w:hint="default" w:ascii="Times New Roman" w:hAnsi="Times New Roman" w:eastAsia="仿宋_GB2312" w:cs="Times New Roman"/>
          <w:kern w:val="0"/>
          <w:sz w:val="28"/>
          <w:szCs w:val="28"/>
        </w:rPr>
      </w:pPr>
      <w:r>
        <w:rPr>
          <w:rFonts w:hint="default" w:ascii="Times New Roman" w:hAnsi="Times New Roman" w:eastAsia="仿宋_GB2312" w:cs="Times New Roman"/>
          <w:kern w:val="0"/>
          <w:sz w:val="28"/>
          <w:szCs w:val="28"/>
        </w:rPr>
        <w:t>虽然国内外研究人员研究了各式各样的特高频传感器天线，但是当综合考虑天线的性能、可靠性、成本等因素，目前实际应用于主流商业传感器的特高频天线类型主要如表4-1所示。</w:t>
      </w:r>
    </w:p>
    <w:p w14:paraId="092D4DC7">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表4-1 商用传感器的天线类型</w:t>
      </w:r>
    </w:p>
    <w:tbl>
      <w:tblPr>
        <w:tblStyle w:val="14"/>
        <w:tblW w:w="8364"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4"/>
        <w:gridCol w:w="2132"/>
        <w:gridCol w:w="4208"/>
      </w:tblGrid>
      <w:tr w14:paraId="324CEB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4" w:type="dxa"/>
            <w:vMerge w:val="restart"/>
            <w:shd w:val="clear" w:color="auto" w:fill="auto"/>
            <w:vAlign w:val="center"/>
          </w:tcPr>
          <w:p w14:paraId="64C34CC4">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GIS</w:t>
            </w:r>
          </w:p>
        </w:tc>
        <w:tc>
          <w:tcPr>
            <w:tcW w:w="2132" w:type="dxa"/>
            <w:shd w:val="clear" w:color="auto" w:fill="auto"/>
            <w:vAlign w:val="center"/>
          </w:tcPr>
          <w:p w14:paraId="13176339">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内置式</w:t>
            </w:r>
          </w:p>
        </w:tc>
        <w:tc>
          <w:tcPr>
            <w:tcW w:w="4208" w:type="dxa"/>
            <w:shd w:val="clear" w:color="auto" w:fill="auto"/>
            <w:vAlign w:val="center"/>
          </w:tcPr>
          <w:p w14:paraId="4626DF0A">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平板型。</w:t>
            </w:r>
          </w:p>
        </w:tc>
      </w:tr>
      <w:tr w14:paraId="47A835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4" w:type="dxa"/>
            <w:vMerge w:val="continue"/>
            <w:shd w:val="clear" w:color="auto" w:fill="auto"/>
            <w:vAlign w:val="center"/>
          </w:tcPr>
          <w:p w14:paraId="38BDFD3F">
            <w:pPr>
              <w:spacing w:line="360" w:lineRule="auto"/>
              <w:jc w:val="center"/>
              <w:rPr>
                <w:rFonts w:hint="default" w:ascii="Times New Roman" w:hAnsi="Times New Roman" w:eastAsia="仿宋_GB2312" w:cs="Times New Roman"/>
                <w:bCs/>
                <w:color w:val="000000"/>
                <w:sz w:val="24"/>
              </w:rPr>
            </w:pPr>
          </w:p>
        </w:tc>
        <w:tc>
          <w:tcPr>
            <w:tcW w:w="2132" w:type="dxa"/>
            <w:shd w:val="clear" w:color="auto" w:fill="auto"/>
            <w:vAlign w:val="center"/>
          </w:tcPr>
          <w:p w14:paraId="54DACBF6">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外置式</w:t>
            </w:r>
          </w:p>
        </w:tc>
        <w:tc>
          <w:tcPr>
            <w:tcW w:w="4208" w:type="dxa"/>
            <w:shd w:val="clear" w:color="auto" w:fill="auto"/>
            <w:vAlign w:val="center"/>
          </w:tcPr>
          <w:p w14:paraId="287FE6A4">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1、蝶形；</w:t>
            </w:r>
          </w:p>
          <w:p w14:paraId="753371F9">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2、螺旋线；</w:t>
            </w:r>
          </w:p>
          <w:p w14:paraId="124532C1">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3、平板天线。</w:t>
            </w:r>
          </w:p>
        </w:tc>
      </w:tr>
      <w:tr w14:paraId="55120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4" w:type="dxa"/>
            <w:vMerge w:val="restart"/>
            <w:shd w:val="clear" w:color="auto" w:fill="auto"/>
            <w:vAlign w:val="center"/>
          </w:tcPr>
          <w:p w14:paraId="10150C07">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变压器</w:t>
            </w:r>
          </w:p>
        </w:tc>
        <w:tc>
          <w:tcPr>
            <w:tcW w:w="2132" w:type="dxa"/>
            <w:shd w:val="clear" w:color="auto" w:fill="auto"/>
            <w:vAlign w:val="center"/>
          </w:tcPr>
          <w:p w14:paraId="51EFE228">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内置式</w:t>
            </w:r>
          </w:p>
        </w:tc>
        <w:tc>
          <w:tcPr>
            <w:tcW w:w="4208" w:type="dxa"/>
            <w:shd w:val="clear" w:color="auto" w:fill="auto"/>
            <w:vAlign w:val="center"/>
          </w:tcPr>
          <w:p w14:paraId="31835ADC">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1、油阀内置式，单极子天线；</w:t>
            </w:r>
          </w:p>
          <w:p w14:paraId="7C8876B4">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2、预埋式，平板型天线、螺旋线。</w:t>
            </w:r>
          </w:p>
        </w:tc>
      </w:tr>
      <w:tr w14:paraId="740409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024" w:type="dxa"/>
            <w:vMerge w:val="continue"/>
            <w:shd w:val="clear" w:color="auto" w:fill="auto"/>
            <w:vAlign w:val="center"/>
          </w:tcPr>
          <w:p w14:paraId="2A769044">
            <w:pPr>
              <w:spacing w:line="360" w:lineRule="auto"/>
              <w:jc w:val="center"/>
              <w:rPr>
                <w:rFonts w:hint="default" w:ascii="Times New Roman" w:hAnsi="Times New Roman" w:eastAsia="仿宋_GB2312" w:cs="Times New Roman"/>
                <w:bCs/>
                <w:color w:val="000000"/>
                <w:sz w:val="24"/>
              </w:rPr>
            </w:pPr>
          </w:p>
        </w:tc>
        <w:tc>
          <w:tcPr>
            <w:tcW w:w="2132" w:type="dxa"/>
            <w:shd w:val="clear" w:color="auto" w:fill="auto"/>
            <w:vAlign w:val="center"/>
          </w:tcPr>
          <w:p w14:paraId="1BE3062F">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外置式</w:t>
            </w:r>
          </w:p>
        </w:tc>
        <w:tc>
          <w:tcPr>
            <w:tcW w:w="4208" w:type="dxa"/>
            <w:shd w:val="clear" w:color="auto" w:fill="auto"/>
            <w:vAlign w:val="center"/>
          </w:tcPr>
          <w:p w14:paraId="1C067A98">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1、螺旋线；</w:t>
            </w:r>
          </w:p>
          <w:p w14:paraId="34506FFE">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2、蝶形。</w:t>
            </w:r>
          </w:p>
        </w:tc>
      </w:tr>
    </w:tbl>
    <w:p w14:paraId="24D0FA63">
      <w:pPr>
        <w:spacing w:line="300" w:lineRule="auto"/>
        <w:ind w:firstLine="560" w:firstLineChars="200"/>
        <w:rPr>
          <w:rFonts w:hint="default" w:ascii="Times New Roman" w:hAnsi="Times New Roman" w:eastAsia="仿宋_GB2312" w:cs="Times New Roman"/>
          <w:kern w:val="0"/>
          <w:sz w:val="28"/>
          <w:szCs w:val="28"/>
        </w:rPr>
      </w:pPr>
      <w:r>
        <w:rPr>
          <w:rFonts w:hint="default" w:ascii="Times New Roman" w:hAnsi="Times New Roman" w:eastAsia="仿宋_GB2312" w:cs="Times New Roman"/>
          <w:kern w:val="0"/>
          <w:sz w:val="28"/>
          <w:szCs w:val="28"/>
        </w:rPr>
        <w:t>GIS设备为同轴结构，在这种独有的结构下，一方面使其具有稍不均匀电场结构，对于植入传感器极为敏感，这就要求植入的传感器具有极高的可靠性和稳定性；另一方面，同轴结构构成了电磁波传播的波导，使得其对于特高频天线的方向性要求较低，只需要传感器在径向方向具有一定的增益。平板型天线结构简单，成本较低，但可靠性和稳定性较高，同时在垂直平板天线的方向上响应较大，因此其特别适合用于内置式的GIS特高频传感器，目前市面上商用的GIS内置式特高频传感器主要为平板型天线。对于GIS外置式特高频传感器，除了有个别厂家使用平板型天线，其余的商用外置式特高频传感器主要使用蝶形和螺旋线两种天线，相比于在GIS设备内部检测局部放电电磁波信号，外置检测时的电磁波信号不确定性更高，因此需要天线具有更广的空间检测范围和更宽的频率检测范围，而蝶形天线和螺旋线天线相对来说能更好的满足上述需求。</w:t>
      </w:r>
    </w:p>
    <w:p w14:paraId="56F853EE">
      <w:pPr>
        <w:spacing w:line="300" w:lineRule="auto"/>
        <w:ind w:firstLine="560" w:firstLineChars="200"/>
        <w:rPr>
          <w:rFonts w:hint="default" w:ascii="Times New Roman" w:hAnsi="Times New Roman" w:eastAsia="仿宋_GB2312" w:cs="Times New Roman"/>
          <w:kern w:val="0"/>
          <w:sz w:val="28"/>
          <w:szCs w:val="28"/>
        </w:rPr>
      </w:pPr>
      <w:r>
        <w:rPr>
          <w:rFonts w:hint="default" w:ascii="Times New Roman" w:hAnsi="Times New Roman" w:eastAsia="仿宋_GB2312" w:cs="Times New Roman"/>
          <w:kern w:val="0"/>
          <w:sz w:val="28"/>
          <w:szCs w:val="28"/>
        </w:rPr>
        <w:t>变压器设备的外置式特高频传感器使用天线与GIS外置式特高频传感器相似，以蝶形和螺旋线为主。实际使用过程中，变压器的外置式特高频传感器天线需要布置在高压套管附近，距离高电压近，安全风险高，因此实际使用相对较少，实际使用中以变压器的内置式特高频传感器为主。对于内置式特高频传感器，安装在设备的预埋式内置式特高频传感器以平板型和螺旋线为主，但是实际中预埋式天线需要对变压器设备进行改变，不能安装于已经投运的变压器设备，使用局限性较大。因此，目前市面上主要采用的变压器内置式特高频传感器以油阀内置式为主，如前文所述，油阀内置式传感器受限于安装空间，主要以单极子天线为主。油阀式特高频传感器能够对现有的变压器进行改进安装，适用范围较广。</w:t>
      </w:r>
    </w:p>
    <w:p w14:paraId="353778A7">
      <w:pPr>
        <w:pStyle w:val="3"/>
        <w:rPr>
          <w:rFonts w:hint="default" w:ascii="Times New Roman" w:hAnsi="Times New Roman" w:cs="Times New Roman"/>
          <w:sz w:val="24"/>
          <w:szCs w:val="28"/>
        </w:rPr>
      </w:pPr>
      <w:r>
        <w:rPr>
          <w:rFonts w:hint="default" w:ascii="Times New Roman" w:hAnsi="Times New Roman" w:cs="Times New Roman"/>
          <w:sz w:val="24"/>
          <w:szCs w:val="28"/>
        </w:rPr>
        <w:t>（2）传感器的性能参数</w:t>
      </w:r>
    </w:p>
    <w:p w14:paraId="5F6CA22C">
      <w:pPr>
        <w:pStyle w:val="33"/>
        <w:ind w:firstLine="560"/>
        <w:rPr>
          <w:rFonts w:hint="default" w:ascii="Times New Roman" w:hAnsi="Times New Roman" w:cs="Times New Roman"/>
          <w:b/>
        </w:rPr>
      </w:pPr>
      <w:r>
        <w:rPr>
          <w:rFonts w:hint="default" w:ascii="Times New Roman" w:hAnsi="Times New Roman" w:cs="Times New Roman"/>
          <w:b/>
        </w:rPr>
        <w:t>a) 检测频率范围</w:t>
      </w:r>
    </w:p>
    <w:p w14:paraId="262624BA">
      <w:pPr>
        <w:spacing w:line="300" w:lineRule="auto"/>
        <w:ind w:firstLine="560" w:firstLineChars="200"/>
        <w:rPr>
          <w:rFonts w:hint="default" w:ascii="Times New Roman" w:hAnsi="Times New Roman" w:eastAsia="仿宋_GB2312" w:cs="Times New Roman"/>
          <w:kern w:val="0"/>
          <w:sz w:val="28"/>
          <w:szCs w:val="28"/>
        </w:rPr>
      </w:pPr>
      <w:r>
        <w:rPr>
          <w:rFonts w:hint="default" w:ascii="Times New Roman" w:hAnsi="Times New Roman" w:eastAsia="仿宋_GB2312" w:cs="Times New Roman"/>
          <w:kern w:val="0"/>
          <w:sz w:val="28"/>
          <w:szCs w:val="28"/>
        </w:rPr>
        <w:t>虽然局部放电特高频法定义为检测和分析300MHz到3GHz范围内的电磁波信号，但是实际中受限于模拟带宽、采集速率以及本身天线性能的影响，特高频天线检测信号范围一般不会完全和300MHz到3GHz相一致。图4-1是目前国内外常见的一些商用传感器的可检测频率范围。</w:t>
      </w:r>
    </w:p>
    <w:p w14:paraId="5FB9C90A">
      <w:pPr>
        <w:spacing w:line="360" w:lineRule="auto"/>
        <w:jc w:val="center"/>
        <w:rPr>
          <w:rFonts w:hint="default" w:ascii="Times New Roman" w:hAnsi="Times New Roman" w:eastAsia="仿宋_GB2312" w:cs="Times New Roman"/>
          <w:bCs/>
          <w:color w:val="000000"/>
          <w:sz w:val="24"/>
        </w:rPr>
      </w:pPr>
      <w:bookmarkStart w:id="3" w:name="_GoBack"/>
      <w:r>
        <w:rPr>
          <w:rFonts w:hint="default" w:ascii="Times New Roman" w:hAnsi="Times New Roman" w:eastAsia="仿宋_GB2312" w:cs="Times New Roman"/>
          <w:bCs/>
          <w:color w:val="000000"/>
          <w:sz w:val="24"/>
        </w:rPr>
        <w:drawing>
          <wp:inline distT="0" distB="0" distL="0" distR="0">
            <wp:extent cx="4498975" cy="370141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498975" cy="3701415"/>
                    </a:xfrm>
                    <a:prstGeom prst="rect">
                      <a:avLst/>
                    </a:prstGeom>
                    <a:noFill/>
                    <a:ln>
                      <a:noFill/>
                    </a:ln>
                  </pic:spPr>
                </pic:pic>
              </a:graphicData>
            </a:graphic>
          </wp:inline>
        </w:drawing>
      </w:r>
      <w:bookmarkEnd w:id="3"/>
    </w:p>
    <w:p w14:paraId="0679E3D9">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图4-1 商用传感器的检测频带</w:t>
      </w:r>
    </w:p>
    <w:p w14:paraId="00138C19">
      <w:pPr>
        <w:spacing w:line="300" w:lineRule="auto"/>
        <w:ind w:firstLine="560" w:firstLineChars="200"/>
        <w:rPr>
          <w:rFonts w:hint="default" w:ascii="Times New Roman" w:hAnsi="Times New Roman" w:eastAsia="仿宋_GB2312" w:cs="Times New Roman"/>
          <w:kern w:val="0"/>
          <w:sz w:val="28"/>
          <w:szCs w:val="28"/>
        </w:rPr>
      </w:pPr>
      <w:bookmarkStart w:id="0" w:name="zuhedianqi_Ratedcurrent_max"/>
      <w:bookmarkEnd w:id="0"/>
      <w:bookmarkStart w:id="1" w:name="pic_1_9_1_13Chart5"/>
      <w:bookmarkEnd w:id="1"/>
      <w:bookmarkStart w:id="2" w:name="zuhedianqi_VoltageLevel_max"/>
      <w:bookmarkEnd w:id="2"/>
      <w:r>
        <w:rPr>
          <w:rFonts w:hint="default" w:ascii="Times New Roman" w:hAnsi="Times New Roman" w:eastAsia="仿宋_GB2312" w:cs="Times New Roman"/>
          <w:kern w:val="0"/>
          <w:sz w:val="28"/>
          <w:szCs w:val="28"/>
        </w:rPr>
        <w:t>从图4-1可以看出，使用的商用传感器下限截止频率主要在200MHz左右，上限截止频率主要在1000MHz左右，最低的天线下限频率可达30MHz，而最高的天线频率为1900MHz。可以看出，相对而言使用的特高频天线可检测的电磁波信号频率主要在低频段范围。</w:t>
      </w:r>
    </w:p>
    <w:p w14:paraId="57B5F590">
      <w:pPr>
        <w:pStyle w:val="33"/>
        <w:ind w:firstLine="560"/>
        <w:rPr>
          <w:rFonts w:hint="default" w:ascii="Times New Roman" w:hAnsi="Times New Roman" w:cs="Times New Roman"/>
          <w:b/>
        </w:rPr>
      </w:pPr>
      <w:r>
        <w:rPr>
          <w:rFonts w:hint="default" w:ascii="Times New Roman" w:hAnsi="Times New Roman" w:cs="Times New Roman"/>
          <w:b/>
        </w:rPr>
        <w:t>b) 有效高度</w:t>
      </w:r>
    </w:p>
    <w:p w14:paraId="48F3202F">
      <w:pPr>
        <w:spacing w:line="300" w:lineRule="auto"/>
        <w:ind w:firstLine="560" w:firstLineChars="200"/>
        <w:rPr>
          <w:rFonts w:hint="default" w:ascii="Times New Roman" w:hAnsi="Times New Roman" w:eastAsia="仿宋_GB2312" w:cs="Times New Roman"/>
          <w:kern w:val="0"/>
          <w:sz w:val="28"/>
          <w:szCs w:val="28"/>
        </w:rPr>
      </w:pPr>
      <w:r>
        <w:rPr>
          <w:rFonts w:hint="default" w:ascii="Times New Roman" w:hAnsi="Times New Roman" w:eastAsia="仿宋_GB2312" w:cs="Times New Roman"/>
          <w:kern w:val="0"/>
          <w:sz w:val="28"/>
          <w:szCs w:val="28"/>
        </w:rPr>
        <w:t>特高频传感器的等效高度是表征其检测性能的最为重要的参数，这一参数包含了传感器对不同频率的电磁波信号的响应特性、传输特性，是表征传感器对电磁波信号检测灵敏度，表征特高频传感器检测局部放电灵敏性的参数。</w:t>
      </w:r>
    </w:p>
    <w:p w14:paraId="563075AD">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drawing>
          <wp:inline distT="0" distB="0" distL="0" distR="0">
            <wp:extent cx="4045585" cy="337947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045585" cy="3379470"/>
                    </a:xfrm>
                    <a:prstGeom prst="rect">
                      <a:avLst/>
                    </a:prstGeom>
                    <a:noFill/>
                    <a:ln>
                      <a:noFill/>
                    </a:ln>
                  </pic:spPr>
                </pic:pic>
              </a:graphicData>
            </a:graphic>
          </wp:inline>
        </w:drawing>
      </w:r>
    </w:p>
    <w:p w14:paraId="1ACF4ABF">
      <w:pPr>
        <w:spacing w:line="360" w:lineRule="auto"/>
        <w:jc w:val="center"/>
        <w:rPr>
          <w:rFonts w:hint="default" w:ascii="Times New Roman" w:hAnsi="Times New Roman" w:eastAsia="仿宋_GB2312" w:cs="Times New Roman"/>
          <w:bCs/>
          <w:color w:val="000000"/>
          <w:sz w:val="24"/>
        </w:rPr>
      </w:pPr>
      <w:r>
        <w:rPr>
          <w:rFonts w:hint="default" w:ascii="Times New Roman" w:hAnsi="Times New Roman" w:eastAsia="仿宋_GB2312" w:cs="Times New Roman"/>
          <w:bCs/>
          <w:color w:val="000000"/>
          <w:sz w:val="24"/>
        </w:rPr>
        <w:t>图4-2 商用传感器的有效高度</w:t>
      </w:r>
    </w:p>
    <w:p w14:paraId="3985003B">
      <w:pPr>
        <w:spacing w:line="300" w:lineRule="auto"/>
        <w:ind w:firstLine="560" w:firstLineChars="200"/>
        <w:rPr>
          <w:rFonts w:hint="default" w:ascii="Times New Roman" w:hAnsi="Times New Roman" w:eastAsia="仿宋_GB2312" w:cs="Times New Roman"/>
          <w:kern w:val="0"/>
          <w:sz w:val="28"/>
          <w:szCs w:val="28"/>
        </w:rPr>
      </w:pPr>
      <w:r>
        <w:rPr>
          <w:rFonts w:hint="default" w:ascii="Times New Roman" w:hAnsi="Times New Roman" w:eastAsia="仿宋_GB2312" w:cs="Times New Roman"/>
          <w:kern w:val="0"/>
          <w:sz w:val="28"/>
          <w:szCs w:val="28"/>
        </w:rPr>
        <w:t>目前电气领域对于特高频传感器有效高度的要求主要集中在300MHz到1500MHz范围内，一般要求在这一频率范围内的平均有效高度不小于某一数值，国家电网公司该数值不小于8mm，南方电网公司规定不小于11mm，图4-2是国内外常见的一些特高频传感器有效高度。从图中可以看出，目前的传感器有效高度基本都不小于8mm，主要集中在12mm左右，最大可达20mm以上。进一步分析表明，内置式特高频传感器的有效高度大于外置式特高频传感器。</w:t>
      </w:r>
    </w:p>
    <w:p w14:paraId="63CCF5A7">
      <w:pPr>
        <w:pStyle w:val="2"/>
        <w:snapToGrid w:val="0"/>
        <w:spacing w:before="156" w:beforeLines="50" w:after="156" w:afterLines="50" w:line="240" w:lineRule="auto"/>
        <w:ind w:left="140"/>
        <w:rPr>
          <w:rFonts w:hint="default" w:ascii="Times New Roman" w:hAnsi="Times New Roman" w:eastAsia="仿宋_GB2312" w:cs="Times New Roman"/>
          <w:sz w:val="28"/>
        </w:rPr>
      </w:pPr>
      <w:r>
        <w:rPr>
          <w:rFonts w:hint="default" w:ascii="Times New Roman" w:hAnsi="Times New Roman" w:eastAsia="仿宋_GB2312" w:cs="Times New Roman"/>
          <w:sz w:val="28"/>
        </w:rPr>
        <w:t>5.结论</w:t>
      </w:r>
    </w:p>
    <w:p w14:paraId="47995E5C">
      <w:pPr>
        <w:spacing w:line="300" w:lineRule="auto"/>
        <w:ind w:firstLine="560" w:firstLineChars="200"/>
        <w:rPr>
          <w:rFonts w:hint="default" w:ascii="Times New Roman" w:hAnsi="Times New Roman" w:eastAsia="仿宋_GB2312" w:cs="Times New Roman"/>
          <w:kern w:val="0"/>
          <w:sz w:val="28"/>
          <w:szCs w:val="28"/>
        </w:rPr>
      </w:pPr>
      <w:r>
        <w:rPr>
          <w:rFonts w:hint="default" w:ascii="Times New Roman" w:hAnsi="Times New Roman" w:eastAsia="仿宋_GB2312" w:cs="Times New Roman"/>
          <w:kern w:val="0"/>
          <w:sz w:val="28"/>
          <w:szCs w:val="28"/>
        </w:rPr>
        <w:t>电力设备局部放电特高频检测技术从出现至今已超过30年，经过多年的科学研究与现场工程实践，对于局部放电检测特高频传感器的认识已较为深刻与成熟。经过调研分析可以发现，目前现场使用的特高频传感器，以结构安全可靠、性能优异的平板型天线为主，由于目前国网和南网公司对于特高频传感器的性能都有标准规定要求，因此市面上的商用传感器的性能参数都能达到较高的水平，总体而言，可对300MHz到1000MHz内的电磁波信号准确和有效测量，有效高度在10mm左右。</w:t>
      </w:r>
    </w:p>
    <w:p w14:paraId="5E6FC6A8">
      <w:pPr>
        <w:spacing w:line="300" w:lineRule="auto"/>
        <w:ind w:firstLine="560" w:firstLineChars="200"/>
        <w:rPr>
          <w:rFonts w:hint="default" w:ascii="Times New Roman" w:hAnsi="Times New Roman" w:eastAsia="仿宋_GB2312" w:cs="Times New Roman"/>
          <w:kern w:val="0"/>
          <w:sz w:val="28"/>
          <w:szCs w:val="28"/>
        </w:rPr>
      </w:pPr>
      <w:r>
        <w:rPr>
          <w:rFonts w:hint="default" w:ascii="Times New Roman" w:hAnsi="Times New Roman" w:eastAsia="仿宋_GB2312" w:cs="Times New Roman"/>
          <w:kern w:val="0"/>
          <w:sz w:val="28"/>
          <w:szCs w:val="28"/>
        </w:rPr>
        <w:t>基于成熟的特高频传感器技术，</w:t>
      </w:r>
      <w:r>
        <w:rPr>
          <w:rFonts w:hint="eastAsia" w:ascii="Times New Roman" w:hAnsi="Times New Roman" w:eastAsia="仿宋_GB2312" w:cs="Times New Roman"/>
          <w:kern w:val="0"/>
          <w:sz w:val="28"/>
          <w:szCs w:val="28"/>
          <w:lang w:val="en-US" w:eastAsia="zh-CN"/>
        </w:rPr>
        <w:t>相关</w:t>
      </w:r>
      <w:r>
        <w:rPr>
          <w:rFonts w:hint="default" w:ascii="Times New Roman" w:hAnsi="Times New Roman" w:eastAsia="仿宋_GB2312" w:cs="Times New Roman"/>
          <w:kern w:val="0"/>
          <w:sz w:val="28"/>
          <w:szCs w:val="28"/>
        </w:rPr>
        <w:t>研究团队提出的在特高频传感器上融合新型传感器的思路，一方面能够解决新型传感器安全植入设备内部的难题，另一方面能够在单一特高频传感器检测的基础上融合更多的设备状态参量检测功能，实现多参量的关联分析，</w:t>
      </w:r>
      <w:r>
        <w:rPr>
          <w:rFonts w:hint="default" w:ascii="Times New Roman" w:hAnsi="Times New Roman" w:eastAsia="仿宋_GB2312" w:cs="Times New Roman"/>
          <w:kern w:val="0"/>
          <w:sz w:val="28"/>
          <w:szCs w:val="28"/>
          <w:lang w:val="en-US" w:eastAsia="zh-CN"/>
        </w:rPr>
        <w:t>近年来</w:t>
      </w:r>
      <w:r>
        <w:rPr>
          <w:rFonts w:hint="default" w:ascii="Times New Roman" w:hAnsi="Times New Roman" w:eastAsia="仿宋_GB2312" w:cs="Times New Roman"/>
          <w:kern w:val="0"/>
          <w:sz w:val="28"/>
          <w:szCs w:val="28"/>
        </w:rPr>
        <w:t>得到国内外的广泛关注，开拓了电力设备状态检测的新方向，是未来特高频传感器技术发展的主要方向之一。</w:t>
      </w:r>
    </w:p>
    <w:p w14:paraId="74231501">
      <w:pPr>
        <w:ind w:firstLine="560" w:firstLineChars="200"/>
        <w:jc w:val="right"/>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t>编制工作组</w:t>
      </w:r>
    </w:p>
    <w:p w14:paraId="4B1FCC03">
      <w:pPr>
        <w:ind w:firstLine="560" w:firstLineChars="200"/>
        <w:jc w:val="right"/>
        <w:rPr>
          <w:rFonts w:hint="eastAsia" w:ascii="Times New Roman" w:hAnsi="Times New Roman" w:eastAsia="仿宋_GB2312" w:cs="Times New Roman"/>
          <w:bCs/>
          <w:color w:val="000000"/>
          <w:sz w:val="28"/>
          <w:lang w:eastAsia="zh-CN"/>
        </w:rPr>
      </w:pPr>
      <w:r>
        <w:rPr>
          <w:rFonts w:hint="default" w:ascii="Times New Roman" w:hAnsi="Times New Roman" w:eastAsia="仿宋_GB2312" w:cs="Times New Roman"/>
          <w:bCs/>
          <w:color w:val="000000"/>
          <w:sz w:val="28"/>
        </w:rPr>
        <w:t>2023.02.0</w:t>
      </w:r>
      <w:r>
        <w:rPr>
          <w:rFonts w:hint="eastAsia" w:ascii="Times New Roman" w:hAnsi="Times New Roman" w:eastAsia="仿宋_GB2312" w:cs="Times New Roman"/>
          <w:bCs/>
          <w:color w:val="000000"/>
          <w:sz w:val="28"/>
          <w:lang w:val="en-US" w:eastAsia="zh-CN"/>
        </w:rPr>
        <w:t>7</w:t>
      </w:r>
    </w:p>
    <w:p w14:paraId="79DA6858">
      <w:pPr>
        <w:spacing w:line="300" w:lineRule="auto"/>
        <w:ind w:firstLine="560" w:firstLineChars="200"/>
        <w:rPr>
          <w:rFonts w:hint="default" w:ascii="Times New Roman" w:hAnsi="Times New Roman" w:eastAsia="仿宋_GB2312" w:cs="Times New Roman"/>
          <w:kern w:val="0"/>
          <w:sz w:val="28"/>
          <w:szCs w:val="28"/>
        </w:rPr>
      </w:pPr>
    </w:p>
    <w:p w14:paraId="523B3A00">
      <w:pPr>
        <w:spacing w:line="300" w:lineRule="auto"/>
        <w:ind w:firstLine="560" w:firstLineChars="200"/>
        <w:rPr>
          <w:rFonts w:hint="default" w:ascii="Times New Roman" w:hAnsi="Times New Roman" w:eastAsia="仿宋_GB2312" w:cs="Times New Roman"/>
          <w:kern w:val="0"/>
          <w:sz w:val="28"/>
          <w:szCs w:val="28"/>
        </w:rPr>
      </w:pPr>
    </w:p>
    <w:p w14:paraId="477773CA">
      <w:pPr>
        <w:spacing w:line="300" w:lineRule="auto"/>
        <w:ind w:firstLine="560" w:firstLineChars="200"/>
        <w:rPr>
          <w:rFonts w:hint="default" w:ascii="Times New Roman" w:hAnsi="Times New Roman" w:eastAsia="仿宋_GB2312" w:cs="Times New Roman"/>
          <w:bCs/>
          <w:color w:val="000000"/>
          <w:sz w:val="28"/>
        </w:rPr>
        <w:sectPr>
          <w:footerReference r:id="rId3" w:type="default"/>
          <w:pgSz w:w="11906" w:h="16838"/>
          <w:pgMar w:top="1440" w:right="1800" w:bottom="1440" w:left="1800" w:header="851" w:footer="992" w:gutter="0"/>
          <w:cols w:space="720" w:num="1"/>
          <w:docGrid w:type="lines" w:linePitch="312" w:charSpace="0"/>
        </w:sectPr>
      </w:pPr>
    </w:p>
    <w:p w14:paraId="51DECB36">
      <w:pPr>
        <w:jc w:val="left"/>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t>附表1：GIS局部放电特高频传感器参数调研表</w:t>
      </w:r>
    </w:p>
    <w:tbl>
      <w:tblPr>
        <w:tblStyle w:val="14"/>
        <w:tblW w:w="140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1275"/>
        <w:gridCol w:w="993"/>
        <w:gridCol w:w="1423"/>
        <w:gridCol w:w="1225"/>
        <w:gridCol w:w="1276"/>
        <w:gridCol w:w="3447"/>
        <w:gridCol w:w="1134"/>
        <w:gridCol w:w="2693"/>
      </w:tblGrid>
      <w:tr w14:paraId="28F53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3AC43F6D">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序号</w:t>
            </w:r>
          </w:p>
        </w:tc>
        <w:tc>
          <w:tcPr>
            <w:tcW w:w="1275" w:type="dxa"/>
            <w:vAlign w:val="center"/>
          </w:tcPr>
          <w:p w14:paraId="4069A2B0">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生产单位</w:t>
            </w:r>
          </w:p>
        </w:tc>
        <w:tc>
          <w:tcPr>
            <w:tcW w:w="993" w:type="dxa"/>
            <w:vAlign w:val="center"/>
          </w:tcPr>
          <w:p w14:paraId="04CC05B3">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特高频传感器型号</w:t>
            </w:r>
          </w:p>
        </w:tc>
        <w:tc>
          <w:tcPr>
            <w:tcW w:w="1423" w:type="dxa"/>
            <w:vAlign w:val="center"/>
          </w:tcPr>
          <w:p w14:paraId="06A58360">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传感器安装形式</w:t>
            </w:r>
          </w:p>
        </w:tc>
        <w:tc>
          <w:tcPr>
            <w:tcW w:w="1225" w:type="dxa"/>
            <w:vAlign w:val="center"/>
          </w:tcPr>
          <w:p w14:paraId="6B679AC4">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传感器类型</w:t>
            </w:r>
          </w:p>
        </w:tc>
        <w:tc>
          <w:tcPr>
            <w:tcW w:w="1276" w:type="dxa"/>
            <w:vAlign w:val="center"/>
          </w:tcPr>
          <w:p w14:paraId="1251C05B">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频率响应范围</w:t>
            </w:r>
          </w:p>
          <w:p w14:paraId="056AF43F">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Operating frequency (MHz)</w:t>
            </w:r>
          </w:p>
        </w:tc>
        <w:tc>
          <w:tcPr>
            <w:tcW w:w="3447" w:type="dxa"/>
            <w:vAlign w:val="center"/>
          </w:tcPr>
          <w:p w14:paraId="010080F4">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有效高度</w:t>
            </w:r>
          </w:p>
        </w:tc>
        <w:tc>
          <w:tcPr>
            <w:tcW w:w="1134" w:type="dxa"/>
            <w:vAlign w:val="center"/>
          </w:tcPr>
          <w:p w14:paraId="42662D12">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平均有效高度(mm, 300MHz-1500MHz)</w:t>
            </w:r>
          </w:p>
        </w:tc>
        <w:tc>
          <w:tcPr>
            <w:tcW w:w="2693" w:type="dxa"/>
            <w:vAlign w:val="center"/>
          </w:tcPr>
          <w:p w14:paraId="509345D7">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实物图</w:t>
            </w:r>
          </w:p>
        </w:tc>
      </w:tr>
      <w:tr w14:paraId="361072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4A0A2E42">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1275" w:type="dxa"/>
            <w:vAlign w:val="center"/>
          </w:tcPr>
          <w:p w14:paraId="12799E7E">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河南平高</w:t>
            </w:r>
          </w:p>
        </w:tc>
        <w:tc>
          <w:tcPr>
            <w:tcW w:w="993" w:type="dxa"/>
            <w:vAlign w:val="center"/>
          </w:tcPr>
          <w:p w14:paraId="5508181A">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ISM-902-S1</w:t>
            </w:r>
          </w:p>
        </w:tc>
        <w:tc>
          <w:tcPr>
            <w:tcW w:w="1423" w:type="dxa"/>
            <w:vAlign w:val="center"/>
          </w:tcPr>
          <w:p w14:paraId="0C743216">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内置</w:t>
            </w:r>
          </w:p>
        </w:tc>
        <w:tc>
          <w:tcPr>
            <w:tcW w:w="1225" w:type="dxa"/>
            <w:vAlign w:val="center"/>
          </w:tcPr>
          <w:p w14:paraId="2BD47282">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平板型</w:t>
            </w:r>
          </w:p>
        </w:tc>
        <w:tc>
          <w:tcPr>
            <w:tcW w:w="1276" w:type="dxa"/>
            <w:vAlign w:val="center"/>
          </w:tcPr>
          <w:p w14:paraId="4A765016">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300-3000</w:t>
            </w:r>
          </w:p>
        </w:tc>
        <w:tc>
          <w:tcPr>
            <w:tcW w:w="3447" w:type="dxa"/>
            <w:vAlign w:val="center"/>
          </w:tcPr>
          <w:p w14:paraId="282762B3">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638300" cy="1257935"/>
                  <wp:effectExtent l="0" t="0" r="0" b="0"/>
                  <wp:docPr id="22" name="图片 6" descr="ISM-902-S1内置局放传感器（中国电科院试验报告）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descr="ISM-902-S1内置局放传感器（中国电科院试验报告）_04"/>
                          <pic:cNvPicPr>
                            <a:picLocks noChangeAspect="1" noChangeArrowheads="1"/>
                          </pic:cNvPicPr>
                        </pic:nvPicPr>
                        <pic:blipFill>
                          <a:blip r:embed="rId26" cstate="print">
                            <a:extLst>
                              <a:ext uri="{28A0092B-C50C-407E-A947-70E740481C1C}">
                                <a14:useLocalDpi xmlns:a14="http://schemas.microsoft.com/office/drawing/2010/main" val="0"/>
                              </a:ext>
                            </a:extLst>
                          </a:blip>
                          <a:srcRect l="24084" t="64186" r="24384" b="16440"/>
                          <a:stretch>
                            <a:fillRect/>
                          </a:stretch>
                        </pic:blipFill>
                        <pic:spPr>
                          <a:xfrm>
                            <a:off x="0" y="0"/>
                            <a:ext cx="1638300" cy="1257935"/>
                          </a:xfrm>
                          <a:prstGeom prst="rect">
                            <a:avLst/>
                          </a:prstGeom>
                          <a:noFill/>
                          <a:ln>
                            <a:noFill/>
                          </a:ln>
                        </pic:spPr>
                      </pic:pic>
                    </a:graphicData>
                  </a:graphic>
                </wp:inline>
              </w:drawing>
            </w:r>
          </w:p>
        </w:tc>
        <w:tc>
          <w:tcPr>
            <w:tcW w:w="1134" w:type="dxa"/>
            <w:vAlign w:val="center"/>
          </w:tcPr>
          <w:p w14:paraId="42BB6439">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13.28</w:t>
            </w:r>
          </w:p>
        </w:tc>
        <w:tc>
          <w:tcPr>
            <w:tcW w:w="2693" w:type="dxa"/>
            <w:vAlign w:val="center"/>
          </w:tcPr>
          <w:p w14:paraId="1A9E4B7B">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397000" cy="1045845"/>
                  <wp:effectExtent l="0" t="0" r="0" b="0"/>
                  <wp:docPr id="23" name="图片 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descr="图片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397000" cy="1045845"/>
                          </a:xfrm>
                          <a:prstGeom prst="rect">
                            <a:avLst/>
                          </a:prstGeom>
                          <a:noFill/>
                          <a:ln>
                            <a:noFill/>
                          </a:ln>
                        </pic:spPr>
                      </pic:pic>
                    </a:graphicData>
                  </a:graphic>
                </wp:inline>
              </w:drawing>
            </w:r>
          </w:p>
        </w:tc>
      </w:tr>
      <w:tr w14:paraId="44FD6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15E56F38">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1275" w:type="dxa"/>
            <w:vAlign w:val="center"/>
          </w:tcPr>
          <w:p w14:paraId="33BDE4B2">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河南宏博</w:t>
            </w:r>
          </w:p>
        </w:tc>
        <w:tc>
          <w:tcPr>
            <w:tcW w:w="993" w:type="dxa"/>
            <w:vAlign w:val="center"/>
          </w:tcPr>
          <w:p w14:paraId="27955BE9">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UHF120</w:t>
            </w:r>
          </w:p>
        </w:tc>
        <w:tc>
          <w:tcPr>
            <w:tcW w:w="1423" w:type="dxa"/>
            <w:vAlign w:val="center"/>
          </w:tcPr>
          <w:p w14:paraId="0CE76118">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外置</w:t>
            </w:r>
          </w:p>
        </w:tc>
        <w:tc>
          <w:tcPr>
            <w:tcW w:w="1225" w:type="dxa"/>
            <w:vAlign w:val="center"/>
          </w:tcPr>
          <w:p w14:paraId="7AD72DF2">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蝶型</w:t>
            </w:r>
          </w:p>
        </w:tc>
        <w:tc>
          <w:tcPr>
            <w:tcW w:w="1276" w:type="dxa"/>
            <w:vAlign w:val="center"/>
          </w:tcPr>
          <w:p w14:paraId="260E4DB4">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300-3000</w:t>
            </w:r>
          </w:p>
        </w:tc>
        <w:tc>
          <w:tcPr>
            <w:tcW w:w="3447" w:type="dxa"/>
            <w:vAlign w:val="center"/>
          </w:tcPr>
          <w:p w14:paraId="7D1C6AF4">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543685" cy="1360805"/>
                  <wp:effectExtent l="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543685" cy="1360805"/>
                          </a:xfrm>
                          <a:prstGeom prst="rect">
                            <a:avLst/>
                          </a:prstGeom>
                          <a:noFill/>
                          <a:ln>
                            <a:noFill/>
                          </a:ln>
                        </pic:spPr>
                      </pic:pic>
                    </a:graphicData>
                  </a:graphic>
                </wp:inline>
              </w:drawing>
            </w:r>
          </w:p>
        </w:tc>
        <w:tc>
          <w:tcPr>
            <w:tcW w:w="1134" w:type="dxa"/>
            <w:vAlign w:val="center"/>
          </w:tcPr>
          <w:p w14:paraId="72C82A2D">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12</w:t>
            </w:r>
          </w:p>
        </w:tc>
        <w:tc>
          <w:tcPr>
            <w:tcW w:w="2693" w:type="dxa"/>
            <w:vAlign w:val="center"/>
          </w:tcPr>
          <w:p w14:paraId="2691D253">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989455" cy="1272540"/>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989455" cy="1272540"/>
                          </a:xfrm>
                          <a:prstGeom prst="rect">
                            <a:avLst/>
                          </a:prstGeom>
                          <a:noFill/>
                          <a:ln>
                            <a:noFill/>
                          </a:ln>
                        </pic:spPr>
                      </pic:pic>
                    </a:graphicData>
                  </a:graphic>
                </wp:inline>
              </w:drawing>
            </w:r>
          </w:p>
        </w:tc>
      </w:tr>
      <w:tr w14:paraId="642ED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01DDD8F0">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1275" w:type="dxa"/>
            <w:vAlign w:val="center"/>
          </w:tcPr>
          <w:p w14:paraId="093DAB08">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西安茂荣</w:t>
            </w:r>
          </w:p>
        </w:tc>
        <w:tc>
          <w:tcPr>
            <w:tcW w:w="993" w:type="dxa"/>
            <w:vAlign w:val="center"/>
          </w:tcPr>
          <w:p w14:paraId="25B5EBDC">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1423" w:type="dxa"/>
            <w:vAlign w:val="center"/>
          </w:tcPr>
          <w:p w14:paraId="110CBB91">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内置</w:t>
            </w:r>
          </w:p>
        </w:tc>
        <w:tc>
          <w:tcPr>
            <w:tcW w:w="1225" w:type="dxa"/>
            <w:vAlign w:val="center"/>
          </w:tcPr>
          <w:p w14:paraId="5803529C">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平板型</w:t>
            </w:r>
          </w:p>
        </w:tc>
        <w:tc>
          <w:tcPr>
            <w:tcW w:w="1276" w:type="dxa"/>
            <w:vAlign w:val="center"/>
          </w:tcPr>
          <w:p w14:paraId="46E564D4">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300-1500</w:t>
            </w:r>
          </w:p>
        </w:tc>
        <w:tc>
          <w:tcPr>
            <w:tcW w:w="3447" w:type="dxa"/>
            <w:vAlign w:val="center"/>
          </w:tcPr>
          <w:p w14:paraId="57A78199">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938655" cy="1075055"/>
                  <wp:effectExtent l="0" t="0" r="0" b="0"/>
                  <wp:docPr id="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
                          <pic:cNvPicPr>
                            <a:picLocks noChangeAspect="1" noChangeArrowheads="1"/>
                          </pic:cNvPicPr>
                        </pic:nvPicPr>
                        <pic:blipFill>
                          <a:blip r:embed="rId30" cstate="print">
                            <a:extLst>
                              <a:ext uri="{28A0092B-C50C-407E-A947-70E740481C1C}">
                                <a14:useLocalDpi xmlns:a14="http://schemas.microsoft.com/office/drawing/2010/main" val="0"/>
                              </a:ext>
                            </a:extLst>
                          </a:blip>
                          <a:srcRect l="1196" t="37955" b="7932"/>
                          <a:stretch>
                            <a:fillRect/>
                          </a:stretch>
                        </pic:blipFill>
                        <pic:spPr>
                          <a:xfrm>
                            <a:off x="0" y="0"/>
                            <a:ext cx="1938655" cy="1075055"/>
                          </a:xfrm>
                          <a:prstGeom prst="rect">
                            <a:avLst/>
                          </a:prstGeom>
                          <a:noFill/>
                          <a:ln>
                            <a:noFill/>
                          </a:ln>
                          <a:effectLst/>
                        </pic:spPr>
                      </pic:pic>
                    </a:graphicData>
                  </a:graphic>
                </wp:inline>
              </w:drawing>
            </w:r>
          </w:p>
        </w:tc>
        <w:tc>
          <w:tcPr>
            <w:tcW w:w="1134" w:type="dxa"/>
            <w:vAlign w:val="center"/>
          </w:tcPr>
          <w:p w14:paraId="1619B650">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22.9</w:t>
            </w:r>
          </w:p>
        </w:tc>
        <w:tc>
          <w:tcPr>
            <w:tcW w:w="2693" w:type="dxa"/>
            <w:vAlign w:val="center"/>
          </w:tcPr>
          <w:p w14:paraId="70BE527D">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572895" cy="1426210"/>
                  <wp:effectExtent l="0" t="0" r="0" b="0"/>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572895" cy="1426210"/>
                          </a:xfrm>
                          <a:prstGeom prst="rect">
                            <a:avLst/>
                          </a:prstGeom>
                          <a:noFill/>
                          <a:ln>
                            <a:noFill/>
                          </a:ln>
                        </pic:spPr>
                      </pic:pic>
                    </a:graphicData>
                  </a:graphic>
                </wp:inline>
              </w:drawing>
            </w:r>
          </w:p>
        </w:tc>
      </w:tr>
      <w:tr w14:paraId="66A53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57EBA8A3">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1275" w:type="dxa"/>
            <w:vAlign w:val="center"/>
          </w:tcPr>
          <w:p w14:paraId="2C511EC2">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韦斯特(上海)</w:t>
            </w:r>
          </w:p>
        </w:tc>
        <w:tc>
          <w:tcPr>
            <w:tcW w:w="993" w:type="dxa"/>
            <w:vAlign w:val="center"/>
          </w:tcPr>
          <w:p w14:paraId="2C5D150F">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WFS-D8-UHF-E</w:t>
            </w:r>
          </w:p>
        </w:tc>
        <w:tc>
          <w:tcPr>
            <w:tcW w:w="1423" w:type="dxa"/>
            <w:vAlign w:val="center"/>
          </w:tcPr>
          <w:p w14:paraId="052D8293">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外置</w:t>
            </w:r>
          </w:p>
        </w:tc>
        <w:tc>
          <w:tcPr>
            <w:tcW w:w="1225" w:type="dxa"/>
            <w:vAlign w:val="center"/>
          </w:tcPr>
          <w:p w14:paraId="0A03C2F0">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蝶型</w:t>
            </w:r>
          </w:p>
        </w:tc>
        <w:tc>
          <w:tcPr>
            <w:tcW w:w="1276" w:type="dxa"/>
            <w:vAlign w:val="center"/>
          </w:tcPr>
          <w:p w14:paraId="20351DEF">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300-1500</w:t>
            </w:r>
          </w:p>
        </w:tc>
        <w:tc>
          <w:tcPr>
            <w:tcW w:w="3447" w:type="dxa"/>
            <w:vAlign w:val="center"/>
          </w:tcPr>
          <w:p w14:paraId="55F18937">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170305" cy="862965"/>
                  <wp:effectExtent l="0" t="0" r="0" b="0"/>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
                          <pic:cNvPicPr>
                            <a:picLocks noChangeAspect="1" noChangeArrowheads="1"/>
                          </pic:cNvPicPr>
                        </pic:nvPicPr>
                        <pic:blipFill>
                          <a:blip r:embed="rId32" cstate="print">
                            <a:extLst>
                              <a:ext uri="{28A0092B-C50C-407E-A947-70E740481C1C}">
                                <a14:useLocalDpi xmlns:a14="http://schemas.microsoft.com/office/drawing/2010/main" val="0"/>
                              </a:ext>
                            </a:extLst>
                          </a:blip>
                          <a:srcRect l="11063" t="10789" r="20053" b="27226"/>
                          <a:stretch>
                            <a:fillRect/>
                          </a:stretch>
                        </pic:blipFill>
                        <pic:spPr>
                          <a:xfrm>
                            <a:off x="0" y="0"/>
                            <a:ext cx="1170305" cy="862965"/>
                          </a:xfrm>
                          <a:prstGeom prst="rect">
                            <a:avLst/>
                          </a:prstGeom>
                          <a:noFill/>
                          <a:ln>
                            <a:noFill/>
                          </a:ln>
                        </pic:spPr>
                      </pic:pic>
                    </a:graphicData>
                  </a:graphic>
                </wp:inline>
              </w:drawing>
            </w:r>
          </w:p>
        </w:tc>
        <w:tc>
          <w:tcPr>
            <w:tcW w:w="1134" w:type="dxa"/>
            <w:vAlign w:val="center"/>
          </w:tcPr>
          <w:p w14:paraId="5BC68B43">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10.5</w:t>
            </w:r>
          </w:p>
        </w:tc>
        <w:tc>
          <w:tcPr>
            <w:tcW w:w="2693" w:type="dxa"/>
            <w:vAlign w:val="center"/>
          </w:tcPr>
          <w:p w14:paraId="45B648AC">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177925" cy="731520"/>
                  <wp:effectExtent l="0" t="0" r="0" b="0"/>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177925" cy="731520"/>
                          </a:xfrm>
                          <a:prstGeom prst="rect">
                            <a:avLst/>
                          </a:prstGeom>
                          <a:noFill/>
                          <a:ln>
                            <a:noFill/>
                          </a:ln>
                        </pic:spPr>
                      </pic:pic>
                    </a:graphicData>
                  </a:graphic>
                </wp:inline>
              </w:drawing>
            </w:r>
          </w:p>
          <w:p w14:paraId="667E7E0A">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119505" cy="731520"/>
                  <wp:effectExtent l="0" t="0" r="0" b="0"/>
                  <wp:docPr id="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119505" cy="731520"/>
                          </a:xfrm>
                          <a:prstGeom prst="rect">
                            <a:avLst/>
                          </a:prstGeom>
                          <a:noFill/>
                          <a:ln>
                            <a:noFill/>
                          </a:ln>
                        </pic:spPr>
                      </pic:pic>
                    </a:graphicData>
                  </a:graphic>
                </wp:inline>
              </w:drawing>
            </w:r>
          </w:p>
        </w:tc>
      </w:tr>
      <w:tr w14:paraId="39187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65323114">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w:t>
            </w:r>
          </w:p>
        </w:tc>
        <w:tc>
          <w:tcPr>
            <w:tcW w:w="1275" w:type="dxa"/>
            <w:vAlign w:val="center"/>
          </w:tcPr>
          <w:p w14:paraId="76B362B4">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西安英诺威</w:t>
            </w:r>
          </w:p>
        </w:tc>
        <w:tc>
          <w:tcPr>
            <w:tcW w:w="993" w:type="dxa"/>
            <w:vAlign w:val="center"/>
          </w:tcPr>
          <w:p w14:paraId="6D2C6AA4">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PDU-T2</w:t>
            </w:r>
          </w:p>
        </w:tc>
        <w:tc>
          <w:tcPr>
            <w:tcW w:w="1423" w:type="dxa"/>
            <w:vAlign w:val="center"/>
          </w:tcPr>
          <w:p w14:paraId="63D79EC6">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内置</w:t>
            </w:r>
          </w:p>
        </w:tc>
        <w:tc>
          <w:tcPr>
            <w:tcW w:w="1225" w:type="dxa"/>
            <w:vAlign w:val="center"/>
          </w:tcPr>
          <w:p w14:paraId="6CEC5FCF">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平板</w:t>
            </w:r>
          </w:p>
        </w:tc>
        <w:tc>
          <w:tcPr>
            <w:tcW w:w="1276" w:type="dxa"/>
            <w:vAlign w:val="center"/>
          </w:tcPr>
          <w:p w14:paraId="20179B41">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300-1500</w:t>
            </w:r>
          </w:p>
        </w:tc>
        <w:tc>
          <w:tcPr>
            <w:tcW w:w="3447" w:type="dxa"/>
            <w:vAlign w:val="center"/>
          </w:tcPr>
          <w:p w14:paraId="1D9AEC9B">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1134" w:type="dxa"/>
            <w:vAlign w:val="center"/>
          </w:tcPr>
          <w:p w14:paraId="305DF607">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p>
        </w:tc>
        <w:tc>
          <w:tcPr>
            <w:tcW w:w="2693" w:type="dxa"/>
            <w:vAlign w:val="center"/>
          </w:tcPr>
          <w:p w14:paraId="6EDF952E">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119505" cy="687705"/>
                  <wp:effectExtent l="0" t="0" r="0" b="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119505" cy="687705"/>
                          </a:xfrm>
                          <a:prstGeom prst="rect">
                            <a:avLst/>
                          </a:prstGeom>
                          <a:noFill/>
                          <a:ln>
                            <a:noFill/>
                          </a:ln>
                        </pic:spPr>
                      </pic:pic>
                    </a:graphicData>
                  </a:graphic>
                </wp:inline>
              </w:drawing>
            </w:r>
          </w:p>
        </w:tc>
      </w:tr>
      <w:tr w14:paraId="3AA40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7DCDF1D4">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p>
        </w:tc>
        <w:tc>
          <w:tcPr>
            <w:tcW w:w="1275" w:type="dxa"/>
            <w:vAlign w:val="center"/>
          </w:tcPr>
          <w:p w14:paraId="458B26A0">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Power Diagnostix</w:t>
            </w:r>
          </w:p>
        </w:tc>
        <w:tc>
          <w:tcPr>
            <w:tcW w:w="993" w:type="dxa"/>
            <w:vAlign w:val="center"/>
          </w:tcPr>
          <w:p w14:paraId="7F059167">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EFS1</w:t>
            </w:r>
          </w:p>
        </w:tc>
        <w:tc>
          <w:tcPr>
            <w:tcW w:w="1423" w:type="dxa"/>
            <w:vAlign w:val="center"/>
          </w:tcPr>
          <w:p w14:paraId="4BB7CE02">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外置</w:t>
            </w:r>
          </w:p>
        </w:tc>
        <w:tc>
          <w:tcPr>
            <w:tcW w:w="1225" w:type="dxa"/>
            <w:vAlign w:val="center"/>
          </w:tcPr>
          <w:p w14:paraId="5D80905F">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1276" w:type="dxa"/>
            <w:vAlign w:val="center"/>
          </w:tcPr>
          <w:p w14:paraId="15F7432C">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3447" w:type="dxa"/>
            <w:vAlign w:val="center"/>
          </w:tcPr>
          <w:p w14:paraId="178946C5">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1134" w:type="dxa"/>
            <w:vAlign w:val="center"/>
          </w:tcPr>
          <w:p w14:paraId="03E566CB">
            <w:pPr>
              <w:jc w:val="center"/>
              <w:rPr>
                <w:rFonts w:hint="default" w:ascii="Times New Roman" w:hAnsi="Times New Roman" w:eastAsia="宋体" w:cs="Times New Roman"/>
                <w:sz w:val="21"/>
                <w:szCs w:val="21"/>
              </w:rPr>
            </w:pPr>
          </w:p>
        </w:tc>
        <w:tc>
          <w:tcPr>
            <w:tcW w:w="2693" w:type="dxa"/>
            <w:vAlign w:val="center"/>
          </w:tcPr>
          <w:p w14:paraId="7F62B781">
            <w:pPr>
              <w:spacing w:before="24" w:beforeLines="1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673860" cy="826770"/>
                  <wp:effectExtent l="0" t="0" r="0" b="0"/>
                  <wp:docPr id="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673860" cy="826770"/>
                          </a:xfrm>
                          <a:prstGeom prst="rect">
                            <a:avLst/>
                          </a:prstGeom>
                          <a:noFill/>
                        </pic:spPr>
                      </pic:pic>
                    </a:graphicData>
                  </a:graphic>
                </wp:inline>
              </w:drawing>
            </w:r>
          </w:p>
          <w:p w14:paraId="63336D6A">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661160" cy="586105"/>
                  <wp:effectExtent l="0" t="0" r="0" b="0"/>
                  <wp:docPr id="5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661160" cy="586105"/>
                          </a:xfrm>
                          <a:prstGeom prst="rect">
                            <a:avLst/>
                          </a:prstGeom>
                          <a:noFill/>
                        </pic:spPr>
                      </pic:pic>
                    </a:graphicData>
                  </a:graphic>
                </wp:inline>
              </w:drawing>
            </w:r>
          </w:p>
        </w:tc>
      </w:tr>
      <w:tr w14:paraId="4EF52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286402F0">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w:t>
            </w:r>
          </w:p>
        </w:tc>
        <w:tc>
          <w:tcPr>
            <w:tcW w:w="1275" w:type="dxa"/>
            <w:vAlign w:val="center"/>
          </w:tcPr>
          <w:p w14:paraId="44E1F74D">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Doble</w:t>
            </w:r>
          </w:p>
        </w:tc>
        <w:tc>
          <w:tcPr>
            <w:tcW w:w="993" w:type="dxa"/>
            <w:vAlign w:val="center"/>
          </w:tcPr>
          <w:p w14:paraId="13282AD5">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UHF Spacer Sensor</w:t>
            </w:r>
          </w:p>
        </w:tc>
        <w:tc>
          <w:tcPr>
            <w:tcW w:w="1423" w:type="dxa"/>
            <w:vAlign w:val="center"/>
          </w:tcPr>
          <w:p w14:paraId="307CB5DB">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外置</w:t>
            </w:r>
          </w:p>
        </w:tc>
        <w:tc>
          <w:tcPr>
            <w:tcW w:w="1225" w:type="dxa"/>
            <w:vAlign w:val="center"/>
          </w:tcPr>
          <w:p w14:paraId="4E835665">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螺旋天线</w:t>
            </w:r>
          </w:p>
        </w:tc>
        <w:tc>
          <w:tcPr>
            <w:tcW w:w="1276" w:type="dxa"/>
            <w:vAlign w:val="center"/>
          </w:tcPr>
          <w:p w14:paraId="05E775D8">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3447" w:type="dxa"/>
            <w:vAlign w:val="center"/>
          </w:tcPr>
          <w:p w14:paraId="5C5596EC">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1134" w:type="dxa"/>
            <w:vAlign w:val="center"/>
          </w:tcPr>
          <w:p w14:paraId="072E6D98">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2693" w:type="dxa"/>
            <w:vAlign w:val="center"/>
          </w:tcPr>
          <w:p w14:paraId="3622904F">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242695" cy="1211580"/>
                  <wp:effectExtent l="0" t="0" r="0" b="0"/>
                  <wp:docPr id="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
                          <pic:cNvPicPr>
                            <a:picLocks noChangeAspect="1" noChangeArrowheads="1"/>
                          </pic:cNvPicPr>
                        </pic:nvPicPr>
                        <pic:blipFill>
                          <a:blip r:embed="rId38" cstate="print">
                            <a:extLst>
                              <a:ext uri="{28A0092B-C50C-407E-A947-70E740481C1C}">
                                <a14:useLocalDpi xmlns:a14="http://schemas.microsoft.com/office/drawing/2010/main" val="0"/>
                              </a:ext>
                            </a:extLst>
                          </a:blip>
                          <a:srcRect l="18236" t="23245" r="24092" b="20529"/>
                          <a:stretch>
                            <a:fillRect/>
                          </a:stretch>
                        </pic:blipFill>
                        <pic:spPr>
                          <a:xfrm>
                            <a:off x="0" y="0"/>
                            <a:ext cx="1242695" cy="1211580"/>
                          </a:xfrm>
                          <a:prstGeom prst="rect">
                            <a:avLst/>
                          </a:prstGeom>
                          <a:noFill/>
                        </pic:spPr>
                      </pic:pic>
                    </a:graphicData>
                  </a:graphic>
                </wp:inline>
              </w:drawing>
            </w:r>
          </w:p>
        </w:tc>
      </w:tr>
      <w:tr w14:paraId="56681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23717EE5">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8</w:t>
            </w:r>
          </w:p>
        </w:tc>
        <w:tc>
          <w:tcPr>
            <w:tcW w:w="1275" w:type="dxa"/>
            <w:vAlign w:val="center"/>
          </w:tcPr>
          <w:p w14:paraId="3142AACA">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Power Diagnostic Service</w:t>
            </w:r>
          </w:p>
        </w:tc>
        <w:tc>
          <w:tcPr>
            <w:tcW w:w="993" w:type="dxa"/>
            <w:vAlign w:val="center"/>
          </w:tcPr>
          <w:p w14:paraId="35015D70">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UHF TM</w:t>
            </w:r>
          </w:p>
        </w:tc>
        <w:tc>
          <w:tcPr>
            <w:tcW w:w="1423" w:type="dxa"/>
            <w:vAlign w:val="center"/>
          </w:tcPr>
          <w:p w14:paraId="7ABF2E91">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外置</w:t>
            </w:r>
          </w:p>
        </w:tc>
        <w:tc>
          <w:tcPr>
            <w:tcW w:w="1225" w:type="dxa"/>
            <w:vAlign w:val="center"/>
          </w:tcPr>
          <w:p w14:paraId="0EA9918C">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1276" w:type="dxa"/>
            <w:vAlign w:val="center"/>
          </w:tcPr>
          <w:p w14:paraId="260CAAF9">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3447" w:type="dxa"/>
            <w:vAlign w:val="center"/>
          </w:tcPr>
          <w:p w14:paraId="4AE7CD8A">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1134" w:type="dxa"/>
            <w:vAlign w:val="center"/>
          </w:tcPr>
          <w:p w14:paraId="2863D8F5">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2693" w:type="dxa"/>
            <w:vAlign w:val="center"/>
          </w:tcPr>
          <w:p w14:paraId="7588215E">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558290" cy="1390015"/>
                  <wp:effectExtent l="0" t="0" r="0" b="0"/>
                  <wp:docPr id="35" name="图片 35" descr="1669456515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66945651540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558290" cy="1390015"/>
                          </a:xfrm>
                          <a:prstGeom prst="rect">
                            <a:avLst/>
                          </a:prstGeom>
                          <a:noFill/>
                          <a:ln>
                            <a:noFill/>
                          </a:ln>
                        </pic:spPr>
                      </pic:pic>
                    </a:graphicData>
                  </a:graphic>
                </wp:inline>
              </w:drawing>
            </w:r>
          </w:p>
        </w:tc>
      </w:tr>
      <w:tr w14:paraId="01AF8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54FC3D67">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9</w:t>
            </w:r>
          </w:p>
        </w:tc>
        <w:tc>
          <w:tcPr>
            <w:tcW w:w="1275" w:type="dxa"/>
            <w:vAlign w:val="center"/>
          </w:tcPr>
          <w:p w14:paraId="7C531B2C">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上海格鲁布</w:t>
            </w:r>
          </w:p>
        </w:tc>
        <w:tc>
          <w:tcPr>
            <w:tcW w:w="993" w:type="dxa"/>
            <w:vAlign w:val="center"/>
          </w:tcPr>
          <w:p w14:paraId="5B7E493B">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PDS-600S</w:t>
            </w:r>
          </w:p>
        </w:tc>
        <w:tc>
          <w:tcPr>
            <w:tcW w:w="1423" w:type="dxa"/>
            <w:vAlign w:val="center"/>
          </w:tcPr>
          <w:p w14:paraId="2E37D852">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外置</w:t>
            </w:r>
          </w:p>
        </w:tc>
        <w:tc>
          <w:tcPr>
            <w:tcW w:w="1225" w:type="dxa"/>
            <w:vAlign w:val="center"/>
          </w:tcPr>
          <w:p w14:paraId="15AD68D8">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1276" w:type="dxa"/>
            <w:vAlign w:val="center"/>
          </w:tcPr>
          <w:p w14:paraId="4AC4D816">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300-3000</w:t>
            </w:r>
          </w:p>
        </w:tc>
        <w:tc>
          <w:tcPr>
            <w:tcW w:w="3447" w:type="dxa"/>
            <w:vAlign w:val="center"/>
          </w:tcPr>
          <w:p w14:paraId="3CBF3D78">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2077720" cy="1733550"/>
                  <wp:effectExtent l="0" t="0" r="0" b="0"/>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077720" cy="1733550"/>
                          </a:xfrm>
                          <a:prstGeom prst="rect">
                            <a:avLst/>
                          </a:prstGeom>
                          <a:noFill/>
                          <a:ln>
                            <a:noFill/>
                          </a:ln>
                        </pic:spPr>
                      </pic:pic>
                    </a:graphicData>
                  </a:graphic>
                </wp:inline>
              </w:drawing>
            </w:r>
          </w:p>
        </w:tc>
        <w:tc>
          <w:tcPr>
            <w:tcW w:w="1134" w:type="dxa"/>
            <w:vAlign w:val="center"/>
          </w:tcPr>
          <w:p w14:paraId="3B030788">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10.58</w:t>
            </w:r>
          </w:p>
        </w:tc>
        <w:tc>
          <w:tcPr>
            <w:tcW w:w="2693" w:type="dxa"/>
            <w:vAlign w:val="center"/>
          </w:tcPr>
          <w:p w14:paraId="59A1D7BC">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470660" cy="1097280"/>
                  <wp:effectExtent l="0" t="0" r="0" b="0"/>
                  <wp:docPr id="37" name="图片 37" descr="PDS-60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PDS-600S"/>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470660" cy="1097280"/>
                          </a:xfrm>
                          <a:prstGeom prst="rect">
                            <a:avLst/>
                          </a:prstGeom>
                          <a:noFill/>
                          <a:ln>
                            <a:noFill/>
                          </a:ln>
                        </pic:spPr>
                      </pic:pic>
                    </a:graphicData>
                  </a:graphic>
                </wp:inline>
              </w:drawing>
            </w:r>
          </w:p>
        </w:tc>
      </w:tr>
      <w:tr w14:paraId="0195B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60EA8788">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p>
        </w:tc>
        <w:tc>
          <w:tcPr>
            <w:tcW w:w="1275" w:type="dxa"/>
            <w:vAlign w:val="center"/>
          </w:tcPr>
          <w:p w14:paraId="2D347CC4">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上海格鲁布</w:t>
            </w:r>
          </w:p>
        </w:tc>
        <w:tc>
          <w:tcPr>
            <w:tcW w:w="993" w:type="dxa"/>
            <w:vAlign w:val="center"/>
          </w:tcPr>
          <w:p w14:paraId="54C6B4D0">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PDS-606</w:t>
            </w:r>
          </w:p>
        </w:tc>
        <w:tc>
          <w:tcPr>
            <w:tcW w:w="1423" w:type="dxa"/>
            <w:vAlign w:val="center"/>
          </w:tcPr>
          <w:p w14:paraId="76D4AEC6">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外置</w:t>
            </w:r>
          </w:p>
        </w:tc>
        <w:tc>
          <w:tcPr>
            <w:tcW w:w="1225" w:type="dxa"/>
            <w:vAlign w:val="center"/>
          </w:tcPr>
          <w:p w14:paraId="447DD067">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1276" w:type="dxa"/>
            <w:vAlign w:val="center"/>
          </w:tcPr>
          <w:p w14:paraId="60ECB630">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300-1500</w:t>
            </w:r>
          </w:p>
        </w:tc>
        <w:tc>
          <w:tcPr>
            <w:tcW w:w="3447" w:type="dxa"/>
            <w:vAlign w:val="center"/>
          </w:tcPr>
          <w:p w14:paraId="34C5D125">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2077720" cy="1697355"/>
                  <wp:effectExtent l="0" t="0" r="0" b="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077720" cy="1697355"/>
                          </a:xfrm>
                          <a:prstGeom prst="rect">
                            <a:avLst/>
                          </a:prstGeom>
                          <a:noFill/>
                          <a:ln>
                            <a:noFill/>
                          </a:ln>
                        </pic:spPr>
                      </pic:pic>
                    </a:graphicData>
                  </a:graphic>
                </wp:inline>
              </w:drawing>
            </w:r>
          </w:p>
        </w:tc>
        <w:tc>
          <w:tcPr>
            <w:tcW w:w="1134" w:type="dxa"/>
            <w:vAlign w:val="center"/>
          </w:tcPr>
          <w:p w14:paraId="2E45320F">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10.8</w:t>
            </w:r>
          </w:p>
        </w:tc>
        <w:tc>
          <w:tcPr>
            <w:tcW w:w="2693" w:type="dxa"/>
            <w:vAlign w:val="center"/>
          </w:tcPr>
          <w:p w14:paraId="52CDBA04">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616710" cy="1214120"/>
                  <wp:effectExtent l="0" t="0" r="0" b="0"/>
                  <wp:docPr id="39" name="图片 39" descr="Picture_20141124181838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Picture_20141124181838132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1616710" cy="1214120"/>
                          </a:xfrm>
                          <a:prstGeom prst="rect">
                            <a:avLst/>
                          </a:prstGeom>
                          <a:noFill/>
                          <a:ln>
                            <a:noFill/>
                          </a:ln>
                        </pic:spPr>
                      </pic:pic>
                    </a:graphicData>
                  </a:graphic>
                </wp:inline>
              </w:drawing>
            </w:r>
          </w:p>
        </w:tc>
      </w:tr>
      <w:tr w14:paraId="51F28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65DACDAC">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11</w:t>
            </w:r>
          </w:p>
        </w:tc>
        <w:tc>
          <w:tcPr>
            <w:tcW w:w="1275" w:type="dxa"/>
            <w:vAlign w:val="center"/>
          </w:tcPr>
          <w:p w14:paraId="726092F7">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上海格鲁布</w:t>
            </w:r>
          </w:p>
        </w:tc>
        <w:tc>
          <w:tcPr>
            <w:tcW w:w="993" w:type="dxa"/>
            <w:vAlign w:val="center"/>
          </w:tcPr>
          <w:p w14:paraId="660FA7E8">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PDSG-700C</w:t>
            </w:r>
          </w:p>
        </w:tc>
        <w:tc>
          <w:tcPr>
            <w:tcW w:w="1423" w:type="dxa"/>
            <w:vAlign w:val="center"/>
          </w:tcPr>
          <w:p w14:paraId="5D2D7C1D">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内置</w:t>
            </w:r>
          </w:p>
        </w:tc>
        <w:tc>
          <w:tcPr>
            <w:tcW w:w="1225" w:type="dxa"/>
            <w:vAlign w:val="center"/>
          </w:tcPr>
          <w:p w14:paraId="6619F1D4">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平板型</w:t>
            </w:r>
          </w:p>
        </w:tc>
        <w:tc>
          <w:tcPr>
            <w:tcW w:w="1276" w:type="dxa"/>
            <w:vAlign w:val="center"/>
          </w:tcPr>
          <w:p w14:paraId="259B5C12">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500-1500</w:t>
            </w:r>
          </w:p>
        </w:tc>
        <w:tc>
          <w:tcPr>
            <w:tcW w:w="3447" w:type="dxa"/>
            <w:vAlign w:val="center"/>
          </w:tcPr>
          <w:p w14:paraId="4EF3F882">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2077720" cy="1609090"/>
                  <wp:effectExtent l="0" t="0" r="0" b="0"/>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077720" cy="1609090"/>
                          </a:xfrm>
                          <a:prstGeom prst="rect">
                            <a:avLst/>
                          </a:prstGeom>
                          <a:noFill/>
                          <a:ln>
                            <a:noFill/>
                          </a:ln>
                        </pic:spPr>
                      </pic:pic>
                    </a:graphicData>
                  </a:graphic>
                </wp:inline>
              </w:drawing>
            </w:r>
          </w:p>
        </w:tc>
        <w:tc>
          <w:tcPr>
            <w:tcW w:w="1134" w:type="dxa"/>
            <w:vAlign w:val="center"/>
          </w:tcPr>
          <w:p w14:paraId="3D2E30BE">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11.6</w:t>
            </w:r>
          </w:p>
        </w:tc>
        <w:tc>
          <w:tcPr>
            <w:tcW w:w="2693" w:type="dxa"/>
            <w:vAlign w:val="center"/>
          </w:tcPr>
          <w:p w14:paraId="29F8C0F1">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579880" cy="1316990"/>
                  <wp:effectExtent l="0" t="0" r="0" b="0"/>
                  <wp:docPr id="41" name="图片 41" descr="Picture_201411241916386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Picture_2014112419163861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1579880" cy="1316990"/>
                          </a:xfrm>
                          <a:prstGeom prst="rect">
                            <a:avLst/>
                          </a:prstGeom>
                          <a:noFill/>
                          <a:ln>
                            <a:noFill/>
                          </a:ln>
                        </pic:spPr>
                      </pic:pic>
                    </a:graphicData>
                  </a:graphic>
                </wp:inline>
              </w:drawing>
            </w:r>
          </w:p>
        </w:tc>
      </w:tr>
      <w:tr w14:paraId="1B8BD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300F719F">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12</w:t>
            </w:r>
          </w:p>
        </w:tc>
        <w:tc>
          <w:tcPr>
            <w:tcW w:w="1275" w:type="dxa"/>
            <w:vAlign w:val="center"/>
          </w:tcPr>
          <w:p w14:paraId="6AFC3E20">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上海格鲁布</w:t>
            </w:r>
          </w:p>
        </w:tc>
        <w:tc>
          <w:tcPr>
            <w:tcW w:w="993" w:type="dxa"/>
            <w:vAlign w:val="center"/>
          </w:tcPr>
          <w:p w14:paraId="33547E91">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PDSG-100</w:t>
            </w:r>
          </w:p>
        </w:tc>
        <w:tc>
          <w:tcPr>
            <w:tcW w:w="1423" w:type="dxa"/>
            <w:vAlign w:val="center"/>
          </w:tcPr>
          <w:p w14:paraId="1BF6F752">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内置</w:t>
            </w:r>
          </w:p>
        </w:tc>
        <w:tc>
          <w:tcPr>
            <w:tcW w:w="1225" w:type="dxa"/>
            <w:vAlign w:val="center"/>
          </w:tcPr>
          <w:p w14:paraId="640C2F9E">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平板型</w:t>
            </w:r>
          </w:p>
        </w:tc>
        <w:tc>
          <w:tcPr>
            <w:tcW w:w="1276" w:type="dxa"/>
            <w:vAlign w:val="center"/>
          </w:tcPr>
          <w:p w14:paraId="29391EAE">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500-1500</w:t>
            </w:r>
          </w:p>
        </w:tc>
        <w:tc>
          <w:tcPr>
            <w:tcW w:w="3447" w:type="dxa"/>
            <w:vAlign w:val="center"/>
          </w:tcPr>
          <w:p w14:paraId="07FA897D">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2084705" cy="1645920"/>
                  <wp:effectExtent l="0" t="0" r="0" b="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084705" cy="1645920"/>
                          </a:xfrm>
                          <a:prstGeom prst="rect">
                            <a:avLst/>
                          </a:prstGeom>
                          <a:noFill/>
                          <a:ln>
                            <a:noFill/>
                          </a:ln>
                        </pic:spPr>
                      </pic:pic>
                    </a:graphicData>
                  </a:graphic>
                </wp:inline>
              </w:drawing>
            </w:r>
          </w:p>
        </w:tc>
        <w:tc>
          <w:tcPr>
            <w:tcW w:w="1134" w:type="dxa"/>
            <w:vAlign w:val="center"/>
          </w:tcPr>
          <w:p w14:paraId="31F04CAE">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17.9</w:t>
            </w:r>
          </w:p>
        </w:tc>
        <w:tc>
          <w:tcPr>
            <w:tcW w:w="2693" w:type="dxa"/>
            <w:vAlign w:val="center"/>
          </w:tcPr>
          <w:p w14:paraId="431CF5AD">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529080" cy="1645920"/>
                  <wp:effectExtent l="0" t="0" r="0" b="0"/>
                  <wp:docPr id="43" name="图片 43" descr="PSD-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PSD-100"/>
                          <pic:cNvPicPr>
                            <a:picLocks noChangeAspect="1" noChangeArrowheads="1"/>
                          </pic:cNvPicPr>
                        </pic:nvPicPr>
                        <pic:blipFill>
                          <a:blip r:embed="rId47" cstate="print">
                            <a:extLst>
                              <a:ext uri="{28A0092B-C50C-407E-A947-70E740481C1C}">
                                <a14:useLocalDpi xmlns:a14="http://schemas.microsoft.com/office/drawing/2010/main" val="0"/>
                              </a:ext>
                            </a:extLst>
                          </a:blip>
                          <a:srcRect l="4347" t="6377" r="8333"/>
                          <a:stretch>
                            <a:fillRect/>
                          </a:stretch>
                        </pic:blipFill>
                        <pic:spPr>
                          <a:xfrm>
                            <a:off x="0" y="0"/>
                            <a:ext cx="1529080" cy="1645920"/>
                          </a:xfrm>
                          <a:prstGeom prst="rect">
                            <a:avLst/>
                          </a:prstGeom>
                          <a:noFill/>
                          <a:ln>
                            <a:noFill/>
                          </a:ln>
                        </pic:spPr>
                      </pic:pic>
                    </a:graphicData>
                  </a:graphic>
                </wp:inline>
              </w:drawing>
            </w:r>
          </w:p>
        </w:tc>
      </w:tr>
      <w:tr w14:paraId="679E4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6B07C178">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13</w:t>
            </w:r>
          </w:p>
        </w:tc>
        <w:tc>
          <w:tcPr>
            <w:tcW w:w="1275" w:type="dxa"/>
            <w:vAlign w:val="center"/>
          </w:tcPr>
          <w:p w14:paraId="6B392F58">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重庆臻远</w:t>
            </w:r>
          </w:p>
        </w:tc>
        <w:tc>
          <w:tcPr>
            <w:tcW w:w="993" w:type="dxa"/>
            <w:vAlign w:val="center"/>
          </w:tcPr>
          <w:p w14:paraId="0F74A09D">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PDM1000U-G</w:t>
            </w:r>
          </w:p>
        </w:tc>
        <w:tc>
          <w:tcPr>
            <w:tcW w:w="1423" w:type="dxa"/>
            <w:vAlign w:val="center"/>
          </w:tcPr>
          <w:p w14:paraId="5A12CBEE">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内置</w:t>
            </w:r>
          </w:p>
        </w:tc>
        <w:tc>
          <w:tcPr>
            <w:tcW w:w="1225" w:type="dxa"/>
            <w:vAlign w:val="center"/>
          </w:tcPr>
          <w:p w14:paraId="2044738C">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平板型</w:t>
            </w:r>
          </w:p>
        </w:tc>
        <w:tc>
          <w:tcPr>
            <w:tcW w:w="1276" w:type="dxa"/>
            <w:vAlign w:val="center"/>
          </w:tcPr>
          <w:p w14:paraId="1E991526">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300-1500</w:t>
            </w:r>
          </w:p>
        </w:tc>
        <w:tc>
          <w:tcPr>
            <w:tcW w:w="3447" w:type="dxa"/>
            <w:vAlign w:val="center"/>
          </w:tcPr>
          <w:p w14:paraId="1A5818A6">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375410" cy="1104900"/>
                  <wp:effectExtent l="0" t="0" r="0" b="0"/>
                  <wp:docPr id="44" name="图片 8" descr="16750555578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8" descr="167505555782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1375410" cy="1104900"/>
                          </a:xfrm>
                          <a:prstGeom prst="rect">
                            <a:avLst/>
                          </a:prstGeom>
                          <a:noFill/>
                          <a:ln>
                            <a:noFill/>
                          </a:ln>
                        </pic:spPr>
                      </pic:pic>
                    </a:graphicData>
                  </a:graphic>
                </wp:inline>
              </w:drawing>
            </w:r>
          </w:p>
        </w:tc>
        <w:tc>
          <w:tcPr>
            <w:tcW w:w="1134" w:type="dxa"/>
            <w:vAlign w:val="center"/>
          </w:tcPr>
          <w:p w14:paraId="5A5537E8">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10.75</w:t>
            </w:r>
          </w:p>
        </w:tc>
        <w:tc>
          <w:tcPr>
            <w:tcW w:w="2693" w:type="dxa"/>
            <w:vAlign w:val="center"/>
          </w:tcPr>
          <w:p w14:paraId="0D4A1699">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272540" cy="1060450"/>
                  <wp:effectExtent l="0" t="0" r="0" b="0"/>
                  <wp:docPr id="45" name="图片 1" descr="IMG_6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 descr="IMG_625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1272540" cy="1060450"/>
                          </a:xfrm>
                          <a:prstGeom prst="rect">
                            <a:avLst/>
                          </a:prstGeom>
                          <a:noFill/>
                          <a:ln>
                            <a:noFill/>
                          </a:ln>
                        </pic:spPr>
                      </pic:pic>
                    </a:graphicData>
                  </a:graphic>
                </wp:inline>
              </w:drawing>
            </w:r>
          </w:p>
        </w:tc>
      </w:tr>
      <w:tr w14:paraId="7FF7B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3FEE7CA1">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14</w:t>
            </w:r>
          </w:p>
        </w:tc>
        <w:tc>
          <w:tcPr>
            <w:tcW w:w="1275" w:type="dxa"/>
            <w:vAlign w:val="center"/>
          </w:tcPr>
          <w:p w14:paraId="6C2E06F4">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重庆臻远</w:t>
            </w:r>
          </w:p>
        </w:tc>
        <w:tc>
          <w:tcPr>
            <w:tcW w:w="993" w:type="dxa"/>
            <w:vAlign w:val="center"/>
          </w:tcPr>
          <w:p w14:paraId="2FBC007A">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PDM1000U-O</w:t>
            </w:r>
          </w:p>
        </w:tc>
        <w:tc>
          <w:tcPr>
            <w:tcW w:w="1423" w:type="dxa"/>
            <w:vAlign w:val="center"/>
          </w:tcPr>
          <w:p w14:paraId="65470F41">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外置</w:t>
            </w:r>
          </w:p>
        </w:tc>
        <w:tc>
          <w:tcPr>
            <w:tcW w:w="1225" w:type="dxa"/>
            <w:vAlign w:val="center"/>
          </w:tcPr>
          <w:p w14:paraId="38C26554">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1276" w:type="dxa"/>
            <w:vAlign w:val="center"/>
          </w:tcPr>
          <w:p w14:paraId="0F87B642">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300-3000</w:t>
            </w:r>
          </w:p>
        </w:tc>
        <w:tc>
          <w:tcPr>
            <w:tcW w:w="3447" w:type="dxa"/>
            <w:vAlign w:val="center"/>
          </w:tcPr>
          <w:p w14:paraId="7FB97C04">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1134" w:type="dxa"/>
            <w:vAlign w:val="center"/>
          </w:tcPr>
          <w:p w14:paraId="061A089B">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11</w:t>
            </w:r>
          </w:p>
        </w:tc>
        <w:tc>
          <w:tcPr>
            <w:tcW w:w="2693" w:type="dxa"/>
            <w:vAlign w:val="center"/>
          </w:tcPr>
          <w:p w14:paraId="144FBFE3">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390015" cy="965835"/>
                  <wp:effectExtent l="0" t="0" r="0" b="0"/>
                  <wp:docPr id="46" name="图片 5" descr="UHF局放传感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 descr="UHF局放传感器"/>
                          <pic:cNvPicPr>
                            <a:picLocks noChangeAspect="1" noChangeArrowheads="1"/>
                          </pic:cNvPicPr>
                        </pic:nvPicPr>
                        <pic:blipFill>
                          <a:blip r:embed="rId50" cstate="print">
                            <a:extLst>
                              <a:ext uri="{28A0092B-C50C-407E-A947-70E740481C1C}">
                                <a14:useLocalDpi xmlns:a14="http://schemas.microsoft.com/office/drawing/2010/main" val="0"/>
                              </a:ext>
                            </a:extLst>
                          </a:blip>
                          <a:srcRect l="12508" t="35417" r="33275" b="14697"/>
                          <a:stretch>
                            <a:fillRect/>
                          </a:stretch>
                        </pic:blipFill>
                        <pic:spPr>
                          <a:xfrm>
                            <a:off x="0" y="0"/>
                            <a:ext cx="1390015" cy="965835"/>
                          </a:xfrm>
                          <a:prstGeom prst="rect">
                            <a:avLst/>
                          </a:prstGeom>
                          <a:noFill/>
                          <a:ln>
                            <a:noFill/>
                          </a:ln>
                        </pic:spPr>
                      </pic:pic>
                    </a:graphicData>
                  </a:graphic>
                </wp:inline>
              </w:drawing>
            </w:r>
          </w:p>
        </w:tc>
      </w:tr>
      <w:tr w14:paraId="3C226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1F32B6B0">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15</w:t>
            </w:r>
          </w:p>
        </w:tc>
        <w:tc>
          <w:tcPr>
            <w:tcW w:w="1275" w:type="dxa"/>
            <w:vAlign w:val="center"/>
          </w:tcPr>
          <w:p w14:paraId="181CE863">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上海华乘</w:t>
            </w:r>
          </w:p>
        </w:tc>
        <w:tc>
          <w:tcPr>
            <w:tcW w:w="993" w:type="dxa"/>
            <w:vAlign w:val="center"/>
          </w:tcPr>
          <w:p w14:paraId="3EE69763">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PDS-S500-U</w:t>
            </w:r>
          </w:p>
        </w:tc>
        <w:tc>
          <w:tcPr>
            <w:tcW w:w="1423" w:type="dxa"/>
            <w:vAlign w:val="center"/>
          </w:tcPr>
          <w:p w14:paraId="1FAB0FD0">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外置</w:t>
            </w:r>
          </w:p>
        </w:tc>
        <w:tc>
          <w:tcPr>
            <w:tcW w:w="1225" w:type="dxa"/>
            <w:vAlign w:val="center"/>
          </w:tcPr>
          <w:p w14:paraId="3DC43CAF">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1276" w:type="dxa"/>
            <w:vAlign w:val="center"/>
          </w:tcPr>
          <w:p w14:paraId="138CE538">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300-3000</w:t>
            </w:r>
          </w:p>
        </w:tc>
        <w:tc>
          <w:tcPr>
            <w:tcW w:w="3447" w:type="dxa"/>
            <w:vAlign w:val="center"/>
          </w:tcPr>
          <w:p w14:paraId="5375E2D5">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455420" cy="1104900"/>
                  <wp:effectExtent l="0" t="0" r="0" b="0"/>
                  <wp:docPr id="47" name="图片 15" descr="1675061388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5" descr="167506138805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455420" cy="1104900"/>
                          </a:xfrm>
                          <a:prstGeom prst="rect">
                            <a:avLst/>
                          </a:prstGeom>
                          <a:noFill/>
                          <a:ln>
                            <a:noFill/>
                          </a:ln>
                        </pic:spPr>
                      </pic:pic>
                    </a:graphicData>
                  </a:graphic>
                </wp:inline>
              </w:drawing>
            </w:r>
          </w:p>
        </w:tc>
        <w:tc>
          <w:tcPr>
            <w:tcW w:w="1134" w:type="dxa"/>
            <w:vAlign w:val="center"/>
          </w:tcPr>
          <w:p w14:paraId="2AA6D1D1">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10.41</w:t>
            </w:r>
          </w:p>
        </w:tc>
        <w:tc>
          <w:tcPr>
            <w:tcW w:w="2693" w:type="dxa"/>
            <w:vAlign w:val="center"/>
          </w:tcPr>
          <w:p w14:paraId="134CF16F">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016635" cy="760730"/>
                  <wp:effectExtent l="0" t="0" r="0" b="0"/>
                  <wp:docPr id="4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016635" cy="760730"/>
                          </a:xfrm>
                          <a:prstGeom prst="rect">
                            <a:avLst/>
                          </a:prstGeom>
                          <a:noFill/>
                          <a:ln>
                            <a:noFill/>
                          </a:ln>
                        </pic:spPr>
                      </pic:pic>
                    </a:graphicData>
                  </a:graphic>
                </wp:inline>
              </w:drawing>
            </w:r>
          </w:p>
        </w:tc>
      </w:tr>
      <w:tr w14:paraId="053A0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6E5EE6B9">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16</w:t>
            </w:r>
          </w:p>
        </w:tc>
        <w:tc>
          <w:tcPr>
            <w:tcW w:w="1275" w:type="dxa"/>
            <w:vAlign w:val="center"/>
          </w:tcPr>
          <w:p w14:paraId="0DCF6C11">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西安交通大学</w:t>
            </w:r>
          </w:p>
        </w:tc>
        <w:tc>
          <w:tcPr>
            <w:tcW w:w="993" w:type="dxa"/>
            <w:vAlign w:val="center"/>
          </w:tcPr>
          <w:p w14:paraId="3CC547CF">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特高频-光学融合传感器</w:t>
            </w:r>
          </w:p>
        </w:tc>
        <w:tc>
          <w:tcPr>
            <w:tcW w:w="1423" w:type="dxa"/>
            <w:vAlign w:val="center"/>
          </w:tcPr>
          <w:p w14:paraId="296D32F6">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内置</w:t>
            </w:r>
          </w:p>
        </w:tc>
        <w:tc>
          <w:tcPr>
            <w:tcW w:w="1225" w:type="dxa"/>
            <w:vAlign w:val="center"/>
          </w:tcPr>
          <w:p w14:paraId="52C547A6">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平板型</w:t>
            </w:r>
          </w:p>
        </w:tc>
        <w:tc>
          <w:tcPr>
            <w:tcW w:w="1276" w:type="dxa"/>
            <w:vAlign w:val="center"/>
          </w:tcPr>
          <w:p w14:paraId="264EB3BE">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300-1500</w:t>
            </w:r>
          </w:p>
        </w:tc>
        <w:tc>
          <w:tcPr>
            <w:tcW w:w="3447" w:type="dxa"/>
            <w:vAlign w:val="center"/>
          </w:tcPr>
          <w:p w14:paraId="161D57CB">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2048510" cy="1309370"/>
                  <wp:effectExtent l="0" t="0" r="0" b="0"/>
                  <wp:docPr id="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048510" cy="1309370"/>
                          </a:xfrm>
                          <a:prstGeom prst="rect">
                            <a:avLst/>
                          </a:prstGeom>
                          <a:noFill/>
                          <a:ln>
                            <a:noFill/>
                          </a:ln>
                        </pic:spPr>
                      </pic:pic>
                    </a:graphicData>
                  </a:graphic>
                </wp:inline>
              </w:drawing>
            </w:r>
          </w:p>
        </w:tc>
        <w:tc>
          <w:tcPr>
            <w:tcW w:w="1134" w:type="dxa"/>
            <w:vAlign w:val="center"/>
          </w:tcPr>
          <w:p w14:paraId="076A18A4">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p>
        </w:tc>
        <w:tc>
          <w:tcPr>
            <w:tcW w:w="2693" w:type="dxa"/>
            <w:vAlign w:val="center"/>
          </w:tcPr>
          <w:p w14:paraId="36F90F14">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572895" cy="1565275"/>
                  <wp:effectExtent l="0" t="0" r="0" b="0"/>
                  <wp:docPr id="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1572895" cy="1565275"/>
                          </a:xfrm>
                          <a:prstGeom prst="rect">
                            <a:avLst/>
                          </a:prstGeom>
                          <a:noFill/>
                          <a:ln>
                            <a:noFill/>
                          </a:ln>
                        </pic:spPr>
                      </pic:pic>
                    </a:graphicData>
                  </a:graphic>
                </wp:inline>
              </w:drawing>
            </w:r>
          </w:p>
        </w:tc>
      </w:tr>
      <w:tr w14:paraId="29380E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528FB1CE">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17</w:t>
            </w:r>
          </w:p>
        </w:tc>
        <w:tc>
          <w:tcPr>
            <w:tcW w:w="1275" w:type="dxa"/>
            <w:vAlign w:val="center"/>
          </w:tcPr>
          <w:p w14:paraId="5965771A">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西安交通大学</w:t>
            </w:r>
          </w:p>
        </w:tc>
        <w:tc>
          <w:tcPr>
            <w:tcW w:w="993" w:type="dxa"/>
            <w:vAlign w:val="center"/>
          </w:tcPr>
          <w:p w14:paraId="1CFED7D1">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过电压-特高频融合传感器</w:t>
            </w:r>
          </w:p>
        </w:tc>
        <w:tc>
          <w:tcPr>
            <w:tcW w:w="1423" w:type="dxa"/>
            <w:vAlign w:val="center"/>
          </w:tcPr>
          <w:p w14:paraId="45FE02D4">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内置</w:t>
            </w:r>
          </w:p>
        </w:tc>
        <w:tc>
          <w:tcPr>
            <w:tcW w:w="1225" w:type="dxa"/>
            <w:vAlign w:val="center"/>
          </w:tcPr>
          <w:p w14:paraId="58FA57F8">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平板型</w:t>
            </w:r>
          </w:p>
        </w:tc>
        <w:tc>
          <w:tcPr>
            <w:tcW w:w="1276" w:type="dxa"/>
            <w:vAlign w:val="center"/>
          </w:tcPr>
          <w:p w14:paraId="623E3205">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300-1500</w:t>
            </w:r>
          </w:p>
        </w:tc>
        <w:tc>
          <w:tcPr>
            <w:tcW w:w="3447" w:type="dxa"/>
            <w:vAlign w:val="center"/>
          </w:tcPr>
          <w:p w14:paraId="79B23E7E">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1938655" cy="1543685"/>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1938655" cy="1543685"/>
                          </a:xfrm>
                          <a:prstGeom prst="rect">
                            <a:avLst/>
                          </a:prstGeom>
                          <a:noFill/>
                          <a:ln>
                            <a:noFill/>
                          </a:ln>
                        </pic:spPr>
                      </pic:pic>
                    </a:graphicData>
                  </a:graphic>
                </wp:inline>
              </w:drawing>
            </w:r>
          </w:p>
        </w:tc>
        <w:tc>
          <w:tcPr>
            <w:tcW w:w="1134" w:type="dxa"/>
            <w:vAlign w:val="center"/>
          </w:tcPr>
          <w:p w14:paraId="29FFDCD4">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11.2</w:t>
            </w:r>
          </w:p>
        </w:tc>
        <w:tc>
          <w:tcPr>
            <w:tcW w:w="2693" w:type="dxa"/>
            <w:vAlign w:val="center"/>
          </w:tcPr>
          <w:p w14:paraId="71E51FC9">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object>
                <v:shape id="_x0000_i1025" o:spt="75" type="#_x0000_t75" style="height:123.85pt;width:123.55pt;" o:ole="t" filled="f" o:preferrelative="t" stroked="f" coordsize="21600,21600">
                  <v:path/>
                  <v:fill on="f" focussize="0,0"/>
                  <v:stroke on="f" joinstyle="miter"/>
                  <v:imagedata r:id="rId57" o:title=""/>
                  <o:lock v:ext="edit" aspectratio="t"/>
                  <w10:wrap type="none"/>
                  <w10:anchorlock/>
                </v:shape>
                <o:OLEObject Type="Embed" ProgID="Visio.Drawing.15" ShapeID="_x0000_i1025" DrawAspect="Content" ObjectID="_1468075725" r:id="rId56">
                  <o:LockedField>false</o:LockedField>
                </o:OLEObject>
              </w:object>
            </w:r>
          </w:p>
        </w:tc>
      </w:tr>
    </w:tbl>
    <w:p w14:paraId="70AB11FA">
      <w:pPr>
        <w:jc w:val="left"/>
        <w:rPr>
          <w:rFonts w:hint="default" w:ascii="Times New Roman" w:hAnsi="Times New Roman" w:eastAsia="仿宋_GB2312" w:cs="Times New Roman"/>
          <w:bCs/>
          <w:color w:val="000000"/>
          <w:sz w:val="28"/>
        </w:rPr>
      </w:pPr>
    </w:p>
    <w:p w14:paraId="200C706B">
      <w:pPr>
        <w:jc w:val="left"/>
        <w:rPr>
          <w:rFonts w:hint="default" w:ascii="Times New Roman" w:hAnsi="Times New Roman" w:eastAsia="仿宋_GB2312" w:cs="Times New Roman"/>
          <w:bCs/>
          <w:color w:val="000000"/>
          <w:sz w:val="28"/>
        </w:rPr>
      </w:pPr>
      <w:r>
        <w:rPr>
          <w:rFonts w:hint="default" w:ascii="Times New Roman" w:hAnsi="Times New Roman" w:eastAsia="仿宋_GB2312" w:cs="Times New Roman"/>
          <w:bCs/>
          <w:color w:val="000000"/>
          <w:sz w:val="28"/>
        </w:rPr>
        <w:br w:type="page"/>
      </w:r>
      <w:r>
        <w:rPr>
          <w:rFonts w:hint="default" w:ascii="Times New Roman" w:hAnsi="Times New Roman" w:eastAsia="仿宋_GB2312" w:cs="Times New Roman"/>
          <w:bCs/>
          <w:color w:val="000000"/>
          <w:sz w:val="28"/>
        </w:rPr>
        <w:t>附表2：变压器局部放电特高频传感器参数调研表</w:t>
      </w:r>
    </w:p>
    <w:tbl>
      <w:tblPr>
        <w:tblStyle w:val="14"/>
        <w:tblW w:w="140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1275"/>
        <w:gridCol w:w="993"/>
        <w:gridCol w:w="1423"/>
        <w:gridCol w:w="1225"/>
        <w:gridCol w:w="1276"/>
        <w:gridCol w:w="3447"/>
        <w:gridCol w:w="1134"/>
        <w:gridCol w:w="2693"/>
      </w:tblGrid>
      <w:tr w14:paraId="3A6CF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2E891B56">
            <w:pPr>
              <w:jc w:val="center"/>
              <w:rPr>
                <w:rFonts w:hint="default" w:ascii="Times New Roman" w:hAnsi="Times New Roman" w:cs="Times New Roman"/>
              </w:rPr>
            </w:pPr>
            <w:r>
              <w:rPr>
                <w:rFonts w:hint="default" w:ascii="Times New Roman" w:hAnsi="Times New Roman" w:cs="Times New Roman"/>
              </w:rPr>
              <w:t>序号</w:t>
            </w:r>
          </w:p>
        </w:tc>
        <w:tc>
          <w:tcPr>
            <w:tcW w:w="1275" w:type="dxa"/>
            <w:vAlign w:val="center"/>
          </w:tcPr>
          <w:p w14:paraId="58A16F16">
            <w:pPr>
              <w:jc w:val="center"/>
              <w:rPr>
                <w:rFonts w:hint="default" w:ascii="Times New Roman" w:hAnsi="Times New Roman" w:cs="Times New Roman"/>
              </w:rPr>
            </w:pPr>
            <w:r>
              <w:rPr>
                <w:rFonts w:hint="default" w:ascii="Times New Roman" w:hAnsi="Times New Roman" w:cs="Times New Roman"/>
              </w:rPr>
              <w:t>生产单位</w:t>
            </w:r>
          </w:p>
        </w:tc>
        <w:tc>
          <w:tcPr>
            <w:tcW w:w="993" w:type="dxa"/>
            <w:vAlign w:val="center"/>
          </w:tcPr>
          <w:p w14:paraId="1ED5EBE5">
            <w:pPr>
              <w:jc w:val="center"/>
              <w:rPr>
                <w:rFonts w:hint="default" w:ascii="Times New Roman" w:hAnsi="Times New Roman" w:cs="Times New Roman"/>
              </w:rPr>
            </w:pPr>
            <w:r>
              <w:rPr>
                <w:rFonts w:hint="default" w:ascii="Times New Roman" w:hAnsi="Times New Roman" w:cs="Times New Roman"/>
              </w:rPr>
              <w:t>特高频传感器型号</w:t>
            </w:r>
          </w:p>
        </w:tc>
        <w:tc>
          <w:tcPr>
            <w:tcW w:w="1423" w:type="dxa"/>
            <w:vAlign w:val="center"/>
          </w:tcPr>
          <w:p w14:paraId="3205A8B4">
            <w:pPr>
              <w:jc w:val="center"/>
              <w:rPr>
                <w:rFonts w:hint="default" w:ascii="Times New Roman" w:hAnsi="Times New Roman" w:cs="Times New Roman"/>
              </w:rPr>
            </w:pPr>
            <w:r>
              <w:rPr>
                <w:rFonts w:hint="default" w:ascii="Times New Roman" w:hAnsi="Times New Roman" w:cs="Times New Roman"/>
              </w:rPr>
              <w:t>传感器安装形式</w:t>
            </w:r>
          </w:p>
        </w:tc>
        <w:tc>
          <w:tcPr>
            <w:tcW w:w="1225" w:type="dxa"/>
            <w:vAlign w:val="center"/>
          </w:tcPr>
          <w:p w14:paraId="623DFF67">
            <w:pPr>
              <w:jc w:val="center"/>
              <w:rPr>
                <w:rFonts w:hint="default" w:ascii="Times New Roman" w:hAnsi="Times New Roman" w:cs="Times New Roman"/>
              </w:rPr>
            </w:pPr>
            <w:r>
              <w:rPr>
                <w:rFonts w:hint="default" w:ascii="Times New Roman" w:hAnsi="Times New Roman" w:cs="Times New Roman"/>
              </w:rPr>
              <w:t>传感器类型</w:t>
            </w:r>
          </w:p>
        </w:tc>
        <w:tc>
          <w:tcPr>
            <w:tcW w:w="1276" w:type="dxa"/>
            <w:vAlign w:val="center"/>
          </w:tcPr>
          <w:p w14:paraId="62964B9B">
            <w:pPr>
              <w:jc w:val="center"/>
              <w:rPr>
                <w:rFonts w:hint="default" w:ascii="Times New Roman" w:hAnsi="Times New Roman" w:cs="Times New Roman"/>
              </w:rPr>
            </w:pPr>
            <w:r>
              <w:rPr>
                <w:rFonts w:hint="default" w:ascii="Times New Roman" w:hAnsi="Times New Roman" w:cs="Times New Roman"/>
              </w:rPr>
              <w:t>频率响应范围</w:t>
            </w:r>
          </w:p>
          <w:p w14:paraId="464D3BBB">
            <w:pPr>
              <w:jc w:val="center"/>
              <w:rPr>
                <w:rFonts w:hint="default" w:ascii="Times New Roman" w:hAnsi="Times New Roman" w:cs="Times New Roman"/>
              </w:rPr>
            </w:pPr>
            <w:r>
              <w:rPr>
                <w:rFonts w:hint="default" w:ascii="Times New Roman" w:hAnsi="Times New Roman" w:cs="Times New Roman"/>
              </w:rPr>
              <w:t>Operating frequency (MHz)</w:t>
            </w:r>
          </w:p>
        </w:tc>
        <w:tc>
          <w:tcPr>
            <w:tcW w:w="3447" w:type="dxa"/>
            <w:vAlign w:val="center"/>
          </w:tcPr>
          <w:p w14:paraId="30A6291E">
            <w:pPr>
              <w:jc w:val="center"/>
              <w:rPr>
                <w:rFonts w:hint="default" w:ascii="Times New Roman" w:hAnsi="Times New Roman" w:cs="Times New Roman"/>
              </w:rPr>
            </w:pPr>
            <w:r>
              <w:rPr>
                <w:rFonts w:hint="default" w:ascii="Times New Roman" w:hAnsi="Times New Roman" w:cs="Times New Roman"/>
              </w:rPr>
              <w:t>有效高度</w:t>
            </w:r>
          </w:p>
        </w:tc>
        <w:tc>
          <w:tcPr>
            <w:tcW w:w="1134" w:type="dxa"/>
            <w:vAlign w:val="center"/>
          </w:tcPr>
          <w:p w14:paraId="6948DFB2">
            <w:pPr>
              <w:jc w:val="center"/>
              <w:rPr>
                <w:rFonts w:hint="default" w:ascii="Times New Roman" w:hAnsi="Times New Roman" w:cs="Times New Roman"/>
              </w:rPr>
            </w:pPr>
            <w:r>
              <w:rPr>
                <w:rFonts w:hint="default" w:ascii="Times New Roman" w:hAnsi="Times New Roman" w:cs="Times New Roman"/>
              </w:rPr>
              <w:t>平均有效高度(mm, 300MHz-1500MHz)</w:t>
            </w:r>
          </w:p>
        </w:tc>
        <w:tc>
          <w:tcPr>
            <w:tcW w:w="2693" w:type="dxa"/>
            <w:vAlign w:val="center"/>
          </w:tcPr>
          <w:p w14:paraId="166BDFA6">
            <w:pPr>
              <w:jc w:val="center"/>
              <w:rPr>
                <w:rFonts w:hint="default" w:ascii="Times New Roman" w:hAnsi="Times New Roman" w:cs="Times New Roman"/>
              </w:rPr>
            </w:pPr>
            <w:r>
              <w:rPr>
                <w:rFonts w:hint="default" w:ascii="Times New Roman" w:hAnsi="Times New Roman" w:cs="Times New Roman"/>
              </w:rPr>
              <w:t>实物图</w:t>
            </w:r>
          </w:p>
        </w:tc>
      </w:tr>
      <w:tr w14:paraId="544BD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794CCFFB">
            <w:pPr>
              <w:jc w:val="center"/>
              <w:rPr>
                <w:rFonts w:hint="default" w:ascii="Times New Roman" w:hAnsi="Times New Roman" w:cs="Times New Roman"/>
              </w:rPr>
            </w:pPr>
            <w:r>
              <w:rPr>
                <w:rFonts w:hint="default" w:ascii="Times New Roman" w:hAnsi="Times New Roman" w:cs="Times New Roman"/>
              </w:rPr>
              <w:t>1</w:t>
            </w:r>
          </w:p>
        </w:tc>
        <w:tc>
          <w:tcPr>
            <w:tcW w:w="1275" w:type="dxa"/>
            <w:vAlign w:val="center"/>
          </w:tcPr>
          <w:p w14:paraId="226F878B">
            <w:pPr>
              <w:jc w:val="center"/>
              <w:rPr>
                <w:rFonts w:hint="default" w:ascii="Times New Roman" w:hAnsi="Times New Roman" w:cs="Times New Roman"/>
              </w:rPr>
            </w:pPr>
            <w:r>
              <w:rPr>
                <w:rFonts w:hint="default" w:ascii="Times New Roman" w:hAnsi="Times New Roman" w:cs="Times New Roman"/>
              </w:rPr>
              <w:t>西安茂荣</w:t>
            </w:r>
          </w:p>
        </w:tc>
        <w:tc>
          <w:tcPr>
            <w:tcW w:w="993" w:type="dxa"/>
            <w:vAlign w:val="center"/>
          </w:tcPr>
          <w:p w14:paraId="1FF94C9C">
            <w:pPr>
              <w:jc w:val="center"/>
              <w:rPr>
                <w:rFonts w:hint="default" w:ascii="Times New Roman" w:hAnsi="Times New Roman" w:cs="Times New Roman"/>
              </w:rPr>
            </w:pPr>
            <w:r>
              <w:rPr>
                <w:rFonts w:hint="default" w:ascii="Times New Roman" w:hAnsi="Times New Roman" w:cs="Times New Roman"/>
              </w:rPr>
              <w:t>-</w:t>
            </w:r>
          </w:p>
        </w:tc>
        <w:tc>
          <w:tcPr>
            <w:tcW w:w="1423" w:type="dxa"/>
            <w:vAlign w:val="center"/>
          </w:tcPr>
          <w:p w14:paraId="772BC039">
            <w:pPr>
              <w:jc w:val="center"/>
              <w:rPr>
                <w:rFonts w:hint="default" w:ascii="Times New Roman" w:hAnsi="Times New Roman" w:cs="Times New Roman"/>
              </w:rPr>
            </w:pPr>
            <w:r>
              <w:rPr>
                <w:rFonts w:hint="default" w:ascii="Times New Roman" w:hAnsi="Times New Roman" w:cs="Times New Roman"/>
              </w:rPr>
              <w:t>油阀植入</w:t>
            </w:r>
          </w:p>
        </w:tc>
        <w:tc>
          <w:tcPr>
            <w:tcW w:w="1225" w:type="dxa"/>
            <w:vAlign w:val="center"/>
          </w:tcPr>
          <w:p w14:paraId="57576347">
            <w:pPr>
              <w:jc w:val="center"/>
              <w:rPr>
                <w:rFonts w:hint="default" w:ascii="Times New Roman" w:hAnsi="Times New Roman" w:cs="Times New Roman"/>
              </w:rPr>
            </w:pPr>
            <w:r>
              <w:rPr>
                <w:rFonts w:hint="default" w:ascii="Times New Roman" w:hAnsi="Times New Roman" w:cs="Times New Roman"/>
              </w:rPr>
              <w:t>-</w:t>
            </w:r>
          </w:p>
        </w:tc>
        <w:tc>
          <w:tcPr>
            <w:tcW w:w="1276" w:type="dxa"/>
            <w:vAlign w:val="center"/>
          </w:tcPr>
          <w:p w14:paraId="27C4A9CC">
            <w:pPr>
              <w:jc w:val="center"/>
              <w:rPr>
                <w:rFonts w:hint="default" w:ascii="Times New Roman" w:hAnsi="Times New Roman" w:cs="Times New Roman"/>
              </w:rPr>
            </w:pPr>
            <w:r>
              <w:rPr>
                <w:rFonts w:hint="default" w:ascii="Times New Roman" w:hAnsi="Times New Roman" w:cs="Times New Roman"/>
              </w:rPr>
              <w:t>300-1500</w:t>
            </w:r>
          </w:p>
        </w:tc>
        <w:tc>
          <w:tcPr>
            <w:tcW w:w="3447" w:type="dxa"/>
            <w:vAlign w:val="center"/>
          </w:tcPr>
          <w:p w14:paraId="6088BCE2">
            <w:pPr>
              <w:jc w:val="center"/>
              <w:rPr>
                <w:rFonts w:hint="default" w:ascii="Times New Roman" w:hAnsi="Times New Roman" w:cs="Times New Roman"/>
              </w:rPr>
            </w:pPr>
            <w:r>
              <w:rPr>
                <w:rFonts w:hint="default" w:ascii="Times New Roman" w:hAnsi="Times New Roman" w:cs="Times New Roman"/>
              </w:rPr>
              <w:drawing>
                <wp:inline distT="0" distB="0" distL="0" distR="0">
                  <wp:extent cx="2063115" cy="1675130"/>
                  <wp:effectExtent l="0" t="0" r="0" b="0"/>
                  <wp:docPr id="4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063115" cy="1675130"/>
                          </a:xfrm>
                          <a:prstGeom prst="rect">
                            <a:avLst/>
                          </a:prstGeom>
                          <a:noFill/>
                          <a:ln>
                            <a:noFill/>
                          </a:ln>
                          <a:effectLst/>
                        </pic:spPr>
                      </pic:pic>
                    </a:graphicData>
                  </a:graphic>
                </wp:inline>
              </w:drawing>
            </w:r>
          </w:p>
        </w:tc>
        <w:tc>
          <w:tcPr>
            <w:tcW w:w="1134" w:type="dxa"/>
            <w:vAlign w:val="center"/>
          </w:tcPr>
          <w:p w14:paraId="51A969FB">
            <w:pPr>
              <w:jc w:val="center"/>
              <w:rPr>
                <w:rFonts w:hint="default" w:ascii="Times New Roman" w:hAnsi="Times New Roman" w:cs="Times New Roman"/>
              </w:rPr>
            </w:pPr>
            <w:r>
              <w:rPr>
                <w:rFonts w:hint="default" w:ascii="Times New Roman" w:hAnsi="Times New Roman" w:cs="Times New Roman"/>
              </w:rPr>
              <w:t>15.39</w:t>
            </w:r>
          </w:p>
        </w:tc>
        <w:tc>
          <w:tcPr>
            <w:tcW w:w="2693" w:type="dxa"/>
            <w:vAlign w:val="center"/>
          </w:tcPr>
          <w:p w14:paraId="147DE758">
            <w:pPr>
              <w:jc w:val="center"/>
              <w:rPr>
                <w:rFonts w:hint="default" w:ascii="Times New Roman" w:hAnsi="Times New Roman" w:cs="Times New Roman"/>
              </w:rPr>
            </w:pPr>
            <w:r>
              <w:rPr>
                <w:rFonts w:hint="default" w:ascii="Times New Roman" w:hAnsi="Times New Roman" w:cs="Times New Roman"/>
              </w:rPr>
              <w:drawing>
                <wp:inline distT="0" distB="0" distL="0" distR="0">
                  <wp:extent cx="1572895" cy="1529080"/>
                  <wp:effectExtent l="0" t="0" r="0" b="0"/>
                  <wp:docPr id="5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1572895" cy="1529080"/>
                          </a:xfrm>
                          <a:prstGeom prst="rect">
                            <a:avLst/>
                          </a:prstGeom>
                          <a:noFill/>
                          <a:ln>
                            <a:noFill/>
                          </a:ln>
                        </pic:spPr>
                      </pic:pic>
                    </a:graphicData>
                  </a:graphic>
                </wp:inline>
              </w:drawing>
            </w:r>
          </w:p>
        </w:tc>
      </w:tr>
      <w:tr w14:paraId="2F012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4CBB8E32">
            <w:pPr>
              <w:jc w:val="center"/>
              <w:rPr>
                <w:rFonts w:hint="default" w:ascii="Times New Roman" w:hAnsi="Times New Roman" w:cs="Times New Roman"/>
              </w:rPr>
            </w:pPr>
            <w:r>
              <w:rPr>
                <w:rFonts w:hint="default" w:ascii="Times New Roman" w:hAnsi="Times New Roman" w:cs="Times New Roman"/>
              </w:rPr>
              <w:t>2</w:t>
            </w:r>
          </w:p>
        </w:tc>
        <w:tc>
          <w:tcPr>
            <w:tcW w:w="1275" w:type="dxa"/>
            <w:vAlign w:val="center"/>
          </w:tcPr>
          <w:p w14:paraId="3D002F1F">
            <w:pPr>
              <w:jc w:val="center"/>
              <w:rPr>
                <w:rFonts w:hint="default" w:ascii="Times New Roman" w:hAnsi="Times New Roman" w:cs="Times New Roman"/>
              </w:rPr>
            </w:pPr>
            <w:r>
              <w:rPr>
                <w:rFonts w:hint="default" w:ascii="Times New Roman" w:hAnsi="Times New Roman" w:cs="Times New Roman"/>
              </w:rPr>
              <w:t>山西国盟</w:t>
            </w:r>
          </w:p>
        </w:tc>
        <w:tc>
          <w:tcPr>
            <w:tcW w:w="993" w:type="dxa"/>
            <w:vAlign w:val="center"/>
          </w:tcPr>
          <w:p w14:paraId="3E20A98C">
            <w:pPr>
              <w:jc w:val="center"/>
              <w:rPr>
                <w:rFonts w:hint="default" w:ascii="Times New Roman" w:hAnsi="Times New Roman" w:cs="Times New Roman"/>
              </w:rPr>
            </w:pPr>
            <w:r>
              <w:rPr>
                <w:rFonts w:hint="default" w:ascii="Times New Roman" w:hAnsi="Times New Roman" w:cs="Times New Roman"/>
              </w:rPr>
              <w:t>PDU-T1</w:t>
            </w:r>
          </w:p>
        </w:tc>
        <w:tc>
          <w:tcPr>
            <w:tcW w:w="1423" w:type="dxa"/>
            <w:vAlign w:val="center"/>
          </w:tcPr>
          <w:p w14:paraId="097BE18B">
            <w:pPr>
              <w:jc w:val="center"/>
              <w:rPr>
                <w:rFonts w:hint="default" w:ascii="Times New Roman" w:hAnsi="Times New Roman" w:cs="Times New Roman"/>
              </w:rPr>
            </w:pPr>
            <w:r>
              <w:rPr>
                <w:rFonts w:hint="default" w:ascii="Times New Roman" w:hAnsi="Times New Roman" w:cs="Times New Roman"/>
              </w:rPr>
              <w:t>油阀植入</w:t>
            </w:r>
          </w:p>
        </w:tc>
        <w:tc>
          <w:tcPr>
            <w:tcW w:w="1225" w:type="dxa"/>
            <w:vAlign w:val="center"/>
          </w:tcPr>
          <w:p w14:paraId="7916ED78">
            <w:pPr>
              <w:jc w:val="center"/>
              <w:rPr>
                <w:rFonts w:hint="default" w:ascii="Times New Roman" w:hAnsi="Times New Roman" w:cs="Times New Roman"/>
              </w:rPr>
            </w:pPr>
            <w:r>
              <w:rPr>
                <w:rFonts w:hint="default" w:ascii="Times New Roman" w:hAnsi="Times New Roman" w:cs="Times New Roman"/>
              </w:rPr>
              <w:t>-</w:t>
            </w:r>
          </w:p>
        </w:tc>
        <w:tc>
          <w:tcPr>
            <w:tcW w:w="1276" w:type="dxa"/>
            <w:vAlign w:val="center"/>
          </w:tcPr>
          <w:p w14:paraId="7E463CCB">
            <w:pPr>
              <w:jc w:val="center"/>
              <w:rPr>
                <w:rFonts w:hint="default" w:ascii="Times New Roman" w:hAnsi="Times New Roman" w:cs="Times New Roman"/>
              </w:rPr>
            </w:pPr>
            <w:r>
              <w:rPr>
                <w:rFonts w:hint="default" w:ascii="Times New Roman" w:hAnsi="Times New Roman" w:cs="Times New Roman"/>
              </w:rPr>
              <w:t>-</w:t>
            </w:r>
          </w:p>
        </w:tc>
        <w:tc>
          <w:tcPr>
            <w:tcW w:w="3447" w:type="dxa"/>
            <w:vAlign w:val="center"/>
          </w:tcPr>
          <w:p w14:paraId="706E208A">
            <w:pPr>
              <w:jc w:val="center"/>
              <w:rPr>
                <w:rFonts w:hint="default" w:ascii="Times New Roman" w:hAnsi="Times New Roman" w:cs="Times New Roman"/>
              </w:rPr>
            </w:pPr>
            <w:r>
              <w:rPr>
                <w:rFonts w:hint="default" w:ascii="Times New Roman" w:hAnsi="Times New Roman" w:cs="Times New Roman"/>
              </w:rPr>
              <w:t>-</w:t>
            </w:r>
          </w:p>
        </w:tc>
        <w:tc>
          <w:tcPr>
            <w:tcW w:w="1134" w:type="dxa"/>
            <w:vAlign w:val="center"/>
          </w:tcPr>
          <w:p w14:paraId="4B094EA0">
            <w:pPr>
              <w:jc w:val="center"/>
              <w:rPr>
                <w:rFonts w:hint="default" w:ascii="Times New Roman" w:hAnsi="Times New Roman" w:cs="Times New Roman"/>
              </w:rPr>
            </w:pPr>
            <w:r>
              <w:rPr>
                <w:rFonts w:hint="default" w:ascii="Times New Roman" w:hAnsi="Times New Roman" w:cs="Times New Roman"/>
              </w:rPr>
              <w:t>16.2</w:t>
            </w:r>
          </w:p>
        </w:tc>
        <w:tc>
          <w:tcPr>
            <w:tcW w:w="2693" w:type="dxa"/>
            <w:vAlign w:val="center"/>
          </w:tcPr>
          <w:p w14:paraId="3E368C62">
            <w:pPr>
              <w:jc w:val="center"/>
              <w:rPr>
                <w:rFonts w:hint="default" w:ascii="Times New Roman" w:hAnsi="Times New Roman" w:cs="Times New Roman"/>
              </w:rPr>
            </w:pPr>
            <w:r>
              <w:rPr>
                <w:rFonts w:hint="default" w:ascii="Times New Roman" w:hAnsi="Times New Roman" w:cs="Times New Roman"/>
              </w:rPr>
              <w:drawing>
                <wp:inline distT="0" distB="0" distL="0" distR="0">
                  <wp:extent cx="1111885" cy="600075"/>
                  <wp:effectExtent l="0" t="0" r="0" b="0"/>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1111885" cy="600075"/>
                          </a:xfrm>
                          <a:prstGeom prst="rect">
                            <a:avLst/>
                          </a:prstGeom>
                          <a:noFill/>
                          <a:ln>
                            <a:noFill/>
                          </a:ln>
                        </pic:spPr>
                      </pic:pic>
                    </a:graphicData>
                  </a:graphic>
                </wp:inline>
              </w:drawing>
            </w:r>
          </w:p>
          <w:p w14:paraId="73FE6CB6">
            <w:pPr>
              <w:jc w:val="center"/>
              <w:rPr>
                <w:rFonts w:hint="default" w:ascii="Times New Roman" w:hAnsi="Times New Roman" w:cs="Times New Roman"/>
              </w:rPr>
            </w:pPr>
            <w:r>
              <w:rPr>
                <w:rFonts w:hint="default" w:ascii="Times New Roman" w:hAnsi="Times New Roman" w:cs="Times New Roman"/>
              </w:rPr>
              <w:drawing>
                <wp:inline distT="0" distB="0" distL="0" distR="0">
                  <wp:extent cx="1119505" cy="621665"/>
                  <wp:effectExtent l="0" t="0" r="0" b="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1119505" cy="621665"/>
                          </a:xfrm>
                          <a:prstGeom prst="rect">
                            <a:avLst/>
                          </a:prstGeom>
                          <a:noFill/>
                          <a:ln>
                            <a:noFill/>
                          </a:ln>
                        </pic:spPr>
                      </pic:pic>
                    </a:graphicData>
                  </a:graphic>
                </wp:inline>
              </w:drawing>
            </w:r>
          </w:p>
        </w:tc>
      </w:tr>
      <w:tr w14:paraId="49CBB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2A3455C8">
            <w:pPr>
              <w:jc w:val="center"/>
              <w:rPr>
                <w:rFonts w:hint="default" w:ascii="Times New Roman" w:hAnsi="Times New Roman" w:cs="Times New Roman"/>
              </w:rPr>
            </w:pPr>
            <w:r>
              <w:rPr>
                <w:rFonts w:hint="default" w:ascii="Times New Roman" w:hAnsi="Times New Roman" w:cs="Times New Roman"/>
              </w:rPr>
              <w:t>3</w:t>
            </w:r>
          </w:p>
        </w:tc>
        <w:tc>
          <w:tcPr>
            <w:tcW w:w="1275" w:type="dxa"/>
            <w:vAlign w:val="center"/>
          </w:tcPr>
          <w:p w14:paraId="676E6CF3">
            <w:pPr>
              <w:jc w:val="center"/>
              <w:rPr>
                <w:rFonts w:hint="default" w:ascii="Times New Roman" w:hAnsi="Times New Roman" w:cs="Times New Roman"/>
              </w:rPr>
            </w:pPr>
            <w:r>
              <w:rPr>
                <w:rFonts w:hint="default" w:ascii="Times New Roman" w:hAnsi="Times New Roman" w:cs="Times New Roman"/>
              </w:rPr>
              <w:t>西安英诺威</w:t>
            </w:r>
          </w:p>
        </w:tc>
        <w:tc>
          <w:tcPr>
            <w:tcW w:w="993" w:type="dxa"/>
            <w:vAlign w:val="center"/>
          </w:tcPr>
          <w:p w14:paraId="2B1BE766">
            <w:pPr>
              <w:jc w:val="center"/>
              <w:rPr>
                <w:rFonts w:hint="default" w:ascii="Times New Roman" w:hAnsi="Times New Roman" w:cs="Times New Roman"/>
              </w:rPr>
            </w:pPr>
            <w:r>
              <w:rPr>
                <w:rFonts w:hint="default" w:ascii="Times New Roman" w:hAnsi="Times New Roman" w:cs="Times New Roman"/>
              </w:rPr>
              <w:t>-</w:t>
            </w:r>
          </w:p>
        </w:tc>
        <w:tc>
          <w:tcPr>
            <w:tcW w:w="1423" w:type="dxa"/>
            <w:vAlign w:val="center"/>
          </w:tcPr>
          <w:p w14:paraId="12520009">
            <w:pPr>
              <w:jc w:val="center"/>
              <w:rPr>
                <w:rFonts w:hint="default" w:ascii="Times New Roman" w:hAnsi="Times New Roman" w:cs="Times New Roman"/>
              </w:rPr>
            </w:pPr>
            <w:r>
              <w:rPr>
                <w:rFonts w:hint="default" w:ascii="Times New Roman" w:hAnsi="Times New Roman" w:cs="Times New Roman"/>
              </w:rPr>
              <w:t>油阀植入</w:t>
            </w:r>
          </w:p>
        </w:tc>
        <w:tc>
          <w:tcPr>
            <w:tcW w:w="1225" w:type="dxa"/>
            <w:vAlign w:val="center"/>
          </w:tcPr>
          <w:p w14:paraId="51A866C8">
            <w:pPr>
              <w:jc w:val="center"/>
              <w:rPr>
                <w:rFonts w:hint="default" w:ascii="Times New Roman" w:hAnsi="Times New Roman" w:cs="Times New Roman"/>
              </w:rPr>
            </w:pPr>
          </w:p>
        </w:tc>
        <w:tc>
          <w:tcPr>
            <w:tcW w:w="1276" w:type="dxa"/>
            <w:vAlign w:val="center"/>
          </w:tcPr>
          <w:p w14:paraId="34DDBB0A">
            <w:pPr>
              <w:jc w:val="center"/>
              <w:rPr>
                <w:rFonts w:hint="default" w:ascii="Times New Roman" w:hAnsi="Times New Roman" w:cs="Times New Roman"/>
              </w:rPr>
            </w:pPr>
            <w:r>
              <w:rPr>
                <w:rFonts w:hint="default" w:ascii="Times New Roman" w:hAnsi="Times New Roman" w:cs="Times New Roman"/>
              </w:rPr>
              <w:t>--</w:t>
            </w:r>
          </w:p>
        </w:tc>
        <w:tc>
          <w:tcPr>
            <w:tcW w:w="3447" w:type="dxa"/>
            <w:vAlign w:val="center"/>
          </w:tcPr>
          <w:p w14:paraId="65D89110">
            <w:pPr>
              <w:jc w:val="center"/>
              <w:rPr>
                <w:rFonts w:hint="default" w:ascii="Times New Roman" w:hAnsi="Times New Roman" w:cs="Times New Roman"/>
              </w:rPr>
            </w:pPr>
            <w:r>
              <w:rPr>
                <w:rFonts w:hint="default" w:ascii="Times New Roman" w:hAnsi="Times New Roman" w:cs="Times New Roman"/>
              </w:rPr>
              <w:t>-</w:t>
            </w:r>
          </w:p>
        </w:tc>
        <w:tc>
          <w:tcPr>
            <w:tcW w:w="1134" w:type="dxa"/>
            <w:vAlign w:val="center"/>
          </w:tcPr>
          <w:p w14:paraId="49743193">
            <w:pPr>
              <w:jc w:val="center"/>
              <w:rPr>
                <w:rFonts w:hint="default" w:ascii="Times New Roman" w:hAnsi="Times New Roman" w:cs="Times New Roman"/>
              </w:rPr>
            </w:pPr>
            <w:r>
              <w:rPr>
                <w:rFonts w:hint="default" w:ascii="Times New Roman" w:hAnsi="Times New Roman" w:cs="Times New Roman"/>
              </w:rPr>
              <w:t>10</w:t>
            </w:r>
          </w:p>
        </w:tc>
        <w:tc>
          <w:tcPr>
            <w:tcW w:w="2693" w:type="dxa"/>
            <w:vAlign w:val="center"/>
          </w:tcPr>
          <w:p w14:paraId="0729A4DA">
            <w:pPr>
              <w:jc w:val="center"/>
              <w:rPr>
                <w:rFonts w:hint="default" w:ascii="Times New Roman" w:hAnsi="Times New Roman" w:cs="Times New Roman"/>
              </w:rPr>
            </w:pPr>
            <w:r>
              <w:rPr>
                <w:rFonts w:hint="default" w:ascii="Times New Roman" w:hAnsi="Times New Roman" w:cs="Times New Roman"/>
              </w:rPr>
              <w:drawing>
                <wp:inline distT="0" distB="0" distL="0" distR="0">
                  <wp:extent cx="1111885" cy="504825"/>
                  <wp:effectExtent l="0" t="0" r="0" b="0"/>
                  <wp:docPr id="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1111885" cy="504825"/>
                          </a:xfrm>
                          <a:prstGeom prst="rect">
                            <a:avLst/>
                          </a:prstGeom>
                          <a:noFill/>
                          <a:ln>
                            <a:noFill/>
                          </a:ln>
                        </pic:spPr>
                      </pic:pic>
                    </a:graphicData>
                  </a:graphic>
                </wp:inline>
              </w:drawing>
            </w:r>
          </w:p>
        </w:tc>
      </w:tr>
      <w:tr w14:paraId="3FB53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1FF25A23">
            <w:pPr>
              <w:jc w:val="center"/>
              <w:rPr>
                <w:rFonts w:hint="default" w:ascii="Times New Roman" w:hAnsi="Times New Roman" w:cs="Times New Roman"/>
              </w:rPr>
            </w:pPr>
            <w:r>
              <w:rPr>
                <w:rFonts w:hint="default" w:ascii="Times New Roman" w:hAnsi="Times New Roman" w:cs="Times New Roman"/>
              </w:rPr>
              <w:t>4</w:t>
            </w:r>
          </w:p>
        </w:tc>
        <w:tc>
          <w:tcPr>
            <w:tcW w:w="1275" w:type="dxa"/>
            <w:vAlign w:val="center"/>
          </w:tcPr>
          <w:p w14:paraId="3D3A2806">
            <w:pPr>
              <w:jc w:val="center"/>
              <w:rPr>
                <w:rFonts w:hint="default" w:ascii="Times New Roman" w:hAnsi="Times New Roman" w:cs="Times New Roman"/>
              </w:rPr>
            </w:pPr>
            <w:r>
              <w:rPr>
                <w:rFonts w:hint="default" w:ascii="Times New Roman" w:hAnsi="Times New Roman" w:cs="Times New Roman"/>
              </w:rPr>
              <w:t>福建电科院</w:t>
            </w:r>
          </w:p>
        </w:tc>
        <w:tc>
          <w:tcPr>
            <w:tcW w:w="993" w:type="dxa"/>
            <w:vAlign w:val="center"/>
          </w:tcPr>
          <w:p w14:paraId="54F44529">
            <w:pPr>
              <w:jc w:val="center"/>
              <w:rPr>
                <w:rFonts w:hint="default" w:ascii="Times New Roman" w:hAnsi="Times New Roman" w:cs="Times New Roman"/>
              </w:rPr>
            </w:pPr>
            <w:r>
              <w:rPr>
                <w:rFonts w:hint="default" w:ascii="Times New Roman" w:hAnsi="Times New Roman" w:cs="Times New Roman"/>
              </w:rPr>
              <w:t>-</w:t>
            </w:r>
          </w:p>
        </w:tc>
        <w:tc>
          <w:tcPr>
            <w:tcW w:w="1423" w:type="dxa"/>
            <w:vAlign w:val="center"/>
          </w:tcPr>
          <w:p w14:paraId="0FE1E9B0">
            <w:pPr>
              <w:jc w:val="center"/>
              <w:rPr>
                <w:rFonts w:hint="default" w:ascii="Times New Roman" w:hAnsi="Times New Roman" w:cs="Times New Roman"/>
              </w:rPr>
            </w:pPr>
            <w:r>
              <w:rPr>
                <w:rFonts w:hint="default" w:ascii="Times New Roman" w:hAnsi="Times New Roman" w:cs="Times New Roman"/>
              </w:rPr>
              <w:t>预埋内置式</w:t>
            </w:r>
          </w:p>
        </w:tc>
        <w:tc>
          <w:tcPr>
            <w:tcW w:w="1225" w:type="dxa"/>
            <w:vAlign w:val="center"/>
          </w:tcPr>
          <w:p w14:paraId="6909725D">
            <w:pPr>
              <w:jc w:val="center"/>
              <w:rPr>
                <w:rFonts w:hint="default" w:ascii="Times New Roman" w:hAnsi="Times New Roman" w:cs="Times New Roman"/>
              </w:rPr>
            </w:pPr>
            <w:r>
              <w:rPr>
                <w:rFonts w:hint="default" w:ascii="Times New Roman" w:hAnsi="Times New Roman" w:cs="Times New Roman"/>
              </w:rPr>
              <w:t>-</w:t>
            </w:r>
          </w:p>
        </w:tc>
        <w:tc>
          <w:tcPr>
            <w:tcW w:w="1276" w:type="dxa"/>
            <w:vAlign w:val="center"/>
          </w:tcPr>
          <w:p w14:paraId="7D00C1D5">
            <w:pPr>
              <w:jc w:val="center"/>
              <w:rPr>
                <w:rFonts w:hint="default" w:ascii="Times New Roman" w:hAnsi="Times New Roman" w:cs="Times New Roman"/>
              </w:rPr>
            </w:pPr>
            <w:r>
              <w:rPr>
                <w:rFonts w:hint="default" w:ascii="Times New Roman" w:hAnsi="Times New Roman" w:cs="Times New Roman"/>
              </w:rPr>
              <w:t>-</w:t>
            </w:r>
          </w:p>
        </w:tc>
        <w:tc>
          <w:tcPr>
            <w:tcW w:w="3447" w:type="dxa"/>
            <w:vAlign w:val="center"/>
          </w:tcPr>
          <w:p w14:paraId="1F1225C7">
            <w:pPr>
              <w:jc w:val="center"/>
              <w:rPr>
                <w:rFonts w:hint="default" w:ascii="Times New Roman" w:hAnsi="Times New Roman" w:cs="Times New Roman"/>
              </w:rPr>
            </w:pPr>
            <w:r>
              <w:rPr>
                <w:rFonts w:hint="default" w:ascii="Times New Roman" w:hAnsi="Times New Roman" w:cs="Times New Roman"/>
              </w:rPr>
              <w:t>-</w:t>
            </w:r>
          </w:p>
        </w:tc>
        <w:tc>
          <w:tcPr>
            <w:tcW w:w="1134" w:type="dxa"/>
            <w:vAlign w:val="center"/>
          </w:tcPr>
          <w:p w14:paraId="160C033D">
            <w:pPr>
              <w:jc w:val="center"/>
              <w:rPr>
                <w:rFonts w:hint="default" w:ascii="Times New Roman" w:hAnsi="Times New Roman" w:cs="Times New Roman"/>
              </w:rPr>
            </w:pPr>
            <w:r>
              <w:rPr>
                <w:rFonts w:hint="default" w:ascii="Times New Roman" w:hAnsi="Times New Roman" w:cs="Times New Roman"/>
              </w:rPr>
              <w:t>-</w:t>
            </w:r>
          </w:p>
        </w:tc>
        <w:tc>
          <w:tcPr>
            <w:tcW w:w="2693" w:type="dxa"/>
            <w:vAlign w:val="center"/>
          </w:tcPr>
          <w:p w14:paraId="742F0AE1">
            <w:pPr>
              <w:jc w:val="center"/>
              <w:rPr>
                <w:rFonts w:hint="default" w:ascii="Times New Roman" w:hAnsi="Times New Roman" w:cs="Times New Roman"/>
                <w:sz w:val="28"/>
                <w:szCs w:val="36"/>
              </w:rPr>
            </w:pPr>
            <w:r>
              <w:rPr>
                <w:rFonts w:hint="default" w:ascii="Times New Roman" w:hAnsi="Times New Roman" w:cs="Times New Roman"/>
              </w:rPr>
              <w:drawing>
                <wp:inline distT="0" distB="0" distL="0" distR="0">
                  <wp:extent cx="1433830" cy="899795"/>
                  <wp:effectExtent l="0" t="0" r="0" b="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1433830" cy="899795"/>
                          </a:xfrm>
                          <a:prstGeom prst="rect">
                            <a:avLst/>
                          </a:prstGeom>
                          <a:noFill/>
                          <a:ln>
                            <a:noFill/>
                          </a:ln>
                        </pic:spPr>
                      </pic:pic>
                    </a:graphicData>
                  </a:graphic>
                </wp:inline>
              </w:drawing>
            </w:r>
          </w:p>
        </w:tc>
      </w:tr>
      <w:tr w14:paraId="0789E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56142E6A">
            <w:pPr>
              <w:jc w:val="center"/>
              <w:rPr>
                <w:rFonts w:hint="default" w:ascii="Times New Roman" w:hAnsi="Times New Roman" w:cs="Times New Roman"/>
              </w:rPr>
            </w:pPr>
            <w:r>
              <w:rPr>
                <w:rFonts w:hint="default" w:ascii="Times New Roman" w:hAnsi="Times New Roman" w:cs="Times New Roman"/>
              </w:rPr>
              <w:t>5</w:t>
            </w:r>
          </w:p>
        </w:tc>
        <w:tc>
          <w:tcPr>
            <w:tcW w:w="1275" w:type="dxa"/>
            <w:vAlign w:val="center"/>
          </w:tcPr>
          <w:p w14:paraId="4F566BB4">
            <w:pPr>
              <w:jc w:val="center"/>
              <w:rPr>
                <w:rFonts w:hint="default" w:ascii="Times New Roman" w:hAnsi="Times New Roman" w:cs="Times New Roman"/>
              </w:rPr>
            </w:pPr>
            <w:r>
              <w:rPr>
                <w:rFonts w:hint="default" w:ascii="Times New Roman" w:hAnsi="Times New Roman" w:cs="Times New Roman"/>
              </w:rPr>
              <w:t>苏州赛通</w:t>
            </w:r>
          </w:p>
        </w:tc>
        <w:tc>
          <w:tcPr>
            <w:tcW w:w="993" w:type="dxa"/>
            <w:vAlign w:val="center"/>
          </w:tcPr>
          <w:p w14:paraId="0B8E5E65">
            <w:pPr>
              <w:jc w:val="center"/>
              <w:rPr>
                <w:rFonts w:hint="default" w:ascii="Times New Roman" w:hAnsi="Times New Roman" w:cs="Times New Roman"/>
              </w:rPr>
            </w:pPr>
            <w:r>
              <w:rPr>
                <w:rFonts w:hint="default" w:ascii="Times New Roman" w:hAnsi="Times New Roman" w:cs="Times New Roman"/>
              </w:rPr>
              <w:t>PD-T01</w:t>
            </w:r>
          </w:p>
        </w:tc>
        <w:tc>
          <w:tcPr>
            <w:tcW w:w="1423" w:type="dxa"/>
            <w:vAlign w:val="center"/>
          </w:tcPr>
          <w:p w14:paraId="35FBE5FF">
            <w:pPr>
              <w:jc w:val="center"/>
              <w:rPr>
                <w:rFonts w:hint="default" w:ascii="Times New Roman" w:hAnsi="Times New Roman" w:cs="Times New Roman"/>
              </w:rPr>
            </w:pPr>
            <w:r>
              <w:rPr>
                <w:rFonts w:hint="default" w:ascii="Times New Roman" w:hAnsi="Times New Roman" w:cs="Times New Roman"/>
              </w:rPr>
              <w:t>预埋内置式</w:t>
            </w:r>
          </w:p>
        </w:tc>
        <w:tc>
          <w:tcPr>
            <w:tcW w:w="1225" w:type="dxa"/>
            <w:vAlign w:val="center"/>
          </w:tcPr>
          <w:p w14:paraId="1BA6A534">
            <w:pPr>
              <w:jc w:val="center"/>
              <w:rPr>
                <w:rFonts w:hint="default" w:ascii="Times New Roman" w:hAnsi="Times New Roman" w:cs="Times New Roman"/>
              </w:rPr>
            </w:pPr>
            <w:r>
              <w:rPr>
                <w:rFonts w:hint="default" w:ascii="Times New Roman" w:hAnsi="Times New Roman" w:cs="Times New Roman"/>
              </w:rPr>
              <w:t>-</w:t>
            </w:r>
          </w:p>
        </w:tc>
        <w:tc>
          <w:tcPr>
            <w:tcW w:w="1276" w:type="dxa"/>
            <w:vAlign w:val="center"/>
          </w:tcPr>
          <w:p w14:paraId="50C58B4B">
            <w:pPr>
              <w:jc w:val="center"/>
              <w:rPr>
                <w:rFonts w:hint="default" w:ascii="Times New Roman" w:hAnsi="Times New Roman" w:cs="Times New Roman"/>
              </w:rPr>
            </w:pPr>
            <w:r>
              <w:rPr>
                <w:rFonts w:hint="default" w:ascii="Times New Roman" w:hAnsi="Times New Roman" w:cs="Times New Roman"/>
              </w:rPr>
              <w:t>-</w:t>
            </w:r>
          </w:p>
        </w:tc>
        <w:tc>
          <w:tcPr>
            <w:tcW w:w="3447" w:type="dxa"/>
            <w:vAlign w:val="center"/>
          </w:tcPr>
          <w:p w14:paraId="1A9F5F4A">
            <w:pPr>
              <w:jc w:val="center"/>
              <w:rPr>
                <w:rFonts w:hint="default" w:ascii="Times New Roman" w:hAnsi="Times New Roman" w:cs="Times New Roman"/>
              </w:rPr>
            </w:pPr>
            <w:r>
              <w:rPr>
                <w:rFonts w:hint="default" w:ascii="Times New Roman" w:hAnsi="Times New Roman" w:cs="Times New Roman"/>
              </w:rPr>
              <w:t>-</w:t>
            </w:r>
          </w:p>
        </w:tc>
        <w:tc>
          <w:tcPr>
            <w:tcW w:w="1134" w:type="dxa"/>
            <w:vAlign w:val="center"/>
          </w:tcPr>
          <w:p w14:paraId="50BC7309">
            <w:pPr>
              <w:jc w:val="center"/>
              <w:rPr>
                <w:rFonts w:hint="default" w:ascii="Times New Roman" w:hAnsi="Times New Roman" w:cs="Times New Roman"/>
              </w:rPr>
            </w:pPr>
            <w:r>
              <w:rPr>
                <w:rFonts w:hint="default" w:ascii="Times New Roman" w:hAnsi="Times New Roman" w:cs="Times New Roman"/>
              </w:rPr>
              <w:t>-</w:t>
            </w:r>
          </w:p>
        </w:tc>
        <w:tc>
          <w:tcPr>
            <w:tcW w:w="2693" w:type="dxa"/>
            <w:vAlign w:val="center"/>
          </w:tcPr>
          <w:p w14:paraId="1F3332C5">
            <w:pPr>
              <w:jc w:val="center"/>
              <w:rPr>
                <w:rFonts w:hint="default" w:ascii="Times New Roman" w:hAnsi="Times New Roman" w:cs="Times New Roman"/>
              </w:rPr>
            </w:pPr>
            <w:r>
              <w:rPr>
                <w:rFonts w:hint="default" w:ascii="Times New Roman" w:hAnsi="Times New Roman" w:cs="Times New Roman"/>
              </w:rPr>
              <w:drawing>
                <wp:inline distT="0" distB="0" distL="0" distR="0">
                  <wp:extent cx="1338580" cy="833755"/>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
                          <pic:cNvPicPr>
                            <a:picLocks noChangeAspect="1" noChangeArrowheads="1"/>
                          </pic:cNvPicPr>
                        </pic:nvPicPr>
                        <pic:blipFill>
                          <a:blip r:embed="rId64">
                            <a:extLst>
                              <a:ext uri="{28A0092B-C50C-407E-A947-70E740481C1C}">
                                <a14:useLocalDpi xmlns:a14="http://schemas.microsoft.com/office/drawing/2010/main" val="0"/>
                              </a:ext>
                            </a:extLst>
                          </a:blip>
                          <a:srcRect t="27063" b="22089"/>
                          <a:stretch>
                            <a:fillRect/>
                          </a:stretch>
                        </pic:blipFill>
                        <pic:spPr>
                          <a:xfrm>
                            <a:off x="0" y="0"/>
                            <a:ext cx="1338580" cy="833755"/>
                          </a:xfrm>
                          <a:prstGeom prst="rect">
                            <a:avLst/>
                          </a:prstGeom>
                          <a:noFill/>
                          <a:ln>
                            <a:noFill/>
                          </a:ln>
                        </pic:spPr>
                      </pic:pic>
                    </a:graphicData>
                  </a:graphic>
                </wp:inline>
              </w:drawing>
            </w:r>
          </w:p>
        </w:tc>
      </w:tr>
      <w:tr w14:paraId="4F291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2D40EE9A">
            <w:pPr>
              <w:jc w:val="center"/>
              <w:rPr>
                <w:rFonts w:hint="default" w:ascii="Times New Roman" w:hAnsi="Times New Roman" w:cs="Times New Roman"/>
              </w:rPr>
            </w:pPr>
            <w:r>
              <w:rPr>
                <w:rFonts w:hint="default" w:ascii="Times New Roman" w:hAnsi="Times New Roman" w:cs="Times New Roman"/>
              </w:rPr>
              <w:t>6</w:t>
            </w:r>
          </w:p>
        </w:tc>
        <w:tc>
          <w:tcPr>
            <w:tcW w:w="1275" w:type="dxa"/>
            <w:vAlign w:val="center"/>
          </w:tcPr>
          <w:p w14:paraId="5AD58270">
            <w:pPr>
              <w:jc w:val="center"/>
              <w:rPr>
                <w:rFonts w:hint="default" w:ascii="Times New Roman" w:hAnsi="Times New Roman" w:cs="Times New Roman"/>
              </w:rPr>
            </w:pPr>
            <w:r>
              <w:rPr>
                <w:rFonts w:hint="default" w:ascii="Times New Roman" w:hAnsi="Times New Roman" w:cs="Times New Roman"/>
              </w:rPr>
              <w:t>Power Diagnostix</w:t>
            </w:r>
          </w:p>
        </w:tc>
        <w:tc>
          <w:tcPr>
            <w:tcW w:w="993" w:type="dxa"/>
            <w:vAlign w:val="center"/>
          </w:tcPr>
          <w:p w14:paraId="67BCFE2A">
            <w:pPr>
              <w:jc w:val="center"/>
              <w:rPr>
                <w:rFonts w:hint="default" w:ascii="Times New Roman" w:hAnsi="Times New Roman" w:cs="Times New Roman"/>
              </w:rPr>
            </w:pPr>
            <w:r>
              <w:rPr>
                <w:rFonts w:hint="default" w:ascii="Times New Roman" w:hAnsi="Times New Roman" w:cs="Times New Roman"/>
              </w:rPr>
              <w:t>TFS1</w:t>
            </w:r>
          </w:p>
        </w:tc>
        <w:tc>
          <w:tcPr>
            <w:tcW w:w="1423" w:type="dxa"/>
            <w:vAlign w:val="center"/>
          </w:tcPr>
          <w:p w14:paraId="6D534C1E">
            <w:pPr>
              <w:jc w:val="center"/>
              <w:rPr>
                <w:rFonts w:hint="default" w:ascii="Times New Roman" w:hAnsi="Times New Roman" w:cs="Times New Roman"/>
              </w:rPr>
            </w:pPr>
            <w:r>
              <w:rPr>
                <w:rFonts w:hint="default" w:ascii="Times New Roman" w:hAnsi="Times New Roman" w:cs="Times New Roman"/>
              </w:rPr>
              <w:t>油阀植入</w:t>
            </w:r>
          </w:p>
        </w:tc>
        <w:tc>
          <w:tcPr>
            <w:tcW w:w="1225" w:type="dxa"/>
            <w:vAlign w:val="center"/>
          </w:tcPr>
          <w:p w14:paraId="09DD3291">
            <w:pPr>
              <w:jc w:val="center"/>
              <w:rPr>
                <w:rFonts w:hint="default" w:ascii="Times New Roman" w:hAnsi="Times New Roman" w:cs="Times New Roman"/>
              </w:rPr>
            </w:pPr>
            <w:r>
              <w:rPr>
                <w:rFonts w:hint="default" w:ascii="Times New Roman" w:hAnsi="Times New Roman" w:cs="Times New Roman"/>
              </w:rPr>
              <w:t>-</w:t>
            </w:r>
          </w:p>
        </w:tc>
        <w:tc>
          <w:tcPr>
            <w:tcW w:w="1276" w:type="dxa"/>
            <w:vAlign w:val="center"/>
          </w:tcPr>
          <w:p w14:paraId="226E09FA">
            <w:pPr>
              <w:jc w:val="center"/>
              <w:rPr>
                <w:rFonts w:hint="default" w:ascii="Times New Roman" w:hAnsi="Times New Roman" w:cs="Times New Roman"/>
              </w:rPr>
            </w:pPr>
            <w:r>
              <w:rPr>
                <w:rFonts w:hint="default" w:ascii="Times New Roman" w:hAnsi="Times New Roman" w:cs="Times New Roman"/>
              </w:rPr>
              <w:t>-</w:t>
            </w:r>
          </w:p>
        </w:tc>
        <w:tc>
          <w:tcPr>
            <w:tcW w:w="3447" w:type="dxa"/>
            <w:vAlign w:val="center"/>
          </w:tcPr>
          <w:p w14:paraId="0C5E848F">
            <w:pPr>
              <w:jc w:val="center"/>
              <w:rPr>
                <w:rFonts w:hint="default" w:ascii="Times New Roman" w:hAnsi="Times New Roman" w:cs="Times New Roman"/>
              </w:rPr>
            </w:pPr>
            <w:r>
              <w:rPr>
                <w:rFonts w:hint="default" w:ascii="Times New Roman" w:hAnsi="Times New Roman" w:cs="Times New Roman"/>
              </w:rPr>
              <w:t>-</w:t>
            </w:r>
          </w:p>
        </w:tc>
        <w:tc>
          <w:tcPr>
            <w:tcW w:w="1134" w:type="dxa"/>
            <w:vAlign w:val="center"/>
          </w:tcPr>
          <w:p w14:paraId="4B66B804">
            <w:pPr>
              <w:jc w:val="center"/>
              <w:rPr>
                <w:rFonts w:hint="default" w:ascii="Times New Roman" w:hAnsi="Times New Roman" w:cs="Times New Roman"/>
              </w:rPr>
            </w:pPr>
            <w:r>
              <w:rPr>
                <w:rFonts w:hint="default" w:ascii="Times New Roman" w:hAnsi="Times New Roman" w:cs="Times New Roman"/>
              </w:rPr>
              <w:t>-</w:t>
            </w:r>
          </w:p>
        </w:tc>
        <w:tc>
          <w:tcPr>
            <w:tcW w:w="2693" w:type="dxa"/>
            <w:vAlign w:val="center"/>
          </w:tcPr>
          <w:p w14:paraId="3E21A20E">
            <w:pPr>
              <w:jc w:val="center"/>
              <w:rPr>
                <w:rFonts w:hint="default" w:ascii="Times New Roman" w:hAnsi="Times New Roman" w:cs="Times New Roman"/>
              </w:rPr>
            </w:pPr>
            <w:r>
              <w:rPr>
                <w:rFonts w:hint="default" w:ascii="Times New Roman" w:hAnsi="Times New Roman" w:cs="Times New Roman"/>
              </w:rPr>
              <w:drawing>
                <wp:inline distT="0" distB="0" distL="0" distR="0">
                  <wp:extent cx="1616710" cy="1609090"/>
                  <wp:effectExtent l="0" t="0" r="0" b="0"/>
                  <wp:docPr id="56" name="图片 56" descr="166943470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16694347030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1616710" cy="1609090"/>
                          </a:xfrm>
                          <a:prstGeom prst="rect">
                            <a:avLst/>
                          </a:prstGeom>
                          <a:noFill/>
                          <a:ln>
                            <a:noFill/>
                          </a:ln>
                        </pic:spPr>
                      </pic:pic>
                    </a:graphicData>
                  </a:graphic>
                </wp:inline>
              </w:drawing>
            </w:r>
          </w:p>
        </w:tc>
      </w:tr>
      <w:tr w14:paraId="36397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0A787A09">
            <w:pPr>
              <w:jc w:val="center"/>
              <w:rPr>
                <w:rFonts w:hint="default" w:ascii="Times New Roman" w:hAnsi="Times New Roman" w:cs="Times New Roman"/>
              </w:rPr>
            </w:pPr>
            <w:r>
              <w:rPr>
                <w:rFonts w:hint="default" w:ascii="Times New Roman" w:hAnsi="Times New Roman" w:cs="Times New Roman"/>
              </w:rPr>
              <w:t>7</w:t>
            </w:r>
          </w:p>
        </w:tc>
        <w:tc>
          <w:tcPr>
            <w:tcW w:w="1275" w:type="dxa"/>
            <w:vAlign w:val="center"/>
          </w:tcPr>
          <w:p w14:paraId="7EEEB74B">
            <w:pPr>
              <w:jc w:val="center"/>
              <w:rPr>
                <w:rFonts w:hint="default" w:ascii="Times New Roman" w:hAnsi="Times New Roman" w:cs="Times New Roman"/>
              </w:rPr>
            </w:pPr>
            <w:r>
              <w:rPr>
                <w:rFonts w:hint="default" w:ascii="Times New Roman" w:hAnsi="Times New Roman" w:cs="Times New Roman"/>
              </w:rPr>
              <w:t>Power Diagnostix</w:t>
            </w:r>
          </w:p>
        </w:tc>
        <w:tc>
          <w:tcPr>
            <w:tcW w:w="993" w:type="dxa"/>
            <w:vAlign w:val="center"/>
          </w:tcPr>
          <w:p w14:paraId="1D10EAF7">
            <w:pPr>
              <w:jc w:val="center"/>
              <w:rPr>
                <w:rFonts w:hint="default" w:ascii="Times New Roman" w:hAnsi="Times New Roman" w:cs="Times New Roman"/>
              </w:rPr>
            </w:pPr>
            <w:r>
              <w:rPr>
                <w:rFonts w:hint="default" w:ascii="Times New Roman" w:hAnsi="Times New Roman" w:cs="Times New Roman"/>
              </w:rPr>
              <w:t>TVS2</w:t>
            </w:r>
          </w:p>
        </w:tc>
        <w:tc>
          <w:tcPr>
            <w:tcW w:w="1423" w:type="dxa"/>
            <w:vAlign w:val="center"/>
          </w:tcPr>
          <w:p w14:paraId="3CBBFC2A">
            <w:pPr>
              <w:jc w:val="center"/>
              <w:rPr>
                <w:rFonts w:hint="default" w:ascii="Times New Roman" w:hAnsi="Times New Roman" w:cs="Times New Roman"/>
              </w:rPr>
            </w:pPr>
            <w:r>
              <w:rPr>
                <w:rFonts w:hint="default" w:ascii="Times New Roman" w:hAnsi="Times New Roman" w:cs="Times New Roman"/>
              </w:rPr>
              <w:t>油阀植入</w:t>
            </w:r>
          </w:p>
        </w:tc>
        <w:tc>
          <w:tcPr>
            <w:tcW w:w="1225" w:type="dxa"/>
            <w:vAlign w:val="center"/>
          </w:tcPr>
          <w:p w14:paraId="5CEACD3D">
            <w:pPr>
              <w:jc w:val="center"/>
              <w:rPr>
                <w:rFonts w:hint="default" w:ascii="Times New Roman" w:hAnsi="Times New Roman" w:cs="Times New Roman"/>
              </w:rPr>
            </w:pPr>
            <w:r>
              <w:rPr>
                <w:rFonts w:hint="default" w:ascii="Times New Roman" w:hAnsi="Times New Roman" w:cs="Times New Roman"/>
              </w:rPr>
              <w:t>-</w:t>
            </w:r>
          </w:p>
        </w:tc>
        <w:tc>
          <w:tcPr>
            <w:tcW w:w="1276" w:type="dxa"/>
            <w:vAlign w:val="center"/>
          </w:tcPr>
          <w:p w14:paraId="623C48B2">
            <w:pPr>
              <w:jc w:val="center"/>
              <w:rPr>
                <w:rFonts w:hint="default" w:ascii="Times New Roman" w:hAnsi="Times New Roman" w:cs="Times New Roman"/>
              </w:rPr>
            </w:pPr>
            <w:r>
              <w:rPr>
                <w:rFonts w:hint="default" w:ascii="Times New Roman" w:hAnsi="Times New Roman" w:cs="Times New Roman"/>
              </w:rPr>
              <w:t>-</w:t>
            </w:r>
          </w:p>
        </w:tc>
        <w:tc>
          <w:tcPr>
            <w:tcW w:w="3447" w:type="dxa"/>
            <w:vAlign w:val="center"/>
          </w:tcPr>
          <w:p w14:paraId="17B86274">
            <w:pPr>
              <w:jc w:val="center"/>
              <w:rPr>
                <w:rFonts w:hint="default" w:ascii="Times New Roman" w:hAnsi="Times New Roman" w:cs="Times New Roman"/>
              </w:rPr>
            </w:pPr>
            <w:r>
              <w:rPr>
                <w:rFonts w:hint="default" w:ascii="Times New Roman" w:hAnsi="Times New Roman" w:cs="Times New Roman"/>
              </w:rPr>
              <w:t>-</w:t>
            </w:r>
          </w:p>
        </w:tc>
        <w:tc>
          <w:tcPr>
            <w:tcW w:w="1134" w:type="dxa"/>
            <w:vAlign w:val="center"/>
          </w:tcPr>
          <w:p w14:paraId="7533D5FD">
            <w:pPr>
              <w:jc w:val="center"/>
              <w:rPr>
                <w:rFonts w:hint="default" w:ascii="Times New Roman" w:hAnsi="Times New Roman" w:cs="Times New Roman"/>
              </w:rPr>
            </w:pPr>
            <w:r>
              <w:rPr>
                <w:rFonts w:hint="default" w:ascii="Times New Roman" w:hAnsi="Times New Roman" w:cs="Times New Roman"/>
              </w:rPr>
              <w:t>-</w:t>
            </w:r>
          </w:p>
        </w:tc>
        <w:tc>
          <w:tcPr>
            <w:tcW w:w="2693" w:type="dxa"/>
            <w:vAlign w:val="center"/>
          </w:tcPr>
          <w:p w14:paraId="6D5DC2D8">
            <w:pPr>
              <w:jc w:val="center"/>
              <w:rPr>
                <w:rFonts w:hint="default" w:ascii="Times New Roman" w:hAnsi="Times New Roman" w:cs="Times New Roman"/>
              </w:rPr>
            </w:pPr>
            <w:r>
              <w:rPr>
                <w:rFonts w:hint="default" w:ascii="Times New Roman" w:hAnsi="Times New Roman" w:cs="Times New Roman"/>
                <w:sz w:val="22"/>
                <w:szCs w:val="28"/>
              </w:rPr>
              <w:drawing>
                <wp:inline distT="0" distB="0" distL="0" distR="0">
                  <wp:extent cx="833755" cy="205549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833755" cy="2055495"/>
                          </a:xfrm>
                          <a:prstGeom prst="rect">
                            <a:avLst/>
                          </a:prstGeom>
                          <a:noFill/>
                          <a:ln>
                            <a:noFill/>
                          </a:ln>
                        </pic:spPr>
                      </pic:pic>
                    </a:graphicData>
                  </a:graphic>
                </wp:inline>
              </w:drawing>
            </w:r>
          </w:p>
        </w:tc>
      </w:tr>
      <w:tr w14:paraId="4E278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1E559015">
            <w:pPr>
              <w:jc w:val="center"/>
              <w:rPr>
                <w:rFonts w:hint="default" w:ascii="Times New Roman" w:hAnsi="Times New Roman" w:cs="Times New Roman"/>
              </w:rPr>
            </w:pPr>
            <w:r>
              <w:rPr>
                <w:rFonts w:hint="default" w:ascii="Times New Roman" w:hAnsi="Times New Roman" w:cs="Times New Roman"/>
              </w:rPr>
              <w:t>8</w:t>
            </w:r>
          </w:p>
        </w:tc>
        <w:tc>
          <w:tcPr>
            <w:tcW w:w="1275" w:type="dxa"/>
            <w:vAlign w:val="center"/>
          </w:tcPr>
          <w:p w14:paraId="2EB07C81">
            <w:pPr>
              <w:jc w:val="center"/>
              <w:rPr>
                <w:rFonts w:hint="default" w:ascii="Times New Roman" w:hAnsi="Times New Roman" w:cs="Times New Roman"/>
              </w:rPr>
            </w:pPr>
            <w:r>
              <w:rPr>
                <w:rFonts w:hint="default" w:ascii="Times New Roman" w:hAnsi="Times New Roman" w:cs="Times New Roman"/>
              </w:rPr>
              <w:t>Doble</w:t>
            </w:r>
          </w:p>
        </w:tc>
        <w:tc>
          <w:tcPr>
            <w:tcW w:w="993" w:type="dxa"/>
            <w:vAlign w:val="center"/>
          </w:tcPr>
          <w:p w14:paraId="18A08A53">
            <w:pPr>
              <w:jc w:val="center"/>
              <w:rPr>
                <w:rFonts w:hint="default" w:ascii="Times New Roman" w:hAnsi="Times New Roman" w:cs="Times New Roman"/>
              </w:rPr>
            </w:pPr>
            <w:r>
              <w:rPr>
                <w:rFonts w:hint="default" w:ascii="Times New Roman" w:hAnsi="Times New Roman" w:cs="Times New Roman"/>
              </w:rPr>
              <w:t>-</w:t>
            </w:r>
          </w:p>
        </w:tc>
        <w:tc>
          <w:tcPr>
            <w:tcW w:w="1423" w:type="dxa"/>
            <w:vAlign w:val="center"/>
          </w:tcPr>
          <w:p w14:paraId="0FEC647E">
            <w:pPr>
              <w:jc w:val="center"/>
              <w:rPr>
                <w:rFonts w:hint="default" w:ascii="Times New Roman" w:hAnsi="Times New Roman" w:cs="Times New Roman"/>
              </w:rPr>
            </w:pPr>
            <w:r>
              <w:rPr>
                <w:rFonts w:hint="default" w:ascii="Times New Roman" w:hAnsi="Times New Roman" w:cs="Times New Roman"/>
              </w:rPr>
              <w:t>油阀植入</w:t>
            </w:r>
          </w:p>
        </w:tc>
        <w:tc>
          <w:tcPr>
            <w:tcW w:w="1225" w:type="dxa"/>
            <w:vAlign w:val="center"/>
          </w:tcPr>
          <w:p w14:paraId="6C2E963C">
            <w:pPr>
              <w:jc w:val="center"/>
              <w:rPr>
                <w:rFonts w:hint="default" w:ascii="Times New Roman" w:hAnsi="Times New Roman" w:cs="Times New Roman"/>
              </w:rPr>
            </w:pPr>
            <w:r>
              <w:rPr>
                <w:rFonts w:hint="default" w:ascii="Times New Roman" w:hAnsi="Times New Roman" w:cs="Times New Roman"/>
              </w:rPr>
              <w:t>-</w:t>
            </w:r>
          </w:p>
        </w:tc>
        <w:tc>
          <w:tcPr>
            <w:tcW w:w="1276" w:type="dxa"/>
            <w:vAlign w:val="center"/>
          </w:tcPr>
          <w:p w14:paraId="0E2A3FE0">
            <w:pPr>
              <w:jc w:val="center"/>
              <w:rPr>
                <w:rFonts w:hint="default" w:ascii="Times New Roman" w:hAnsi="Times New Roman" w:cs="Times New Roman"/>
              </w:rPr>
            </w:pPr>
            <w:r>
              <w:rPr>
                <w:rFonts w:hint="default" w:ascii="Times New Roman" w:hAnsi="Times New Roman" w:cs="Times New Roman"/>
              </w:rPr>
              <w:t>-</w:t>
            </w:r>
          </w:p>
        </w:tc>
        <w:tc>
          <w:tcPr>
            <w:tcW w:w="3447" w:type="dxa"/>
            <w:vAlign w:val="center"/>
          </w:tcPr>
          <w:p w14:paraId="3D238B9F">
            <w:pPr>
              <w:jc w:val="center"/>
              <w:rPr>
                <w:rFonts w:hint="default" w:ascii="Times New Roman" w:hAnsi="Times New Roman" w:cs="Times New Roman"/>
              </w:rPr>
            </w:pPr>
            <w:r>
              <w:rPr>
                <w:rFonts w:hint="default" w:ascii="Times New Roman" w:hAnsi="Times New Roman" w:cs="Times New Roman"/>
              </w:rPr>
              <w:t>-</w:t>
            </w:r>
          </w:p>
        </w:tc>
        <w:tc>
          <w:tcPr>
            <w:tcW w:w="1134" w:type="dxa"/>
            <w:vAlign w:val="center"/>
          </w:tcPr>
          <w:p w14:paraId="4321795B">
            <w:pPr>
              <w:jc w:val="center"/>
              <w:rPr>
                <w:rFonts w:hint="default" w:ascii="Times New Roman" w:hAnsi="Times New Roman" w:cs="Times New Roman"/>
              </w:rPr>
            </w:pPr>
            <w:r>
              <w:rPr>
                <w:rFonts w:hint="default" w:ascii="Times New Roman" w:hAnsi="Times New Roman" w:cs="Times New Roman"/>
              </w:rPr>
              <w:t>-</w:t>
            </w:r>
          </w:p>
        </w:tc>
        <w:tc>
          <w:tcPr>
            <w:tcW w:w="2693" w:type="dxa"/>
            <w:vAlign w:val="center"/>
          </w:tcPr>
          <w:p w14:paraId="43A7B5F2">
            <w:pPr>
              <w:jc w:val="center"/>
              <w:rPr>
                <w:rFonts w:hint="default" w:ascii="Times New Roman" w:hAnsi="Times New Roman" w:cs="Times New Roman"/>
              </w:rPr>
            </w:pPr>
            <w:r>
              <w:rPr>
                <w:rFonts w:hint="default" w:ascii="Times New Roman" w:hAnsi="Times New Roman" w:cs="Times New Roman"/>
                <w:sz w:val="22"/>
                <w:szCs w:val="28"/>
              </w:rPr>
              <w:drawing>
                <wp:inline distT="0" distB="0" distL="0" distR="0">
                  <wp:extent cx="1644650" cy="745490"/>
                  <wp:effectExtent l="0" t="0" r="0" b="0"/>
                  <wp:docPr id="3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1644650" cy="745490"/>
                          </a:xfrm>
                          <a:prstGeom prst="rect">
                            <a:avLst/>
                          </a:prstGeom>
                          <a:noFill/>
                        </pic:spPr>
                      </pic:pic>
                    </a:graphicData>
                  </a:graphic>
                </wp:inline>
              </w:drawing>
            </w:r>
          </w:p>
        </w:tc>
      </w:tr>
      <w:tr w14:paraId="64A5A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0267A1C1">
            <w:pPr>
              <w:jc w:val="center"/>
              <w:rPr>
                <w:rFonts w:hint="default" w:ascii="Times New Roman" w:hAnsi="Times New Roman" w:cs="Times New Roman"/>
              </w:rPr>
            </w:pPr>
            <w:r>
              <w:rPr>
                <w:rFonts w:hint="default" w:ascii="Times New Roman" w:hAnsi="Times New Roman" w:cs="Times New Roman"/>
              </w:rPr>
              <w:t>9</w:t>
            </w:r>
          </w:p>
        </w:tc>
        <w:tc>
          <w:tcPr>
            <w:tcW w:w="1275" w:type="dxa"/>
            <w:vAlign w:val="center"/>
          </w:tcPr>
          <w:p w14:paraId="044EF87C">
            <w:pPr>
              <w:jc w:val="center"/>
              <w:rPr>
                <w:rFonts w:hint="default" w:ascii="Times New Roman" w:hAnsi="Times New Roman" w:cs="Times New Roman"/>
              </w:rPr>
            </w:pPr>
            <w:r>
              <w:rPr>
                <w:rFonts w:hint="default" w:ascii="Times New Roman" w:hAnsi="Times New Roman" w:cs="Times New Roman"/>
              </w:rPr>
              <w:t>Doble</w:t>
            </w:r>
          </w:p>
        </w:tc>
        <w:tc>
          <w:tcPr>
            <w:tcW w:w="993" w:type="dxa"/>
            <w:vAlign w:val="center"/>
          </w:tcPr>
          <w:p w14:paraId="351409B4">
            <w:pPr>
              <w:jc w:val="center"/>
              <w:rPr>
                <w:rFonts w:hint="default" w:ascii="Times New Roman" w:hAnsi="Times New Roman" w:cs="Times New Roman"/>
              </w:rPr>
            </w:pPr>
            <w:r>
              <w:rPr>
                <w:rFonts w:hint="default" w:ascii="Times New Roman" w:hAnsi="Times New Roman" w:cs="Times New Roman"/>
              </w:rPr>
              <w:t>-</w:t>
            </w:r>
          </w:p>
        </w:tc>
        <w:tc>
          <w:tcPr>
            <w:tcW w:w="1423" w:type="dxa"/>
            <w:vAlign w:val="center"/>
          </w:tcPr>
          <w:p w14:paraId="23BAE51F">
            <w:pPr>
              <w:jc w:val="center"/>
              <w:rPr>
                <w:rFonts w:hint="default" w:ascii="Times New Roman" w:hAnsi="Times New Roman" w:cs="Times New Roman"/>
              </w:rPr>
            </w:pPr>
            <w:r>
              <w:rPr>
                <w:rFonts w:hint="default" w:ascii="Times New Roman" w:hAnsi="Times New Roman" w:cs="Times New Roman"/>
              </w:rPr>
              <w:t>预埋内置式</w:t>
            </w:r>
          </w:p>
        </w:tc>
        <w:tc>
          <w:tcPr>
            <w:tcW w:w="1225" w:type="dxa"/>
            <w:vAlign w:val="center"/>
          </w:tcPr>
          <w:p w14:paraId="745BD72D">
            <w:pPr>
              <w:jc w:val="center"/>
              <w:rPr>
                <w:rFonts w:hint="default" w:ascii="Times New Roman" w:hAnsi="Times New Roman" w:cs="Times New Roman"/>
              </w:rPr>
            </w:pPr>
          </w:p>
        </w:tc>
        <w:tc>
          <w:tcPr>
            <w:tcW w:w="1276" w:type="dxa"/>
            <w:vAlign w:val="center"/>
          </w:tcPr>
          <w:p w14:paraId="7E3C51E9">
            <w:pPr>
              <w:jc w:val="center"/>
              <w:rPr>
                <w:rFonts w:hint="default" w:ascii="Times New Roman" w:hAnsi="Times New Roman" w:cs="Times New Roman"/>
              </w:rPr>
            </w:pPr>
          </w:p>
        </w:tc>
        <w:tc>
          <w:tcPr>
            <w:tcW w:w="3447" w:type="dxa"/>
            <w:vAlign w:val="center"/>
          </w:tcPr>
          <w:p w14:paraId="73EF2C15">
            <w:pPr>
              <w:jc w:val="center"/>
              <w:rPr>
                <w:rFonts w:hint="default" w:ascii="Times New Roman" w:hAnsi="Times New Roman" w:cs="Times New Roman"/>
              </w:rPr>
            </w:pPr>
          </w:p>
        </w:tc>
        <w:tc>
          <w:tcPr>
            <w:tcW w:w="1134" w:type="dxa"/>
            <w:vAlign w:val="center"/>
          </w:tcPr>
          <w:p w14:paraId="6766FDFA">
            <w:pPr>
              <w:jc w:val="center"/>
              <w:rPr>
                <w:rFonts w:hint="default" w:ascii="Times New Roman" w:hAnsi="Times New Roman" w:cs="Times New Roman"/>
              </w:rPr>
            </w:pPr>
          </w:p>
        </w:tc>
        <w:tc>
          <w:tcPr>
            <w:tcW w:w="2693" w:type="dxa"/>
            <w:vAlign w:val="center"/>
          </w:tcPr>
          <w:p w14:paraId="40EC8EB6">
            <w:pPr>
              <w:jc w:val="center"/>
              <w:rPr>
                <w:rFonts w:hint="default" w:ascii="Times New Roman" w:hAnsi="Times New Roman" w:cs="Times New Roman"/>
                <w:sz w:val="22"/>
                <w:szCs w:val="28"/>
              </w:rPr>
            </w:pPr>
            <w:r>
              <w:rPr>
                <w:rFonts w:hint="default" w:ascii="Times New Roman" w:hAnsi="Times New Roman" w:cs="Times New Roman"/>
                <w:sz w:val="22"/>
                <w:szCs w:val="28"/>
              </w:rPr>
              <w:drawing>
                <wp:inline distT="0" distB="0" distL="0" distR="0">
                  <wp:extent cx="1257935" cy="1169035"/>
                  <wp:effectExtent l="0" t="0" r="0" b="0"/>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1257935" cy="1169035"/>
                          </a:xfrm>
                          <a:prstGeom prst="rect">
                            <a:avLst/>
                          </a:prstGeom>
                          <a:noFill/>
                        </pic:spPr>
                      </pic:pic>
                    </a:graphicData>
                  </a:graphic>
                </wp:inline>
              </w:drawing>
            </w:r>
          </w:p>
        </w:tc>
      </w:tr>
      <w:tr w14:paraId="1BC07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4E5E650E">
            <w:pPr>
              <w:jc w:val="center"/>
              <w:rPr>
                <w:rFonts w:hint="default" w:ascii="Times New Roman" w:hAnsi="Times New Roman" w:cs="Times New Roman"/>
              </w:rPr>
            </w:pPr>
            <w:r>
              <w:rPr>
                <w:rFonts w:hint="default" w:ascii="Times New Roman" w:hAnsi="Times New Roman" w:cs="Times New Roman"/>
              </w:rPr>
              <w:t>10</w:t>
            </w:r>
          </w:p>
        </w:tc>
        <w:tc>
          <w:tcPr>
            <w:tcW w:w="1275" w:type="dxa"/>
            <w:vAlign w:val="center"/>
          </w:tcPr>
          <w:p w14:paraId="4B0A6B47">
            <w:pPr>
              <w:jc w:val="center"/>
              <w:rPr>
                <w:rFonts w:hint="default" w:ascii="Times New Roman" w:hAnsi="Times New Roman" w:cs="Times New Roman"/>
              </w:rPr>
            </w:pPr>
            <w:r>
              <w:rPr>
                <w:rFonts w:hint="default" w:ascii="Times New Roman" w:hAnsi="Times New Roman" w:cs="Times New Roman"/>
              </w:rPr>
              <w:t>Doble</w:t>
            </w:r>
          </w:p>
        </w:tc>
        <w:tc>
          <w:tcPr>
            <w:tcW w:w="993" w:type="dxa"/>
            <w:vAlign w:val="center"/>
          </w:tcPr>
          <w:p w14:paraId="14192455">
            <w:pPr>
              <w:jc w:val="center"/>
              <w:rPr>
                <w:rFonts w:hint="default" w:ascii="Times New Roman" w:hAnsi="Times New Roman" w:cs="Times New Roman"/>
              </w:rPr>
            </w:pPr>
          </w:p>
        </w:tc>
        <w:tc>
          <w:tcPr>
            <w:tcW w:w="1423" w:type="dxa"/>
            <w:vAlign w:val="center"/>
          </w:tcPr>
          <w:p w14:paraId="6AEF4691">
            <w:pPr>
              <w:jc w:val="center"/>
              <w:rPr>
                <w:rFonts w:hint="default" w:ascii="Times New Roman" w:hAnsi="Times New Roman" w:cs="Times New Roman"/>
              </w:rPr>
            </w:pPr>
            <w:r>
              <w:rPr>
                <w:rFonts w:hint="default" w:ascii="Times New Roman" w:hAnsi="Times New Roman" w:cs="Times New Roman"/>
              </w:rPr>
              <w:t>预埋内置式</w:t>
            </w:r>
          </w:p>
        </w:tc>
        <w:tc>
          <w:tcPr>
            <w:tcW w:w="1225" w:type="dxa"/>
            <w:vAlign w:val="center"/>
          </w:tcPr>
          <w:p w14:paraId="2BE1F7E5">
            <w:pPr>
              <w:jc w:val="center"/>
              <w:rPr>
                <w:rFonts w:hint="default" w:ascii="Times New Roman" w:hAnsi="Times New Roman" w:cs="Times New Roman"/>
              </w:rPr>
            </w:pPr>
            <w:r>
              <w:rPr>
                <w:rFonts w:hint="default" w:ascii="Times New Roman" w:hAnsi="Times New Roman" w:cs="Times New Roman"/>
              </w:rPr>
              <w:t>螺旋天线</w:t>
            </w:r>
          </w:p>
        </w:tc>
        <w:tc>
          <w:tcPr>
            <w:tcW w:w="1276" w:type="dxa"/>
            <w:vAlign w:val="center"/>
          </w:tcPr>
          <w:p w14:paraId="1C9E8158">
            <w:pPr>
              <w:jc w:val="center"/>
              <w:rPr>
                <w:rFonts w:hint="default" w:ascii="Times New Roman" w:hAnsi="Times New Roman" w:cs="Times New Roman"/>
              </w:rPr>
            </w:pPr>
          </w:p>
        </w:tc>
        <w:tc>
          <w:tcPr>
            <w:tcW w:w="3447" w:type="dxa"/>
            <w:vAlign w:val="center"/>
          </w:tcPr>
          <w:p w14:paraId="0E04CA64">
            <w:pPr>
              <w:jc w:val="center"/>
              <w:rPr>
                <w:rFonts w:hint="default" w:ascii="Times New Roman" w:hAnsi="Times New Roman" w:cs="Times New Roman"/>
              </w:rPr>
            </w:pPr>
          </w:p>
        </w:tc>
        <w:tc>
          <w:tcPr>
            <w:tcW w:w="1134" w:type="dxa"/>
            <w:vAlign w:val="center"/>
          </w:tcPr>
          <w:p w14:paraId="07F1654C">
            <w:pPr>
              <w:jc w:val="center"/>
              <w:rPr>
                <w:rFonts w:hint="default" w:ascii="Times New Roman" w:hAnsi="Times New Roman" w:cs="Times New Roman"/>
              </w:rPr>
            </w:pPr>
          </w:p>
        </w:tc>
        <w:tc>
          <w:tcPr>
            <w:tcW w:w="2693" w:type="dxa"/>
            <w:vAlign w:val="center"/>
          </w:tcPr>
          <w:p w14:paraId="34AD1B22">
            <w:pPr>
              <w:jc w:val="center"/>
              <w:rPr>
                <w:rFonts w:hint="default" w:ascii="Times New Roman" w:hAnsi="Times New Roman" w:cs="Times New Roman"/>
                <w:sz w:val="22"/>
                <w:szCs w:val="28"/>
              </w:rPr>
            </w:pPr>
            <w:r>
              <w:rPr>
                <w:rFonts w:hint="default" w:ascii="Times New Roman" w:hAnsi="Times New Roman" w:cs="Times New Roman"/>
                <w:sz w:val="22"/>
                <w:szCs w:val="28"/>
              </w:rPr>
              <w:drawing>
                <wp:inline distT="0" distB="0" distL="0" distR="0">
                  <wp:extent cx="1331595" cy="1718945"/>
                  <wp:effectExtent l="0" t="0" r="0" b="0"/>
                  <wp:docPr id="60" name="图片 60" descr="166945259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166945259137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1331595" cy="1718945"/>
                          </a:xfrm>
                          <a:prstGeom prst="rect">
                            <a:avLst/>
                          </a:prstGeom>
                          <a:noFill/>
                          <a:ln>
                            <a:noFill/>
                          </a:ln>
                        </pic:spPr>
                      </pic:pic>
                    </a:graphicData>
                  </a:graphic>
                </wp:inline>
              </w:drawing>
            </w:r>
          </w:p>
        </w:tc>
      </w:tr>
      <w:tr w14:paraId="33FE5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19230CE7">
            <w:pPr>
              <w:jc w:val="center"/>
              <w:rPr>
                <w:rFonts w:hint="default" w:ascii="Times New Roman" w:hAnsi="Times New Roman" w:cs="Times New Roman"/>
              </w:rPr>
            </w:pPr>
            <w:r>
              <w:rPr>
                <w:rFonts w:hint="default" w:ascii="Times New Roman" w:hAnsi="Times New Roman" w:cs="Times New Roman"/>
              </w:rPr>
              <w:t>11</w:t>
            </w:r>
          </w:p>
        </w:tc>
        <w:tc>
          <w:tcPr>
            <w:tcW w:w="1275" w:type="dxa"/>
            <w:vAlign w:val="center"/>
          </w:tcPr>
          <w:p w14:paraId="33CE5031">
            <w:pPr>
              <w:jc w:val="center"/>
              <w:rPr>
                <w:rFonts w:hint="default" w:ascii="Times New Roman" w:hAnsi="Times New Roman" w:cs="Times New Roman"/>
              </w:rPr>
            </w:pPr>
            <w:r>
              <w:rPr>
                <w:rFonts w:hint="default" w:ascii="Times New Roman" w:hAnsi="Times New Roman" w:cs="Times New Roman"/>
              </w:rPr>
              <w:t>OMICRON</w:t>
            </w:r>
          </w:p>
        </w:tc>
        <w:tc>
          <w:tcPr>
            <w:tcW w:w="993" w:type="dxa"/>
            <w:vAlign w:val="center"/>
          </w:tcPr>
          <w:p w14:paraId="2302BECD">
            <w:pPr>
              <w:jc w:val="center"/>
              <w:rPr>
                <w:rFonts w:hint="default" w:ascii="Times New Roman" w:hAnsi="Times New Roman" w:cs="Times New Roman"/>
              </w:rPr>
            </w:pPr>
            <w:r>
              <w:rPr>
                <w:rFonts w:hint="default" w:ascii="Times New Roman" w:hAnsi="Times New Roman" w:cs="Times New Roman"/>
              </w:rPr>
              <w:t>UVS610</w:t>
            </w:r>
          </w:p>
        </w:tc>
        <w:tc>
          <w:tcPr>
            <w:tcW w:w="1423" w:type="dxa"/>
            <w:vAlign w:val="center"/>
          </w:tcPr>
          <w:p w14:paraId="18E8E9BD">
            <w:pPr>
              <w:jc w:val="center"/>
              <w:rPr>
                <w:rFonts w:hint="default" w:ascii="Times New Roman" w:hAnsi="Times New Roman" w:cs="Times New Roman"/>
              </w:rPr>
            </w:pPr>
            <w:r>
              <w:rPr>
                <w:rFonts w:hint="default" w:ascii="Times New Roman" w:hAnsi="Times New Roman" w:cs="Times New Roman"/>
              </w:rPr>
              <w:t>油阀植入</w:t>
            </w:r>
          </w:p>
        </w:tc>
        <w:tc>
          <w:tcPr>
            <w:tcW w:w="1225" w:type="dxa"/>
            <w:vAlign w:val="center"/>
          </w:tcPr>
          <w:p w14:paraId="117EBB53">
            <w:pPr>
              <w:jc w:val="center"/>
              <w:rPr>
                <w:rFonts w:hint="default" w:ascii="Times New Roman" w:hAnsi="Times New Roman" w:cs="Times New Roman"/>
              </w:rPr>
            </w:pPr>
            <w:r>
              <w:rPr>
                <w:rFonts w:hint="default" w:ascii="Times New Roman" w:hAnsi="Times New Roman" w:cs="Times New Roman"/>
              </w:rPr>
              <w:t>-</w:t>
            </w:r>
          </w:p>
          <w:p w14:paraId="169C0007">
            <w:pPr>
              <w:jc w:val="center"/>
              <w:rPr>
                <w:rFonts w:hint="default" w:ascii="Times New Roman" w:hAnsi="Times New Roman" w:cs="Times New Roman"/>
              </w:rPr>
            </w:pPr>
          </w:p>
        </w:tc>
        <w:tc>
          <w:tcPr>
            <w:tcW w:w="1276" w:type="dxa"/>
            <w:vAlign w:val="center"/>
          </w:tcPr>
          <w:p w14:paraId="49D93E9E">
            <w:pPr>
              <w:jc w:val="center"/>
              <w:rPr>
                <w:rFonts w:hint="default" w:ascii="Times New Roman" w:hAnsi="Times New Roman" w:cs="Times New Roman"/>
              </w:rPr>
            </w:pPr>
          </w:p>
        </w:tc>
        <w:tc>
          <w:tcPr>
            <w:tcW w:w="3447" w:type="dxa"/>
            <w:vAlign w:val="center"/>
          </w:tcPr>
          <w:p w14:paraId="6BDBC512">
            <w:pPr>
              <w:jc w:val="center"/>
              <w:rPr>
                <w:rFonts w:hint="default" w:ascii="Times New Roman" w:hAnsi="Times New Roman" w:cs="Times New Roman"/>
                <w:szCs w:val="21"/>
              </w:rPr>
            </w:pPr>
          </w:p>
        </w:tc>
        <w:tc>
          <w:tcPr>
            <w:tcW w:w="1134" w:type="dxa"/>
            <w:vAlign w:val="center"/>
          </w:tcPr>
          <w:p w14:paraId="188C5D87">
            <w:pPr>
              <w:jc w:val="center"/>
              <w:rPr>
                <w:rFonts w:hint="default" w:ascii="Times New Roman" w:hAnsi="Times New Roman" w:cs="Times New Roman"/>
              </w:rPr>
            </w:pPr>
          </w:p>
        </w:tc>
        <w:tc>
          <w:tcPr>
            <w:tcW w:w="2693" w:type="dxa"/>
            <w:vAlign w:val="center"/>
          </w:tcPr>
          <w:p w14:paraId="7284E3C1">
            <w:pPr>
              <w:jc w:val="center"/>
              <w:rPr>
                <w:rFonts w:hint="default" w:ascii="Times New Roman" w:hAnsi="Times New Roman" w:cs="Times New Roman"/>
                <w:szCs w:val="21"/>
              </w:rPr>
            </w:pPr>
            <w:r>
              <w:rPr>
                <w:rFonts w:hint="default" w:ascii="Times New Roman" w:hAnsi="Times New Roman" w:cs="Times New Roman"/>
                <w:sz w:val="22"/>
                <w:szCs w:val="28"/>
              </w:rPr>
              <w:drawing>
                <wp:inline distT="0" distB="0" distL="0" distR="0">
                  <wp:extent cx="1346200" cy="1799590"/>
                  <wp:effectExtent l="0" t="0" r="0" b="0"/>
                  <wp:docPr id="61" name="图片 61" descr="166945444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166945444403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1346200" cy="1799590"/>
                          </a:xfrm>
                          <a:prstGeom prst="rect">
                            <a:avLst/>
                          </a:prstGeom>
                          <a:noFill/>
                          <a:ln>
                            <a:noFill/>
                          </a:ln>
                        </pic:spPr>
                      </pic:pic>
                    </a:graphicData>
                  </a:graphic>
                </wp:inline>
              </w:drawing>
            </w:r>
          </w:p>
        </w:tc>
      </w:tr>
      <w:tr w14:paraId="49CA2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4D5F4100">
            <w:pPr>
              <w:jc w:val="center"/>
              <w:rPr>
                <w:rFonts w:hint="default" w:ascii="Times New Roman" w:hAnsi="Times New Roman" w:cs="Times New Roman"/>
              </w:rPr>
            </w:pPr>
            <w:r>
              <w:rPr>
                <w:rFonts w:hint="default" w:ascii="Times New Roman" w:hAnsi="Times New Roman" w:cs="Times New Roman"/>
              </w:rPr>
              <w:t>12</w:t>
            </w:r>
          </w:p>
        </w:tc>
        <w:tc>
          <w:tcPr>
            <w:tcW w:w="1275" w:type="dxa"/>
            <w:vAlign w:val="center"/>
          </w:tcPr>
          <w:p w14:paraId="55487D11">
            <w:pPr>
              <w:jc w:val="center"/>
              <w:rPr>
                <w:rFonts w:hint="default" w:ascii="Times New Roman" w:hAnsi="Times New Roman" w:cs="Times New Roman"/>
              </w:rPr>
            </w:pPr>
            <w:r>
              <w:rPr>
                <w:rFonts w:hint="default" w:ascii="Times New Roman" w:hAnsi="Times New Roman" w:cs="Times New Roman"/>
              </w:rPr>
              <w:t>OMICRON</w:t>
            </w:r>
          </w:p>
        </w:tc>
        <w:tc>
          <w:tcPr>
            <w:tcW w:w="993" w:type="dxa"/>
            <w:vAlign w:val="center"/>
          </w:tcPr>
          <w:p w14:paraId="7FFB05DC">
            <w:pPr>
              <w:jc w:val="center"/>
              <w:rPr>
                <w:rFonts w:hint="default" w:ascii="Times New Roman" w:hAnsi="Times New Roman" w:cs="Times New Roman"/>
              </w:rPr>
            </w:pPr>
            <w:r>
              <w:rPr>
                <w:rFonts w:hint="default" w:ascii="Times New Roman" w:hAnsi="Times New Roman" w:cs="Times New Roman"/>
              </w:rPr>
              <w:t>UHT1</w:t>
            </w:r>
          </w:p>
        </w:tc>
        <w:tc>
          <w:tcPr>
            <w:tcW w:w="1423" w:type="dxa"/>
            <w:vAlign w:val="center"/>
          </w:tcPr>
          <w:p w14:paraId="56F83121">
            <w:pPr>
              <w:jc w:val="center"/>
              <w:rPr>
                <w:rFonts w:hint="default" w:ascii="Times New Roman" w:hAnsi="Times New Roman" w:cs="Times New Roman"/>
              </w:rPr>
            </w:pPr>
            <w:r>
              <w:rPr>
                <w:rFonts w:hint="default" w:ascii="Times New Roman" w:hAnsi="Times New Roman" w:cs="Times New Roman"/>
              </w:rPr>
              <w:t>箱体介质窗</w:t>
            </w:r>
          </w:p>
        </w:tc>
        <w:tc>
          <w:tcPr>
            <w:tcW w:w="1225" w:type="dxa"/>
            <w:vAlign w:val="center"/>
          </w:tcPr>
          <w:p w14:paraId="7A170852">
            <w:pPr>
              <w:jc w:val="center"/>
              <w:rPr>
                <w:rFonts w:hint="default" w:ascii="Times New Roman" w:hAnsi="Times New Roman" w:cs="Times New Roman"/>
              </w:rPr>
            </w:pPr>
            <w:r>
              <w:rPr>
                <w:rFonts w:hint="default" w:ascii="Times New Roman" w:hAnsi="Times New Roman" w:cs="Times New Roman"/>
              </w:rPr>
              <w:t>-</w:t>
            </w:r>
          </w:p>
        </w:tc>
        <w:tc>
          <w:tcPr>
            <w:tcW w:w="1276" w:type="dxa"/>
            <w:vAlign w:val="center"/>
          </w:tcPr>
          <w:p w14:paraId="68336ED6">
            <w:pPr>
              <w:jc w:val="center"/>
              <w:rPr>
                <w:rFonts w:hint="default" w:ascii="Times New Roman" w:hAnsi="Times New Roman" w:cs="Times New Roman"/>
              </w:rPr>
            </w:pPr>
          </w:p>
        </w:tc>
        <w:tc>
          <w:tcPr>
            <w:tcW w:w="3447" w:type="dxa"/>
            <w:vAlign w:val="center"/>
          </w:tcPr>
          <w:p w14:paraId="4249EA17">
            <w:pPr>
              <w:jc w:val="center"/>
              <w:rPr>
                <w:rFonts w:hint="default" w:ascii="Times New Roman" w:hAnsi="Times New Roman" w:cs="Times New Roman"/>
                <w:szCs w:val="21"/>
              </w:rPr>
            </w:pPr>
          </w:p>
        </w:tc>
        <w:tc>
          <w:tcPr>
            <w:tcW w:w="1134" w:type="dxa"/>
            <w:vAlign w:val="center"/>
          </w:tcPr>
          <w:p w14:paraId="4412FCA8">
            <w:pPr>
              <w:jc w:val="center"/>
              <w:rPr>
                <w:rFonts w:hint="default" w:ascii="Times New Roman" w:hAnsi="Times New Roman" w:cs="Times New Roman"/>
              </w:rPr>
            </w:pPr>
          </w:p>
        </w:tc>
        <w:tc>
          <w:tcPr>
            <w:tcW w:w="2693" w:type="dxa"/>
            <w:vAlign w:val="center"/>
          </w:tcPr>
          <w:p w14:paraId="1A2949E3">
            <w:pPr>
              <w:jc w:val="center"/>
              <w:rPr>
                <w:rFonts w:hint="default" w:ascii="Times New Roman" w:hAnsi="Times New Roman" w:cs="Times New Roman"/>
                <w:szCs w:val="21"/>
              </w:rPr>
            </w:pPr>
            <w:r>
              <w:rPr>
                <w:rFonts w:hint="default" w:ascii="Times New Roman" w:hAnsi="Times New Roman" w:cs="Times New Roman"/>
                <w:sz w:val="22"/>
                <w:szCs w:val="28"/>
              </w:rPr>
              <w:drawing>
                <wp:inline distT="0" distB="0" distL="0" distR="0">
                  <wp:extent cx="1499870" cy="1214120"/>
                  <wp:effectExtent l="0" t="0" r="0" b="0"/>
                  <wp:docPr id="62" name="图片 62" descr="166945526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166945526241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499870" cy="1214120"/>
                          </a:xfrm>
                          <a:prstGeom prst="rect">
                            <a:avLst/>
                          </a:prstGeom>
                          <a:noFill/>
                          <a:ln>
                            <a:noFill/>
                          </a:ln>
                        </pic:spPr>
                      </pic:pic>
                    </a:graphicData>
                  </a:graphic>
                </wp:inline>
              </w:drawing>
            </w:r>
          </w:p>
        </w:tc>
      </w:tr>
      <w:tr w14:paraId="11599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7529BB2E">
            <w:pPr>
              <w:jc w:val="center"/>
              <w:rPr>
                <w:rFonts w:hint="default" w:ascii="Times New Roman" w:hAnsi="Times New Roman" w:cs="Times New Roman"/>
              </w:rPr>
            </w:pPr>
            <w:r>
              <w:rPr>
                <w:rFonts w:hint="default" w:ascii="Times New Roman" w:hAnsi="Times New Roman" w:cs="Times New Roman"/>
              </w:rPr>
              <w:t>13</w:t>
            </w:r>
          </w:p>
        </w:tc>
        <w:tc>
          <w:tcPr>
            <w:tcW w:w="1275" w:type="dxa"/>
            <w:vAlign w:val="center"/>
          </w:tcPr>
          <w:p w14:paraId="6F820C29">
            <w:pPr>
              <w:jc w:val="center"/>
              <w:rPr>
                <w:rFonts w:hint="default" w:ascii="Times New Roman" w:hAnsi="Times New Roman" w:cs="Times New Roman"/>
              </w:rPr>
            </w:pPr>
            <w:r>
              <w:rPr>
                <w:rFonts w:hint="default" w:ascii="Times New Roman" w:hAnsi="Times New Roman" w:cs="Times New Roman"/>
              </w:rPr>
              <w:t>Power Diagnostic Service</w:t>
            </w:r>
          </w:p>
        </w:tc>
        <w:tc>
          <w:tcPr>
            <w:tcW w:w="993" w:type="dxa"/>
            <w:vAlign w:val="center"/>
          </w:tcPr>
          <w:p w14:paraId="2180FCA6">
            <w:pPr>
              <w:jc w:val="center"/>
              <w:rPr>
                <w:rFonts w:hint="default" w:ascii="Times New Roman" w:hAnsi="Times New Roman" w:cs="Times New Roman"/>
              </w:rPr>
            </w:pPr>
            <w:r>
              <w:rPr>
                <w:rFonts w:hint="default" w:ascii="Times New Roman" w:hAnsi="Times New Roman" w:cs="Times New Roman"/>
              </w:rPr>
              <w:t>B300/B800</w:t>
            </w:r>
          </w:p>
        </w:tc>
        <w:tc>
          <w:tcPr>
            <w:tcW w:w="1423" w:type="dxa"/>
            <w:vAlign w:val="center"/>
          </w:tcPr>
          <w:p w14:paraId="2DE189A8">
            <w:pPr>
              <w:jc w:val="center"/>
              <w:rPr>
                <w:rFonts w:hint="default" w:ascii="Times New Roman" w:hAnsi="Times New Roman" w:cs="Times New Roman"/>
              </w:rPr>
            </w:pPr>
            <w:r>
              <w:rPr>
                <w:rFonts w:hint="default" w:ascii="Times New Roman" w:hAnsi="Times New Roman" w:cs="Times New Roman"/>
              </w:rPr>
              <w:t>油阀植入</w:t>
            </w:r>
          </w:p>
        </w:tc>
        <w:tc>
          <w:tcPr>
            <w:tcW w:w="1225" w:type="dxa"/>
            <w:vAlign w:val="center"/>
          </w:tcPr>
          <w:p w14:paraId="0B537C98">
            <w:pPr>
              <w:jc w:val="center"/>
              <w:rPr>
                <w:rFonts w:hint="default" w:ascii="Times New Roman" w:hAnsi="Times New Roman" w:cs="Times New Roman"/>
              </w:rPr>
            </w:pPr>
          </w:p>
        </w:tc>
        <w:tc>
          <w:tcPr>
            <w:tcW w:w="1276" w:type="dxa"/>
            <w:vAlign w:val="center"/>
          </w:tcPr>
          <w:p w14:paraId="755EE068">
            <w:pPr>
              <w:jc w:val="center"/>
              <w:rPr>
                <w:rFonts w:hint="default" w:ascii="Times New Roman" w:hAnsi="Times New Roman" w:cs="Times New Roman"/>
              </w:rPr>
            </w:pPr>
          </w:p>
        </w:tc>
        <w:tc>
          <w:tcPr>
            <w:tcW w:w="3447" w:type="dxa"/>
            <w:vAlign w:val="center"/>
          </w:tcPr>
          <w:p w14:paraId="14811824">
            <w:pPr>
              <w:jc w:val="center"/>
              <w:rPr>
                <w:rFonts w:hint="default" w:ascii="Times New Roman" w:hAnsi="Times New Roman" w:cs="Times New Roman"/>
                <w:szCs w:val="21"/>
              </w:rPr>
            </w:pPr>
          </w:p>
        </w:tc>
        <w:tc>
          <w:tcPr>
            <w:tcW w:w="1134" w:type="dxa"/>
            <w:vAlign w:val="center"/>
          </w:tcPr>
          <w:p w14:paraId="1954A635">
            <w:pPr>
              <w:jc w:val="center"/>
              <w:rPr>
                <w:rFonts w:hint="default" w:ascii="Times New Roman" w:hAnsi="Times New Roman" w:cs="Times New Roman"/>
              </w:rPr>
            </w:pPr>
          </w:p>
        </w:tc>
        <w:tc>
          <w:tcPr>
            <w:tcW w:w="2693" w:type="dxa"/>
            <w:vAlign w:val="center"/>
          </w:tcPr>
          <w:p w14:paraId="027A944D">
            <w:pPr>
              <w:jc w:val="center"/>
              <w:rPr>
                <w:rFonts w:hint="default" w:ascii="Times New Roman" w:hAnsi="Times New Roman" w:cs="Times New Roman"/>
                <w:szCs w:val="21"/>
              </w:rPr>
            </w:pPr>
            <w:r>
              <w:rPr>
                <w:rFonts w:hint="default" w:ascii="Times New Roman" w:hAnsi="Times New Roman" w:cs="Times New Roman"/>
              </w:rPr>
              <w:drawing>
                <wp:inline distT="0" distB="0" distL="0" distR="0">
                  <wp:extent cx="819150" cy="1960245"/>
                  <wp:effectExtent l="0" t="0" r="0" b="0"/>
                  <wp:docPr id="63" name="图片 63" descr="166945735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166945735389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819150" cy="1960245"/>
                          </a:xfrm>
                          <a:prstGeom prst="rect">
                            <a:avLst/>
                          </a:prstGeom>
                          <a:noFill/>
                          <a:ln>
                            <a:noFill/>
                          </a:ln>
                        </pic:spPr>
                      </pic:pic>
                    </a:graphicData>
                  </a:graphic>
                </wp:inline>
              </w:drawing>
            </w:r>
          </w:p>
        </w:tc>
      </w:tr>
      <w:tr w14:paraId="2790F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6E647AC8">
            <w:pPr>
              <w:jc w:val="center"/>
              <w:rPr>
                <w:rFonts w:hint="default" w:ascii="Times New Roman" w:hAnsi="Times New Roman" w:cs="Times New Roman"/>
              </w:rPr>
            </w:pPr>
            <w:r>
              <w:rPr>
                <w:rFonts w:hint="default" w:ascii="Times New Roman" w:hAnsi="Times New Roman" w:cs="Times New Roman"/>
              </w:rPr>
              <w:t>14</w:t>
            </w:r>
          </w:p>
        </w:tc>
        <w:tc>
          <w:tcPr>
            <w:tcW w:w="1275" w:type="dxa"/>
            <w:vAlign w:val="center"/>
          </w:tcPr>
          <w:p w14:paraId="47C98889">
            <w:pPr>
              <w:jc w:val="center"/>
              <w:rPr>
                <w:rFonts w:hint="default" w:ascii="Times New Roman" w:hAnsi="Times New Roman" w:cs="Times New Roman"/>
              </w:rPr>
            </w:pPr>
            <w:r>
              <w:rPr>
                <w:rFonts w:hint="default" w:ascii="Times New Roman" w:hAnsi="Times New Roman" w:cs="Times New Roman"/>
              </w:rPr>
              <w:t>上海格鲁布</w:t>
            </w:r>
          </w:p>
        </w:tc>
        <w:tc>
          <w:tcPr>
            <w:tcW w:w="993" w:type="dxa"/>
            <w:vAlign w:val="center"/>
          </w:tcPr>
          <w:p w14:paraId="522EEEEF">
            <w:pPr>
              <w:jc w:val="center"/>
              <w:rPr>
                <w:rFonts w:hint="default" w:ascii="Times New Roman" w:hAnsi="Times New Roman" w:cs="Times New Roman"/>
              </w:rPr>
            </w:pPr>
            <w:r>
              <w:rPr>
                <w:rFonts w:hint="default" w:ascii="Times New Roman" w:hAnsi="Times New Roman" w:cs="Times New Roman"/>
              </w:rPr>
              <w:t>ODS-705</w:t>
            </w:r>
          </w:p>
        </w:tc>
        <w:tc>
          <w:tcPr>
            <w:tcW w:w="1423" w:type="dxa"/>
            <w:vAlign w:val="center"/>
          </w:tcPr>
          <w:p w14:paraId="3C2542FB">
            <w:pPr>
              <w:jc w:val="center"/>
              <w:rPr>
                <w:rFonts w:hint="default" w:ascii="Times New Roman" w:hAnsi="Times New Roman" w:cs="Times New Roman"/>
              </w:rPr>
            </w:pPr>
            <w:r>
              <w:rPr>
                <w:rFonts w:hint="default" w:ascii="Times New Roman" w:hAnsi="Times New Roman" w:cs="Times New Roman"/>
              </w:rPr>
              <w:t>油阀植入</w:t>
            </w:r>
          </w:p>
        </w:tc>
        <w:tc>
          <w:tcPr>
            <w:tcW w:w="1225" w:type="dxa"/>
            <w:vAlign w:val="center"/>
          </w:tcPr>
          <w:p w14:paraId="03FAD685">
            <w:pPr>
              <w:jc w:val="center"/>
              <w:rPr>
                <w:rFonts w:hint="default" w:ascii="Times New Roman" w:hAnsi="Times New Roman" w:cs="Times New Roman"/>
              </w:rPr>
            </w:pPr>
            <w:r>
              <w:rPr>
                <w:rFonts w:hint="default" w:ascii="Times New Roman" w:hAnsi="Times New Roman" w:cs="Times New Roman"/>
              </w:rPr>
              <w:t>-</w:t>
            </w:r>
          </w:p>
        </w:tc>
        <w:tc>
          <w:tcPr>
            <w:tcW w:w="1276" w:type="dxa"/>
            <w:vAlign w:val="center"/>
          </w:tcPr>
          <w:p w14:paraId="5AC3CB29">
            <w:pPr>
              <w:jc w:val="center"/>
              <w:rPr>
                <w:rFonts w:hint="default" w:ascii="Times New Roman" w:hAnsi="Times New Roman" w:cs="Times New Roman"/>
              </w:rPr>
            </w:pPr>
            <w:r>
              <w:rPr>
                <w:rFonts w:hint="default" w:ascii="Times New Roman" w:hAnsi="Times New Roman" w:cs="Times New Roman"/>
              </w:rPr>
              <w:t>300-1500</w:t>
            </w:r>
          </w:p>
        </w:tc>
        <w:tc>
          <w:tcPr>
            <w:tcW w:w="3447" w:type="dxa"/>
            <w:vAlign w:val="center"/>
          </w:tcPr>
          <w:p w14:paraId="21E6D9B8">
            <w:pPr>
              <w:jc w:val="center"/>
              <w:rPr>
                <w:rFonts w:hint="default" w:ascii="Times New Roman" w:hAnsi="Times New Roman" w:cs="Times New Roman"/>
                <w:szCs w:val="21"/>
              </w:rPr>
            </w:pPr>
            <w:r>
              <w:rPr>
                <w:rFonts w:hint="default" w:ascii="Times New Roman" w:hAnsi="Times New Roman" w:cs="Times New Roman"/>
                <w:szCs w:val="21"/>
              </w:rPr>
              <w:drawing>
                <wp:inline distT="0" distB="0" distL="0" distR="0">
                  <wp:extent cx="2084705" cy="1668145"/>
                  <wp:effectExtent l="0" t="0" r="0" b="0"/>
                  <wp:docPr id="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084705" cy="1668145"/>
                          </a:xfrm>
                          <a:prstGeom prst="rect">
                            <a:avLst/>
                          </a:prstGeom>
                          <a:noFill/>
                          <a:ln>
                            <a:noFill/>
                          </a:ln>
                        </pic:spPr>
                      </pic:pic>
                    </a:graphicData>
                  </a:graphic>
                </wp:inline>
              </w:drawing>
            </w:r>
          </w:p>
        </w:tc>
        <w:tc>
          <w:tcPr>
            <w:tcW w:w="1134" w:type="dxa"/>
            <w:vAlign w:val="center"/>
          </w:tcPr>
          <w:p w14:paraId="019602DC">
            <w:pPr>
              <w:jc w:val="center"/>
              <w:rPr>
                <w:rFonts w:hint="default" w:ascii="Times New Roman" w:hAnsi="Times New Roman" w:cs="Times New Roman"/>
              </w:rPr>
            </w:pPr>
            <w:r>
              <w:rPr>
                <w:rFonts w:hint="default" w:ascii="Times New Roman" w:hAnsi="Times New Roman" w:cs="Times New Roman"/>
              </w:rPr>
              <w:t>8.0</w:t>
            </w:r>
          </w:p>
        </w:tc>
        <w:tc>
          <w:tcPr>
            <w:tcW w:w="2693" w:type="dxa"/>
            <w:vAlign w:val="center"/>
          </w:tcPr>
          <w:p w14:paraId="62B38315">
            <w:pPr>
              <w:jc w:val="center"/>
              <w:rPr>
                <w:rFonts w:hint="default" w:ascii="Times New Roman" w:hAnsi="Times New Roman" w:cs="Times New Roman"/>
                <w:szCs w:val="21"/>
              </w:rPr>
            </w:pPr>
            <w:r>
              <w:rPr>
                <w:rFonts w:hint="default" w:ascii="Times New Roman" w:hAnsi="Times New Roman" w:cs="Times New Roman"/>
                <w:szCs w:val="21"/>
              </w:rPr>
              <w:drawing>
                <wp:inline distT="0" distB="0" distL="0" distR="0">
                  <wp:extent cx="1609090" cy="702310"/>
                  <wp:effectExtent l="0" t="0" r="0" b="0"/>
                  <wp:docPr id="65" name="图片 65" descr="排油阀传感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排油阀传感器"/>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1609090" cy="702310"/>
                          </a:xfrm>
                          <a:prstGeom prst="rect">
                            <a:avLst/>
                          </a:prstGeom>
                          <a:noFill/>
                          <a:ln>
                            <a:noFill/>
                          </a:ln>
                        </pic:spPr>
                      </pic:pic>
                    </a:graphicData>
                  </a:graphic>
                </wp:inline>
              </w:drawing>
            </w:r>
          </w:p>
        </w:tc>
      </w:tr>
      <w:tr w14:paraId="4082E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vAlign w:val="center"/>
          </w:tcPr>
          <w:p w14:paraId="157D4F63">
            <w:pPr>
              <w:jc w:val="center"/>
              <w:rPr>
                <w:rFonts w:hint="default" w:ascii="Times New Roman" w:hAnsi="Times New Roman" w:cs="Times New Roman"/>
              </w:rPr>
            </w:pPr>
            <w:r>
              <w:rPr>
                <w:rFonts w:hint="default" w:ascii="Times New Roman" w:hAnsi="Times New Roman" w:cs="Times New Roman"/>
              </w:rPr>
              <w:t>15</w:t>
            </w:r>
          </w:p>
        </w:tc>
        <w:tc>
          <w:tcPr>
            <w:tcW w:w="1275" w:type="dxa"/>
            <w:vAlign w:val="center"/>
          </w:tcPr>
          <w:p w14:paraId="7EDAF7DE">
            <w:pPr>
              <w:jc w:val="center"/>
              <w:rPr>
                <w:rFonts w:hint="default" w:ascii="Times New Roman" w:hAnsi="Times New Roman" w:cs="Times New Roman"/>
              </w:rPr>
            </w:pPr>
            <w:r>
              <w:rPr>
                <w:rFonts w:hint="default" w:ascii="Times New Roman" w:hAnsi="Times New Roman" w:cs="Times New Roman"/>
              </w:rPr>
              <w:t>上海格鲁布</w:t>
            </w:r>
          </w:p>
        </w:tc>
        <w:tc>
          <w:tcPr>
            <w:tcW w:w="993" w:type="dxa"/>
            <w:vAlign w:val="center"/>
          </w:tcPr>
          <w:p w14:paraId="3C90B2F4">
            <w:pPr>
              <w:jc w:val="center"/>
              <w:rPr>
                <w:rFonts w:hint="default" w:ascii="Times New Roman" w:hAnsi="Times New Roman" w:cs="Times New Roman"/>
              </w:rPr>
            </w:pPr>
            <w:r>
              <w:rPr>
                <w:rFonts w:hint="default" w:ascii="Times New Roman" w:hAnsi="Times New Roman" w:cs="Times New Roman"/>
              </w:rPr>
              <w:t>PDS-708</w:t>
            </w:r>
          </w:p>
        </w:tc>
        <w:tc>
          <w:tcPr>
            <w:tcW w:w="1423" w:type="dxa"/>
            <w:vAlign w:val="center"/>
          </w:tcPr>
          <w:p w14:paraId="17C6BF41">
            <w:pPr>
              <w:jc w:val="center"/>
              <w:rPr>
                <w:rFonts w:hint="default" w:ascii="Times New Roman" w:hAnsi="Times New Roman" w:cs="Times New Roman"/>
              </w:rPr>
            </w:pPr>
            <w:r>
              <w:rPr>
                <w:rFonts w:hint="default" w:ascii="Times New Roman" w:hAnsi="Times New Roman" w:cs="Times New Roman"/>
              </w:rPr>
              <w:t>内置式</w:t>
            </w:r>
          </w:p>
        </w:tc>
        <w:tc>
          <w:tcPr>
            <w:tcW w:w="1225" w:type="dxa"/>
            <w:vAlign w:val="center"/>
          </w:tcPr>
          <w:p w14:paraId="754022F3">
            <w:pPr>
              <w:jc w:val="center"/>
              <w:rPr>
                <w:rFonts w:hint="default" w:ascii="Times New Roman" w:hAnsi="Times New Roman" w:cs="Times New Roman"/>
              </w:rPr>
            </w:pPr>
            <w:r>
              <w:rPr>
                <w:rFonts w:hint="default" w:ascii="Times New Roman" w:hAnsi="Times New Roman" w:cs="Times New Roman"/>
              </w:rPr>
              <w:t>平板型</w:t>
            </w:r>
          </w:p>
        </w:tc>
        <w:tc>
          <w:tcPr>
            <w:tcW w:w="1276" w:type="dxa"/>
            <w:vAlign w:val="center"/>
          </w:tcPr>
          <w:p w14:paraId="259CDAB4">
            <w:pPr>
              <w:jc w:val="center"/>
              <w:rPr>
                <w:rFonts w:hint="default" w:ascii="Times New Roman" w:hAnsi="Times New Roman" w:cs="Times New Roman"/>
              </w:rPr>
            </w:pPr>
            <w:r>
              <w:rPr>
                <w:rFonts w:hint="default" w:ascii="Times New Roman" w:hAnsi="Times New Roman" w:cs="Times New Roman"/>
              </w:rPr>
              <w:t>300-1500</w:t>
            </w:r>
          </w:p>
        </w:tc>
        <w:tc>
          <w:tcPr>
            <w:tcW w:w="3447" w:type="dxa"/>
            <w:vAlign w:val="center"/>
          </w:tcPr>
          <w:p w14:paraId="6CB29E57">
            <w:pPr>
              <w:jc w:val="center"/>
              <w:rPr>
                <w:rFonts w:hint="default" w:ascii="Times New Roman" w:hAnsi="Times New Roman" w:cs="Times New Roman"/>
                <w:szCs w:val="21"/>
              </w:rPr>
            </w:pPr>
            <w:r>
              <w:rPr>
                <w:rFonts w:hint="default" w:ascii="Times New Roman" w:hAnsi="Times New Roman" w:cs="Times New Roman"/>
                <w:szCs w:val="21"/>
              </w:rPr>
              <w:drawing>
                <wp:inline distT="0" distB="0" distL="0" distR="0">
                  <wp:extent cx="2084705" cy="1645920"/>
                  <wp:effectExtent l="0" t="0" r="0" b="0"/>
                  <wp:docPr id="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2084705" cy="1645920"/>
                          </a:xfrm>
                          <a:prstGeom prst="rect">
                            <a:avLst/>
                          </a:prstGeom>
                          <a:noFill/>
                          <a:ln>
                            <a:noFill/>
                          </a:ln>
                        </pic:spPr>
                      </pic:pic>
                    </a:graphicData>
                  </a:graphic>
                </wp:inline>
              </w:drawing>
            </w:r>
          </w:p>
        </w:tc>
        <w:tc>
          <w:tcPr>
            <w:tcW w:w="1134" w:type="dxa"/>
            <w:vAlign w:val="center"/>
          </w:tcPr>
          <w:p w14:paraId="5E3BDE56">
            <w:pPr>
              <w:jc w:val="center"/>
              <w:rPr>
                <w:rFonts w:hint="default" w:ascii="Times New Roman" w:hAnsi="Times New Roman" w:cs="Times New Roman"/>
              </w:rPr>
            </w:pPr>
            <w:r>
              <w:rPr>
                <w:rFonts w:hint="default" w:ascii="Times New Roman" w:hAnsi="Times New Roman" w:cs="Times New Roman"/>
              </w:rPr>
              <w:t>14.5</w:t>
            </w:r>
          </w:p>
        </w:tc>
        <w:tc>
          <w:tcPr>
            <w:tcW w:w="2693" w:type="dxa"/>
            <w:vAlign w:val="center"/>
          </w:tcPr>
          <w:p w14:paraId="40DB7603">
            <w:pPr>
              <w:jc w:val="center"/>
              <w:rPr>
                <w:rFonts w:hint="default" w:ascii="Times New Roman" w:hAnsi="Times New Roman" w:cs="Times New Roman"/>
                <w:szCs w:val="21"/>
              </w:rPr>
            </w:pPr>
            <w:r>
              <w:rPr>
                <w:rFonts w:hint="default" w:ascii="Times New Roman" w:hAnsi="Times New Roman" w:cs="Times New Roman"/>
                <w:szCs w:val="21"/>
              </w:rPr>
              <w:drawing>
                <wp:inline distT="0" distB="0" distL="0" distR="0">
                  <wp:extent cx="1602105" cy="1602105"/>
                  <wp:effectExtent l="0" t="0" r="0" b="0"/>
                  <wp:docPr id="67" name="图片 67" descr="PDS-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PDS-70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1602105" cy="1602105"/>
                          </a:xfrm>
                          <a:prstGeom prst="rect">
                            <a:avLst/>
                          </a:prstGeom>
                          <a:noFill/>
                          <a:ln>
                            <a:noFill/>
                          </a:ln>
                        </pic:spPr>
                      </pic:pic>
                    </a:graphicData>
                  </a:graphic>
                </wp:inline>
              </w:drawing>
            </w:r>
          </w:p>
        </w:tc>
      </w:tr>
    </w:tbl>
    <w:p w14:paraId="27249A2C">
      <w:pPr>
        <w:rPr>
          <w:rFonts w:hint="default" w:ascii="Times New Roman" w:hAnsi="Times New Roman" w:cs="Times New Roman"/>
        </w:rPr>
      </w:pPr>
    </w:p>
    <w:p w14:paraId="04513196">
      <w:pPr>
        <w:rPr>
          <w:rFonts w:hint="default" w:ascii="Times New Roman" w:hAnsi="Times New Roman" w:cs="Times New Roman"/>
        </w:rPr>
      </w:pPr>
    </w:p>
    <w:sectPr>
      <w:pgSz w:w="16838" w:h="11906" w:orient="landscape"/>
      <w:pgMar w:top="1418" w:right="1418" w:bottom="851" w:left="1418" w:header="1021" w:footer="1021"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方正仿宋_GBK">
    <w:panose1 w:val="02000000000000000000"/>
    <w:charset w:val="86"/>
    <w:family w:val="script"/>
    <w:pitch w:val="default"/>
    <w:sig w:usb0="A00002BF" w:usb1="38CF7CFA" w:usb2="00082016" w:usb3="00000000" w:csb0="00040001" w:csb1="00000000"/>
  </w:font>
  <w:font w:name="仿宋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7838EB">
    <w:pPr>
      <w:pStyle w:val="8"/>
      <w:jc w:val="center"/>
    </w:pPr>
    <w:r>
      <w:fldChar w:fldCharType="begin"/>
    </w:r>
    <w:r>
      <w:instrText xml:space="preserve"> PAGE   \* MERGEFORMAT </w:instrText>
    </w:r>
    <w:r>
      <w:fldChar w:fldCharType="separate"/>
    </w:r>
    <w:r>
      <w:rPr>
        <w:lang w:val="zh-CN"/>
      </w:rPr>
      <w:t>5</w:t>
    </w:r>
    <w:r>
      <w:fldChar w:fldCharType="end"/>
    </w:r>
  </w:p>
  <w:p w14:paraId="056FE87C">
    <w:pPr>
      <w:pStyle w:val="8"/>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DZmZWVhMjUxMjBmMmU1ZDVlN2FkNjJiZTlhYzc3YWIifQ=="/>
  </w:docVars>
  <w:rsids>
    <w:rsidRoot w:val="00112D74"/>
    <w:rsid w:val="0006123A"/>
    <w:rsid w:val="000655F9"/>
    <w:rsid w:val="000769EA"/>
    <w:rsid w:val="000845D7"/>
    <w:rsid w:val="00096818"/>
    <w:rsid w:val="000B350A"/>
    <w:rsid w:val="000E2A76"/>
    <w:rsid w:val="000E3CBA"/>
    <w:rsid w:val="000F2FE7"/>
    <w:rsid w:val="000F65A4"/>
    <w:rsid w:val="00101A60"/>
    <w:rsid w:val="00104B83"/>
    <w:rsid w:val="001058EC"/>
    <w:rsid w:val="00112D74"/>
    <w:rsid w:val="0012247D"/>
    <w:rsid w:val="00136C37"/>
    <w:rsid w:val="00143F75"/>
    <w:rsid w:val="00144C86"/>
    <w:rsid w:val="00152737"/>
    <w:rsid w:val="00172CBA"/>
    <w:rsid w:val="00184D22"/>
    <w:rsid w:val="0019018C"/>
    <w:rsid w:val="001A1ADB"/>
    <w:rsid w:val="001B1F8B"/>
    <w:rsid w:val="001C69F7"/>
    <w:rsid w:val="001E306B"/>
    <w:rsid w:val="00201288"/>
    <w:rsid w:val="002150CD"/>
    <w:rsid w:val="00250ED9"/>
    <w:rsid w:val="0026024E"/>
    <w:rsid w:val="00265230"/>
    <w:rsid w:val="00285409"/>
    <w:rsid w:val="002948C5"/>
    <w:rsid w:val="002B54F7"/>
    <w:rsid w:val="002B5F27"/>
    <w:rsid w:val="002C01AC"/>
    <w:rsid w:val="002D3B90"/>
    <w:rsid w:val="002D5E6C"/>
    <w:rsid w:val="002E530F"/>
    <w:rsid w:val="00312207"/>
    <w:rsid w:val="00335AE8"/>
    <w:rsid w:val="00337774"/>
    <w:rsid w:val="0034468F"/>
    <w:rsid w:val="00352FD6"/>
    <w:rsid w:val="0037022C"/>
    <w:rsid w:val="00376B27"/>
    <w:rsid w:val="0038696F"/>
    <w:rsid w:val="003B2D0F"/>
    <w:rsid w:val="003B6FD3"/>
    <w:rsid w:val="003C0887"/>
    <w:rsid w:val="003C35CC"/>
    <w:rsid w:val="003D28BB"/>
    <w:rsid w:val="003E61A3"/>
    <w:rsid w:val="003F1899"/>
    <w:rsid w:val="00443D0F"/>
    <w:rsid w:val="00445ECB"/>
    <w:rsid w:val="00450EC7"/>
    <w:rsid w:val="00465689"/>
    <w:rsid w:val="00472F2C"/>
    <w:rsid w:val="004864B5"/>
    <w:rsid w:val="00490FFC"/>
    <w:rsid w:val="0049212A"/>
    <w:rsid w:val="004B6A5C"/>
    <w:rsid w:val="004B709E"/>
    <w:rsid w:val="004C5ECD"/>
    <w:rsid w:val="004E01D1"/>
    <w:rsid w:val="004E2D0C"/>
    <w:rsid w:val="004F317D"/>
    <w:rsid w:val="00501720"/>
    <w:rsid w:val="00507926"/>
    <w:rsid w:val="005219B9"/>
    <w:rsid w:val="00523DDF"/>
    <w:rsid w:val="00525EA2"/>
    <w:rsid w:val="005261A2"/>
    <w:rsid w:val="00530244"/>
    <w:rsid w:val="00543C47"/>
    <w:rsid w:val="00544A3A"/>
    <w:rsid w:val="00553BAD"/>
    <w:rsid w:val="00572BC6"/>
    <w:rsid w:val="00572D61"/>
    <w:rsid w:val="00581A01"/>
    <w:rsid w:val="0059310A"/>
    <w:rsid w:val="005A73FA"/>
    <w:rsid w:val="005B364F"/>
    <w:rsid w:val="005D510E"/>
    <w:rsid w:val="005D7CF6"/>
    <w:rsid w:val="005E093A"/>
    <w:rsid w:val="005F13D8"/>
    <w:rsid w:val="00602001"/>
    <w:rsid w:val="00616CA5"/>
    <w:rsid w:val="00647B86"/>
    <w:rsid w:val="00664C9F"/>
    <w:rsid w:val="00665ECD"/>
    <w:rsid w:val="0067109D"/>
    <w:rsid w:val="00686222"/>
    <w:rsid w:val="00691F72"/>
    <w:rsid w:val="00692F04"/>
    <w:rsid w:val="006B48E9"/>
    <w:rsid w:val="006E7DC0"/>
    <w:rsid w:val="006F2218"/>
    <w:rsid w:val="006F7047"/>
    <w:rsid w:val="00704013"/>
    <w:rsid w:val="00733F83"/>
    <w:rsid w:val="00750DF3"/>
    <w:rsid w:val="0077348C"/>
    <w:rsid w:val="00797C18"/>
    <w:rsid w:val="007A4055"/>
    <w:rsid w:val="007B524A"/>
    <w:rsid w:val="007B5252"/>
    <w:rsid w:val="007C2CD6"/>
    <w:rsid w:val="007D0848"/>
    <w:rsid w:val="007D5B23"/>
    <w:rsid w:val="007E04F2"/>
    <w:rsid w:val="007E23F0"/>
    <w:rsid w:val="007F41D5"/>
    <w:rsid w:val="0082490D"/>
    <w:rsid w:val="008401DE"/>
    <w:rsid w:val="0084441A"/>
    <w:rsid w:val="00845563"/>
    <w:rsid w:val="00846851"/>
    <w:rsid w:val="008562F9"/>
    <w:rsid w:val="00861635"/>
    <w:rsid w:val="008802E7"/>
    <w:rsid w:val="008838FA"/>
    <w:rsid w:val="00885CFF"/>
    <w:rsid w:val="00887DD4"/>
    <w:rsid w:val="008B1EA0"/>
    <w:rsid w:val="008C0622"/>
    <w:rsid w:val="008C3513"/>
    <w:rsid w:val="008C755B"/>
    <w:rsid w:val="008E61BB"/>
    <w:rsid w:val="008E7B7C"/>
    <w:rsid w:val="00904AA3"/>
    <w:rsid w:val="0090749E"/>
    <w:rsid w:val="00911A67"/>
    <w:rsid w:val="0091382D"/>
    <w:rsid w:val="00917727"/>
    <w:rsid w:val="00965031"/>
    <w:rsid w:val="009760BB"/>
    <w:rsid w:val="009779B8"/>
    <w:rsid w:val="009B2699"/>
    <w:rsid w:val="009B50E1"/>
    <w:rsid w:val="009E60FF"/>
    <w:rsid w:val="009F3559"/>
    <w:rsid w:val="009F4813"/>
    <w:rsid w:val="009F6DB9"/>
    <w:rsid w:val="00A14E7B"/>
    <w:rsid w:val="00A32B0B"/>
    <w:rsid w:val="00A37C50"/>
    <w:rsid w:val="00A443BC"/>
    <w:rsid w:val="00A54DAB"/>
    <w:rsid w:val="00A9398A"/>
    <w:rsid w:val="00A95C7F"/>
    <w:rsid w:val="00A965B6"/>
    <w:rsid w:val="00AA123A"/>
    <w:rsid w:val="00AA76C3"/>
    <w:rsid w:val="00AB1AEE"/>
    <w:rsid w:val="00AD40F7"/>
    <w:rsid w:val="00AE48C5"/>
    <w:rsid w:val="00AF187B"/>
    <w:rsid w:val="00AF2626"/>
    <w:rsid w:val="00B3220A"/>
    <w:rsid w:val="00B51213"/>
    <w:rsid w:val="00B63FA6"/>
    <w:rsid w:val="00B7765D"/>
    <w:rsid w:val="00B8754D"/>
    <w:rsid w:val="00BA4B54"/>
    <w:rsid w:val="00BA6113"/>
    <w:rsid w:val="00BC1D3F"/>
    <w:rsid w:val="00BC301A"/>
    <w:rsid w:val="00BD11EA"/>
    <w:rsid w:val="00BD3B3E"/>
    <w:rsid w:val="00BD4048"/>
    <w:rsid w:val="00BD5202"/>
    <w:rsid w:val="00BD79C3"/>
    <w:rsid w:val="00BF7E1F"/>
    <w:rsid w:val="00C03DF0"/>
    <w:rsid w:val="00C10B23"/>
    <w:rsid w:val="00C10BE3"/>
    <w:rsid w:val="00C114C3"/>
    <w:rsid w:val="00C374AE"/>
    <w:rsid w:val="00C5559E"/>
    <w:rsid w:val="00C613E8"/>
    <w:rsid w:val="00C74473"/>
    <w:rsid w:val="00C74E98"/>
    <w:rsid w:val="00C77EF1"/>
    <w:rsid w:val="00C80B96"/>
    <w:rsid w:val="00C95D6B"/>
    <w:rsid w:val="00C9791C"/>
    <w:rsid w:val="00CA5CAE"/>
    <w:rsid w:val="00CA78AA"/>
    <w:rsid w:val="00CD123A"/>
    <w:rsid w:val="00CF4002"/>
    <w:rsid w:val="00D223F4"/>
    <w:rsid w:val="00D40408"/>
    <w:rsid w:val="00D41B38"/>
    <w:rsid w:val="00D45F81"/>
    <w:rsid w:val="00D602D1"/>
    <w:rsid w:val="00D731CD"/>
    <w:rsid w:val="00D83ADF"/>
    <w:rsid w:val="00D85BB3"/>
    <w:rsid w:val="00D9524F"/>
    <w:rsid w:val="00DA0169"/>
    <w:rsid w:val="00DB45F7"/>
    <w:rsid w:val="00DC067C"/>
    <w:rsid w:val="00DC75F0"/>
    <w:rsid w:val="00DD12E8"/>
    <w:rsid w:val="00DD48F2"/>
    <w:rsid w:val="00DE7B78"/>
    <w:rsid w:val="00DF1081"/>
    <w:rsid w:val="00E0044A"/>
    <w:rsid w:val="00E128D4"/>
    <w:rsid w:val="00E27E7E"/>
    <w:rsid w:val="00E33139"/>
    <w:rsid w:val="00E4005B"/>
    <w:rsid w:val="00E53A64"/>
    <w:rsid w:val="00E62969"/>
    <w:rsid w:val="00E6404F"/>
    <w:rsid w:val="00E83B7A"/>
    <w:rsid w:val="00E95DB9"/>
    <w:rsid w:val="00EC454E"/>
    <w:rsid w:val="00EC5A1A"/>
    <w:rsid w:val="00ED1A96"/>
    <w:rsid w:val="00EF5370"/>
    <w:rsid w:val="00F13A5D"/>
    <w:rsid w:val="00F27607"/>
    <w:rsid w:val="00F368E6"/>
    <w:rsid w:val="00F43712"/>
    <w:rsid w:val="00F457BB"/>
    <w:rsid w:val="00F5363B"/>
    <w:rsid w:val="00F75B45"/>
    <w:rsid w:val="00F87926"/>
    <w:rsid w:val="00F904A6"/>
    <w:rsid w:val="00F92D59"/>
    <w:rsid w:val="00FC169D"/>
    <w:rsid w:val="00FC52D3"/>
    <w:rsid w:val="00FD29DE"/>
    <w:rsid w:val="00FD35B1"/>
    <w:rsid w:val="00FE6A5A"/>
    <w:rsid w:val="013F34EB"/>
    <w:rsid w:val="01667759"/>
    <w:rsid w:val="0333219C"/>
    <w:rsid w:val="03A151FF"/>
    <w:rsid w:val="06A732D7"/>
    <w:rsid w:val="06FE29EA"/>
    <w:rsid w:val="0C145176"/>
    <w:rsid w:val="0E3173EF"/>
    <w:rsid w:val="0EBC5F9C"/>
    <w:rsid w:val="0FB64376"/>
    <w:rsid w:val="12655AC2"/>
    <w:rsid w:val="14BD0202"/>
    <w:rsid w:val="15DC08CC"/>
    <w:rsid w:val="19AB6562"/>
    <w:rsid w:val="1E48731B"/>
    <w:rsid w:val="1F972DF0"/>
    <w:rsid w:val="20A0664D"/>
    <w:rsid w:val="23CD1181"/>
    <w:rsid w:val="24446337"/>
    <w:rsid w:val="2666090A"/>
    <w:rsid w:val="26C77C64"/>
    <w:rsid w:val="27CC1C4E"/>
    <w:rsid w:val="28F10CB8"/>
    <w:rsid w:val="2A4A0018"/>
    <w:rsid w:val="2B841317"/>
    <w:rsid w:val="31013CAC"/>
    <w:rsid w:val="31E4358A"/>
    <w:rsid w:val="31E53EF4"/>
    <w:rsid w:val="32963860"/>
    <w:rsid w:val="337E5CF5"/>
    <w:rsid w:val="34726AC2"/>
    <w:rsid w:val="388F4F9A"/>
    <w:rsid w:val="38F14543"/>
    <w:rsid w:val="39E820BD"/>
    <w:rsid w:val="3A704957"/>
    <w:rsid w:val="3BF558E7"/>
    <w:rsid w:val="3C681F62"/>
    <w:rsid w:val="3E652F1B"/>
    <w:rsid w:val="40BF3DE3"/>
    <w:rsid w:val="40EC3026"/>
    <w:rsid w:val="42EE5BD4"/>
    <w:rsid w:val="445A46AE"/>
    <w:rsid w:val="45327FA2"/>
    <w:rsid w:val="4860492F"/>
    <w:rsid w:val="4D485A76"/>
    <w:rsid w:val="4EDD5D3D"/>
    <w:rsid w:val="4EE224CA"/>
    <w:rsid w:val="4F875FB6"/>
    <w:rsid w:val="53D87963"/>
    <w:rsid w:val="54A64DEE"/>
    <w:rsid w:val="54DA2FD1"/>
    <w:rsid w:val="55A338B0"/>
    <w:rsid w:val="5CC06D7A"/>
    <w:rsid w:val="5FAA3C14"/>
    <w:rsid w:val="61AA52C8"/>
    <w:rsid w:val="66C46F75"/>
    <w:rsid w:val="6C8C4A2F"/>
    <w:rsid w:val="6CDE178C"/>
    <w:rsid w:val="6FDF77FE"/>
    <w:rsid w:val="701503A5"/>
    <w:rsid w:val="738D13EC"/>
    <w:rsid w:val="770F16D9"/>
    <w:rsid w:val="77104BBA"/>
    <w:rsid w:val="78F25F83"/>
    <w:rsid w:val="7C266453"/>
    <w:rsid w:val="7F9332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link w:val="19"/>
    <w:qFormat/>
    <w:uiPriority w:val="0"/>
    <w:pPr>
      <w:keepNext/>
      <w:keepLines/>
      <w:spacing w:line="576" w:lineRule="auto"/>
      <w:outlineLvl w:val="0"/>
    </w:pPr>
    <w:rPr>
      <w:rFonts w:ascii="Times New Roman" w:hAnsi="Times New Roman"/>
      <w:b/>
      <w:kern w:val="44"/>
      <w:sz w:val="44"/>
      <w:szCs w:val="24"/>
    </w:rPr>
  </w:style>
  <w:style w:type="paragraph" w:styleId="3">
    <w:name w:val="heading 2"/>
    <w:basedOn w:val="1"/>
    <w:next w:val="1"/>
    <w:qFormat/>
    <w:uiPriority w:val="0"/>
    <w:pPr>
      <w:keepNext/>
      <w:keepLines/>
      <w:outlineLvl w:val="1"/>
    </w:pPr>
    <w:rPr>
      <w:rFonts w:ascii="Cambria" w:hAnsi="Cambria" w:eastAsia="黑体"/>
      <w:b/>
      <w:sz w:val="28"/>
      <w:szCs w:val="32"/>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4">
    <w:name w:val="annotation text"/>
    <w:basedOn w:val="1"/>
    <w:link w:val="20"/>
    <w:qFormat/>
    <w:uiPriority w:val="0"/>
    <w:pPr>
      <w:jc w:val="left"/>
    </w:pPr>
  </w:style>
  <w:style w:type="paragraph" w:styleId="5">
    <w:name w:val="Body Text"/>
    <w:basedOn w:val="1"/>
    <w:link w:val="21"/>
    <w:unhideWhenUsed/>
    <w:qFormat/>
    <w:uiPriority w:val="99"/>
    <w:pPr>
      <w:spacing w:after="120"/>
    </w:pPr>
  </w:style>
  <w:style w:type="paragraph" w:styleId="6">
    <w:name w:val="Body Text Indent"/>
    <w:basedOn w:val="1"/>
    <w:qFormat/>
    <w:uiPriority w:val="0"/>
    <w:pPr>
      <w:spacing w:after="120"/>
      <w:ind w:left="420" w:leftChars="200"/>
    </w:pPr>
  </w:style>
  <w:style w:type="paragraph" w:styleId="7">
    <w:name w:val="Balloon Text"/>
    <w:basedOn w:val="1"/>
    <w:link w:val="22"/>
    <w:unhideWhenUsed/>
    <w:qFormat/>
    <w:uiPriority w:val="99"/>
    <w:rPr>
      <w:sz w:val="18"/>
      <w:szCs w:val="18"/>
    </w:rPr>
  </w:style>
  <w:style w:type="paragraph" w:styleId="8">
    <w:name w:val="footer"/>
    <w:basedOn w:val="1"/>
    <w:link w:val="23"/>
    <w:unhideWhenUsed/>
    <w:qFormat/>
    <w:uiPriority w:val="99"/>
    <w:pPr>
      <w:tabs>
        <w:tab w:val="center" w:pos="4153"/>
        <w:tab w:val="right" w:pos="8306"/>
      </w:tabs>
      <w:snapToGrid w:val="0"/>
      <w:jc w:val="left"/>
    </w:pPr>
    <w:rPr>
      <w:sz w:val="18"/>
      <w:szCs w:val="18"/>
    </w:rPr>
  </w:style>
  <w:style w:type="paragraph" w:styleId="9">
    <w:name w:val="header"/>
    <w:basedOn w:val="1"/>
    <w:link w:val="24"/>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Subtitle"/>
    <w:basedOn w:val="1"/>
    <w:next w:val="1"/>
    <w:link w:val="25"/>
    <w:qFormat/>
    <w:uiPriority w:val="11"/>
    <w:pPr>
      <w:spacing w:before="240" w:after="60" w:line="312" w:lineRule="auto"/>
      <w:jc w:val="center"/>
      <w:outlineLvl w:val="1"/>
    </w:pPr>
    <w:rPr>
      <w:rFonts w:ascii="Cambria" w:hAnsi="Cambria"/>
      <w:b/>
      <w:bCs/>
      <w:kern w:val="28"/>
      <w:sz w:val="32"/>
      <w:szCs w:val="32"/>
    </w:rPr>
  </w:style>
  <w:style w:type="paragraph" w:styleId="11">
    <w:name w:val="Title"/>
    <w:basedOn w:val="1"/>
    <w:next w:val="1"/>
    <w:link w:val="26"/>
    <w:qFormat/>
    <w:uiPriority w:val="0"/>
    <w:pPr>
      <w:spacing w:before="240" w:after="60"/>
      <w:jc w:val="center"/>
      <w:outlineLvl w:val="0"/>
    </w:pPr>
    <w:rPr>
      <w:rFonts w:ascii="Cambria" w:hAnsi="Cambria"/>
      <w:b/>
      <w:bCs/>
      <w:sz w:val="32"/>
      <w:szCs w:val="32"/>
    </w:rPr>
  </w:style>
  <w:style w:type="paragraph" w:styleId="12">
    <w:name w:val="annotation subject"/>
    <w:basedOn w:val="4"/>
    <w:next w:val="4"/>
    <w:link w:val="27"/>
    <w:unhideWhenUsed/>
    <w:qFormat/>
    <w:uiPriority w:val="99"/>
    <w:rPr>
      <w:b/>
      <w:bCs/>
    </w:rPr>
  </w:style>
  <w:style w:type="paragraph" w:styleId="13">
    <w:name w:val="Body Text First Indent"/>
    <w:basedOn w:val="5"/>
    <w:link w:val="28"/>
    <w:qFormat/>
    <w:uiPriority w:val="0"/>
    <w:pPr>
      <w:ind w:firstLine="420" w:firstLineChars="100"/>
    </w:pPr>
    <w:rPr>
      <w:rFonts w:ascii="Times New Roman" w:hAnsi="Times New Roman"/>
      <w:szCs w:val="24"/>
    </w:rPr>
  </w:style>
  <w:style w:type="table" w:styleId="15">
    <w:name w:val="Table Grid"/>
    <w:basedOn w:val="14"/>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Emphasis"/>
    <w:qFormat/>
    <w:uiPriority w:val="20"/>
    <w:rPr>
      <w:i/>
      <w:iCs/>
    </w:rPr>
  </w:style>
  <w:style w:type="character" w:styleId="18">
    <w:name w:val="annotation reference"/>
    <w:qFormat/>
    <w:uiPriority w:val="0"/>
    <w:rPr>
      <w:sz w:val="21"/>
    </w:rPr>
  </w:style>
  <w:style w:type="character" w:customStyle="1" w:styleId="19">
    <w:name w:val="标题 1 字符"/>
    <w:link w:val="2"/>
    <w:qFormat/>
    <w:uiPriority w:val="0"/>
    <w:rPr>
      <w:rFonts w:ascii="Times New Roman" w:hAnsi="Times New Roman" w:eastAsia="宋体" w:cs="Times New Roman"/>
      <w:b/>
      <w:kern w:val="44"/>
      <w:sz w:val="44"/>
      <w:szCs w:val="24"/>
    </w:rPr>
  </w:style>
  <w:style w:type="character" w:customStyle="1" w:styleId="20">
    <w:name w:val="批注文字 字符"/>
    <w:link w:val="4"/>
    <w:qFormat/>
    <w:uiPriority w:val="0"/>
    <w:rPr>
      <w:rFonts w:ascii="Calibri" w:hAnsi="Calibri"/>
      <w:kern w:val="2"/>
      <w:sz w:val="21"/>
      <w:szCs w:val="22"/>
    </w:rPr>
  </w:style>
  <w:style w:type="character" w:customStyle="1" w:styleId="21">
    <w:name w:val="正文文本 字符"/>
    <w:link w:val="5"/>
    <w:semiHidden/>
    <w:qFormat/>
    <w:uiPriority w:val="99"/>
    <w:rPr>
      <w:rFonts w:ascii="Calibri" w:hAnsi="Calibri"/>
      <w:kern w:val="2"/>
      <w:sz w:val="21"/>
      <w:szCs w:val="22"/>
    </w:rPr>
  </w:style>
  <w:style w:type="character" w:customStyle="1" w:styleId="22">
    <w:name w:val="批注框文本 字符"/>
    <w:link w:val="7"/>
    <w:semiHidden/>
    <w:qFormat/>
    <w:uiPriority w:val="99"/>
    <w:rPr>
      <w:sz w:val="18"/>
      <w:szCs w:val="18"/>
    </w:rPr>
  </w:style>
  <w:style w:type="character" w:customStyle="1" w:styleId="23">
    <w:name w:val="页脚 字符"/>
    <w:link w:val="8"/>
    <w:qFormat/>
    <w:uiPriority w:val="99"/>
    <w:rPr>
      <w:sz w:val="18"/>
      <w:szCs w:val="18"/>
    </w:rPr>
  </w:style>
  <w:style w:type="character" w:customStyle="1" w:styleId="24">
    <w:name w:val="页眉 字符"/>
    <w:link w:val="9"/>
    <w:qFormat/>
    <w:uiPriority w:val="99"/>
    <w:rPr>
      <w:sz w:val="18"/>
      <w:szCs w:val="18"/>
    </w:rPr>
  </w:style>
  <w:style w:type="character" w:customStyle="1" w:styleId="25">
    <w:name w:val="副标题 字符"/>
    <w:link w:val="10"/>
    <w:qFormat/>
    <w:uiPriority w:val="11"/>
    <w:rPr>
      <w:rFonts w:ascii="Cambria" w:hAnsi="Cambria" w:eastAsia="宋体" w:cs="Times New Roman"/>
      <w:b/>
      <w:bCs/>
      <w:kern w:val="28"/>
      <w:sz w:val="32"/>
      <w:szCs w:val="32"/>
    </w:rPr>
  </w:style>
  <w:style w:type="character" w:customStyle="1" w:styleId="26">
    <w:name w:val="标题 字符"/>
    <w:link w:val="11"/>
    <w:qFormat/>
    <w:uiPriority w:val="0"/>
    <w:rPr>
      <w:rFonts w:ascii="Cambria" w:hAnsi="Cambria" w:eastAsia="宋体" w:cs="Times New Roman"/>
      <w:b/>
      <w:bCs/>
      <w:sz w:val="32"/>
      <w:szCs w:val="32"/>
    </w:rPr>
  </w:style>
  <w:style w:type="character" w:customStyle="1" w:styleId="27">
    <w:name w:val="批注主题 字符"/>
    <w:link w:val="12"/>
    <w:semiHidden/>
    <w:qFormat/>
    <w:uiPriority w:val="99"/>
    <w:rPr>
      <w:rFonts w:ascii="Calibri" w:hAnsi="Calibri"/>
      <w:b/>
      <w:bCs/>
      <w:kern w:val="2"/>
      <w:sz w:val="21"/>
      <w:szCs w:val="22"/>
    </w:rPr>
  </w:style>
  <w:style w:type="character" w:customStyle="1" w:styleId="28">
    <w:name w:val="正文文本首行缩进 字符"/>
    <w:link w:val="13"/>
    <w:qFormat/>
    <w:uiPriority w:val="0"/>
    <w:rPr>
      <w:rFonts w:ascii="Calibri" w:hAnsi="Calibri"/>
      <w:kern w:val="2"/>
      <w:sz w:val="21"/>
      <w:szCs w:val="24"/>
    </w:rPr>
  </w:style>
  <w:style w:type="paragraph" w:customStyle="1" w:styleId="29">
    <w:name w:val="修订1"/>
    <w:unhideWhenUsed/>
    <w:qFormat/>
    <w:uiPriority w:val="99"/>
    <w:rPr>
      <w:rFonts w:ascii="Calibri" w:hAnsi="Calibri" w:eastAsia="宋体" w:cs="Times New Roman"/>
      <w:kern w:val="2"/>
      <w:sz w:val="21"/>
      <w:szCs w:val="22"/>
      <w:lang w:val="en-US" w:eastAsia="zh-CN" w:bidi="ar-SA"/>
    </w:rPr>
  </w:style>
  <w:style w:type="paragraph" w:styleId="30">
    <w:name w:val="List Paragraph"/>
    <w:basedOn w:val="1"/>
    <w:qFormat/>
    <w:uiPriority w:val="34"/>
    <w:pPr>
      <w:ind w:firstLine="420" w:firstLineChars="200"/>
    </w:pPr>
  </w:style>
  <w:style w:type="paragraph" w:customStyle="1" w:styleId="31">
    <w:name w:val="段"/>
    <w:link w:val="32"/>
    <w:qFormat/>
    <w:uiPriority w:val="0"/>
    <w:pPr>
      <w:ind w:firstLine="200" w:firstLineChars="200"/>
      <w:jc w:val="both"/>
    </w:pPr>
    <w:rPr>
      <w:rFonts w:hint="eastAsia" w:ascii="宋体" w:hAnsi="Times New Roman" w:eastAsia="宋体" w:cs="Times New Roman"/>
      <w:sz w:val="21"/>
      <w:lang w:val="en-US" w:eastAsia="zh-CN" w:bidi="ar-SA"/>
    </w:rPr>
  </w:style>
  <w:style w:type="character" w:customStyle="1" w:styleId="32">
    <w:name w:val="段 Char"/>
    <w:link w:val="31"/>
    <w:qFormat/>
    <w:uiPriority w:val="0"/>
    <w:rPr>
      <w:rFonts w:ascii="宋体"/>
      <w:sz w:val="21"/>
    </w:rPr>
  </w:style>
  <w:style w:type="paragraph" w:customStyle="1" w:styleId="33">
    <w:name w:val="！正文"/>
    <w:basedOn w:val="1"/>
    <w:qFormat/>
    <w:uiPriority w:val="0"/>
    <w:pPr>
      <w:spacing w:line="560" w:lineRule="exact"/>
      <w:ind w:firstLine="200" w:firstLineChars="200"/>
    </w:pPr>
    <w:rPr>
      <w:rFonts w:ascii="方正仿宋_GBK" w:hAnsi="Times New Roman" w:eastAsia="方正仿宋_GBK"/>
      <w:sz w:val="28"/>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5.emf"/><Relationship Id="rId8" Type="http://schemas.openxmlformats.org/officeDocument/2006/relationships/image" Target="media/image4.emf"/><Relationship Id="rId78" Type="http://schemas.openxmlformats.org/officeDocument/2006/relationships/fontTable" Target="fontTable.xml"/><Relationship Id="rId77" Type="http://schemas.openxmlformats.org/officeDocument/2006/relationships/customXml" Target="../customXml/item1.xml"/><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3.emf"/><Relationship Id="rId69" Type="http://schemas.openxmlformats.org/officeDocument/2006/relationships/image" Target="media/image64.png"/><Relationship Id="rId68" Type="http://schemas.openxmlformats.org/officeDocument/2006/relationships/image" Target="media/image63.jpe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jpeg"/><Relationship Id="rId60" Type="http://schemas.openxmlformats.org/officeDocument/2006/relationships/image" Target="media/image55.jpeg"/><Relationship Id="rId6" Type="http://schemas.openxmlformats.org/officeDocument/2006/relationships/image" Target="media/image2.emf"/><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emf"/><Relationship Id="rId56" Type="http://schemas.openxmlformats.org/officeDocument/2006/relationships/package" Target="embeddings/Microsoft_Visio___1.vsdx"/><Relationship Id="rId55" Type="http://schemas.openxmlformats.org/officeDocument/2006/relationships/image" Target="media/image51.jpe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emf"/><Relationship Id="rId49" Type="http://schemas.openxmlformats.org/officeDocument/2006/relationships/image" Target="media/image45.jpe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jpeg"/><Relationship Id="rId44" Type="http://schemas.openxmlformats.org/officeDocument/2006/relationships/image" Target="media/image40.png"/><Relationship Id="rId43" Type="http://schemas.openxmlformats.org/officeDocument/2006/relationships/image" Target="media/image39.jpe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jpeg"/><Relationship Id="rId34" Type="http://schemas.openxmlformats.org/officeDocument/2006/relationships/image" Target="media/image30.jpeg"/><Relationship Id="rId33" Type="http://schemas.openxmlformats.org/officeDocument/2006/relationships/image" Target="media/image29.jpeg"/><Relationship Id="rId32" Type="http://schemas.openxmlformats.org/officeDocument/2006/relationships/image" Target="media/image28.jpeg"/><Relationship Id="rId31" Type="http://schemas.openxmlformats.org/officeDocument/2006/relationships/image" Target="media/image27.jpe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jpeg"/><Relationship Id="rId25" Type="http://schemas.openxmlformats.org/officeDocument/2006/relationships/image" Target="media/image21.emf"/><Relationship Id="rId24" Type="http://schemas.openxmlformats.org/officeDocument/2006/relationships/image" Target="media/image20.emf"/><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E2FF14-5AA3-4A78-85B8-23E0D3C6AB7C}">
  <ds:schemaRefs/>
</ds:datastoreItem>
</file>

<file path=docProps/app.xml><?xml version="1.0" encoding="utf-8"?>
<Properties xmlns="http://schemas.openxmlformats.org/officeDocument/2006/extended-properties" xmlns:vt="http://schemas.openxmlformats.org/officeDocument/2006/docPropsVTypes">
  <Template>Normal.dotm</Template>
  <Pages>21</Pages>
  <Words>4621</Words>
  <Characters>5389</Characters>
  <Lines>42</Lines>
  <Paragraphs>11</Paragraphs>
  <TotalTime>0</TotalTime>
  <ScaleCrop>false</ScaleCrop>
  <LinksUpToDate>false</LinksUpToDate>
  <CharactersWithSpaces>5427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2023-02-06T11:49:00Z</dcterms:created>
  <dc:creator>Lenovo</dc:creator>
  <cp:lastModifiedBy>ZY</cp:lastModifiedBy>
  <dcterms:modified xsi:type="dcterms:W3CDTF">2026-03-20T07:13:33Z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6F4C7F60F02945309905762A37D3124A</vt:lpwstr>
  </property>
  <property fmtid="{D5CDD505-2E9C-101B-9397-08002B2CF9AE}" pid="4" name="KSOTemplateDocerSaveRecord">
    <vt:lpwstr>eyJoZGlkIjoiOTE4Mzk2YjliNTc0M2Q5NTQwNjc5MmQxYThhYjkyNTciLCJ1c2VySWQiOiIyNTc3MzU4MzMifQ==</vt:lpwstr>
  </property>
</Properties>
</file>