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E1078">
      <w:pPr>
        <w:spacing w:line="594" w:lineRule="exact"/>
        <w:ind w:firstLine="880" w:firstLineChars="200"/>
        <w:rPr>
          <w:rFonts w:ascii="Times New Roman" w:eastAsia="方正小标宋简体"/>
          <w:color w:val="auto"/>
          <w:sz w:val="44"/>
          <w:szCs w:val="44"/>
          <w:highlight w:val="none"/>
        </w:rPr>
      </w:pPr>
    </w:p>
    <w:p w14:paraId="0A0A9387">
      <w:pPr>
        <w:spacing w:line="594" w:lineRule="exact"/>
        <w:ind w:firstLine="880" w:firstLineChars="200"/>
        <w:rPr>
          <w:rFonts w:ascii="Times New Roman" w:eastAsia="方正小标宋简体"/>
          <w:color w:val="auto"/>
          <w:sz w:val="44"/>
          <w:szCs w:val="44"/>
          <w:highlight w:val="none"/>
        </w:rPr>
      </w:pPr>
    </w:p>
    <w:p w14:paraId="6E64F900">
      <w:pPr>
        <w:spacing w:line="594" w:lineRule="exact"/>
        <w:jc w:val="both"/>
        <w:rPr>
          <w:rFonts w:hint="eastAsia" w:ascii="黑体" w:hAnsi="黑体" w:eastAsia="黑体" w:cs="黑体"/>
          <w:b w:val="0"/>
          <w:bCs w:val="0"/>
          <w:color w:val="auto"/>
          <w:sz w:val="44"/>
          <w:szCs w:val="44"/>
          <w:highlight w:val="none"/>
        </w:rPr>
      </w:pPr>
      <w:r>
        <w:rPr>
          <w:rFonts w:hint="eastAsia" w:ascii="黑体" w:hAnsi="黑体" w:eastAsia="黑体" w:cs="黑体"/>
          <w:b w:val="0"/>
          <w:bCs w:val="0"/>
          <w:color w:val="auto"/>
          <w:spacing w:val="1"/>
          <w:w w:val="92"/>
          <w:kern w:val="0"/>
          <w:sz w:val="44"/>
          <w:szCs w:val="44"/>
          <w:highlight w:val="none"/>
          <w:fitText w:val="6336" w:id="2050105974"/>
        </w:rPr>
        <w:t>《重点用能单位能源计量审查规范</w:t>
      </w:r>
      <w:r>
        <w:rPr>
          <w:rFonts w:hint="eastAsia" w:ascii="黑体" w:hAnsi="黑体" w:eastAsia="黑体" w:cs="黑体"/>
          <w:b w:val="0"/>
          <w:bCs w:val="0"/>
          <w:color w:val="auto"/>
          <w:spacing w:val="34"/>
          <w:w w:val="92"/>
          <w:kern w:val="0"/>
          <w:sz w:val="44"/>
          <w:szCs w:val="44"/>
          <w:highlight w:val="none"/>
          <w:fitText w:val="6336" w:id="2050105974"/>
          <w:lang w:val="en-US" w:eastAsia="zh-CN"/>
        </w:rPr>
        <w:t xml:space="preserve"> </w:t>
      </w:r>
      <w:r>
        <w:rPr>
          <w:rFonts w:hint="eastAsia" w:ascii="黑体" w:hAnsi="黑体" w:eastAsia="黑体" w:cs="黑体"/>
          <w:b w:val="0"/>
          <w:bCs w:val="0"/>
          <w:color w:val="auto"/>
          <w:sz w:val="44"/>
          <w:szCs w:val="44"/>
          <w:highlight w:val="none"/>
        </w:rPr>
        <w:t>炼油</w:t>
      </w:r>
      <w:r>
        <w:rPr>
          <w:rFonts w:hint="eastAsia" w:ascii="黑体" w:hAnsi="黑体" w:eastAsia="黑体" w:cs="黑体"/>
          <w:b w:val="0"/>
          <w:bCs w:val="0"/>
          <w:color w:val="auto"/>
          <w:sz w:val="44"/>
          <w:szCs w:val="44"/>
          <w:highlight w:val="none"/>
          <w:lang w:val="en-US" w:eastAsia="zh-CN"/>
        </w:rPr>
        <w:t>化工</w:t>
      </w:r>
      <w:r>
        <w:rPr>
          <w:rFonts w:hint="eastAsia" w:ascii="黑体" w:hAnsi="黑体" w:eastAsia="黑体" w:cs="黑体"/>
          <w:b w:val="0"/>
          <w:bCs w:val="0"/>
          <w:color w:val="auto"/>
          <w:sz w:val="44"/>
          <w:szCs w:val="44"/>
          <w:highlight w:val="none"/>
        </w:rPr>
        <w:t>》</w:t>
      </w:r>
    </w:p>
    <w:p w14:paraId="39678829">
      <w:pPr>
        <w:spacing w:line="594" w:lineRule="exact"/>
        <w:jc w:val="center"/>
        <w:rPr>
          <w:rFonts w:hint="eastAsia" w:ascii="黑体" w:hAnsi="黑体" w:eastAsia="黑体" w:cs="黑体"/>
          <w:b w:val="0"/>
          <w:bCs w:val="0"/>
          <w:color w:val="auto"/>
          <w:sz w:val="44"/>
          <w:szCs w:val="44"/>
          <w:highlight w:val="none"/>
        </w:rPr>
      </w:pPr>
      <w:r>
        <w:rPr>
          <w:rFonts w:hint="eastAsia" w:ascii="黑体" w:hAnsi="黑体" w:eastAsia="黑体" w:cs="黑体"/>
          <w:b w:val="0"/>
          <w:bCs w:val="0"/>
          <w:color w:val="auto"/>
          <w:sz w:val="44"/>
          <w:szCs w:val="44"/>
          <w:highlight w:val="none"/>
        </w:rPr>
        <w:t>编制说明</w:t>
      </w:r>
    </w:p>
    <w:p w14:paraId="53DF4E4E">
      <w:pPr>
        <w:spacing w:line="594" w:lineRule="exact"/>
        <w:jc w:val="center"/>
        <w:rPr>
          <w:rFonts w:hint="eastAsia" w:ascii="黑体" w:hAnsi="黑体" w:eastAsia="黑体" w:cs="黑体"/>
          <w:b w:val="0"/>
          <w:bCs w:val="0"/>
          <w:color w:val="auto"/>
          <w:sz w:val="44"/>
          <w:szCs w:val="44"/>
          <w:highlight w:val="none"/>
        </w:rPr>
      </w:pPr>
      <w:r>
        <w:rPr>
          <w:rFonts w:hint="eastAsia" w:ascii="黑体" w:hAnsi="黑体" w:eastAsia="黑体" w:cs="黑体"/>
          <w:b w:val="0"/>
          <w:bCs w:val="0"/>
          <w:color w:val="auto"/>
          <w:sz w:val="44"/>
          <w:szCs w:val="44"/>
          <w:highlight w:val="none"/>
        </w:rPr>
        <w:t>（征求意见稿）</w:t>
      </w:r>
    </w:p>
    <w:p w14:paraId="38CBF621">
      <w:pPr>
        <w:spacing w:line="594" w:lineRule="exact"/>
        <w:ind w:firstLine="880" w:firstLineChars="200"/>
        <w:rPr>
          <w:rFonts w:ascii="Times New Roman" w:eastAsia="方正小标宋简体"/>
          <w:color w:val="auto"/>
          <w:sz w:val="44"/>
          <w:szCs w:val="44"/>
          <w:highlight w:val="none"/>
        </w:rPr>
      </w:pPr>
    </w:p>
    <w:p w14:paraId="03AE2A22">
      <w:pPr>
        <w:spacing w:before="313" w:beforeLines="100"/>
        <w:rPr>
          <w:rFonts w:ascii="Times New Roman" w:eastAsia="仿宋"/>
          <w:b/>
          <w:color w:val="auto"/>
          <w:spacing w:val="-11"/>
          <w:szCs w:val="32"/>
          <w:highlight w:val="none"/>
        </w:rPr>
      </w:pPr>
      <w:r>
        <w:rPr>
          <w:rFonts w:ascii="Times New Roman" w:eastAsia="方正仿宋简体"/>
          <w:b/>
          <w:color w:val="auto"/>
          <w:spacing w:val="-11"/>
          <w:szCs w:val="32"/>
          <w:highlight w:val="none"/>
        </w:rPr>
        <w:t xml:space="preserve">1. </w:t>
      </w:r>
      <w:r>
        <w:rPr>
          <w:rFonts w:ascii="Times New Roman" w:eastAsia="仿宋"/>
          <w:b/>
          <w:color w:val="auto"/>
          <w:spacing w:val="-11"/>
          <w:szCs w:val="32"/>
          <w:highlight w:val="none"/>
        </w:rPr>
        <w:t>任务来源及背景意义</w:t>
      </w:r>
    </w:p>
    <w:p w14:paraId="4B92FB2B">
      <w:pPr>
        <w:tabs>
          <w:tab w:val="left" w:pos="790"/>
          <w:tab w:val="left" w:pos="1264"/>
        </w:tabs>
        <w:overflowPunct w:val="0"/>
        <w:adjustRightInd w:val="0"/>
        <w:snapToGrid w:val="0"/>
        <w:spacing w:line="600" w:lineRule="exact"/>
        <w:rPr>
          <w:rFonts w:hint="eastAsia" w:ascii="仿宋" w:hAnsi="仿宋" w:eastAsia="仿宋"/>
          <w:color w:val="auto"/>
          <w:spacing w:val="-11"/>
          <w:kern w:val="0"/>
          <w:szCs w:val="32"/>
          <w:highlight w:val="none"/>
        </w:rPr>
      </w:pPr>
      <w:r>
        <w:rPr>
          <w:rFonts w:ascii="Times New Roman" w:eastAsia="方正仿宋简体"/>
          <w:b/>
          <w:color w:val="auto"/>
          <w:spacing w:val="-11"/>
          <w:szCs w:val="32"/>
          <w:highlight w:val="none"/>
        </w:rPr>
        <w:t>1.</w:t>
      </w:r>
      <w:r>
        <w:rPr>
          <w:rFonts w:ascii="Times New Roman" w:eastAsia="仿宋"/>
          <w:b/>
          <w:color w:val="auto"/>
          <w:spacing w:val="-11"/>
          <w:szCs w:val="32"/>
          <w:highlight w:val="none"/>
        </w:rPr>
        <w:t>1</w:t>
      </w:r>
      <w:r>
        <w:rPr>
          <w:rFonts w:ascii="仿宋" w:hAnsi="仿宋" w:eastAsia="仿宋"/>
          <w:b/>
          <w:color w:val="auto"/>
          <w:spacing w:val="-11"/>
          <w:szCs w:val="32"/>
          <w:highlight w:val="none"/>
        </w:rPr>
        <w:t>任务来源</w:t>
      </w:r>
    </w:p>
    <w:p w14:paraId="60BA8FE3">
      <w:pPr>
        <w:pStyle w:val="13"/>
        <w:rPr>
          <w:color w:val="auto"/>
          <w:highlight w:val="none"/>
        </w:rPr>
      </w:pPr>
      <w:r>
        <w:rPr>
          <w:color w:val="auto"/>
          <w:highlight w:val="none"/>
        </w:rPr>
        <w:t>2025年5月，国家市场监督管理总局办公厅印发《市场监管总局办公厅关于印发2025年国家计量技术规范制定、修订及宣贯计划的通知》（市监计量发〔2025〕45号），将《重点用能单位能源计量审查规利范 炼油》纳入2025年制定计划，计划号MTC36/SC1-2025-02。该规范由全国能源资源计量技术委员会能源计量分技术委员（MTC36/SC1）归口，主要起草单位为中国化工节能技术协会、中国石油和化学工业联合会、中国计量科学研究院，参加起草单位为中国石油化工集团有限公司、中国石油天然气集团有限公司和中国海洋石油集团有限公司。</w:t>
      </w:r>
    </w:p>
    <w:p w14:paraId="702EED8D">
      <w:pPr>
        <w:spacing w:before="156" w:beforeLines="50" w:line="600" w:lineRule="exact"/>
        <w:rPr>
          <w:rFonts w:ascii="Times New Roman" w:eastAsia="方正仿宋简体"/>
          <w:b/>
          <w:color w:val="auto"/>
          <w:spacing w:val="-11"/>
          <w:szCs w:val="32"/>
          <w:highlight w:val="none"/>
        </w:rPr>
      </w:pPr>
      <w:r>
        <w:rPr>
          <w:rFonts w:ascii="Times New Roman" w:eastAsia="方正仿宋简体"/>
          <w:b/>
          <w:color w:val="auto"/>
          <w:spacing w:val="-11"/>
          <w:szCs w:val="32"/>
          <w:highlight w:val="none"/>
        </w:rPr>
        <w:t xml:space="preserve">1.2 </w:t>
      </w:r>
      <w:r>
        <w:rPr>
          <w:rFonts w:hint="eastAsia" w:ascii="Times New Roman" w:eastAsia="仿宋"/>
          <w:b/>
          <w:color w:val="auto"/>
          <w:spacing w:val="-11"/>
          <w:szCs w:val="32"/>
          <w:highlight w:val="none"/>
        </w:rPr>
        <w:t>政策背景</w:t>
      </w:r>
    </w:p>
    <w:p w14:paraId="535C1E40">
      <w:pPr>
        <w:spacing w:line="600" w:lineRule="exact"/>
        <w:ind w:firstLine="596" w:firstLineChars="200"/>
        <w:rPr>
          <w:rFonts w:ascii="Times New Roman" w:eastAsia="仿宋"/>
          <w:bCs/>
          <w:color w:val="auto"/>
          <w:spacing w:val="-11"/>
          <w:szCs w:val="32"/>
          <w:highlight w:val="none"/>
        </w:rPr>
      </w:pPr>
      <w:r>
        <w:rPr>
          <w:rFonts w:ascii="Times New Roman" w:eastAsia="仿宋"/>
          <w:bCs/>
          <w:color w:val="auto"/>
          <w:spacing w:val="-11"/>
          <w:szCs w:val="32"/>
          <w:highlight w:val="none"/>
        </w:rPr>
        <w:t>《中华人民共和国国民经济和社会发展第十五个五年规划纲要》提出“积极稳妥推进和实现碳达峰”的目标，要求全面实施碳排放总量和强度双控制度，推动重点领域节能降碳。</w:t>
      </w:r>
      <w:r>
        <w:rPr>
          <w:rFonts w:hint="eastAsia" w:ascii="Times New Roman" w:eastAsia="仿宋"/>
          <w:bCs/>
          <w:color w:val="auto"/>
          <w:spacing w:val="-11"/>
          <w:szCs w:val="32"/>
          <w:highlight w:val="none"/>
        </w:rPr>
        <w:t>中共中央、国务院</w:t>
      </w:r>
      <w:r>
        <w:rPr>
          <w:rFonts w:ascii="Times New Roman" w:eastAsia="仿宋"/>
          <w:bCs/>
          <w:color w:val="auto"/>
          <w:spacing w:val="-11"/>
          <w:szCs w:val="32"/>
          <w:highlight w:val="none"/>
        </w:rPr>
        <w:t>《关于完整准确全面贯彻新发展理念做好碳达峰碳中和工作的意见》</w:t>
      </w:r>
      <w:r>
        <w:rPr>
          <w:rFonts w:hint="eastAsia" w:ascii="Times New Roman" w:eastAsia="仿宋"/>
          <w:bCs/>
          <w:color w:val="auto"/>
          <w:spacing w:val="-11"/>
          <w:szCs w:val="32"/>
          <w:highlight w:val="none"/>
        </w:rPr>
        <w:t>要健全法律法规标准和统计监测体系，完善标准计量体系，提升统计监测能力;加强重点用能单位能耗在线监测系统建设。</w:t>
      </w:r>
      <w:r>
        <w:rPr>
          <w:rFonts w:ascii="Times New Roman" w:eastAsia="仿宋"/>
          <w:bCs/>
          <w:color w:val="auto"/>
          <w:spacing w:val="-11"/>
          <w:szCs w:val="32"/>
          <w:highlight w:val="none"/>
        </w:rPr>
        <w:t>国务院《2030年前碳达峰行动方案》</w:t>
      </w:r>
      <w:r>
        <w:rPr>
          <w:rFonts w:hint="eastAsia" w:ascii="Times New Roman" w:eastAsia="仿宋"/>
          <w:bCs/>
          <w:color w:val="auto"/>
          <w:spacing w:val="-11"/>
          <w:szCs w:val="32"/>
          <w:highlight w:val="none"/>
        </w:rPr>
        <w:t>提出要加强新型基础设施用能管理，将年综合能耗超过1万吨标准煤的数据中心全部纳入重点用能单位能耗在线监测系统，开展能源计量审查。</w:t>
      </w:r>
      <w:r>
        <w:rPr>
          <w:rFonts w:ascii="Times New Roman" w:eastAsia="仿宋"/>
          <w:bCs/>
          <w:color w:val="auto"/>
          <w:spacing w:val="-11"/>
          <w:szCs w:val="32"/>
          <w:highlight w:val="none"/>
        </w:rPr>
        <w:t>市场监管总局等九部门《建立健全碳达峰碳中和标准计量体系实施方案》</w:t>
      </w:r>
      <w:r>
        <w:rPr>
          <w:rFonts w:hint="eastAsia" w:ascii="Times New Roman" w:eastAsia="仿宋"/>
          <w:bCs/>
          <w:color w:val="auto"/>
          <w:spacing w:val="-11"/>
          <w:szCs w:val="32"/>
          <w:highlight w:val="none"/>
        </w:rPr>
        <w:t>加强计量监督管理，开展重点排放单位能源计量审查和碳排放计量审查；强化重点排放单位的碳计量要求，督促重点排放单位合理配备和使用计量器具。</w:t>
      </w:r>
    </w:p>
    <w:p w14:paraId="100169F9">
      <w:pPr>
        <w:spacing w:line="600" w:lineRule="exact"/>
        <w:ind w:firstLine="596" w:firstLineChars="200"/>
        <w:rPr>
          <w:rFonts w:ascii="Times New Roman" w:eastAsia="仿宋"/>
          <w:bCs/>
          <w:color w:val="auto"/>
          <w:spacing w:val="-11"/>
          <w:szCs w:val="32"/>
          <w:highlight w:val="none"/>
        </w:rPr>
      </w:pPr>
      <w:r>
        <w:rPr>
          <w:rFonts w:hint="eastAsia" w:ascii="Times New Roman" w:eastAsia="仿宋"/>
          <w:bCs/>
          <w:color w:val="auto"/>
          <w:spacing w:val="-11"/>
          <w:szCs w:val="32"/>
          <w:highlight w:val="none"/>
        </w:rPr>
        <w:t>国家发改委、市场监管总局和生态环境部《进一步强化碳达峰碳中和标准计量体系建设行动方案（2024—2025年）》“第十六条 加强能源计量监督管理”中明确提出，组织各地区对石化化工等传统行业以及数据中心、公共机构等重点领域开展能源计量审查，帮助用能单位解决节能减排降碳计量难题，不断提升用能单位能源计量管理水平和能力。2026年4月11日，中共中央办公厅、国务院办公厅《关于更高水平更高质量做好节能降碳工作的意见》中指出，加强重点用能和碳排放单位管理，严格执行能源和碳排放计量器具配备、信息系统建设等制度；同时，持续完善能源和碳排放计量、监测、认证等配套标准。</w:t>
      </w:r>
      <w:r>
        <w:rPr>
          <w:rFonts w:ascii="Times New Roman" w:eastAsia="仿宋"/>
          <w:bCs/>
          <w:color w:val="auto"/>
          <w:spacing w:val="-11"/>
          <w:szCs w:val="32"/>
          <w:highlight w:val="none"/>
        </w:rPr>
        <w:t>进一步部署开展重点排放单位能源计量审查和碳排放计量审查。能源计量是节能减排的“眼睛”和“标尺”，也是实现碳达峰、碳中和目标的基础性支撑，这些政策为能源计量工作指明了方向，也提出了更高要求。</w:t>
      </w:r>
    </w:p>
    <w:p w14:paraId="214B3E70">
      <w:pPr>
        <w:spacing w:line="600" w:lineRule="exact"/>
        <w:ind w:firstLine="596" w:firstLineChars="200"/>
        <w:rPr>
          <w:rFonts w:ascii="Times New Roman" w:eastAsia="仿宋"/>
          <w:bCs/>
          <w:color w:val="auto"/>
          <w:spacing w:val="-11"/>
          <w:szCs w:val="32"/>
          <w:highlight w:val="none"/>
        </w:rPr>
      </w:pPr>
      <w:r>
        <w:rPr>
          <w:rFonts w:ascii="Times New Roman" w:eastAsia="仿宋"/>
          <w:bCs/>
          <w:color w:val="auto"/>
          <w:spacing w:val="-11"/>
          <w:szCs w:val="32"/>
          <w:highlight w:val="none"/>
        </w:rPr>
        <w:t>为落实《能源计量监督管理办法》（原国家质检总局第132号令），原质检总局计量司组织制定了《重点用能单位能源计量审查规范》（JJF 1356-2012）。该规范发布实施以来，各级市场监管部门依据该规范对重点用能单位开展能源计量审查，有效提升了用能单位的能源计量管理水平、器具配备率和数据应用能力。</w:t>
      </w:r>
    </w:p>
    <w:p w14:paraId="2778CF01">
      <w:pPr>
        <w:spacing w:line="600" w:lineRule="exact"/>
        <w:ind w:firstLine="596" w:firstLineChars="200"/>
        <w:rPr>
          <w:rFonts w:ascii="Times New Roman" w:eastAsia="仿宋"/>
          <w:bCs/>
          <w:color w:val="auto"/>
          <w:spacing w:val="-11"/>
          <w:szCs w:val="32"/>
          <w:highlight w:val="none"/>
        </w:rPr>
      </w:pPr>
      <w:r>
        <w:rPr>
          <w:rFonts w:hint="eastAsia" w:ascii="Times New Roman" w:eastAsia="仿宋"/>
          <w:bCs/>
          <w:color w:val="auto"/>
          <w:spacing w:val="-11"/>
          <w:szCs w:val="32"/>
          <w:highlight w:val="none"/>
        </w:rPr>
        <w:t>近年来，为进一步提升能源计量审查工作的针对性和有效性</w:t>
      </w:r>
      <w:r>
        <w:rPr>
          <w:rFonts w:hint="eastAsia" w:ascii="Times New Roman" w:eastAsia="仿宋"/>
          <w:bCs/>
          <w:color w:val="auto"/>
          <w:spacing w:val="-11"/>
          <w:szCs w:val="32"/>
          <w:highlight w:val="none"/>
          <w:lang w:eastAsia="zh-CN"/>
        </w:rPr>
        <w:t>，</w:t>
      </w:r>
      <w:r>
        <w:rPr>
          <w:rFonts w:hint="eastAsia" w:ascii="Times New Roman" w:eastAsia="仿宋"/>
          <w:bCs/>
          <w:color w:val="auto"/>
          <w:spacing w:val="-11"/>
          <w:szCs w:val="32"/>
          <w:highlight w:val="none"/>
        </w:rPr>
        <w:t>市场监管总局计量司决定逐步制定分行业、分领域的能源计量审查规范。</w:t>
      </w:r>
      <w:r>
        <w:rPr>
          <w:rFonts w:hint="eastAsia" w:ascii="Times New Roman" w:eastAsia="仿宋"/>
          <w:bCs/>
          <w:color w:val="auto"/>
          <w:spacing w:val="-11"/>
          <w:szCs w:val="32"/>
          <w:highlight w:val="none"/>
          <w:lang w:val="en-US" w:eastAsia="zh-CN"/>
        </w:rPr>
        <w:t>目前</w:t>
      </w:r>
      <w:r>
        <w:rPr>
          <w:rFonts w:hint="eastAsia" w:ascii="Times New Roman" w:eastAsia="仿宋"/>
          <w:bCs/>
          <w:color w:val="auto"/>
          <w:spacing w:val="-11"/>
          <w:szCs w:val="32"/>
          <w:highlight w:val="none"/>
        </w:rPr>
        <w:t>已发布《</w:t>
      </w:r>
      <w:r>
        <w:rPr>
          <w:rFonts w:ascii="Times New Roman" w:eastAsia="仿宋"/>
          <w:bCs/>
          <w:color w:val="auto"/>
          <w:spacing w:val="-11"/>
          <w:szCs w:val="32"/>
          <w:highlight w:val="none"/>
        </w:rPr>
        <w:t>JJF 1356.1-2023重点用能单位能源计量审查规范</w:t>
      </w:r>
      <w:r>
        <w:rPr>
          <w:rFonts w:hint="eastAsia" w:ascii="Times New Roman" w:eastAsia="仿宋"/>
          <w:bCs/>
          <w:color w:val="auto"/>
          <w:spacing w:val="-11"/>
          <w:szCs w:val="32"/>
          <w:highlight w:val="none"/>
        </w:rPr>
        <w:t xml:space="preserve">  </w:t>
      </w:r>
      <w:r>
        <w:rPr>
          <w:rFonts w:ascii="Times New Roman" w:eastAsia="仿宋"/>
          <w:bCs/>
          <w:color w:val="auto"/>
          <w:spacing w:val="-11"/>
          <w:szCs w:val="32"/>
          <w:highlight w:val="none"/>
        </w:rPr>
        <w:t>数据中心</w:t>
      </w:r>
      <w:r>
        <w:rPr>
          <w:rFonts w:hint="eastAsia" w:ascii="Times New Roman" w:eastAsia="仿宋"/>
          <w:bCs/>
          <w:color w:val="auto"/>
          <w:spacing w:val="-11"/>
          <w:szCs w:val="32"/>
          <w:highlight w:val="none"/>
        </w:rPr>
        <w:t>》《</w:t>
      </w:r>
      <w:r>
        <w:rPr>
          <w:rFonts w:ascii="Times New Roman" w:eastAsia="仿宋"/>
          <w:bCs/>
          <w:color w:val="auto"/>
          <w:spacing w:val="-11"/>
          <w:szCs w:val="32"/>
          <w:highlight w:val="none"/>
        </w:rPr>
        <w:t>JJF 2244-2025 公共机构重点用能单位能源资源计量审查规范</w:t>
      </w:r>
      <w:r>
        <w:rPr>
          <w:rFonts w:hint="eastAsia" w:ascii="Times New Roman" w:eastAsia="仿宋"/>
          <w:bCs/>
          <w:color w:val="auto"/>
          <w:spacing w:val="-11"/>
          <w:szCs w:val="32"/>
          <w:highlight w:val="none"/>
        </w:rPr>
        <w:t>》，其他行业、领域的</w:t>
      </w:r>
      <w:r>
        <w:rPr>
          <w:rFonts w:ascii="Times New Roman" w:eastAsia="仿宋"/>
          <w:bCs/>
          <w:color w:val="auto"/>
          <w:spacing w:val="-11"/>
          <w:szCs w:val="32"/>
          <w:highlight w:val="none"/>
        </w:rPr>
        <w:t>能源计量审查规范</w:t>
      </w:r>
      <w:r>
        <w:rPr>
          <w:rFonts w:hint="eastAsia" w:ascii="Times New Roman" w:eastAsia="仿宋"/>
          <w:bCs/>
          <w:color w:val="auto"/>
          <w:spacing w:val="-11"/>
          <w:szCs w:val="32"/>
          <w:highlight w:val="none"/>
          <w:lang w:val="en-US" w:eastAsia="zh-CN"/>
        </w:rPr>
        <w:t>正在有序</w:t>
      </w:r>
      <w:r>
        <w:rPr>
          <w:rFonts w:hint="eastAsia" w:ascii="Times New Roman" w:eastAsia="仿宋"/>
          <w:bCs/>
          <w:color w:val="auto"/>
          <w:spacing w:val="-11"/>
          <w:szCs w:val="32"/>
          <w:highlight w:val="none"/>
        </w:rPr>
        <w:t>制定中。</w:t>
      </w:r>
    </w:p>
    <w:p w14:paraId="5EA4499F">
      <w:pPr>
        <w:spacing w:before="156" w:beforeLines="50" w:line="600" w:lineRule="exact"/>
        <w:rPr>
          <w:rFonts w:ascii="Times New Roman" w:eastAsia="方正仿宋简体"/>
          <w:b/>
          <w:color w:val="auto"/>
          <w:spacing w:val="-11"/>
          <w:szCs w:val="32"/>
          <w:highlight w:val="none"/>
        </w:rPr>
      </w:pPr>
      <w:r>
        <w:rPr>
          <w:rFonts w:ascii="Times New Roman" w:eastAsia="方正仿宋简体"/>
          <w:b/>
          <w:color w:val="auto"/>
          <w:spacing w:val="-11"/>
          <w:szCs w:val="32"/>
          <w:highlight w:val="none"/>
        </w:rPr>
        <w:t>1.</w:t>
      </w:r>
      <w:r>
        <w:rPr>
          <w:rFonts w:hint="eastAsia" w:ascii="Times New Roman" w:eastAsia="方正仿宋简体"/>
          <w:b/>
          <w:color w:val="auto"/>
          <w:spacing w:val="-11"/>
          <w:szCs w:val="32"/>
          <w:highlight w:val="none"/>
        </w:rPr>
        <w:t>3</w:t>
      </w:r>
      <w:r>
        <w:rPr>
          <w:rFonts w:ascii="Times New Roman" w:eastAsia="方正仿宋简体"/>
          <w:b/>
          <w:color w:val="auto"/>
          <w:spacing w:val="-11"/>
          <w:szCs w:val="32"/>
          <w:highlight w:val="none"/>
        </w:rPr>
        <w:t xml:space="preserve"> </w:t>
      </w:r>
      <w:r>
        <w:rPr>
          <w:rFonts w:hint="eastAsia" w:ascii="Times New Roman" w:eastAsia="仿宋"/>
          <w:b/>
          <w:color w:val="auto"/>
          <w:spacing w:val="-11"/>
          <w:szCs w:val="32"/>
          <w:highlight w:val="none"/>
        </w:rPr>
        <w:t>制定意义</w:t>
      </w:r>
    </w:p>
    <w:p w14:paraId="0795C085">
      <w:pPr>
        <w:spacing w:line="600" w:lineRule="exact"/>
        <w:ind w:firstLine="596" w:firstLineChars="200"/>
        <w:jc w:val="left"/>
        <w:rPr>
          <w:rFonts w:hint="eastAsia" w:ascii="Times New Roman" w:eastAsia="仿宋"/>
          <w:bCs/>
          <w:color w:val="auto"/>
          <w:spacing w:val="-11"/>
          <w:szCs w:val="32"/>
          <w:highlight w:val="none"/>
        </w:rPr>
      </w:pPr>
      <w:r>
        <w:rPr>
          <w:rFonts w:hint="eastAsia" w:ascii="Times New Roman" w:eastAsia="仿宋"/>
          <w:bCs/>
          <w:color w:val="auto"/>
          <w:spacing w:val="-11"/>
          <w:szCs w:val="32"/>
          <w:highlight w:val="none"/>
          <w:lang w:val="en-US" w:eastAsia="zh-CN"/>
        </w:rPr>
        <w:t>炼油化工行业是我国国民经济的基础性支柱产业，也是能源消耗和碳排放的重点领域。炼油化工行业包含石油炼制、石油化工及炼化一体化三类生产主体，随着行业结构调整和转型升级，炼化一体化已发展成为行业主流模式，“油头化尾” 产业布局持续深化。石油炼制生产工艺涵盖常减压蒸馏、催化裂化、催化重整、加氢精制等复杂流程，涉及燃料气、蒸汽、电力、各类中间物料及余热资源等多种能源品类，能源计量网络密集、数据关联度高、计量溯源链条长。炼化一体化企业融合炼油工艺与蒸汽裂解、芳烃分离、聚合反应等石油化工工艺，能源介质从传统燃料气、蒸汽、电力，拓展至石脑油、炼厂尾气、裂解气、各类中间物料、氢气等多相复杂介质；能源计量网络覆盖炼油装置、化工装置全生产流程，数据交互频繁、中间物料互供复杂、计量环节繁多、能量梯级利用链条长，对能源计量审查工作提出了更高标准与专业要求。</w:t>
      </w:r>
    </w:p>
    <w:p w14:paraId="3EB04512">
      <w:pPr>
        <w:spacing w:line="600" w:lineRule="exact"/>
        <w:ind w:firstLine="596" w:firstLineChars="200"/>
        <w:jc w:val="left"/>
        <w:rPr>
          <w:rFonts w:hint="eastAsia" w:ascii="Times New Roman" w:eastAsia="仿宋"/>
          <w:bCs/>
          <w:color w:val="auto"/>
          <w:spacing w:val="-11"/>
          <w:szCs w:val="32"/>
          <w:highlight w:val="none"/>
        </w:rPr>
      </w:pPr>
      <w:r>
        <w:rPr>
          <w:rFonts w:hint="eastAsia" w:ascii="Times New Roman" w:eastAsia="仿宋"/>
          <w:bCs/>
          <w:color w:val="auto"/>
          <w:spacing w:val="-11"/>
          <w:szCs w:val="32"/>
          <w:highlight w:val="none"/>
          <w:lang w:val="en-US" w:eastAsia="zh-CN"/>
        </w:rPr>
        <w:t>目前，炼油化工企业主要依据《重点用能单位能源计量审查规范》（JJF 1356-2012）开展行业能源计量审查，依据《用能单位能源计量器具配备和管理通则》（GB 17167-2025）、《石油石化行业能源计量器具配备和管理要求》（GB/T 20901-2007）实施日常计量管理。但 JJF 1356 为通用性计量审查规范，未针对炼油化工行业工艺流程复杂、能源介质种类繁多、工况条件特殊等特点，制定专业化、系统化的审查程序、审查内容与评价方法，难以完全适配炼油化工生产实际工况，无法充分保障能源计量审查的精准性与有效性。</w:t>
      </w:r>
    </w:p>
    <w:p w14:paraId="2BD206D0">
      <w:pPr>
        <w:spacing w:line="600" w:lineRule="exact"/>
        <w:ind w:firstLine="596" w:firstLineChars="200"/>
        <w:jc w:val="left"/>
        <w:rPr>
          <w:rFonts w:ascii="Times New Roman" w:eastAsia="方正仿宋简体"/>
          <w:color w:val="auto"/>
          <w:spacing w:val="-11"/>
          <w:szCs w:val="32"/>
          <w:highlight w:val="none"/>
        </w:rPr>
      </w:pPr>
      <w:r>
        <w:rPr>
          <w:rFonts w:hint="eastAsia" w:ascii="Times New Roman" w:eastAsia="仿宋"/>
          <w:bCs/>
          <w:color w:val="auto"/>
          <w:spacing w:val="-11"/>
          <w:szCs w:val="32"/>
          <w:highlight w:val="none"/>
          <w:lang w:val="en-US" w:eastAsia="zh-CN"/>
        </w:rPr>
        <w:t>为此，制定《重点用能单位能源计量审查规范 炼油化工》具有重要现实意义。本规范作为 JJF 1356 在炼油化工领域的延伸与专项补充，旨在建立契合炼油化工工艺特点、用能规律的能源计量审查技术规则，明确炼油化工企业能源计量器具配备、使用、数据管理及碳计量相关审查要点，进一步提升审查工作的针对性与可操作性。本规范的实施，将推动炼油化工行业能源计量管理向精细化、标准化、智能化方向迈进，为企业能耗、碳排放精准核算，以及节能降碳目标落地提供可靠计量数据支撑，同时为行业绿色低碳转型与高质量发展筑牢计量技术基础，助力碳达峰、碳中和战略在炼油化工领域有效落地。</w:t>
      </w:r>
    </w:p>
    <w:p w14:paraId="679287EC">
      <w:pPr>
        <w:spacing w:before="313" w:beforeLines="100"/>
        <w:rPr>
          <w:rFonts w:ascii="Times New Roman" w:eastAsia="方正仿宋简体"/>
          <w:b/>
          <w:color w:val="auto"/>
          <w:spacing w:val="-11"/>
          <w:szCs w:val="32"/>
          <w:highlight w:val="none"/>
        </w:rPr>
      </w:pPr>
      <w:r>
        <w:rPr>
          <w:rFonts w:ascii="Times New Roman" w:eastAsia="方正仿宋简体"/>
          <w:b/>
          <w:color w:val="auto"/>
          <w:spacing w:val="-11"/>
          <w:szCs w:val="32"/>
          <w:highlight w:val="none"/>
        </w:rPr>
        <w:t xml:space="preserve">2 </w:t>
      </w:r>
      <w:r>
        <w:rPr>
          <w:rFonts w:ascii="仿宋" w:hAnsi="仿宋" w:eastAsia="仿宋"/>
          <w:b/>
          <w:color w:val="auto"/>
          <w:spacing w:val="-11"/>
          <w:szCs w:val="32"/>
          <w:highlight w:val="none"/>
        </w:rPr>
        <w:t>主要</w:t>
      </w:r>
      <w:r>
        <w:rPr>
          <w:rFonts w:hint="eastAsia" w:ascii="仿宋" w:hAnsi="仿宋" w:eastAsia="仿宋"/>
          <w:b/>
          <w:color w:val="auto"/>
          <w:spacing w:val="-11"/>
          <w:szCs w:val="32"/>
          <w:highlight w:val="none"/>
          <w:lang w:val="en-US" w:eastAsia="zh-CN"/>
        </w:rPr>
        <w:t>编制</w:t>
      </w:r>
      <w:r>
        <w:rPr>
          <w:rFonts w:ascii="仿宋" w:hAnsi="仿宋" w:eastAsia="仿宋"/>
          <w:b/>
          <w:color w:val="auto"/>
          <w:spacing w:val="-11"/>
          <w:szCs w:val="32"/>
          <w:highlight w:val="none"/>
        </w:rPr>
        <w:t>过程</w:t>
      </w:r>
    </w:p>
    <w:p w14:paraId="7B756410">
      <w:pPr>
        <w:spacing w:after="100" w:afterAutospacing="1" w:line="600" w:lineRule="exact"/>
        <w:rPr>
          <w:rFonts w:hint="eastAsia" w:ascii="仿宋" w:hAnsi="仿宋" w:eastAsia="仿宋"/>
          <w:b/>
          <w:color w:val="auto"/>
          <w:spacing w:val="-11"/>
          <w:szCs w:val="32"/>
          <w:highlight w:val="none"/>
        </w:rPr>
      </w:pPr>
      <w:r>
        <w:rPr>
          <w:rFonts w:ascii="Times New Roman" w:eastAsia="方正仿宋简体"/>
          <w:b/>
          <w:color w:val="auto"/>
          <w:spacing w:val="-11"/>
          <w:szCs w:val="32"/>
          <w:highlight w:val="none"/>
        </w:rPr>
        <w:t>2.1</w:t>
      </w:r>
      <w:r>
        <w:rPr>
          <w:rFonts w:ascii="仿宋" w:hAnsi="仿宋" w:eastAsia="仿宋"/>
          <w:b/>
          <w:color w:val="auto"/>
          <w:spacing w:val="-11"/>
          <w:szCs w:val="32"/>
          <w:highlight w:val="none"/>
        </w:rPr>
        <w:t>起草工作组</w:t>
      </w:r>
    </w:p>
    <w:p w14:paraId="618CB944">
      <w:pPr>
        <w:snapToGrid w:val="0"/>
        <w:spacing w:line="360" w:lineRule="auto"/>
        <w:ind w:firstLine="596" w:firstLineChars="200"/>
        <w:rPr>
          <w:rFonts w:ascii="Times New Roman" w:eastAsia="仿宋"/>
          <w:bCs/>
          <w:color w:val="auto"/>
          <w:spacing w:val="-11"/>
          <w:szCs w:val="32"/>
          <w:highlight w:val="none"/>
        </w:rPr>
      </w:pPr>
      <w:r>
        <w:rPr>
          <w:rFonts w:hint="eastAsia" w:ascii="Times New Roman" w:eastAsia="仿宋"/>
          <w:bCs/>
          <w:color w:val="auto"/>
          <w:spacing w:val="-11"/>
          <w:szCs w:val="32"/>
          <w:highlight w:val="none"/>
        </w:rPr>
        <w:t>主要起草单位：中国化工节能技术协会、中国石油和化学工业联合会、中国计量科学研究院</w:t>
      </w:r>
    </w:p>
    <w:p w14:paraId="6EAC3E7E">
      <w:pPr>
        <w:adjustRightInd w:val="0"/>
        <w:snapToGrid w:val="0"/>
        <w:spacing w:line="360" w:lineRule="auto"/>
        <w:ind w:firstLine="596" w:firstLineChars="200"/>
        <w:rPr>
          <w:rFonts w:hint="eastAsia" w:ascii="Times New Roman" w:eastAsia="仿宋"/>
          <w:bCs/>
          <w:color w:val="auto"/>
          <w:spacing w:val="-11"/>
          <w:szCs w:val="32"/>
          <w:highlight w:val="none"/>
          <w:lang w:val="en-US" w:eastAsia="zh-CN"/>
        </w:rPr>
      </w:pPr>
      <w:r>
        <w:rPr>
          <w:rFonts w:hint="eastAsia" w:ascii="Times New Roman" w:eastAsia="仿宋"/>
          <w:bCs/>
          <w:color w:val="auto"/>
          <w:spacing w:val="-11"/>
          <w:szCs w:val="32"/>
          <w:highlight w:val="none"/>
        </w:rPr>
        <w:t>参与起草单位：中国石油化工集团有限公司、中国石油天然气集团有限公司、中国海洋石油集团有限公司</w:t>
      </w:r>
      <w:r>
        <w:rPr>
          <w:rFonts w:hint="eastAsia" w:ascii="Times New Roman" w:eastAsia="仿宋"/>
          <w:bCs/>
          <w:color w:val="auto"/>
          <w:spacing w:val="-11"/>
          <w:szCs w:val="32"/>
          <w:highlight w:val="none"/>
          <w:lang w:val="en-US" w:eastAsia="zh-CN"/>
        </w:rPr>
        <w:t>等</w:t>
      </w:r>
    </w:p>
    <w:p w14:paraId="60E64AFA">
      <w:pPr>
        <w:spacing w:after="100" w:afterAutospacing="1" w:line="600" w:lineRule="exact"/>
        <w:rPr>
          <w:rFonts w:ascii="Times New Roman" w:eastAsia="方正仿宋简体"/>
          <w:b/>
          <w:color w:val="auto"/>
          <w:spacing w:val="-11"/>
          <w:szCs w:val="32"/>
          <w:highlight w:val="none"/>
        </w:rPr>
      </w:pPr>
      <w:r>
        <w:rPr>
          <w:rFonts w:ascii="Times New Roman" w:eastAsia="方正仿宋简体"/>
          <w:b/>
          <w:color w:val="auto"/>
          <w:spacing w:val="-11"/>
          <w:szCs w:val="32"/>
          <w:highlight w:val="none"/>
        </w:rPr>
        <w:t>2.2</w:t>
      </w:r>
      <w:r>
        <w:rPr>
          <w:rFonts w:hint="eastAsia" w:ascii="仿宋" w:hAnsi="仿宋" w:eastAsia="仿宋"/>
          <w:b/>
          <w:color w:val="auto"/>
          <w:spacing w:val="-11"/>
          <w:szCs w:val="32"/>
          <w:highlight w:val="none"/>
        </w:rPr>
        <w:t>编制过程</w:t>
      </w:r>
    </w:p>
    <w:p w14:paraId="7DD7458A">
      <w:pPr>
        <w:snapToGrid w:val="0"/>
        <w:spacing w:line="360" w:lineRule="auto"/>
        <w:ind w:firstLine="596" w:firstLineChars="200"/>
        <w:rPr>
          <w:rFonts w:ascii="Times New Roman" w:eastAsia="仿宋"/>
          <w:bCs/>
          <w:color w:val="auto"/>
          <w:spacing w:val="-11"/>
          <w:szCs w:val="32"/>
          <w:highlight w:val="none"/>
        </w:rPr>
      </w:pPr>
      <w:r>
        <w:rPr>
          <w:rFonts w:hint="eastAsia" w:ascii="Times New Roman" w:eastAsia="仿宋"/>
          <w:bCs/>
          <w:color w:val="auto"/>
          <w:spacing w:val="-11"/>
          <w:szCs w:val="32"/>
          <w:highlight w:val="none"/>
        </w:rPr>
        <w:t>2025年5月20日，</w:t>
      </w:r>
      <w:r>
        <w:rPr>
          <w:rFonts w:ascii="Times New Roman" w:eastAsia="仿宋"/>
          <w:bCs/>
          <w:color w:val="auto"/>
          <w:spacing w:val="-11"/>
          <w:szCs w:val="32"/>
          <w:highlight w:val="none"/>
        </w:rPr>
        <w:t>国家市场监督管理总局《2025 年国家计量技术规范制定、修订计划》（市监计量发〔2025〕45 号）</w:t>
      </w:r>
      <w:r>
        <w:rPr>
          <w:rFonts w:hint="eastAsia" w:ascii="Times New Roman" w:eastAsia="仿宋"/>
          <w:bCs/>
          <w:color w:val="auto"/>
          <w:spacing w:val="-11"/>
          <w:szCs w:val="32"/>
          <w:highlight w:val="none"/>
        </w:rPr>
        <w:t>收到立项下达，计划号为MTC36/SC1-2025-02。收到立项下达后，迅速组建工作组。</w:t>
      </w:r>
    </w:p>
    <w:p w14:paraId="4693AE7A">
      <w:pPr>
        <w:snapToGrid w:val="0"/>
        <w:spacing w:line="360" w:lineRule="auto"/>
        <w:ind w:firstLine="596" w:firstLineChars="200"/>
        <w:rPr>
          <w:rFonts w:ascii="Times New Roman" w:eastAsia="仿宋"/>
          <w:bCs/>
          <w:color w:val="auto"/>
          <w:spacing w:val="-11"/>
          <w:szCs w:val="32"/>
          <w:highlight w:val="none"/>
        </w:rPr>
      </w:pPr>
      <w:r>
        <w:rPr>
          <w:rFonts w:hint="eastAsia" w:ascii="Times New Roman" w:eastAsia="仿宋"/>
          <w:bCs/>
          <w:color w:val="auto"/>
          <w:spacing w:val="-11"/>
          <w:szCs w:val="32"/>
          <w:highlight w:val="none"/>
        </w:rPr>
        <w:t>2025年6月10日</w:t>
      </w:r>
      <w:r>
        <w:rPr>
          <w:rFonts w:hint="eastAsia" w:ascii="Times New Roman" w:eastAsia="仿宋"/>
          <w:bCs/>
          <w:color w:val="auto"/>
          <w:spacing w:val="-11"/>
          <w:szCs w:val="32"/>
          <w:highlight w:val="none"/>
          <w:lang w:eastAsia="zh-CN"/>
        </w:rPr>
        <w:t>，</w:t>
      </w:r>
      <w:r>
        <w:rPr>
          <w:rFonts w:hint="eastAsia" w:ascii="Times New Roman" w:eastAsia="仿宋"/>
          <w:bCs/>
          <w:color w:val="auto"/>
          <w:spacing w:val="-11"/>
          <w:szCs w:val="32"/>
          <w:highlight w:val="none"/>
        </w:rPr>
        <w:t>由中国化工节能技术协会牵头在北京召开规范编制启动会，编制组全体成员线下参会。中国化工节能技术协会组织，中国石油和化学工业联合会、中国计量科学研究院、中石化、中石油、中海油参会</w:t>
      </w:r>
      <w:r>
        <w:rPr>
          <w:rFonts w:hint="eastAsia" w:ascii="Times New Roman" w:eastAsia="仿宋"/>
          <w:bCs/>
          <w:color w:val="auto"/>
          <w:spacing w:val="-11"/>
          <w:szCs w:val="32"/>
          <w:highlight w:val="none"/>
          <w:lang w:eastAsia="zh-CN"/>
        </w:rPr>
        <w:t>，会议明确了本次行业专项</w:t>
      </w:r>
      <w:r>
        <w:rPr>
          <w:rFonts w:hint="eastAsia" w:ascii="Times New Roman" w:eastAsia="仿宋"/>
          <w:bCs/>
          <w:color w:val="auto"/>
          <w:spacing w:val="-11"/>
          <w:szCs w:val="32"/>
          <w:highlight w:val="none"/>
          <w:lang w:val="en-US" w:eastAsia="zh-CN"/>
        </w:rPr>
        <w:t>编制</w:t>
      </w:r>
      <w:r>
        <w:rPr>
          <w:rFonts w:hint="eastAsia" w:ascii="Times New Roman" w:eastAsia="仿宋"/>
          <w:bCs/>
          <w:color w:val="auto"/>
          <w:spacing w:val="-11"/>
          <w:szCs w:val="32"/>
          <w:highlight w:val="none"/>
          <w:lang w:eastAsia="zh-CN"/>
        </w:rPr>
        <w:t>的总体思路、技术边界、</w:t>
      </w:r>
      <w:r>
        <w:rPr>
          <w:rFonts w:hint="eastAsia" w:ascii="Times New Roman" w:eastAsia="仿宋"/>
          <w:bCs/>
          <w:color w:val="auto"/>
          <w:spacing w:val="-11"/>
          <w:szCs w:val="32"/>
          <w:highlight w:val="none"/>
          <w:lang w:val="en-US" w:eastAsia="zh-CN"/>
        </w:rPr>
        <w:t>专项</w:t>
      </w:r>
      <w:r>
        <w:rPr>
          <w:rFonts w:hint="eastAsia" w:ascii="Times New Roman" w:eastAsia="仿宋"/>
          <w:bCs/>
          <w:color w:val="auto"/>
          <w:spacing w:val="-11"/>
          <w:szCs w:val="32"/>
          <w:highlight w:val="none"/>
          <w:lang w:eastAsia="zh-CN"/>
        </w:rPr>
        <w:t>重点及差异化编制方向，初步征集行业</w:t>
      </w:r>
      <w:r>
        <w:rPr>
          <w:rFonts w:hint="eastAsia" w:ascii="Times New Roman" w:eastAsia="仿宋"/>
          <w:bCs/>
          <w:color w:val="auto"/>
          <w:spacing w:val="-11"/>
          <w:szCs w:val="32"/>
          <w:highlight w:val="none"/>
          <w:lang w:val="en-US" w:eastAsia="zh-CN"/>
        </w:rPr>
        <w:t>相关</w:t>
      </w:r>
      <w:r>
        <w:rPr>
          <w:rFonts w:hint="eastAsia" w:ascii="Times New Roman" w:eastAsia="仿宋"/>
          <w:bCs/>
          <w:color w:val="auto"/>
          <w:spacing w:val="-11"/>
          <w:szCs w:val="32"/>
          <w:highlight w:val="none"/>
          <w:lang w:eastAsia="zh-CN"/>
        </w:rPr>
        <w:t>意见</w:t>
      </w:r>
      <w:r>
        <w:rPr>
          <w:rFonts w:hint="eastAsia" w:ascii="Times New Roman" w:eastAsia="仿宋"/>
          <w:bCs/>
          <w:color w:val="auto"/>
          <w:spacing w:val="-11"/>
          <w:szCs w:val="32"/>
          <w:highlight w:val="none"/>
          <w:lang w:val="en-US" w:eastAsia="zh-CN"/>
        </w:rPr>
        <w:t>建议</w:t>
      </w:r>
      <w:r>
        <w:rPr>
          <w:rFonts w:hint="eastAsia" w:ascii="Times New Roman" w:eastAsia="仿宋"/>
          <w:bCs/>
          <w:color w:val="auto"/>
          <w:spacing w:val="-11"/>
          <w:szCs w:val="32"/>
          <w:highlight w:val="none"/>
          <w:lang w:eastAsia="zh-CN"/>
        </w:rPr>
        <w:t>20条，为后续技术框架搭建奠定基础</w:t>
      </w:r>
      <w:r>
        <w:rPr>
          <w:rFonts w:hint="eastAsia" w:ascii="Times New Roman" w:eastAsia="仿宋"/>
          <w:bCs/>
          <w:color w:val="auto"/>
          <w:spacing w:val="-11"/>
          <w:szCs w:val="32"/>
          <w:highlight w:val="none"/>
        </w:rPr>
        <w:t>。</w:t>
      </w:r>
    </w:p>
    <w:p w14:paraId="6556EE5F">
      <w:pPr>
        <w:snapToGrid w:val="0"/>
        <w:spacing w:line="360" w:lineRule="auto"/>
        <w:ind w:firstLine="596" w:firstLineChars="200"/>
        <w:rPr>
          <w:rFonts w:hint="eastAsia" w:ascii="Times New Roman" w:eastAsia="仿宋"/>
          <w:bCs/>
          <w:color w:val="auto"/>
          <w:spacing w:val="-11"/>
          <w:szCs w:val="32"/>
          <w:highlight w:val="none"/>
          <w:lang w:eastAsia="zh-CN"/>
        </w:rPr>
      </w:pPr>
      <w:r>
        <w:rPr>
          <w:rFonts w:hint="eastAsia" w:ascii="Times New Roman" w:eastAsia="仿宋"/>
          <w:bCs/>
          <w:color w:val="auto"/>
          <w:spacing w:val="-11"/>
          <w:szCs w:val="32"/>
          <w:highlight w:val="none"/>
        </w:rPr>
        <w:t>2025年7月10日</w:t>
      </w:r>
      <w:r>
        <w:rPr>
          <w:rFonts w:hint="eastAsia" w:ascii="Times New Roman" w:eastAsia="仿宋"/>
          <w:bCs/>
          <w:color w:val="auto"/>
          <w:spacing w:val="-11"/>
          <w:szCs w:val="32"/>
          <w:highlight w:val="none"/>
          <w:lang w:eastAsia="zh-CN"/>
        </w:rPr>
        <w:t>，编制组赴中海油惠州石化、广东石化开展现场调研，围绕炼化企业高温高压、长周期连续运行、多相流介质计量、特殊工况溯源、能效与碳效计量融合、智能化计量管控等行业</w:t>
      </w:r>
      <w:r>
        <w:rPr>
          <w:rFonts w:hint="eastAsia" w:ascii="Times New Roman" w:eastAsia="仿宋"/>
          <w:bCs/>
          <w:color w:val="auto"/>
          <w:spacing w:val="-11"/>
          <w:szCs w:val="32"/>
          <w:highlight w:val="none"/>
          <w:lang w:val="en-US" w:eastAsia="zh-CN"/>
        </w:rPr>
        <w:t>特殊需求</w:t>
      </w:r>
      <w:r>
        <w:rPr>
          <w:rFonts w:hint="eastAsia" w:ascii="Times New Roman" w:eastAsia="仿宋"/>
          <w:bCs/>
          <w:color w:val="auto"/>
          <w:spacing w:val="-11"/>
          <w:szCs w:val="32"/>
          <w:highlight w:val="none"/>
          <w:lang w:eastAsia="zh-CN"/>
        </w:rPr>
        <w:t>开展技术交流，收集现场意见</w:t>
      </w:r>
      <w:r>
        <w:rPr>
          <w:rFonts w:hint="eastAsia" w:ascii="Times New Roman" w:eastAsia="仿宋"/>
          <w:bCs/>
          <w:color w:val="auto"/>
          <w:spacing w:val="-11"/>
          <w:szCs w:val="32"/>
          <w:highlight w:val="none"/>
          <w:lang w:val="en-US" w:eastAsia="zh-CN"/>
        </w:rPr>
        <w:t>建议</w:t>
      </w:r>
      <w:r>
        <w:rPr>
          <w:rFonts w:hint="eastAsia" w:ascii="Times New Roman" w:eastAsia="仿宋"/>
          <w:bCs/>
          <w:color w:val="auto"/>
          <w:spacing w:val="-11"/>
          <w:szCs w:val="32"/>
          <w:highlight w:val="none"/>
          <w:lang w:eastAsia="zh-CN"/>
        </w:rPr>
        <w:t>12条。</w:t>
      </w:r>
      <w:r>
        <w:rPr>
          <w:rFonts w:hint="eastAsia" w:ascii="Times New Roman" w:eastAsia="仿宋"/>
          <w:bCs/>
          <w:color w:val="auto"/>
          <w:spacing w:val="-11"/>
          <w:szCs w:val="32"/>
          <w:highlight w:val="none"/>
          <w:lang w:val="en-US" w:eastAsia="zh-CN"/>
        </w:rPr>
        <w:t>会上</w:t>
      </w:r>
      <w:r>
        <w:rPr>
          <w:rFonts w:hint="eastAsia" w:ascii="Times New Roman" w:eastAsia="仿宋"/>
          <w:bCs/>
          <w:color w:val="auto"/>
          <w:spacing w:val="-11"/>
          <w:szCs w:val="32"/>
          <w:highlight w:val="none"/>
          <w:lang w:eastAsia="zh-CN"/>
        </w:rPr>
        <w:t>专家针对炼化行业通用规范适配性不足、特殊工况计量判定依据缺失、计量器具溯源周期与装置检修周期不匹配等关键问题开展集中研讨，</w:t>
      </w:r>
      <w:r>
        <w:rPr>
          <w:rFonts w:hint="eastAsia" w:ascii="Times New Roman" w:eastAsia="仿宋"/>
          <w:bCs/>
          <w:color w:val="auto"/>
          <w:spacing w:val="-11"/>
          <w:szCs w:val="32"/>
          <w:highlight w:val="none"/>
          <w:lang w:val="en-US" w:eastAsia="zh-CN"/>
        </w:rPr>
        <w:t>专家提出，建议</w:t>
      </w:r>
      <w:r>
        <w:rPr>
          <w:rFonts w:hint="eastAsia" w:ascii="Times New Roman" w:eastAsia="仿宋"/>
          <w:bCs/>
          <w:color w:val="auto"/>
          <w:spacing w:val="-11"/>
          <w:szCs w:val="32"/>
          <w:highlight w:val="none"/>
          <w:lang w:eastAsia="zh-CN"/>
        </w:rPr>
        <w:t>统一通用标准与炼化行业现场实际脱节、评审尺度不统一的突出问题。</w:t>
      </w:r>
    </w:p>
    <w:p w14:paraId="5764F3BD">
      <w:pPr>
        <w:snapToGrid w:val="0"/>
        <w:spacing w:line="360" w:lineRule="auto"/>
        <w:ind w:firstLine="596" w:firstLineChars="200"/>
        <w:rPr>
          <w:rFonts w:ascii="Times New Roman" w:eastAsia="仿宋"/>
          <w:bCs/>
          <w:color w:val="auto"/>
          <w:spacing w:val="-11"/>
          <w:szCs w:val="32"/>
          <w:highlight w:val="none"/>
        </w:rPr>
      </w:pPr>
      <w:r>
        <w:rPr>
          <w:rFonts w:hint="eastAsia" w:ascii="Times New Roman" w:eastAsia="仿宋"/>
          <w:bCs/>
          <w:color w:val="auto"/>
          <w:spacing w:val="-11"/>
          <w:szCs w:val="32"/>
          <w:highlight w:val="none"/>
        </w:rPr>
        <w:t>2025年8月11日，编制组赴中石化燕山石化开展专项调研，重点针对炼厂三级计量配备、计量数据应用、能效监测管理、自查整改与持续改进机制等内容开展交流，收集现场意见</w:t>
      </w:r>
      <w:r>
        <w:rPr>
          <w:rFonts w:hint="eastAsia" w:ascii="Times New Roman" w:eastAsia="仿宋"/>
          <w:bCs/>
          <w:color w:val="auto"/>
          <w:spacing w:val="-11"/>
          <w:szCs w:val="32"/>
          <w:highlight w:val="none"/>
          <w:lang w:val="en-US" w:eastAsia="zh-CN"/>
        </w:rPr>
        <w:t>建议</w:t>
      </w:r>
      <w:r>
        <w:rPr>
          <w:rFonts w:hint="eastAsia" w:ascii="Times New Roman" w:eastAsia="仿宋"/>
          <w:bCs/>
          <w:color w:val="auto"/>
          <w:spacing w:val="-11"/>
          <w:szCs w:val="32"/>
          <w:highlight w:val="none"/>
        </w:rPr>
        <w:t>5条。</w:t>
      </w:r>
    </w:p>
    <w:p w14:paraId="56E77E70">
      <w:pPr>
        <w:snapToGrid w:val="0"/>
        <w:spacing w:line="360" w:lineRule="auto"/>
        <w:ind w:firstLine="596" w:firstLineChars="200"/>
        <w:rPr>
          <w:rFonts w:ascii="Times New Roman" w:eastAsia="仿宋"/>
          <w:bCs/>
          <w:color w:val="auto"/>
          <w:spacing w:val="-11"/>
          <w:szCs w:val="32"/>
          <w:highlight w:val="none"/>
        </w:rPr>
      </w:pPr>
      <w:r>
        <w:rPr>
          <w:rFonts w:hint="eastAsia" w:ascii="Times New Roman" w:eastAsia="仿宋"/>
          <w:bCs/>
          <w:color w:val="auto"/>
          <w:spacing w:val="-11"/>
          <w:szCs w:val="32"/>
          <w:highlight w:val="none"/>
        </w:rPr>
        <w:t>2025年8月15日，编制组赴中石化镇海炼化开展标杆企业调研，围绕大型炼化一体化企业计量前置设计、数智化计量建设、能耗碳效联动管控、分级评价实施路径等内容开展深度调研，收集</w:t>
      </w:r>
      <w:r>
        <w:rPr>
          <w:rFonts w:hint="eastAsia" w:ascii="Times New Roman" w:eastAsia="仿宋"/>
          <w:bCs/>
          <w:color w:val="auto"/>
          <w:spacing w:val="-11"/>
          <w:szCs w:val="32"/>
          <w:highlight w:val="none"/>
          <w:lang w:val="en-US" w:eastAsia="zh-CN"/>
        </w:rPr>
        <w:t>现场意见建议</w:t>
      </w:r>
      <w:r>
        <w:rPr>
          <w:rFonts w:hint="eastAsia" w:ascii="Times New Roman" w:eastAsia="仿宋"/>
          <w:bCs/>
          <w:color w:val="auto"/>
          <w:spacing w:val="-11"/>
          <w:szCs w:val="32"/>
          <w:highlight w:val="none"/>
        </w:rPr>
        <w:t>5条。</w:t>
      </w:r>
    </w:p>
    <w:p w14:paraId="09EA744B">
      <w:pPr>
        <w:snapToGrid w:val="0"/>
        <w:spacing w:line="360" w:lineRule="auto"/>
        <w:ind w:firstLine="596" w:firstLineChars="200"/>
        <w:rPr>
          <w:rFonts w:ascii="Times New Roman" w:eastAsia="仿宋"/>
          <w:bCs/>
          <w:color w:val="auto"/>
          <w:spacing w:val="-11"/>
          <w:szCs w:val="32"/>
          <w:highlight w:val="none"/>
        </w:rPr>
      </w:pPr>
      <w:r>
        <w:rPr>
          <w:rFonts w:hint="eastAsia" w:ascii="Times New Roman" w:eastAsia="仿宋"/>
          <w:bCs/>
          <w:color w:val="auto"/>
          <w:spacing w:val="-11"/>
          <w:szCs w:val="32"/>
          <w:highlight w:val="none"/>
        </w:rPr>
        <w:t>2025年11月14日，编制组赴中石油吉林石化开展调研，针对北方炼化企业季节性工况、公用工程介质计量、老旧装置计量升级改造等问题开展调研，收集</w:t>
      </w:r>
      <w:r>
        <w:rPr>
          <w:rFonts w:hint="eastAsia" w:ascii="Times New Roman" w:eastAsia="仿宋"/>
          <w:bCs/>
          <w:color w:val="auto"/>
          <w:spacing w:val="-11"/>
          <w:szCs w:val="32"/>
          <w:highlight w:val="none"/>
          <w:lang w:val="en-US" w:eastAsia="zh-CN"/>
        </w:rPr>
        <w:t>现场</w:t>
      </w:r>
      <w:r>
        <w:rPr>
          <w:rFonts w:hint="eastAsia" w:ascii="Times New Roman" w:eastAsia="仿宋"/>
          <w:bCs/>
          <w:color w:val="auto"/>
          <w:spacing w:val="-11"/>
          <w:szCs w:val="32"/>
          <w:highlight w:val="none"/>
        </w:rPr>
        <w:t>意见</w:t>
      </w:r>
      <w:r>
        <w:rPr>
          <w:rFonts w:hint="eastAsia" w:ascii="Times New Roman" w:eastAsia="仿宋"/>
          <w:bCs/>
          <w:color w:val="auto"/>
          <w:spacing w:val="-11"/>
          <w:szCs w:val="32"/>
          <w:highlight w:val="none"/>
          <w:lang w:val="en-US" w:eastAsia="zh-CN"/>
        </w:rPr>
        <w:t>建议</w:t>
      </w:r>
      <w:r>
        <w:rPr>
          <w:rFonts w:hint="eastAsia" w:ascii="Times New Roman" w:eastAsia="仿宋"/>
          <w:bCs/>
          <w:color w:val="auto"/>
          <w:spacing w:val="-11"/>
          <w:szCs w:val="32"/>
          <w:highlight w:val="none"/>
        </w:rPr>
        <w:t>3条。</w:t>
      </w:r>
    </w:p>
    <w:p w14:paraId="6590EB33">
      <w:pPr>
        <w:snapToGrid w:val="0"/>
        <w:spacing w:line="360" w:lineRule="auto"/>
        <w:ind w:firstLine="596" w:firstLineChars="200"/>
        <w:rPr>
          <w:rFonts w:hint="eastAsia" w:ascii="Times New Roman" w:eastAsia="仿宋"/>
          <w:bCs/>
          <w:color w:val="auto"/>
          <w:spacing w:val="-11"/>
          <w:szCs w:val="32"/>
          <w:highlight w:val="none"/>
        </w:rPr>
      </w:pPr>
      <w:r>
        <w:rPr>
          <w:rFonts w:hint="eastAsia" w:ascii="Times New Roman" w:eastAsia="仿宋"/>
          <w:bCs/>
          <w:color w:val="auto"/>
          <w:spacing w:val="-11"/>
          <w:szCs w:val="32"/>
          <w:highlight w:val="none"/>
        </w:rPr>
        <w:t>截至2026年</w:t>
      </w:r>
      <w:r>
        <w:rPr>
          <w:rFonts w:hint="eastAsia" w:ascii="Times New Roman" w:eastAsia="仿宋"/>
          <w:bCs/>
          <w:color w:val="auto"/>
          <w:spacing w:val="-11"/>
          <w:szCs w:val="32"/>
          <w:highlight w:val="none"/>
          <w:lang w:val="en-US" w:eastAsia="zh-CN"/>
        </w:rPr>
        <w:t>6</w:t>
      </w:r>
      <w:r>
        <w:rPr>
          <w:rFonts w:hint="eastAsia" w:ascii="Times New Roman" w:eastAsia="仿宋"/>
          <w:bCs/>
          <w:color w:val="auto"/>
          <w:spacing w:val="-11"/>
          <w:szCs w:val="32"/>
          <w:highlight w:val="none"/>
        </w:rPr>
        <w:t>月</w:t>
      </w:r>
      <w:r>
        <w:rPr>
          <w:rFonts w:hint="eastAsia" w:ascii="Times New Roman" w:eastAsia="仿宋"/>
          <w:bCs/>
          <w:color w:val="auto"/>
          <w:spacing w:val="-11"/>
          <w:szCs w:val="32"/>
          <w:highlight w:val="none"/>
          <w:lang w:val="en-US" w:eastAsia="zh-CN"/>
        </w:rPr>
        <w:t>3</w:t>
      </w:r>
      <w:r>
        <w:rPr>
          <w:rFonts w:hint="eastAsia" w:ascii="Times New Roman" w:eastAsia="仿宋"/>
          <w:bCs/>
          <w:color w:val="auto"/>
          <w:spacing w:val="-11"/>
          <w:szCs w:val="32"/>
          <w:highlight w:val="none"/>
        </w:rPr>
        <w:t>日，编制组累计收集</w:t>
      </w:r>
      <w:r>
        <w:rPr>
          <w:rFonts w:hint="eastAsia" w:ascii="Times New Roman" w:eastAsia="仿宋"/>
          <w:bCs/>
          <w:color w:val="auto"/>
          <w:spacing w:val="-11"/>
          <w:szCs w:val="32"/>
          <w:highlight w:val="none"/>
          <w:lang w:val="en-US" w:eastAsia="zh-CN"/>
        </w:rPr>
        <w:t>技术委员会</w:t>
      </w:r>
      <w:r>
        <w:rPr>
          <w:rFonts w:hint="eastAsia" w:ascii="Times New Roman" w:eastAsia="仿宋"/>
          <w:bCs/>
          <w:color w:val="auto"/>
          <w:spacing w:val="-11"/>
          <w:szCs w:val="32"/>
          <w:highlight w:val="none"/>
        </w:rPr>
        <w:t>、</w:t>
      </w:r>
      <w:r>
        <w:rPr>
          <w:rFonts w:hint="eastAsia" w:ascii="Times New Roman" w:eastAsia="仿宋"/>
          <w:bCs/>
          <w:color w:val="auto"/>
          <w:spacing w:val="-11"/>
          <w:szCs w:val="32"/>
          <w:highlight w:val="none"/>
          <w:lang w:val="en-US" w:eastAsia="zh-CN"/>
        </w:rPr>
        <w:t>计量</w:t>
      </w:r>
      <w:r>
        <w:rPr>
          <w:rFonts w:hint="eastAsia" w:ascii="Times New Roman" w:eastAsia="仿宋"/>
          <w:bCs/>
          <w:color w:val="auto"/>
          <w:spacing w:val="-11"/>
          <w:szCs w:val="32"/>
          <w:highlight w:val="none"/>
        </w:rPr>
        <w:t>科研院所、龙头</w:t>
      </w:r>
      <w:r>
        <w:rPr>
          <w:rFonts w:hint="eastAsia" w:ascii="Times New Roman" w:eastAsia="仿宋"/>
          <w:bCs/>
          <w:color w:val="auto"/>
          <w:spacing w:val="-11"/>
          <w:szCs w:val="32"/>
          <w:highlight w:val="none"/>
          <w:lang w:val="en-US" w:eastAsia="zh-CN"/>
        </w:rPr>
        <w:t>行业</w:t>
      </w:r>
      <w:r>
        <w:rPr>
          <w:rFonts w:hint="eastAsia" w:ascii="Times New Roman" w:eastAsia="仿宋"/>
          <w:bCs/>
          <w:color w:val="auto"/>
          <w:spacing w:val="-11"/>
          <w:szCs w:val="32"/>
          <w:highlight w:val="none"/>
        </w:rPr>
        <w:t>企业</w:t>
      </w:r>
      <w:r>
        <w:rPr>
          <w:rFonts w:hint="eastAsia" w:ascii="Times New Roman" w:eastAsia="仿宋"/>
          <w:bCs/>
          <w:color w:val="auto"/>
          <w:spacing w:val="-11"/>
          <w:szCs w:val="32"/>
          <w:highlight w:val="none"/>
          <w:lang w:eastAsia="zh-CN"/>
        </w:rPr>
        <w:t>，</w:t>
      </w:r>
      <w:r>
        <w:rPr>
          <w:rFonts w:hint="eastAsia" w:ascii="Times New Roman" w:eastAsia="仿宋"/>
          <w:bCs/>
          <w:color w:val="auto"/>
          <w:spacing w:val="-11"/>
          <w:szCs w:val="32"/>
          <w:highlight w:val="none"/>
          <w:lang w:val="en-US" w:eastAsia="zh-CN"/>
        </w:rPr>
        <w:t>以及行业专家</w:t>
      </w:r>
      <w:r>
        <w:rPr>
          <w:rFonts w:hint="eastAsia" w:ascii="Times New Roman" w:eastAsia="仿宋"/>
          <w:bCs/>
          <w:color w:val="auto"/>
          <w:spacing w:val="-11"/>
          <w:szCs w:val="32"/>
          <w:highlight w:val="none"/>
        </w:rPr>
        <w:t>各类</w:t>
      </w:r>
      <w:r>
        <w:rPr>
          <w:rFonts w:hint="eastAsia" w:ascii="Times New Roman" w:eastAsia="仿宋"/>
          <w:bCs/>
          <w:color w:val="auto"/>
          <w:spacing w:val="-11"/>
          <w:szCs w:val="32"/>
          <w:highlight w:val="none"/>
          <w:lang w:val="en-US" w:eastAsia="zh-CN"/>
        </w:rPr>
        <w:t>建议、技术</w:t>
      </w:r>
      <w:r>
        <w:rPr>
          <w:rFonts w:hint="eastAsia" w:ascii="Times New Roman" w:eastAsia="仿宋"/>
          <w:bCs/>
          <w:color w:val="auto"/>
          <w:spacing w:val="-11"/>
          <w:szCs w:val="32"/>
          <w:highlight w:val="none"/>
        </w:rPr>
        <w:t>意见共85条</w:t>
      </w:r>
      <w:r>
        <w:rPr>
          <w:rFonts w:hint="eastAsia" w:ascii="Times New Roman" w:eastAsia="仿宋"/>
          <w:bCs/>
          <w:color w:val="auto"/>
          <w:spacing w:val="-11"/>
          <w:szCs w:val="32"/>
          <w:highlight w:val="none"/>
          <w:lang w:eastAsia="zh-CN"/>
        </w:rPr>
        <w:t>，</w:t>
      </w:r>
      <w:r>
        <w:rPr>
          <w:rFonts w:hint="eastAsia" w:ascii="Times New Roman" w:eastAsia="仿宋"/>
          <w:bCs/>
          <w:color w:val="auto"/>
          <w:spacing w:val="-11"/>
          <w:szCs w:val="32"/>
          <w:highlight w:val="none"/>
          <w:lang w:val="en-US" w:eastAsia="zh-CN"/>
        </w:rPr>
        <w:t>详见附录1</w:t>
      </w:r>
      <w:r>
        <w:rPr>
          <w:rFonts w:hint="eastAsia" w:ascii="Times New Roman" w:eastAsia="仿宋"/>
          <w:bCs/>
          <w:color w:val="auto"/>
          <w:spacing w:val="-11"/>
          <w:szCs w:val="32"/>
          <w:highlight w:val="none"/>
        </w:rPr>
        <w:t>。经编制组多轮内部研讨、条款打磨、对标国标复核，逐条吸纳、取舍、优化，形成本次规范</w:t>
      </w:r>
      <w:r>
        <w:rPr>
          <w:rFonts w:hint="eastAsia" w:ascii="Times New Roman" w:eastAsia="仿宋"/>
          <w:bCs/>
          <w:color w:val="auto"/>
          <w:spacing w:val="-11"/>
          <w:szCs w:val="32"/>
          <w:highlight w:val="none"/>
          <w:lang w:val="en-US" w:eastAsia="zh-CN"/>
        </w:rPr>
        <w:t>制定</w:t>
      </w:r>
      <w:r>
        <w:rPr>
          <w:rFonts w:hint="eastAsia" w:ascii="Times New Roman" w:eastAsia="仿宋"/>
          <w:bCs/>
          <w:color w:val="auto"/>
          <w:spacing w:val="-11"/>
          <w:szCs w:val="32"/>
          <w:highlight w:val="none"/>
        </w:rPr>
        <w:t>的完整技术体系，最终形成《重点用能单位能源计量审查规范</w:t>
      </w:r>
      <w:r>
        <w:rPr>
          <w:rFonts w:hint="eastAsia" w:ascii="Times New Roman" w:eastAsia="仿宋"/>
          <w:bCs/>
          <w:color w:val="auto"/>
          <w:spacing w:val="-11"/>
          <w:szCs w:val="32"/>
          <w:highlight w:val="none"/>
          <w:lang w:val="en-US" w:eastAsia="zh-CN"/>
        </w:rPr>
        <w:t xml:space="preserve">  炼油化工</w:t>
      </w:r>
      <w:r>
        <w:rPr>
          <w:rFonts w:hint="eastAsia" w:ascii="Times New Roman" w:eastAsia="仿宋"/>
          <w:bCs/>
          <w:color w:val="auto"/>
          <w:spacing w:val="-11"/>
          <w:szCs w:val="32"/>
          <w:highlight w:val="none"/>
        </w:rPr>
        <w:t>》征求意见稿初稿。</w:t>
      </w:r>
    </w:p>
    <w:p w14:paraId="70B3F430">
      <w:pPr>
        <w:shd w:val="clear"/>
        <w:snapToGrid w:val="0"/>
        <w:spacing w:line="360" w:lineRule="auto"/>
        <w:ind w:firstLine="596" w:firstLineChars="200"/>
        <w:rPr>
          <w:rFonts w:hint="eastAsia" w:ascii="Times New Roman" w:eastAsia="仿宋"/>
          <w:bCs/>
          <w:color w:val="auto"/>
          <w:spacing w:val="-11"/>
          <w:szCs w:val="32"/>
          <w:highlight w:val="none"/>
          <w:lang w:val="en-US" w:eastAsia="zh-CN"/>
        </w:rPr>
      </w:pPr>
      <w:r>
        <w:rPr>
          <w:rFonts w:hint="eastAsia" w:ascii="Times New Roman" w:eastAsia="仿宋"/>
          <w:bCs/>
          <w:color w:val="auto"/>
          <w:spacing w:val="-11"/>
          <w:szCs w:val="32"/>
          <w:highlight w:val="none"/>
          <w:lang w:val="en-US" w:eastAsia="zh-CN"/>
        </w:rPr>
        <w:t>2026年6月4日，编制组召开内部专题研讨会，参会专家及编制人员围绕规范适用范围、计量器具配备、特殊工况计量溯源等审查要求、条文表述、表格参数、审查流程等核心内容展开充分讨论、逐条审议。本次会议现场形成专家反馈意见 251项，形成如下共识：</w:t>
      </w:r>
    </w:p>
    <w:p w14:paraId="5E5BFFD0">
      <w:pPr>
        <w:numPr>
          <w:ilvl w:val="0"/>
          <w:numId w:val="1"/>
        </w:numPr>
        <w:snapToGrid w:val="0"/>
        <w:spacing w:line="360" w:lineRule="auto"/>
        <w:ind w:left="0" w:leftChars="0" w:firstLine="596" w:firstLineChars="200"/>
        <w:rPr>
          <w:rFonts w:hint="default" w:ascii="Times New Roman" w:eastAsia="仿宋"/>
          <w:bCs/>
          <w:color w:val="auto"/>
          <w:spacing w:val="-11"/>
          <w:szCs w:val="32"/>
          <w:highlight w:val="none"/>
          <w:lang w:val="en-US" w:eastAsia="zh-CN"/>
        </w:rPr>
      </w:pPr>
      <w:r>
        <w:rPr>
          <w:rFonts w:hint="eastAsia" w:ascii="Times New Roman" w:eastAsia="仿宋"/>
          <w:bCs/>
          <w:color w:val="auto"/>
          <w:spacing w:val="-11"/>
          <w:szCs w:val="32"/>
          <w:highlight w:val="none"/>
          <w:lang w:val="en-US" w:eastAsia="zh-CN"/>
        </w:rPr>
        <w:t>标准名称由“炼油”调整为“炼油化工”,</w:t>
      </w:r>
      <w:r>
        <w:rPr>
          <w:rFonts w:hint="default" w:ascii="Times New Roman" w:eastAsia="仿宋"/>
          <w:bCs/>
          <w:color w:val="auto"/>
          <w:spacing w:val="-11"/>
          <w:szCs w:val="32"/>
          <w:highlight w:val="none"/>
          <w:lang w:val="en-US" w:eastAsia="zh-CN"/>
        </w:rPr>
        <w:t>适用范围聚焦炼油化工企业，不扩展到勘探开发、管道运输等上游领域</w:t>
      </w:r>
      <w:r>
        <w:rPr>
          <w:rFonts w:hint="eastAsia" w:ascii="Times New Roman" w:eastAsia="仿宋"/>
          <w:bCs/>
          <w:color w:val="auto"/>
          <w:spacing w:val="-11"/>
          <w:szCs w:val="32"/>
          <w:highlight w:val="none"/>
          <w:lang w:val="en-US" w:eastAsia="zh-CN"/>
        </w:rPr>
        <w:t>；</w:t>
      </w:r>
    </w:p>
    <w:p w14:paraId="26BB7518">
      <w:pPr>
        <w:numPr>
          <w:ilvl w:val="0"/>
          <w:numId w:val="1"/>
        </w:numPr>
        <w:snapToGrid w:val="0"/>
        <w:spacing w:line="360" w:lineRule="auto"/>
        <w:ind w:left="0" w:leftChars="0" w:firstLine="596" w:firstLineChars="200"/>
        <w:rPr>
          <w:rFonts w:hint="default" w:ascii="Times New Roman" w:eastAsia="仿宋"/>
          <w:bCs/>
          <w:color w:val="auto"/>
          <w:spacing w:val="-11"/>
          <w:szCs w:val="32"/>
          <w:highlight w:val="none"/>
          <w:lang w:val="en-US" w:eastAsia="zh-CN"/>
        </w:rPr>
      </w:pPr>
      <w:r>
        <w:rPr>
          <w:rFonts w:hint="default" w:ascii="Times New Roman" w:eastAsia="仿宋"/>
          <w:bCs/>
          <w:color w:val="auto"/>
          <w:spacing w:val="-11"/>
          <w:szCs w:val="32"/>
          <w:highlight w:val="none"/>
          <w:lang w:val="en-US" w:eastAsia="zh-CN"/>
        </w:rPr>
        <w:t>通用术语、人员、台账、精度等内容优先引用</w:t>
      </w:r>
      <w:r>
        <w:rPr>
          <w:rFonts w:hint="eastAsia" w:ascii="Times New Roman" w:eastAsia="仿宋"/>
          <w:bCs/>
          <w:spacing w:val="-11"/>
          <w:szCs w:val="32"/>
          <w:highlight w:val="none"/>
        </w:rPr>
        <w:t>GB</w:t>
      </w:r>
      <w:r>
        <w:rPr>
          <w:rFonts w:hint="eastAsia" w:ascii="Times New Roman" w:eastAsia="仿宋"/>
          <w:bCs/>
          <w:spacing w:val="-11"/>
          <w:szCs w:val="32"/>
          <w:highlight w:val="none"/>
          <w:lang w:val="en-US" w:eastAsia="zh-CN"/>
        </w:rPr>
        <w:t xml:space="preserve"> </w:t>
      </w:r>
      <w:r>
        <w:rPr>
          <w:rFonts w:hint="default" w:ascii="Times New Roman" w:eastAsia="仿宋"/>
          <w:bCs/>
          <w:color w:val="auto"/>
          <w:spacing w:val="-11"/>
          <w:szCs w:val="32"/>
          <w:highlight w:val="none"/>
          <w:lang w:val="en-US" w:eastAsia="zh-CN"/>
        </w:rPr>
        <w:t>17167、</w:t>
      </w:r>
      <w:r>
        <w:rPr>
          <w:rFonts w:hint="eastAsia" w:ascii="Times New Roman" w:eastAsia="仿宋"/>
          <w:bCs/>
          <w:color w:val="auto"/>
          <w:spacing w:val="-11"/>
          <w:szCs w:val="32"/>
          <w:highlight w:val="none"/>
          <w:lang w:val="en-US" w:eastAsia="zh-CN"/>
        </w:rPr>
        <w:t xml:space="preserve">GB/T </w:t>
      </w:r>
      <w:r>
        <w:rPr>
          <w:rFonts w:hint="default" w:ascii="Times New Roman" w:eastAsia="仿宋"/>
          <w:bCs/>
          <w:color w:val="auto"/>
          <w:spacing w:val="-11"/>
          <w:szCs w:val="32"/>
          <w:highlight w:val="none"/>
          <w:lang w:val="en-US" w:eastAsia="zh-CN"/>
        </w:rPr>
        <w:t>2090</w:t>
      </w:r>
      <w:r>
        <w:rPr>
          <w:rFonts w:hint="eastAsia" w:ascii="Times New Roman" w:eastAsia="仿宋"/>
          <w:bCs/>
          <w:color w:val="auto"/>
          <w:spacing w:val="-11"/>
          <w:szCs w:val="32"/>
          <w:highlight w:val="none"/>
          <w:lang w:val="en-US" w:eastAsia="zh-CN"/>
        </w:rPr>
        <w:t>1</w:t>
      </w:r>
      <w:r>
        <w:rPr>
          <w:rFonts w:hint="default" w:ascii="Times New Roman" w:eastAsia="仿宋"/>
          <w:bCs/>
          <w:color w:val="auto"/>
          <w:spacing w:val="-11"/>
          <w:szCs w:val="32"/>
          <w:highlight w:val="none"/>
          <w:lang w:val="en-US" w:eastAsia="zh-CN"/>
        </w:rPr>
        <w:t>等已有标准，避免重复定义和重复规定</w:t>
      </w:r>
      <w:r>
        <w:rPr>
          <w:rFonts w:hint="eastAsia" w:ascii="Times New Roman" w:eastAsia="仿宋"/>
          <w:bCs/>
          <w:color w:val="auto"/>
          <w:spacing w:val="-11"/>
          <w:szCs w:val="32"/>
          <w:highlight w:val="none"/>
          <w:lang w:val="en-US" w:eastAsia="zh-CN"/>
        </w:rPr>
        <w:t>；</w:t>
      </w:r>
    </w:p>
    <w:p w14:paraId="6F1D8088">
      <w:pPr>
        <w:numPr>
          <w:ilvl w:val="0"/>
          <w:numId w:val="1"/>
        </w:numPr>
        <w:snapToGrid w:val="0"/>
        <w:spacing w:line="360" w:lineRule="auto"/>
        <w:ind w:left="0" w:leftChars="0" w:firstLine="596" w:firstLineChars="200"/>
        <w:rPr>
          <w:rFonts w:hint="default" w:ascii="Times New Roman" w:eastAsia="仿宋"/>
          <w:bCs/>
          <w:color w:val="auto"/>
          <w:spacing w:val="-11"/>
          <w:szCs w:val="32"/>
          <w:highlight w:val="none"/>
          <w:lang w:val="en-US" w:eastAsia="zh-CN"/>
        </w:rPr>
      </w:pPr>
      <w:r>
        <w:rPr>
          <w:rFonts w:hint="eastAsia" w:ascii="Times New Roman" w:eastAsia="仿宋"/>
          <w:bCs/>
          <w:color w:val="auto"/>
          <w:spacing w:val="-11"/>
          <w:szCs w:val="32"/>
          <w:highlight w:val="none"/>
          <w:lang w:val="en-US" w:eastAsia="zh-CN"/>
        </w:rPr>
        <w:t>针对行业管理特点——</w:t>
      </w:r>
      <w:r>
        <w:rPr>
          <w:rFonts w:hint="default" w:ascii="Times New Roman" w:eastAsia="仿宋"/>
          <w:bCs/>
          <w:color w:val="auto"/>
          <w:spacing w:val="-11"/>
          <w:szCs w:val="32"/>
          <w:highlight w:val="none"/>
          <w:lang w:val="en-US" w:eastAsia="zh-CN"/>
        </w:rPr>
        <w:t>按装置或基本用能单元管理</w:t>
      </w:r>
      <w:r>
        <w:rPr>
          <w:rFonts w:hint="eastAsia" w:ascii="Times New Roman" w:eastAsia="仿宋"/>
          <w:bCs/>
          <w:color w:val="auto"/>
          <w:spacing w:val="-11"/>
          <w:szCs w:val="32"/>
          <w:highlight w:val="none"/>
          <w:lang w:val="en-US" w:eastAsia="zh-CN"/>
        </w:rPr>
        <w:t>，统一将</w:t>
      </w:r>
      <w:r>
        <w:rPr>
          <w:rFonts w:hint="default" w:ascii="Times New Roman" w:eastAsia="仿宋"/>
          <w:bCs/>
          <w:color w:val="auto"/>
          <w:spacing w:val="-11"/>
          <w:szCs w:val="32"/>
          <w:highlight w:val="none"/>
          <w:lang w:val="en-US" w:eastAsia="zh-CN"/>
        </w:rPr>
        <w:t>“主要用能设备”</w:t>
      </w:r>
      <w:r>
        <w:rPr>
          <w:rFonts w:hint="eastAsia" w:ascii="Times New Roman" w:eastAsia="仿宋"/>
          <w:bCs/>
          <w:color w:val="auto"/>
          <w:spacing w:val="-11"/>
          <w:szCs w:val="32"/>
          <w:highlight w:val="none"/>
          <w:lang w:val="en-US" w:eastAsia="zh-CN"/>
        </w:rPr>
        <w:t>修改为“基本用能单元”；</w:t>
      </w:r>
    </w:p>
    <w:p w14:paraId="32612280">
      <w:pPr>
        <w:numPr>
          <w:ilvl w:val="0"/>
          <w:numId w:val="1"/>
        </w:numPr>
        <w:snapToGrid w:val="0"/>
        <w:spacing w:line="360" w:lineRule="auto"/>
        <w:ind w:left="0" w:leftChars="0" w:firstLine="596" w:firstLineChars="200"/>
        <w:rPr>
          <w:rFonts w:hint="default" w:ascii="Times New Roman" w:eastAsia="仿宋"/>
          <w:bCs/>
          <w:color w:val="auto"/>
          <w:spacing w:val="-11"/>
          <w:szCs w:val="32"/>
          <w:highlight w:val="none"/>
          <w:lang w:val="en-US" w:eastAsia="zh-CN"/>
        </w:rPr>
      </w:pPr>
      <w:r>
        <w:rPr>
          <w:rFonts w:hint="eastAsia" w:ascii="Times New Roman" w:eastAsia="仿宋"/>
          <w:bCs/>
          <w:color w:val="auto"/>
          <w:spacing w:val="-11"/>
          <w:szCs w:val="32"/>
          <w:highlight w:val="none"/>
          <w:lang w:val="en-US" w:eastAsia="zh-CN"/>
        </w:rPr>
        <w:t>考虑</w:t>
      </w:r>
      <w:r>
        <w:rPr>
          <w:rFonts w:hint="default" w:ascii="Times New Roman" w:eastAsia="仿宋"/>
          <w:bCs/>
          <w:color w:val="auto"/>
          <w:spacing w:val="-11"/>
          <w:szCs w:val="32"/>
          <w:highlight w:val="none"/>
          <w:lang w:val="en-US" w:eastAsia="zh-CN"/>
        </w:rPr>
        <w:t>特殊工况、复杂工况、难计量介质</w:t>
      </w:r>
      <w:r>
        <w:rPr>
          <w:rFonts w:hint="eastAsia" w:ascii="Times New Roman" w:eastAsia="仿宋"/>
          <w:bCs/>
          <w:color w:val="auto"/>
          <w:spacing w:val="-11"/>
          <w:szCs w:val="32"/>
          <w:highlight w:val="none"/>
          <w:lang w:val="en-US" w:eastAsia="zh-CN"/>
        </w:rPr>
        <w:t>等存在实际问题</w:t>
      </w:r>
      <w:r>
        <w:rPr>
          <w:rFonts w:hint="default" w:ascii="Times New Roman" w:eastAsia="仿宋"/>
          <w:bCs/>
          <w:color w:val="auto"/>
          <w:spacing w:val="-11"/>
          <w:szCs w:val="32"/>
          <w:highlight w:val="none"/>
          <w:lang w:val="en-US" w:eastAsia="zh-CN"/>
        </w:rPr>
        <w:t>，参考GB</w:t>
      </w:r>
      <w:r>
        <w:rPr>
          <w:rFonts w:hint="eastAsia" w:ascii="Times New Roman" w:eastAsia="仿宋"/>
          <w:bCs/>
          <w:color w:val="auto"/>
          <w:spacing w:val="-11"/>
          <w:szCs w:val="32"/>
          <w:highlight w:val="none"/>
          <w:lang w:val="en-US" w:eastAsia="zh-CN"/>
        </w:rPr>
        <w:t xml:space="preserve"> </w:t>
      </w:r>
      <w:r>
        <w:rPr>
          <w:rFonts w:hint="default" w:ascii="Times New Roman" w:eastAsia="仿宋"/>
          <w:bCs/>
          <w:color w:val="auto"/>
          <w:spacing w:val="-11"/>
          <w:szCs w:val="32"/>
          <w:highlight w:val="none"/>
          <w:lang w:val="en-US" w:eastAsia="zh-CN"/>
        </w:rPr>
        <w:t>17167</w:t>
      </w:r>
      <w:r>
        <w:rPr>
          <w:rFonts w:hint="eastAsia" w:ascii="Times New Roman" w:eastAsia="仿宋"/>
          <w:bCs/>
          <w:color w:val="auto"/>
          <w:spacing w:val="-11"/>
          <w:szCs w:val="32"/>
          <w:highlight w:val="none"/>
          <w:lang w:val="en-US" w:eastAsia="zh-CN"/>
        </w:rPr>
        <w:t>，</w:t>
      </w:r>
      <w:r>
        <w:rPr>
          <w:rFonts w:hint="default" w:ascii="Times New Roman" w:eastAsia="仿宋"/>
          <w:bCs/>
          <w:color w:val="auto"/>
          <w:spacing w:val="-11"/>
          <w:szCs w:val="32"/>
          <w:highlight w:val="none"/>
          <w:lang w:val="en-US" w:eastAsia="zh-CN"/>
        </w:rPr>
        <w:t>本规范在检定、校准以外，还可以采用在线校准、比对、核算等方式对能源计量器具进行性能评价</w:t>
      </w:r>
      <w:r>
        <w:rPr>
          <w:rFonts w:hint="eastAsia" w:ascii="Times New Roman" w:eastAsia="仿宋"/>
          <w:bCs/>
          <w:color w:val="auto"/>
          <w:spacing w:val="-11"/>
          <w:szCs w:val="32"/>
          <w:highlight w:val="none"/>
          <w:lang w:val="en-US" w:eastAsia="zh-CN"/>
        </w:rPr>
        <w:t>；</w:t>
      </w:r>
    </w:p>
    <w:p w14:paraId="6B5CF418">
      <w:pPr>
        <w:numPr>
          <w:ilvl w:val="0"/>
          <w:numId w:val="1"/>
        </w:numPr>
        <w:snapToGrid w:val="0"/>
        <w:spacing w:line="360" w:lineRule="auto"/>
        <w:ind w:left="0" w:leftChars="0" w:firstLine="596" w:firstLineChars="200"/>
        <w:rPr>
          <w:rFonts w:hint="default" w:ascii="Times New Roman" w:eastAsia="仿宋"/>
          <w:bCs/>
          <w:color w:val="auto"/>
          <w:spacing w:val="-11"/>
          <w:szCs w:val="32"/>
          <w:highlight w:val="none"/>
          <w:lang w:val="en-US" w:eastAsia="zh-CN"/>
        </w:rPr>
      </w:pPr>
      <w:r>
        <w:rPr>
          <w:rFonts w:hint="default" w:ascii="Times New Roman" w:eastAsia="仿宋"/>
          <w:bCs/>
          <w:color w:val="auto"/>
          <w:spacing w:val="-11"/>
          <w:szCs w:val="32"/>
          <w:highlight w:val="none"/>
          <w:lang w:val="en-US" w:eastAsia="zh-CN"/>
        </w:rPr>
        <w:t>审查规范应聚焦能源计量审查，不宜扩展为实施规范、评价规范或评级规范</w:t>
      </w:r>
      <w:r>
        <w:rPr>
          <w:rFonts w:hint="eastAsia" w:ascii="Times New Roman" w:eastAsia="仿宋"/>
          <w:bCs/>
          <w:color w:val="auto"/>
          <w:spacing w:val="-11"/>
          <w:szCs w:val="32"/>
          <w:highlight w:val="none"/>
          <w:lang w:val="en-US" w:eastAsia="zh-CN"/>
        </w:rPr>
        <w:t>；</w:t>
      </w:r>
    </w:p>
    <w:p w14:paraId="7EF25A0D">
      <w:pPr>
        <w:numPr>
          <w:ilvl w:val="0"/>
          <w:numId w:val="1"/>
        </w:numPr>
        <w:snapToGrid w:val="0"/>
        <w:spacing w:line="360" w:lineRule="auto"/>
        <w:ind w:left="0" w:leftChars="0" w:firstLine="596" w:firstLineChars="200"/>
        <w:rPr>
          <w:rFonts w:hint="default" w:ascii="Times New Roman" w:eastAsia="仿宋"/>
          <w:bCs/>
          <w:color w:val="auto"/>
          <w:spacing w:val="-11"/>
          <w:szCs w:val="32"/>
          <w:highlight w:val="none"/>
          <w:lang w:val="en-US" w:eastAsia="zh-CN"/>
        </w:rPr>
      </w:pPr>
      <w:r>
        <w:rPr>
          <w:rFonts w:hint="default" w:ascii="Times New Roman" w:eastAsia="仿宋"/>
          <w:bCs/>
          <w:color w:val="auto"/>
          <w:spacing w:val="-11"/>
          <w:szCs w:val="32"/>
          <w:highlight w:val="none"/>
          <w:lang w:val="en-US" w:eastAsia="zh-CN"/>
        </w:rPr>
        <w:t>碳计量内容原则上不纳入本规范。</w:t>
      </w:r>
    </w:p>
    <w:p w14:paraId="2FFA309D">
      <w:pPr>
        <w:numPr>
          <w:ilvl w:val="0"/>
          <w:numId w:val="1"/>
        </w:numPr>
        <w:snapToGrid w:val="0"/>
        <w:spacing w:line="360" w:lineRule="auto"/>
        <w:ind w:left="0" w:leftChars="0" w:firstLine="596" w:firstLineChars="200"/>
        <w:rPr>
          <w:rFonts w:hint="default" w:ascii="Times New Roman" w:eastAsia="仿宋"/>
          <w:bCs/>
          <w:color w:val="auto"/>
          <w:spacing w:val="-11"/>
          <w:szCs w:val="32"/>
          <w:highlight w:val="none"/>
          <w:lang w:val="en-US" w:eastAsia="zh-CN"/>
        </w:rPr>
      </w:pPr>
      <w:r>
        <w:rPr>
          <w:rFonts w:hint="eastAsia" w:ascii="Times New Roman" w:eastAsia="仿宋"/>
          <w:bCs/>
          <w:color w:val="auto"/>
          <w:spacing w:val="-11"/>
          <w:szCs w:val="32"/>
          <w:highlight w:val="none"/>
          <w:lang w:val="en-US" w:eastAsia="zh-CN"/>
        </w:rPr>
        <w:t>其他建议。</w:t>
      </w:r>
    </w:p>
    <w:p w14:paraId="7C7380B8">
      <w:pPr>
        <w:snapToGrid w:val="0"/>
        <w:spacing w:line="360" w:lineRule="auto"/>
        <w:ind w:firstLine="596" w:firstLineChars="200"/>
        <w:rPr>
          <w:rFonts w:hint="eastAsia" w:ascii="Times New Roman" w:eastAsia="仿宋"/>
          <w:bCs/>
          <w:color w:val="auto"/>
          <w:spacing w:val="-11"/>
          <w:szCs w:val="32"/>
          <w:highlight w:val="none"/>
          <w:lang w:val="en-US" w:eastAsia="zh-CN"/>
        </w:rPr>
      </w:pPr>
      <w:r>
        <w:rPr>
          <w:rFonts w:hint="eastAsia" w:ascii="Times New Roman" w:eastAsia="仿宋"/>
          <w:bCs/>
          <w:color w:val="auto"/>
          <w:spacing w:val="-11"/>
          <w:szCs w:val="32"/>
          <w:highlight w:val="none"/>
          <w:lang w:val="en-US" w:eastAsia="zh-CN"/>
        </w:rPr>
        <w:t>研讨会结束后，编制组持续收集与会单位补充反馈意见，现将各类意见分类梳理如下，详见附录2。</w:t>
      </w:r>
    </w:p>
    <w:p w14:paraId="6EF43AB4">
      <w:pPr>
        <w:spacing w:line="600" w:lineRule="exact"/>
        <w:rPr>
          <w:rFonts w:ascii="Times New Roman" w:eastAsia="方正仿宋简体"/>
          <w:b/>
          <w:color w:val="auto"/>
          <w:spacing w:val="-11"/>
          <w:szCs w:val="32"/>
          <w:highlight w:val="none"/>
        </w:rPr>
      </w:pPr>
      <w:r>
        <w:rPr>
          <w:rFonts w:ascii="Times New Roman" w:eastAsia="方正仿宋简体"/>
          <w:b/>
          <w:color w:val="auto"/>
          <w:spacing w:val="-11"/>
          <w:szCs w:val="32"/>
          <w:highlight w:val="none"/>
        </w:rPr>
        <w:t xml:space="preserve">3 </w:t>
      </w:r>
      <w:r>
        <w:rPr>
          <w:rFonts w:ascii="仿宋" w:hAnsi="仿宋" w:eastAsia="仿宋"/>
          <w:b/>
          <w:color w:val="auto"/>
          <w:spacing w:val="-11"/>
          <w:szCs w:val="32"/>
          <w:highlight w:val="none"/>
        </w:rPr>
        <w:t>主要思路</w:t>
      </w:r>
      <w:r>
        <w:rPr>
          <w:rFonts w:hint="eastAsia" w:ascii="仿宋" w:hAnsi="仿宋" w:eastAsia="仿宋"/>
          <w:b/>
          <w:color w:val="auto"/>
          <w:spacing w:val="-11"/>
          <w:szCs w:val="32"/>
          <w:highlight w:val="none"/>
          <w:lang w:val="en-US" w:eastAsia="zh-CN"/>
        </w:rPr>
        <w:t>和制定</w:t>
      </w:r>
      <w:r>
        <w:rPr>
          <w:rFonts w:ascii="仿宋" w:hAnsi="仿宋" w:eastAsia="仿宋"/>
          <w:b/>
          <w:color w:val="auto"/>
          <w:spacing w:val="-11"/>
          <w:szCs w:val="32"/>
          <w:highlight w:val="none"/>
        </w:rPr>
        <w:t>内容</w:t>
      </w:r>
    </w:p>
    <w:p w14:paraId="2A7CEE13">
      <w:pPr>
        <w:spacing w:line="600" w:lineRule="exact"/>
        <w:rPr>
          <w:rFonts w:ascii="Times New Roman" w:eastAsia="方正仿宋简体"/>
          <w:bCs/>
          <w:color w:val="auto"/>
          <w:spacing w:val="-11"/>
          <w:szCs w:val="32"/>
          <w:highlight w:val="none"/>
        </w:rPr>
      </w:pPr>
      <w:r>
        <w:rPr>
          <w:rFonts w:ascii="Times New Roman" w:eastAsia="方正仿宋简体"/>
          <w:b/>
          <w:color w:val="auto"/>
          <w:spacing w:val="-11"/>
          <w:szCs w:val="32"/>
          <w:highlight w:val="none"/>
        </w:rPr>
        <w:t>3.1</w:t>
      </w:r>
      <w:r>
        <w:rPr>
          <w:rFonts w:ascii="仿宋" w:hAnsi="仿宋" w:eastAsia="仿宋"/>
          <w:b/>
          <w:color w:val="auto"/>
          <w:spacing w:val="-11"/>
          <w:szCs w:val="32"/>
          <w:highlight w:val="none"/>
        </w:rPr>
        <w:t xml:space="preserve">主要思路 </w:t>
      </w:r>
    </w:p>
    <w:p w14:paraId="15C621DA">
      <w:pPr>
        <w:spacing w:line="600" w:lineRule="exact"/>
        <w:ind w:firstLine="596" w:firstLineChars="200"/>
        <w:rPr>
          <w:rFonts w:ascii="Times New Roman" w:eastAsia="仿宋"/>
          <w:bCs/>
          <w:color w:val="auto"/>
          <w:spacing w:val="-11"/>
          <w:szCs w:val="32"/>
          <w:highlight w:val="none"/>
        </w:rPr>
      </w:pPr>
      <w:r>
        <w:rPr>
          <w:rFonts w:hint="eastAsia" w:ascii="Times New Roman" w:eastAsia="仿宋"/>
          <w:bCs/>
          <w:color w:val="auto"/>
          <w:spacing w:val="-11"/>
          <w:szCs w:val="32"/>
          <w:highlight w:val="none"/>
        </w:rPr>
        <w:t>一是与节能主管部门相关政策</w:t>
      </w:r>
      <w:r>
        <w:rPr>
          <w:rFonts w:hint="eastAsia" w:ascii="Times New Roman" w:eastAsia="仿宋"/>
          <w:bCs/>
          <w:color w:val="auto"/>
          <w:spacing w:val="-11"/>
          <w:szCs w:val="32"/>
          <w:highlight w:val="none"/>
          <w:lang w:val="en-US" w:eastAsia="zh-CN"/>
        </w:rPr>
        <w:t>和相关国家标准</w:t>
      </w:r>
      <w:r>
        <w:rPr>
          <w:rFonts w:hint="eastAsia" w:ascii="Times New Roman" w:eastAsia="仿宋"/>
          <w:bCs/>
          <w:color w:val="auto"/>
          <w:spacing w:val="-11"/>
          <w:szCs w:val="32"/>
          <w:highlight w:val="none"/>
        </w:rPr>
        <w:t>协同推进；</w:t>
      </w:r>
    </w:p>
    <w:p w14:paraId="6D0D5E97">
      <w:pPr>
        <w:spacing w:line="600" w:lineRule="exact"/>
        <w:ind w:firstLine="596" w:firstLineChars="200"/>
        <w:rPr>
          <w:rFonts w:ascii="Times New Roman" w:eastAsia="仿宋"/>
          <w:bCs/>
          <w:color w:val="auto"/>
          <w:spacing w:val="-11"/>
          <w:szCs w:val="32"/>
          <w:highlight w:val="none"/>
        </w:rPr>
      </w:pPr>
      <w:r>
        <w:rPr>
          <w:rFonts w:hint="eastAsia" w:ascii="Times New Roman" w:eastAsia="仿宋"/>
          <w:bCs/>
          <w:color w:val="auto"/>
          <w:spacing w:val="-11"/>
          <w:szCs w:val="32"/>
          <w:highlight w:val="none"/>
        </w:rPr>
        <w:t>二是在JJF 1356总则基础上，</w:t>
      </w:r>
      <w:r>
        <w:rPr>
          <w:rFonts w:hint="eastAsia" w:ascii="Times New Roman" w:eastAsia="仿宋"/>
          <w:bCs/>
          <w:spacing w:val="-11"/>
          <w:szCs w:val="32"/>
          <w:highlight w:val="none"/>
        </w:rPr>
        <w:t>结合</w:t>
      </w:r>
      <w:r>
        <w:rPr>
          <w:rFonts w:hint="eastAsia" w:ascii="Times New Roman" w:eastAsia="仿宋"/>
          <w:bCs/>
          <w:spacing w:val="-11"/>
          <w:szCs w:val="32"/>
          <w:highlight w:val="none"/>
          <w:lang w:val="en-US" w:eastAsia="zh-CN"/>
        </w:rPr>
        <w:t>炼油化工</w:t>
      </w:r>
      <w:r>
        <w:rPr>
          <w:rFonts w:ascii="Times New Roman" w:eastAsia="仿宋"/>
          <w:bCs/>
          <w:spacing w:val="-11"/>
          <w:szCs w:val="32"/>
          <w:highlight w:val="none"/>
        </w:rPr>
        <w:t>行业管理特点</w:t>
      </w:r>
      <w:r>
        <w:rPr>
          <w:rFonts w:hint="eastAsia" w:ascii="Times New Roman" w:eastAsia="仿宋"/>
          <w:bCs/>
          <w:spacing w:val="-11"/>
          <w:szCs w:val="32"/>
          <w:highlight w:val="none"/>
          <w:lang w:eastAsia="zh-CN"/>
        </w:rPr>
        <w:t>（</w:t>
      </w:r>
      <w:r>
        <w:rPr>
          <w:rFonts w:ascii="Times New Roman" w:eastAsia="仿宋"/>
          <w:bCs/>
          <w:spacing w:val="-11"/>
          <w:szCs w:val="32"/>
          <w:highlight w:val="none"/>
        </w:rPr>
        <w:t>按装置或基本用能单元管理</w:t>
      </w:r>
      <w:r>
        <w:rPr>
          <w:rFonts w:hint="eastAsia" w:ascii="Times New Roman" w:eastAsia="仿宋"/>
          <w:bCs/>
          <w:spacing w:val="-11"/>
          <w:szCs w:val="32"/>
          <w:highlight w:val="none"/>
          <w:lang w:eastAsia="zh-CN"/>
        </w:rPr>
        <w:t>）</w:t>
      </w:r>
      <w:r>
        <w:rPr>
          <w:rFonts w:hint="eastAsia" w:ascii="Times New Roman" w:eastAsia="仿宋"/>
          <w:bCs/>
          <w:spacing w:val="-11"/>
          <w:szCs w:val="32"/>
          <w:highlight w:val="none"/>
          <w:lang w:val="en-US" w:eastAsia="zh-CN"/>
        </w:rPr>
        <w:t>以及</w:t>
      </w:r>
      <w:r>
        <w:rPr>
          <w:rFonts w:hint="eastAsia" w:ascii="Times New Roman" w:eastAsia="仿宋"/>
          <w:bCs/>
          <w:color w:val="auto"/>
          <w:spacing w:val="-11"/>
          <w:szCs w:val="32"/>
          <w:highlight w:val="none"/>
        </w:rPr>
        <w:t>高温高压、连续长周期、多相介质等特有工况，</w:t>
      </w:r>
      <w:r>
        <w:rPr>
          <w:rFonts w:hint="eastAsia" w:ascii="Times New Roman" w:eastAsia="仿宋"/>
          <w:bCs/>
          <w:color w:val="auto"/>
          <w:spacing w:val="-11"/>
          <w:szCs w:val="32"/>
          <w:highlight w:val="none"/>
          <w:lang w:val="en-US" w:eastAsia="zh-CN"/>
        </w:rPr>
        <w:t>制定</w:t>
      </w:r>
      <w:r>
        <w:rPr>
          <w:rFonts w:hint="eastAsia" w:ascii="Times New Roman" w:eastAsia="仿宋"/>
          <w:bCs/>
          <w:color w:val="auto"/>
          <w:spacing w:val="-11"/>
          <w:szCs w:val="32"/>
          <w:highlight w:val="none"/>
        </w:rPr>
        <w:t>针对</w:t>
      </w:r>
      <w:r>
        <w:rPr>
          <w:rFonts w:hint="eastAsia" w:ascii="Times New Roman" w:eastAsia="仿宋"/>
          <w:bCs/>
          <w:color w:val="auto"/>
          <w:spacing w:val="-11"/>
          <w:szCs w:val="32"/>
          <w:highlight w:val="none"/>
          <w:lang w:val="en-US" w:eastAsia="zh-CN"/>
        </w:rPr>
        <w:t>炼油化工</w:t>
      </w:r>
      <w:r>
        <w:rPr>
          <w:rFonts w:hint="eastAsia" w:ascii="Times New Roman" w:eastAsia="仿宋"/>
          <w:bCs/>
          <w:color w:val="auto"/>
          <w:spacing w:val="-11"/>
          <w:szCs w:val="32"/>
          <w:highlight w:val="none"/>
        </w:rPr>
        <w:t>行业的能源计量审查技术规范体系；</w:t>
      </w:r>
    </w:p>
    <w:p w14:paraId="34F2C21D">
      <w:pPr>
        <w:spacing w:line="600" w:lineRule="exact"/>
        <w:ind w:firstLine="596" w:firstLineChars="200"/>
        <w:rPr>
          <w:rFonts w:ascii="Times New Roman" w:eastAsia="仿宋"/>
          <w:bCs/>
          <w:color w:val="auto"/>
          <w:spacing w:val="-11"/>
          <w:szCs w:val="32"/>
          <w:highlight w:val="none"/>
        </w:rPr>
      </w:pPr>
      <w:r>
        <w:rPr>
          <w:rFonts w:hint="eastAsia" w:ascii="Times New Roman" w:eastAsia="仿宋"/>
          <w:bCs/>
          <w:color w:val="auto"/>
          <w:spacing w:val="-11"/>
          <w:szCs w:val="32"/>
          <w:highlight w:val="none"/>
        </w:rPr>
        <w:t>三是结合能耗双控向碳排放双控</w:t>
      </w:r>
      <w:r>
        <w:rPr>
          <w:rFonts w:hint="eastAsia" w:ascii="Times New Roman" w:eastAsia="仿宋"/>
          <w:bCs/>
          <w:color w:val="auto"/>
          <w:spacing w:val="-11"/>
          <w:szCs w:val="32"/>
          <w:highlight w:val="none"/>
          <w:lang w:val="en-US" w:eastAsia="zh-CN"/>
        </w:rPr>
        <w:t>转变</w:t>
      </w:r>
      <w:r>
        <w:rPr>
          <w:rFonts w:hint="eastAsia" w:ascii="Times New Roman" w:eastAsia="仿宋"/>
          <w:bCs/>
          <w:color w:val="auto"/>
          <w:spacing w:val="-11"/>
          <w:szCs w:val="32"/>
          <w:highlight w:val="none"/>
        </w:rPr>
        <w:t>政策、炼化行业节能降碳等行业监管要求；</w:t>
      </w:r>
    </w:p>
    <w:p w14:paraId="06757DBE">
      <w:pPr>
        <w:spacing w:line="600" w:lineRule="exact"/>
        <w:ind w:firstLine="596" w:firstLineChars="200"/>
        <w:rPr>
          <w:rFonts w:ascii="Times New Roman" w:eastAsia="仿宋"/>
          <w:bCs/>
          <w:color w:val="auto"/>
          <w:spacing w:val="-11"/>
          <w:szCs w:val="32"/>
          <w:highlight w:val="none"/>
        </w:rPr>
      </w:pPr>
      <w:r>
        <w:rPr>
          <w:rFonts w:hint="eastAsia" w:ascii="Times New Roman" w:eastAsia="仿宋"/>
          <w:bCs/>
          <w:color w:val="auto"/>
          <w:spacing w:val="-11"/>
          <w:szCs w:val="32"/>
          <w:highlight w:val="none"/>
        </w:rPr>
        <w:t>四是探索能源计量能力分级量化指标要求等；</w:t>
      </w:r>
    </w:p>
    <w:p w14:paraId="1E073E5A">
      <w:pPr>
        <w:spacing w:line="600" w:lineRule="exact"/>
        <w:ind w:firstLine="596" w:firstLineChars="200"/>
        <w:rPr>
          <w:rFonts w:hint="eastAsia" w:ascii="Times New Roman" w:eastAsia="仿宋"/>
          <w:bCs/>
          <w:color w:val="auto"/>
          <w:spacing w:val="-11"/>
          <w:szCs w:val="32"/>
          <w:highlight w:val="none"/>
        </w:rPr>
      </w:pPr>
      <w:r>
        <w:rPr>
          <w:rFonts w:hint="eastAsia" w:ascii="Times New Roman" w:eastAsia="仿宋"/>
          <w:bCs/>
          <w:color w:val="auto"/>
          <w:spacing w:val="-11"/>
          <w:szCs w:val="32"/>
          <w:highlight w:val="none"/>
        </w:rPr>
        <w:t>五是</w:t>
      </w:r>
      <w:r>
        <w:rPr>
          <w:rFonts w:hint="eastAsia" w:ascii="Times New Roman" w:eastAsia="仿宋"/>
          <w:bCs/>
          <w:color w:val="auto"/>
          <w:spacing w:val="-11"/>
          <w:szCs w:val="32"/>
          <w:highlight w:val="none"/>
          <w:lang w:val="en-US" w:eastAsia="zh-CN"/>
        </w:rPr>
        <w:t>推动</w:t>
      </w:r>
      <w:r>
        <w:rPr>
          <w:rFonts w:hint="eastAsia" w:ascii="Times New Roman" w:eastAsia="仿宋"/>
          <w:bCs/>
          <w:color w:val="auto"/>
          <w:spacing w:val="-11"/>
          <w:szCs w:val="32"/>
          <w:highlight w:val="none"/>
        </w:rPr>
        <w:t>能源计量与炼油</w:t>
      </w:r>
      <w:r>
        <w:rPr>
          <w:rFonts w:hint="eastAsia" w:ascii="Times New Roman" w:eastAsia="仿宋"/>
          <w:bCs/>
          <w:color w:val="auto"/>
          <w:spacing w:val="-11"/>
          <w:szCs w:val="32"/>
          <w:highlight w:val="none"/>
          <w:lang w:val="en-US" w:eastAsia="zh-CN"/>
        </w:rPr>
        <w:t>化工</w:t>
      </w:r>
      <w:r>
        <w:rPr>
          <w:rFonts w:hint="eastAsia" w:ascii="Times New Roman" w:eastAsia="仿宋"/>
          <w:bCs/>
          <w:color w:val="auto"/>
          <w:spacing w:val="-11"/>
          <w:szCs w:val="32"/>
          <w:highlight w:val="none"/>
        </w:rPr>
        <w:t>装置运行、能碳管控、能效管理、数智化生产有效衔接</w:t>
      </w:r>
      <w:r>
        <w:rPr>
          <w:rFonts w:hint="eastAsia" w:ascii="Times New Roman" w:eastAsia="仿宋"/>
          <w:bCs/>
          <w:color w:val="auto"/>
          <w:spacing w:val="-11"/>
          <w:szCs w:val="32"/>
          <w:highlight w:val="none"/>
          <w:lang w:eastAsia="zh-CN"/>
        </w:rPr>
        <w:t>，</w:t>
      </w:r>
      <w:r>
        <w:rPr>
          <w:rFonts w:hint="eastAsia" w:ascii="Times New Roman" w:eastAsia="仿宋"/>
          <w:bCs/>
          <w:color w:val="auto"/>
          <w:spacing w:val="-11"/>
          <w:szCs w:val="32"/>
          <w:highlight w:val="none"/>
          <w:lang w:val="en-US" w:eastAsia="zh-CN"/>
        </w:rPr>
        <w:t>充分考虑炼油化工装置连续生产、工况复杂、难计量场景多的行业特点，研制匹配炼油化工行业实际情况的审查规则。</w:t>
      </w:r>
    </w:p>
    <w:p w14:paraId="23C2D970">
      <w:pPr>
        <w:spacing w:after="100" w:afterAutospacing="1" w:line="600" w:lineRule="exact"/>
        <w:rPr>
          <w:rFonts w:ascii="Times New Roman" w:eastAsia="方正仿宋简体"/>
          <w:b/>
          <w:color w:val="auto"/>
          <w:spacing w:val="-11"/>
          <w:szCs w:val="32"/>
          <w:highlight w:val="none"/>
        </w:rPr>
      </w:pPr>
      <w:r>
        <w:rPr>
          <w:rFonts w:ascii="Times New Roman" w:eastAsia="方正仿宋简体"/>
          <w:b/>
          <w:color w:val="auto"/>
          <w:spacing w:val="-11"/>
          <w:szCs w:val="32"/>
          <w:highlight w:val="none"/>
        </w:rPr>
        <w:t>3.2</w:t>
      </w:r>
      <w:r>
        <w:rPr>
          <w:rFonts w:ascii="仿宋" w:hAnsi="仿宋" w:eastAsia="仿宋"/>
          <w:b/>
          <w:color w:val="auto"/>
          <w:spacing w:val="-11"/>
          <w:szCs w:val="32"/>
          <w:highlight w:val="none"/>
        </w:rPr>
        <w:t>主要内容</w:t>
      </w:r>
    </w:p>
    <w:p w14:paraId="051C616D">
      <w:pPr>
        <w:ind w:firstLine="640" w:firstLineChars="200"/>
        <w:rPr>
          <w:rFonts w:ascii="Times New Roman" w:eastAsia="仿宋"/>
          <w:color w:val="auto"/>
          <w:highlight w:val="none"/>
        </w:rPr>
      </w:pPr>
      <w:r>
        <w:rPr>
          <w:rFonts w:hint="eastAsia" w:ascii="Times New Roman" w:eastAsia="仿宋"/>
          <w:color w:val="auto"/>
          <w:highlight w:val="none"/>
        </w:rPr>
        <w:t>本规范是在JJF 1356</w:t>
      </w:r>
      <w:r>
        <w:rPr>
          <w:rFonts w:ascii="Times New Roman" w:eastAsia="仿宋"/>
          <w:bCs/>
          <w:color w:val="auto"/>
          <w:spacing w:val="-11"/>
          <w:szCs w:val="32"/>
          <w:highlight w:val="none"/>
        </w:rPr>
        <w:t>《重点用能单位能源计量审查规范》</w:t>
      </w:r>
      <w:r>
        <w:rPr>
          <w:rFonts w:hint="eastAsia" w:ascii="Times New Roman" w:eastAsia="仿宋"/>
          <w:color w:val="auto"/>
          <w:highlight w:val="none"/>
        </w:rPr>
        <w:t>通用规范的框架下，针对</w:t>
      </w:r>
      <w:r>
        <w:rPr>
          <w:rFonts w:hint="eastAsia" w:ascii="Times New Roman" w:eastAsia="仿宋"/>
          <w:color w:val="auto"/>
          <w:highlight w:val="none"/>
          <w:lang w:val="en-US" w:eastAsia="zh-CN"/>
        </w:rPr>
        <w:t>炼油化工</w:t>
      </w:r>
      <w:r>
        <w:rPr>
          <w:rFonts w:hint="eastAsia" w:ascii="Times New Roman" w:eastAsia="仿宋"/>
          <w:color w:val="auto"/>
          <w:highlight w:val="none"/>
        </w:rPr>
        <w:t>企业的生产工艺、用能结构和计量难点，进行的系统性、行业专属化细化和补充。其主要制定内容包括范围、引用文件、术语和定义、能源计量管理、能源计量人员、能源计量器具、</w:t>
      </w:r>
      <w:r>
        <w:rPr>
          <w:rFonts w:ascii="Times New Roman" w:eastAsia="仿宋"/>
          <w:color w:val="auto"/>
          <w:highlight w:val="none"/>
        </w:rPr>
        <w:t>能源计量数据管理</w:t>
      </w:r>
      <w:r>
        <w:rPr>
          <w:rFonts w:hint="eastAsia" w:ascii="Times New Roman" w:eastAsia="仿宋"/>
          <w:color w:val="auto"/>
          <w:highlight w:val="none"/>
        </w:rPr>
        <w:t>、</w:t>
      </w:r>
      <w:r>
        <w:rPr>
          <w:rFonts w:ascii="Times New Roman" w:eastAsia="仿宋"/>
          <w:color w:val="auto"/>
          <w:highlight w:val="none"/>
        </w:rPr>
        <w:t>能效监测管理</w:t>
      </w:r>
      <w:r>
        <w:rPr>
          <w:rFonts w:hint="eastAsia" w:ascii="Times New Roman" w:eastAsia="仿宋"/>
          <w:color w:val="auto"/>
          <w:highlight w:val="none"/>
        </w:rPr>
        <w:t>、</w:t>
      </w:r>
      <w:r>
        <w:rPr>
          <w:rFonts w:ascii="Times New Roman" w:eastAsia="仿宋"/>
          <w:color w:val="auto"/>
          <w:highlight w:val="none"/>
        </w:rPr>
        <w:t>能源计量审查</w:t>
      </w:r>
      <w:r>
        <w:rPr>
          <w:rFonts w:hint="eastAsia" w:ascii="Times New Roman" w:eastAsia="仿宋"/>
          <w:color w:val="auto"/>
          <w:highlight w:val="none"/>
        </w:rPr>
        <w:t>和</w:t>
      </w:r>
      <w:r>
        <w:rPr>
          <w:rFonts w:ascii="Times New Roman" w:eastAsia="仿宋"/>
          <w:color w:val="auto"/>
          <w:highlight w:val="none"/>
        </w:rPr>
        <w:t>能源计量评价</w:t>
      </w:r>
      <w:r>
        <w:rPr>
          <w:rFonts w:hint="eastAsia" w:ascii="Times New Roman" w:eastAsia="仿宋"/>
          <w:color w:val="auto"/>
          <w:highlight w:val="none"/>
        </w:rPr>
        <w:t>，其中：</w:t>
      </w:r>
    </w:p>
    <w:p w14:paraId="2CD24DDE">
      <w:pPr>
        <w:pStyle w:val="13"/>
        <w:numPr>
          <w:ilvl w:val="0"/>
          <w:numId w:val="2"/>
        </w:numPr>
        <w:ind w:firstLineChars="0"/>
        <w:rPr>
          <w:color w:val="auto"/>
          <w:highlight w:val="none"/>
        </w:rPr>
      </w:pPr>
      <w:r>
        <w:rPr>
          <w:rFonts w:hint="eastAsia"/>
          <w:color w:val="auto"/>
          <w:highlight w:val="none"/>
          <w:lang w:val="en-US" w:eastAsia="zh-CN"/>
        </w:rPr>
        <w:t>明确</w:t>
      </w:r>
      <w:r>
        <w:rPr>
          <w:rFonts w:hint="eastAsia"/>
          <w:color w:val="auto"/>
          <w:highlight w:val="none"/>
        </w:rPr>
        <w:t>适用范围。</w:t>
      </w:r>
      <w:r>
        <w:rPr>
          <w:rFonts w:hint="eastAsia"/>
          <w:color w:val="auto"/>
          <w:highlight w:val="none"/>
          <w:lang w:val="en-US" w:eastAsia="zh-CN"/>
        </w:rPr>
        <w:t>本</w:t>
      </w:r>
      <w:r>
        <w:rPr>
          <w:rFonts w:hint="eastAsia"/>
          <w:color w:val="auto"/>
          <w:highlight w:val="none"/>
        </w:rPr>
        <w:t>规范适用</w:t>
      </w:r>
      <w:r>
        <w:rPr>
          <w:rFonts w:hint="eastAsia"/>
          <w:color w:val="auto"/>
          <w:highlight w:val="none"/>
          <w:lang w:val="en-US" w:eastAsia="zh-CN"/>
        </w:rPr>
        <w:t>于以石油、天然气及其产品为原料，生产石油产品和石油化工产品的企业，不含石油勘探开发、管道运输等上游环节</w:t>
      </w:r>
      <w:r>
        <w:rPr>
          <w:rFonts w:hint="eastAsia"/>
          <w:color w:val="auto"/>
          <w:highlight w:val="none"/>
          <w:lang w:eastAsia="zh-CN"/>
        </w:rPr>
        <w:t>；</w:t>
      </w:r>
    </w:p>
    <w:p w14:paraId="1B020B20">
      <w:pPr>
        <w:pStyle w:val="13"/>
        <w:numPr>
          <w:ilvl w:val="0"/>
          <w:numId w:val="2"/>
        </w:numPr>
        <w:ind w:firstLineChars="0"/>
        <w:rPr>
          <w:color w:val="auto"/>
          <w:highlight w:val="none"/>
        </w:rPr>
      </w:pPr>
      <w:r>
        <w:rPr>
          <w:rFonts w:hint="eastAsia"/>
          <w:color w:val="auto"/>
          <w:highlight w:val="none"/>
          <w:lang w:val="en-US" w:eastAsia="zh-CN"/>
        </w:rPr>
        <w:t>在JJF1356总则基础上，结合炼油化工企业原料用能、自产能源、余能余热回收等用能特点，针对装置高温高压、防爆防腐、气液多相流、大口径管网等典型工况，及火炬气、炼厂干气等组分易波动介质，提出具有行业针对性的要求；</w:t>
      </w:r>
    </w:p>
    <w:p w14:paraId="09731563">
      <w:pPr>
        <w:pStyle w:val="13"/>
        <w:numPr>
          <w:ilvl w:val="0"/>
          <w:numId w:val="2"/>
        </w:numPr>
        <w:ind w:firstLineChars="0"/>
        <w:rPr>
          <w:color w:val="auto"/>
          <w:highlight w:val="none"/>
        </w:rPr>
      </w:pPr>
      <w:r>
        <w:rPr>
          <w:rFonts w:hint="eastAsia"/>
          <w:color w:val="auto"/>
          <w:highlight w:val="none"/>
          <w:lang w:val="en-US" w:eastAsia="zh-CN"/>
        </w:rPr>
        <w:t>简化、统一能源计量人员管理要求、参照 GB 17167 统一采用“专业计量人员”原则性表述；</w:t>
      </w:r>
    </w:p>
    <w:p w14:paraId="1A7EA491">
      <w:pPr>
        <w:pStyle w:val="13"/>
        <w:numPr>
          <w:ilvl w:val="0"/>
          <w:numId w:val="2"/>
        </w:numPr>
        <w:ind w:firstLineChars="0"/>
        <w:rPr>
          <w:color w:val="auto"/>
          <w:highlight w:val="none"/>
        </w:rPr>
      </w:pPr>
      <w:r>
        <w:rPr>
          <w:color w:val="auto"/>
          <w:highlight w:val="none"/>
          <w:lang w:val="en-US" w:eastAsia="zh-CN"/>
        </w:rPr>
        <w:t>规范能源计量台账与分级管理要求。简化正文台账细化条款，具体台账格式、字段纳入附录管理；明确台账需满足用能单位、次级用能单位、基本用能单元三级分级分类管理要求</w:t>
      </w:r>
      <w:r>
        <w:rPr>
          <w:rFonts w:hint="eastAsia"/>
          <w:color w:val="auto"/>
          <w:highlight w:val="none"/>
          <w:lang w:val="en-US" w:eastAsia="zh-CN"/>
        </w:rPr>
        <w:t>；</w:t>
      </w:r>
    </w:p>
    <w:p w14:paraId="5E807C33">
      <w:pPr>
        <w:pStyle w:val="13"/>
        <w:numPr>
          <w:ilvl w:val="0"/>
          <w:numId w:val="2"/>
        </w:numPr>
        <w:ind w:firstLineChars="0"/>
        <w:rPr>
          <w:color w:val="auto"/>
          <w:highlight w:val="none"/>
        </w:rPr>
      </w:pPr>
      <w:r>
        <w:rPr>
          <w:color w:val="auto"/>
          <w:highlight w:val="none"/>
          <w:lang w:val="en-US" w:eastAsia="zh-CN"/>
        </w:rPr>
        <w:t>衔接 GB 17167、GB/T</w:t>
      </w:r>
      <w:r>
        <w:rPr>
          <w:rFonts w:hint="eastAsia"/>
          <w:color w:val="auto"/>
          <w:highlight w:val="none"/>
          <w:lang w:val="en-US" w:eastAsia="zh-CN"/>
        </w:rPr>
        <w:t xml:space="preserve"> </w:t>
      </w:r>
      <w:r>
        <w:rPr>
          <w:color w:val="auto"/>
          <w:highlight w:val="none"/>
          <w:lang w:val="en-US" w:eastAsia="zh-CN"/>
        </w:rPr>
        <w:t>20901 等现行标准，统一计量精度、配备要求，规避多标准执行冲突问题；同步衔接最新检定规程要求，保障规范时效性</w:t>
      </w:r>
      <w:r>
        <w:rPr>
          <w:rFonts w:hint="eastAsia"/>
          <w:color w:val="auto"/>
          <w:highlight w:val="none"/>
          <w:lang w:val="en-US" w:eastAsia="zh-CN"/>
        </w:rPr>
        <w:t>；</w:t>
      </w:r>
    </w:p>
    <w:p w14:paraId="3E404922">
      <w:pPr>
        <w:pStyle w:val="13"/>
        <w:numPr>
          <w:ilvl w:val="0"/>
          <w:numId w:val="2"/>
        </w:numPr>
        <w:ind w:firstLineChars="0"/>
        <w:rPr>
          <w:color w:val="auto"/>
          <w:highlight w:val="none"/>
        </w:rPr>
      </w:pPr>
      <w:r>
        <w:rPr>
          <w:color w:val="auto"/>
          <w:highlight w:val="none"/>
          <w:lang w:val="en-US" w:eastAsia="zh-CN"/>
        </w:rPr>
        <w:t>建立适配炼化长周期运行的溯源审查规则。针对炼化装置 4～5 年大修周期、器具不便拆卸、无法按通用周期离线检定的行业特点，明确在线校准、核查比对、能量平衡核算、大修窗口期复检等合规溯源方式，对无法精准实测的复杂工况允许采用核算、比对等替代方式，兼顾合规性与实操性</w:t>
      </w:r>
      <w:r>
        <w:rPr>
          <w:rFonts w:hint="eastAsia"/>
          <w:color w:val="auto"/>
          <w:highlight w:val="none"/>
          <w:lang w:val="en-US" w:eastAsia="zh-CN"/>
        </w:rPr>
        <w:t>；</w:t>
      </w:r>
    </w:p>
    <w:p w14:paraId="71F20EE9">
      <w:pPr>
        <w:pStyle w:val="13"/>
        <w:numPr>
          <w:ilvl w:val="0"/>
          <w:numId w:val="2"/>
        </w:numPr>
        <w:ind w:firstLineChars="0"/>
        <w:rPr>
          <w:color w:val="auto"/>
          <w:highlight w:val="none"/>
        </w:rPr>
      </w:pPr>
      <w:r>
        <w:rPr>
          <w:rFonts w:hint="eastAsia"/>
          <w:color w:val="auto"/>
          <w:highlight w:val="none"/>
          <w:lang w:val="en-US" w:eastAsia="zh-CN"/>
        </w:rPr>
        <w:t>强化</w:t>
      </w:r>
      <w:r>
        <w:rPr>
          <w:rFonts w:hint="eastAsia"/>
          <w:color w:val="auto"/>
          <w:highlight w:val="none"/>
        </w:rPr>
        <w:t>能碳数据协同管理</w:t>
      </w:r>
      <w:r>
        <w:rPr>
          <w:rFonts w:hint="eastAsia"/>
          <w:color w:val="auto"/>
          <w:highlight w:val="none"/>
          <w:lang w:eastAsia="zh-CN"/>
        </w:rPr>
        <w:t>，</w:t>
      </w:r>
      <w:r>
        <w:rPr>
          <w:rFonts w:hint="eastAsia"/>
          <w:color w:val="auto"/>
          <w:highlight w:val="none"/>
        </w:rPr>
        <w:t>要求各类平衡核算数据可追溯至原始计量记录</w:t>
      </w:r>
      <w:r>
        <w:rPr>
          <w:rFonts w:hint="eastAsia"/>
          <w:color w:val="auto"/>
          <w:highlight w:val="none"/>
          <w:lang w:eastAsia="zh-CN"/>
        </w:rPr>
        <w:t>，</w:t>
      </w:r>
      <w:r>
        <w:rPr>
          <w:rFonts w:hint="eastAsia"/>
          <w:color w:val="auto"/>
          <w:highlight w:val="none"/>
        </w:rPr>
        <w:t>统一碳排放相关数据核算与溯源口径，</w:t>
      </w:r>
      <w:r>
        <w:rPr>
          <w:rFonts w:hint="eastAsia"/>
          <w:color w:val="auto"/>
          <w:highlight w:val="none"/>
          <w:lang w:val="en-US" w:eastAsia="zh-CN"/>
        </w:rPr>
        <w:t>发挥</w:t>
      </w:r>
      <w:r>
        <w:rPr>
          <w:rFonts w:hint="eastAsia"/>
          <w:color w:val="auto"/>
          <w:highlight w:val="none"/>
        </w:rPr>
        <w:t>能源计量对碳管控的支撑作用</w:t>
      </w:r>
      <w:r>
        <w:rPr>
          <w:rFonts w:hint="eastAsia"/>
          <w:color w:val="auto"/>
          <w:highlight w:val="none"/>
          <w:lang w:eastAsia="zh-CN"/>
        </w:rPr>
        <w:t>；</w:t>
      </w:r>
    </w:p>
    <w:p w14:paraId="4E659CB6">
      <w:pPr>
        <w:pStyle w:val="13"/>
        <w:numPr>
          <w:ilvl w:val="0"/>
          <w:numId w:val="2"/>
        </w:numPr>
        <w:ind w:firstLineChars="0"/>
        <w:rPr>
          <w:color w:val="auto"/>
          <w:highlight w:val="none"/>
        </w:rPr>
      </w:pPr>
      <w:r>
        <w:rPr>
          <w:rFonts w:hint="eastAsia"/>
          <w:color w:val="auto"/>
          <w:highlight w:val="none"/>
          <w:lang w:val="en-US" w:eastAsia="zh-CN"/>
        </w:rPr>
        <w:t>规范为首次发布，在JJF1356现有评价体系下，增加鼓励项加分，采用</w:t>
      </w:r>
      <w:r>
        <w:rPr>
          <w:rFonts w:hint="eastAsia"/>
          <w:color w:val="auto"/>
          <w:highlight w:val="none"/>
        </w:rPr>
        <w:t>扣分</w:t>
      </w:r>
      <w:r>
        <w:rPr>
          <w:rFonts w:hint="eastAsia"/>
          <w:color w:val="auto"/>
          <w:highlight w:val="none"/>
          <w:lang w:val="en-US" w:eastAsia="zh-CN"/>
        </w:rPr>
        <w:t>与</w:t>
      </w:r>
      <w:r>
        <w:rPr>
          <w:rFonts w:hint="eastAsia"/>
          <w:color w:val="auto"/>
          <w:highlight w:val="none"/>
        </w:rPr>
        <w:t>加分相结合的激励式评价</w:t>
      </w:r>
      <w:r>
        <w:rPr>
          <w:rFonts w:hint="eastAsia"/>
          <w:color w:val="auto"/>
          <w:highlight w:val="none"/>
          <w:lang w:val="en-US" w:eastAsia="zh-CN"/>
        </w:rPr>
        <w:t>模式，引导企业提升能源计量管理水平；</w:t>
      </w:r>
    </w:p>
    <w:p w14:paraId="19F72F2E">
      <w:pPr>
        <w:pStyle w:val="13"/>
        <w:numPr>
          <w:ilvl w:val="0"/>
          <w:numId w:val="2"/>
        </w:numPr>
        <w:ind w:firstLineChars="0"/>
        <w:rPr>
          <w:color w:val="auto"/>
          <w:highlight w:val="none"/>
        </w:rPr>
      </w:pPr>
      <w:r>
        <w:rPr>
          <w:rFonts w:hint="eastAsia"/>
          <w:color w:val="auto"/>
          <w:highlight w:val="none"/>
          <w:lang w:val="en-US" w:eastAsia="zh-CN"/>
        </w:rPr>
        <w:t>同时，增加“能效监测管理”、“监督审查”、“能源计量能力要素及分值”、“能源计量能力要素符合度”、“审查结论及能源计量能力分级”、“后续监管”、“能源计量评价”要求，调整“审查结果处理”要求等内容；</w:t>
      </w:r>
    </w:p>
    <w:p w14:paraId="13AB90A7">
      <w:pPr>
        <w:pStyle w:val="13"/>
        <w:numPr>
          <w:ilvl w:val="0"/>
          <w:numId w:val="2"/>
        </w:numPr>
        <w:ind w:firstLineChars="0"/>
        <w:rPr>
          <w:color w:val="auto"/>
          <w:highlight w:val="none"/>
        </w:rPr>
      </w:pPr>
      <w:r>
        <w:rPr>
          <w:rFonts w:hint="eastAsia"/>
          <w:color w:val="auto"/>
          <w:highlight w:val="none"/>
          <w:lang w:val="en-US" w:eastAsia="zh-CN"/>
        </w:rPr>
        <w:t>提出</w:t>
      </w:r>
      <w:r>
        <w:rPr>
          <w:rFonts w:hint="eastAsia"/>
          <w:color w:val="auto"/>
          <w:highlight w:val="none"/>
        </w:rPr>
        <w:t>分级差异化管理</w:t>
      </w:r>
      <w:r>
        <w:rPr>
          <w:rFonts w:hint="eastAsia"/>
          <w:color w:val="auto"/>
          <w:highlight w:val="none"/>
          <w:lang w:val="en-US" w:eastAsia="zh-CN"/>
        </w:rPr>
        <w:t>要求</w:t>
      </w:r>
      <w:r>
        <w:rPr>
          <w:rFonts w:hint="eastAsia"/>
          <w:color w:val="auto"/>
          <w:highlight w:val="none"/>
          <w:lang w:eastAsia="zh-CN"/>
        </w:rPr>
        <w:t>，</w:t>
      </w:r>
      <w:r>
        <w:rPr>
          <w:rFonts w:hint="eastAsia"/>
          <w:color w:val="auto"/>
          <w:highlight w:val="none"/>
        </w:rPr>
        <w:t>依据用能规模、能耗等级、风险等级，对计量器具、主要用能设备实施分级管控，明确低能耗、低风险设备及器具的轻量化、豁免管理规则，优化计量运维管理模式</w:t>
      </w:r>
      <w:r>
        <w:rPr>
          <w:rFonts w:hint="eastAsia"/>
          <w:color w:val="auto"/>
          <w:highlight w:val="none"/>
          <w:lang w:eastAsia="zh-CN"/>
        </w:rPr>
        <w:t>；</w:t>
      </w:r>
    </w:p>
    <w:p w14:paraId="26B3EE47">
      <w:pPr>
        <w:pStyle w:val="13"/>
        <w:numPr>
          <w:ilvl w:val="0"/>
          <w:numId w:val="2"/>
        </w:numPr>
        <w:ind w:firstLineChars="0"/>
        <w:rPr>
          <w:color w:val="auto"/>
          <w:highlight w:val="none"/>
        </w:rPr>
      </w:pPr>
      <w:r>
        <w:rPr>
          <w:rFonts w:hint="eastAsia"/>
          <w:color w:val="auto"/>
          <w:highlight w:val="none"/>
          <w:lang w:val="en-US" w:eastAsia="zh-CN"/>
        </w:rPr>
        <w:t>提出</w:t>
      </w:r>
      <w:r>
        <w:rPr>
          <w:rFonts w:hint="eastAsia"/>
          <w:color w:val="auto"/>
          <w:highlight w:val="none"/>
        </w:rPr>
        <w:t>设计前置计量管控</w:t>
      </w:r>
      <w:r>
        <w:rPr>
          <w:rFonts w:hint="eastAsia"/>
          <w:color w:val="auto"/>
          <w:highlight w:val="none"/>
          <w:lang w:val="en-US" w:eastAsia="zh-CN"/>
        </w:rPr>
        <w:t>要求</w:t>
      </w:r>
      <w:r>
        <w:rPr>
          <w:rFonts w:hint="eastAsia"/>
          <w:color w:val="auto"/>
          <w:highlight w:val="none"/>
          <w:lang w:eastAsia="zh-CN"/>
        </w:rPr>
        <w:t>，</w:t>
      </w:r>
      <w:r>
        <w:rPr>
          <w:rFonts w:hint="eastAsia"/>
          <w:color w:val="auto"/>
          <w:highlight w:val="none"/>
        </w:rPr>
        <w:t>明确装置、设备、管网规划设计阶段的计量点位预留、接口配置、安装空间预留要求，统一蒸汽、燃气、燃料、水系统等关键能源及载能工质的计量配置标准，鼓励源头落实计量标准化建设</w:t>
      </w:r>
      <w:r>
        <w:rPr>
          <w:rFonts w:hint="eastAsia"/>
          <w:color w:val="auto"/>
          <w:highlight w:val="none"/>
          <w:lang w:eastAsia="zh-CN"/>
        </w:rPr>
        <w:t>；</w:t>
      </w:r>
    </w:p>
    <w:p w14:paraId="2FA046B7">
      <w:pPr>
        <w:pStyle w:val="13"/>
        <w:numPr>
          <w:ilvl w:val="0"/>
          <w:numId w:val="2"/>
        </w:numPr>
        <w:ind w:firstLineChars="0"/>
        <w:rPr>
          <w:color w:val="auto"/>
          <w:highlight w:val="none"/>
        </w:rPr>
      </w:pPr>
      <w:r>
        <w:rPr>
          <w:rFonts w:hint="eastAsia"/>
          <w:color w:val="auto"/>
          <w:highlight w:val="none"/>
          <w:lang w:val="en-US" w:eastAsia="zh-CN"/>
        </w:rPr>
        <w:t>强化原料用能、自产能源、余能余热回收计量管控要求，规范数据采集、统计与留存管理，增加安全生产、环保、碳排放相关计量合规管理要求。</w:t>
      </w:r>
    </w:p>
    <w:p w14:paraId="2B39C6F0">
      <w:pPr>
        <w:rPr>
          <w:rFonts w:ascii="Times New Roman" w:eastAsia="仿宋"/>
          <w:color w:val="auto"/>
          <w:highlight w:val="none"/>
        </w:rPr>
      </w:pPr>
    </w:p>
    <w:p w14:paraId="6291B057">
      <w:pPr>
        <w:spacing w:line="600" w:lineRule="exact"/>
        <w:rPr>
          <w:rFonts w:ascii="Times New Roman" w:eastAsia="方正仿宋简体"/>
          <w:b/>
          <w:color w:val="auto"/>
          <w:spacing w:val="-11"/>
          <w:szCs w:val="32"/>
          <w:highlight w:val="none"/>
        </w:rPr>
      </w:pPr>
      <w:r>
        <w:rPr>
          <w:rFonts w:ascii="Times New Roman" w:eastAsia="方正仿宋简体"/>
          <w:b/>
          <w:color w:val="auto"/>
          <w:spacing w:val="-11"/>
          <w:szCs w:val="32"/>
          <w:highlight w:val="none"/>
        </w:rPr>
        <w:t xml:space="preserve">4 </w:t>
      </w:r>
      <w:r>
        <w:rPr>
          <w:rFonts w:ascii="仿宋" w:hAnsi="仿宋" w:eastAsia="仿宋"/>
          <w:b/>
          <w:color w:val="auto"/>
          <w:spacing w:val="-11"/>
          <w:szCs w:val="32"/>
          <w:highlight w:val="none"/>
        </w:rPr>
        <w:t>规范的先进性</w:t>
      </w:r>
    </w:p>
    <w:p w14:paraId="350B4D3A">
      <w:pPr>
        <w:spacing w:line="600" w:lineRule="exact"/>
        <w:ind w:firstLine="596" w:firstLineChars="200"/>
        <w:rPr>
          <w:rFonts w:hint="eastAsia" w:ascii="Times New Roman" w:eastAsia="仿宋"/>
          <w:bCs/>
          <w:color w:val="auto"/>
          <w:spacing w:val="-11"/>
          <w:szCs w:val="32"/>
          <w:highlight w:val="none"/>
        </w:rPr>
      </w:pPr>
      <w:r>
        <w:rPr>
          <w:rFonts w:hint="eastAsia" w:ascii="Times New Roman" w:eastAsia="仿宋"/>
          <w:bCs/>
          <w:color w:val="auto"/>
          <w:spacing w:val="-11"/>
          <w:szCs w:val="32"/>
          <w:highlight w:val="none"/>
        </w:rPr>
        <w:t>结合行业发展趋势、监管要求与技术现状，本规范先进性具体如下：</w:t>
      </w:r>
    </w:p>
    <w:p w14:paraId="6919DC20">
      <w:pPr>
        <w:pStyle w:val="13"/>
        <w:numPr>
          <w:ilvl w:val="0"/>
          <w:numId w:val="3"/>
        </w:numPr>
        <w:ind w:firstLineChars="0"/>
        <w:rPr>
          <w:color w:val="auto"/>
          <w:highlight w:val="none"/>
        </w:rPr>
      </w:pPr>
      <w:r>
        <w:rPr>
          <w:rFonts w:hint="eastAsia"/>
          <w:color w:val="auto"/>
          <w:highlight w:val="none"/>
          <w:lang w:val="en-US" w:eastAsia="zh-CN"/>
        </w:rPr>
        <w:t>填补炼化行业能源计量专项审查空白。在JJF 1356规范总则的通用框架与要求基础上，首次提出针对炼油化工生产企业复杂工艺、特殊工况、难计量介质制定专业化审查细则，解决通用规范无行业针对性、审查尺度模糊、现场落地困难的痛点；</w:t>
      </w:r>
    </w:p>
    <w:p w14:paraId="50446340">
      <w:pPr>
        <w:pStyle w:val="13"/>
        <w:numPr>
          <w:ilvl w:val="0"/>
          <w:numId w:val="3"/>
        </w:numPr>
        <w:ind w:firstLineChars="0"/>
        <w:rPr>
          <w:color w:val="auto"/>
          <w:highlight w:val="none"/>
        </w:rPr>
      </w:pPr>
      <w:r>
        <w:rPr>
          <w:color w:val="auto"/>
          <w:highlight w:val="none"/>
          <w:lang w:val="en-US" w:eastAsia="zh-CN"/>
        </w:rPr>
        <w:t>适配流程工业计量管理逻辑。区别于通用规范以“设备”为核心的审查模式，本规范采用</w:t>
      </w:r>
      <w:r>
        <w:rPr>
          <w:rFonts w:hint="eastAsia"/>
          <w:color w:val="auto"/>
          <w:highlight w:val="none"/>
          <w:lang w:val="en-US" w:eastAsia="zh-CN"/>
        </w:rPr>
        <w:t>炼油化工</w:t>
      </w:r>
      <w:r>
        <w:rPr>
          <w:color w:val="auto"/>
          <w:highlight w:val="none"/>
          <w:lang w:val="en-US" w:eastAsia="zh-CN"/>
        </w:rPr>
        <w:t>行业通行的“基本用能单元+装置+全厂”三级审查体系，贴合炼化连续化、一体化、能量耦合紧密的生产特征，计量审查更贴合现场</w:t>
      </w:r>
      <w:r>
        <w:rPr>
          <w:rFonts w:hint="eastAsia"/>
          <w:color w:val="auto"/>
          <w:highlight w:val="none"/>
          <w:lang w:val="en-US" w:eastAsia="zh-CN"/>
        </w:rPr>
        <w:t>实际情况；</w:t>
      </w:r>
    </w:p>
    <w:p w14:paraId="0F9BA1CE">
      <w:pPr>
        <w:pStyle w:val="13"/>
        <w:numPr>
          <w:ilvl w:val="0"/>
          <w:numId w:val="3"/>
        </w:numPr>
        <w:ind w:firstLineChars="0"/>
        <w:rPr>
          <w:color w:val="auto"/>
          <w:highlight w:val="none"/>
        </w:rPr>
      </w:pPr>
      <w:r>
        <w:rPr>
          <w:rFonts w:hint="eastAsia"/>
          <w:color w:val="auto"/>
          <w:highlight w:val="none"/>
          <w:lang w:val="en-US" w:eastAsia="zh-CN"/>
        </w:rPr>
        <w:t>紧扣</w:t>
      </w:r>
      <w:r>
        <w:rPr>
          <w:rFonts w:hint="eastAsia"/>
          <w:color w:val="auto"/>
          <w:highlight w:val="none"/>
        </w:rPr>
        <w:t>“能耗双控”向“碳排放双控”政策要求</w:t>
      </w:r>
      <w:r>
        <w:rPr>
          <w:rFonts w:hint="eastAsia"/>
          <w:color w:val="auto"/>
          <w:highlight w:val="none"/>
          <w:lang w:eastAsia="zh-CN"/>
        </w:rPr>
        <w:t>，</w:t>
      </w:r>
      <w:r>
        <w:rPr>
          <w:rFonts w:hint="eastAsia"/>
          <w:color w:val="auto"/>
          <w:highlight w:val="none"/>
          <w:lang w:val="en-US" w:eastAsia="zh-CN"/>
        </w:rPr>
        <w:t>统一</w:t>
      </w:r>
      <w:r>
        <w:rPr>
          <w:rFonts w:hint="eastAsia"/>
          <w:color w:val="auto"/>
          <w:highlight w:val="none"/>
          <w:lang w:eastAsia="zh-CN"/>
        </w:rPr>
        <w:t>能源计量与碳计量</w:t>
      </w:r>
      <w:r>
        <w:rPr>
          <w:rFonts w:hint="eastAsia"/>
          <w:color w:val="auto"/>
          <w:highlight w:val="none"/>
          <w:lang w:val="en-US" w:eastAsia="zh-CN"/>
        </w:rPr>
        <w:t>核算</w:t>
      </w:r>
      <w:r>
        <w:rPr>
          <w:rFonts w:hint="eastAsia"/>
          <w:color w:val="auto"/>
          <w:highlight w:val="none"/>
          <w:lang w:eastAsia="zh-CN"/>
        </w:rPr>
        <w:t>口径、溯源管理要求，</w:t>
      </w:r>
      <w:r>
        <w:rPr>
          <w:rFonts w:hint="eastAsia"/>
          <w:color w:val="auto"/>
          <w:highlight w:val="none"/>
          <w:lang w:val="en-US" w:eastAsia="zh-CN"/>
        </w:rPr>
        <w:t>充分发挥</w:t>
      </w:r>
      <w:r>
        <w:rPr>
          <w:rFonts w:hint="eastAsia"/>
          <w:color w:val="auto"/>
          <w:highlight w:val="none"/>
        </w:rPr>
        <w:t>能源计量对碳管控的</w:t>
      </w:r>
      <w:r>
        <w:rPr>
          <w:rFonts w:hint="eastAsia"/>
          <w:color w:val="auto"/>
          <w:highlight w:val="none"/>
          <w:lang w:val="en-US" w:eastAsia="zh-CN"/>
        </w:rPr>
        <w:t>基础</w:t>
      </w:r>
      <w:r>
        <w:rPr>
          <w:rFonts w:hint="eastAsia"/>
          <w:color w:val="auto"/>
          <w:highlight w:val="none"/>
        </w:rPr>
        <w:t>支撑作用</w:t>
      </w:r>
      <w:r>
        <w:rPr>
          <w:rFonts w:hint="eastAsia"/>
          <w:color w:val="auto"/>
          <w:highlight w:val="none"/>
          <w:lang w:eastAsia="zh-CN"/>
        </w:rPr>
        <w:t>；</w:t>
      </w:r>
    </w:p>
    <w:p w14:paraId="36CBB2D0">
      <w:pPr>
        <w:pStyle w:val="13"/>
        <w:numPr>
          <w:ilvl w:val="0"/>
          <w:numId w:val="3"/>
        </w:numPr>
        <w:ind w:firstLineChars="0"/>
        <w:rPr>
          <w:color w:val="auto"/>
          <w:highlight w:val="none"/>
        </w:rPr>
      </w:pPr>
      <w:r>
        <w:rPr>
          <w:rFonts w:hint="eastAsia"/>
          <w:color w:val="auto"/>
          <w:highlight w:val="none"/>
          <w:lang w:val="en-US" w:eastAsia="zh-CN"/>
        </w:rPr>
        <w:t>充分吸纳行业经验，编制过程覆盖国内主流炼油化工企业、科研院所、标准规范技术机构，经过多轮技术论证，对意见逐条研判、吸纳与优化，确保规范内容贴合现场实际、技术要求科学统一；</w:t>
      </w:r>
    </w:p>
    <w:p w14:paraId="59E15AE0">
      <w:pPr>
        <w:pStyle w:val="13"/>
        <w:numPr>
          <w:ilvl w:val="0"/>
          <w:numId w:val="3"/>
        </w:numPr>
        <w:ind w:firstLineChars="0"/>
        <w:rPr>
          <w:color w:val="auto"/>
          <w:highlight w:val="none"/>
        </w:rPr>
      </w:pPr>
      <w:r>
        <w:rPr>
          <w:rFonts w:hint="eastAsia"/>
          <w:color w:val="auto"/>
          <w:highlight w:val="none"/>
          <w:lang w:val="en-US" w:eastAsia="zh-CN"/>
        </w:rPr>
        <w:t>推动管理理念</w:t>
      </w:r>
      <w:r>
        <w:rPr>
          <w:rFonts w:hint="eastAsia"/>
          <w:color w:val="auto"/>
          <w:highlight w:val="none"/>
        </w:rPr>
        <w:t>从“符合性合规”到“绩效导向创优”</w:t>
      </w:r>
      <w:r>
        <w:rPr>
          <w:rFonts w:hint="eastAsia"/>
          <w:color w:val="auto"/>
          <w:highlight w:val="none"/>
          <w:lang w:val="en-US" w:eastAsia="zh-CN"/>
        </w:rPr>
        <w:t>转变，通过激励式评价等机制引导企业主动提升能源计量综合管理水平。</w:t>
      </w:r>
    </w:p>
    <w:p w14:paraId="5B3FCEEB">
      <w:pPr>
        <w:pStyle w:val="13"/>
        <w:numPr>
          <w:ilvl w:val="0"/>
          <w:numId w:val="0"/>
        </w:numPr>
        <w:ind w:left="596" w:leftChars="0"/>
        <w:rPr>
          <w:color w:val="auto"/>
          <w:highlight w:val="none"/>
        </w:rPr>
      </w:pPr>
    </w:p>
    <w:p w14:paraId="1717BFDE">
      <w:pPr>
        <w:spacing w:line="600" w:lineRule="exact"/>
        <w:rPr>
          <w:rFonts w:ascii="Times New Roman" w:eastAsia="方正仿宋简体"/>
          <w:b/>
          <w:color w:val="auto"/>
          <w:spacing w:val="-11"/>
          <w:szCs w:val="32"/>
          <w:highlight w:val="none"/>
        </w:rPr>
      </w:pPr>
      <w:r>
        <w:rPr>
          <w:rFonts w:ascii="Times New Roman" w:eastAsia="方正仿宋简体"/>
          <w:b/>
          <w:color w:val="auto"/>
          <w:spacing w:val="-11"/>
          <w:szCs w:val="32"/>
          <w:highlight w:val="none"/>
        </w:rPr>
        <w:t xml:space="preserve">5 </w:t>
      </w:r>
      <w:r>
        <w:rPr>
          <w:rFonts w:ascii="仿宋" w:hAnsi="仿宋" w:eastAsia="仿宋"/>
          <w:b/>
          <w:color w:val="auto"/>
          <w:spacing w:val="-11"/>
          <w:szCs w:val="32"/>
          <w:highlight w:val="none"/>
        </w:rPr>
        <w:t>与相关国家计量技术规范的关系</w:t>
      </w:r>
    </w:p>
    <w:p w14:paraId="05286ED6">
      <w:pPr>
        <w:pStyle w:val="6"/>
        <w:shd w:val="clear" w:color="auto" w:fill="FFFFFF"/>
        <w:spacing w:before="0" w:beforeAutospacing="0" w:after="0" w:afterAutospacing="0" w:line="600" w:lineRule="exact"/>
        <w:ind w:firstLine="596" w:firstLineChars="200"/>
        <w:jc w:val="both"/>
        <w:rPr>
          <w:rFonts w:ascii="Times New Roman" w:hAnsi="Times New Roman" w:eastAsia="仿宋" w:cs="Times New Roman"/>
          <w:bCs/>
          <w:color w:val="auto"/>
          <w:spacing w:val="-11"/>
          <w:sz w:val="32"/>
          <w:szCs w:val="32"/>
          <w:highlight w:val="none"/>
        </w:rPr>
      </w:pPr>
      <w:r>
        <w:rPr>
          <w:rFonts w:ascii="Times New Roman" w:hAnsi="Times New Roman" w:eastAsia="仿宋" w:cs="Times New Roman"/>
          <w:color w:val="auto"/>
          <w:spacing w:val="-11"/>
          <w:kern w:val="2"/>
          <w:sz w:val="32"/>
          <w:szCs w:val="32"/>
          <w:highlight w:val="none"/>
        </w:rPr>
        <w:t>本规范是在《重点用能单位能源计量审查规范》（JJF 1356）</w:t>
      </w:r>
      <w:r>
        <w:rPr>
          <w:rFonts w:hint="eastAsia" w:ascii="Times New Roman" w:hAnsi="Times New Roman" w:eastAsia="仿宋" w:cs="Times New Roman"/>
          <w:color w:val="auto"/>
          <w:spacing w:val="-11"/>
          <w:kern w:val="2"/>
          <w:sz w:val="32"/>
          <w:szCs w:val="32"/>
          <w:highlight w:val="none"/>
        </w:rPr>
        <w:t>框架下制定的针对</w:t>
      </w:r>
      <w:r>
        <w:rPr>
          <w:rFonts w:hint="eastAsia" w:ascii="Times New Roman" w:hAnsi="Times New Roman" w:eastAsia="仿宋" w:cs="Times New Roman"/>
          <w:color w:val="auto"/>
          <w:spacing w:val="-11"/>
          <w:kern w:val="2"/>
          <w:sz w:val="32"/>
          <w:szCs w:val="32"/>
          <w:highlight w:val="none"/>
          <w:lang w:val="en-US" w:eastAsia="zh-CN"/>
        </w:rPr>
        <w:t>炼油化工</w:t>
      </w:r>
      <w:r>
        <w:rPr>
          <w:rFonts w:hint="eastAsia" w:ascii="Times New Roman" w:hAnsi="Times New Roman" w:eastAsia="仿宋" w:cs="Times New Roman"/>
          <w:color w:val="auto"/>
          <w:spacing w:val="-11"/>
          <w:kern w:val="2"/>
          <w:sz w:val="32"/>
          <w:szCs w:val="32"/>
          <w:highlight w:val="none"/>
        </w:rPr>
        <w:t>行业计量的审查规范</w:t>
      </w:r>
      <w:r>
        <w:rPr>
          <w:rFonts w:ascii="Times New Roman" w:hAnsi="Times New Roman" w:eastAsia="仿宋" w:cs="Times New Roman"/>
          <w:color w:val="auto"/>
          <w:spacing w:val="-11"/>
          <w:kern w:val="2"/>
          <w:sz w:val="32"/>
          <w:szCs w:val="32"/>
          <w:highlight w:val="none"/>
        </w:rPr>
        <w:t>，规范架构</w:t>
      </w:r>
      <w:r>
        <w:rPr>
          <w:rFonts w:hint="eastAsia" w:ascii="Times New Roman" w:hAnsi="Times New Roman" w:eastAsia="仿宋" w:cs="Times New Roman"/>
          <w:color w:val="auto"/>
          <w:spacing w:val="-11"/>
          <w:kern w:val="2"/>
          <w:sz w:val="32"/>
          <w:szCs w:val="32"/>
          <w:highlight w:val="none"/>
        </w:rPr>
        <w:t>与JJF 1356基本保持一致</w:t>
      </w:r>
      <w:r>
        <w:rPr>
          <w:rFonts w:ascii="Times New Roman" w:hAnsi="Times New Roman" w:eastAsia="仿宋" w:cs="Times New Roman"/>
          <w:color w:val="auto"/>
          <w:spacing w:val="-11"/>
          <w:kern w:val="2"/>
          <w:sz w:val="32"/>
          <w:szCs w:val="32"/>
          <w:highlight w:val="none"/>
        </w:rPr>
        <w:t>。在内容上遵循和落实</w:t>
      </w:r>
      <w:r>
        <w:rPr>
          <w:rFonts w:ascii="Times New Roman" w:hAnsi="Times New Roman" w:eastAsia="仿宋" w:cs="Times New Roman"/>
          <w:bCs/>
          <w:color w:val="auto"/>
          <w:spacing w:val="-11"/>
          <w:sz w:val="32"/>
          <w:szCs w:val="32"/>
          <w:highlight w:val="none"/>
        </w:rPr>
        <w:t>能源计量相关政策制度要求并</w:t>
      </w:r>
      <w:r>
        <w:rPr>
          <w:rFonts w:ascii="Times New Roman" w:hAnsi="Times New Roman" w:eastAsia="仿宋" w:cs="Times New Roman"/>
          <w:color w:val="auto"/>
          <w:spacing w:val="-11"/>
          <w:kern w:val="2"/>
          <w:sz w:val="32"/>
          <w:szCs w:val="32"/>
          <w:highlight w:val="none"/>
        </w:rPr>
        <w:t>根据当前能源计量审查工作需要，增加部分标准规范作为引用文件，</w:t>
      </w:r>
      <w:r>
        <w:rPr>
          <w:rFonts w:ascii="Times New Roman" w:hAnsi="Times New Roman" w:eastAsia="仿宋" w:cs="Times New Roman"/>
          <w:bCs/>
          <w:color w:val="auto"/>
          <w:spacing w:val="-11"/>
          <w:sz w:val="32"/>
          <w:szCs w:val="32"/>
          <w:highlight w:val="none"/>
        </w:rPr>
        <w:t>本规范与现行法律、法规和《用能单位能源计量器具配备和管理通则》（GB 17167）和《石油石化行业能源计量器具配备和管理要求》（GB/T 20901）国家标准一致，无冲突内容。</w:t>
      </w:r>
    </w:p>
    <w:p w14:paraId="7B30AA48">
      <w:pPr>
        <w:rPr>
          <w:rFonts w:ascii="Times New Roman" w:eastAsia="仿宋"/>
          <w:color w:val="auto"/>
          <w:highlight w:val="none"/>
        </w:rPr>
      </w:pPr>
    </w:p>
    <w:p w14:paraId="1501823F">
      <w:pPr>
        <w:spacing w:line="600" w:lineRule="exact"/>
        <w:rPr>
          <w:rFonts w:ascii="Times New Roman" w:eastAsia="方正仿宋简体"/>
          <w:b/>
          <w:color w:val="auto"/>
          <w:spacing w:val="-11"/>
          <w:szCs w:val="32"/>
          <w:highlight w:val="none"/>
        </w:rPr>
      </w:pPr>
      <w:r>
        <w:rPr>
          <w:rFonts w:ascii="Times New Roman" w:eastAsia="方正仿宋简体"/>
          <w:b/>
          <w:color w:val="auto"/>
          <w:spacing w:val="-11"/>
          <w:szCs w:val="32"/>
          <w:highlight w:val="none"/>
        </w:rPr>
        <w:t xml:space="preserve">6 </w:t>
      </w:r>
      <w:r>
        <w:rPr>
          <w:rFonts w:ascii="仿宋" w:hAnsi="仿宋" w:eastAsia="仿宋"/>
          <w:b/>
          <w:color w:val="auto"/>
          <w:spacing w:val="-11"/>
          <w:szCs w:val="32"/>
          <w:highlight w:val="none"/>
        </w:rPr>
        <w:t>重大意见分歧的处理</w:t>
      </w:r>
      <w:r>
        <w:rPr>
          <w:rFonts w:hint="eastAsia" w:ascii="仿宋" w:hAnsi="仿宋" w:eastAsia="仿宋"/>
          <w:b/>
          <w:color w:val="auto"/>
          <w:spacing w:val="-11"/>
          <w:szCs w:val="32"/>
          <w:highlight w:val="none"/>
        </w:rPr>
        <w:t>依据和结果</w:t>
      </w:r>
    </w:p>
    <w:p w14:paraId="75EE688D">
      <w:pPr>
        <w:spacing w:line="600" w:lineRule="exact"/>
        <w:ind w:firstLine="596" w:firstLineChars="200"/>
        <w:rPr>
          <w:rFonts w:ascii="Times New Roman" w:eastAsia="仿宋"/>
          <w:bCs/>
          <w:color w:val="auto"/>
          <w:spacing w:val="-11"/>
          <w:szCs w:val="32"/>
          <w:highlight w:val="none"/>
        </w:rPr>
      </w:pPr>
      <w:r>
        <w:rPr>
          <w:rFonts w:ascii="Times New Roman" w:eastAsia="仿宋"/>
          <w:bCs/>
          <w:color w:val="auto"/>
          <w:spacing w:val="-11"/>
          <w:szCs w:val="32"/>
          <w:highlight w:val="none"/>
        </w:rPr>
        <w:t>本规范在制定过程中无重大意见分歧。</w:t>
      </w:r>
    </w:p>
    <w:p w14:paraId="562DD5DE">
      <w:pPr>
        <w:rPr>
          <w:rFonts w:ascii="Times New Roman" w:eastAsia="仿宋"/>
          <w:color w:val="auto"/>
          <w:highlight w:val="none"/>
        </w:rPr>
      </w:pPr>
    </w:p>
    <w:p w14:paraId="37728E2D">
      <w:pPr>
        <w:rPr>
          <w:rFonts w:ascii="Times New Roman" w:eastAsia="仿宋"/>
          <w:b/>
          <w:bCs/>
          <w:color w:val="auto"/>
          <w:highlight w:val="none"/>
        </w:rPr>
      </w:pPr>
      <w:r>
        <w:rPr>
          <w:rFonts w:ascii="Times New Roman" w:eastAsia="仿宋"/>
          <w:b/>
          <w:bCs/>
          <w:color w:val="auto"/>
          <w:highlight w:val="none"/>
        </w:rPr>
        <w:t xml:space="preserve">7 </w:t>
      </w:r>
      <w:r>
        <w:rPr>
          <w:rFonts w:ascii="仿宋" w:hAnsi="仿宋" w:eastAsia="仿宋"/>
          <w:b/>
          <w:color w:val="auto"/>
          <w:spacing w:val="-11"/>
          <w:szCs w:val="32"/>
          <w:highlight w:val="none"/>
        </w:rPr>
        <w:t>计量技术规范实施的措施</w:t>
      </w:r>
    </w:p>
    <w:p w14:paraId="40C516BC">
      <w:pPr>
        <w:spacing w:line="600" w:lineRule="exact"/>
        <w:ind w:firstLine="596" w:firstLineChars="200"/>
        <w:rPr>
          <w:rFonts w:ascii="Times New Roman" w:eastAsia="仿宋"/>
          <w:color w:val="auto"/>
          <w:spacing w:val="-11"/>
          <w:szCs w:val="32"/>
          <w:highlight w:val="none"/>
        </w:rPr>
      </w:pPr>
      <w:r>
        <w:rPr>
          <w:rFonts w:ascii="Times New Roman" w:eastAsia="仿宋"/>
          <w:color w:val="auto"/>
          <w:spacing w:val="-11"/>
          <w:szCs w:val="32"/>
          <w:highlight w:val="none"/>
        </w:rPr>
        <w:t>本规范适用于政府计量行政主管部门组织的</w:t>
      </w:r>
      <w:r>
        <w:rPr>
          <w:rFonts w:hint="eastAsia" w:ascii="Times New Roman" w:eastAsia="仿宋"/>
          <w:color w:val="auto"/>
          <w:spacing w:val="-11"/>
          <w:szCs w:val="32"/>
          <w:highlight w:val="none"/>
        </w:rPr>
        <w:t>炼油</w:t>
      </w:r>
      <w:r>
        <w:rPr>
          <w:rFonts w:hint="eastAsia" w:ascii="Times New Roman" w:eastAsia="仿宋"/>
          <w:color w:val="auto"/>
          <w:spacing w:val="-11"/>
          <w:szCs w:val="32"/>
          <w:highlight w:val="none"/>
          <w:lang w:val="en-US" w:eastAsia="zh-CN"/>
        </w:rPr>
        <w:t>化工</w:t>
      </w:r>
      <w:r>
        <w:rPr>
          <w:rFonts w:hint="eastAsia" w:ascii="Times New Roman" w:eastAsia="仿宋"/>
          <w:color w:val="auto"/>
          <w:spacing w:val="-11"/>
          <w:szCs w:val="32"/>
          <w:highlight w:val="none"/>
        </w:rPr>
        <w:t>企业</w:t>
      </w:r>
      <w:r>
        <w:rPr>
          <w:rFonts w:ascii="Times New Roman" w:eastAsia="仿宋"/>
          <w:color w:val="auto"/>
          <w:spacing w:val="-11"/>
          <w:szCs w:val="32"/>
          <w:highlight w:val="none"/>
        </w:rPr>
        <w:t>能源计量审查工作</w:t>
      </w:r>
      <w:r>
        <w:rPr>
          <w:rFonts w:hint="eastAsia" w:ascii="Times New Roman" w:eastAsia="仿宋"/>
          <w:color w:val="auto"/>
          <w:spacing w:val="-11"/>
          <w:szCs w:val="32"/>
          <w:highlight w:val="none"/>
        </w:rPr>
        <w:t>，</w:t>
      </w:r>
      <w:r>
        <w:rPr>
          <w:rFonts w:ascii="Times New Roman" w:eastAsia="仿宋"/>
          <w:color w:val="auto"/>
          <w:spacing w:val="-11"/>
          <w:szCs w:val="32"/>
          <w:highlight w:val="none"/>
        </w:rPr>
        <w:t>其他第三方能源计量审查和评价也可参照使用。本规范发布之后，各地市场监管部门、本规范归口技术委员会、主要起草单位等将组织宣贯培训，确保规范顺利实施。</w:t>
      </w:r>
    </w:p>
    <w:p w14:paraId="64060196">
      <w:pPr>
        <w:rPr>
          <w:rFonts w:ascii="Times New Roman" w:eastAsia="仿宋"/>
          <w:color w:val="auto"/>
          <w:highlight w:val="none"/>
        </w:rPr>
      </w:pPr>
    </w:p>
    <w:p w14:paraId="5577C8C8">
      <w:pPr>
        <w:rPr>
          <w:b/>
          <w:bCs/>
          <w:color w:val="auto"/>
          <w:highlight w:val="none"/>
        </w:rPr>
      </w:pPr>
      <w:r>
        <w:rPr>
          <w:b/>
          <w:bCs/>
          <w:color w:val="auto"/>
          <w:highlight w:val="none"/>
        </w:rPr>
        <w:t xml:space="preserve">8 </w:t>
      </w:r>
      <w:r>
        <w:rPr>
          <w:rFonts w:ascii="仿宋" w:hAnsi="仿宋" w:eastAsia="仿宋"/>
          <w:b/>
          <w:color w:val="auto"/>
          <w:spacing w:val="-11"/>
          <w:szCs w:val="32"/>
          <w:highlight w:val="none"/>
        </w:rPr>
        <w:t>其他应说明的事项</w:t>
      </w:r>
    </w:p>
    <w:p w14:paraId="1111AA62">
      <w:pPr>
        <w:keepNext w:val="0"/>
        <w:keepLines w:val="0"/>
        <w:pageBreakBefore w:val="0"/>
        <w:widowControl w:val="0"/>
        <w:kinsoku/>
        <w:wordWrap/>
        <w:overflowPunct/>
        <w:topLinePunct w:val="0"/>
        <w:autoSpaceDE/>
        <w:autoSpaceDN/>
        <w:bidi w:val="0"/>
        <w:adjustRightInd/>
        <w:snapToGrid/>
        <w:spacing w:before="313" w:beforeLines="100" w:after="313" w:afterLines="100"/>
        <w:ind w:firstLine="596" w:firstLineChars="200"/>
        <w:jc w:val="both"/>
        <w:textAlignment w:val="auto"/>
        <w:rPr>
          <w:rFonts w:ascii="Times New Roman" w:eastAsia="仿宋"/>
          <w:bCs/>
          <w:color w:val="auto"/>
          <w:spacing w:val="-11"/>
          <w:szCs w:val="32"/>
          <w:highlight w:val="none"/>
        </w:rPr>
        <w:sectPr>
          <w:footerReference r:id="rId3" w:type="default"/>
          <w:pgSz w:w="11906" w:h="16838"/>
          <w:pgMar w:top="1440" w:right="1800" w:bottom="1440" w:left="1800" w:header="851" w:footer="992" w:gutter="0"/>
          <w:cols w:space="425" w:num="1"/>
          <w:docGrid w:type="lines" w:linePitch="312" w:charSpace="0"/>
        </w:sectPr>
      </w:pPr>
      <w:r>
        <w:rPr>
          <w:rFonts w:ascii="Times New Roman" w:eastAsia="仿宋"/>
          <w:bCs/>
          <w:color w:val="auto"/>
          <w:spacing w:val="-11"/>
          <w:szCs w:val="32"/>
          <w:highlight w:val="none"/>
        </w:rPr>
        <w:t>本规范不涉及专利、著作权等知识产权内容。</w:t>
      </w:r>
    </w:p>
    <w:p w14:paraId="64E66887">
      <w:pPr>
        <w:keepNext w:val="0"/>
        <w:keepLines w:val="0"/>
        <w:pageBreakBefore w:val="0"/>
        <w:widowControl/>
        <w:kinsoku/>
        <w:wordWrap/>
        <w:overflowPunct/>
        <w:topLinePunct w:val="0"/>
        <w:autoSpaceDE/>
        <w:autoSpaceDN/>
        <w:bidi w:val="0"/>
        <w:adjustRightInd/>
        <w:snapToGrid/>
        <w:spacing w:before="0" w:beforeLines="-2147483648" w:after="0" w:afterLines="-2147483648"/>
        <w:jc w:val="left"/>
        <w:textAlignment w:val="auto"/>
        <w:rPr>
          <w:rFonts w:hint="default" w:ascii="仿宋_GB2312" w:eastAsia="仿宋_GB2312"/>
          <w:b/>
          <w:bCs/>
          <w:color w:val="auto"/>
          <w:spacing w:val="0"/>
          <w:szCs w:val="24"/>
          <w:highlight w:val="none"/>
          <w:lang w:val="en-US" w:eastAsia="zh-CN"/>
        </w:rPr>
      </w:pPr>
      <w:r>
        <w:rPr>
          <w:rFonts w:hint="default" w:ascii="仿宋_GB2312" w:eastAsia="仿宋_GB2312"/>
          <w:b/>
          <w:bCs/>
          <w:color w:val="auto"/>
          <w:spacing w:val="0"/>
          <w:szCs w:val="24"/>
          <w:highlight w:val="none"/>
          <w:lang w:val="en-US" w:eastAsia="zh-CN"/>
        </w:rPr>
        <w:t>附录1</w:t>
      </w:r>
    </w:p>
    <w:p w14:paraId="0DF33A6D">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Times New Roman" w:eastAsia="仿宋"/>
          <w:b/>
          <w:bCs w:val="0"/>
          <w:color w:val="auto"/>
          <w:spacing w:val="-11"/>
          <w:szCs w:val="32"/>
          <w:highlight w:val="none"/>
          <w:lang w:val="en-US" w:eastAsia="zh-CN"/>
        </w:rPr>
      </w:pPr>
      <w:r>
        <w:rPr>
          <w:rFonts w:hint="eastAsia" w:ascii="Times New Roman" w:eastAsia="仿宋"/>
          <w:b/>
          <w:bCs w:val="0"/>
          <w:color w:val="auto"/>
          <w:spacing w:val="-11"/>
          <w:szCs w:val="32"/>
          <w:highlight w:val="none"/>
          <w:lang w:val="en-US" w:eastAsia="zh-CN"/>
        </w:rPr>
        <w:t>表1 调研阶段意见收集情况汇总表</w:t>
      </w:r>
    </w:p>
    <w:tbl>
      <w:tblPr>
        <w:tblStyle w:val="7"/>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5"/>
        <w:gridCol w:w="508"/>
        <w:gridCol w:w="12408"/>
      </w:tblGrid>
      <w:tr w14:paraId="6D38E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3" w:type="pct"/>
            <w:tcBorders>
              <w:top w:val="nil"/>
              <w:left w:val="nil"/>
              <w:bottom w:val="nil"/>
              <w:right w:val="nil"/>
            </w:tcBorders>
            <w:shd w:val="clear" w:color="auto" w:fill="5B9BD5"/>
            <w:vAlign w:val="center"/>
          </w:tcPr>
          <w:p w14:paraId="307FE0DD">
            <w:pPr>
              <w:keepNext w:val="0"/>
              <w:keepLines w:val="0"/>
              <w:widowControl/>
              <w:suppressLineNumbers w:val="0"/>
              <w:jc w:val="center"/>
              <w:textAlignment w:val="center"/>
              <w:rPr>
                <w:rFonts w:hint="default" w:ascii="Times New Roman" w:hAnsi="Times New Roman" w:eastAsia="微软雅黑" w:cs="Times New Roman"/>
                <w:b/>
                <w:bCs/>
                <w:i w:val="0"/>
                <w:iCs w:val="0"/>
                <w:color w:val="FFFFFF"/>
                <w:kern w:val="0"/>
                <w:sz w:val="18"/>
                <w:szCs w:val="18"/>
                <w:highlight w:val="none"/>
                <w:u w:val="none"/>
                <w:lang w:val="en-US" w:eastAsia="zh-CN" w:bidi="ar"/>
              </w:rPr>
            </w:pPr>
            <w:r>
              <w:rPr>
                <w:rFonts w:hint="default" w:ascii="Times New Roman" w:hAnsi="Times New Roman" w:eastAsia="微软雅黑" w:cs="Times New Roman"/>
                <w:b/>
                <w:bCs/>
                <w:i w:val="0"/>
                <w:iCs w:val="0"/>
                <w:color w:val="FFFFFF"/>
                <w:kern w:val="0"/>
                <w:sz w:val="18"/>
                <w:szCs w:val="18"/>
                <w:highlight w:val="none"/>
                <w:u w:val="none"/>
                <w:lang w:val="en-US" w:eastAsia="zh-CN" w:bidi="ar"/>
              </w:rPr>
              <w:t>规范</w:t>
            </w:r>
          </w:p>
          <w:p w14:paraId="2880857D">
            <w:pPr>
              <w:keepNext w:val="0"/>
              <w:keepLines w:val="0"/>
              <w:widowControl/>
              <w:suppressLineNumbers w:val="0"/>
              <w:jc w:val="center"/>
              <w:textAlignment w:val="center"/>
              <w:rPr>
                <w:rFonts w:hint="default" w:ascii="Times New Roman" w:hAnsi="Times New Roman" w:eastAsia="微软雅黑" w:cs="Times New Roman"/>
                <w:b/>
                <w:bCs/>
                <w:i w:val="0"/>
                <w:iCs w:val="0"/>
                <w:color w:val="FFFFFF"/>
                <w:sz w:val="18"/>
                <w:szCs w:val="18"/>
                <w:highlight w:val="none"/>
                <w:u w:val="none"/>
              </w:rPr>
            </w:pPr>
            <w:r>
              <w:rPr>
                <w:rFonts w:hint="default" w:ascii="Times New Roman" w:hAnsi="Times New Roman" w:eastAsia="微软雅黑" w:cs="Times New Roman"/>
                <w:b/>
                <w:bCs/>
                <w:i w:val="0"/>
                <w:iCs w:val="0"/>
                <w:color w:val="FFFFFF"/>
                <w:kern w:val="0"/>
                <w:sz w:val="18"/>
                <w:szCs w:val="18"/>
                <w:highlight w:val="none"/>
                <w:u w:val="none"/>
                <w:lang w:val="en-US" w:eastAsia="zh-CN" w:bidi="ar"/>
              </w:rPr>
              <w:t>章节</w:t>
            </w:r>
          </w:p>
        </w:tc>
        <w:tc>
          <w:tcPr>
            <w:tcW w:w="179" w:type="pct"/>
            <w:tcBorders>
              <w:top w:val="nil"/>
              <w:left w:val="nil"/>
              <w:bottom w:val="nil"/>
              <w:right w:val="nil"/>
            </w:tcBorders>
            <w:shd w:val="clear" w:color="auto" w:fill="5B9BD5"/>
            <w:vAlign w:val="center"/>
          </w:tcPr>
          <w:p w14:paraId="338F4A85">
            <w:pPr>
              <w:keepNext w:val="0"/>
              <w:keepLines w:val="0"/>
              <w:widowControl/>
              <w:suppressLineNumbers w:val="0"/>
              <w:jc w:val="center"/>
              <w:textAlignment w:val="center"/>
              <w:rPr>
                <w:rFonts w:hint="default" w:ascii="Times New Roman" w:hAnsi="Times New Roman" w:eastAsia="微软雅黑" w:cs="Times New Roman"/>
                <w:b/>
                <w:bCs/>
                <w:i w:val="0"/>
                <w:iCs w:val="0"/>
                <w:color w:val="FFFFFF"/>
                <w:sz w:val="18"/>
                <w:szCs w:val="18"/>
                <w:highlight w:val="none"/>
                <w:u w:val="none"/>
              </w:rPr>
            </w:pPr>
            <w:r>
              <w:rPr>
                <w:rFonts w:hint="default" w:ascii="Times New Roman" w:hAnsi="Times New Roman" w:eastAsia="微软雅黑" w:cs="Times New Roman"/>
                <w:b/>
                <w:bCs/>
                <w:i w:val="0"/>
                <w:iCs w:val="0"/>
                <w:color w:val="FFFFFF"/>
                <w:kern w:val="0"/>
                <w:sz w:val="18"/>
                <w:szCs w:val="18"/>
                <w:highlight w:val="none"/>
                <w:u w:val="none"/>
                <w:lang w:val="en-US" w:eastAsia="zh-CN" w:bidi="ar"/>
              </w:rPr>
              <w:t>序号</w:t>
            </w:r>
          </w:p>
        </w:tc>
        <w:tc>
          <w:tcPr>
            <w:tcW w:w="4376" w:type="pct"/>
            <w:tcBorders>
              <w:top w:val="nil"/>
              <w:left w:val="nil"/>
              <w:bottom w:val="nil"/>
              <w:right w:val="nil"/>
            </w:tcBorders>
            <w:shd w:val="clear" w:color="auto" w:fill="5B9BD5"/>
            <w:vAlign w:val="center"/>
          </w:tcPr>
          <w:p w14:paraId="3C241AF5">
            <w:pPr>
              <w:keepNext w:val="0"/>
              <w:keepLines w:val="0"/>
              <w:widowControl/>
              <w:suppressLineNumbers w:val="0"/>
              <w:jc w:val="center"/>
              <w:textAlignment w:val="center"/>
              <w:rPr>
                <w:rFonts w:hint="default" w:ascii="Times New Roman" w:hAnsi="Times New Roman" w:eastAsia="微软雅黑" w:cs="Times New Roman"/>
                <w:b/>
                <w:bCs/>
                <w:i w:val="0"/>
                <w:iCs w:val="0"/>
                <w:color w:val="FFFFFF"/>
                <w:sz w:val="18"/>
                <w:szCs w:val="18"/>
                <w:highlight w:val="none"/>
                <w:u w:val="none"/>
              </w:rPr>
            </w:pPr>
            <w:r>
              <w:rPr>
                <w:rFonts w:hint="default" w:ascii="Times New Roman" w:hAnsi="Times New Roman" w:eastAsia="微软雅黑" w:cs="Times New Roman"/>
                <w:b/>
                <w:bCs/>
                <w:i w:val="0"/>
                <w:iCs w:val="0"/>
                <w:color w:val="FFFFFF"/>
                <w:kern w:val="0"/>
                <w:sz w:val="18"/>
                <w:szCs w:val="18"/>
                <w:highlight w:val="none"/>
                <w:u w:val="none"/>
                <w:lang w:val="en-US" w:eastAsia="zh-CN" w:bidi="ar"/>
              </w:rPr>
              <w:t>问题描述</w:t>
            </w:r>
          </w:p>
        </w:tc>
      </w:tr>
      <w:tr w14:paraId="66F99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443" w:type="pct"/>
            <w:vMerge w:val="restart"/>
            <w:tcBorders>
              <w:top w:val="nil"/>
              <w:left w:val="nil"/>
              <w:bottom w:val="nil"/>
              <w:right w:val="nil"/>
            </w:tcBorders>
            <w:shd w:val="clear" w:color="auto" w:fill="DAF2D0"/>
            <w:vAlign w:val="center"/>
          </w:tcPr>
          <w:p w14:paraId="04278A2F">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第一章 范围</w:t>
            </w:r>
          </w:p>
        </w:tc>
        <w:tc>
          <w:tcPr>
            <w:tcW w:w="179" w:type="pct"/>
            <w:tcBorders>
              <w:top w:val="nil"/>
              <w:left w:val="nil"/>
              <w:bottom w:val="nil"/>
              <w:right w:val="nil"/>
            </w:tcBorders>
            <w:shd w:val="clear" w:color="auto" w:fill="DAF2D0"/>
            <w:vAlign w:val="center"/>
          </w:tcPr>
          <w:p w14:paraId="2D014441">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1</w:t>
            </w:r>
          </w:p>
        </w:tc>
        <w:tc>
          <w:tcPr>
            <w:tcW w:w="4376" w:type="pct"/>
            <w:tcBorders>
              <w:top w:val="nil"/>
              <w:left w:val="nil"/>
              <w:bottom w:val="nil"/>
              <w:right w:val="nil"/>
            </w:tcBorders>
            <w:shd w:val="clear" w:color="auto" w:fill="DAF2D0"/>
            <w:vAlign w:val="center"/>
          </w:tcPr>
          <w:p w14:paraId="0D054C94">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当前石化一体化企业较多，单独的炼厂较少，仅规定炼油的审查审查要求，标准的适用范围较窄，可否考虑扩展未石化企业。</w:t>
            </w:r>
          </w:p>
        </w:tc>
      </w:tr>
      <w:tr w14:paraId="00FFA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DAF2D0"/>
            <w:vAlign w:val="center"/>
          </w:tcPr>
          <w:p w14:paraId="34C1E697">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F2D0"/>
            <w:vAlign w:val="center"/>
          </w:tcPr>
          <w:p w14:paraId="68921032">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2</w:t>
            </w:r>
          </w:p>
        </w:tc>
        <w:tc>
          <w:tcPr>
            <w:tcW w:w="4376" w:type="pct"/>
            <w:tcBorders>
              <w:top w:val="nil"/>
              <w:left w:val="nil"/>
              <w:bottom w:val="nil"/>
              <w:right w:val="nil"/>
            </w:tcBorders>
            <w:shd w:val="clear" w:color="auto" w:fill="DAF2D0"/>
            <w:vAlign w:val="center"/>
          </w:tcPr>
          <w:p w14:paraId="5B854D54">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规范草案未明确炼油装置专属适用边界，与通用计量规范边界模糊，行业专属适用范围不清晰。</w:t>
            </w:r>
          </w:p>
        </w:tc>
      </w:tr>
      <w:tr w14:paraId="2CB75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DAF2D0"/>
            <w:vAlign w:val="center"/>
          </w:tcPr>
          <w:p w14:paraId="74BC1EF1">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F2D0"/>
            <w:vAlign w:val="center"/>
          </w:tcPr>
          <w:p w14:paraId="4EB31DBC">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3</w:t>
            </w:r>
          </w:p>
        </w:tc>
        <w:tc>
          <w:tcPr>
            <w:tcW w:w="4376" w:type="pct"/>
            <w:tcBorders>
              <w:top w:val="nil"/>
              <w:left w:val="nil"/>
              <w:bottom w:val="nil"/>
              <w:right w:val="nil"/>
            </w:tcBorders>
            <w:shd w:val="clear" w:color="auto" w:fill="DAF2D0"/>
            <w:vAlign w:val="center"/>
          </w:tcPr>
          <w:p w14:paraId="6C67973E">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未明确炼油企业适用范围，能源计量覆盖范围不完整，</w:t>
            </w:r>
          </w:p>
        </w:tc>
      </w:tr>
      <w:tr w14:paraId="41538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443" w:type="pct"/>
            <w:vMerge w:val="continue"/>
            <w:tcBorders>
              <w:top w:val="nil"/>
              <w:left w:val="nil"/>
              <w:bottom w:val="nil"/>
              <w:right w:val="nil"/>
            </w:tcBorders>
            <w:shd w:val="clear" w:color="auto" w:fill="DAF2D0"/>
            <w:vAlign w:val="center"/>
          </w:tcPr>
          <w:p w14:paraId="6F3264A2">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F2D0"/>
            <w:vAlign w:val="center"/>
          </w:tcPr>
          <w:p w14:paraId="0ABA71EB">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4</w:t>
            </w:r>
          </w:p>
        </w:tc>
        <w:tc>
          <w:tcPr>
            <w:tcW w:w="4376" w:type="pct"/>
            <w:tcBorders>
              <w:top w:val="nil"/>
              <w:left w:val="nil"/>
              <w:bottom w:val="nil"/>
              <w:right w:val="nil"/>
            </w:tcBorders>
            <w:shd w:val="clear" w:color="auto" w:fill="DAF2D0"/>
            <w:vAlign w:val="center"/>
          </w:tcPr>
          <w:p w14:paraId="127A5620">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重点内容上要和《JJF 1356 重点用能单位能源计量审查规范》区分开来，界定明确的炼油装置适用范围，明确如常减压、催化裂化、加氢等典型炼油装置的能源计量点及配备要求（如燃料油、天然气、蒸汽、电力，以及加热炉、压缩机、大机组机泵等大耗能设备）。</w:t>
            </w:r>
          </w:p>
        </w:tc>
      </w:tr>
      <w:tr w14:paraId="7B86C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3" w:type="pct"/>
            <w:vMerge w:val="restart"/>
            <w:tcBorders>
              <w:top w:val="nil"/>
              <w:left w:val="nil"/>
              <w:bottom w:val="nil"/>
              <w:right w:val="nil"/>
            </w:tcBorders>
            <w:shd w:val="clear" w:color="auto" w:fill="DAE9F8"/>
            <w:vAlign w:val="center"/>
          </w:tcPr>
          <w:p w14:paraId="0FAC5959">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第二章 引用文件</w:t>
            </w:r>
          </w:p>
        </w:tc>
        <w:tc>
          <w:tcPr>
            <w:tcW w:w="179" w:type="pct"/>
            <w:tcBorders>
              <w:top w:val="nil"/>
              <w:left w:val="nil"/>
              <w:bottom w:val="nil"/>
              <w:right w:val="nil"/>
            </w:tcBorders>
            <w:shd w:val="clear" w:color="auto" w:fill="DAE9F8"/>
            <w:vAlign w:val="center"/>
          </w:tcPr>
          <w:p w14:paraId="1E4CA909">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5</w:t>
            </w:r>
          </w:p>
        </w:tc>
        <w:tc>
          <w:tcPr>
            <w:tcW w:w="4376" w:type="pct"/>
            <w:tcBorders>
              <w:top w:val="nil"/>
              <w:left w:val="nil"/>
              <w:bottom w:val="nil"/>
              <w:right w:val="nil"/>
            </w:tcBorders>
            <w:shd w:val="clear" w:color="auto" w:fill="DAE9F8"/>
            <w:vAlign w:val="center"/>
          </w:tcPr>
          <w:p w14:paraId="78BB4730">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规范未全面对标新版国标及现行行业标准，存在标准衔接滞后、引用老旧规范、未覆盖最新政策文件的问题。</w:t>
            </w:r>
          </w:p>
        </w:tc>
      </w:tr>
      <w:tr w14:paraId="1C15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443" w:type="pct"/>
            <w:vMerge w:val="continue"/>
            <w:tcBorders>
              <w:top w:val="nil"/>
              <w:left w:val="nil"/>
              <w:bottom w:val="nil"/>
              <w:right w:val="nil"/>
            </w:tcBorders>
            <w:shd w:val="clear" w:color="auto" w:fill="DAE9F8"/>
            <w:vAlign w:val="center"/>
          </w:tcPr>
          <w:p w14:paraId="577D0F6B">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E9F8"/>
            <w:vAlign w:val="center"/>
          </w:tcPr>
          <w:p w14:paraId="5AAC3381">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6</w:t>
            </w:r>
          </w:p>
        </w:tc>
        <w:tc>
          <w:tcPr>
            <w:tcW w:w="4376" w:type="pct"/>
            <w:tcBorders>
              <w:top w:val="nil"/>
              <w:left w:val="nil"/>
              <w:bottom w:val="nil"/>
              <w:right w:val="nil"/>
            </w:tcBorders>
            <w:shd w:val="clear" w:color="auto" w:fill="DAE9F8"/>
            <w:vAlign w:val="center"/>
          </w:tcPr>
          <w:p w14:paraId="2EA3A748">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规范引用文件未覆盖炼油行业专属现行标准，存在标准引用不全、行业适配性不足的问题。</w:t>
            </w:r>
          </w:p>
        </w:tc>
      </w:tr>
      <w:tr w14:paraId="26447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pct"/>
            <w:vMerge w:val="restart"/>
            <w:tcBorders>
              <w:top w:val="nil"/>
              <w:left w:val="nil"/>
              <w:bottom w:val="nil"/>
              <w:right w:val="nil"/>
            </w:tcBorders>
            <w:shd w:val="clear" w:color="auto" w:fill="F2F2F2"/>
            <w:vAlign w:val="center"/>
          </w:tcPr>
          <w:p w14:paraId="46F84E0C">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第三章 术语定义</w:t>
            </w:r>
          </w:p>
        </w:tc>
        <w:tc>
          <w:tcPr>
            <w:tcW w:w="179" w:type="pct"/>
            <w:vMerge w:val="restart"/>
            <w:tcBorders>
              <w:top w:val="nil"/>
              <w:left w:val="nil"/>
              <w:bottom w:val="nil"/>
              <w:right w:val="nil"/>
            </w:tcBorders>
            <w:shd w:val="clear" w:color="auto" w:fill="F2F2F2"/>
            <w:vAlign w:val="center"/>
          </w:tcPr>
          <w:p w14:paraId="7AF24124">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7</w:t>
            </w:r>
          </w:p>
        </w:tc>
        <w:tc>
          <w:tcPr>
            <w:tcW w:w="4376" w:type="pct"/>
            <w:vMerge w:val="restart"/>
            <w:tcBorders>
              <w:top w:val="nil"/>
              <w:left w:val="nil"/>
              <w:bottom w:val="nil"/>
              <w:right w:val="nil"/>
            </w:tcBorders>
            <w:shd w:val="clear" w:color="auto" w:fill="F2F2F2"/>
            <w:vAlign w:val="top"/>
          </w:tcPr>
          <w:p w14:paraId="4E4586CD">
            <w:pPr>
              <w:keepNext w:val="0"/>
              <w:keepLines w:val="0"/>
              <w:widowControl/>
              <w:suppressLineNumbers w:val="0"/>
              <w:jc w:val="left"/>
              <w:textAlignment w:val="top"/>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规范行业专业术语不统一，炼油行业专用术语无标准化定义，各部门执行、审查沟通存在歧义。 建议完善能源计量定义：明确能源计量的定义，确保在审查过程中对能源计量的相关要求、标准及实施方法有清晰的认识和理解。特别是涉及到不同的职能，建议“配备相关的岗位”。</w:t>
            </w:r>
          </w:p>
        </w:tc>
      </w:tr>
      <w:tr w14:paraId="4858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pct"/>
            <w:vMerge w:val="continue"/>
            <w:tcBorders>
              <w:top w:val="nil"/>
              <w:left w:val="nil"/>
              <w:bottom w:val="nil"/>
              <w:right w:val="nil"/>
            </w:tcBorders>
            <w:shd w:val="clear" w:color="auto" w:fill="F2F2F2"/>
            <w:vAlign w:val="center"/>
          </w:tcPr>
          <w:p w14:paraId="3384D562">
            <w:pPr>
              <w:jc w:val="center"/>
              <w:rPr>
                <w:rFonts w:hint="default" w:ascii="Times New Roman" w:hAnsi="Times New Roman" w:eastAsia="微软雅黑" w:cs="Times New Roman"/>
                <w:i w:val="0"/>
                <w:iCs w:val="0"/>
                <w:color w:val="000000"/>
                <w:sz w:val="18"/>
                <w:szCs w:val="18"/>
                <w:highlight w:val="none"/>
                <w:u w:val="none"/>
              </w:rPr>
            </w:pPr>
          </w:p>
        </w:tc>
        <w:tc>
          <w:tcPr>
            <w:tcW w:w="179" w:type="pct"/>
            <w:vMerge w:val="continue"/>
            <w:tcBorders>
              <w:top w:val="nil"/>
              <w:left w:val="nil"/>
              <w:bottom w:val="nil"/>
              <w:right w:val="nil"/>
            </w:tcBorders>
            <w:shd w:val="clear" w:color="auto" w:fill="F2F2F2"/>
            <w:vAlign w:val="center"/>
          </w:tcPr>
          <w:p w14:paraId="4AFFDDDB">
            <w:pPr>
              <w:jc w:val="center"/>
              <w:rPr>
                <w:rFonts w:hint="default" w:ascii="Times New Roman" w:hAnsi="Times New Roman" w:eastAsia="微软雅黑" w:cs="Times New Roman"/>
                <w:i w:val="0"/>
                <w:iCs w:val="0"/>
                <w:color w:val="000000"/>
                <w:sz w:val="18"/>
                <w:szCs w:val="18"/>
                <w:highlight w:val="none"/>
                <w:u w:val="none"/>
              </w:rPr>
            </w:pPr>
          </w:p>
        </w:tc>
        <w:tc>
          <w:tcPr>
            <w:tcW w:w="4376" w:type="pct"/>
            <w:vMerge w:val="continue"/>
            <w:tcBorders>
              <w:top w:val="nil"/>
              <w:left w:val="nil"/>
              <w:bottom w:val="nil"/>
              <w:right w:val="nil"/>
            </w:tcBorders>
            <w:shd w:val="clear" w:color="auto" w:fill="F2F2F2"/>
            <w:vAlign w:val="top"/>
          </w:tcPr>
          <w:p w14:paraId="2D2FF601">
            <w:pPr>
              <w:jc w:val="left"/>
              <w:rPr>
                <w:rFonts w:hint="default" w:ascii="Times New Roman" w:hAnsi="Times New Roman" w:eastAsia="微软雅黑" w:cs="Times New Roman"/>
                <w:i w:val="0"/>
                <w:iCs w:val="0"/>
                <w:color w:val="000000"/>
                <w:sz w:val="18"/>
                <w:szCs w:val="18"/>
                <w:highlight w:val="none"/>
                <w:u w:val="none"/>
              </w:rPr>
            </w:pPr>
          </w:p>
        </w:tc>
      </w:tr>
      <w:tr w14:paraId="7BEA9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43" w:type="pct"/>
            <w:vMerge w:val="continue"/>
            <w:tcBorders>
              <w:top w:val="nil"/>
              <w:left w:val="nil"/>
              <w:bottom w:val="nil"/>
              <w:right w:val="nil"/>
            </w:tcBorders>
            <w:shd w:val="clear" w:color="auto" w:fill="F2F2F2"/>
            <w:vAlign w:val="center"/>
          </w:tcPr>
          <w:p w14:paraId="4247A2F5">
            <w:pPr>
              <w:jc w:val="center"/>
              <w:rPr>
                <w:rFonts w:hint="default" w:ascii="Times New Roman" w:hAnsi="Times New Roman" w:eastAsia="微软雅黑" w:cs="Times New Roman"/>
                <w:i w:val="0"/>
                <w:iCs w:val="0"/>
                <w:color w:val="000000"/>
                <w:sz w:val="18"/>
                <w:szCs w:val="18"/>
                <w:highlight w:val="none"/>
                <w:u w:val="none"/>
              </w:rPr>
            </w:pPr>
          </w:p>
        </w:tc>
        <w:tc>
          <w:tcPr>
            <w:tcW w:w="179" w:type="pct"/>
            <w:vMerge w:val="continue"/>
            <w:tcBorders>
              <w:top w:val="nil"/>
              <w:left w:val="nil"/>
              <w:bottom w:val="nil"/>
              <w:right w:val="nil"/>
            </w:tcBorders>
            <w:shd w:val="clear" w:color="auto" w:fill="F2F2F2"/>
            <w:vAlign w:val="center"/>
          </w:tcPr>
          <w:p w14:paraId="16DC3A73">
            <w:pPr>
              <w:jc w:val="center"/>
              <w:rPr>
                <w:rFonts w:hint="default" w:ascii="Times New Roman" w:hAnsi="Times New Roman" w:eastAsia="微软雅黑" w:cs="Times New Roman"/>
                <w:i w:val="0"/>
                <w:iCs w:val="0"/>
                <w:color w:val="000000"/>
                <w:sz w:val="18"/>
                <w:szCs w:val="18"/>
                <w:highlight w:val="none"/>
                <w:u w:val="none"/>
              </w:rPr>
            </w:pPr>
          </w:p>
        </w:tc>
        <w:tc>
          <w:tcPr>
            <w:tcW w:w="4376" w:type="pct"/>
            <w:tcBorders>
              <w:top w:val="nil"/>
              <w:left w:val="nil"/>
              <w:bottom w:val="nil"/>
              <w:right w:val="nil"/>
            </w:tcBorders>
            <w:shd w:val="clear" w:color="auto" w:fill="F2F2F2"/>
            <w:vAlign w:val="center"/>
          </w:tcPr>
          <w:p w14:paraId="56C4D170">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通则中关于行业专业术语修改：对行业中使用的相关术语进行标准化修改，确保炼油行业审查中的用语一致，避免不同部门或团队间的沟通障碍。</w:t>
            </w:r>
          </w:p>
        </w:tc>
      </w:tr>
      <w:tr w14:paraId="13548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F2F2F2"/>
            <w:vAlign w:val="center"/>
          </w:tcPr>
          <w:p w14:paraId="0D8AB155">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F2F2F2"/>
            <w:vAlign w:val="center"/>
          </w:tcPr>
          <w:p w14:paraId="52CBEC3D">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8</w:t>
            </w:r>
          </w:p>
        </w:tc>
        <w:tc>
          <w:tcPr>
            <w:tcW w:w="4376" w:type="pct"/>
            <w:tcBorders>
              <w:top w:val="nil"/>
              <w:left w:val="nil"/>
              <w:bottom w:val="nil"/>
              <w:right w:val="nil"/>
            </w:tcBorders>
            <w:shd w:val="clear" w:color="auto" w:fill="F2F2F2"/>
            <w:vAlign w:val="center"/>
          </w:tcPr>
          <w:p w14:paraId="3005E6F5">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规范术语定义、审查边界定义笼统，通用化严重，无炼油行业专属释义。</w:t>
            </w:r>
          </w:p>
        </w:tc>
      </w:tr>
      <w:tr w14:paraId="5443E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3" w:type="pct"/>
            <w:vMerge w:val="continue"/>
            <w:tcBorders>
              <w:top w:val="nil"/>
              <w:left w:val="nil"/>
              <w:bottom w:val="nil"/>
              <w:right w:val="nil"/>
            </w:tcBorders>
            <w:shd w:val="clear" w:color="auto" w:fill="F2F2F2"/>
            <w:vAlign w:val="center"/>
          </w:tcPr>
          <w:p w14:paraId="31D5DBF4">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F2F2F2"/>
            <w:vAlign w:val="center"/>
          </w:tcPr>
          <w:p w14:paraId="5012057D">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9</w:t>
            </w:r>
          </w:p>
        </w:tc>
        <w:tc>
          <w:tcPr>
            <w:tcW w:w="4376" w:type="pct"/>
            <w:tcBorders>
              <w:top w:val="nil"/>
              <w:left w:val="nil"/>
              <w:bottom w:val="nil"/>
              <w:right w:val="nil"/>
            </w:tcBorders>
            <w:shd w:val="clear" w:color="auto" w:fill="F2F2F2"/>
            <w:vAlign w:val="center"/>
          </w:tcPr>
          <w:p w14:paraId="21C17A81">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规范未新增炼油行业专属专业术语，行业通用计量、工艺、设备相关术语无标准化定义，执行与审查过程中易出现歧义。</w:t>
            </w:r>
          </w:p>
        </w:tc>
      </w:tr>
      <w:tr w14:paraId="7E04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restart"/>
            <w:tcBorders>
              <w:top w:val="nil"/>
              <w:left w:val="nil"/>
              <w:bottom w:val="nil"/>
              <w:right w:val="nil"/>
            </w:tcBorders>
            <w:shd w:val="clear" w:color="auto" w:fill="DAF2D0"/>
            <w:vAlign w:val="center"/>
          </w:tcPr>
          <w:p w14:paraId="2290A76F">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第四章 能源计量管理</w:t>
            </w:r>
          </w:p>
        </w:tc>
        <w:tc>
          <w:tcPr>
            <w:tcW w:w="179" w:type="pct"/>
            <w:tcBorders>
              <w:top w:val="nil"/>
              <w:left w:val="nil"/>
              <w:bottom w:val="nil"/>
              <w:right w:val="nil"/>
            </w:tcBorders>
            <w:shd w:val="clear" w:color="auto" w:fill="DAF2D0"/>
            <w:vAlign w:val="center"/>
          </w:tcPr>
          <w:p w14:paraId="0E1151D4">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10</w:t>
            </w:r>
          </w:p>
        </w:tc>
        <w:tc>
          <w:tcPr>
            <w:tcW w:w="4376" w:type="pct"/>
            <w:tcBorders>
              <w:top w:val="nil"/>
              <w:left w:val="nil"/>
              <w:bottom w:val="nil"/>
              <w:right w:val="nil"/>
            </w:tcBorders>
            <w:shd w:val="clear" w:color="auto" w:fill="DAF2D0"/>
            <w:vAlign w:val="center"/>
          </w:tcPr>
          <w:p w14:paraId="65EF5A9D">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草案通篇为通用规范内容，未体现石化、炼油行业能源计量管理特色，与通用规范同质化严重。</w:t>
            </w:r>
          </w:p>
        </w:tc>
      </w:tr>
      <w:tr w14:paraId="14CCB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DAF2D0"/>
            <w:vAlign w:val="center"/>
          </w:tcPr>
          <w:p w14:paraId="21AD3378">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F2D0"/>
            <w:vAlign w:val="center"/>
          </w:tcPr>
          <w:p w14:paraId="22DF1ACE">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11</w:t>
            </w:r>
          </w:p>
        </w:tc>
        <w:tc>
          <w:tcPr>
            <w:tcW w:w="4376" w:type="pct"/>
            <w:tcBorders>
              <w:top w:val="nil"/>
              <w:left w:val="nil"/>
              <w:bottom w:val="nil"/>
              <w:right w:val="nil"/>
            </w:tcBorders>
            <w:shd w:val="clear" w:color="auto" w:fill="DAF2D0"/>
            <w:vAlign w:val="center"/>
          </w:tcPr>
          <w:p w14:paraId="78FB1893">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本规范与通用国标、计量规范的管理边界、差异化要求不清晰，行业执行、标准套用易混乱。</w:t>
            </w:r>
          </w:p>
        </w:tc>
      </w:tr>
      <w:tr w14:paraId="2C452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43" w:type="pct"/>
            <w:vMerge w:val="continue"/>
            <w:tcBorders>
              <w:top w:val="nil"/>
              <w:left w:val="nil"/>
              <w:bottom w:val="nil"/>
              <w:right w:val="nil"/>
            </w:tcBorders>
            <w:shd w:val="clear" w:color="auto" w:fill="DAF2D0"/>
            <w:vAlign w:val="center"/>
          </w:tcPr>
          <w:p w14:paraId="3D90DB87">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F2D0"/>
            <w:vAlign w:val="center"/>
          </w:tcPr>
          <w:p w14:paraId="766D76DE">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12</w:t>
            </w:r>
          </w:p>
        </w:tc>
        <w:tc>
          <w:tcPr>
            <w:tcW w:w="4376" w:type="pct"/>
            <w:tcBorders>
              <w:top w:val="nil"/>
              <w:left w:val="nil"/>
              <w:bottom w:val="nil"/>
              <w:right w:val="nil"/>
            </w:tcBorders>
            <w:shd w:val="clear" w:color="auto" w:fill="DAF2D0"/>
            <w:vAlign w:val="center"/>
          </w:tcPr>
          <w:p w14:paraId="71342591">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炼化企业计量器具、用能设备基数庞大，无分级、轻量化、豁免管理机制z，基层运维管理负荷过重、管理冗余失衡。</w:t>
            </w:r>
          </w:p>
        </w:tc>
      </w:tr>
      <w:tr w14:paraId="7F42D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43" w:type="pct"/>
            <w:vMerge w:val="continue"/>
            <w:tcBorders>
              <w:top w:val="nil"/>
              <w:left w:val="nil"/>
              <w:bottom w:val="nil"/>
              <w:right w:val="nil"/>
            </w:tcBorders>
            <w:shd w:val="clear" w:color="auto" w:fill="DAF2D0"/>
            <w:vAlign w:val="center"/>
          </w:tcPr>
          <w:p w14:paraId="55C74ADD">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F2D0"/>
            <w:vAlign w:val="center"/>
          </w:tcPr>
          <w:p w14:paraId="60D4AB86">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13</w:t>
            </w:r>
          </w:p>
        </w:tc>
        <w:tc>
          <w:tcPr>
            <w:tcW w:w="4376" w:type="pct"/>
            <w:tcBorders>
              <w:top w:val="nil"/>
              <w:left w:val="nil"/>
              <w:bottom w:val="nil"/>
              <w:right w:val="nil"/>
            </w:tcBorders>
            <w:shd w:val="clear" w:color="auto" w:fill="DAF2D0"/>
            <w:vAlign w:val="center"/>
          </w:tcPr>
          <w:p w14:paraId="05631AC2">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设备设计阶段未前置考虑计量安装需求，后期改造难度大、成本高，计量点位预留缺失。 建议7.在设计阶段，要确保各类关键能源介质（如天然气、蒸汽、燃料等）都配备相应的计量器具，尤其是对关键燃料、分级蒸汽、循环水、凝结水等要设置统一的计量要求。 8.鼓励在设计阶段就将计量器具的安装考虑进去，确保关键能源的精准计量和管理。</w:t>
            </w:r>
          </w:p>
        </w:tc>
      </w:tr>
      <w:tr w14:paraId="6F8BE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43" w:type="pct"/>
            <w:vMerge w:val="continue"/>
            <w:tcBorders>
              <w:top w:val="nil"/>
              <w:left w:val="nil"/>
              <w:bottom w:val="nil"/>
              <w:right w:val="nil"/>
            </w:tcBorders>
            <w:shd w:val="clear" w:color="auto" w:fill="DAF2D0"/>
            <w:vAlign w:val="center"/>
          </w:tcPr>
          <w:p w14:paraId="2FA939F8">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F2D0"/>
            <w:vAlign w:val="center"/>
          </w:tcPr>
          <w:p w14:paraId="5F0C358F">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14</w:t>
            </w:r>
          </w:p>
        </w:tc>
        <w:tc>
          <w:tcPr>
            <w:tcW w:w="4376" w:type="pct"/>
            <w:tcBorders>
              <w:top w:val="nil"/>
              <w:left w:val="nil"/>
              <w:bottom w:val="nil"/>
              <w:right w:val="nil"/>
            </w:tcBorders>
            <w:shd w:val="clear" w:color="auto" w:fill="DAF2D0"/>
            <w:vAlign w:val="center"/>
          </w:tcPr>
          <w:p w14:paraId="4579FAF5">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能源计量岗位权责不清晰，无专人专责管理制度，三级计量器具台账管理不规范。6.建议能源计量器具管理专人专责，单独整理能源计量器具台账，尤其是三级器具。</w:t>
            </w:r>
          </w:p>
        </w:tc>
      </w:tr>
      <w:tr w14:paraId="15494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DAF2D0"/>
            <w:vAlign w:val="center"/>
          </w:tcPr>
          <w:p w14:paraId="4DDFB950">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F2D0"/>
            <w:vAlign w:val="center"/>
          </w:tcPr>
          <w:p w14:paraId="6AB2CF9C">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15</w:t>
            </w:r>
          </w:p>
        </w:tc>
        <w:tc>
          <w:tcPr>
            <w:tcW w:w="4376" w:type="pct"/>
            <w:tcBorders>
              <w:top w:val="nil"/>
              <w:left w:val="nil"/>
              <w:bottom w:val="nil"/>
              <w:right w:val="nil"/>
            </w:tcBorders>
            <w:shd w:val="clear" w:color="auto" w:fill="DAF2D0"/>
            <w:vAlign w:val="center"/>
          </w:tcPr>
          <w:p w14:paraId="77146221">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3-能源计量管理需全面契合国家安全、环保、碳排放相关法律法规及标准要求，现有体系未</w:t>
            </w:r>
          </w:p>
        </w:tc>
      </w:tr>
      <w:tr w14:paraId="3FAC7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DAF2D0"/>
            <w:vAlign w:val="center"/>
          </w:tcPr>
          <w:p w14:paraId="2BC97D7A">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F2D0"/>
            <w:vAlign w:val="center"/>
          </w:tcPr>
          <w:p w14:paraId="6C2799EB">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16</w:t>
            </w:r>
          </w:p>
        </w:tc>
        <w:tc>
          <w:tcPr>
            <w:tcW w:w="4376" w:type="pct"/>
            <w:tcBorders>
              <w:top w:val="nil"/>
              <w:left w:val="nil"/>
              <w:bottom w:val="nil"/>
              <w:right w:val="nil"/>
            </w:tcBorders>
            <w:shd w:val="clear" w:color="auto" w:fill="DAF2D0"/>
            <w:vAlign w:val="center"/>
          </w:tcPr>
          <w:p w14:paraId="3157F0DD">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原料用能计量是否单独要求</w:t>
            </w:r>
          </w:p>
        </w:tc>
      </w:tr>
      <w:tr w14:paraId="45C06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DAF2D0"/>
            <w:vAlign w:val="center"/>
          </w:tcPr>
          <w:p w14:paraId="2AFB6C5A">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F2D0"/>
            <w:vAlign w:val="center"/>
          </w:tcPr>
          <w:p w14:paraId="402F2E29">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17</w:t>
            </w:r>
          </w:p>
        </w:tc>
        <w:tc>
          <w:tcPr>
            <w:tcW w:w="4376" w:type="pct"/>
            <w:tcBorders>
              <w:top w:val="nil"/>
              <w:left w:val="nil"/>
              <w:bottom w:val="nil"/>
              <w:right w:val="nil"/>
            </w:tcBorders>
            <w:shd w:val="clear" w:color="auto" w:fill="DAF2D0"/>
            <w:vAlign w:val="center"/>
          </w:tcPr>
          <w:p w14:paraId="1D67B8A7">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自产能源计量（炼厂干气、蒸汽等）如何计量</w:t>
            </w:r>
            <w:r>
              <w:rPr>
                <w:rFonts w:hint="eastAsia" w:ascii="Times New Roman" w:eastAsia="微软雅黑" w:cs="Times New Roman"/>
                <w:i w:val="0"/>
                <w:iCs w:val="0"/>
                <w:color w:val="000000"/>
                <w:kern w:val="0"/>
                <w:sz w:val="18"/>
                <w:szCs w:val="18"/>
                <w:highlight w:val="none"/>
                <w:u w:val="none"/>
                <w:lang w:val="en-US" w:eastAsia="zh-CN" w:bidi="ar"/>
              </w:rPr>
              <w:t>，</w:t>
            </w:r>
            <w:r>
              <w:rPr>
                <w:rFonts w:hint="default" w:ascii="Times New Roman" w:hAnsi="Times New Roman" w:eastAsia="微软雅黑" w:cs="Times New Roman"/>
                <w:i w:val="0"/>
                <w:iCs w:val="0"/>
                <w:color w:val="000000"/>
                <w:kern w:val="0"/>
                <w:sz w:val="18"/>
                <w:szCs w:val="18"/>
                <w:highlight w:val="none"/>
                <w:u w:val="none"/>
                <w:lang w:val="en-US" w:eastAsia="zh-CN" w:bidi="ar"/>
              </w:rPr>
              <w:t>如采用蒸汽平衡是否需体现？</w:t>
            </w:r>
          </w:p>
        </w:tc>
      </w:tr>
      <w:tr w14:paraId="7508F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DAF2D0"/>
            <w:vAlign w:val="center"/>
          </w:tcPr>
          <w:p w14:paraId="7FA0DF63">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F2D0"/>
            <w:vAlign w:val="center"/>
          </w:tcPr>
          <w:p w14:paraId="2BE0950C">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18</w:t>
            </w:r>
          </w:p>
        </w:tc>
        <w:tc>
          <w:tcPr>
            <w:tcW w:w="4376" w:type="pct"/>
            <w:tcBorders>
              <w:top w:val="nil"/>
              <w:left w:val="nil"/>
              <w:bottom w:val="nil"/>
              <w:right w:val="nil"/>
            </w:tcBorders>
            <w:shd w:val="clear" w:color="auto" w:fill="DAF2D0"/>
            <w:vAlign w:val="center"/>
          </w:tcPr>
          <w:p w14:paraId="4691BAA1">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余能余热回收是否单独要求</w:t>
            </w:r>
          </w:p>
        </w:tc>
      </w:tr>
      <w:tr w14:paraId="42F9B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DAF2D0"/>
            <w:vAlign w:val="center"/>
          </w:tcPr>
          <w:p w14:paraId="1AF71A42">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F2D0"/>
            <w:vAlign w:val="center"/>
          </w:tcPr>
          <w:p w14:paraId="51338DE4">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19</w:t>
            </w:r>
          </w:p>
        </w:tc>
        <w:tc>
          <w:tcPr>
            <w:tcW w:w="4376" w:type="pct"/>
            <w:tcBorders>
              <w:top w:val="nil"/>
              <w:left w:val="nil"/>
              <w:bottom w:val="nil"/>
              <w:right w:val="nil"/>
            </w:tcBorders>
            <w:shd w:val="clear" w:color="auto" w:fill="DAF2D0"/>
            <w:vAlign w:val="center"/>
          </w:tcPr>
          <w:p w14:paraId="05AB467B">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管数据和管器具的人员岗位未整合，不利于现场一体化计量管控。</w:t>
            </w:r>
          </w:p>
        </w:tc>
      </w:tr>
      <w:tr w14:paraId="67A45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DAF2D0"/>
            <w:vAlign w:val="center"/>
          </w:tcPr>
          <w:p w14:paraId="061EFF60">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F2D0"/>
            <w:vAlign w:val="center"/>
          </w:tcPr>
          <w:p w14:paraId="4B44E779">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20</w:t>
            </w:r>
          </w:p>
        </w:tc>
        <w:tc>
          <w:tcPr>
            <w:tcW w:w="4376" w:type="pct"/>
            <w:tcBorders>
              <w:top w:val="nil"/>
              <w:left w:val="nil"/>
              <w:bottom w:val="nil"/>
              <w:right w:val="nil"/>
            </w:tcBorders>
            <w:shd w:val="clear" w:color="auto" w:fill="DAF2D0"/>
            <w:vAlign w:val="center"/>
          </w:tcPr>
          <w:p w14:paraId="49A01B2C">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企业碳排放强度管控未与能源计量、绩效考核挂钩，计量管控价值未落地。</w:t>
            </w:r>
          </w:p>
        </w:tc>
      </w:tr>
      <w:tr w14:paraId="7D03F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443" w:type="pct"/>
            <w:tcBorders>
              <w:top w:val="nil"/>
              <w:left w:val="nil"/>
              <w:bottom w:val="nil"/>
              <w:right w:val="nil"/>
            </w:tcBorders>
            <w:shd w:val="clear" w:color="auto" w:fill="DAE9F8"/>
            <w:vAlign w:val="center"/>
          </w:tcPr>
          <w:p w14:paraId="55C74604">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第五章 能源计量人员</w:t>
            </w:r>
          </w:p>
        </w:tc>
        <w:tc>
          <w:tcPr>
            <w:tcW w:w="179" w:type="pct"/>
            <w:tcBorders>
              <w:top w:val="nil"/>
              <w:left w:val="nil"/>
              <w:bottom w:val="nil"/>
              <w:right w:val="nil"/>
            </w:tcBorders>
            <w:shd w:val="clear" w:color="auto" w:fill="DAE9F8"/>
            <w:vAlign w:val="center"/>
          </w:tcPr>
          <w:p w14:paraId="69AE400B">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21</w:t>
            </w:r>
          </w:p>
        </w:tc>
        <w:tc>
          <w:tcPr>
            <w:tcW w:w="4376" w:type="pct"/>
            <w:tcBorders>
              <w:top w:val="nil"/>
              <w:left w:val="nil"/>
              <w:bottom w:val="nil"/>
              <w:right w:val="nil"/>
            </w:tcBorders>
            <w:shd w:val="clear" w:color="auto" w:fill="DAE9F8"/>
            <w:vAlign w:val="center"/>
          </w:tcPr>
          <w:p w14:paraId="45351DE7">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能源计量工作人员无明确专业素质要求，审查人员无安全教育、保密、回避制度，审查公正性、安全性无保障。建议对企业内部人员提出要求：用能单位能源计量工作人员需要具备必要的专业素质，确保能够理解和执行审查工作；所有审查人员需签署相关安全协议与保密协议。</w:t>
            </w:r>
          </w:p>
        </w:tc>
      </w:tr>
      <w:tr w14:paraId="72DAC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3" w:type="pct"/>
            <w:vMerge w:val="restart"/>
            <w:tcBorders>
              <w:top w:val="nil"/>
              <w:left w:val="nil"/>
              <w:bottom w:val="nil"/>
              <w:right w:val="nil"/>
            </w:tcBorders>
            <w:shd w:val="clear" w:color="auto" w:fill="F2F2F2"/>
            <w:vAlign w:val="center"/>
          </w:tcPr>
          <w:p w14:paraId="10AF298B">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第六章 能源计量器具</w:t>
            </w:r>
          </w:p>
        </w:tc>
        <w:tc>
          <w:tcPr>
            <w:tcW w:w="179" w:type="pct"/>
            <w:tcBorders>
              <w:top w:val="nil"/>
              <w:left w:val="nil"/>
              <w:bottom w:val="nil"/>
              <w:right w:val="nil"/>
            </w:tcBorders>
            <w:shd w:val="clear" w:color="auto" w:fill="F2F2F2"/>
            <w:vAlign w:val="center"/>
          </w:tcPr>
          <w:p w14:paraId="70F09E55">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22</w:t>
            </w:r>
          </w:p>
        </w:tc>
        <w:tc>
          <w:tcPr>
            <w:tcW w:w="4376" w:type="pct"/>
            <w:tcBorders>
              <w:top w:val="nil"/>
              <w:left w:val="nil"/>
              <w:bottom w:val="nil"/>
              <w:right w:val="nil"/>
            </w:tcBorders>
            <w:shd w:val="clear" w:color="auto" w:fill="F2F2F2"/>
            <w:vAlign w:val="center"/>
          </w:tcPr>
          <w:p w14:paraId="20A449FD">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根据实际用能规模进行分级，分类制定管理要求和能源表的配备要求，用能较少的设备可以适当放宽准确度要求。</w:t>
            </w:r>
          </w:p>
        </w:tc>
      </w:tr>
      <w:tr w14:paraId="09251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443" w:type="pct"/>
            <w:vMerge w:val="continue"/>
            <w:tcBorders>
              <w:top w:val="nil"/>
              <w:left w:val="nil"/>
              <w:bottom w:val="nil"/>
              <w:right w:val="nil"/>
            </w:tcBorders>
            <w:shd w:val="clear" w:color="auto" w:fill="F2F2F2"/>
            <w:vAlign w:val="center"/>
          </w:tcPr>
          <w:p w14:paraId="1D250FEA">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F2F2F2"/>
            <w:vAlign w:val="center"/>
          </w:tcPr>
          <w:p w14:paraId="5BB17914">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23</w:t>
            </w:r>
          </w:p>
        </w:tc>
        <w:tc>
          <w:tcPr>
            <w:tcW w:w="4376" w:type="pct"/>
            <w:tcBorders>
              <w:top w:val="nil"/>
              <w:left w:val="nil"/>
              <w:bottom w:val="nil"/>
              <w:right w:val="nil"/>
            </w:tcBorders>
            <w:shd w:val="clear" w:color="auto" w:fill="F2F2F2"/>
            <w:vAlign w:val="center"/>
          </w:tcPr>
          <w:p w14:paraId="70F50AF3">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炼油装置要求长周期运行4～5年，周期检定要求建议适当放宽，因装置连续生产运行不具备下线检定的工作计量器具，可通过在线监测、比对、状态评价等方式对计量性能进行评估，并结合装置停工检修计划，完成工作计量器具的检定/校准。</w:t>
            </w:r>
          </w:p>
        </w:tc>
      </w:tr>
      <w:tr w14:paraId="2ACC3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F2F2F2"/>
            <w:vAlign w:val="center"/>
          </w:tcPr>
          <w:p w14:paraId="639C8F30">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F2F2F2"/>
            <w:vAlign w:val="center"/>
          </w:tcPr>
          <w:p w14:paraId="1653C4CF">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24</w:t>
            </w:r>
          </w:p>
        </w:tc>
        <w:tc>
          <w:tcPr>
            <w:tcW w:w="4376" w:type="pct"/>
            <w:tcBorders>
              <w:top w:val="nil"/>
              <w:left w:val="nil"/>
              <w:bottom w:val="nil"/>
              <w:right w:val="nil"/>
            </w:tcBorders>
            <w:shd w:val="clear" w:color="auto" w:fill="F2F2F2"/>
            <w:vAlign w:val="center"/>
          </w:tcPr>
          <w:p w14:paraId="0963687E">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部分场合或介质可能存在两相流或多相流，当前计量设备无法保证精准测量，考虑补偿或核算方法。</w:t>
            </w:r>
          </w:p>
        </w:tc>
      </w:tr>
      <w:tr w14:paraId="4B9D1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443" w:type="pct"/>
            <w:vMerge w:val="continue"/>
            <w:tcBorders>
              <w:top w:val="nil"/>
              <w:left w:val="nil"/>
              <w:bottom w:val="nil"/>
              <w:right w:val="nil"/>
            </w:tcBorders>
            <w:shd w:val="clear" w:color="auto" w:fill="F2F2F2"/>
            <w:vAlign w:val="center"/>
          </w:tcPr>
          <w:p w14:paraId="2FCCB1E3">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F2F2F2"/>
            <w:vAlign w:val="center"/>
          </w:tcPr>
          <w:p w14:paraId="6619BD62">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25</w:t>
            </w:r>
          </w:p>
        </w:tc>
        <w:tc>
          <w:tcPr>
            <w:tcW w:w="4376" w:type="pct"/>
            <w:tcBorders>
              <w:top w:val="nil"/>
              <w:left w:val="nil"/>
              <w:bottom w:val="nil"/>
              <w:right w:val="nil"/>
            </w:tcBorders>
            <w:shd w:val="clear" w:color="auto" w:fill="F2F2F2"/>
            <w:vAlign w:val="center"/>
          </w:tcPr>
          <w:p w14:paraId="30E69E30">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建议做好与GB/T 20901《石油石化行业能源计量器具配备和管理要求》衔接，根据炼厂实际情况，考虑细化GB/T 20901中未作出详细规定的各主要生产装置、附属和辅助生产系统的能源计量器具配备的具体要求。</w:t>
            </w:r>
          </w:p>
        </w:tc>
      </w:tr>
      <w:tr w14:paraId="6073A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F2F2F2"/>
            <w:vAlign w:val="center"/>
          </w:tcPr>
          <w:p w14:paraId="4A649AB1">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F2F2F2"/>
            <w:vAlign w:val="center"/>
          </w:tcPr>
          <w:p w14:paraId="6D28868E">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26</w:t>
            </w:r>
          </w:p>
        </w:tc>
        <w:tc>
          <w:tcPr>
            <w:tcW w:w="4376" w:type="pct"/>
            <w:tcBorders>
              <w:top w:val="nil"/>
              <w:left w:val="nil"/>
              <w:bottom w:val="nil"/>
              <w:right w:val="nil"/>
            </w:tcBorders>
            <w:shd w:val="clear" w:color="auto" w:fill="F2F2F2"/>
            <w:vAlign w:val="center"/>
          </w:tcPr>
          <w:p w14:paraId="1CB868C2">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氮气、压缩空气、大口径水系统管网输差大，老旧仪表失准缺损，在线校准核查手段缺失。</w:t>
            </w:r>
          </w:p>
        </w:tc>
      </w:tr>
      <w:tr w14:paraId="7D534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F2F2F2"/>
            <w:vAlign w:val="center"/>
          </w:tcPr>
          <w:p w14:paraId="073BB6FA">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F2F2F2"/>
            <w:vAlign w:val="center"/>
          </w:tcPr>
          <w:p w14:paraId="29296566">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27</w:t>
            </w:r>
          </w:p>
        </w:tc>
        <w:tc>
          <w:tcPr>
            <w:tcW w:w="4376" w:type="pct"/>
            <w:tcBorders>
              <w:top w:val="nil"/>
              <w:left w:val="nil"/>
              <w:bottom w:val="nil"/>
              <w:right w:val="nil"/>
            </w:tcBorders>
            <w:shd w:val="clear" w:color="auto" w:fill="F2F2F2"/>
            <w:vAlign w:val="center"/>
          </w:tcPr>
          <w:p w14:paraId="7116CE84">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炼厂干气、火炬气、高温相变蒸汽等特殊介质工况波动大，常规计量设备误差大，无专属管控标准。</w:t>
            </w:r>
          </w:p>
        </w:tc>
      </w:tr>
      <w:tr w14:paraId="17F36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F2F2F2"/>
            <w:vAlign w:val="center"/>
          </w:tcPr>
          <w:p w14:paraId="1DD0D196">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F2F2F2"/>
            <w:vAlign w:val="center"/>
          </w:tcPr>
          <w:p w14:paraId="0AC2E03F">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28</w:t>
            </w:r>
          </w:p>
        </w:tc>
        <w:tc>
          <w:tcPr>
            <w:tcW w:w="4376" w:type="pct"/>
            <w:tcBorders>
              <w:top w:val="nil"/>
              <w:left w:val="nil"/>
              <w:bottom w:val="nil"/>
              <w:right w:val="nil"/>
            </w:tcBorders>
            <w:shd w:val="clear" w:color="auto" w:fill="F2F2F2"/>
            <w:vAlign w:val="center"/>
          </w:tcPr>
          <w:p w14:paraId="5773638F">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炼化高温、高压、防爆、防腐特殊工况下，计量仪表无法拆机检定，通用规范无合规认定依据。</w:t>
            </w:r>
          </w:p>
        </w:tc>
      </w:tr>
      <w:tr w14:paraId="35BC1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43" w:type="pct"/>
            <w:vMerge w:val="continue"/>
            <w:tcBorders>
              <w:top w:val="nil"/>
              <w:left w:val="nil"/>
              <w:bottom w:val="nil"/>
              <w:right w:val="nil"/>
            </w:tcBorders>
            <w:shd w:val="clear" w:color="auto" w:fill="F2F2F2"/>
            <w:vAlign w:val="center"/>
          </w:tcPr>
          <w:p w14:paraId="5600CC24">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F2F2F2"/>
            <w:vAlign w:val="center"/>
          </w:tcPr>
          <w:p w14:paraId="50E4C63A">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29</w:t>
            </w:r>
          </w:p>
        </w:tc>
        <w:tc>
          <w:tcPr>
            <w:tcW w:w="4376" w:type="pct"/>
            <w:tcBorders>
              <w:top w:val="nil"/>
              <w:left w:val="nil"/>
              <w:bottom w:val="nil"/>
              <w:right w:val="nil"/>
            </w:tcBorders>
            <w:shd w:val="clear" w:color="auto" w:fill="F2F2F2"/>
            <w:vAlign w:val="center"/>
          </w:tcPr>
          <w:p w14:paraId="184DA7EF">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大口径水计量存在“大马拉小车”问题，凝结水计量点位缺失，器具选型不合理。 建议11.水的计量中，采用超声流量计等技术来解决“大马拉小车”问题。</w:t>
            </w:r>
          </w:p>
        </w:tc>
      </w:tr>
      <w:tr w14:paraId="499DF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43" w:type="pct"/>
            <w:vMerge w:val="continue"/>
            <w:tcBorders>
              <w:top w:val="nil"/>
              <w:left w:val="nil"/>
              <w:bottom w:val="nil"/>
              <w:right w:val="nil"/>
            </w:tcBorders>
            <w:shd w:val="clear" w:color="auto" w:fill="F2F2F2"/>
            <w:vAlign w:val="center"/>
          </w:tcPr>
          <w:p w14:paraId="1DA067BA">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F2F2F2"/>
            <w:vAlign w:val="center"/>
          </w:tcPr>
          <w:p w14:paraId="00F5277B">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30</w:t>
            </w:r>
          </w:p>
        </w:tc>
        <w:tc>
          <w:tcPr>
            <w:tcW w:w="4376" w:type="pct"/>
            <w:tcBorders>
              <w:top w:val="nil"/>
              <w:left w:val="nil"/>
              <w:bottom w:val="nil"/>
              <w:right w:val="nil"/>
            </w:tcBorders>
            <w:shd w:val="clear" w:color="auto" w:fill="F2F2F2"/>
            <w:vAlign w:val="center"/>
          </w:tcPr>
          <w:p w14:paraId="79E015C8">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能源计量器具配备原则不完善，未明确炼油行业能源分类、分级、分项计量的具体实施流程，未覆盖便携式能源计量器具的炼油专属应用要求。</w:t>
            </w:r>
          </w:p>
        </w:tc>
      </w:tr>
      <w:tr w14:paraId="14A59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F2F2F2"/>
            <w:vAlign w:val="center"/>
          </w:tcPr>
          <w:p w14:paraId="2EF05ACB">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F2F2F2"/>
            <w:vAlign w:val="center"/>
          </w:tcPr>
          <w:p w14:paraId="1CBE5A10">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31</w:t>
            </w:r>
          </w:p>
        </w:tc>
        <w:tc>
          <w:tcPr>
            <w:tcW w:w="4376" w:type="pct"/>
            <w:tcBorders>
              <w:top w:val="nil"/>
              <w:left w:val="nil"/>
              <w:bottom w:val="nil"/>
              <w:right w:val="nil"/>
            </w:tcBorders>
            <w:shd w:val="clear" w:color="auto" w:fill="F2F2F2"/>
            <w:vAlign w:val="center"/>
          </w:tcPr>
          <w:p w14:paraId="742B0EC3">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能源计量器具配备要求与通用通则、GB/T 20901的差异化要求不明确，未体现炼油行业专属配备标准。</w:t>
            </w:r>
          </w:p>
        </w:tc>
      </w:tr>
      <w:tr w14:paraId="0482C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43" w:type="pct"/>
            <w:vMerge w:val="continue"/>
            <w:tcBorders>
              <w:top w:val="nil"/>
              <w:left w:val="nil"/>
              <w:bottom w:val="nil"/>
              <w:right w:val="nil"/>
            </w:tcBorders>
            <w:shd w:val="clear" w:color="auto" w:fill="F2F2F2"/>
            <w:vAlign w:val="center"/>
          </w:tcPr>
          <w:p w14:paraId="45FFBC33">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F2F2F2"/>
            <w:vAlign w:val="center"/>
          </w:tcPr>
          <w:p w14:paraId="01D9BD08">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32</w:t>
            </w:r>
          </w:p>
        </w:tc>
        <w:tc>
          <w:tcPr>
            <w:tcW w:w="4376" w:type="pct"/>
            <w:tcBorders>
              <w:top w:val="nil"/>
              <w:left w:val="nil"/>
              <w:bottom w:val="nil"/>
              <w:right w:val="nil"/>
            </w:tcBorders>
            <w:shd w:val="clear" w:color="auto" w:fill="F2F2F2"/>
            <w:vAlign w:val="center"/>
          </w:tcPr>
          <w:p w14:paraId="362FE0CF">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能源计量器具计量溯源和结果确认要求不完善，未针对炼油行业计量器具检定校准制定特殊要求，未覆盖碳排放权交易相关计量器具的管控需求。</w:t>
            </w:r>
          </w:p>
        </w:tc>
      </w:tr>
      <w:tr w14:paraId="3E4D7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43" w:type="pct"/>
            <w:vMerge w:val="continue"/>
            <w:tcBorders>
              <w:top w:val="nil"/>
              <w:left w:val="nil"/>
              <w:bottom w:val="nil"/>
              <w:right w:val="nil"/>
            </w:tcBorders>
            <w:shd w:val="clear" w:color="auto" w:fill="F2F2F2"/>
            <w:vAlign w:val="center"/>
          </w:tcPr>
          <w:p w14:paraId="72017F9A">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F2F2F2"/>
            <w:vAlign w:val="center"/>
          </w:tcPr>
          <w:p w14:paraId="3C521B21">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33</w:t>
            </w:r>
          </w:p>
        </w:tc>
        <w:tc>
          <w:tcPr>
            <w:tcW w:w="4376" w:type="pct"/>
            <w:tcBorders>
              <w:top w:val="nil"/>
              <w:left w:val="nil"/>
              <w:bottom w:val="nil"/>
              <w:right w:val="nil"/>
            </w:tcBorders>
            <w:shd w:val="clear" w:color="auto" w:fill="F2F2F2"/>
            <w:vAlign w:val="center"/>
          </w:tcPr>
          <w:p w14:paraId="47301AC7">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检定校准要求：对计量器具的检定和校准要求进行明确，确保设备符合标准并定期进行检定；审查时要求提供设备厂商或第三方的相关资质与能力证明，确保其具备有效的检定和校准能力。</w:t>
            </w:r>
          </w:p>
        </w:tc>
      </w:tr>
      <w:tr w14:paraId="0D7B8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3" w:type="pct"/>
            <w:vMerge w:val="continue"/>
            <w:tcBorders>
              <w:top w:val="nil"/>
              <w:left w:val="nil"/>
              <w:bottom w:val="nil"/>
              <w:right w:val="nil"/>
            </w:tcBorders>
            <w:shd w:val="clear" w:color="auto" w:fill="F2F2F2"/>
            <w:vAlign w:val="center"/>
          </w:tcPr>
          <w:p w14:paraId="7277E517">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F2F2F2"/>
            <w:vAlign w:val="center"/>
          </w:tcPr>
          <w:p w14:paraId="48782816">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34</w:t>
            </w:r>
          </w:p>
        </w:tc>
        <w:tc>
          <w:tcPr>
            <w:tcW w:w="4376" w:type="pct"/>
            <w:tcBorders>
              <w:top w:val="nil"/>
              <w:left w:val="nil"/>
              <w:bottom w:val="nil"/>
              <w:right w:val="nil"/>
            </w:tcBorders>
            <w:shd w:val="clear" w:color="auto" w:fill="F2F2F2"/>
            <w:vAlign w:val="center"/>
          </w:tcPr>
          <w:p w14:paraId="4CB1958F">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特殊场景（安全、高温高压、防爆、防腐要求）：对石化企业中涉及安全、高温高压、防爆、防腐等特殊工艺场景，例如6000~10000伏特的高压电机，提出相应的计量要求，确保设备能够满足特定的安全和计量标准，可以考虑借鉴并提炼“艾默生”要求，确保特殊场景中的计量器具设计和应用符合严格的安全、环保标准。</w:t>
            </w:r>
          </w:p>
        </w:tc>
      </w:tr>
      <w:tr w14:paraId="35779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F2F2F2"/>
            <w:vAlign w:val="center"/>
          </w:tcPr>
          <w:p w14:paraId="5D7E4965">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F2F2F2"/>
            <w:vAlign w:val="center"/>
          </w:tcPr>
          <w:p w14:paraId="56346420">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35</w:t>
            </w:r>
          </w:p>
        </w:tc>
        <w:tc>
          <w:tcPr>
            <w:tcW w:w="4376" w:type="pct"/>
            <w:tcBorders>
              <w:top w:val="nil"/>
              <w:left w:val="nil"/>
              <w:bottom w:val="nil"/>
              <w:right w:val="nil"/>
            </w:tcBorders>
            <w:shd w:val="clear" w:color="auto" w:fill="F2F2F2"/>
            <w:vAlign w:val="center"/>
          </w:tcPr>
          <w:p w14:paraId="39745494">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在设备设计和选择阶段就必须考虑计量器具的前置安装要求，确保能够满足后续的计量需求。</w:t>
            </w:r>
          </w:p>
        </w:tc>
      </w:tr>
      <w:tr w14:paraId="75D1A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F2F2F2"/>
            <w:vAlign w:val="center"/>
          </w:tcPr>
          <w:p w14:paraId="1BD5A9A5">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F2F2F2"/>
            <w:vAlign w:val="center"/>
          </w:tcPr>
          <w:p w14:paraId="15A67FB3">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36</w:t>
            </w:r>
          </w:p>
        </w:tc>
        <w:tc>
          <w:tcPr>
            <w:tcW w:w="4376" w:type="pct"/>
            <w:tcBorders>
              <w:top w:val="nil"/>
              <w:left w:val="nil"/>
              <w:bottom w:val="nil"/>
              <w:right w:val="nil"/>
            </w:tcBorders>
            <w:shd w:val="clear" w:color="auto" w:fill="F2F2F2"/>
            <w:vAlign w:val="center"/>
          </w:tcPr>
          <w:p w14:paraId="1EA36286">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需明确计量确认相关要求，特别是安全、高温高压、防爆、防腐特殊场景的计量确认规则。</w:t>
            </w:r>
          </w:p>
        </w:tc>
      </w:tr>
      <w:tr w14:paraId="338E0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F2F2F2"/>
            <w:vAlign w:val="center"/>
          </w:tcPr>
          <w:p w14:paraId="17E18421">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F2F2F2"/>
            <w:vAlign w:val="center"/>
          </w:tcPr>
          <w:p w14:paraId="0A209D69">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37</w:t>
            </w:r>
          </w:p>
        </w:tc>
        <w:tc>
          <w:tcPr>
            <w:tcW w:w="4376" w:type="pct"/>
            <w:tcBorders>
              <w:top w:val="nil"/>
              <w:left w:val="nil"/>
              <w:bottom w:val="nil"/>
              <w:right w:val="nil"/>
            </w:tcBorders>
            <w:shd w:val="clear" w:color="auto" w:fill="F2F2F2"/>
            <w:vAlign w:val="center"/>
          </w:tcPr>
          <w:p w14:paraId="7BE2B011">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凝结水系统建议加装计量仪表，完善水循环计量管控。</w:t>
            </w:r>
          </w:p>
        </w:tc>
      </w:tr>
      <w:tr w14:paraId="0C9A3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43" w:type="pct"/>
            <w:vMerge w:val="continue"/>
            <w:tcBorders>
              <w:top w:val="nil"/>
              <w:left w:val="nil"/>
              <w:bottom w:val="nil"/>
              <w:right w:val="nil"/>
            </w:tcBorders>
            <w:shd w:val="clear" w:color="auto" w:fill="F2F2F2"/>
            <w:vAlign w:val="center"/>
          </w:tcPr>
          <w:p w14:paraId="021FB69D">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F2F2F2"/>
            <w:vAlign w:val="center"/>
          </w:tcPr>
          <w:p w14:paraId="33A534FF">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38</w:t>
            </w:r>
          </w:p>
        </w:tc>
        <w:tc>
          <w:tcPr>
            <w:tcW w:w="4376" w:type="pct"/>
            <w:tcBorders>
              <w:top w:val="nil"/>
              <w:left w:val="nil"/>
              <w:bottom w:val="nil"/>
              <w:right w:val="nil"/>
            </w:tcBorders>
            <w:shd w:val="clear" w:color="auto" w:fill="F2F2F2"/>
            <w:vAlign w:val="center"/>
          </w:tcPr>
          <w:p w14:paraId="5CBBA362">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在设计阶段，要确保各类关键能源介质（如天然气、蒸汽、燃料等）都配备相应的计量器具，尤其是对关键燃料、分级蒸汽、循环水、凝结水等要设置统一的计量要求。</w:t>
            </w:r>
          </w:p>
        </w:tc>
      </w:tr>
      <w:tr w14:paraId="14EF9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F2F2F2"/>
            <w:vAlign w:val="center"/>
          </w:tcPr>
          <w:p w14:paraId="46575253">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F2F2F2"/>
            <w:vAlign w:val="center"/>
          </w:tcPr>
          <w:p w14:paraId="5B5735CD">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39</w:t>
            </w:r>
          </w:p>
        </w:tc>
        <w:tc>
          <w:tcPr>
            <w:tcW w:w="4376" w:type="pct"/>
            <w:tcBorders>
              <w:top w:val="nil"/>
              <w:left w:val="nil"/>
              <w:bottom w:val="nil"/>
              <w:right w:val="nil"/>
            </w:tcBorders>
            <w:shd w:val="clear" w:color="auto" w:fill="F2F2F2"/>
            <w:vAlign w:val="center"/>
          </w:tcPr>
          <w:p w14:paraId="160BC787">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炼油专用计量器具性能与准确度等级要求</w:t>
            </w:r>
          </w:p>
        </w:tc>
      </w:tr>
      <w:tr w14:paraId="4EC00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F2F2F2"/>
            <w:vAlign w:val="center"/>
          </w:tcPr>
          <w:p w14:paraId="0CA4AED8">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F2F2F2"/>
            <w:vAlign w:val="center"/>
          </w:tcPr>
          <w:p w14:paraId="22A2B6BE">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40</w:t>
            </w:r>
          </w:p>
        </w:tc>
        <w:tc>
          <w:tcPr>
            <w:tcW w:w="4376" w:type="pct"/>
            <w:tcBorders>
              <w:top w:val="nil"/>
              <w:left w:val="nil"/>
              <w:bottom w:val="nil"/>
              <w:right w:val="nil"/>
            </w:tcBorders>
            <w:shd w:val="clear" w:color="auto" w:fill="F2F2F2"/>
            <w:vAlign w:val="center"/>
          </w:tcPr>
          <w:p w14:paraId="63CCB5FF">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气液两相流、火炬气无法准确计量</w:t>
            </w:r>
          </w:p>
        </w:tc>
      </w:tr>
      <w:tr w14:paraId="71F81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43" w:type="pct"/>
            <w:vMerge w:val="continue"/>
            <w:tcBorders>
              <w:top w:val="nil"/>
              <w:left w:val="nil"/>
              <w:bottom w:val="nil"/>
              <w:right w:val="nil"/>
            </w:tcBorders>
            <w:shd w:val="clear" w:color="auto" w:fill="F2F2F2"/>
            <w:vAlign w:val="center"/>
          </w:tcPr>
          <w:p w14:paraId="244E82BC">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F2F2F2"/>
            <w:vAlign w:val="center"/>
          </w:tcPr>
          <w:p w14:paraId="7814A1FC">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41</w:t>
            </w:r>
          </w:p>
        </w:tc>
        <w:tc>
          <w:tcPr>
            <w:tcW w:w="4376" w:type="pct"/>
            <w:tcBorders>
              <w:top w:val="nil"/>
              <w:left w:val="nil"/>
              <w:bottom w:val="nil"/>
              <w:right w:val="nil"/>
            </w:tcBorders>
            <w:shd w:val="clear" w:color="auto" w:fill="F2F2F2"/>
            <w:vAlign w:val="center"/>
          </w:tcPr>
          <w:p w14:paraId="09550EF3">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大口径地下管道消防用水、氮封管线密封阀等设备，因安全、环保、成本要求需24小时连续运转，无法拆卸送检，需明确在线校准合规要求。</w:t>
            </w:r>
          </w:p>
        </w:tc>
      </w:tr>
      <w:tr w14:paraId="076F8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F2F2F2"/>
            <w:vAlign w:val="center"/>
          </w:tcPr>
          <w:p w14:paraId="063C53B6">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F2F2F2"/>
            <w:vAlign w:val="center"/>
          </w:tcPr>
          <w:p w14:paraId="05BCB551">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42</w:t>
            </w:r>
          </w:p>
        </w:tc>
        <w:tc>
          <w:tcPr>
            <w:tcW w:w="4376" w:type="pct"/>
            <w:tcBorders>
              <w:top w:val="nil"/>
              <w:left w:val="nil"/>
              <w:bottom w:val="nil"/>
              <w:right w:val="nil"/>
            </w:tcBorders>
            <w:shd w:val="clear" w:color="auto" w:fill="F2F2F2"/>
            <w:vAlign w:val="center"/>
          </w:tcPr>
          <w:p w14:paraId="4EB95EF2">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行业三级计量器具数量庞大，现有通用检定校准要求操作难度大，不适配现场海量器具运维场景。</w:t>
            </w:r>
          </w:p>
        </w:tc>
      </w:tr>
      <w:tr w14:paraId="6A73C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43" w:type="pct"/>
            <w:vMerge w:val="continue"/>
            <w:tcBorders>
              <w:top w:val="nil"/>
              <w:left w:val="nil"/>
              <w:bottom w:val="nil"/>
              <w:right w:val="nil"/>
            </w:tcBorders>
            <w:shd w:val="clear" w:color="auto" w:fill="F2F2F2"/>
            <w:vAlign w:val="center"/>
          </w:tcPr>
          <w:p w14:paraId="2EF39495">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F2F2F2"/>
            <w:vAlign w:val="center"/>
          </w:tcPr>
          <w:p w14:paraId="2C44E20C">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43</w:t>
            </w:r>
          </w:p>
        </w:tc>
        <w:tc>
          <w:tcPr>
            <w:tcW w:w="4376" w:type="pct"/>
            <w:tcBorders>
              <w:top w:val="nil"/>
              <w:left w:val="nil"/>
              <w:bottom w:val="nil"/>
              <w:right w:val="nil"/>
            </w:tcBorders>
            <w:shd w:val="clear" w:color="auto" w:fill="F2F2F2"/>
            <w:vAlign w:val="center"/>
          </w:tcPr>
          <w:p w14:paraId="2EC86B4A">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电磁流量计、孔板等固定式不可拆修计量设备，现场无法离线检定，国标精度要求0.5级，但现场无落地核查手段与合规标准。</w:t>
            </w:r>
          </w:p>
        </w:tc>
      </w:tr>
      <w:tr w14:paraId="29087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3" w:type="pct"/>
            <w:vMerge w:val="continue"/>
            <w:tcBorders>
              <w:top w:val="nil"/>
              <w:left w:val="nil"/>
              <w:bottom w:val="nil"/>
              <w:right w:val="nil"/>
            </w:tcBorders>
            <w:shd w:val="clear" w:color="auto" w:fill="F2F2F2"/>
            <w:vAlign w:val="center"/>
          </w:tcPr>
          <w:p w14:paraId="094AAE30">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F2F2F2"/>
            <w:vAlign w:val="center"/>
          </w:tcPr>
          <w:p w14:paraId="4B18F4D7">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44</w:t>
            </w:r>
          </w:p>
        </w:tc>
        <w:tc>
          <w:tcPr>
            <w:tcW w:w="4376" w:type="pct"/>
            <w:tcBorders>
              <w:top w:val="nil"/>
              <w:left w:val="nil"/>
              <w:bottom w:val="nil"/>
              <w:right w:val="nil"/>
            </w:tcBorders>
            <w:shd w:val="clear" w:color="auto" w:fill="F2F2F2"/>
            <w:vAlign w:val="center"/>
          </w:tcPr>
          <w:p w14:paraId="4E06B424">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煤炭含水率、堆密度人工检测误差大，盘煤仪计量精度不足，煤炭原料计量准确性差，影响能耗核算与产品质量稳定。</w:t>
            </w:r>
          </w:p>
        </w:tc>
      </w:tr>
      <w:tr w14:paraId="10FD8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F2F2F2"/>
            <w:vAlign w:val="center"/>
          </w:tcPr>
          <w:p w14:paraId="060FDF01">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F2F2F2"/>
            <w:vAlign w:val="center"/>
          </w:tcPr>
          <w:p w14:paraId="2570DCC3">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45</w:t>
            </w:r>
          </w:p>
        </w:tc>
        <w:tc>
          <w:tcPr>
            <w:tcW w:w="4376" w:type="pct"/>
            <w:tcBorders>
              <w:top w:val="nil"/>
              <w:left w:val="nil"/>
              <w:bottom w:val="nil"/>
              <w:right w:val="nil"/>
            </w:tcBorders>
            <w:shd w:val="clear" w:color="auto" w:fill="F2F2F2"/>
            <w:vAlign w:val="center"/>
          </w:tcPr>
          <w:p w14:paraId="79A180A1">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6.3.3碳排放权交易等计量器具（是否考虑炼油即将纳入碳市场后产生的计量需求）</w:t>
            </w:r>
          </w:p>
        </w:tc>
      </w:tr>
      <w:tr w14:paraId="011A9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restart"/>
            <w:tcBorders>
              <w:top w:val="nil"/>
              <w:left w:val="nil"/>
              <w:bottom w:val="nil"/>
              <w:right w:val="nil"/>
            </w:tcBorders>
            <w:shd w:val="clear" w:color="auto" w:fill="DAF2D0"/>
            <w:vAlign w:val="center"/>
          </w:tcPr>
          <w:p w14:paraId="32562596">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第七章 能源计量数据管理</w:t>
            </w:r>
          </w:p>
        </w:tc>
        <w:tc>
          <w:tcPr>
            <w:tcW w:w="179" w:type="pct"/>
            <w:tcBorders>
              <w:top w:val="nil"/>
              <w:left w:val="nil"/>
              <w:bottom w:val="nil"/>
              <w:right w:val="nil"/>
            </w:tcBorders>
            <w:shd w:val="clear" w:color="auto" w:fill="DAF2D0"/>
            <w:vAlign w:val="center"/>
          </w:tcPr>
          <w:p w14:paraId="3D83F168">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46</w:t>
            </w:r>
          </w:p>
        </w:tc>
        <w:tc>
          <w:tcPr>
            <w:tcW w:w="4376" w:type="pct"/>
            <w:tcBorders>
              <w:top w:val="nil"/>
              <w:left w:val="nil"/>
              <w:bottom w:val="nil"/>
              <w:right w:val="nil"/>
            </w:tcBorders>
            <w:shd w:val="clear" w:color="auto" w:fill="DAF2D0"/>
            <w:vAlign w:val="center"/>
          </w:tcPr>
          <w:p w14:paraId="597332C5">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外购天然气多气源混输，体积计量偏差大，能量计量推进滞后，无统一数据修正与管控标准。</w:t>
            </w:r>
          </w:p>
        </w:tc>
      </w:tr>
      <w:tr w14:paraId="25965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DAF2D0"/>
            <w:vAlign w:val="center"/>
          </w:tcPr>
          <w:p w14:paraId="4A5C3CCF">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F2D0"/>
            <w:vAlign w:val="center"/>
          </w:tcPr>
          <w:p w14:paraId="3BD47980">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47</w:t>
            </w:r>
          </w:p>
        </w:tc>
        <w:tc>
          <w:tcPr>
            <w:tcW w:w="4376" w:type="pct"/>
            <w:tcBorders>
              <w:top w:val="nil"/>
              <w:left w:val="nil"/>
              <w:bottom w:val="nil"/>
              <w:right w:val="nil"/>
            </w:tcBorders>
            <w:shd w:val="clear" w:color="auto" w:fill="DAF2D0"/>
            <w:vAlign w:val="center"/>
          </w:tcPr>
          <w:p w14:paraId="3A665467">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燃料气组分、密度动态波动，取值不规范，导致装置能耗数据失衡、核算失准。</w:t>
            </w:r>
          </w:p>
        </w:tc>
      </w:tr>
      <w:tr w14:paraId="0BFF7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DAF2D0"/>
            <w:vAlign w:val="center"/>
          </w:tcPr>
          <w:p w14:paraId="098B8259">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F2D0"/>
            <w:vAlign w:val="center"/>
          </w:tcPr>
          <w:p w14:paraId="37494A73">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48</w:t>
            </w:r>
          </w:p>
        </w:tc>
        <w:tc>
          <w:tcPr>
            <w:tcW w:w="4376" w:type="pct"/>
            <w:tcBorders>
              <w:top w:val="nil"/>
              <w:left w:val="nil"/>
              <w:bottom w:val="nil"/>
              <w:right w:val="nil"/>
            </w:tcBorders>
            <w:shd w:val="clear" w:color="auto" w:fill="DAF2D0"/>
            <w:vAlign w:val="center"/>
          </w:tcPr>
          <w:p w14:paraId="1ADEB6A8">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蒸汽计量仅统计质量流量，DCS计算模型不匹配国标，管输能量损耗无数据核算依据。</w:t>
            </w:r>
          </w:p>
        </w:tc>
      </w:tr>
      <w:tr w14:paraId="08BCF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DAF2D0"/>
            <w:vAlign w:val="center"/>
          </w:tcPr>
          <w:p w14:paraId="2648AE0A">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F2D0"/>
            <w:vAlign w:val="center"/>
          </w:tcPr>
          <w:p w14:paraId="6AE6AAF1">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49</w:t>
            </w:r>
          </w:p>
        </w:tc>
        <w:tc>
          <w:tcPr>
            <w:tcW w:w="4376" w:type="pct"/>
            <w:tcBorders>
              <w:top w:val="nil"/>
              <w:left w:val="nil"/>
              <w:bottom w:val="nil"/>
              <w:right w:val="nil"/>
            </w:tcBorders>
            <w:shd w:val="clear" w:color="auto" w:fill="DAF2D0"/>
            <w:vAlign w:val="center"/>
          </w:tcPr>
          <w:p w14:paraId="7290FF32">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炼化在线校准、期间核查数据无合规认可依据，内部校准数据权威性不足。</w:t>
            </w:r>
          </w:p>
        </w:tc>
      </w:tr>
      <w:tr w14:paraId="101F4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DAF2D0"/>
            <w:vAlign w:val="center"/>
          </w:tcPr>
          <w:p w14:paraId="102B899C">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F2D0"/>
            <w:vAlign w:val="center"/>
          </w:tcPr>
          <w:p w14:paraId="2CADA55F">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50</w:t>
            </w:r>
          </w:p>
        </w:tc>
        <w:tc>
          <w:tcPr>
            <w:tcW w:w="4376" w:type="pct"/>
            <w:tcBorders>
              <w:top w:val="nil"/>
              <w:left w:val="nil"/>
              <w:bottom w:val="nil"/>
              <w:right w:val="nil"/>
            </w:tcBorders>
            <w:shd w:val="clear" w:color="auto" w:fill="DAF2D0"/>
            <w:vAlign w:val="center"/>
          </w:tcPr>
          <w:p w14:paraId="3AF51497">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传统数据管理模式落后，未覆盖数据中台归集、智能校核、AI能效分析等数字化应用。</w:t>
            </w:r>
          </w:p>
        </w:tc>
      </w:tr>
      <w:tr w14:paraId="533C1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DAF2D0"/>
            <w:vAlign w:val="center"/>
          </w:tcPr>
          <w:p w14:paraId="582A5C78">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F2D0"/>
            <w:vAlign w:val="center"/>
          </w:tcPr>
          <w:p w14:paraId="4F16D892">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51</w:t>
            </w:r>
          </w:p>
        </w:tc>
        <w:tc>
          <w:tcPr>
            <w:tcW w:w="4376" w:type="pct"/>
            <w:tcBorders>
              <w:top w:val="nil"/>
              <w:left w:val="nil"/>
              <w:bottom w:val="nil"/>
              <w:right w:val="nil"/>
            </w:tcBorders>
            <w:shd w:val="clear" w:color="auto" w:fill="DAF2D0"/>
            <w:vAlign w:val="center"/>
          </w:tcPr>
          <w:p w14:paraId="2C948CE5">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能源计量数据与碳核算、CCUS项目计量数据脱节，无统一溯源、留存、核查标准。</w:t>
            </w:r>
          </w:p>
        </w:tc>
      </w:tr>
      <w:tr w14:paraId="795F0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43" w:type="pct"/>
            <w:vMerge w:val="continue"/>
            <w:tcBorders>
              <w:top w:val="nil"/>
              <w:left w:val="nil"/>
              <w:bottom w:val="nil"/>
              <w:right w:val="nil"/>
            </w:tcBorders>
            <w:shd w:val="clear" w:color="auto" w:fill="DAF2D0"/>
            <w:vAlign w:val="center"/>
          </w:tcPr>
          <w:p w14:paraId="782A3F5C">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F2D0"/>
            <w:vAlign w:val="center"/>
          </w:tcPr>
          <w:p w14:paraId="2AD699B6">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52</w:t>
            </w:r>
          </w:p>
        </w:tc>
        <w:tc>
          <w:tcPr>
            <w:tcW w:w="4376" w:type="pct"/>
            <w:tcBorders>
              <w:top w:val="nil"/>
              <w:left w:val="nil"/>
              <w:bottom w:val="nil"/>
              <w:right w:val="nil"/>
            </w:tcBorders>
            <w:shd w:val="clear" w:color="auto" w:fill="DAF2D0"/>
            <w:vAlign w:val="center"/>
          </w:tcPr>
          <w:p w14:paraId="57876B1C">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能源计量数据传输无加密管控，数据传输安全性、保密性无保障。建议5.数据传输要确保能源计量数据的传输过程符合安全加密要求，此条同步修改审查项。</w:t>
            </w:r>
          </w:p>
        </w:tc>
      </w:tr>
      <w:tr w14:paraId="4BBD5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DAF2D0"/>
            <w:vAlign w:val="center"/>
          </w:tcPr>
          <w:p w14:paraId="0BA635F5">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F2D0"/>
            <w:vAlign w:val="center"/>
          </w:tcPr>
          <w:p w14:paraId="022DC984">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53</w:t>
            </w:r>
          </w:p>
        </w:tc>
        <w:tc>
          <w:tcPr>
            <w:tcW w:w="4376" w:type="pct"/>
            <w:tcBorders>
              <w:top w:val="nil"/>
              <w:left w:val="nil"/>
              <w:bottom w:val="nil"/>
              <w:right w:val="nil"/>
            </w:tcBorders>
            <w:shd w:val="clear" w:color="auto" w:fill="DAF2D0"/>
            <w:vAlign w:val="center"/>
          </w:tcPr>
          <w:p w14:paraId="7603DC14">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数据自动化采集要求，如数采率高的作为加分项，鼓励加快数智化应用。</w:t>
            </w:r>
          </w:p>
        </w:tc>
      </w:tr>
      <w:tr w14:paraId="1F8E7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443" w:type="pct"/>
            <w:vMerge w:val="continue"/>
            <w:tcBorders>
              <w:top w:val="nil"/>
              <w:left w:val="nil"/>
              <w:bottom w:val="nil"/>
              <w:right w:val="nil"/>
            </w:tcBorders>
            <w:shd w:val="clear" w:color="auto" w:fill="DAF2D0"/>
            <w:vAlign w:val="center"/>
          </w:tcPr>
          <w:p w14:paraId="5473779F">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F2D0"/>
            <w:vAlign w:val="center"/>
          </w:tcPr>
          <w:p w14:paraId="6C2FBD20">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54</w:t>
            </w:r>
          </w:p>
        </w:tc>
        <w:tc>
          <w:tcPr>
            <w:tcW w:w="4376" w:type="pct"/>
            <w:tcBorders>
              <w:top w:val="nil"/>
              <w:left w:val="nil"/>
              <w:bottom w:val="nil"/>
              <w:right w:val="nil"/>
            </w:tcBorders>
            <w:shd w:val="clear" w:color="auto" w:fill="DAF2D0"/>
            <w:vAlign w:val="center"/>
          </w:tcPr>
          <w:p w14:paraId="045DB3FD">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火炬气、炼厂干气组分与热值数据未绑定记录，数据溯源性差，无标准化留存要求。 建议对于组分对热值影响较大的能源物质（如火炬气和炼厂干气），计量和组分检测应同时进行，并将数据做捆绑记录。 建议增加天然气的热值计量，可以考虑使用在线气相色谱分析仪。</w:t>
            </w:r>
          </w:p>
        </w:tc>
      </w:tr>
      <w:tr w14:paraId="3E210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443" w:type="pct"/>
            <w:vMerge w:val="continue"/>
            <w:tcBorders>
              <w:top w:val="nil"/>
              <w:left w:val="nil"/>
              <w:bottom w:val="nil"/>
              <w:right w:val="nil"/>
            </w:tcBorders>
            <w:shd w:val="clear" w:color="auto" w:fill="DAF2D0"/>
            <w:vAlign w:val="center"/>
          </w:tcPr>
          <w:p w14:paraId="2459B7BC">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F2D0"/>
            <w:vAlign w:val="center"/>
          </w:tcPr>
          <w:p w14:paraId="40B9F684">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55</w:t>
            </w:r>
          </w:p>
        </w:tc>
        <w:tc>
          <w:tcPr>
            <w:tcW w:w="4376" w:type="pct"/>
            <w:tcBorders>
              <w:top w:val="nil"/>
              <w:left w:val="nil"/>
              <w:bottom w:val="nil"/>
              <w:right w:val="nil"/>
            </w:tcBorders>
            <w:shd w:val="clear" w:color="auto" w:fill="DAF2D0"/>
            <w:vAlign w:val="center"/>
          </w:tcPr>
          <w:p w14:paraId="70FAABF9">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参照国家发展改革委、国家统计局《关于进一步做好原料用能不纳入能源消费总量控制有关工作的通知》（发改环资〔2022〕803号）等规定，细化原料用能、非原料用能计量的要求，明确审查范围。考虑非能产品作为燃料参与燃烧（如甲醇、合成氨等掺烧或直接燃烧）是否应纳入能源计量。</w:t>
            </w:r>
          </w:p>
        </w:tc>
      </w:tr>
      <w:tr w14:paraId="351EA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43" w:type="pct"/>
            <w:vMerge w:val="continue"/>
            <w:tcBorders>
              <w:top w:val="nil"/>
              <w:left w:val="nil"/>
              <w:bottom w:val="nil"/>
              <w:right w:val="nil"/>
            </w:tcBorders>
            <w:shd w:val="clear" w:color="auto" w:fill="DAF2D0"/>
            <w:vAlign w:val="center"/>
          </w:tcPr>
          <w:p w14:paraId="795BA4C8">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F2D0"/>
            <w:vAlign w:val="center"/>
          </w:tcPr>
          <w:p w14:paraId="56281B9F">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56</w:t>
            </w:r>
          </w:p>
        </w:tc>
        <w:tc>
          <w:tcPr>
            <w:tcW w:w="4376" w:type="pct"/>
            <w:tcBorders>
              <w:top w:val="nil"/>
              <w:left w:val="nil"/>
              <w:bottom w:val="nil"/>
              <w:right w:val="nil"/>
            </w:tcBorders>
            <w:shd w:val="clear" w:color="auto" w:fill="DAF2D0"/>
            <w:vAlign w:val="center"/>
          </w:tcPr>
          <w:p w14:paraId="61F59688">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对于组分对热值影响较大的能源物质（如火炬气和炼厂干气），计量和组分检测应同时进行，并将数据做捆绑记录。（能源管理的提升方向，对石油石化调研后再确定），建议配备在线气相色谱。</w:t>
            </w:r>
          </w:p>
        </w:tc>
      </w:tr>
      <w:tr w14:paraId="4B48F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DAF2D0"/>
            <w:vAlign w:val="center"/>
          </w:tcPr>
          <w:p w14:paraId="2C24F652">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F2D0"/>
            <w:vAlign w:val="center"/>
          </w:tcPr>
          <w:p w14:paraId="22EC8EA5">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57</w:t>
            </w:r>
          </w:p>
        </w:tc>
        <w:tc>
          <w:tcPr>
            <w:tcW w:w="4376" w:type="pct"/>
            <w:tcBorders>
              <w:top w:val="nil"/>
              <w:left w:val="nil"/>
              <w:bottom w:val="nil"/>
              <w:right w:val="nil"/>
            </w:tcBorders>
            <w:shd w:val="clear" w:color="auto" w:fill="DAF2D0"/>
            <w:vAlign w:val="center"/>
          </w:tcPr>
          <w:p w14:paraId="1163389A">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建议增加天然气的热值计量，可以考虑使用在线气相色谱分析仪。</w:t>
            </w:r>
          </w:p>
        </w:tc>
      </w:tr>
      <w:tr w14:paraId="50037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443" w:type="pct"/>
            <w:vMerge w:val="continue"/>
            <w:tcBorders>
              <w:top w:val="nil"/>
              <w:left w:val="nil"/>
              <w:bottom w:val="nil"/>
              <w:right w:val="nil"/>
            </w:tcBorders>
            <w:shd w:val="clear" w:color="auto" w:fill="DAF2D0"/>
            <w:vAlign w:val="center"/>
          </w:tcPr>
          <w:p w14:paraId="3B1054B2">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F2D0"/>
            <w:vAlign w:val="center"/>
          </w:tcPr>
          <w:p w14:paraId="46E800D7">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58</w:t>
            </w:r>
          </w:p>
        </w:tc>
        <w:tc>
          <w:tcPr>
            <w:tcW w:w="4376" w:type="pct"/>
            <w:tcBorders>
              <w:top w:val="nil"/>
              <w:left w:val="nil"/>
              <w:bottom w:val="nil"/>
              <w:right w:val="nil"/>
            </w:tcBorders>
            <w:shd w:val="clear" w:color="auto" w:fill="DAF2D0"/>
            <w:vAlign w:val="center"/>
          </w:tcPr>
          <w:p w14:paraId="2694CF21">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气液两相流、大口径介质、变组分工况对计量数据准确性、产品质量稳定性造成较大影响，无对应管控规则。</w:t>
            </w:r>
          </w:p>
        </w:tc>
      </w:tr>
      <w:tr w14:paraId="2E205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DAF2D0"/>
            <w:vAlign w:val="center"/>
          </w:tcPr>
          <w:p w14:paraId="29540A6B">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F2D0"/>
            <w:vAlign w:val="center"/>
          </w:tcPr>
          <w:p w14:paraId="1A6A7905">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59</w:t>
            </w:r>
          </w:p>
        </w:tc>
        <w:tc>
          <w:tcPr>
            <w:tcW w:w="4376" w:type="pct"/>
            <w:tcBorders>
              <w:top w:val="nil"/>
              <w:left w:val="nil"/>
              <w:bottom w:val="nil"/>
              <w:right w:val="nil"/>
            </w:tcBorders>
            <w:shd w:val="clear" w:color="auto" w:fill="DAF2D0"/>
            <w:vAlign w:val="center"/>
          </w:tcPr>
          <w:p w14:paraId="64A09D28">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天然气能量（热值）计量装置和分析设备要求不统一</w:t>
            </w:r>
          </w:p>
        </w:tc>
      </w:tr>
      <w:tr w14:paraId="71997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43" w:type="pct"/>
            <w:vMerge w:val="continue"/>
            <w:tcBorders>
              <w:top w:val="nil"/>
              <w:left w:val="nil"/>
              <w:bottom w:val="nil"/>
              <w:right w:val="nil"/>
            </w:tcBorders>
            <w:shd w:val="clear" w:color="auto" w:fill="DAF2D0"/>
            <w:vAlign w:val="center"/>
          </w:tcPr>
          <w:p w14:paraId="2A9C67DA">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F2D0"/>
            <w:vAlign w:val="center"/>
          </w:tcPr>
          <w:p w14:paraId="6FD08E28">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60</w:t>
            </w:r>
          </w:p>
        </w:tc>
        <w:tc>
          <w:tcPr>
            <w:tcW w:w="4376" w:type="pct"/>
            <w:tcBorders>
              <w:top w:val="nil"/>
              <w:left w:val="nil"/>
              <w:bottom w:val="nil"/>
              <w:right w:val="nil"/>
            </w:tcBorders>
            <w:shd w:val="clear" w:color="auto" w:fill="DAF2D0"/>
            <w:vAlign w:val="center"/>
          </w:tcPr>
          <w:p w14:paraId="178AE764">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燃料气、瓦斯气、火炬气组分变动频繁，在线校准误差超器具精度等级后，无标准化处置规则；需明确GB 17167-2025中在线校准、冷热水2.0级2%最大允许误差的落地要求。</w:t>
            </w:r>
          </w:p>
        </w:tc>
      </w:tr>
      <w:tr w14:paraId="5499A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43" w:type="pct"/>
            <w:vMerge w:val="continue"/>
            <w:tcBorders>
              <w:top w:val="nil"/>
              <w:left w:val="nil"/>
              <w:bottom w:val="nil"/>
              <w:right w:val="nil"/>
            </w:tcBorders>
            <w:shd w:val="clear" w:color="auto" w:fill="DAF2D0"/>
            <w:vAlign w:val="center"/>
          </w:tcPr>
          <w:p w14:paraId="67F28E20">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F2D0"/>
            <w:vAlign w:val="center"/>
          </w:tcPr>
          <w:p w14:paraId="3E15E994">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61</w:t>
            </w:r>
          </w:p>
        </w:tc>
        <w:tc>
          <w:tcPr>
            <w:tcW w:w="4376" w:type="pct"/>
            <w:tcBorders>
              <w:top w:val="nil"/>
              <w:left w:val="nil"/>
              <w:bottom w:val="nil"/>
              <w:right w:val="nil"/>
            </w:tcBorders>
            <w:shd w:val="clear" w:color="auto" w:fill="DAF2D0"/>
            <w:vAlign w:val="center"/>
          </w:tcPr>
          <w:p w14:paraId="759B7ACD">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蒸汽未设置温压补偿，天然气仅采用体积计量未开展热量计量，碳烧焦、烟气、火炬气碳排放相关计量数据溯源链条不完整，无放射性源计量设备无统一管控标准。</w:t>
            </w:r>
          </w:p>
        </w:tc>
      </w:tr>
      <w:tr w14:paraId="707FE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restart"/>
            <w:tcBorders>
              <w:top w:val="nil"/>
              <w:left w:val="nil"/>
              <w:bottom w:val="nil"/>
              <w:right w:val="nil"/>
            </w:tcBorders>
            <w:shd w:val="clear" w:color="auto" w:fill="DAE9F8"/>
            <w:vAlign w:val="center"/>
          </w:tcPr>
          <w:p w14:paraId="084C29AB">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第八章 能效监测管理</w:t>
            </w:r>
          </w:p>
        </w:tc>
        <w:tc>
          <w:tcPr>
            <w:tcW w:w="179" w:type="pct"/>
            <w:tcBorders>
              <w:top w:val="nil"/>
              <w:left w:val="nil"/>
              <w:bottom w:val="nil"/>
              <w:right w:val="nil"/>
            </w:tcBorders>
            <w:shd w:val="clear" w:color="auto" w:fill="DAE9F8"/>
            <w:vAlign w:val="center"/>
          </w:tcPr>
          <w:p w14:paraId="17050F70">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62</w:t>
            </w:r>
          </w:p>
        </w:tc>
        <w:tc>
          <w:tcPr>
            <w:tcW w:w="4376" w:type="pct"/>
            <w:tcBorders>
              <w:top w:val="nil"/>
              <w:left w:val="nil"/>
              <w:bottom w:val="nil"/>
              <w:right w:val="nil"/>
            </w:tcBorders>
            <w:shd w:val="clear" w:color="auto" w:fill="DAE9F8"/>
            <w:vAlign w:val="center"/>
          </w:tcPr>
          <w:p w14:paraId="79E14B5B">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装置能耗数据失衡问题频发，无常态化能效偏差监测、异常预警机制，能效评估失准。</w:t>
            </w:r>
          </w:p>
        </w:tc>
      </w:tr>
      <w:tr w14:paraId="61782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DAE9F8"/>
            <w:vAlign w:val="center"/>
          </w:tcPr>
          <w:p w14:paraId="02E4E3B2">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E9F8"/>
            <w:vAlign w:val="center"/>
          </w:tcPr>
          <w:p w14:paraId="312FF78E">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63</w:t>
            </w:r>
          </w:p>
        </w:tc>
        <w:tc>
          <w:tcPr>
            <w:tcW w:w="4376" w:type="pct"/>
            <w:tcBorders>
              <w:top w:val="nil"/>
              <w:left w:val="nil"/>
              <w:bottom w:val="nil"/>
              <w:right w:val="nil"/>
            </w:tcBorders>
            <w:shd w:val="clear" w:color="auto" w:fill="DAE9F8"/>
            <w:vAlign w:val="center"/>
          </w:tcPr>
          <w:p w14:paraId="25B61B19">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蒸汽系统仅监测质量流量，能量损耗无监测手段，能效监测维度单一、不全面。</w:t>
            </w:r>
          </w:p>
        </w:tc>
      </w:tr>
      <w:tr w14:paraId="689DF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DAE9F8"/>
            <w:vAlign w:val="center"/>
          </w:tcPr>
          <w:p w14:paraId="49E53542">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E9F8"/>
            <w:vAlign w:val="center"/>
          </w:tcPr>
          <w:p w14:paraId="5FA4585B">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64</w:t>
            </w:r>
          </w:p>
        </w:tc>
        <w:tc>
          <w:tcPr>
            <w:tcW w:w="4376" w:type="pct"/>
            <w:tcBorders>
              <w:top w:val="nil"/>
              <w:left w:val="nil"/>
              <w:bottom w:val="nil"/>
              <w:right w:val="nil"/>
            </w:tcBorders>
            <w:shd w:val="clear" w:color="auto" w:fill="DAE9F8"/>
            <w:vAlign w:val="center"/>
          </w:tcPr>
          <w:p w14:paraId="53C1CDC3">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能效监测仅停留在数据统计层面，未与生产优化、能耗效益、安全环保深度融合，应用价值低。</w:t>
            </w:r>
          </w:p>
        </w:tc>
      </w:tr>
      <w:tr w14:paraId="1C3E5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DAE9F8"/>
            <w:vAlign w:val="center"/>
          </w:tcPr>
          <w:p w14:paraId="4A96258B">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E9F8"/>
            <w:vAlign w:val="center"/>
          </w:tcPr>
          <w:p w14:paraId="5B6A11FD">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65</w:t>
            </w:r>
          </w:p>
        </w:tc>
        <w:tc>
          <w:tcPr>
            <w:tcW w:w="4376" w:type="pct"/>
            <w:tcBorders>
              <w:top w:val="nil"/>
              <w:left w:val="nil"/>
              <w:bottom w:val="nil"/>
              <w:right w:val="nil"/>
            </w:tcBorders>
            <w:shd w:val="clear" w:color="auto" w:fill="DAE9F8"/>
            <w:vAlign w:val="center"/>
          </w:tcPr>
          <w:p w14:paraId="41F2B44E">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特殊介质工况波动大，常规监测方式误差高，无法精准评估装置真实能效水平。</w:t>
            </w:r>
          </w:p>
        </w:tc>
      </w:tr>
      <w:tr w14:paraId="0B43E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DAE9F8"/>
            <w:vAlign w:val="center"/>
          </w:tcPr>
          <w:p w14:paraId="270372B5">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E9F8"/>
            <w:vAlign w:val="center"/>
          </w:tcPr>
          <w:p w14:paraId="4D3B3566">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66</w:t>
            </w:r>
          </w:p>
        </w:tc>
        <w:tc>
          <w:tcPr>
            <w:tcW w:w="4376" w:type="pct"/>
            <w:tcBorders>
              <w:top w:val="nil"/>
              <w:left w:val="nil"/>
              <w:bottom w:val="nil"/>
              <w:right w:val="nil"/>
            </w:tcBorders>
            <w:shd w:val="clear" w:color="auto" w:fill="DAE9F8"/>
            <w:vAlign w:val="center"/>
          </w:tcPr>
          <w:p w14:paraId="6EA99B93">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传统能效监测仅聚焦能耗指标，未联动双碳、碳效、CCUS项目，无法适配绿色低碳管控需求。</w:t>
            </w:r>
          </w:p>
        </w:tc>
      </w:tr>
      <w:tr w14:paraId="48DA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DAE9F8"/>
            <w:vAlign w:val="center"/>
          </w:tcPr>
          <w:p w14:paraId="5130A360">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E9F8"/>
            <w:vAlign w:val="center"/>
          </w:tcPr>
          <w:p w14:paraId="62926CD2">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67</w:t>
            </w:r>
          </w:p>
        </w:tc>
        <w:tc>
          <w:tcPr>
            <w:tcW w:w="4376" w:type="pct"/>
            <w:tcBorders>
              <w:top w:val="nil"/>
              <w:left w:val="nil"/>
              <w:bottom w:val="nil"/>
              <w:right w:val="nil"/>
            </w:tcBorders>
            <w:shd w:val="clear" w:color="auto" w:fill="DAE9F8"/>
            <w:vAlign w:val="center"/>
          </w:tcPr>
          <w:p w14:paraId="1B6F4FC6">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数据自动化采集要求，如数采率高的作为加分项，鼓励加快数智化应用。</w:t>
            </w:r>
          </w:p>
        </w:tc>
      </w:tr>
      <w:tr w14:paraId="4A57A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DAE9F8"/>
            <w:vAlign w:val="center"/>
          </w:tcPr>
          <w:p w14:paraId="5B39DCBD">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E9F8"/>
            <w:vAlign w:val="center"/>
          </w:tcPr>
          <w:p w14:paraId="40DC2990">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68</w:t>
            </w:r>
          </w:p>
        </w:tc>
        <w:tc>
          <w:tcPr>
            <w:tcW w:w="4376" w:type="pct"/>
            <w:tcBorders>
              <w:top w:val="nil"/>
              <w:left w:val="nil"/>
              <w:bottom w:val="nil"/>
              <w:right w:val="nil"/>
            </w:tcBorders>
            <w:shd w:val="clear" w:color="auto" w:fill="DAE9F8"/>
            <w:vAlign w:val="center"/>
          </w:tcPr>
          <w:p w14:paraId="4F5121BA">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能效监测缺乏大数据、AI智能分析能力，节能潜力挖掘、损耗溯源效率低下。</w:t>
            </w:r>
          </w:p>
        </w:tc>
      </w:tr>
      <w:tr w14:paraId="7AB6B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43" w:type="pct"/>
            <w:vMerge w:val="continue"/>
            <w:tcBorders>
              <w:top w:val="nil"/>
              <w:left w:val="nil"/>
              <w:bottom w:val="nil"/>
              <w:right w:val="nil"/>
            </w:tcBorders>
            <w:shd w:val="clear" w:color="auto" w:fill="DAE9F8"/>
            <w:vAlign w:val="center"/>
          </w:tcPr>
          <w:p w14:paraId="22BD5DE0">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E9F8"/>
            <w:vAlign w:val="center"/>
          </w:tcPr>
          <w:p w14:paraId="1D7C9733">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69</w:t>
            </w:r>
          </w:p>
        </w:tc>
        <w:tc>
          <w:tcPr>
            <w:tcW w:w="4376" w:type="pct"/>
            <w:tcBorders>
              <w:top w:val="nil"/>
              <w:left w:val="nil"/>
              <w:bottom w:val="nil"/>
              <w:right w:val="nil"/>
            </w:tcBorders>
            <w:shd w:val="clear" w:color="auto" w:fill="DAE9F8"/>
            <w:vAlign w:val="center"/>
          </w:tcPr>
          <w:p w14:paraId="04BFF608">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未明确炼油行业主要用能设备的能效管理要求，能效监测管理与炼油核心装置、高耗能设备的适配性不足，无专属能效监测管控规则。</w:t>
            </w:r>
          </w:p>
        </w:tc>
      </w:tr>
      <w:tr w14:paraId="1E115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3" w:type="pct"/>
            <w:vMerge w:val="continue"/>
            <w:tcBorders>
              <w:top w:val="nil"/>
              <w:left w:val="nil"/>
              <w:bottom w:val="nil"/>
              <w:right w:val="nil"/>
            </w:tcBorders>
            <w:shd w:val="clear" w:color="auto" w:fill="DAE9F8"/>
            <w:vAlign w:val="center"/>
          </w:tcPr>
          <w:p w14:paraId="6DEE861E">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E9F8"/>
            <w:vAlign w:val="center"/>
          </w:tcPr>
          <w:p w14:paraId="62FD9683">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70</w:t>
            </w:r>
          </w:p>
        </w:tc>
        <w:tc>
          <w:tcPr>
            <w:tcW w:w="4376" w:type="pct"/>
            <w:tcBorders>
              <w:top w:val="nil"/>
              <w:left w:val="nil"/>
              <w:bottom w:val="nil"/>
              <w:right w:val="nil"/>
            </w:tcBorders>
            <w:shd w:val="clear" w:color="auto" w:fill="DAE9F8"/>
            <w:vAlign w:val="center"/>
          </w:tcPr>
          <w:p w14:paraId="47FECF92">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支持未来石化企业逐步实现碳计量、大数据模型、AI及数智化转型，为能源管理提供智能化和高效的解决方案。</w:t>
            </w:r>
          </w:p>
        </w:tc>
      </w:tr>
      <w:tr w14:paraId="0EB14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DAE9F8"/>
            <w:vAlign w:val="center"/>
          </w:tcPr>
          <w:p w14:paraId="43F04025">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E9F8"/>
            <w:vAlign w:val="center"/>
          </w:tcPr>
          <w:p w14:paraId="1F392BF5">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71</w:t>
            </w:r>
          </w:p>
        </w:tc>
        <w:tc>
          <w:tcPr>
            <w:tcW w:w="4376" w:type="pct"/>
            <w:tcBorders>
              <w:top w:val="nil"/>
              <w:left w:val="nil"/>
              <w:bottom w:val="nil"/>
              <w:right w:val="nil"/>
            </w:tcBorders>
            <w:shd w:val="clear" w:color="auto" w:fill="DAE9F8"/>
            <w:vAlign w:val="center"/>
          </w:tcPr>
          <w:p w14:paraId="09366145">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炼油主要用能设备能效管理如何体现</w:t>
            </w:r>
          </w:p>
        </w:tc>
      </w:tr>
      <w:tr w14:paraId="27C8F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restart"/>
            <w:tcBorders>
              <w:top w:val="nil"/>
              <w:left w:val="nil"/>
              <w:bottom w:val="nil"/>
              <w:right w:val="nil"/>
            </w:tcBorders>
            <w:shd w:val="clear" w:color="auto" w:fill="F2F2F2"/>
            <w:vAlign w:val="center"/>
          </w:tcPr>
          <w:p w14:paraId="14D8C972">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第九章 能源计量审查</w:t>
            </w:r>
          </w:p>
        </w:tc>
        <w:tc>
          <w:tcPr>
            <w:tcW w:w="179" w:type="pct"/>
            <w:tcBorders>
              <w:top w:val="nil"/>
              <w:left w:val="nil"/>
              <w:bottom w:val="nil"/>
              <w:right w:val="nil"/>
            </w:tcBorders>
            <w:shd w:val="clear" w:color="auto" w:fill="F2F2F2"/>
            <w:vAlign w:val="center"/>
          </w:tcPr>
          <w:p w14:paraId="7D1BB17E">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72</w:t>
            </w:r>
          </w:p>
        </w:tc>
        <w:tc>
          <w:tcPr>
            <w:tcW w:w="4376" w:type="pct"/>
            <w:tcBorders>
              <w:top w:val="nil"/>
              <w:left w:val="nil"/>
              <w:bottom w:val="nil"/>
              <w:right w:val="nil"/>
            </w:tcBorders>
            <w:shd w:val="clear" w:color="auto" w:fill="F2F2F2"/>
            <w:vAlign w:val="center"/>
          </w:tcPr>
          <w:p w14:paraId="68A916E3">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原有审查条款通用化严重，未针对炼化高耗能装置、特殊工况设置专属审查细则。</w:t>
            </w:r>
          </w:p>
        </w:tc>
      </w:tr>
      <w:tr w14:paraId="2C76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F2F2F2"/>
            <w:vAlign w:val="center"/>
          </w:tcPr>
          <w:p w14:paraId="57047C12">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F2F2F2"/>
            <w:vAlign w:val="center"/>
          </w:tcPr>
          <w:p w14:paraId="248246F1">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73</w:t>
            </w:r>
          </w:p>
        </w:tc>
        <w:tc>
          <w:tcPr>
            <w:tcW w:w="4376" w:type="pct"/>
            <w:tcBorders>
              <w:top w:val="nil"/>
              <w:left w:val="nil"/>
              <w:bottom w:val="nil"/>
              <w:right w:val="nil"/>
            </w:tcBorders>
            <w:shd w:val="clear" w:color="auto" w:fill="F2F2F2"/>
            <w:vAlign w:val="center"/>
          </w:tcPr>
          <w:p w14:paraId="7D357F56">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审查框架笼统，无石化专属审查模块，与通用规范审查内容同质化。</w:t>
            </w:r>
          </w:p>
        </w:tc>
      </w:tr>
      <w:tr w14:paraId="1B0C7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F2F2F2"/>
            <w:vAlign w:val="center"/>
          </w:tcPr>
          <w:p w14:paraId="1AF541F9">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F2F2F2"/>
            <w:vAlign w:val="center"/>
          </w:tcPr>
          <w:p w14:paraId="79A17004">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74</w:t>
            </w:r>
          </w:p>
        </w:tc>
        <w:tc>
          <w:tcPr>
            <w:tcW w:w="4376" w:type="pct"/>
            <w:tcBorders>
              <w:top w:val="nil"/>
              <w:left w:val="nil"/>
              <w:bottom w:val="nil"/>
              <w:right w:val="nil"/>
            </w:tcBorders>
            <w:shd w:val="clear" w:color="auto" w:fill="F2F2F2"/>
            <w:vAlign w:val="center"/>
          </w:tcPr>
          <w:p w14:paraId="528FE80F">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特殊工况、不可停机设备无合规审查判定依据，现场审查存在盲区、争议点多。</w:t>
            </w:r>
          </w:p>
        </w:tc>
      </w:tr>
      <w:tr w14:paraId="01B56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F2F2F2"/>
            <w:vAlign w:val="center"/>
          </w:tcPr>
          <w:p w14:paraId="0F66B5E5">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F2F2F2"/>
            <w:vAlign w:val="center"/>
          </w:tcPr>
          <w:p w14:paraId="643981C5">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75</w:t>
            </w:r>
          </w:p>
        </w:tc>
        <w:tc>
          <w:tcPr>
            <w:tcW w:w="4376" w:type="pct"/>
            <w:tcBorders>
              <w:top w:val="nil"/>
              <w:left w:val="nil"/>
              <w:bottom w:val="nil"/>
              <w:right w:val="nil"/>
            </w:tcBorders>
            <w:shd w:val="clear" w:color="auto" w:fill="F2F2F2"/>
            <w:vAlign w:val="center"/>
          </w:tcPr>
          <w:p w14:paraId="0AF16AEE">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节流式流量计、积算设备等核心在线器具，无线上核查、校准的审查依据，现场审查无抓手。</w:t>
            </w:r>
          </w:p>
        </w:tc>
      </w:tr>
      <w:tr w14:paraId="15C21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443" w:type="pct"/>
            <w:vMerge w:val="continue"/>
            <w:tcBorders>
              <w:top w:val="nil"/>
              <w:left w:val="nil"/>
              <w:bottom w:val="nil"/>
              <w:right w:val="nil"/>
            </w:tcBorders>
            <w:shd w:val="clear" w:color="auto" w:fill="F2F2F2"/>
            <w:vAlign w:val="center"/>
          </w:tcPr>
          <w:p w14:paraId="446386BE">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F2F2F2"/>
            <w:vAlign w:val="center"/>
          </w:tcPr>
          <w:p w14:paraId="797007EE">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76</w:t>
            </w:r>
          </w:p>
        </w:tc>
        <w:tc>
          <w:tcPr>
            <w:tcW w:w="4376" w:type="pct"/>
            <w:tcBorders>
              <w:top w:val="nil"/>
              <w:left w:val="nil"/>
              <w:bottom w:val="nil"/>
              <w:right w:val="nil"/>
            </w:tcBorders>
            <w:shd w:val="clear" w:color="auto" w:fill="F2F2F2"/>
            <w:vAlign w:val="center"/>
          </w:tcPr>
          <w:p w14:paraId="68F38213">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审查流程未设置安全、保密、回避机制，审查规范性、公正性不足。建议对审查组专家提出要求：审查组成员必须签署保密协议，确保审查中的所有敏感信息不外泄；审查组成员要遵循回避原则，避免利益冲突，确保审查过程的公正性。</w:t>
            </w:r>
          </w:p>
        </w:tc>
      </w:tr>
      <w:tr w14:paraId="70078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43" w:type="pct"/>
            <w:vMerge w:val="continue"/>
            <w:tcBorders>
              <w:top w:val="nil"/>
              <w:left w:val="nil"/>
              <w:bottom w:val="nil"/>
              <w:right w:val="nil"/>
            </w:tcBorders>
            <w:shd w:val="clear" w:color="auto" w:fill="F2F2F2"/>
            <w:vAlign w:val="center"/>
          </w:tcPr>
          <w:p w14:paraId="6F7488B8">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F2F2F2"/>
            <w:vAlign w:val="center"/>
          </w:tcPr>
          <w:p w14:paraId="2D74D0D4">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77</w:t>
            </w:r>
          </w:p>
        </w:tc>
        <w:tc>
          <w:tcPr>
            <w:tcW w:w="4376" w:type="pct"/>
            <w:tcBorders>
              <w:top w:val="nil"/>
              <w:left w:val="nil"/>
              <w:bottom w:val="nil"/>
              <w:right w:val="nil"/>
            </w:tcBorders>
            <w:shd w:val="clear" w:color="auto" w:fill="F2F2F2"/>
            <w:vAlign w:val="center"/>
          </w:tcPr>
          <w:p w14:paraId="4EE0C8D8">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能源计量审查结论的能力要素及分值设置未体现炼油企业与通用通则的差异化要求，未覆盖主要用能设备能效监测等核心审查内容。</w:t>
            </w:r>
          </w:p>
        </w:tc>
      </w:tr>
      <w:tr w14:paraId="79991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F2F2F2"/>
            <w:vAlign w:val="center"/>
          </w:tcPr>
          <w:p w14:paraId="0DB8CD71">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F2F2F2"/>
            <w:vAlign w:val="center"/>
          </w:tcPr>
          <w:p w14:paraId="2FCFDE0B">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78</w:t>
            </w:r>
          </w:p>
        </w:tc>
        <w:tc>
          <w:tcPr>
            <w:tcW w:w="4376" w:type="pct"/>
            <w:tcBorders>
              <w:top w:val="nil"/>
              <w:left w:val="nil"/>
              <w:bottom w:val="nil"/>
              <w:right w:val="nil"/>
            </w:tcBorders>
            <w:shd w:val="clear" w:color="auto" w:fill="F2F2F2"/>
            <w:vAlign w:val="center"/>
          </w:tcPr>
          <w:p w14:paraId="09DDC8F5">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炼化装置具备4-5年长检修周期，离线送检无法常态化开展，现有审查规则未适配检修周期溯源模式。</w:t>
            </w:r>
          </w:p>
        </w:tc>
      </w:tr>
      <w:tr w14:paraId="65E2B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F2F2F2"/>
            <w:vAlign w:val="center"/>
          </w:tcPr>
          <w:p w14:paraId="5FE95974">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F2F2F2"/>
            <w:vAlign w:val="center"/>
          </w:tcPr>
          <w:p w14:paraId="53F26132">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79</w:t>
            </w:r>
          </w:p>
        </w:tc>
        <w:tc>
          <w:tcPr>
            <w:tcW w:w="4376" w:type="pct"/>
            <w:tcBorders>
              <w:top w:val="nil"/>
              <w:left w:val="nil"/>
              <w:bottom w:val="nil"/>
              <w:right w:val="nil"/>
            </w:tcBorders>
            <w:shd w:val="clear" w:color="auto" w:fill="F2F2F2"/>
            <w:vAlign w:val="center"/>
          </w:tcPr>
          <w:p w14:paraId="605EAFE5">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炼油企业能力评价与通则的差异。其中主要用能设备的能效监测等</w:t>
            </w:r>
          </w:p>
        </w:tc>
      </w:tr>
      <w:tr w14:paraId="54E68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restart"/>
            <w:tcBorders>
              <w:top w:val="nil"/>
              <w:left w:val="nil"/>
              <w:bottom w:val="nil"/>
              <w:right w:val="nil"/>
            </w:tcBorders>
            <w:shd w:val="clear" w:color="auto" w:fill="DAF2D0"/>
            <w:vAlign w:val="center"/>
          </w:tcPr>
          <w:p w14:paraId="1EA9DF43">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第十章 能源计量评价</w:t>
            </w:r>
          </w:p>
        </w:tc>
        <w:tc>
          <w:tcPr>
            <w:tcW w:w="179" w:type="pct"/>
            <w:tcBorders>
              <w:top w:val="nil"/>
              <w:left w:val="nil"/>
              <w:bottom w:val="nil"/>
              <w:right w:val="nil"/>
            </w:tcBorders>
            <w:shd w:val="clear" w:color="auto" w:fill="DAF2D0"/>
            <w:vAlign w:val="center"/>
          </w:tcPr>
          <w:p w14:paraId="7AA4BEEC">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80</w:t>
            </w:r>
          </w:p>
        </w:tc>
        <w:tc>
          <w:tcPr>
            <w:tcW w:w="4376" w:type="pct"/>
            <w:tcBorders>
              <w:top w:val="nil"/>
              <w:left w:val="nil"/>
              <w:bottom w:val="nil"/>
              <w:right w:val="nil"/>
            </w:tcBorders>
            <w:shd w:val="clear" w:color="auto" w:fill="DAF2D0"/>
            <w:vAlign w:val="center"/>
          </w:tcPr>
          <w:p w14:paraId="38060F7C">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计量评价仅考核基础器具管理，未涵盖智能化、数字化建设，无正向激励导向。</w:t>
            </w:r>
          </w:p>
        </w:tc>
      </w:tr>
      <w:tr w14:paraId="5B652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DAF2D0"/>
            <w:vAlign w:val="center"/>
          </w:tcPr>
          <w:p w14:paraId="7EEC7C5A">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F2D0"/>
            <w:vAlign w:val="center"/>
          </w:tcPr>
          <w:p w14:paraId="1F9EFAED">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81</w:t>
            </w:r>
          </w:p>
        </w:tc>
        <w:tc>
          <w:tcPr>
            <w:tcW w:w="4376" w:type="pct"/>
            <w:tcBorders>
              <w:top w:val="nil"/>
              <w:left w:val="nil"/>
              <w:bottom w:val="nil"/>
              <w:right w:val="nil"/>
            </w:tcBorders>
            <w:shd w:val="clear" w:color="auto" w:fill="DAF2D0"/>
            <w:vAlign w:val="center"/>
          </w:tcPr>
          <w:p w14:paraId="1D884F13">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建议区分企业规模、设备能耗等级，评价结果不贴合现场实际。</w:t>
            </w:r>
          </w:p>
        </w:tc>
      </w:tr>
      <w:tr w14:paraId="1E1EE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DAF2D0"/>
            <w:vAlign w:val="center"/>
          </w:tcPr>
          <w:p w14:paraId="6B1DD89F">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F2D0"/>
            <w:vAlign w:val="center"/>
          </w:tcPr>
          <w:p w14:paraId="554E3AFC">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82</w:t>
            </w:r>
          </w:p>
        </w:tc>
        <w:tc>
          <w:tcPr>
            <w:tcW w:w="4376" w:type="pct"/>
            <w:tcBorders>
              <w:top w:val="nil"/>
              <w:left w:val="nil"/>
              <w:bottom w:val="nil"/>
              <w:right w:val="nil"/>
            </w:tcBorders>
            <w:shd w:val="clear" w:color="auto" w:fill="DAF2D0"/>
            <w:vAlign w:val="center"/>
          </w:tcPr>
          <w:p w14:paraId="1D0F03BF">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无通用标准与行业标准差异化评价细则，标准套用混乱导致评价结果不统一。</w:t>
            </w:r>
          </w:p>
        </w:tc>
      </w:tr>
      <w:tr w14:paraId="6F17A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3" w:type="pct"/>
            <w:vMerge w:val="continue"/>
            <w:tcBorders>
              <w:top w:val="nil"/>
              <w:left w:val="nil"/>
              <w:bottom w:val="nil"/>
              <w:right w:val="nil"/>
            </w:tcBorders>
            <w:shd w:val="clear" w:color="auto" w:fill="DAF2D0"/>
            <w:vAlign w:val="center"/>
          </w:tcPr>
          <w:p w14:paraId="6FF18656">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F2D0"/>
            <w:vAlign w:val="center"/>
          </w:tcPr>
          <w:p w14:paraId="65160C8D">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83</w:t>
            </w:r>
          </w:p>
        </w:tc>
        <w:tc>
          <w:tcPr>
            <w:tcW w:w="4376" w:type="pct"/>
            <w:tcBorders>
              <w:top w:val="nil"/>
              <w:left w:val="nil"/>
              <w:bottom w:val="nil"/>
              <w:right w:val="nil"/>
            </w:tcBorders>
            <w:shd w:val="clear" w:color="auto" w:fill="DAF2D0"/>
            <w:vAlign w:val="center"/>
          </w:tcPr>
          <w:p w14:paraId="51648D88">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计量评价仅考核基础管理，未关联能效提升、节能增效、碳效管控，评价维度单一。</w:t>
            </w:r>
          </w:p>
        </w:tc>
      </w:tr>
      <w:tr w14:paraId="336EA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43" w:type="pct"/>
            <w:vMerge w:val="continue"/>
            <w:tcBorders>
              <w:top w:val="nil"/>
              <w:left w:val="nil"/>
              <w:bottom w:val="nil"/>
              <w:right w:val="nil"/>
            </w:tcBorders>
            <w:shd w:val="clear" w:color="auto" w:fill="DAF2D0"/>
            <w:vAlign w:val="center"/>
          </w:tcPr>
          <w:p w14:paraId="52984088">
            <w:pPr>
              <w:jc w:val="center"/>
              <w:rPr>
                <w:rFonts w:hint="default" w:ascii="Times New Roman" w:hAnsi="Times New Roman" w:eastAsia="微软雅黑" w:cs="Times New Roman"/>
                <w:i w:val="0"/>
                <w:iCs w:val="0"/>
                <w:color w:val="000000"/>
                <w:sz w:val="18"/>
                <w:szCs w:val="18"/>
                <w:highlight w:val="none"/>
                <w:u w:val="none"/>
              </w:rPr>
            </w:pPr>
          </w:p>
        </w:tc>
        <w:tc>
          <w:tcPr>
            <w:tcW w:w="179" w:type="pct"/>
            <w:tcBorders>
              <w:top w:val="nil"/>
              <w:left w:val="nil"/>
              <w:bottom w:val="nil"/>
              <w:right w:val="nil"/>
            </w:tcBorders>
            <w:shd w:val="clear" w:color="auto" w:fill="DAF2D0"/>
            <w:vAlign w:val="center"/>
          </w:tcPr>
          <w:p w14:paraId="4EF2A535">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84</w:t>
            </w:r>
          </w:p>
        </w:tc>
        <w:tc>
          <w:tcPr>
            <w:tcW w:w="4376" w:type="pct"/>
            <w:tcBorders>
              <w:top w:val="nil"/>
              <w:left w:val="nil"/>
              <w:bottom w:val="nil"/>
              <w:right w:val="nil"/>
            </w:tcBorders>
            <w:shd w:val="clear" w:color="auto" w:fill="DAF2D0"/>
            <w:vAlign w:val="center"/>
          </w:tcPr>
          <w:p w14:paraId="2DFAAA3C">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鼓励在设计阶段就将计量器具的安装考虑进去，确保关键能源的精准计量和管理。放在鼓励加分项。</w:t>
            </w:r>
          </w:p>
        </w:tc>
      </w:tr>
      <w:tr w14:paraId="1728D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43" w:type="pct"/>
            <w:tcBorders>
              <w:top w:val="nil"/>
              <w:left w:val="nil"/>
              <w:bottom w:val="nil"/>
              <w:right w:val="nil"/>
            </w:tcBorders>
            <w:shd w:val="clear" w:color="auto" w:fill="DAE9F8"/>
            <w:vAlign w:val="center"/>
          </w:tcPr>
          <w:p w14:paraId="48559018">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附录</w:t>
            </w:r>
          </w:p>
        </w:tc>
        <w:tc>
          <w:tcPr>
            <w:tcW w:w="179" w:type="pct"/>
            <w:tcBorders>
              <w:top w:val="nil"/>
              <w:left w:val="nil"/>
              <w:bottom w:val="nil"/>
              <w:right w:val="nil"/>
            </w:tcBorders>
            <w:shd w:val="clear" w:color="auto" w:fill="DAE9F8"/>
            <w:vAlign w:val="center"/>
          </w:tcPr>
          <w:p w14:paraId="3256C087">
            <w:pPr>
              <w:keepNext w:val="0"/>
              <w:keepLines w:val="0"/>
              <w:widowControl/>
              <w:suppressLineNumbers w:val="0"/>
              <w:jc w:val="center"/>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85</w:t>
            </w:r>
          </w:p>
        </w:tc>
        <w:tc>
          <w:tcPr>
            <w:tcW w:w="4376" w:type="pct"/>
            <w:tcBorders>
              <w:top w:val="nil"/>
              <w:left w:val="nil"/>
              <w:bottom w:val="nil"/>
              <w:right w:val="nil"/>
            </w:tcBorders>
            <w:shd w:val="clear" w:color="auto" w:fill="DAE9F8"/>
            <w:vAlign w:val="center"/>
          </w:tcPr>
          <w:p w14:paraId="45C78801">
            <w:pPr>
              <w:keepNext w:val="0"/>
              <w:keepLines w:val="0"/>
              <w:widowControl/>
              <w:suppressLineNumbers w:val="0"/>
              <w:jc w:val="left"/>
              <w:textAlignment w:val="center"/>
              <w:rPr>
                <w:rFonts w:hint="default" w:ascii="Times New Roman" w:hAnsi="Times New Roman" w:eastAsia="微软雅黑" w:cs="Times New Roman"/>
                <w:i w:val="0"/>
                <w:iCs w:val="0"/>
                <w:color w:val="000000"/>
                <w:sz w:val="18"/>
                <w:szCs w:val="18"/>
                <w:highlight w:val="none"/>
                <w:u w:val="none"/>
              </w:rPr>
            </w:pPr>
            <w:r>
              <w:rPr>
                <w:rFonts w:hint="default" w:ascii="Times New Roman" w:hAnsi="Times New Roman" w:eastAsia="微软雅黑" w:cs="Times New Roman"/>
                <w:i w:val="0"/>
                <w:iCs w:val="0"/>
                <w:color w:val="000000"/>
                <w:kern w:val="0"/>
                <w:sz w:val="18"/>
                <w:szCs w:val="18"/>
                <w:highlight w:val="none"/>
                <w:u w:val="none"/>
                <w:lang w:val="en-US" w:eastAsia="zh-CN" w:bidi="ar"/>
              </w:rPr>
              <w:t>除了附录A,未给出与JJF 1356，GB 17167，GB/T 20901等相比的差异点，且附录A也在相应的强制性国家标准和推荐性国家标准中有规定。</w:t>
            </w:r>
          </w:p>
        </w:tc>
      </w:tr>
    </w:tbl>
    <w:p w14:paraId="69AF2121">
      <w:pPr>
        <w:rPr>
          <w:rFonts w:hint="default" w:ascii="Times New Roman" w:eastAsia="仿宋"/>
          <w:bCs/>
          <w:color w:val="auto"/>
          <w:spacing w:val="-11"/>
          <w:szCs w:val="32"/>
          <w:highlight w:val="none"/>
          <w:lang w:val="en-US" w:eastAsia="zh-CN"/>
        </w:rPr>
      </w:pPr>
      <w:r>
        <w:rPr>
          <w:rFonts w:hint="default" w:ascii="Times New Roman" w:eastAsia="仿宋"/>
          <w:bCs/>
          <w:color w:val="auto"/>
          <w:spacing w:val="-11"/>
          <w:szCs w:val="32"/>
          <w:highlight w:val="none"/>
          <w:lang w:val="en-US" w:eastAsia="zh-CN"/>
        </w:rPr>
        <w:br w:type="page"/>
      </w:r>
    </w:p>
    <w:p w14:paraId="79151AB9">
      <w:pPr>
        <w:keepNext w:val="0"/>
        <w:keepLines w:val="0"/>
        <w:pageBreakBefore w:val="0"/>
        <w:widowControl w:val="0"/>
        <w:kinsoku/>
        <w:wordWrap/>
        <w:overflowPunct/>
        <w:topLinePunct w:val="0"/>
        <w:autoSpaceDE/>
        <w:autoSpaceDN/>
        <w:bidi w:val="0"/>
        <w:adjustRightInd/>
        <w:snapToGrid/>
        <w:spacing w:before="313" w:beforeLines="100" w:after="313" w:afterLines="100"/>
        <w:jc w:val="left"/>
        <w:textAlignment w:val="auto"/>
        <w:rPr>
          <w:rFonts w:hint="eastAsia" w:ascii="Times New Roman" w:eastAsia="仿宋"/>
          <w:b/>
          <w:bCs w:val="0"/>
          <w:color w:val="auto"/>
          <w:spacing w:val="-11"/>
          <w:szCs w:val="32"/>
          <w:highlight w:val="none"/>
          <w:lang w:val="en-US" w:eastAsia="zh-CN"/>
        </w:rPr>
      </w:pPr>
      <w:r>
        <w:rPr>
          <w:rFonts w:hint="eastAsia" w:ascii="Times New Roman" w:eastAsia="仿宋"/>
          <w:b/>
          <w:bCs w:val="0"/>
          <w:color w:val="auto"/>
          <w:spacing w:val="-11"/>
          <w:szCs w:val="32"/>
          <w:highlight w:val="none"/>
          <w:lang w:val="en-US" w:eastAsia="zh-CN"/>
        </w:rPr>
        <w:t>附录2</w:t>
      </w:r>
    </w:p>
    <w:p w14:paraId="4863BACA">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Times New Roman" w:eastAsia="仿宋"/>
          <w:b/>
          <w:bCs w:val="0"/>
          <w:color w:val="auto"/>
          <w:spacing w:val="-11"/>
          <w:szCs w:val="32"/>
          <w:highlight w:val="none"/>
          <w:lang w:val="en-US" w:eastAsia="zh-CN"/>
        </w:rPr>
      </w:pPr>
      <w:r>
        <w:rPr>
          <w:rFonts w:hint="eastAsia" w:ascii="Times New Roman" w:eastAsia="仿宋"/>
          <w:b/>
          <w:bCs w:val="0"/>
          <w:color w:val="auto"/>
          <w:spacing w:val="-11"/>
          <w:szCs w:val="32"/>
          <w:highlight w:val="none"/>
          <w:lang w:val="en-US" w:eastAsia="zh-CN"/>
        </w:rPr>
        <w:t>表2 内部研讨阶段意见收集情况汇总表</w:t>
      </w:r>
    </w:p>
    <w:tbl>
      <w:tblPr>
        <w:tblStyle w:val="7"/>
        <w:tblW w:w="46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4"/>
        <w:gridCol w:w="2021"/>
        <w:gridCol w:w="639"/>
        <w:gridCol w:w="9603"/>
      </w:tblGrid>
      <w:tr w14:paraId="45361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92" w:type="pct"/>
            <w:tcBorders>
              <w:top w:val="nil"/>
              <w:left w:val="nil"/>
              <w:bottom w:val="nil"/>
              <w:right w:val="nil"/>
            </w:tcBorders>
            <w:shd w:val="clear" w:color="auto" w:fill="5B9BD5"/>
            <w:vAlign w:val="center"/>
          </w:tcPr>
          <w:p w14:paraId="15123A9E">
            <w:pPr>
              <w:keepNext w:val="0"/>
              <w:keepLines w:val="0"/>
              <w:widowControl/>
              <w:suppressLineNumbers w:val="0"/>
              <w:tabs>
                <w:tab w:val="left" w:pos="4611"/>
              </w:tabs>
              <w:jc w:val="left"/>
              <w:textAlignment w:val="auto"/>
              <w:rPr>
                <w:rFonts w:hint="eastAsia" w:ascii="微软雅黑" w:hAnsi="微软雅黑" w:eastAsia="微软雅黑" w:cs="微软雅黑"/>
                <w:b/>
                <w:bCs/>
                <w:i w:val="0"/>
                <w:iCs w:val="0"/>
                <w:color w:val="FFFFFF"/>
                <w:sz w:val="18"/>
                <w:szCs w:val="18"/>
                <w:highlight w:val="none"/>
                <w:u w:val="none"/>
              </w:rPr>
            </w:pPr>
            <w:r>
              <w:rPr>
                <w:rFonts w:hint="eastAsia" w:ascii="微软雅黑" w:hAnsi="微软雅黑" w:eastAsia="微软雅黑" w:cs="微软雅黑"/>
                <w:b/>
                <w:bCs/>
                <w:i w:val="0"/>
                <w:iCs w:val="0"/>
                <w:color w:val="FFFFFF"/>
                <w:kern w:val="0"/>
                <w:sz w:val="18"/>
                <w:szCs w:val="18"/>
                <w:highlight w:val="none"/>
                <w:u w:val="none"/>
                <w:lang w:val="en-US" w:eastAsia="zh-CN" w:bidi="ar"/>
              </w:rPr>
              <w:t>专家</w:t>
            </w:r>
            <w:bookmarkStart w:id="0" w:name="_GoBack"/>
            <w:bookmarkEnd w:id="0"/>
          </w:p>
        </w:tc>
        <w:tc>
          <w:tcPr>
            <w:tcW w:w="759" w:type="pct"/>
            <w:tcBorders>
              <w:top w:val="nil"/>
              <w:left w:val="nil"/>
              <w:bottom w:val="nil"/>
              <w:right w:val="nil"/>
            </w:tcBorders>
            <w:shd w:val="clear" w:color="auto" w:fill="5B9BD5"/>
            <w:vAlign w:val="center"/>
          </w:tcPr>
          <w:p w14:paraId="26A13DC2">
            <w:pPr>
              <w:keepNext w:val="0"/>
              <w:keepLines w:val="0"/>
              <w:widowControl/>
              <w:suppressLineNumbers w:val="0"/>
              <w:tabs>
                <w:tab w:val="left" w:pos="4611"/>
              </w:tabs>
              <w:jc w:val="left"/>
              <w:textAlignment w:val="auto"/>
              <w:rPr>
                <w:rFonts w:hint="eastAsia" w:ascii="微软雅黑" w:hAnsi="微软雅黑" w:eastAsia="微软雅黑" w:cs="微软雅黑"/>
                <w:b/>
                <w:bCs/>
                <w:i w:val="0"/>
                <w:iCs w:val="0"/>
                <w:color w:val="FFFFFF"/>
                <w:sz w:val="18"/>
                <w:szCs w:val="18"/>
                <w:highlight w:val="none"/>
                <w:u w:val="none"/>
              </w:rPr>
            </w:pPr>
            <w:r>
              <w:rPr>
                <w:rFonts w:hint="eastAsia" w:ascii="微软雅黑" w:hAnsi="微软雅黑" w:eastAsia="微软雅黑" w:cs="微软雅黑"/>
                <w:b/>
                <w:bCs/>
                <w:i w:val="0"/>
                <w:iCs w:val="0"/>
                <w:color w:val="FFFFFF"/>
                <w:kern w:val="0"/>
                <w:sz w:val="18"/>
                <w:szCs w:val="18"/>
                <w:highlight w:val="none"/>
                <w:u w:val="none"/>
                <w:lang w:val="en-US" w:eastAsia="zh-CN" w:bidi="ar"/>
              </w:rPr>
              <w:t>问题归属</w:t>
            </w:r>
          </w:p>
        </w:tc>
        <w:tc>
          <w:tcPr>
            <w:tcW w:w="240" w:type="pct"/>
            <w:tcBorders>
              <w:top w:val="nil"/>
              <w:left w:val="nil"/>
              <w:bottom w:val="nil"/>
              <w:right w:val="nil"/>
            </w:tcBorders>
            <w:shd w:val="clear" w:color="auto" w:fill="5B9BD5"/>
            <w:vAlign w:val="center"/>
          </w:tcPr>
          <w:p w14:paraId="5774D5B1">
            <w:pPr>
              <w:keepNext w:val="0"/>
              <w:keepLines w:val="0"/>
              <w:widowControl/>
              <w:suppressLineNumbers w:val="0"/>
              <w:tabs>
                <w:tab w:val="left" w:pos="4611"/>
              </w:tabs>
              <w:jc w:val="left"/>
              <w:textAlignment w:val="auto"/>
              <w:rPr>
                <w:rFonts w:hint="eastAsia" w:ascii="微软雅黑" w:hAnsi="微软雅黑" w:eastAsia="微软雅黑" w:cs="微软雅黑"/>
                <w:b/>
                <w:bCs/>
                <w:i w:val="0"/>
                <w:iCs w:val="0"/>
                <w:color w:val="FFFFFF"/>
                <w:sz w:val="18"/>
                <w:szCs w:val="18"/>
                <w:highlight w:val="none"/>
                <w:u w:val="none"/>
              </w:rPr>
            </w:pPr>
            <w:r>
              <w:rPr>
                <w:rFonts w:hint="eastAsia" w:ascii="微软雅黑" w:hAnsi="微软雅黑" w:eastAsia="微软雅黑" w:cs="微软雅黑"/>
                <w:b/>
                <w:bCs/>
                <w:i w:val="0"/>
                <w:iCs w:val="0"/>
                <w:color w:val="FFFFFF"/>
                <w:kern w:val="0"/>
                <w:sz w:val="18"/>
                <w:szCs w:val="18"/>
                <w:highlight w:val="none"/>
                <w:u w:val="none"/>
                <w:lang w:val="en-US" w:eastAsia="zh-CN" w:bidi="ar"/>
              </w:rPr>
              <w:t>序号</w:t>
            </w:r>
          </w:p>
        </w:tc>
        <w:tc>
          <w:tcPr>
            <w:tcW w:w="3607" w:type="pct"/>
            <w:tcBorders>
              <w:top w:val="nil"/>
              <w:left w:val="nil"/>
              <w:bottom w:val="nil"/>
              <w:right w:val="nil"/>
            </w:tcBorders>
            <w:shd w:val="clear" w:color="auto" w:fill="5B9BD5"/>
            <w:vAlign w:val="center"/>
          </w:tcPr>
          <w:p w14:paraId="6A9DB677">
            <w:pPr>
              <w:keepNext w:val="0"/>
              <w:keepLines w:val="0"/>
              <w:widowControl/>
              <w:suppressLineNumbers w:val="0"/>
              <w:tabs>
                <w:tab w:val="left" w:pos="4611"/>
              </w:tabs>
              <w:jc w:val="left"/>
              <w:textAlignment w:val="auto"/>
              <w:rPr>
                <w:rFonts w:hint="eastAsia" w:ascii="微软雅黑" w:hAnsi="微软雅黑" w:eastAsia="微软雅黑" w:cs="微软雅黑"/>
                <w:b/>
                <w:bCs/>
                <w:i w:val="0"/>
                <w:iCs w:val="0"/>
                <w:color w:val="FFFFFF"/>
                <w:sz w:val="18"/>
                <w:szCs w:val="18"/>
                <w:highlight w:val="none"/>
                <w:u w:val="none"/>
              </w:rPr>
            </w:pPr>
            <w:r>
              <w:rPr>
                <w:rFonts w:hint="eastAsia" w:ascii="微软雅黑" w:hAnsi="微软雅黑" w:eastAsia="微软雅黑" w:cs="微软雅黑"/>
                <w:b/>
                <w:bCs/>
                <w:i w:val="0"/>
                <w:iCs w:val="0"/>
                <w:color w:val="FFFFFF"/>
                <w:kern w:val="0"/>
                <w:sz w:val="18"/>
                <w:szCs w:val="18"/>
                <w:highlight w:val="none"/>
                <w:u w:val="none"/>
                <w:lang w:val="en-US" w:eastAsia="zh-CN" w:bidi="ar"/>
              </w:rPr>
              <w:t>具体意见</w:t>
            </w:r>
          </w:p>
        </w:tc>
      </w:tr>
      <w:tr w14:paraId="57B6C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restart"/>
            <w:tcBorders>
              <w:top w:val="nil"/>
              <w:left w:val="nil"/>
              <w:right w:val="nil"/>
            </w:tcBorders>
            <w:shd w:val="clear" w:color="auto" w:fill="DAF2D0"/>
            <w:noWrap/>
            <w:vAlign w:val="center"/>
          </w:tcPr>
          <w:p w14:paraId="10063087">
            <w:pPr>
              <w:keepNext w:val="0"/>
              <w:keepLines w:val="0"/>
              <w:widowControl/>
              <w:suppressLineNumbers w:val="0"/>
              <w:spacing w:line="240" w:lineRule="atLeast"/>
              <w:jc w:val="left"/>
              <w:textAlignment w:val="center"/>
              <w:rPr>
                <w:rFonts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专家1</w:t>
            </w:r>
          </w:p>
        </w:tc>
        <w:tc>
          <w:tcPr>
            <w:tcW w:w="759" w:type="pct"/>
            <w:vMerge w:val="restart"/>
            <w:tcBorders>
              <w:top w:val="nil"/>
              <w:left w:val="nil"/>
              <w:bottom w:val="nil"/>
              <w:right w:val="nil"/>
            </w:tcBorders>
            <w:shd w:val="clear" w:color="auto" w:fill="DAF2D0"/>
            <w:vAlign w:val="center"/>
          </w:tcPr>
          <w:p w14:paraId="2EA447DB">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标准名称和范围</w:t>
            </w:r>
          </w:p>
        </w:tc>
        <w:tc>
          <w:tcPr>
            <w:tcW w:w="240" w:type="pct"/>
            <w:tcBorders>
              <w:top w:val="nil"/>
              <w:left w:val="nil"/>
              <w:bottom w:val="nil"/>
              <w:right w:val="nil"/>
            </w:tcBorders>
            <w:shd w:val="clear" w:color="auto" w:fill="DAF2D0"/>
            <w:vAlign w:val="center"/>
          </w:tcPr>
          <w:p w14:paraId="3D7814AF">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w:t>
            </w:r>
          </w:p>
        </w:tc>
        <w:tc>
          <w:tcPr>
            <w:tcW w:w="3607" w:type="pct"/>
            <w:tcBorders>
              <w:top w:val="nil"/>
              <w:left w:val="nil"/>
              <w:bottom w:val="nil"/>
              <w:right w:val="nil"/>
            </w:tcBorders>
            <w:shd w:val="clear" w:color="auto" w:fill="DAF2D0"/>
            <w:vAlign w:val="center"/>
          </w:tcPr>
          <w:p w14:paraId="06ECFB07">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不建议使用“石油化工”作为标题，容易混淆到上游勘探开发板块。</w:t>
            </w:r>
          </w:p>
        </w:tc>
      </w:tr>
      <w:tr w14:paraId="34953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379DCD87">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76C4C7C3">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407F5332">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w:t>
            </w:r>
          </w:p>
        </w:tc>
        <w:tc>
          <w:tcPr>
            <w:tcW w:w="3607" w:type="pct"/>
            <w:tcBorders>
              <w:top w:val="nil"/>
              <w:left w:val="nil"/>
              <w:bottom w:val="nil"/>
              <w:right w:val="nil"/>
            </w:tcBorders>
            <w:shd w:val="clear" w:color="auto" w:fill="DAF2D0"/>
            <w:vAlign w:val="center"/>
          </w:tcPr>
          <w:p w14:paraId="66C67E3E">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建议聚焦下游，名称和范围界定为“炼油化工”更清晰。</w:t>
            </w:r>
          </w:p>
        </w:tc>
      </w:tr>
      <w:tr w14:paraId="75A4D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6A760045">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2F222200">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60DBCBF4">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3</w:t>
            </w:r>
          </w:p>
        </w:tc>
        <w:tc>
          <w:tcPr>
            <w:tcW w:w="3607" w:type="pct"/>
            <w:tcBorders>
              <w:top w:val="nil"/>
              <w:left w:val="nil"/>
              <w:bottom w:val="nil"/>
              <w:right w:val="nil"/>
            </w:tcBorders>
            <w:shd w:val="clear" w:color="auto" w:fill="DAF2D0"/>
            <w:vAlign w:val="center"/>
          </w:tcPr>
          <w:p w14:paraId="31669F09">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不建议把勘探、管道运输等内容补充进本规范，上游领域可参照总则。</w:t>
            </w:r>
          </w:p>
        </w:tc>
      </w:tr>
      <w:tr w14:paraId="674DB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1509D67E">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1A7F4D9E">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1A8865CD">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4</w:t>
            </w:r>
          </w:p>
        </w:tc>
        <w:tc>
          <w:tcPr>
            <w:tcW w:w="3607" w:type="pct"/>
            <w:tcBorders>
              <w:top w:val="nil"/>
              <w:left w:val="nil"/>
              <w:bottom w:val="nil"/>
              <w:right w:val="nil"/>
            </w:tcBorders>
            <w:shd w:val="clear" w:color="auto" w:fill="DAF2D0"/>
            <w:vAlign w:val="center"/>
          </w:tcPr>
          <w:p w14:paraId="272B1388">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范围部分应简洁，不宜写“参考使用”等扩展性表述。计量种类等内容不宜放在“范围”里，建议放到正文或一般要求中。</w:t>
            </w:r>
          </w:p>
        </w:tc>
      </w:tr>
      <w:tr w14:paraId="7225E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6BF57A96">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6FF938C5">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5E7883A3">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5</w:t>
            </w:r>
          </w:p>
        </w:tc>
        <w:tc>
          <w:tcPr>
            <w:tcW w:w="3607" w:type="pct"/>
            <w:tcBorders>
              <w:top w:val="nil"/>
              <w:left w:val="nil"/>
              <w:bottom w:val="nil"/>
              <w:right w:val="nil"/>
            </w:tcBorders>
            <w:shd w:val="clear" w:color="auto" w:fill="DAF2D0"/>
            <w:vAlign w:val="center"/>
          </w:tcPr>
          <w:p w14:paraId="226168DE">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计量种类等内容不宜放在“范围”里，建议放到正文或一般要求中。</w:t>
            </w:r>
          </w:p>
        </w:tc>
      </w:tr>
      <w:tr w14:paraId="2668E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442EFCAD">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F2D0"/>
            <w:vAlign w:val="center"/>
          </w:tcPr>
          <w:p w14:paraId="2F1A46A0">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第三方评价和能力评级</w:t>
            </w:r>
          </w:p>
        </w:tc>
        <w:tc>
          <w:tcPr>
            <w:tcW w:w="240" w:type="pct"/>
            <w:tcBorders>
              <w:top w:val="nil"/>
              <w:left w:val="nil"/>
              <w:bottom w:val="nil"/>
              <w:right w:val="nil"/>
            </w:tcBorders>
            <w:shd w:val="clear" w:color="auto" w:fill="DAF2D0"/>
            <w:vAlign w:val="center"/>
          </w:tcPr>
          <w:p w14:paraId="5C0C1618">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6</w:t>
            </w:r>
          </w:p>
        </w:tc>
        <w:tc>
          <w:tcPr>
            <w:tcW w:w="3607" w:type="pct"/>
            <w:tcBorders>
              <w:top w:val="nil"/>
              <w:left w:val="nil"/>
              <w:bottom w:val="nil"/>
              <w:right w:val="nil"/>
            </w:tcBorders>
            <w:shd w:val="clear" w:color="auto" w:fill="DAF2D0"/>
            <w:vAlign w:val="center"/>
          </w:tcPr>
          <w:p w14:paraId="4780150E">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不建议在审查规范中设置评价体系或能力等级评级。</w:t>
            </w:r>
          </w:p>
        </w:tc>
      </w:tr>
      <w:tr w14:paraId="51678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3D313E4B">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3B07FF90">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05E6181D">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7</w:t>
            </w:r>
          </w:p>
        </w:tc>
        <w:tc>
          <w:tcPr>
            <w:tcW w:w="3607" w:type="pct"/>
            <w:tcBorders>
              <w:top w:val="nil"/>
              <w:left w:val="nil"/>
              <w:bottom w:val="nil"/>
              <w:right w:val="nil"/>
            </w:tcBorders>
            <w:shd w:val="clear" w:color="auto" w:fill="DAF2D0"/>
            <w:vAlign w:val="center"/>
          </w:tcPr>
          <w:p w14:paraId="633F99CE">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评价结果谁认可、用于什么目的不清楚，不宜写入规范。</w:t>
            </w:r>
          </w:p>
        </w:tc>
      </w:tr>
      <w:tr w14:paraId="13BDC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1E2AA478">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5A0441F9">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13505E13">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8</w:t>
            </w:r>
          </w:p>
        </w:tc>
        <w:tc>
          <w:tcPr>
            <w:tcW w:w="3607" w:type="pct"/>
            <w:tcBorders>
              <w:top w:val="nil"/>
              <w:left w:val="nil"/>
              <w:bottom w:val="nil"/>
              <w:right w:val="nil"/>
            </w:tcBorders>
            <w:shd w:val="clear" w:color="auto" w:fill="DAF2D0"/>
            <w:vAlign w:val="center"/>
          </w:tcPr>
          <w:p w14:paraId="1DD814F6">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能源计量审查应聚焦“审查”，不要扩展到额外评价。</w:t>
            </w:r>
          </w:p>
        </w:tc>
      </w:tr>
      <w:tr w14:paraId="5EDD8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619FBDC4">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F2D0"/>
            <w:vAlign w:val="center"/>
          </w:tcPr>
          <w:p w14:paraId="62651D91">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碳计量内容</w:t>
            </w:r>
          </w:p>
        </w:tc>
        <w:tc>
          <w:tcPr>
            <w:tcW w:w="240" w:type="pct"/>
            <w:tcBorders>
              <w:top w:val="nil"/>
              <w:left w:val="nil"/>
              <w:bottom w:val="nil"/>
              <w:right w:val="nil"/>
            </w:tcBorders>
            <w:shd w:val="clear" w:color="auto" w:fill="DAF2D0"/>
            <w:vAlign w:val="center"/>
          </w:tcPr>
          <w:p w14:paraId="6892D838">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9</w:t>
            </w:r>
          </w:p>
        </w:tc>
        <w:tc>
          <w:tcPr>
            <w:tcW w:w="3607" w:type="pct"/>
            <w:tcBorders>
              <w:top w:val="nil"/>
              <w:left w:val="nil"/>
              <w:bottom w:val="nil"/>
              <w:right w:val="nil"/>
            </w:tcBorders>
            <w:shd w:val="clear" w:color="auto" w:fill="DAF2D0"/>
            <w:vAlign w:val="center"/>
          </w:tcPr>
          <w:p w14:paraId="1FADC83F">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目前已有专门的碳计量审查规范，能源计量审查规范中再写碳计量内容不合适。</w:t>
            </w:r>
          </w:p>
        </w:tc>
      </w:tr>
      <w:tr w14:paraId="1F8DC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3D7CC1E6">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75679108">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48E62727">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sz w:val="18"/>
                <w:szCs w:val="18"/>
                <w:highlight w:val="none"/>
                <w:u w:val="none"/>
                <w:lang w:val="en-US"/>
              </w:rPr>
            </w:pPr>
            <w:r>
              <w:rPr>
                <w:rFonts w:hint="eastAsia" w:ascii="微软雅黑" w:hAnsi="微软雅黑" w:eastAsia="微软雅黑" w:cs="微软雅黑"/>
                <w:i w:val="0"/>
                <w:iCs w:val="0"/>
                <w:color w:val="000000"/>
                <w:kern w:val="0"/>
                <w:sz w:val="18"/>
                <w:szCs w:val="18"/>
                <w:highlight w:val="none"/>
                <w:u w:val="none"/>
                <w:lang w:val="en-US" w:eastAsia="zh-CN" w:bidi="ar"/>
              </w:rPr>
              <w:t>10</w:t>
            </w:r>
          </w:p>
        </w:tc>
        <w:tc>
          <w:tcPr>
            <w:tcW w:w="3607" w:type="pct"/>
            <w:tcBorders>
              <w:top w:val="nil"/>
              <w:left w:val="nil"/>
              <w:bottom w:val="nil"/>
              <w:right w:val="nil"/>
            </w:tcBorders>
            <w:shd w:val="clear" w:color="auto" w:fill="DAF2D0"/>
            <w:vAlign w:val="center"/>
          </w:tcPr>
          <w:p w14:paraId="6632D176">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建议能源计量规范聚焦能源计量本身。</w:t>
            </w:r>
          </w:p>
        </w:tc>
      </w:tr>
      <w:tr w14:paraId="2E1F5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33FE075A">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F2D0"/>
            <w:vAlign w:val="center"/>
          </w:tcPr>
          <w:p w14:paraId="71C20F49">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术语定义</w:t>
            </w:r>
          </w:p>
        </w:tc>
        <w:tc>
          <w:tcPr>
            <w:tcW w:w="240" w:type="pct"/>
            <w:tcBorders>
              <w:top w:val="nil"/>
              <w:left w:val="nil"/>
              <w:bottom w:val="nil"/>
              <w:right w:val="nil"/>
            </w:tcBorders>
            <w:shd w:val="clear" w:color="auto" w:fill="DAF2D0"/>
            <w:vAlign w:val="center"/>
          </w:tcPr>
          <w:p w14:paraId="0C245B6E">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sz w:val="18"/>
                <w:szCs w:val="18"/>
                <w:highlight w:val="none"/>
                <w:u w:val="none"/>
                <w:lang w:val="en-US"/>
              </w:rPr>
            </w:pPr>
            <w:r>
              <w:rPr>
                <w:rFonts w:hint="eastAsia" w:ascii="微软雅黑" w:hAnsi="微软雅黑" w:eastAsia="微软雅黑" w:cs="微软雅黑"/>
                <w:i w:val="0"/>
                <w:iCs w:val="0"/>
                <w:color w:val="000000"/>
                <w:kern w:val="0"/>
                <w:sz w:val="18"/>
                <w:szCs w:val="18"/>
                <w:highlight w:val="none"/>
                <w:u w:val="none"/>
                <w:lang w:val="en-US" w:eastAsia="zh-CN" w:bidi="ar"/>
              </w:rPr>
              <w:t>11</w:t>
            </w:r>
          </w:p>
        </w:tc>
        <w:tc>
          <w:tcPr>
            <w:tcW w:w="3607" w:type="pct"/>
            <w:tcBorders>
              <w:top w:val="nil"/>
              <w:left w:val="nil"/>
              <w:bottom w:val="nil"/>
              <w:right w:val="nil"/>
            </w:tcBorders>
            <w:shd w:val="clear" w:color="auto" w:fill="DAF2D0"/>
            <w:vAlign w:val="center"/>
          </w:tcPr>
          <w:p w14:paraId="46D0DA0F">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不建议新增过多自定义术语。规范中可直接参考20901中“用能单位”“次级用能单位”等定义。</w:t>
            </w:r>
          </w:p>
        </w:tc>
      </w:tr>
      <w:tr w14:paraId="3FDF5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2DD48EE8">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1F84D6BE">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6A491BAF">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12</w:t>
            </w:r>
          </w:p>
        </w:tc>
        <w:tc>
          <w:tcPr>
            <w:tcW w:w="3607" w:type="pct"/>
            <w:tcBorders>
              <w:top w:val="nil"/>
              <w:left w:val="nil"/>
              <w:bottom w:val="nil"/>
              <w:right w:val="nil"/>
            </w:tcBorders>
            <w:shd w:val="clear" w:color="auto" w:fill="DAF2D0"/>
            <w:vAlign w:val="center"/>
          </w:tcPr>
          <w:p w14:paraId="5765619C">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相比“主要用能设备”，更建议使用“基本用能单元”，更符合企业实际运行管理。</w:t>
            </w:r>
          </w:p>
        </w:tc>
      </w:tr>
      <w:tr w14:paraId="44514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25BD1B1C">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F2D0"/>
            <w:vAlign w:val="center"/>
          </w:tcPr>
          <w:p w14:paraId="0BA46DF4">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人员资质与培训</w:t>
            </w:r>
          </w:p>
        </w:tc>
        <w:tc>
          <w:tcPr>
            <w:tcW w:w="240" w:type="pct"/>
            <w:tcBorders>
              <w:top w:val="nil"/>
              <w:left w:val="nil"/>
              <w:bottom w:val="nil"/>
              <w:right w:val="nil"/>
            </w:tcBorders>
            <w:shd w:val="clear" w:color="auto" w:fill="DAF2D0"/>
            <w:vAlign w:val="center"/>
          </w:tcPr>
          <w:p w14:paraId="6FA345E2">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sz w:val="18"/>
                <w:szCs w:val="18"/>
                <w:highlight w:val="none"/>
                <w:u w:val="none"/>
                <w:lang w:val="en-US"/>
              </w:rPr>
            </w:pPr>
            <w:r>
              <w:rPr>
                <w:rFonts w:hint="eastAsia" w:ascii="微软雅黑" w:hAnsi="微软雅黑" w:eastAsia="微软雅黑" w:cs="微软雅黑"/>
                <w:i w:val="0"/>
                <w:iCs w:val="0"/>
                <w:color w:val="000000"/>
                <w:kern w:val="0"/>
                <w:sz w:val="18"/>
                <w:szCs w:val="18"/>
                <w:highlight w:val="none"/>
                <w:u w:val="none"/>
                <w:lang w:val="en-US" w:eastAsia="zh-CN" w:bidi="ar"/>
              </w:rPr>
              <w:t>13</w:t>
            </w:r>
          </w:p>
        </w:tc>
        <w:tc>
          <w:tcPr>
            <w:tcW w:w="3607" w:type="pct"/>
            <w:tcBorders>
              <w:top w:val="nil"/>
              <w:left w:val="nil"/>
              <w:bottom w:val="nil"/>
              <w:right w:val="nil"/>
            </w:tcBorders>
            <w:shd w:val="clear" w:color="auto" w:fill="DAF2D0"/>
            <w:vAlign w:val="center"/>
          </w:tcPr>
          <w:p w14:paraId="046EC13F">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“注册计量师”主要对应计量器具检定、校准和量值溯源，不应作为企业能源计量管理人员的普遍要求。</w:t>
            </w:r>
          </w:p>
        </w:tc>
      </w:tr>
      <w:tr w14:paraId="2529B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4E98970C">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0FD57DA1">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5C3A72C1">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sz w:val="18"/>
                <w:szCs w:val="18"/>
                <w:highlight w:val="none"/>
                <w:u w:val="none"/>
                <w:lang w:val="en-US"/>
              </w:rPr>
            </w:pPr>
            <w:r>
              <w:rPr>
                <w:rFonts w:hint="eastAsia" w:ascii="微软雅黑" w:hAnsi="微软雅黑" w:eastAsia="微软雅黑" w:cs="微软雅黑"/>
                <w:i w:val="0"/>
                <w:iCs w:val="0"/>
                <w:color w:val="000000"/>
                <w:kern w:val="0"/>
                <w:sz w:val="18"/>
                <w:szCs w:val="18"/>
                <w:highlight w:val="none"/>
                <w:u w:val="none"/>
                <w:lang w:val="en-US" w:eastAsia="zh-CN" w:bidi="ar"/>
              </w:rPr>
              <w:t>14</w:t>
            </w:r>
          </w:p>
        </w:tc>
        <w:tc>
          <w:tcPr>
            <w:tcW w:w="3607" w:type="pct"/>
            <w:tcBorders>
              <w:top w:val="nil"/>
              <w:left w:val="nil"/>
              <w:bottom w:val="nil"/>
              <w:right w:val="nil"/>
            </w:tcBorders>
            <w:shd w:val="clear" w:color="auto" w:fill="DAF2D0"/>
            <w:vAlign w:val="center"/>
          </w:tcPr>
          <w:p w14:paraId="6F28E16E">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建议采用17167中新版“专业人员”的表述，更符合企业实际。</w:t>
            </w:r>
          </w:p>
        </w:tc>
      </w:tr>
      <w:tr w14:paraId="773E9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3EE1D4F0">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56F6D8B5">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2B8ED7FA">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sz w:val="18"/>
                <w:szCs w:val="18"/>
                <w:highlight w:val="none"/>
                <w:u w:val="none"/>
                <w:lang w:val="en-US"/>
              </w:rPr>
            </w:pPr>
            <w:r>
              <w:rPr>
                <w:rFonts w:hint="eastAsia" w:ascii="微软雅黑" w:hAnsi="微软雅黑" w:eastAsia="微软雅黑" w:cs="微软雅黑"/>
                <w:i w:val="0"/>
                <w:iCs w:val="0"/>
                <w:color w:val="000000"/>
                <w:kern w:val="0"/>
                <w:sz w:val="18"/>
                <w:szCs w:val="18"/>
                <w:highlight w:val="none"/>
                <w:u w:val="none"/>
                <w:lang w:val="en-US" w:eastAsia="zh-CN" w:bidi="ar"/>
              </w:rPr>
              <w:t>15</w:t>
            </w:r>
          </w:p>
        </w:tc>
        <w:tc>
          <w:tcPr>
            <w:tcW w:w="3607" w:type="pct"/>
            <w:tcBorders>
              <w:top w:val="nil"/>
              <w:left w:val="nil"/>
              <w:bottom w:val="nil"/>
              <w:right w:val="nil"/>
            </w:tcBorders>
            <w:shd w:val="clear" w:color="auto" w:fill="DAF2D0"/>
            <w:vAlign w:val="center"/>
          </w:tcPr>
          <w:p w14:paraId="4C106451">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“定期接受能源计量专业知识培训”已能覆盖培训要求，不必再细化培训内容。</w:t>
            </w:r>
          </w:p>
        </w:tc>
      </w:tr>
      <w:tr w14:paraId="2BEE5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440C1E8F">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F2D0"/>
            <w:vAlign w:val="center"/>
          </w:tcPr>
          <w:p w14:paraId="7CB1BD10">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台账管理</w:t>
            </w:r>
          </w:p>
        </w:tc>
        <w:tc>
          <w:tcPr>
            <w:tcW w:w="240" w:type="pct"/>
            <w:tcBorders>
              <w:top w:val="nil"/>
              <w:left w:val="nil"/>
              <w:bottom w:val="nil"/>
              <w:right w:val="nil"/>
            </w:tcBorders>
            <w:shd w:val="clear" w:color="auto" w:fill="DAF2D0"/>
            <w:vAlign w:val="center"/>
          </w:tcPr>
          <w:p w14:paraId="3C4FF0AF">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sz w:val="18"/>
                <w:szCs w:val="18"/>
                <w:highlight w:val="none"/>
                <w:u w:val="none"/>
                <w:lang w:val="en-US"/>
              </w:rPr>
            </w:pPr>
            <w:r>
              <w:rPr>
                <w:rFonts w:hint="eastAsia" w:ascii="微软雅黑" w:hAnsi="微软雅黑" w:eastAsia="微软雅黑" w:cs="微软雅黑"/>
                <w:i w:val="0"/>
                <w:iCs w:val="0"/>
                <w:color w:val="000000"/>
                <w:kern w:val="0"/>
                <w:sz w:val="18"/>
                <w:szCs w:val="18"/>
                <w:highlight w:val="none"/>
                <w:u w:val="none"/>
                <w:lang w:val="en-US" w:eastAsia="zh-CN" w:bidi="ar"/>
              </w:rPr>
              <w:t>16</w:t>
            </w:r>
          </w:p>
        </w:tc>
        <w:tc>
          <w:tcPr>
            <w:tcW w:w="3607" w:type="pct"/>
            <w:tcBorders>
              <w:top w:val="nil"/>
              <w:left w:val="nil"/>
              <w:bottom w:val="nil"/>
              <w:right w:val="nil"/>
            </w:tcBorders>
            <w:shd w:val="clear" w:color="auto" w:fill="DAF2D0"/>
            <w:vAlign w:val="center"/>
          </w:tcPr>
          <w:p w14:paraId="1F13E244">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正文中台账要求应简化，具体台账格式可放入附录。</w:t>
            </w:r>
          </w:p>
        </w:tc>
      </w:tr>
      <w:tr w14:paraId="7BC50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4746D1BB">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333CB497">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0D0BA27D">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sz w:val="18"/>
                <w:szCs w:val="18"/>
                <w:highlight w:val="none"/>
                <w:u w:val="none"/>
                <w:lang w:val="en-US"/>
              </w:rPr>
            </w:pPr>
            <w:r>
              <w:rPr>
                <w:rFonts w:hint="eastAsia" w:ascii="微软雅黑" w:hAnsi="微软雅黑" w:eastAsia="微软雅黑" w:cs="微软雅黑"/>
                <w:i w:val="0"/>
                <w:iCs w:val="0"/>
                <w:color w:val="000000"/>
                <w:kern w:val="0"/>
                <w:sz w:val="18"/>
                <w:szCs w:val="18"/>
                <w:highlight w:val="none"/>
                <w:u w:val="none"/>
                <w:lang w:val="en-US" w:eastAsia="zh-CN" w:bidi="ar"/>
              </w:rPr>
              <w:t>17</w:t>
            </w:r>
          </w:p>
        </w:tc>
        <w:tc>
          <w:tcPr>
            <w:tcW w:w="3607" w:type="pct"/>
            <w:tcBorders>
              <w:top w:val="nil"/>
              <w:left w:val="nil"/>
              <w:bottom w:val="nil"/>
              <w:right w:val="nil"/>
            </w:tcBorders>
            <w:shd w:val="clear" w:color="auto" w:fill="DAF2D0"/>
            <w:vAlign w:val="center"/>
          </w:tcPr>
          <w:p w14:paraId="01BF6D5F">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建议表述为：能源计量器具管理台账应满足用能单位、次级用能单位、基本用能单元的分级分类管理要求。</w:t>
            </w:r>
          </w:p>
        </w:tc>
      </w:tr>
      <w:tr w14:paraId="72175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2ED0F511">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4BF0167F">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08EC4B0C">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18</w:t>
            </w:r>
          </w:p>
        </w:tc>
        <w:tc>
          <w:tcPr>
            <w:tcW w:w="3607" w:type="pct"/>
            <w:tcBorders>
              <w:top w:val="nil"/>
              <w:left w:val="nil"/>
              <w:bottom w:val="nil"/>
              <w:right w:val="nil"/>
            </w:tcBorders>
            <w:shd w:val="clear" w:color="auto" w:fill="DAF2D0"/>
            <w:vAlign w:val="center"/>
          </w:tcPr>
          <w:p w14:paraId="6ADAD1DE">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器具状态可写“在用、封存、停用等”，避免列举过死。</w:t>
            </w:r>
          </w:p>
        </w:tc>
      </w:tr>
      <w:tr w14:paraId="67F9B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4AB4AD0D">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F2D0"/>
            <w:vAlign w:val="center"/>
          </w:tcPr>
          <w:p w14:paraId="71B95B98">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特殊工况和计量溯源</w:t>
            </w:r>
          </w:p>
        </w:tc>
        <w:tc>
          <w:tcPr>
            <w:tcW w:w="240" w:type="pct"/>
            <w:tcBorders>
              <w:top w:val="nil"/>
              <w:left w:val="nil"/>
              <w:bottom w:val="nil"/>
              <w:right w:val="nil"/>
            </w:tcBorders>
            <w:shd w:val="clear" w:color="auto" w:fill="DAF2D0"/>
            <w:vAlign w:val="center"/>
          </w:tcPr>
          <w:p w14:paraId="22B3FDA9">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19</w:t>
            </w:r>
          </w:p>
        </w:tc>
        <w:tc>
          <w:tcPr>
            <w:tcW w:w="3607" w:type="pct"/>
            <w:tcBorders>
              <w:top w:val="nil"/>
              <w:left w:val="nil"/>
              <w:bottom w:val="nil"/>
              <w:right w:val="nil"/>
            </w:tcBorders>
            <w:shd w:val="clear" w:color="auto" w:fill="DAF2D0"/>
            <w:vAlign w:val="center"/>
          </w:tcPr>
          <w:p w14:paraId="6A4A86E5">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复杂工况、不可拆卸、大口径、地下管网等不宜过度穷举。</w:t>
            </w:r>
          </w:p>
        </w:tc>
      </w:tr>
      <w:tr w14:paraId="46BC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41BDB13C">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10E0FB0F">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0C36F7EB">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20</w:t>
            </w:r>
          </w:p>
        </w:tc>
        <w:tc>
          <w:tcPr>
            <w:tcW w:w="3607" w:type="pct"/>
            <w:tcBorders>
              <w:top w:val="nil"/>
              <w:left w:val="nil"/>
              <w:bottom w:val="nil"/>
              <w:right w:val="nil"/>
            </w:tcBorders>
            <w:shd w:val="clear" w:color="auto" w:fill="DAF2D0"/>
            <w:vAlign w:val="center"/>
          </w:tcPr>
          <w:p w14:paraId="0D7D00A9">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对无法实现准确实测的场景，可留出核算、比对等替代方式。</w:t>
            </w:r>
          </w:p>
        </w:tc>
      </w:tr>
      <w:tr w14:paraId="3B631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5013A242">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32CB0441">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778D5146">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21</w:t>
            </w:r>
          </w:p>
        </w:tc>
        <w:tc>
          <w:tcPr>
            <w:tcW w:w="3607" w:type="pct"/>
            <w:tcBorders>
              <w:top w:val="nil"/>
              <w:left w:val="nil"/>
              <w:bottom w:val="nil"/>
              <w:right w:val="nil"/>
            </w:tcBorders>
            <w:shd w:val="clear" w:color="auto" w:fill="DAF2D0"/>
            <w:vAlign w:val="center"/>
          </w:tcPr>
          <w:p w14:paraId="6A4B3791">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6.3.5与6.3.2存在重复，建议合并或删除。</w:t>
            </w:r>
          </w:p>
        </w:tc>
      </w:tr>
      <w:tr w14:paraId="6B6A9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7828764A">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F2D0"/>
            <w:vAlign w:val="center"/>
          </w:tcPr>
          <w:p w14:paraId="653CD2F1">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计量器具配备和精度</w:t>
            </w:r>
          </w:p>
        </w:tc>
        <w:tc>
          <w:tcPr>
            <w:tcW w:w="240" w:type="pct"/>
            <w:tcBorders>
              <w:top w:val="nil"/>
              <w:left w:val="nil"/>
              <w:bottom w:val="nil"/>
              <w:right w:val="nil"/>
            </w:tcBorders>
            <w:shd w:val="clear" w:color="auto" w:fill="DAF2D0"/>
            <w:vAlign w:val="center"/>
          </w:tcPr>
          <w:p w14:paraId="523FCF6D">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22</w:t>
            </w:r>
          </w:p>
        </w:tc>
        <w:tc>
          <w:tcPr>
            <w:tcW w:w="3607" w:type="pct"/>
            <w:tcBorders>
              <w:top w:val="nil"/>
              <w:left w:val="nil"/>
              <w:bottom w:val="nil"/>
              <w:right w:val="nil"/>
            </w:tcBorders>
            <w:shd w:val="clear" w:color="auto" w:fill="DAF2D0"/>
            <w:vAlign w:val="center"/>
          </w:tcPr>
          <w:p w14:paraId="78041EE0">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不建议在本规范中另设一套精度指标。</w:t>
            </w:r>
          </w:p>
        </w:tc>
      </w:tr>
      <w:tr w14:paraId="54D94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7AA76BB3">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4B5ED307">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2F94DC48">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sz w:val="18"/>
                <w:szCs w:val="18"/>
                <w:highlight w:val="none"/>
                <w:u w:val="none"/>
                <w:lang w:val="en-US"/>
              </w:rPr>
            </w:pPr>
            <w:r>
              <w:rPr>
                <w:rFonts w:hint="eastAsia" w:ascii="微软雅黑" w:hAnsi="微软雅黑" w:eastAsia="微软雅黑" w:cs="微软雅黑"/>
                <w:i w:val="0"/>
                <w:iCs w:val="0"/>
                <w:color w:val="000000"/>
                <w:kern w:val="0"/>
                <w:sz w:val="18"/>
                <w:szCs w:val="18"/>
                <w:highlight w:val="none"/>
                <w:u w:val="none"/>
                <w:lang w:val="en-US" w:eastAsia="zh-CN" w:bidi="ar"/>
              </w:rPr>
              <w:t>23</w:t>
            </w:r>
          </w:p>
        </w:tc>
        <w:tc>
          <w:tcPr>
            <w:tcW w:w="3607" w:type="pct"/>
            <w:tcBorders>
              <w:top w:val="nil"/>
              <w:left w:val="nil"/>
              <w:bottom w:val="nil"/>
              <w:right w:val="nil"/>
            </w:tcBorders>
            <w:shd w:val="clear" w:color="auto" w:fill="DAF2D0"/>
            <w:vAlign w:val="center"/>
          </w:tcPr>
          <w:p w14:paraId="6F908E74">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建议直接引用17167、20901等现行或修订中的标准。</w:t>
            </w:r>
          </w:p>
        </w:tc>
      </w:tr>
      <w:tr w14:paraId="60C8F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6284AC3E">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65AE4755">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66273340">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sz w:val="18"/>
                <w:szCs w:val="18"/>
                <w:highlight w:val="none"/>
                <w:u w:val="none"/>
                <w:lang w:val="en-US"/>
              </w:rPr>
            </w:pPr>
            <w:r>
              <w:rPr>
                <w:rFonts w:hint="eastAsia" w:ascii="微软雅黑" w:hAnsi="微软雅黑" w:eastAsia="微软雅黑" w:cs="微软雅黑"/>
                <w:i w:val="0"/>
                <w:iCs w:val="0"/>
                <w:color w:val="000000"/>
                <w:kern w:val="0"/>
                <w:sz w:val="18"/>
                <w:szCs w:val="18"/>
                <w:highlight w:val="none"/>
                <w:u w:val="none"/>
                <w:lang w:val="en-US" w:eastAsia="zh-CN" w:bidi="ar"/>
              </w:rPr>
              <w:t>24</w:t>
            </w:r>
          </w:p>
        </w:tc>
        <w:tc>
          <w:tcPr>
            <w:tcW w:w="3607" w:type="pct"/>
            <w:tcBorders>
              <w:top w:val="nil"/>
              <w:left w:val="nil"/>
              <w:bottom w:val="nil"/>
              <w:right w:val="nil"/>
            </w:tcBorders>
            <w:shd w:val="clear" w:color="auto" w:fill="DAF2D0"/>
            <w:vAlign w:val="center"/>
          </w:tcPr>
          <w:p w14:paraId="61BB76D6">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电能表等表述要关注新检定规程的变化，避免规范发布后与新标准冲突。</w:t>
            </w:r>
          </w:p>
        </w:tc>
      </w:tr>
      <w:tr w14:paraId="08830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056DEEEF">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F2D0"/>
            <w:vAlign w:val="center"/>
          </w:tcPr>
          <w:p w14:paraId="2B15B7B0">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审查组要求</w:t>
            </w:r>
          </w:p>
        </w:tc>
        <w:tc>
          <w:tcPr>
            <w:tcW w:w="240" w:type="pct"/>
            <w:tcBorders>
              <w:top w:val="nil"/>
              <w:left w:val="nil"/>
              <w:bottom w:val="nil"/>
              <w:right w:val="nil"/>
            </w:tcBorders>
            <w:shd w:val="clear" w:color="auto" w:fill="DAF2D0"/>
            <w:vAlign w:val="center"/>
          </w:tcPr>
          <w:p w14:paraId="16650863">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sz w:val="18"/>
                <w:szCs w:val="18"/>
                <w:highlight w:val="none"/>
                <w:u w:val="none"/>
                <w:lang w:val="en-US"/>
              </w:rPr>
            </w:pPr>
            <w:r>
              <w:rPr>
                <w:rFonts w:hint="eastAsia" w:ascii="微软雅黑" w:hAnsi="微软雅黑" w:eastAsia="微软雅黑" w:cs="微软雅黑"/>
                <w:i w:val="0"/>
                <w:iCs w:val="0"/>
                <w:color w:val="000000"/>
                <w:kern w:val="0"/>
                <w:sz w:val="18"/>
                <w:szCs w:val="18"/>
                <w:highlight w:val="none"/>
                <w:u w:val="none"/>
                <w:lang w:val="en-US" w:eastAsia="zh-CN" w:bidi="ar"/>
              </w:rPr>
              <w:t>25</w:t>
            </w:r>
          </w:p>
        </w:tc>
        <w:tc>
          <w:tcPr>
            <w:tcW w:w="3607" w:type="pct"/>
            <w:tcBorders>
              <w:top w:val="nil"/>
              <w:left w:val="nil"/>
              <w:bottom w:val="nil"/>
              <w:right w:val="nil"/>
            </w:tcBorders>
            <w:shd w:val="clear" w:color="auto" w:fill="DAF2D0"/>
            <w:vAlign w:val="center"/>
          </w:tcPr>
          <w:p w14:paraId="2093269F">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建议使用“审查组成员”而非“组员”。</w:t>
            </w:r>
          </w:p>
        </w:tc>
      </w:tr>
      <w:tr w14:paraId="6BA86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7C9EF10A">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7D0C6766">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429FDE7E">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sz w:val="18"/>
                <w:szCs w:val="18"/>
                <w:highlight w:val="none"/>
                <w:u w:val="none"/>
                <w:lang w:val="en-US"/>
              </w:rPr>
            </w:pPr>
            <w:r>
              <w:rPr>
                <w:rFonts w:hint="eastAsia" w:ascii="微软雅黑" w:hAnsi="微软雅黑" w:eastAsia="微软雅黑" w:cs="微软雅黑"/>
                <w:i w:val="0"/>
                <w:iCs w:val="0"/>
                <w:color w:val="000000"/>
                <w:kern w:val="0"/>
                <w:sz w:val="18"/>
                <w:szCs w:val="18"/>
                <w:highlight w:val="none"/>
                <w:u w:val="none"/>
                <w:lang w:val="en-US" w:eastAsia="zh-CN" w:bidi="ar"/>
              </w:rPr>
              <w:t>26</w:t>
            </w:r>
          </w:p>
        </w:tc>
        <w:tc>
          <w:tcPr>
            <w:tcW w:w="3607" w:type="pct"/>
            <w:tcBorders>
              <w:top w:val="nil"/>
              <w:left w:val="nil"/>
              <w:bottom w:val="nil"/>
              <w:right w:val="nil"/>
            </w:tcBorders>
            <w:shd w:val="clear" w:color="auto" w:fill="DAF2D0"/>
            <w:vAlign w:val="center"/>
          </w:tcPr>
          <w:p w14:paraId="79F0E96C">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审查组成员要求应简洁，重点写熟悉炼化生产工艺、计量等内容。</w:t>
            </w:r>
          </w:p>
        </w:tc>
      </w:tr>
      <w:tr w14:paraId="2F2A4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4F6F22B2">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F2D0"/>
            <w:vAlign w:val="center"/>
          </w:tcPr>
          <w:p w14:paraId="01E085AB">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能效监测</w:t>
            </w:r>
          </w:p>
        </w:tc>
        <w:tc>
          <w:tcPr>
            <w:tcW w:w="240" w:type="pct"/>
            <w:tcBorders>
              <w:top w:val="nil"/>
              <w:left w:val="nil"/>
              <w:bottom w:val="nil"/>
              <w:right w:val="nil"/>
            </w:tcBorders>
            <w:shd w:val="clear" w:color="auto" w:fill="DAF2D0"/>
            <w:vAlign w:val="center"/>
          </w:tcPr>
          <w:p w14:paraId="08F896AD">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sz w:val="18"/>
                <w:szCs w:val="18"/>
                <w:highlight w:val="none"/>
                <w:u w:val="none"/>
                <w:lang w:val="en-US"/>
              </w:rPr>
            </w:pPr>
            <w:r>
              <w:rPr>
                <w:rFonts w:hint="eastAsia" w:ascii="微软雅黑" w:hAnsi="微软雅黑" w:eastAsia="微软雅黑" w:cs="微软雅黑"/>
                <w:i w:val="0"/>
                <w:iCs w:val="0"/>
                <w:color w:val="000000"/>
                <w:kern w:val="0"/>
                <w:sz w:val="18"/>
                <w:szCs w:val="18"/>
                <w:highlight w:val="none"/>
                <w:u w:val="none"/>
                <w:lang w:val="en-US" w:eastAsia="zh-CN" w:bidi="ar"/>
              </w:rPr>
              <w:t>27</w:t>
            </w:r>
          </w:p>
        </w:tc>
        <w:tc>
          <w:tcPr>
            <w:tcW w:w="3607" w:type="pct"/>
            <w:tcBorders>
              <w:top w:val="nil"/>
              <w:left w:val="nil"/>
              <w:bottom w:val="nil"/>
              <w:right w:val="nil"/>
            </w:tcBorders>
            <w:shd w:val="clear" w:color="auto" w:fill="DAF2D0"/>
            <w:vAlign w:val="center"/>
          </w:tcPr>
          <w:p w14:paraId="2743AA55">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能效监测章节写得过细，已涉及节能管理、生产管理和设备管理。</w:t>
            </w:r>
          </w:p>
        </w:tc>
      </w:tr>
      <w:tr w14:paraId="2AEC4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2C341C14">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422FDC51">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5A07AF1A">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sz w:val="18"/>
                <w:szCs w:val="18"/>
                <w:highlight w:val="none"/>
                <w:u w:val="none"/>
                <w:lang w:val="en-US"/>
              </w:rPr>
            </w:pPr>
            <w:r>
              <w:rPr>
                <w:rFonts w:hint="eastAsia" w:ascii="微软雅黑" w:hAnsi="微软雅黑" w:eastAsia="微软雅黑" w:cs="微软雅黑"/>
                <w:i w:val="0"/>
                <w:iCs w:val="0"/>
                <w:color w:val="000000"/>
                <w:kern w:val="0"/>
                <w:sz w:val="18"/>
                <w:szCs w:val="18"/>
                <w:highlight w:val="none"/>
                <w:u w:val="none"/>
                <w:lang w:val="en-US" w:eastAsia="zh-CN" w:bidi="ar"/>
              </w:rPr>
              <w:t>28</w:t>
            </w:r>
          </w:p>
        </w:tc>
        <w:tc>
          <w:tcPr>
            <w:tcW w:w="3607" w:type="pct"/>
            <w:tcBorders>
              <w:top w:val="nil"/>
              <w:left w:val="nil"/>
              <w:bottom w:val="nil"/>
              <w:right w:val="nil"/>
            </w:tcBorders>
            <w:shd w:val="clear" w:color="auto" w:fill="DAF2D0"/>
            <w:vAlign w:val="center"/>
          </w:tcPr>
          <w:p w14:paraId="43B8836F">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该内容与计量工作边界较远，建议删除或大幅简化。</w:t>
            </w:r>
          </w:p>
        </w:tc>
      </w:tr>
      <w:tr w14:paraId="242D9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465E5EB2">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F2D0"/>
            <w:vAlign w:val="center"/>
          </w:tcPr>
          <w:p w14:paraId="6BF7B5C9">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能源流向图/能源网络图</w:t>
            </w:r>
          </w:p>
        </w:tc>
        <w:tc>
          <w:tcPr>
            <w:tcW w:w="240" w:type="pct"/>
            <w:tcBorders>
              <w:top w:val="nil"/>
              <w:left w:val="nil"/>
              <w:bottom w:val="nil"/>
              <w:right w:val="nil"/>
            </w:tcBorders>
            <w:shd w:val="clear" w:color="auto" w:fill="DAF2D0"/>
            <w:vAlign w:val="center"/>
          </w:tcPr>
          <w:p w14:paraId="4E007B4F">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sz w:val="18"/>
                <w:szCs w:val="18"/>
                <w:highlight w:val="none"/>
                <w:u w:val="none"/>
                <w:lang w:val="en-US"/>
              </w:rPr>
            </w:pPr>
            <w:r>
              <w:rPr>
                <w:rFonts w:hint="eastAsia" w:ascii="微软雅黑" w:hAnsi="微软雅黑" w:eastAsia="微软雅黑" w:cs="微软雅黑"/>
                <w:i w:val="0"/>
                <w:iCs w:val="0"/>
                <w:color w:val="000000"/>
                <w:kern w:val="0"/>
                <w:sz w:val="18"/>
                <w:szCs w:val="18"/>
                <w:highlight w:val="none"/>
                <w:u w:val="none"/>
                <w:lang w:val="en-US" w:eastAsia="zh-CN" w:bidi="ar"/>
              </w:rPr>
              <w:t>29</w:t>
            </w:r>
          </w:p>
        </w:tc>
        <w:tc>
          <w:tcPr>
            <w:tcW w:w="3607" w:type="pct"/>
            <w:tcBorders>
              <w:top w:val="nil"/>
              <w:left w:val="nil"/>
              <w:bottom w:val="nil"/>
              <w:right w:val="nil"/>
            </w:tcBorders>
            <w:shd w:val="clear" w:color="auto" w:fill="DAF2D0"/>
            <w:vAlign w:val="center"/>
          </w:tcPr>
          <w:p w14:paraId="76F9FD86">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同意不单独绘制能源流向图。</w:t>
            </w:r>
          </w:p>
        </w:tc>
      </w:tr>
      <w:tr w14:paraId="753D5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4110CAF6">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3B1FC26D">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4B84004F">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sz w:val="18"/>
                <w:szCs w:val="18"/>
                <w:highlight w:val="none"/>
                <w:u w:val="none"/>
                <w:lang w:val="en-US"/>
              </w:rPr>
            </w:pPr>
            <w:r>
              <w:rPr>
                <w:rFonts w:hint="eastAsia" w:ascii="微软雅黑" w:hAnsi="微软雅黑" w:eastAsia="微软雅黑" w:cs="微软雅黑"/>
                <w:i w:val="0"/>
                <w:iCs w:val="0"/>
                <w:color w:val="000000"/>
                <w:kern w:val="0"/>
                <w:sz w:val="18"/>
                <w:szCs w:val="18"/>
                <w:highlight w:val="none"/>
                <w:u w:val="none"/>
                <w:lang w:val="en-US" w:eastAsia="zh-CN" w:bidi="ar"/>
              </w:rPr>
              <w:t>30</w:t>
            </w:r>
          </w:p>
        </w:tc>
        <w:tc>
          <w:tcPr>
            <w:tcW w:w="3607" w:type="pct"/>
            <w:tcBorders>
              <w:top w:val="nil"/>
              <w:left w:val="nil"/>
              <w:bottom w:val="nil"/>
              <w:right w:val="nil"/>
            </w:tcBorders>
            <w:shd w:val="clear" w:color="auto" w:fill="DAF2D0"/>
            <w:vAlign w:val="center"/>
          </w:tcPr>
          <w:p w14:paraId="37621EB7">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建议聚焦计量相关内容，采用能源计量网络图即可。</w:t>
            </w:r>
          </w:p>
        </w:tc>
      </w:tr>
      <w:tr w14:paraId="1F29A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7396A285">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31E12715">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63A6E3C6">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sz w:val="18"/>
                <w:szCs w:val="18"/>
                <w:highlight w:val="none"/>
                <w:u w:val="none"/>
                <w:lang w:val="en-US"/>
              </w:rPr>
            </w:pPr>
            <w:r>
              <w:rPr>
                <w:rFonts w:hint="eastAsia" w:ascii="微软雅黑" w:hAnsi="微软雅黑" w:eastAsia="微软雅黑" w:cs="微软雅黑"/>
                <w:i w:val="0"/>
                <w:iCs w:val="0"/>
                <w:color w:val="000000"/>
                <w:kern w:val="0"/>
                <w:sz w:val="18"/>
                <w:szCs w:val="18"/>
                <w:highlight w:val="none"/>
                <w:u w:val="none"/>
                <w:lang w:val="en-US" w:eastAsia="zh-CN" w:bidi="ar"/>
              </w:rPr>
              <w:t>31</w:t>
            </w:r>
          </w:p>
        </w:tc>
        <w:tc>
          <w:tcPr>
            <w:tcW w:w="3607" w:type="pct"/>
            <w:tcBorders>
              <w:top w:val="nil"/>
              <w:left w:val="nil"/>
              <w:bottom w:val="nil"/>
              <w:right w:val="nil"/>
            </w:tcBorders>
            <w:shd w:val="clear" w:color="auto" w:fill="DAF2D0"/>
            <w:vAlign w:val="center"/>
          </w:tcPr>
          <w:p w14:paraId="4952AFD9">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关于水，建议与17167保持一致，去掉水计量部分；如保留，重点考虑热水、冷水、循环水。</w:t>
            </w:r>
          </w:p>
        </w:tc>
      </w:tr>
      <w:tr w14:paraId="4661D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611FEA98">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tcBorders>
              <w:top w:val="nil"/>
              <w:left w:val="nil"/>
              <w:bottom w:val="nil"/>
              <w:right w:val="nil"/>
            </w:tcBorders>
            <w:shd w:val="clear" w:color="auto" w:fill="DAF2D0"/>
            <w:vAlign w:val="center"/>
          </w:tcPr>
          <w:p w14:paraId="419FE378">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能源计量数据管理</w:t>
            </w:r>
          </w:p>
        </w:tc>
        <w:tc>
          <w:tcPr>
            <w:tcW w:w="240" w:type="pct"/>
            <w:tcBorders>
              <w:top w:val="nil"/>
              <w:left w:val="nil"/>
              <w:bottom w:val="nil"/>
              <w:right w:val="nil"/>
            </w:tcBorders>
            <w:shd w:val="clear" w:color="auto" w:fill="DAF2D0"/>
            <w:vAlign w:val="center"/>
          </w:tcPr>
          <w:p w14:paraId="53625524">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32</w:t>
            </w:r>
          </w:p>
        </w:tc>
        <w:tc>
          <w:tcPr>
            <w:tcW w:w="3607" w:type="pct"/>
            <w:tcBorders>
              <w:top w:val="nil"/>
              <w:left w:val="nil"/>
              <w:bottom w:val="nil"/>
              <w:right w:val="nil"/>
            </w:tcBorders>
            <w:shd w:val="clear" w:color="auto" w:fill="DAF2D0"/>
            <w:vAlign w:val="center"/>
          </w:tcPr>
          <w:p w14:paraId="54DC939C">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第七章数据管理中，天然气组分、蒸汽计量等要求较高，建议后续进一步审慎修改。</w:t>
            </w:r>
          </w:p>
        </w:tc>
      </w:tr>
      <w:tr w14:paraId="61DA2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2" w:type="pct"/>
            <w:vMerge w:val="continue"/>
            <w:tcBorders>
              <w:left w:val="nil"/>
              <w:right w:val="nil"/>
            </w:tcBorders>
            <w:shd w:val="clear" w:color="auto" w:fill="DAF2D0"/>
            <w:noWrap/>
            <w:vAlign w:val="center"/>
          </w:tcPr>
          <w:p w14:paraId="0549AE98">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right w:val="nil"/>
            </w:tcBorders>
            <w:shd w:val="clear" w:color="auto" w:fill="DAF2D0"/>
            <w:vAlign w:val="center"/>
          </w:tcPr>
          <w:p w14:paraId="5696EAF9">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会后补充</w:t>
            </w:r>
          </w:p>
        </w:tc>
        <w:tc>
          <w:tcPr>
            <w:tcW w:w="240" w:type="pct"/>
            <w:tcBorders>
              <w:top w:val="nil"/>
              <w:left w:val="nil"/>
              <w:bottom w:val="nil"/>
              <w:right w:val="nil"/>
            </w:tcBorders>
            <w:shd w:val="clear" w:color="auto" w:fill="DAF2D0"/>
            <w:vAlign w:val="center"/>
          </w:tcPr>
          <w:p w14:paraId="3627C6EC">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33</w:t>
            </w:r>
          </w:p>
        </w:tc>
        <w:tc>
          <w:tcPr>
            <w:tcW w:w="3607" w:type="pct"/>
            <w:tcBorders>
              <w:top w:val="nil"/>
              <w:left w:val="nil"/>
              <w:bottom w:val="nil"/>
              <w:right w:val="nil"/>
            </w:tcBorders>
            <w:shd w:val="clear" w:color="auto" w:fill="DAF2D0"/>
            <w:vAlign w:val="center"/>
          </w:tcPr>
          <w:p w14:paraId="37C11A56">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关于“能源计量岗位”条款，认为“制度运行和维护的岗位”表述不清，且不宜机械列举所有岗位。建议改为：“应设置能源计量相关岗位，满足能源计量管理制度运行和维护需要，明确其能源计量器具配备、使用和维护，能源计量数据采集、统计、分析和应用，基本用能单元能效监测、检测和评估等职责。”</w:t>
            </w:r>
          </w:p>
        </w:tc>
      </w:tr>
      <w:tr w14:paraId="2821E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62305C5A">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2C705988">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p>
        </w:tc>
        <w:tc>
          <w:tcPr>
            <w:tcW w:w="240" w:type="pct"/>
            <w:tcBorders>
              <w:top w:val="nil"/>
              <w:left w:val="nil"/>
              <w:bottom w:val="nil"/>
              <w:right w:val="nil"/>
            </w:tcBorders>
            <w:shd w:val="clear" w:color="auto" w:fill="DAF2D0"/>
            <w:vAlign w:val="center"/>
          </w:tcPr>
          <w:p w14:paraId="0498067C">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34</w:t>
            </w:r>
          </w:p>
        </w:tc>
        <w:tc>
          <w:tcPr>
            <w:tcW w:w="3607" w:type="pct"/>
            <w:tcBorders>
              <w:top w:val="nil"/>
              <w:left w:val="nil"/>
              <w:bottom w:val="nil"/>
              <w:right w:val="nil"/>
            </w:tcBorders>
            <w:shd w:val="clear" w:color="auto" w:fill="DAF2D0"/>
            <w:vAlign w:val="center"/>
          </w:tcPr>
          <w:p w14:paraId="1D99E778">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“安全生产、环保、碳计量排放相关计量合规管理要求”与计量管理工作不直接相关，企业安全、环保通常由专门人员负责，建议考虑是否适合放入本规范。</w:t>
            </w:r>
          </w:p>
        </w:tc>
      </w:tr>
      <w:tr w14:paraId="3535A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65D2CAD8">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2FC6B8F3">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p>
        </w:tc>
        <w:tc>
          <w:tcPr>
            <w:tcW w:w="240" w:type="pct"/>
            <w:tcBorders>
              <w:top w:val="nil"/>
              <w:left w:val="nil"/>
              <w:bottom w:val="nil"/>
              <w:right w:val="nil"/>
            </w:tcBorders>
            <w:shd w:val="clear" w:color="auto" w:fill="DAF2D0"/>
            <w:vAlign w:val="center"/>
          </w:tcPr>
          <w:p w14:paraId="180EDF53">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35</w:t>
            </w:r>
          </w:p>
        </w:tc>
        <w:tc>
          <w:tcPr>
            <w:tcW w:w="3607" w:type="pct"/>
            <w:tcBorders>
              <w:top w:val="nil"/>
              <w:left w:val="nil"/>
              <w:bottom w:val="nil"/>
              <w:right w:val="nil"/>
            </w:tcBorders>
            <w:shd w:val="clear" w:color="auto" w:fill="DAF2D0"/>
            <w:vAlign w:val="center"/>
          </w:tcPr>
          <w:p w14:paraId="32A05304">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 xml:space="preserve"> 关于“电能计量器具同时应符合 JJG 596 的检定、准确度及使用管理要求”认为不应单独提出电能表检定规程，与其他计量检定规程相比并无特殊性，不建议保留该句。</w:t>
            </w:r>
          </w:p>
        </w:tc>
      </w:tr>
      <w:tr w14:paraId="73BC2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7B27B59D">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68860CA3">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p>
        </w:tc>
        <w:tc>
          <w:tcPr>
            <w:tcW w:w="240" w:type="pct"/>
            <w:tcBorders>
              <w:top w:val="nil"/>
              <w:left w:val="nil"/>
              <w:bottom w:val="nil"/>
              <w:right w:val="nil"/>
            </w:tcBorders>
            <w:shd w:val="clear" w:color="auto" w:fill="DAF2D0"/>
            <w:vAlign w:val="center"/>
          </w:tcPr>
          <w:p w14:paraId="4FD50BAB">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36</w:t>
            </w:r>
          </w:p>
        </w:tc>
        <w:tc>
          <w:tcPr>
            <w:tcW w:w="3607" w:type="pct"/>
            <w:tcBorders>
              <w:top w:val="nil"/>
              <w:left w:val="nil"/>
              <w:bottom w:val="nil"/>
              <w:right w:val="nil"/>
            </w:tcBorders>
            <w:shd w:val="clear" w:color="auto" w:fill="DAF2D0"/>
            <w:vAlign w:val="center"/>
          </w:tcPr>
          <w:p w14:paraId="203F8496">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关于“能源生产用能单位，如采煤、采油企业等”，本规范针对炼油化工企业，并不包括采煤、采油企业，该条含义不清，建议删除或重写。</w:t>
            </w:r>
          </w:p>
        </w:tc>
      </w:tr>
      <w:tr w14:paraId="2D6E2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noWrap/>
            <w:vAlign w:val="center"/>
          </w:tcPr>
          <w:p w14:paraId="397B8BBD">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0B4A42BB">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p>
        </w:tc>
        <w:tc>
          <w:tcPr>
            <w:tcW w:w="240" w:type="pct"/>
            <w:tcBorders>
              <w:top w:val="nil"/>
              <w:left w:val="nil"/>
              <w:bottom w:val="nil"/>
              <w:right w:val="nil"/>
            </w:tcBorders>
            <w:shd w:val="clear" w:color="auto" w:fill="DAF2D0"/>
            <w:vAlign w:val="center"/>
          </w:tcPr>
          <w:p w14:paraId="29D0BD7E">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37</w:t>
            </w:r>
          </w:p>
        </w:tc>
        <w:tc>
          <w:tcPr>
            <w:tcW w:w="3607" w:type="pct"/>
            <w:tcBorders>
              <w:top w:val="nil"/>
              <w:left w:val="nil"/>
              <w:bottom w:val="nil"/>
              <w:right w:val="nil"/>
            </w:tcBorders>
            <w:shd w:val="clear" w:color="auto" w:fill="DAF2D0"/>
            <w:vAlign w:val="center"/>
          </w:tcPr>
          <w:p w14:paraId="59441EFE">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关于“用能单位的能源计量器具准确度等级应满足表 2 的要求”，本规范主要针对计量审查，是否适合在此提出具体指标需进一步论证；同时，指标中电能表、水流量等表述仍需核实，尤其“进出用能单位水流量”是否应调整为冷热水、循环水等。</w:t>
            </w:r>
          </w:p>
        </w:tc>
      </w:tr>
      <w:tr w14:paraId="2CECA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bottom w:val="nil"/>
              <w:right w:val="nil"/>
            </w:tcBorders>
            <w:shd w:val="clear" w:color="auto" w:fill="DAF2D0"/>
            <w:noWrap/>
            <w:vAlign w:val="center"/>
          </w:tcPr>
          <w:p w14:paraId="417A3147">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bottom w:val="nil"/>
              <w:right w:val="nil"/>
            </w:tcBorders>
            <w:shd w:val="clear" w:color="auto" w:fill="DAF2D0"/>
            <w:vAlign w:val="center"/>
          </w:tcPr>
          <w:p w14:paraId="108A7269">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p>
        </w:tc>
        <w:tc>
          <w:tcPr>
            <w:tcW w:w="240" w:type="pct"/>
            <w:tcBorders>
              <w:top w:val="nil"/>
              <w:left w:val="nil"/>
              <w:bottom w:val="nil"/>
              <w:right w:val="nil"/>
            </w:tcBorders>
            <w:shd w:val="clear" w:color="auto" w:fill="DAF2D0"/>
            <w:vAlign w:val="center"/>
          </w:tcPr>
          <w:p w14:paraId="0D8C3FD1">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38</w:t>
            </w:r>
          </w:p>
        </w:tc>
        <w:tc>
          <w:tcPr>
            <w:tcW w:w="3607" w:type="pct"/>
            <w:tcBorders>
              <w:top w:val="nil"/>
              <w:left w:val="nil"/>
              <w:bottom w:val="nil"/>
              <w:right w:val="nil"/>
            </w:tcBorders>
            <w:shd w:val="clear" w:color="auto" w:fill="DAF2D0"/>
            <w:vAlign w:val="center"/>
          </w:tcPr>
          <w:p w14:paraId="1A568D1A">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关于“火炬气、炼厂干气、燃料气、瓦斯气等组分波动大、热值不稳定介质，应实行流量、组分、热值数据同步采集”，需核实现实工况中是否能够实现同步采集。</w:t>
            </w:r>
          </w:p>
        </w:tc>
      </w:tr>
      <w:tr w14:paraId="23316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restart"/>
            <w:tcBorders>
              <w:top w:val="nil"/>
              <w:left w:val="nil"/>
              <w:right w:val="nil"/>
            </w:tcBorders>
            <w:shd w:val="clear" w:color="auto" w:fill="DAE9F8"/>
            <w:vAlign w:val="center"/>
          </w:tcPr>
          <w:p w14:paraId="4E1730E7">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sz w:val="18"/>
                <w:szCs w:val="18"/>
                <w:highlight w:val="none"/>
                <w:u w:val="none"/>
                <w:lang w:val="en-US"/>
              </w:rPr>
            </w:pPr>
            <w:r>
              <w:rPr>
                <w:rFonts w:hint="eastAsia" w:ascii="微软雅黑" w:hAnsi="微软雅黑" w:eastAsia="微软雅黑" w:cs="微软雅黑"/>
                <w:i w:val="0"/>
                <w:iCs w:val="0"/>
                <w:color w:val="000000"/>
                <w:kern w:val="0"/>
                <w:sz w:val="18"/>
                <w:szCs w:val="18"/>
                <w:highlight w:val="none"/>
                <w:u w:val="none"/>
                <w:lang w:val="en-US" w:eastAsia="zh-CN" w:bidi="ar"/>
              </w:rPr>
              <w:t>专家2</w:t>
            </w:r>
          </w:p>
        </w:tc>
        <w:tc>
          <w:tcPr>
            <w:tcW w:w="759" w:type="pct"/>
            <w:vMerge w:val="restart"/>
            <w:tcBorders>
              <w:top w:val="nil"/>
              <w:left w:val="nil"/>
              <w:bottom w:val="nil"/>
              <w:right w:val="nil"/>
            </w:tcBorders>
            <w:shd w:val="clear" w:color="auto" w:fill="DAE9F8"/>
            <w:vAlign w:val="center"/>
          </w:tcPr>
          <w:p w14:paraId="63C715E0">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标准名称和范围</w:t>
            </w:r>
          </w:p>
        </w:tc>
        <w:tc>
          <w:tcPr>
            <w:tcW w:w="240" w:type="pct"/>
            <w:tcBorders>
              <w:top w:val="nil"/>
              <w:left w:val="nil"/>
              <w:bottom w:val="nil"/>
              <w:right w:val="nil"/>
            </w:tcBorders>
            <w:shd w:val="clear" w:color="auto" w:fill="DAE9F8"/>
            <w:vAlign w:val="center"/>
          </w:tcPr>
          <w:p w14:paraId="560C7F03">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w:t>
            </w:r>
          </w:p>
        </w:tc>
        <w:tc>
          <w:tcPr>
            <w:tcW w:w="3607" w:type="pct"/>
            <w:tcBorders>
              <w:top w:val="nil"/>
              <w:left w:val="nil"/>
              <w:bottom w:val="nil"/>
              <w:right w:val="nil"/>
            </w:tcBorders>
            <w:shd w:val="clear" w:color="auto" w:fill="DAE9F8"/>
            <w:vAlign w:val="center"/>
          </w:tcPr>
          <w:p w14:paraId="336A6B12">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如果立项范围不含勘探开发，则不应扩展到上游。</w:t>
            </w:r>
          </w:p>
        </w:tc>
      </w:tr>
      <w:tr w14:paraId="5D123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E9F8"/>
            <w:vAlign w:val="center"/>
          </w:tcPr>
          <w:p w14:paraId="713282E5">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E9F8"/>
            <w:vAlign w:val="center"/>
          </w:tcPr>
          <w:p w14:paraId="4CD2FF6B">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E9F8"/>
            <w:vAlign w:val="center"/>
          </w:tcPr>
          <w:p w14:paraId="5C3C95C5">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w:t>
            </w:r>
          </w:p>
        </w:tc>
        <w:tc>
          <w:tcPr>
            <w:tcW w:w="3607" w:type="pct"/>
            <w:tcBorders>
              <w:top w:val="nil"/>
              <w:left w:val="nil"/>
              <w:bottom w:val="nil"/>
              <w:right w:val="nil"/>
            </w:tcBorders>
            <w:shd w:val="clear" w:color="auto" w:fill="DAE9F8"/>
            <w:vAlign w:val="center"/>
          </w:tcPr>
          <w:p w14:paraId="612ACB15">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同意名称聚焦“炼油化工”，关键是范围说清楚。</w:t>
            </w:r>
          </w:p>
        </w:tc>
      </w:tr>
      <w:tr w14:paraId="7CCE4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E9F8"/>
            <w:vAlign w:val="center"/>
          </w:tcPr>
          <w:p w14:paraId="79C02994">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E9F8"/>
            <w:vAlign w:val="center"/>
          </w:tcPr>
          <w:p w14:paraId="57082C4D">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审查规范定位</w:t>
            </w:r>
          </w:p>
        </w:tc>
        <w:tc>
          <w:tcPr>
            <w:tcW w:w="240" w:type="pct"/>
            <w:tcBorders>
              <w:top w:val="nil"/>
              <w:left w:val="nil"/>
              <w:bottom w:val="nil"/>
              <w:right w:val="nil"/>
            </w:tcBorders>
            <w:shd w:val="clear" w:color="auto" w:fill="DAE9F8"/>
            <w:vAlign w:val="center"/>
          </w:tcPr>
          <w:p w14:paraId="524B3C52">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3</w:t>
            </w:r>
          </w:p>
        </w:tc>
        <w:tc>
          <w:tcPr>
            <w:tcW w:w="3607" w:type="pct"/>
            <w:tcBorders>
              <w:top w:val="nil"/>
              <w:left w:val="nil"/>
              <w:bottom w:val="nil"/>
              <w:right w:val="nil"/>
            </w:tcBorders>
            <w:shd w:val="clear" w:color="auto" w:fill="DAE9F8"/>
            <w:vAlign w:val="center"/>
          </w:tcPr>
          <w:p w14:paraId="26F96DDC">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审查规范应落在“审查”上，不建议做A/B/C或3A/4A等级评价。</w:t>
            </w:r>
          </w:p>
        </w:tc>
      </w:tr>
      <w:tr w14:paraId="0F533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E9F8"/>
            <w:vAlign w:val="center"/>
          </w:tcPr>
          <w:p w14:paraId="3D7728F3">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E9F8"/>
            <w:vAlign w:val="center"/>
          </w:tcPr>
          <w:p w14:paraId="151EBCA2">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E9F8"/>
            <w:vAlign w:val="center"/>
          </w:tcPr>
          <w:p w14:paraId="29F5F64D">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4</w:t>
            </w:r>
          </w:p>
        </w:tc>
        <w:tc>
          <w:tcPr>
            <w:tcW w:w="3607" w:type="pct"/>
            <w:tcBorders>
              <w:top w:val="nil"/>
              <w:left w:val="nil"/>
              <w:bottom w:val="nil"/>
              <w:right w:val="nil"/>
            </w:tcBorders>
            <w:shd w:val="clear" w:color="auto" w:fill="DAE9F8"/>
            <w:vAlign w:val="center"/>
          </w:tcPr>
          <w:p w14:paraId="62599C52">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规范目标应是提升节能、计量和用能管理水平，而不是发牌评级。</w:t>
            </w:r>
          </w:p>
        </w:tc>
      </w:tr>
      <w:tr w14:paraId="74FC7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E9F8"/>
            <w:vAlign w:val="center"/>
          </w:tcPr>
          <w:p w14:paraId="397F79EE">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E9F8"/>
            <w:vAlign w:val="center"/>
          </w:tcPr>
          <w:p w14:paraId="23443BDE">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E9F8"/>
            <w:vAlign w:val="center"/>
          </w:tcPr>
          <w:p w14:paraId="00E04043">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5</w:t>
            </w:r>
          </w:p>
        </w:tc>
        <w:tc>
          <w:tcPr>
            <w:tcW w:w="3607" w:type="pct"/>
            <w:tcBorders>
              <w:top w:val="nil"/>
              <w:left w:val="nil"/>
              <w:bottom w:val="nil"/>
              <w:right w:val="nil"/>
            </w:tcBorders>
            <w:shd w:val="clear" w:color="auto" w:fill="DAE9F8"/>
            <w:vAlign w:val="center"/>
          </w:tcPr>
          <w:p w14:paraId="1213B743">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第三方是否参与可看总则要求，但本规范应保持与上位规范一致。</w:t>
            </w:r>
          </w:p>
        </w:tc>
      </w:tr>
      <w:tr w14:paraId="30986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E9F8"/>
            <w:vAlign w:val="center"/>
          </w:tcPr>
          <w:p w14:paraId="6141CD36">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E9F8"/>
            <w:vAlign w:val="center"/>
          </w:tcPr>
          <w:p w14:paraId="14395D70">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两相流、多相流和难计量场景</w:t>
            </w:r>
          </w:p>
        </w:tc>
        <w:tc>
          <w:tcPr>
            <w:tcW w:w="240" w:type="pct"/>
            <w:tcBorders>
              <w:top w:val="nil"/>
              <w:left w:val="nil"/>
              <w:bottom w:val="nil"/>
              <w:right w:val="nil"/>
            </w:tcBorders>
            <w:shd w:val="clear" w:color="auto" w:fill="DAE9F8"/>
            <w:vAlign w:val="center"/>
          </w:tcPr>
          <w:p w14:paraId="1548EC31">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6</w:t>
            </w:r>
          </w:p>
        </w:tc>
        <w:tc>
          <w:tcPr>
            <w:tcW w:w="3607" w:type="pct"/>
            <w:tcBorders>
              <w:top w:val="nil"/>
              <w:left w:val="nil"/>
              <w:bottom w:val="nil"/>
              <w:right w:val="nil"/>
            </w:tcBorders>
            <w:shd w:val="clear" w:color="auto" w:fill="DAE9F8"/>
            <w:vAlign w:val="center"/>
          </w:tcPr>
          <w:p w14:paraId="294FF6BC">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两相流、多相流在部分场景确实存在，例如二氧化碳、油水气三相等。</w:t>
            </w:r>
          </w:p>
        </w:tc>
      </w:tr>
      <w:tr w14:paraId="59446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E9F8"/>
            <w:vAlign w:val="center"/>
          </w:tcPr>
          <w:p w14:paraId="6B75C2AB">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E9F8"/>
            <w:vAlign w:val="center"/>
          </w:tcPr>
          <w:p w14:paraId="1A0F8508">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E9F8"/>
            <w:vAlign w:val="center"/>
          </w:tcPr>
          <w:p w14:paraId="7C6B90E9">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7</w:t>
            </w:r>
          </w:p>
        </w:tc>
        <w:tc>
          <w:tcPr>
            <w:tcW w:w="3607" w:type="pct"/>
            <w:tcBorders>
              <w:top w:val="nil"/>
              <w:left w:val="nil"/>
              <w:bottom w:val="nil"/>
              <w:right w:val="nil"/>
            </w:tcBorders>
            <w:shd w:val="clear" w:color="auto" w:fill="DAE9F8"/>
            <w:vAlign w:val="center"/>
          </w:tcPr>
          <w:p w14:paraId="6BB3193D">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火炬气、烟气、大口径管道、炼厂干气等存在明显计量难点。这些问题仪表技术目前未必完全解决，规范表述要慎重。</w:t>
            </w:r>
          </w:p>
        </w:tc>
      </w:tr>
      <w:tr w14:paraId="67D47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E9F8"/>
            <w:vAlign w:val="center"/>
          </w:tcPr>
          <w:p w14:paraId="7E9B09D8">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E9F8"/>
            <w:vAlign w:val="center"/>
          </w:tcPr>
          <w:p w14:paraId="3ED19FA3">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人员要求</w:t>
            </w:r>
          </w:p>
        </w:tc>
        <w:tc>
          <w:tcPr>
            <w:tcW w:w="240" w:type="pct"/>
            <w:tcBorders>
              <w:top w:val="nil"/>
              <w:left w:val="nil"/>
              <w:bottom w:val="nil"/>
              <w:right w:val="nil"/>
            </w:tcBorders>
            <w:shd w:val="clear" w:color="auto" w:fill="DAE9F8"/>
            <w:vAlign w:val="center"/>
          </w:tcPr>
          <w:p w14:paraId="61DA7A25">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8</w:t>
            </w:r>
          </w:p>
        </w:tc>
        <w:tc>
          <w:tcPr>
            <w:tcW w:w="3607" w:type="pct"/>
            <w:tcBorders>
              <w:top w:val="nil"/>
              <w:left w:val="nil"/>
              <w:bottom w:val="nil"/>
              <w:right w:val="nil"/>
            </w:tcBorders>
            <w:shd w:val="clear" w:color="auto" w:fill="DAE9F8"/>
            <w:vAlign w:val="center"/>
          </w:tcPr>
          <w:p w14:paraId="28D38B26">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不建议对能源计量人员写得过细。</w:t>
            </w:r>
          </w:p>
        </w:tc>
      </w:tr>
      <w:tr w14:paraId="4B7FA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E9F8"/>
            <w:vAlign w:val="center"/>
          </w:tcPr>
          <w:p w14:paraId="64F497BD">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E9F8"/>
            <w:vAlign w:val="center"/>
          </w:tcPr>
          <w:p w14:paraId="6FFC0E97">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E9F8"/>
            <w:vAlign w:val="center"/>
          </w:tcPr>
          <w:p w14:paraId="4F491F0B">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9</w:t>
            </w:r>
          </w:p>
        </w:tc>
        <w:tc>
          <w:tcPr>
            <w:tcW w:w="3607" w:type="pct"/>
            <w:tcBorders>
              <w:top w:val="nil"/>
              <w:left w:val="nil"/>
              <w:bottom w:val="nil"/>
              <w:right w:val="nil"/>
            </w:tcBorders>
            <w:shd w:val="clear" w:color="auto" w:fill="DAE9F8"/>
            <w:vAlign w:val="center"/>
          </w:tcPr>
          <w:p w14:paraId="299DFA2C">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企业实际中计量、能源、统计、碳等工作往往由同一类计量人员承担，不宜分得太细。</w:t>
            </w:r>
          </w:p>
        </w:tc>
      </w:tr>
      <w:tr w14:paraId="359E5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E9F8"/>
            <w:vAlign w:val="center"/>
          </w:tcPr>
          <w:p w14:paraId="128AE21F">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E9F8"/>
            <w:vAlign w:val="center"/>
          </w:tcPr>
          <w:p w14:paraId="5BDCCEC4">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E9F8"/>
            <w:vAlign w:val="center"/>
          </w:tcPr>
          <w:p w14:paraId="04B70E17">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sz w:val="18"/>
                <w:szCs w:val="18"/>
                <w:highlight w:val="none"/>
                <w:u w:val="none"/>
                <w:lang w:val="en-US"/>
              </w:rPr>
            </w:pPr>
            <w:r>
              <w:rPr>
                <w:rFonts w:hint="eastAsia" w:ascii="微软雅黑" w:hAnsi="微软雅黑" w:eastAsia="微软雅黑" w:cs="微软雅黑"/>
                <w:i w:val="0"/>
                <w:iCs w:val="0"/>
                <w:color w:val="000000"/>
                <w:kern w:val="0"/>
                <w:sz w:val="18"/>
                <w:szCs w:val="18"/>
                <w:highlight w:val="none"/>
                <w:u w:val="none"/>
                <w:lang w:val="en-US" w:eastAsia="zh-CN" w:bidi="ar"/>
              </w:rPr>
              <w:t>10</w:t>
            </w:r>
          </w:p>
        </w:tc>
        <w:tc>
          <w:tcPr>
            <w:tcW w:w="3607" w:type="pct"/>
            <w:tcBorders>
              <w:top w:val="nil"/>
              <w:left w:val="nil"/>
              <w:bottom w:val="nil"/>
              <w:right w:val="nil"/>
            </w:tcBorders>
            <w:shd w:val="clear" w:color="auto" w:fill="DAE9F8"/>
            <w:vAlign w:val="center"/>
          </w:tcPr>
          <w:p w14:paraId="1FA47A4D">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专业人员、上岗证、企业内部管理办法等已能覆盖基本要求。</w:t>
            </w:r>
          </w:p>
        </w:tc>
      </w:tr>
      <w:tr w14:paraId="3880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E9F8"/>
            <w:vAlign w:val="center"/>
          </w:tcPr>
          <w:p w14:paraId="517E96CD">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E9F8"/>
            <w:vAlign w:val="center"/>
          </w:tcPr>
          <w:p w14:paraId="0F92A267">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术语和引用</w:t>
            </w:r>
          </w:p>
        </w:tc>
        <w:tc>
          <w:tcPr>
            <w:tcW w:w="240" w:type="pct"/>
            <w:tcBorders>
              <w:top w:val="nil"/>
              <w:left w:val="nil"/>
              <w:bottom w:val="nil"/>
              <w:right w:val="nil"/>
            </w:tcBorders>
            <w:shd w:val="clear" w:color="auto" w:fill="DAE9F8"/>
            <w:vAlign w:val="center"/>
          </w:tcPr>
          <w:p w14:paraId="5DB2E95A">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11</w:t>
            </w:r>
          </w:p>
        </w:tc>
        <w:tc>
          <w:tcPr>
            <w:tcW w:w="3607" w:type="pct"/>
            <w:tcBorders>
              <w:top w:val="nil"/>
              <w:left w:val="nil"/>
              <w:bottom w:val="nil"/>
              <w:right w:val="nil"/>
            </w:tcBorders>
            <w:shd w:val="clear" w:color="auto" w:fill="DAE9F8"/>
            <w:vAlign w:val="center"/>
          </w:tcPr>
          <w:p w14:paraId="06B331FA">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通用术语可直接引用已有标准，不必重复写。</w:t>
            </w:r>
          </w:p>
        </w:tc>
      </w:tr>
      <w:tr w14:paraId="7A9B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E9F8"/>
            <w:vAlign w:val="center"/>
          </w:tcPr>
          <w:p w14:paraId="0CE75192">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E9F8"/>
            <w:vAlign w:val="center"/>
          </w:tcPr>
          <w:p w14:paraId="2C78FB62">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E9F8"/>
            <w:vAlign w:val="center"/>
          </w:tcPr>
          <w:p w14:paraId="753BC6D0">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12</w:t>
            </w:r>
          </w:p>
        </w:tc>
        <w:tc>
          <w:tcPr>
            <w:tcW w:w="3607" w:type="pct"/>
            <w:tcBorders>
              <w:top w:val="nil"/>
              <w:left w:val="nil"/>
              <w:bottom w:val="nil"/>
              <w:right w:val="nil"/>
            </w:tcBorders>
            <w:shd w:val="clear" w:color="auto" w:fill="DAE9F8"/>
            <w:vAlign w:val="center"/>
          </w:tcPr>
          <w:p w14:paraId="0176BF57">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重点写与审查直接相关、行业确有特殊性的术语即可。</w:t>
            </w:r>
          </w:p>
        </w:tc>
      </w:tr>
      <w:tr w14:paraId="7B0A7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E9F8"/>
            <w:vAlign w:val="center"/>
          </w:tcPr>
          <w:p w14:paraId="7C697538">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E9F8"/>
            <w:vAlign w:val="center"/>
          </w:tcPr>
          <w:p w14:paraId="06677A86">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台账和状态</w:t>
            </w:r>
          </w:p>
        </w:tc>
        <w:tc>
          <w:tcPr>
            <w:tcW w:w="240" w:type="pct"/>
            <w:tcBorders>
              <w:top w:val="nil"/>
              <w:left w:val="nil"/>
              <w:bottom w:val="nil"/>
              <w:right w:val="nil"/>
            </w:tcBorders>
            <w:shd w:val="clear" w:color="auto" w:fill="DAE9F8"/>
            <w:vAlign w:val="center"/>
          </w:tcPr>
          <w:p w14:paraId="7C56DE1B">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13</w:t>
            </w:r>
          </w:p>
        </w:tc>
        <w:tc>
          <w:tcPr>
            <w:tcW w:w="3607" w:type="pct"/>
            <w:tcBorders>
              <w:top w:val="nil"/>
              <w:left w:val="nil"/>
              <w:bottom w:val="nil"/>
              <w:right w:val="nil"/>
            </w:tcBorders>
            <w:shd w:val="clear" w:color="auto" w:fill="DAE9F8"/>
            <w:vAlign w:val="center"/>
          </w:tcPr>
          <w:p w14:paraId="705ED025">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台账内容不宜写得过细，分级分类管理即可。</w:t>
            </w:r>
          </w:p>
        </w:tc>
      </w:tr>
      <w:tr w14:paraId="20E07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E9F8"/>
            <w:vAlign w:val="center"/>
          </w:tcPr>
          <w:p w14:paraId="2E68AC42">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E9F8"/>
            <w:vAlign w:val="center"/>
          </w:tcPr>
          <w:p w14:paraId="4A80B745">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E9F8"/>
            <w:vAlign w:val="center"/>
          </w:tcPr>
          <w:p w14:paraId="2572042E">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14</w:t>
            </w:r>
          </w:p>
        </w:tc>
        <w:tc>
          <w:tcPr>
            <w:tcW w:w="3607" w:type="pct"/>
            <w:tcBorders>
              <w:top w:val="nil"/>
              <w:left w:val="nil"/>
              <w:bottom w:val="nil"/>
              <w:right w:val="nil"/>
            </w:tcBorders>
            <w:shd w:val="clear" w:color="auto" w:fill="DAE9F8"/>
            <w:vAlign w:val="center"/>
          </w:tcPr>
          <w:p w14:paraId="33E15D2F">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计量器具状态建议采用“在用、封存、停用等”类似表述。</w:t>
            </w:r>
          </w:p>
        </w:tc>
      </w:tr>
      <w:tr w14:paraId="7C9A1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E9F8"/>
            <w:vAlign w:val="center"/>
          </w:tcPr>
          <w:p w14:paraId="5DC60BB3">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E9F8"/>
            <w:vAlign w:val="center"/>
          </w:tcPr>
          <w:p w14:paraId="4A2E8498">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E9F8"/>
            <w:vAlign w:val="center"/>
          </w:tcPr>
          <w:p w14:paraId="65E9476B">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15</w:t>
            </w:r>
          </w:p>
        </w:tc>
        <w:tc>
          <w:tcPr>
            <w:tcW w:w="3607" w:type="pct"/>
            <w:tcBorders>
              <w:top w:val="nil"/>
              <w:left w:val="nil"/>
              <w:bottom w:val="nil"/>
              <w:right w:val="nil"/>
            </w:tcBorders>
            <w:shd w:val="clear" w:color="auto" w:fill="DAE9F8"/>
            <w:vAlign w:val="center"/>
          </w:tcPr>
          <w:p w14:paraId="1216676B">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报废器具通常不再列入在用台账，不宜在正文中过度展开。</w:t>
            </w:r>
          </w:p>
        </w:tc>
      </w:tr>
      <w:tr w14:paraId="4DF84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E9F8"/>
            <w:vAlign w:val="center"/>
          </w:tcPr>
          <w:p w14:paraId="511BE3C4">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E9F8"/>
            <w:vAlign w:val="center"/>
          </w:tcPr>
          <w:p w14:paraId="13C9A6E2">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溯源和复杂工况</w:t>
            </w:r>
          </w:p>
        </w:tc>
        <w:tc>
          <w:tcPr>
            <w:tcW w:w="240" w:type="pct"/>
            <w:tcBorders>
              <w:top w:val="nil"/>
              <w:left w:val="nil"/>
              <w:bottom w:val="nil"/>
              <w:right w:val="nil"/>
            </w:tcBorders>
            <w:shd w:val="clear" w:color="auto" w:fill="DAE9F8"/>
            <w:vAlign w:val="center"/>
          </w:tcPr>
          <w:p w14:paraId="77D119E6">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16</w:t>
            </w:r>
          </w:p>
        </w:tc>
        <w:tc>
          <w:tcPr>
            <w:tcW w:w="3607" w:type="pct"/>
            <w:tcBorders>
              <w:top w:val="nil"/>
              <w:left w:val="nil"/>
              <w:bottom w:val="nil"/>
              <w:right w:val="nil"/>
            </w:tcBorders>
            <w:shd w:val="clear" w:color="auto" w:fill="DAE9F8"/>
            <w:vAlign w:val="center"/>
          </w:tcPr>
          <w:p w14:paraId="4F7D6F83">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6.3.2中括号列举的地下管网、大口径等内容不必列太细。</w:t>
            </w:r>
          </w:p>
        </w:tc>
      </w:tr>
      <w:tr w14:paraId="216AB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E9F8"/>
            <w:vAlign w:val="center"/>
          </w:tcPr>
          <w:p w14:paraId="440414EA">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E9F8"/>
            <w:vAlign w:val="center"/>
          </w:tcPr>
          <w:p w14:paraId="448757A7">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E9F8"/>
            <w:vAlign w:val="center"/>
          </w:tcPr>
          <w:p w14:paraId="0A92600C">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17</w:t>
            </w:r>
          </w:p>
        </w:tc>
        <w:tc>
          <w:tcPr>
            <w:tcW w:w="3607" w:type="pct"/>
            <w:tcBorders>
              <w:top w:val="nil"/>
              <w:left w:val="nil"/>
              <w:bottom w:val="nil"/>
              <w:right w:val="nil"/>
            </w:tcBorders>
            <w:shd w:val="clear" w:color="auto" w:fill="DAE9F8"/>
            <w:vAlign w:val="center"/>
          </w:tcPr>
          <w:p w14:paraId="2E6FCD23">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对于火炬、炼厂干气等问题，建议公开征求意见后再审慎确定。</w:t>
            </w:r>
          </w:p>
        </w:tc>
      </w:tr>
      <w:tr w14:paraId="4B01D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E9F8"/>
            <w:vAlign w:val="center"/>
          </w:tcPr>
          <w:p w14:paraId="41E7491F">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E9F8"/>
            <w:vAlign w:val="center"/>
          </w:tcPr>
          <w:p w14:paraId="2D3E90FD">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计量器具精度</w:t>
            </w:r>
          </w:p>
        </w:tc>
        <w:tc>
          <w:tcPr>
            <w:tcW w:w="240" w:type="pct"/>
            <w:tcBorders>
              <w:top w:val="nil"/>
              <w:left w:val="nil"/>
              <w:bottom w:val="nil"/>
              <w:right w:val="nil"/>
            </w:tcBorders>
            <w:shd w:val="clear" w:color="auto" w:fill="DAE9F8"/>
            <w:vAlign w:val="center"/>
          </w:tcPr>
          <w:p w14:paraId="6177FF6F">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sz w:val="18"/>
                <w:szCs w:val="18"/>
                <w:highlight w:val="none"/>
                <w:u w:val="none"/>
                <w:lang w:val="en-US" w:eastAsia="zh-CN"/>
              </w:rPr>
              <w:t>18</w:t>
            </w:r>
          </w:p>
        </w:tc>
        <w:tc>
          <w:tcPr>
            <w:tcW w:w="3607" w:type="pct"/>
            <w:tcBorders>
              <w:top w:val="nil"/>
              <w:left w:val="nil"/>
              <w:bottom w:val="nil"/>
              <w:right w:val="nil"/>
            </w:tcBorders>
            <w:shd w:val="clear" w:color="auto" w:fill="DAE9F8"/>
            <w:vAlign w:val="center"/>
          </w:tcPr>
          <w:p w14:paraId="620F0FCC">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计量器具配备和精度应与17167、32151、20901等标准统筹。避免不同标准之间不要出现冲突，否则企业不知道按哪个执行。</w:t>
            </w:r>
          </w:p>
        </w:tc>
      </w:tr>
      <w:tr w14:paraId="38CB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E9F8"/>
            <w:vAlign w:val="center"/>
          </w:tcPr>
          <w:p w14:paraId="569A0953">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E9F8"/>
            <w:vAlign w:val="center"/>
          </w:tcPr>
          <w:p w14:paraId="7604EC7F">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E9F8"/>
            <w:vAlign w:val="center"/>
          </w:tcPr>
          <w:p w14:paraId="0643EB94">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sz w:val="18"/>
                <w:szCs w:val="18"/>
                <w:highlight w:val="none"/>
                <w:u w:val="none"/>
                <w:lang w:val="en-US" w:eastAsia="zh-CN"/>
              </w:rPr>
              <w:t>19</w:t>
            </w:r>
          </w:p>
        </w:tc>
        <w:tc>
          <w:tcPr>
            <w:tcW w:w="3607" w:type="pct"/>
            <w:tcBorders>
              <w:top w:val="nil"/>
              <w:left w:val="nil"/>
              <w:bottom w:val="nil"/>
              <w:right w:val="nil"/>
            </w:tcBorders>
            <w:shd w:val="clear" w:color="auto" w:fill="DAE9F8"/>
            <w:vAlign w:val="center"/>
          </w:tcPr>
          <w:p w14:paraId="0931572F">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温度、压力补偿非常重要，应考虑在合适位置体现。</w:t>
            </w:r>
          </w:p>
        </w:tc>
      </w:tr>
      <w:tr w14:paraId="359B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E9F8"/>
            <w:vAlign w:val="center"/>
          </w:tcPr>
          <w:p w14:paraId="3819B7C3">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E9F8"/>
            <w:vAlign w:val="center"/>
          </w:tcPr>
          <w:p w14:paraId="48187F06">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E9F8"/>
            <w:vAlign w:val="center"/>
          </w:tcPr>
          <w:p w14:paraId="4B78A808">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sz w:val="18"/>
                <w:szCs w:val="18"/>
                <w:highlight w:val="none"/>
                <w:u w:val="none"/>
                <w:lang w:val="en-US" w:eastAsia="zh-CN"/>
              </w:rPr>
              <w:t>20</w:t>
            </w:r>
          </w:p>
        </w:tc>
        <w:tc>
          <w:tcPr>
            <w:tcW w:w="3607" w:type="pct"/>
            <w:tcBorders>
              <w:top w:val="nil"/>
              <w:left w:val="nil"/>
              <w:bottom w:val="nil"/>
              <w:right w:val="nil"/>
            </w:tcBorders>
            <w:shd w:val="clear" w:color="auto" w:fill="DAE9F8"/>
            <w:vAlign w:val="center"/>
          </w:tcPr>
          <w:p w14:paraId="6BA0CAC9">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DCS是否能作为法定计量依据需慎重，DCS本身不等同于法定计量器具。</w:t>
            </w:r>
          </w:p>
        </w:tc>
      </w:tr>
      <w:tr w14:paraId="53CFD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E9F8"/>
            <w:vAlign w:val="center"/>
          </w:tcPr>
          <w:p w14:paraId="6B4EF624">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E9F8"/>
            <w:vAlign w:val="center"/>
          </w:tcPr>
          <w:p w14:paraId="47481F15">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E9F8"/>
            <w:vAlign w:val="center"/>
          </w:tcPr>
          <w:p w14:paraId="632AE49A">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21</w:t>
            </w:r>
          </w:p>
        </w:tc>
        <w:tc>
          <w:tcPr>
            <w:tcW w:w="3607" w:type="pct"/>
            <w:tcBorders>
              <w:top w:val="nil"/>
              <w:left w:val="nil"/>
              <w:bottom w:val="nil"/>
              <w:right w:val="nil"/>
            </w:tcBorders>
            <w:shd w:val="clear" w:color="auto" w:fill="DAE9F8"/>
            <w:vAlign w:val="center"/>
          </w:tcPr>
          <w:p w14:paraId="75C1C36F">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氢气在不同场景下属于能源还是物料，需要明确。</w:t>
            </w:r>
          </w:p>
        </w:tc>
      </w:tr>
      <w:tr w14:paraId="76442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E9F8"/>
            <w:vAlign w:val="center"/>
          </w:tcPr>
          <w:p w14:paraId="52A8F4EF">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E9F8"/>
            <w:vAlign w:val="center"/>
          </w:tcPr>
          <w:p w14:paraId="2CC97BEB">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审查组</w:t>
            </w:r>
          </w:p>
        </w:tc>
        <w:tc>
          <w:tcPr>
            <w:tcW w:w="240" w:type="pct"/>
            <w:tcBorders>
              <w:top w:val="nil"/>
              <w:left w:val="nil"/>
              <w:bottom w:val="nil"/>
              <w:right w:val="nil"/>
            </w:tcBorders>
            <w:shd w:val="clear" w:color="auto" w:fill="DAE9F8"/>
            <w:vAlign w:val="center"/>
          </w:tcPr>
          <w:p w14:paraId="5646C090">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22</w:t>
            </w:r>
          </w:p>
        </w:tc>
        <w:tc>
          <w:tcPr>
            <w:tcW w:w="3607" w:type="pct"/>
            <w:tcBorders>
              <w:top w:val="nil"/>
              <w:left w:val="nil"/>
              <w:bottom w:val="nil"/>
              <w:right w:val="nil"/>
            </w:tcBorders>
            <w:shd w:val="clear" w:color="auto" w:fill="DAE9F8"/>
            <w:vAlign w:val="center"/>
          </w:tcPr>
          <w:p w14:paraId="3C8001C0">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“组员”表述不够规范，建议统一用“审查组成员”。</w:t>
            </w:r>
          </w:p>
        </w:tc>
      </w:tr>
      <w:tr w14:paraId="4E0B0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E9F8"/>
            <w:vAlign w:val="center"/>
          </w:tcPr>
          <w:p w14:paraId="729AA18F">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E9F8"/>
            <w:vAlign w:val="center"/>
          </w:tcPr>
          <w:p w14:paraId="4F2E287C">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E9F8"/>
            <w:vAlign w:val="center"/>
          </w:tcPr>
          <w:p w14:paraId="5A4373F4">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23</w:t>
            </w:r>
          </w:p>
        </w:tc>
        <w:tc>
          <w:tcPr>
            <w:tcW w:w="3607" w:type="pct"/>
            <w:tcBorders>
              <w:top w:val="nil"/>
              <w:left w:val="nil"/>
              <w:bottom w:val="nil"/>
              <w:right w:val="nil"/>
            </w:tcBorders>
            <w:shd w:val="clear" w:color="auto" w:fill="DAE9F8"/>
            <w:vAlign w:val="center"/>
          </w:tcPr>
          <w:p w14:paraId="208489E3">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文中“评审”“审查”用词应统一。</w:t>
            </w:r>
          </w:p>
        </w:tc>
      </w:tr>
      <w:tr w14:paraId="78135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E9F8"/>
            <w:vAlign w:val="center"/>
          </w:tcPr>
          <w:p w14:paraId="2FD97BD2">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tcBorders>
              <w:top w:val="nil"/>
              <w:left w:val="nil"/>
              <w:bottom w:val="nil"/>
              <w:right w:val="nil"/>
            </w:tcBorders>
            <w:shd w:val="clear" w:color="auto" w:fill="DAE9F8"/>
            <w:vAlign w:val="center"/>
          </w:tcPr>
          <w:p w14:paraId="2E6E51B5">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能源流向图</w:t>
            </w:r>
          </w:p>
        </w:tc>
        <w:tc>
          <w:tcPr>
            <w:tcW w:w="240" w:type="pct"/>
            <w:tcBorders>
              <w:top w:val="nil"/>
              <w:left w:val="nil"/>
              <w:bottom w:val="nil"/>
              <w:right w:val="nil"/>
            </w:tcBorders>
            <w:shd w:val="clear" w:color="auto" w:fill="DAE9F8"/>
            <w:vAlign w:val="center"/>
          </w:tcPr>
          <w:p w14:paraId="5668962F">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24</w:t>
            </w:r>
          </w:p>
        </w:tc>
        <w:tc>
          <w:tcPr>
            <w:tcW w:w="3607" w:type="pct"/>
            <w:tcBorders>
              <w:top w:val="nil"/>
              <w:left w:val="nil"/>
              <w:bottom w:val="nil"/>
              <w:right w:val="nil"/>
            </w:tcBorders>
            <w:shd w:val="clear" w:color="auto" w:fill="DAE9F8"/>
            <w:vAlign w:val="center"/>
          </w:tcPr>
          <w:p w14:paraId="7D608BA6">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不建议再单独画能源流向图，容易重复且难以穷尽。计量网络图已基本能满足审查需要。</w:t>
            </w:r>
          </w:p>
        </w:tc>
      </w:tr>
      <w:tr w14:paraId="7E7A4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E9F8"/>
            <w:vAlign w:val="center"/>
          </w:tcPr>
          <w:p w14:paraId="742C397B">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right w:val="nil"/>
            </w:tcBorders>
            <w:shd w:val="clear" w:color="auto" w:fill="DAE9F8"/>
            <w:vAlign w:val="center"/>
          </w:tcPr>
          <w:p w14:paraId="6FF287AD">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会后补充</w:t>
            </w:r>
          </w:p>
        </w:tc>
        <w:tc>
          <w:tcPr>
            <w:tcW w:w="240" w:type="pct"/>
            <w:tcBorders>
              <w:top w:val="nil"/>
              <w:left w:val="nil"/>
              <w:bottom w:val="nil"/>
              <w:right w:val="nil"/>
            </w:tcBorders>
            <w:shd w:val="clear" w:color="auto" w:fill="DAE9F8"/>
            <w:vAlign w:val="center"/>
          </w:tcPr>
          <w:p w14:paraId="42D444B8">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25</w:t>
            </w:r>
          </w:p>
        </w:tc>
        <w:tc>
          <w:tcPr>
            <w:tcW w:w="3607" w:type="pct"/>
            <w:tcBorders>
              <w:top w:val="nil"/>
              <w:left w:val="nil"/>
              <w:bottom w:val="nil"/>
              <w:right w:val="nil"/>
            </w:tcBorders>
            <w:shd w:val="clear" w:color="auto" w:fill="DAE9F8"/>
            <w:vAlign w:val="center"/>
          </w:tcPr>
          <w:p w14:paraId="621DBEEA">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u w:val="none"/>
                <w:lang w:val="en-US" w:eastAsia="zh-CN" w:bidi="ar"/>
              </w:rPr>
              <w:t>统一规范名称表述：全文建议将“炼化”统一调整为“炼油化工”，包括适用范围、行业名称、企业名称、图表标题、报告格式等。</w:t>
            </w:r>
          </w:p>
        </w:tc>
      </w:tr>
      <w:tr w14:paraId="5BD4F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E9F8"/>
            <w:vAlign w:val="center"/>
          </w:tcPr>
          <w:p w14:paraId="24A42C2C">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E9F8"/>
            <w:vAlign w:val="center"/>
          </w:tcPr>
          <w:p w14:paraId="3619134E">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p>
        </w:tc>
        <w:tc>
          <w:tcPr>
            <w:tcW w:w="240" w:type="pct"/>
            <w:tcBorders>
              <w:top w:val="nil"/>
              <w:left w:val="nil"/>
              <w:bottom w:val="nil"/>
              <w:right w:val="nil"/>
            </w:tcBorders>
            <w:shd w:val="clear" w:color="auto" w:fill="DAE9F8"/>
            <w:vAlign w:val="center"/>
          </w:tcPr>
          <w:p w14:paraId="569EC784">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26</w:t>
            </w:r>
          </w:p>
        </w:tc>
        <w:tc>
          <w:tcPr>
            <w:tcW w:w="3607" w:type="pct"/>
            <w:tcBorders>
              <w:top w:val="nil"/>
              <w:left w:val="nil"/>
              <w:bottom w:val="nil"/>
              <w:right w:val="nil"/>
            </w:tcBorders>
            <w:shd w:val="clear" w:color="auto" w:fill="DAE9F8"/>
            <w:vAlign w:val="center"/>
          </w:tcPr>
          <w:p w14:paraId="19F966F2">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建议修改</w:t>
            </w:r>
            <w:r>
              <w:rPr>
                <w:rFonts w:hint="default" w:ascii="微软雅黑" w:hAnsi="微软雅黑" w:eastAsia="微软雅黑" w:cs="微软雅黑"/>
                <w:i w:val="0"/>
                <w:iCs w:val="0"/>
                <w:color w:val="000000"/>
                <w:kern w:val="0"/>
                <w:sz w:val="18"/>
                <w:szCs w:val="18"/>
                <w:highlight w:val="none"/>
                <w:u w:val="none"/>
                <w:lang w:val="en-US" w:eastAsia="zh-CN" w:bidi="ar"/>
              </w:rPr>
              <w:t>能源计量器具准确度等级要</w:t>
            </w:r>
            <w:r>
              <w:rPr>
                <w:rFonts w:hint="eastAsia" w:ascii="微软雅黑" w:hAnsi="微软雅黑" w:eastAsia="微软雅黑" w:cs="微软雅黑"/>
                <w:i w:val="0"/>
                <w:iCs w:val="0"/>
                <w:color w:val="000000"/>
                <w:kern w:val="0"/>
                <w:sz w:val="18"/>
                <w:szCs w:val="18"/>
                <w:highlight w:val="none"/>
                <w:u w:val="none"/>
                <w:lang w:val="en-US" w:eastAsia="zh-CN" w:bidi="ar"/>
              </w:rPr>
              <w:t>求，包括水计量管径阈值及准确度等级等。</w:t>
            </w:r>
          </w:p>
        </w:tc>
      </w:tr>
      <w:tr w14:paraId="09F7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bottom w:val="nil"/>
              <w:right w:val="nil"/>
            </w:tcBorders>
            <w:shd w:val="clear" w:color="auto" w:fill="DAE9F8"/>
            <w:vAlign w:val="center"/>
          </w:tcPr>
          <w:p w14:paraId="3B5E3AD6">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bottom w:val="nil"/>
              <w:right w:val="nil"/>
            </w:tcBorders>
            <w:shd w:val="clear" w:color="auto" w:fill="DAE9F8"/>
            <w:vAlign w:val="center"/>
          </w:tcPr>
          <w:p w14:paraId="3DC45FFC">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p>
        </w:tc>
        <w:tc>
          <w:tcPr>
            <w:tcW w:w="240" w:type="pct"/>
            <w:tcBorders>
              <w:top w:val="nil"/>
              <w:left w:val="nil"/>
              <w:bottom w:val="nil"/>
              <w:right w:val="nil"/>
            </w:tcBorders>
            <w:shd w:val="clear" w:color="auto" w:fill="DAE9F8"/>
            <w:vAlign w:val="center"/>
          </w:tcPr>
          <w:p w14:paraId="39D417F3">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27</w:t>
            </w:r>
          </w:p>
        </w:tc>
        <w:tc>
          <w:tcPr>
            <w:tcW w:w="3607" w:type="pct"/>
            <w:tcBorders>
              <w:top w:val="nil"/>
              <w:left w:val="nil"/>
              <w:bottom w:val="nil"/>
              <w:right w:val="nil"/>
            </w:tcBorders>
            <w:shd w:val="clear" w:color="auto" w:fill="DAE9F8"/>
            <w:vAlign w:val="center"/>
          </w:tcPr>
          <w:p w14:paraId="11067462">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规范内其他技术细节</w:t>
            </w:r>
          </w:p>
        </w:tc>
      </w:tr>
      <w:tr w14:paraId="299EB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restart"/>
            <w:tcBorders>
              <w:top w:val="nil"/>
              <w:left w:val="nil"/>
              <w:bottom w:val="nil"/>
              <w:right w:val="nil"/>
            </w:tcBorders>
            <w:shd w:val="clear" w:color="auto" w:fill="F2F2F2"/>
            <w:vAlign w:val="center"/>
          </w:tcPr>
          <w:p w14:paraId="440803AC">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sz w:val="18"/>
                <w:szCs w:val="18"/>
                <w:highlight w:val="none"/>
                <w:u w:val="none"/>
                <w:lang w:val="en-US"/>
              </w:rPr>
            </w:pPr>
            <w:r>
              <w:rPr>
                <w:rFonts w:hint="eastAsia" w:ascii="微软雅黑" w:hAnsi="微软雅黑" w:eastAsia="微软雅黑" w:cs="微软雅黑"/>
                <w:i w:val="0"/>
                <w:iCs w:val="0"/>
                <w:color w:val="000000"/>
                <w:kern w:val="0"/>
                <w:sz w:val="18"/>
                <w:szCs w:val="18"/>
                <w:highlight w:val="none"/>
                <w:u w:val="none"/>
                <w:lang w:val="en-US" w:eastAsia="zh-CN" w:bidi="ar"/>
              </w:rPr>
              <w:t>专家3</w:t>
            </w:r>
          </w:p>
        </w:tc>
        <w:tc>
          <w:tcPr>
            <w:tcW w:w="759" w:type="pct"/>
            <w:vMerge w:val="restart"/>
            <w:tcBorders>
              <w:top w:val="nil"/>
              <w:left w:val="nil"/>
              <w:bottom w:val="nil"/>
              <w:right w:val="nil"/>
            </w:tcBorders>
            <w:shd w:val="clear" w:color="auto" w:fill="F2F2F2"/>
            <w:vAlign w:val="center"/>
          </w:tcPr>
          <w:p w14:paraId="03F70DAF">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标准名称和范围</w:t>
            </w:r>
          </w:p>
        </w:tc>
        <w:tc>
          <w:tcPr>
            <w:tcW w:w="240" w:type="pct"/>
            <w:tcBorders>
              <w:top w:val="nil"/>
              <w:left w:val="nil"/>
              <w:bottom w:val="nil"/>
              <w:right w:val="nil"/>
            </w:tcBorders>
            <w:shd w:val="clear" w:color="auto" w:fill="F2F2F2"/>
            <w:vAlign w:val="center"/>
          </w:tcPr>
          <w:p w14:paraId="4F0AD1CA">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w:t>
            </w:r>
          </w:p>
        </w:tc>
        <w:tc>
          <w:tcPr>
            <w:tcW w:w="3607" w:type="pct"/>
            <w:tcBorders>
              <w:top w:val="nil"/>
              <w:left w:val="nil"/>
              <w:bottom w:val="nil"/>
              <w:right w:val="nil"/>
            </w:tcBorders>
            <w:shd w:val="clear" w:color="auto" w:fill="F2F2F2"/>
            <w:vAlign w:val="center"/>
          </w:tcPr>
          <w:p w14:paraId="65A50772">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现实中多数企业已是炼化一体化，建议统一聚焦“炼油化工”。</w:t>
            </w:r>
          </w:p>
        </w:tc>
      </w:tr>
      <w:tr w14:paraId="6FCB9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371A2AB4">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F2F2F2"/>
            <w:vAlign w:val="center"/>
          </w:tcPr>
          <w:p w14:paraId="494BE65D">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F2F2F2"/>
            <w:vAlign w:val="center"/>
          </w:tcPr>
          <w:p w14:paraId="3D547191">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w:t>
            </w:r>
          </w:p>
        </w:tc>
        <w:tc>
          <w:tcPr>
            <w:tcW w:w="3607" w:type="pct"/>
            <w:tcBorders>
              <w:top w:val="nil"/>
              <w:left w:val="nil"/>
              <w:bottom w:val="nil"/>
              <w:right w:val="nil"/>
            </w:tcBorders>
            <w:shd w:val="clear" w:color="auto" w:fill="F2F2F2"/>
            <w:vAlign w:val="center"/>
          </w:tcPr>
          <w:p w14:paraId="2F030E7F">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不应把石油勘探开发纳入本规范，否则范围过大、复杂度过高。</w:t>
            </w:r>
          </w:p>
        </w:tc>
      </w:tr>
      <w:tr w14:paraId="2A90A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04A5DCD0">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F2F2F2"/>
            <w:vAlign w:val="center"/>
          </w:tcPr>
          <w:p w14:paraId="1E565795">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F2F2F2"/>
            <w:vAlign w:val="center"/>
          </w:tcPr>
          <w:p w14:paraId="5778348B">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3</w:t>
            </w:r>
          </w:p>
        </w:tc>
        <w:tc>
          <w:tcPr>
            <w:tcW w:w="3607" w:type="pct"/>
            <w:tcBorders>
              <w:top w:val="nil"/>
              <w:left w:val="nil"/>
              <w:bottom w:val="nil"/>
              <w:right w:val="nil"/>
            </w:tcBorders>
            <w:shd w:val="clear" w:color="auto" w:fill="F2F2F2"/>
            <w:vAlign w:val="center"/>
          </w:tcPr>
          <w:p w14:paraId="5069037A">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同意删除范围中较长的参考性表述。</w:t>
            </w:r>
          </w:p>
        </w:tc>
      </w:tr>
      <w:tr w14:paraId="2BBF3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07B345D4">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F2F2F2"/>
            <w:vAlign w:val="center"/>
          </w:tcPr>
          <w:p w14:paraId="337CABA0">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F2F2F2"/>
            <w:vAlign w:val="center"/>
          </w:tcPr>
          <w:p w14:paraId="2D5BAF13">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4</w:t>
            </w:r>
          </w:p>
        </w:tc>
        <w:tc>
          <w:tcPr>
            <w:tcW w:w="3607" w:type="pct"/>
            <w:tcBorders>
              <w:top w:val="nil"/>
              <w:left w:val="nil"/>
              <w:bottom w:val="nil"/>
              <w:right w:val="nil"/>
            </w:tcBorders>
            <w:shd w:val="clear" w:color="auto" w:fill="F2F2F2"/>
            <w:vAlign w:val="center"/>
          </w:tcPr>
          <w:p w14:paraId="28FA9B00">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建议精简“重点用能单位”字样，直接表述炼油化工企业或单位的计量审查要求。</w:t>
            </w:r>
          </w:p>
        </w:tc>
      </w:tr>
      <w:tr w14:paraId="11CAE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45D9FB9A">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tcBorders>
              <w:top w:val="nil"/>
              <w:left w:val="nil"/>
              <w:bottom w:val="nil"/>
              <w:right w:val="nil"/>
            </w:tcBorders>
            <w:shd w:val="clear" w:color="auto" w:fill="F2F2F2"/>
            <w:vAlign w:val="center"/>
          </w:tcPr>
          <w:p w14:paraId="206C3B69">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术语定义</w:t>
            </w:r>
          </w:p>
        </w:tc>
        <w:tc>
          <w:tcPr>
            <w:tcW w:w="240" w:type="pct"/>
            <w:tcBorders>
              <w:top w:val="nil"/>
              <w:left w:val="nil"/>
              <w:bottom w:val="nil"/>
              <w:right w:val="nil"/>
            </w:tcBorders>
            <w:shd w:val="clear" w:color="auto" w:fill="F2F2F2"/>
            <w:vAlign w:val="center"/>
          </w:tcPr>
          <w:p w14:paraId="2B2AC722">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5</w:t>
            </w:r>
          </w:p>
        </w:tc>
        <w:tc>
          <w:tcPr>
            <w:tcW w:w="3607" w:type="pct"/>
            <w:tcBorders>
              <w:top w:val="nil"/>
              <w:left w:val="nil"/>
              <w:bottom w:val="nil"/>
              <w:right w:val="nil"/>
            </w:tcBorders>
            <w:shd w:val="clear" w:color="auto" w:fill="F2F2F2"/>
            <w:vAlign w:val="center"/>
          </w:tcPr>
          <w:p w14:paraId="397B17E7">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术语定义如与其他标准重复，可不保留。</w:t>
            </w:r>
          </w:p>
        </w:tc>
      </w:tr>
      <w:tr w14:paraId="3549D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57F51D64">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tcBorders>
              <w:top w:val="nil"/>
              <w:left w:val="nil"/>
              <w:bottom w:val="nil"/>
              <w:right w:val="nil"/>
            </w:tcBorders>
            <w:shd w:val="clear" w:color="auto" w:fill="F2F2F2"/>
            <w:vAlign w:val="center"/>
          </w:tcPr>
          <w:p w14:paraId="69800F64">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计量人员</w:t>
            </w:r>
          </w:p>
        </w:tc>
        <w:tc>
          <w:tcPr>
            <w:tcW w:w="240" w:type="pct"/>
            <w:tcBorders>
              <w:top w:val="nil"/>
              <w:left w:val="nil"/>
              <w:bottom w:val="nil"/>
              <w:right w:val="nil"/>
            </w:tcBorders>
            <w:shd w:val="clear" w:color="auto" w:fill="F2F2F2"/>
            <w:vAlign w:val="center"/>
          </w:tcPr>
          <w:p w14:paraId="4E62BF15">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6</w:t>
            </w:r>
          </w:p>
        </w:tc>
        <w:tc>
          <w:tcPr>
            <w:tcW w:w="3607" w:type="pct"/>
            <w:tcBorders>
              <w:top w:val="nil"/>
              <w:left w:val="nil"/>
              <w:bottom w:val="nil"/>
              <w:right w:val="nil"/>
            </w:tcBorders>
            <w:shd w:val="clear" w:color="auto" w:fill="F2F2F2"/>
            <w:vAlign w:val="center"/>
          </w:tcPr>
          <w:p w14:paraId="55F6E1E1">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同意人员部分保留一句原则性要求。</w:t>
            </w:r>
          </w:p>
        </w:tc>
      </w:tr>
      <w:tr w14:paraId="3ACBE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425591D2">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tcBorders>
              <w:top w:val="nil"/>
              <w:left w:val="nil"/>
              <w:bottom w:val="nil"/>
              <w:right w:val="nil"/>
            </w:tcBorders>
            <w:shd w:val="clear" w:color="auto" w:fill="F2F2F2"/>
            <w:vAlign w:val="center"/>
          </w:tcPr>
          <w:p w14:paraId="462D7354">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计量溯源</w:t>
            </w:r>
          </w:p>
        </w:tc>
        <w:tc>
          <w:tcPr>
            <w:tcW w:w="240" w:type="pct"/>
            <w:tcBorders>
              <w:top w:val="nil"/>
              <w:left w:val="nil"/>
              <w:bottom w:val="nil"/>
              <w:right w:val="nil"/>
            </w:tcBorders>
            <w:shd w:val="clear" w:color="auto" w:fill="F2F2F2"/>
            <w:vAlign w:val="center"/>
          </w:tcPr>
          <w:p w14:paraId="3DB658E1">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7</w:t>
            </w:r>
          </w:p>
        </w:tc>
        <w:tc>
          <w:tcPr>
            <w:tcW w:w="3607" w:type="pct"/>
            <w:tcBorders>
              <w:top w:val="nil"/>
              <w:left w:val="nil"/>
              <w:bottom w:val="nil"/>
              <w:right w:val="nil"/>
            </w:tcBorders>
            <w:shd w:val="clear" w:color="auto" w:fill="F2F2F2"/>
            <w:vAlign w:val="center"/>
          </w:tcPr>
          <w:p w14:paraId="41B75D83">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6.3.2中的括号举例建议去掉，因为特殊工况很难穷举。</w:t>
            </w:r>
          </w:p>
        </w:tc>
      </w:tr>
      <w:tr w14:paraId="043C3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4A0884AE">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F2F2F2"/>
            <w:vAlign w:val="center"/>
          </w:tcPr>
          <w:p w14:paraId="5564664B">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能源计量评价</w:t>
            </w:r>
          </w:p>
        </w:tc>
        <w:tc>
          <w:tcPr>
            <w:tcW w:w="240" w:type="pct"/>
            <w:tcBorders>
              <w:top w:val="nil"/>
              <w:left w:val="nil"/>
              <w:bottom w:val="nil"/>
              <w:right w:val="nil"/>
            </w:tcBorders>
            <w:shd w:val="clear" w:color="auto" w:fill="F2F2F2"/>
            <w:vAlign w:val="center"/>
          </w:tcPr>
          <w:p w14:paraId="06B62DF4">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8</w:t>
            </w:r>
          </w:p>
        </w:tc>
        <w:tc>
          <w:tcPr>
            <w:tcW w:w="3607" w:type="pct"/>
            <w:tcBorders>
              <w:top w:val="nil"/>
              <w:left w:val="nil"/>
              <w:bottom w:val="nil"/>
              <w:right w:val="nil"/>
            </w:tcBorders>
            <w:shd w:val="clear" w:color="auto" w:fill="F2F2F2"/>
            <w:vAlign w:val="center"/>
          </w:tcPr>
          <w:p w14:paraId="4DCA9365">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建议删除能力评价或等级评价内容。</w:t>
            </w:r>
          </w:p>
        </w:tc>
      </w:tr>
      <w:tr w14:paraId="3218E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614EF420">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F2F2F2"/>
            <w:vAlign w:val="center"/>
          </w:tcPr>
          <w:p w14:paraId="207E0DFE">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F2F2F2"/>
            <w:vAlign w:val="center"/>
          </w:tcPr>
          <w:p w14:paraId="3164414D">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9</w:t>
            </w:r>
          </w:p>
        </w:tc>
        <w:tc>
          <w:tcPr>
            <w:tcW w:w="3607" w:type="pct"/>
            <w:tcBorders>
              <w:top w:val="nil"/>
              <w:left w:val="nil"/>
              <w:bottom w:val="nil"/>
              <w:right w:val="nil"/>
            </w:tcBorders>
            <w:shd w:val="clear" w:color="auto" w:fill="F2F2F2"/>
            <w:vAlign w:val="center"/>
          </w:tcPr>
          <w:p w14:paraId="1B61B5C6">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审查结论应是合格/不合格，暂时没有必要再分好坏等级。对评分表是否仍需保留提出疑问；后续确认评分表作为审查结论依据仍需保留。</w:t>
            </w:r>
          </w:p>
        </w:tc>
      </w:tr>
      <w:tr w14:paraId="083D2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5487E8DF">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F2F2F2"/>
            <w:vAlign w:val="center"/>
          </w:tcPr>
          <w:p w14:paraId="5390497E">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能效监测</w:t>
            </w:r>
          </w:p>
        </w:tc>
        <w:tc>
          <w:tcPr>
            <w:tcW w:w="240" w:type="pct"/>
            <w:tcBorders>
              <w:top w:val="nil"/>
              <w:left w:val="nil"/>
              <w:bottom w:val="nil"/>
              <w:right w:val="nil"/>
            </w:tcBorders>
            <w:shd w:val="clear" w:color="auto" w:fill="F2F2F2"/>
            <w:vAlign w:val="center"/>
          </w:tcPr>
          <w:p w14:paraId="29CA0F8F">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10</w:t>
            </w:r>
          </w:p>
        </w:tc>
        <w:tc>
          <w:tcPr>
            <w:tcW w:w="3607" w:type="pct"/>
            <w:tcBorders>
              <w:top w:val="nil"/>
              <w:left w:val="nil"/>
              <w:bottom w:val="nil"/>
              <w:right w:val="nil"/>
            </w:tcBorders>
            <w:shd w:val="clear" w:color="auto" w:fill="F2F2F2"/>
            <w:vAlign w:val="center"/>
          </w:tcPr>
          <w:p w14:paraId="2578105E">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强烈建议删除能效监测章节。</w:t>
            </w:r>
          </w:p>
        </w:tc>
      </w:tr>
      <w:tr w14:paraId="3B924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405ACE8A">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F2F2F2"/>
            <w:vAlign w:val="center"/>
          </w:tcPr>
          <w:p w14:paraId="2E031E8E">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F2F2F2"/>
            <w:vAlign w:val="center"/>
          </w:tcPr>
          <w:p w14:paraId="1633052A">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11</w:t>
            </w:r>
          </w:p>
        </w:tc>
        <w:tc>
          <w:tcPr>
            <w:tcW w:w="3607" w:type="pct"/>
            <w:tcBorders>
              <w:top w:val="nil"/>
              <w:left w:val="nil"/>
              <w:bottom w:val="nil"/>
              <w:right w:val="nil"/>
            </w:tcBorders>
            <w:shd w:val="clear" w:color="auto" w:fill="F2F2F2"/>
            <w:vAlign w:val="center"/>
          </w:tcPr>
          <w:p w14:paraId="25F40F5E">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能效高低不是计量审查规范应规定的内容。</w:t>
            </w:r>
          </w:p>
        </w:tc>
      </w:tr>
      <w:tr w14:paraId="2D366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541C6555">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F2F2F2"/>
            <w:vAlign w:val="center"/>
          </w:tcPr>
          <w:p w14:paraId="3EAA88B8">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F2F2F2"/>
            <w:vAlign w:val="center"/>
          </w:tcPr>
          <w:p w14:paraId="685772A1">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12</w:t>
            </w:r>
          </w:p>
        </w:tc>
        <w:tc>
          <w:tcPr>
            <w:tcW w:w="3607" w:type="pct"/>
            <w:tcBorders>
              <w:top w:val="nil"/>
              <w:left w:val="nil"/>
              <w:bottom w:val="nil"/>
              <w:right w:val="nil"/>
            </w:tcBorders>
            <w:shd w:val="clear" w:color="auto" w:fill="F2F2F2"/>
            <w:vAlign w:val="center"/>
          </w:tcPr>
          <w:p w14:paraId="4ACB98A8">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计量规范应确保计量准确，而不是规定设备能效水平。</w:t>
            </w:r>
          </w:p>
        </w:tc>
      </w:tr>
      <w:tr w14:paraId="608B6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39DE01FA">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tcBorders>
              <w:top w:val="nil"/>
              <w:left w:val="nil"/>
              <w:bottom w:val="nil"/>
              <w:right w:val="nil"/>
            </w:tcBorders>
            <w:shd w:val="clear" w:color="auto" w:fill="F2F2F2"/>
            <w:vAlign w:val="center"/>
          </w:tcPr>
          <w:p w14:paraId="37E00EDF">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能流图</w:t>
            </w:r>
          </w:p>
        </w:tc>
        <w:tc>
          <w:tcPr>
            <w:tcW w:w="240" w:type="pct"/>
            <w:tcBorders>
              <w:top w:val="nil"/>
              <w:left w:val="nil"/>
              <w:bottom w:val="nil"/>
              <w:right w:val="nil"/>
            </w:tcBorders>
            <w:shd w:val="clear" w:color="auto" w:fill="F2F2F2"/>
            <w:vAlign w:val="center"/>
          </w:tcPr>
          <w:p w14:paraId="5F025E1D">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13</w:t>
            </w:r>
          </w:p>
        </w:tc>
        <w:tc>
          <w:tcPr>
            <w:tcW w:w="3607" w:type="pct"/>
            <w:tcBorders>
              <w:top w:val="nil"/>
              <w:left w:val="nil"/>
              <w:bottom w:val="nil"/>
              <w:right w:val="nil"/>
            </w:tcBorders>
            <w:shd w:val="clear" w:color="auto" w:fill="F2F2F2"/>
            <w:vAlign w:val="center"/>
          </w:tcPr>
          <w:p w14:paraId="500D03D1">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同意不再单独设置能源流向图，现场计量网络图即可支撑审查。</w:t>
            </w:r>
          </w:p>
        </w:tc>
      </w:tr>
      <w:tr w14:paraId="7BA92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restart"/>
            <w:tcBorders>
              <w:top w:val="nil"/>
              <w:left w:val="nil"/>
              <w:right w:val="nil"/>
            </w:tcBorders>
            <w:shd w:val="clear" w:color="auto" w:fill="DAF2D0"/>
            <w:vAlign w:val="center"/>
          </w:tcPr>
          <w:p w14:paraId="56063DBB">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专家4</w:t>
            </w:r>
          </w:p>
        </w:tc>
        <w:tc>
          <w:tcPr>
            <w:tcW w:w="759" w:type="pct"/>
            <w:vMerge w:val="restart"/>
            <w:tcBorders>
              <w:top w:val="nil"/>
              <w:left w:val="nil"/>
              <w:bottom w:val="nil"/>
              <w:right w:val="nil"/>
            </w:tcBorders>
            <w:shd w:val="clear" w:color="auto" w:fill="DAF2D0"/>
            <w:vAlign w:val="center"/>
          </w:tcPr>
          <w:p w14:paraId="7FBD7C45">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总体定位</w:t>
            </w:r>
          </w:p>
        </w:tc>
        <w:tc>
          <w:tcPr>
            <w:tcW w:w="240" w:type="pct"/>
            <w:tcBorders>
              <w:top w:val="nil"/>
              <w:left w:val="nil"/>
              <w:bottom w:val="nil"/>
              <w:right w:val="nil"/>
            </w:tcBorders>
            <w:shd w:val="clear" w:color="auto" w:fill="DAF2D0"/>
            <w:vAlign w:val="center"/>
          </w:tcPr>
          <w:p w14:paraId="0CD24505">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sz w:val="18"/>
                <w:szCs w:val="18"/>
                <w:highlight w:val="none"/>
                <w:u w:val="none"/>
              </w:rPr>
            </w:pPr>
            <w:r>
              <w:rPr>
                <w:rFonts w:hint="default" w:ascii="微软雅黑" w:hAnsi="微软雅黑" w:eastAsia="微软雅黑" w:cs="微软雅黑"/>
                <w:i w:val="0"/>
                <w:iCs w:val="0"/>
                <w:color w:val="000000"/>
                <w:kern w:val="2"/>
                <w:sz w:val="18"/>
                <w:szCs w:val="18"/>
                <w:highlight w:val="none"/>
                <w:lang w:val="en-US" w:eastAsia="zh-CN" w:bidi="ar-SA"/>
              </w:rPr>
              <w:t>1</w:t>
            </w:r>
          </w:p>
        </w:tc>
        <w:tc>
          <w:tcPr>
            <w:tcW w:w="3607" w:type="pct"/>
            <w:tcBorders>
              <w:top w:val="nil"/>
              <w:left w:val="nil"/>
              <w:bottom w:val="nil"/>
              <w:right w:val="nil"/>
            </w:tcBorders>
            <w:shd w:val="clear" w:color="auto" w:fill="DAF2D0"/>
            <w:vAlign w:val="center"/>
          </w:tcPr>
          <w:p w14:paraId="0A184D83">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规范范围应与立项保持一致。</w:t>
            </w:r>
          </w:p>
        </w:tc>
      </w:tr>
      <w:tr w14:paraId="61C17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1CA584C3">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135EDF83">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758F30DA">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sz w:val="18"/>
                <w:szCs w:val="18"/>
                <w:highlight w:val="none"/>
                <w:u w:val="none"/>
              </w:rPr>
            </w:pPr>
            <w:r>
              <w:rPr>
                <w:rFonts w:hint="default" w:ascii="微软雅黑" w:hAnsi="微软雅黑" w:eastAsia="微软雅黑" w:cs="微软雅黑"/>
                <w:i w:val="0"/>
                <w:iCs w:val="0"/>
                <w:color w:val="000000"/>
                <w:kern w:val="2"/>
                <w:sz w:val="18"/>
                <w:szCs w:val="18"/>
                <w:highlight w:val="none"/>
                <w:lang w:val="en-US" w:eastAsia="zh-CN" w:bidi="ar-SA"/>
              </w:rPr>
              <w:t>2</w:t>
            </w:r>
          </w:p>
        </w:tc>
        <w:tc>
          <w:tcPr>
            <w:tcW w:w="3607" w:type="pct"/>
            <w:tcBorders>
              <w:top w:val="nil"/>
              <w:left w:val="nil"/>
              <w:bottom w:val="nil"/>
              <w:right w:val="nil"/>
            </w:tcBorders>
            <w:shd w:val="clear" w:color="auto" w:fill="DAF2D0"/>
            <w:vAlign w:val="center"/>
          </w:tcPr>
          <w:p w14:paraId="431F870C">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建议剔除碳排放内容，因为已有专门的碳计量相关规范。</w:t>
            </w:r>
          </w:p>
        </w:tc>
      </w:tr>
      <w:tr w14:paraId="3C9A6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59CBC149">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5BB7202B">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3A30EF2B">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sz w:val="18"/>
                <w:szCs w:val="18"/>
                <w:highlight w:val="none"/>
                <w:u w:val="none"/>
              </w:rPr>
            </w:pPr>
            <w:r>
              <w:rPr>
                <w:rFonts w:hint="default" w:ascii="微软雅黑" w:hAnsi="微软雅黑" w:eastAsia="微软雅黑" w:cs="微软雅黑"/>
                <w:i w:val="0"/>
                <w:iCs w:val="0"/>
                <w:color w:val="000000"/>
                <w:kern w:val="2"/>
                <w:sz w:val="18"/>
                <w:szCs w:val="18"/>
                <w:highlight w:val="none"/>
                <w:lang w:val="en-US" w:eastAsia="zh-CN" w:bidi="ar-SA"/>
              </w:rPr>
              <w:t>3</w:t>
            </w:r>
          </w:p>
        </w:tc>
        <w:tc>
          <w:tcPr>
            <w:tcW w:w="3607" w:type="pct"/>
            <w:tcBorders>
              <w:top w:val="nil"/>
              <w:left w:val="nil"/>
              <w:bottom w:val="nil"/>
              <w:right w:val="nil"/>
            </w:tcBorders>
            <w:shd w:val="clear" w:color="auto" w:fill="DAF2D0"/>
            <w:vAlign w:val="center"/>
          </w:tcPr>
          <w:p w14:paraId="7FDF90C7">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本规范是审查规范，不是实施规范。</w:t>
            </w:r>
          </w:p>
        </w:tc>
      </w:tr>
      <w:tr w14:paraId="5877B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1FE5C776">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5DDF7362">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767EF695">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sz w:val="18"/>
                <w:szCs w:val="18"/>
                <w:highlight w:val="none"/>
                <w:u w:val="none"/>
              </w:rPr>
            </w:pPr>
            <w:r>
              <w:rPr>
                <w:rFonts w:hint="default" w:ascii="微软雅黑" w:hAnsi="微软雅黑" w:eastAsia="微软雅黑" w:cs="微软雅黑"/>
                <w:i w:val="0"/>
                <w:iCs w:val="0"/>
                <w:color w:val="000000"/>
                <w:kern w:val="2"/>
                <w:sz w:val="18"/>
                <w:szCs w:val="18"/>
                <w:highlight w:val="none"/>
                <w:lang w:val="en-US" w:eastAsia="zh-CN" w:bidi="ar-SA"/>
              </w:rPr>
              <w:t>4</w:t>
            </w:r>
          </w:p>
        </w:tc>
        <w:tc>
          <w:tcPr>
            <w:tcW w:w="3607" w:type="pct"/>
            <w:tcBorders>
              <w:top w:val="nil"/>
              <w:left w:val="nil"/>
              <w:bottom w:val="nil"/>
              <w:right w:val="nil"/>
            </w:tcBorders>
            <w:shd w:val="clear" w:color="auto" w:fill="DAF2D0"/>
            <w:vAlign w:val="center"/>
          </w:tcPr>
          <w:p w14:paraId="731A1050">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内容应聚焦审查依据、审查范围、审查流程、审查要求、审查频次等。</w:t>
            </w:r>
          </w:p>
        </w:tc>
      </w:tr>
      <w:tr w14:paraId="32F67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27AB28DA">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1DB98702">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4E01B859">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sz w:val="18"/>
                <w:szCs w:val="18"/>
                <w:highlight w:val="none"/>
                <w:u w:val="none"/>
              </w:rPr>
            </w:pPr>
            <w:r>
              <w:rPr>
                <w:rFonts w:hint="default" w:ascii="微软雅黑" w:hAnsi="微软雅黑" w:eastAsia="微软雅黑" w:cs="微软雅黑"/>
                <w:i w:val="0"/>
                <w:iCs w:val="0"/>
                <w:color w:val="000000"/>
                <w:kern w:val="2"/>
                <w:sz w:val="18"/>
                <w:szCs w:val="18"/>
                <w:highlight w:val="none"/>
                <w:lang w:val="en-US" w:eastAsia="zh-CN" w:bidi="ar-SA"/>
              </w:rPr>
              <w:t>5</w:t>
            </w:r>
          </w:p>
        </w:tc>
        <w:tc>
          <w:tcPr>
            <w:tcW w:w="3607" w:type="pct"/>
            <w:tcBorders>
              <w:top w:val="nil"/>
              <w:left w:val="nil"/>
              <w:bottom w:val="nil"/>
              <w:right w:val="nil"/>
            </w:tcBorders>
            <w:shd w:val="clear" w:color="auto" w:fill="DAF2D0"/>
            <w:vAlign w:val="center"/>
          </w:tcPr>
          <w:p w14:paraId="12609540">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不应过多规定能源管理、能源计量管理的具体实施要求。</w:t>
            </w:r>
          </w:p>
        </w:tc>
      </w:tr>
      <w:tr w14:paraId="5B007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423824A9">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F2D0"/>
            <w:vAlign w:val="center"/>
          </w:tcPr>
          <w:p w14:paraId="649B3178">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第三方评价和等级评价</w:t>
            </w:r>
          </w:p>
        </w:tc>
        <w:tc>
          <w:tcPr>
            <w:tcW w:w="240" w:type="pct"/>
            <w:tcBorders>
              <w:top w:val="nil"/>
              <w:left w:val="nil"/>
              <w:bottom w:val="nil"/>
              <w:right w:val="nil"/>
            </w:tcBorders>
            <w:shd w:val="clear" w:color="auto" w:fill="DAF2D0"/>
            <w:vAlign w:val="center"/>
          </w:tcPr>
          <w:p w14:paraId="5995C717">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sz w:val="18"/>
                <w:szCs w:val="18"/>
                <w:highlight w:val="none"/>
                <w:u w:val="none"/>
              </w:rPr>
            </w:pPr>
            <w:r>
              <w:rPr>
                <w:rFonts w:hint="default" w:ascii="微软雅黑" w:hAnsi="微软雅黑" w:eastAsia="微软雅黑" w:cs="微软雅黑"/>
                <w:i w:val="0"/>
                <w:iCs w:val="0"/>
                <w:color w:val="000000"/>
                <w:kern w:val="2"/>
                <w:sz w:val="18"/>
                <w:szCs w:val="18"/>
                <w:highlight w:val="none"/>
                <w:lang w:val="en-US" w:eastAsia="zh-CN" w:bidi="ar-SA"/>
              </w:rPr>
              <w:t>6</w:t>
            </w:r>
          </w:p>
        </w:tc>
        <w:tc>
          <w:tcPr>
            <w:tcW w:w="3607" w:type="pct"/>
            <w:tcBorders>
              <w:top w:val="nil"/>
              <w:left w:val="nil"/>
              <w:bottom w:val="nil"/>
              <w:right w:val="nil"/>
            </w:tcBorders>
            <w:shd w:val="clear" w:color="auto" w:fill="DAF2D0"/>
            <w:vAlign w:val="center"/>
          </w:tcPr>
          <w:p w14:paraId="0852F41D">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本规范立项是给政府主管部门做能源计量审查使用，不建议写第三方评价。</w:t>
            </w:r>
          </w:p>
        </w:tc>
      </w:tr>
      <w:tr w14:paraId="6AEC2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39410FDA">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5206D668">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64403CEC">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sz w:val="18"/>
                <w:szCs w:val="18"/>
                <w:highlight w:val="none"/>
                <w:u w:val="none"/>
              </w:rPr>
            </w:pPr>
            <w:r>
              <w:rPr>
                <w:rFonts w:hint="default" w:ascii="微软雅黑" w:hAnsi="微软雅黑" w:eastAsia="微软雅黑" w:cs="微软雅黑"/>
                <w:i w:val="0"/>
                <w:iCs w:val="0"/>
                <w:color w:val="000000"/>
                <w:kern w:val="2"/>
                <w:sz w:val="18"/>
                <w:szCs w:val="18"/>
                <w:highlight w:val="none"/>
                <w:lang w:val="en-US" w:eastAsia="zh-CN" w:bidi="ar-SA"/>
              </w:rPr>
              <w:t>7</w:t>
            </w:r>
          </w:p>
        </w:tc>
        <w:tc>
          <w:tcPr>
            <w:tcW w:w="3607" w:type="pct"/>
            <w:tcBorders>
              <w:top w:val="nil"/>
              <w:left w:val="nil"/>
              <w:bottom w:val="nil"/>
              <w:right w:val="nil"/>
            </w:tcBorders>
            <w:shd w:val="clear" w:color="auto" w:fill="DAF2D0"/>
            <w:vAlign w:val="center"/>
          </w:tcPr>
          <w:p w14:paraId="19D85EC3">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审查结论应是合格/不合格，不宜设置能力评价或评级。</w:t>
            </w:r>
          </w:p>
        </w:tc>
      </w:tr>
      <w:tr w14:paraId="2992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29268863">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79D60F84">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0D432391">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sz w:val="18"/>
                <w:szCs w:val="18"/>
                <w:highlight w:val="none"/>
                <w:u w:val="none"/>
              </w:rPr>
            </w:pPr>
            <w:r>
              <w:rPr>
                <w:rFonts w:hint="default" w:ascii="微软雅黑" w:hAnsi="微软雅黑" w:eastAsia="微软雅黑" w:cs="微软雅黑"/>
                <w:i w:val="0"/>
                <w:iCs w:val="0"/>
                <w:color w:val="000000"/>
                <w:kern w:val="2"/>
                <w:sz w:val="18"/>
                <w:szCs w:val="18"/>
                <w:highlight w:val="none"/>
                <w:lang w:val="en-US" w:eastAsia="zh-CN" w:bidi="ar-SA"/>
              </w:rPr>
              <w:t>8</w:t>
            </w:r>
          </w:p>
        </w:tc>
        <w:tc>
          <w:tcPr>
            <w:tcW w:w="3607" w:type="pct"/>
            <w:tcBorders>
              <w:top w:val="nil"/>
              <w:left w:val="nil"/>
              <w:bottom w:val="nil"/>
              <w:right w:val="nil"/>
            </w:tcBorders>
            <w:shd w:val="clear" w:color="auto" w:fill="DAF2D0"/>
            <w:vAlign w:val="center"/>
          </w:tcPr>
          <w:p w14:paraId="36E219CF">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如1356总则涉及评价，应向总局或秘书处确认后再决定。</w:t>
            </w:r>
          </w:p>
        </w:tc>
      </w:tr>
      <w:tr w14:paraId="76D88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087E1254">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F2D0"/>
            <w:vAlign w:val="center"/>
          </w:tcPr>
          <w:p w14:paraId="6A222258">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标准引用</w:t>
            </w:r>
          </w:p>
        </w:tc>
        <w:tc>
          <w:tcPr>
            <w:tcW w:w="240" w:type="pct"/>
            <w:tcBorders>
              <w:top w:val="nil"/>
              <w:left w:val="nil"/>
              <w:bottom w:val="nil"/>
              <w:right w:val="nil"/>
            </w:tcBorders>
            <w:shd w:val="clear" w:color="auto" w:fill="DAF2D0"/>
            <w:vAlign w:val="center"/>
          </w:tcPr>
          <w:p w14:paraId="7BAD6964">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sz w:val="18"/>
                <w:szCs w:val="18"/>
                <w:highlight w:val="none"/>
                <w:u w:val="none"/>
              </w:rPr>
            </w:pPr>
            <w:r>
              <w:rPr>
                <w:rFonts w:hint="default" w:ascii="微软雅黑" w:hAnsi="微软雅黑" w:eastAsia="微软雅黑" w:cs="微软雅黑"/>
                <w:i w:val="0"/>
                <w:iCs w:val="0"/>
                <w:color w:val="000000"/>
                <w:kern w:val="2"/>
                <w:sz w:val="18"/>
                <w:szCs w:val="18"/>
                <w:highlight w:val="none"/>
                <w:lang w:val="en-US" w:eastAsia="zh-CN" w:bidi="ar-SA"/>
              </w:rPr>
              <w:t>9</w:t>
            </w:r>
          </w:p>
        </w:tc>
        <w:tc>
          <w:tcPr>
            <w:tcW w:w="3607" w:type="pct"/>
            <w:tcBorders>
              <w:top w:val="nil"/>
              <w:left w:val="nil"/>
              <w:bottom w:val="nil"/>
              <w:right w:val="nil"/>
            </w:tcBorders>
            <w:shd w:val="clear" w:color="auto" w:fill="DAF2D0"/>
            <w:vAlign w:val="center"/>
          </w:tcPr>
          <w:p w14:paraId="3890F2BA">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文中引用的17167版本已作废，应更新为新版。</w:t>
            </w:r>
          </w:p>
        </w:tc>
      </w:tr>
      <w:tr w14:paraId="7B269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6E2990DD">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570BE187">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62F80331">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sz w:val="18"/>
                <w:szCs w:val="18"/>
                <w:highlight w:val="none"/>
                <w:u w:val="none"/>
              </w:rPr>
            </w:pPr>
            <w:r>
              <w:rPr>
                <w:rFonts w:hint="default" w:ascii="微软雅黑" w:hAnsi="微软雅黑" w:eastAsia="微软雅黑" w:cs="微软雅黑"/>
                <w:i w:val="0"/>
                <w:iCs w:val="0"/>
                <w:color w:val="000000"/>
                <w:kern w:val="2"/>
                <w:sz w:val="18"/>
                <w:szCs w:val="18"/>
                <w:highlight w:val="none"/>
                <w:lang w:val="en-US" w:eastAsia="zh-CN" w:bidi="ar-SA"/>
              </w:rPr>
              <w:t>10</w:t>
            </w:r>
          </w:p>
        </w:tc>
        <w:tc>
          <w:tcPr>
            <w:tcW w:w="3607" w:type="pct"/>
            <w:tcBorders>
              <w:top w:val="nil"/>
              <w:left w:val="nil"/>
              <w:bottom w:val="nil"/>
              <w:right w:val="nil"/>
            </w:tcBorders>
            <w:shd w:val="clear" w:color="auto" w:fill="DAF2D0"/>
            <w:vAlign w:val="center"/>
          </w:tcPr>
          <w:p w14:paraId="6B41BA7F">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凡是已有现行标准规定的内容，应尽量引用，不要重新规定。</w:t>
            </w:r>
          </w:p>
        </w:tc>
      </w:tr>
      <w:tr w14:paraId="68AC6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7586DC6A">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F2D0"/>
            <w:vAlign w:val="center"/>
          </w:tcPr>
          <w:p w14:paraId="20ABEB08">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良好实践和行业痛点</w:t>
            </w:r>
          </w:p>
        </w:tc>
        <w:tc>
          <w:tcPr>
            <w:tcW w:w="240" w:type="pct"/>
            <w:tcBorders>
              <w:top w:val="nil"/>
              <w:left w:val="nil"/>
              <w:bottom w:val="nil"/>
              <w:right w:val="nil"/>
            </w:tcBorders>
            <w:shd w:val="clear" w:color="auto" w:fill="DAF2D0"/>
            <w:vAlign w:val="center"/>
          </w:tcPr>
          <w:p w14:paraId="0769F08D">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sz w:val="18"/>
                <w:szCs w:val="18"/>
                <w:highlight w:val="none"/>
                <w:u w:val="none"/>
              </w:rPr>
            </w:pPr>
            <w:r>
              <w:rPr>
                <w:rFonts w:hint="default" w:ascii="微软雅黑" w:hAnsi="微软雅黑" w:eastAsia="微软雅黑" w:cs="微软雅黑"/>
                <w:i w:val="0"/>
                <w:iCs w:val="0"/>
                <w:color w:val="000000"/>
                <w:kern w:val="2"/>
                <w:sz w:val="18"/>
                <w:szCs w:val="18"/>
                <w:highlight w:val="none"/>
                <w:lang w:val="en-US" w:eastAsia="zh-CN" w:bidi="ar-SA"/>
              </w:rPr>
              <w:t>11</w:t>
            </w:r>
          </w:p>
        </w:tc>
        <w:tc>
          <w:tcPr>
            <w:tcW w:w="3607" w:type="pct"/>
            <w:tcBorders>
              <w:top w:val="nil"/>
              <w:left w:val="nil"/>
              <w:bottom w:val="nil"/>
              <w:right w:val="nil"/>
            </w:tcBorders>
            <w:shd w:val="clear" w:color="auto" w:fill="DAF2D0"/>
            <w:vAlign w:val="center"/>
          </w:tcPr>
          <w:p w14:paraId="42FEF33C">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调研中形成的良好实践可作为增值内容，放入资料性附录。</w:t>
            </w:r>
          </w:p>
        </w:tc>
      </w:tr>
      <w:tr w14:paraId="7D98B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339189A9">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168FD81C">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435B850B">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sz w:val="18"/>
                <w:szCs w:val="18"/>
                <w:highlight w:val="none"/>
                <w:u w:val="none"/>
              </w:rPr>
            </w:pPr>
            <w:r>
              <w:rPr>
                <w:rFonts w:hint="default" w:ascii="微软雅黑" w:hAnsi="微软雅黑" w:eastAsia="微软雅黑" w:cs="微软雅黑"/>
                <w:i w:val="0"/>
                <w:iCs w:val="0"/>
                <w:color w:val="000000"/>
                <w:kern w:val="2"/>
                <w:sz w:val="18"/>
                <w:szCs w:val="18"/>
                <w:highlight w:val="none"/>
                <w:lang w:val="en-US" w:eastAsia="zh-CN" w:bidi="ar-SA"/>
              </w:rPr>
              <w:t>12</w:t>
            </w:r>
          </w:p>
        </w:tc>
        <w:tc>
          <w:tcPr>
            <w:tcW w:w="3607" w:type="pct"/>
            <w:tcBorders>
              <w:top w:val="nil"/>
              <w:left w:val="nil"/>
              <w:bottom w:val="nil"/>
              <w:right w:val="nil"/>
            </w:tcBorders>
            <w:shd w:val="clear" w:color="auto" w:fill="DAF2D0"/>
            <w:vAlign w:val="center"/>
          </w:tcPr>
          <w:p w14:paraId="2121E177">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暂时难以解决的行业痛点，可反馈给计量器具制造单位，作为产品开发参考。</w:t>
            </w:r>
          </w:p>
        </w:tc>
      </w:tr>
      <w:tr w14:paraId="43C1A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60633AE4">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13A963AD">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0DFCAB47">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sz w:val="18"/>
                <w:szCs w:val="18"/>
                <w:highlight w:val="none"/>
                <w:u w:val="none"/>
              </w:rPr>
            </w:pPr>
            <w:r>
              <w:rPr>
                <w:rFonts w:hint="default" w:ascii="微软雅黑" w:hAnsi="微软雅黑" w:eastAsia="微软雅黑" w:cs="微软雅黑"/>
                <w:i w:val="0"/>
                <w:iCs w:val="0"/>
                <w:color w:val="000000"/>
                <w:kern w:val="2"/>
                <w:sz w:val="18"/>
                <w:szCs w:val="18"/>
                <w:highlight w:val="none"/>
                <w:lang w:val="en-US" w:eastAsia="zh-CN" w:bidi="ar-SA"/>
              </w:rPr>
              <w:t>13</w:t>
            </w:r>
          </w:p>
        </w:tc>
        <w:tc>
          <w:tcPr>
            <w:tcW w:w="3607" w:type="pct"/>
            <w:tcBorders>
              <w:top w:val="nil"/>
              <w:left w:val="nil"/>
              <w:bottom w:val="nil"/>
              <w:right w:val="nil"/>
            </w:tcBorders>
            <w:shd w:val="clear" w:color="auto" w:fill="DAF2D0"/>
            <w:vAlign w:val="center"/>
          </w:tcPr>
          <w:p w14:paraId="5E7DBCB7">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也可后续整理成案例集或专项调研成果。</w:t>
            </w:r>
          </w:p>
        </w:tc>
      </w:tr>
      <w:tr w14:paraId="478B2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4D2B6DDE">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tcBorders>
              <w:top w:val="nil"/>
              <w:left w:val="nil"/>
              <w:bottom w:val="nil"/>
              <w:right w:val="nil"/>
            </w:tcBorders>
            <w:shd w:val="clear" w:color="auto" w:fill="DAF2D0"/>
            <w:vAlign w:val="center"/>
          </w:tcPr>
          <w:p w14:paraId="616955EF">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术语定义</w:t>
            </w:r>
          </w:p>
        </w:tc>
        <w:tc>
          <w:tcPr>
            <w:tcW w:w="240" w:type="pct"/>
            <w:tcBorders>
              <w:top w:val="nil"/>
              <w:left w:val="nil"/>
              <w:bottom w:val="nil"/>
              <w:right w:val="nil"/>
            </w:tcBorders>
            <w:shd w:val="clear" w:color="auto" w:fill="DAF2D0"/>
            <w:vAlign w:val="center"/>
          </w:tcPr>
          <w:p w14:paraId="3ECF69A2">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sz w:val="18"/>
                <w:szCs w:val="18"/>
                <w:highlight w:val="none"/>
                <w:u w:val="none"/>
              </w:rPr>
            </w:pPr>
            <w:r>
              <w:rPr>
                <w:rFonts w:hint="default" w:ascii="微软雅黑" w:hAnsi="微软雅黑" w:eastAsia="微软雅黑" w:cs="微软雅黑"/>
                <w:i w:val="0"/>
                <w:iCs w:val="0"/>
                <w:color w:val="000000"/>
                <w:kern w:val="2"/>
                <w:sz w:val="18"/>
                <w:szCs w:val="18"/>
                <w:highlight w:val="none"/>
                <w:lang w:val="en-US" w:eastAsia="zh-CN" w:bidi="ar-SA"/>
              </w:rPr>
              <w:t>14</w:t>
            </w:r>
          </w:p>
        </w:tc>
        <w:tc>
          <w:tcPr>
            <w:tcW w:w="3607" w:type="pct"/>
            <w:tcBorders>
              <w:top w:val="nil"/>
              <w:left w:val="nil"/>
              <w:bottom w:val="nil"/>
              <w:right w:val="nil"/>
            </w:tcBorders>
            <w:shd w:val="clear" w:color="auto" w:fill="DAF2D0"/>
            <w:vAlign w:val="center"/>
          </w:tcPr>
          <w:p w14:paraId="36604F35">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“炼油化工企业”等定义应优先查找相关标准来源。不建议在没有依据的情况下自行定义。</w:t>
            </w:r>
          </w:p>
        </w:tc>
      </w:tr>
      <w:tr w14:paraId="11E64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56CFB902">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tcBorders>
              <w:top w:val="nil"/>
              <w:left w:val="nil"/>
              <w:bottom w:val="nil"/>
              <w:right w:val="nil"/>
            </w:tcBorders>
            <w:shd w:val="clear" w:color="auto" w:fill="DAF2D0"/>
            <w:vAlign w:val="center"/>
          </w:tcPr>
          <w:p w14:paraId="75F38410">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人员考核</w:t>
            </w:r>
          </w:p>
        </w:tc>
        <w:tc>
          <w:tcPr>
            <w:tcW w:w="240" w:type="pct"/>
            <w:tcBorders>
              <w:top w:val="nil"/>
              <w:left w:val="nil"/>
              <w:bottom w:val="nil"/>
              <w:right w:val="nil"/>
            </w:tcBorders>
            <w:shd w:val="clear" w:color="auto" w:fill="DAF2D0"/>
            <w:vAlign w:val="center"/>
          </w:tcPr>
          <w:p w14:paraId="78B7C290">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sz w:val="18"/>
                <w:szCs w:val="18"/>
                <w:highlight w:val="none"/>
                <w:u w:val="none"/>
              </w:rPr>
            </w:pPr>
            <w:r>
              <w:rPr>
                <w:rFonts w:hint="default" w:ascii="微软雅黑" w:hAnsi="微软雅黑" w:eastAsia="微软雅黑" w:cs="微软雅黑"/>
                <w:i w:val="0"/>
                <w:iCs w:val="0"/>
                <w:color w:val="000000"/>
                <w:kern w:val="2"/>
                <w:sz w:val="18"/>
                <w:szCs w:val="18"/>
                <w:highlight w:val="none"/>
                <w:lang w:val="en-US" w:eastAsia="zh-CN" w:bidi="ar-SA"/>
              </w:rPr>
              <w:t>15</w:t>
            </w:r>
          </w:p>
        </w:tc>
        <w:tc>
          <w:tcPr>
            <w:tcW w:w="3607" w:type="pct"/>
            <w:tcBorders>
              <w:top w:val="nil"/>
              <w:left w:val="nil"/>
              <w:bottom w:val="nil"/>
              <w:right w:val="nil"/>
            </w:tcBorders>
            <w:shd w:val="clear" w:color="auto" w:fill="DAF2D0"/>
            <w:vAlign w:val="center"/>
          </w:tcPr>
          <w:p w14:paraId="3338A88B">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所有审查考核内容都应有依据。应基于法律法规、强制标准或已有国家标准，不宜临时创新要求去考核企业。</w:t>
            </w:r>
          </w:p>
        </w:tc>
      </w:tr>
      <w:tr w14:paraId="4CEA4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04B75578">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F2D0"/>
            <w:vAlign w:val="center"/>
          </w:tcPr>
          <w:p w14:paraId="79656B1A">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台账管理</w:t>
            </w:r>
          </w:p>
        </w:tc>
        <w:tc>
          <w:tcPr>
            <w:tcW w:w="240" w:type="pct"/>
            <w:tcBorders>
              <w:top w:val="nil"/>
              <w:left w:val="nil"/>
              <w:bottom w:val="nil"/>
              <w:right w:val="nil"/>
            </w:tcBorders>
            <w:shd w:val="clear" w:color="auto" w:fill="DAF2D0"/>
            <w:vAlign w:val="center"/>
          </w:tcPr>
          <w:p w14:paraId="46FCB69B">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sz w:val="18"/>
                <w:szCs w:val="18"/>
                <w:highlight w:val="none"/>
                <w:u w:val="none"/>
              </w:rPr>
            </w:pPr>
            <w:r>
              <w:rPr>
                <w:rFonts w:hint="default" w:ascii="微软雅黑" w:hAnsi="微软雅黑" w:eastAsia="微软雅黑" w:cs="微软雅黑"/>
                <w:i w:val="0"/>
                <w:iCs w:val="0"/>
                <w:color w:val="000000"/>
                <w:kern w:val="2"/>
                <w:sz w:val="18"/>
                <w:szCs w:val="18"/>
                <w:highlight w:val="none"/>
                <w:lang w:val="en-US" w:eastAsia="zh-CN" w:bidi="ar-SA"/>
              </w:rPr>
              <w:t>16</w:t>
            </w:r>
          </w:p>
        </w:tc>
        <w:tc>
          <w:tcPr>
            <w:tcW w:w="3607" w:type="pct"/>
            <w:tcBorders>
              <w:top w:val="nil"/>
              <w:left w:val="nil"/>
              <w:bottom w:val="nil"/>
              <w:right w:val="nil"/>
            </w:tcBorders>
            <w:shd w:val="clear" w:color="auto" w:fill="DAF2D0"/>
            <w:vAlign w:val="center"/>
          </w:tcPr>
          <w:p w14:paraId="22C86A05">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分级分类管理即可。</w:t>
            </w:r>
          </w:p>
        </w:tc>
      </w:tr>
      <w:tr w14:paraId="1041F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21DACAEF">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6C1A1EB1">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5BE0235B">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sz w:val="18"/>
                <w:szCs w:val="18"/>
                <w:highlight w:val="none"/>
                <w:u w:val="none"/>
              </w:rPr>
            </w:pPr>
            <w:r>
              <w:rPr>
                <w:rFonts w:hint="default" w:ascii="微软雅黑" w:hAnsi="微软雅黑" w:eastAsia="微软雅黑" w:cs="微软雅黑"/>
                <w:i w:val="0"/>
                <w:iCs w:val="0"/>
                <w:color w:val="000000"/>
                <w:kern w:val="2"/>
                <w:sz w:val="18"/>
                <w:szCs w:val="18"/>
                <w:highlight w:val="none"/>
                <w:lang w:val="en-US" w:eastAsia="zh-CN" w:bidi="ar-SA"/>
              </w:rPr>
              <w:t>17</w:t>
            </w:r>
          </w:p>
        </w:tc>
        <w:tc>
          <w:tcPr>
            <w:tcW w:w="3607" w:type="pct"/>
            <w:tcBorders>
              <w:top w:val="nil"/>
              <w:left w:val="nil"/>
              <w:bottom w:val="nil"/>
              <w:right w:val="nil"/>
            </w:tcBorders>
            <w:shd w:val="clear" w:color="auto" w:fill="DAF2D0"/>
            <w:vAlign w:val="center"/>
          </w:tcPr>
          <w:p w14:paraId="51DBB7B5">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1级、2级、3级计量的区分和配备率统计应清楚。</w:t>
            </w:r>
          </w:p>
        </w:tc>
      </w:tr>
      <w:tr w14:paraId="70D3B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4ECC9155">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05D55A80">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2BC5B991">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sz w:val="18"/>
                <w:szCs w:val="18"/>
                <w:highlight w:val="none"/>
                <w:u w:val="none"/>
              </w:rPr>
            </w:pPr>
            <w:r>
              <w:rPr>
                <w:rFonts w:hint="default" w:ascii="微软雅黑" w:hAnsi="微软雅黑" w:eastAsia="微软雅黑" w:cs="微软雅黑"/>
                <w:i w:val="0"/>
                <w:iCs w:val="0"/>
                <w:color w:val="000000"/>
                <w:kern w:val="2"/>
                <w:sz w:val="18"/>
                <w:szCs w:val="18"/>
                <w:highlight w:val="none"/>
                <w:lang w:val="en-US" w:eastAsia="zh-CN" w:bidi="ar-SA"/>
              </w:rPr>
              <w:t>18</w:t>
            </w:r>
          </w:p>
        </w:tc>
        <w:tc>
          <w:tcPr>
            <w:tcW w:w="3607" w:type="pct"/>
            <w:tcBorders>
              <w:top w:val="nil"/>
              <w:left w:val="nil"/>
              <w:bottom w:val="nil"/>
              <w:right w:val="nil"/>
            </w:tcBorders>
            <w:shd w:val="clear" w:color="auto" w:fill="DAF2D0"/>
            <w:vAlign w:val="center"/>
          </w:tcPr>
          <w:p w14:paraId="64734C57">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台账中可体现器具所属级别，但正文不宜写得过细。</w:t>
            </w:r>
          </w:p>
        </w:tc>
      </w:tr>
      <w:tr w14:paraId="589EB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42013FC4">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2FF27397">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75F3EB70">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sz w:val="18"/>
                <w:szCs w:val="18"/>
                <w:highlight w:val="none"/>
                <w:u w:val="none"/>
              </w:rPr>
            </w:pPr>
            <w:r>
              <w:rPr>
                <w:rFonts w:hint="default" w:ascii="微软雅黑" w:hAnsi="微软雅黑" w:eastAsia="微软雅黑" w:cs="微软雅黑"/>
                <w:i w:val="0"/>
                <w:iCs w:val="0"/>
                <w:color w:val="000000"/>
                <w:kern w:val="2"/>
                <w:sz w:val="18"/>
                <w:szCs w:val="18"/>
                <w:highlight w:val="none"/>
                <w:lang w:val="en-US" w:eastAsia="zh-CN" w:bidi="ar-SA"/>
              </w:rPr>
              <w:t>19</w:t>
            </w:r>
          </w:p>
        </w:tc>
        <w:tc>
          <w:tcPr>
            <w:tcW w:w="3607" w:type="pct"/>
            <w:tcBorders>
              <w:top w:val="nil"/>
              <w:left w:val="nil"/>
              <w:bottom w:val="nil"/>
              <w:right w:val="nil"/>
            </w:tcBorders>
            <w:shd w:val="clear" w:color="auto" w:fill="DAF2D0"/>
            <w:vAlign w:val="center"/>
          </w:tcPr>
          <w:p w14:paraId="1B249B2B">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状态可写“在用、封存、停用等”。</w:t>
            </w:r>
          </w:p>
        </w:tc>
      </w:tr>
      <w:tr w14:paraId="1BE30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47562301">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F2D0"/>
            <w:vAlign w:val="center"/>
          </w:tcPr>
          <w:p w14:paraId="3FD5CD8D">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计量溯源</w:t>
            </w:r>
          </w:p>
        </w:tc>
        <w:tc>
          <w:tcPr>
            <w:tcW w:w="240" w:type="pct"/>
            <w:tcBorders>
              <w:top w:val="nil"/>
              <w:left w:val="nil"/>
              <w:bottom w:val="nil"/>
              <w:right w:val="nil"/>
            </w:tcBorders>
            <w:shd w:val="clear" w:color="auto" w:fill="DAF2D0"/>
            <w:vAlign w:val="center"/>
          </w:tcPr>
          <w:p w14:paraId="18218598">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sz w:val="18"/>
                <w:szCs w:val="18"/>
                <w:highlight w:val="none"/>
                <w:u w:val="none"/>
              </w:rPr>
            </w:pPr>
            <w:r>
              <w:rPr>
                <w:rFonts w:hint="default" w:ascii="微软雅黑" w:hAnsi="微软雅黑" w:eastAsia="微软雅黑" w:cs="微软雅黑"/>
                <w:i w:val="0"/>
                <w:iCs w:val="0"/>
                <w:color w:val="000000"/>
                <w:kern w:val="2"/>
                <w:sz w:val="18"/>
                <w:szCs w:val="18"/>
                <w:highlight w:val="none"/>
                <w:lang w:val="en-US" w:eastAsia="zh-CN" w:bidi="ar-SA"/>
              </w:rPr>
              <w:t>20</w:t>
            </w:r>
          </w:p>
        </w:tc>
        <w:tc>
          <w:tcPr>
            <w:tcW w:w="3607" w:type="pct"/>
            <w:tcBorders>
              <w:top w:val="nil"/>
              <w:left w:val="nil"/>
              <w:bottom w:val="nil"/>
              <w:right w:val="nil"/>
            </w:tcBorders>
            <w:shd w:val="clear" w:color="auto" w:fill="DAF2D0"/>
            <w:vAlign w:val="center"/>
          </w:tcPr>
          <w:p w14:paraId="01829E95">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对难以计量或不能准确计量的场景，应允许采用核算等替代方式。</w:t>
            </w:r>
          </w:p>
        </w:tc>
      </w:tr>
      <w:tr w14:paraId="08910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019C9293">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25EEE5DE">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5B37562B">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sz w:val="18"/>
                <w:szCs w:val="18"/>
                <w:highlight w:val="none"/>
                <w:u w:val="none"/>
              </w:rPr>
            </w:pPr>
            <w:r>
              <w:rPr>
                <w:rFonts w:hint="default" w:ascii="微软雅黑" w:hAnsi="微软雅黑" w:eastAsia="微软雅黑" w:cs="微软雅黑"/>
                <w:i w:val="0"/>
                <w:iCs w:val="0"/>
                <w:color w:val="000000"/>
                <w:kern w:val="2"/>
                <w:sz w:val="18"/>
                <w:szCs w:val="18"/>
                <w:highlight w:val="none"/>
                <w:lang w:val="en-US" w:eastAsia="zh-CN" w:bidi="ar-SA"/>
              </w:rPr>
              <w:t>21</w:t>
            </w:r>
          </w:p>
        </w:tc>
        <w:tc>
          <w:tcPr>
            <w:tcW w:w="3607" w:type="pct"/>
            <w:tcBorders>
              <w:top w:val="nil"/>
              <w:left w:val="nil"/>
              <w:bottom w:val="nil"/>
              <w:right w:val="nil"/>
            </w:tcBorders>
            <w:shd w:val="clear" w:color="auto" w:fill="DAF2D0"/>
            <w:vAlign w:val="center"/>
          </w:tcPr>
          <w:p w14:paraId="31A07376">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对复杂场景的表述应避免让企业无法执行。</w:t>
            </w:r>
          </w:p>
        </w:tc>
      </w:tr>
      <w:tr w14:paraId="13CE4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7CF8F2B1">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F2D0"/>
            <w:vAlign w:val="center"/>
          </w:tcPr>
          <w:p w14:paraId="38F7CD8D">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精度指标</w:t>
            </w:r>
          </w:p>
        </w:tc>
        <w:tc>
          <w:tcPr>
            <w:tcW w:w="240" w:type="pct"/>
            <w:tcBorders>
              <w:top w:val="nil"/>
              <w:left w:val="nil"/>
              <w:bottom w:val="nil"/>
              <w:right w:val="nil"/>
            </w:tcBorders>
            <w:shd w:val="clear" w:color="auto" w:fill="DAF2D0"/>
            <w:vAlign w:val="center"/>
          </w:tcPr>
          <w:p w14:paraId="0E522F80">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sz w:val="18"/>
                <w:szCs w:val="18"/>
                <w:highlight w:val="none"/>
                <w:u w:val="none"/>
              </w:rPr>
            </w:pPr>
            <w:r>
              <w:rPr>
                <w:rFonts w:hint="default" w:ascii="微软雅黑" w:hAnsi="微软雅黑" w:eastAsia="微软雅黑" w:cs="微软雅黑"/>
                <w:i w:val="0"/>
                <w:iCs w:val="0"/>
                <w:color w:val="000000"/>
                <w:kern w:val="2"/>
                <w:sz w:val="18"/>
                <w:szCs w:val="18"/>
                <w:highlight w:val="none"/>
                <w:lang w:val="en-US" w:eastAsia="zh-CN" w:bidi="ar-SA"/>
              </w:rPr>
              <w:t>22</w:t>
            </w:r>
          </w:p>
        </w:tc>
        <w:tc>
          <w:tcPr>
            <w:tcW w:w="3607" w:type="pct"/>
            <w:tcBorders>
              <w:top w:val="nil"/>
              <w:left w:val="nil"/>
              <w:bottom w:val="nil"/>
              <w:right w:val="nil"/>
            </w:tcBorders>
            <w:shd w:val="clear" w:color="auto" w:fill="DAF2D0"/>
            <w:vAlign w:val="center"/>
          </w:tcPr>
          <w:p w14:paraId="5A436E9B">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应按新版17167等标准统一，避免不同标准精度要求不一致。</w:t>
            </w:r>
          </w:p>
        </w:tc>
      </w:tr>
      <w:tr w14:paraId="5CD8C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365C7107">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10C37ABD">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101B9C08">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sz w:val="18"/>
                <w:szCs w:val="18"/>
                <w:highlight w:val="none"/>
                <w:u w:val="none"/>
              </w:rPr>
            </w:pPr>
            <w:r>
              <w:rPr>
                <w:rFonts w:hint="default" w:ascii="微软雅黑" w:hAnsi="微软雅黑" w:eastAsia="微软雅黑" w:cs="微软雅黑"/>
                <w:i w:val="0"/>
                <w:iCs w:val="0"/>
                <w:color w:val="000000"/>
                <w:kern w:val="2"/>
                <w:sz w:val="18"/>
                <w:szCs w:val="18"/>
                <w:highlight w:val="none"/>
                <w:lang w:val="en-US" w:eastAsia="zh-CN" w:bidi="ar-SA"/>
              </w:rPr>
              <w:t>23</w:t>
            </w:r>
          </w:p>
        </w:tc>
        <w:tc>
          <w:tcPr>
            <w:tcW w:w="3607" w:type="pct"/>
            <w:tcBorders>
              <w:top w:val="nil"/>
              <w:left w:val="nil"/>
              <w:bottom w:val="nil"/>
              <w:right w:val="nil"/>
            </w:tcBorders>
            <w:shd w:val="clear" w:color="auto" w:fill="DAF2D0"/>
            <w:vAlign w:val="center"/>
          </w:tcPr>
          <w:p w14:paraId="7B5FB286">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能源和碳使用的计量器具往往是一套，不能让不同规范给企业造成执行冲突。</w:t>
            </w:r>
          </w:p>
        </w:tc>
      </w:tr>
      <w:tr w14:paraId="40E14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083DE891">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tcBorders>
              <w:top w:val="nil"/>
              <w:left w:val="nil"/>
              <w:bottom w:val="nil"/>
              <w:right w:val="nil"/>
            </w:tcBorders>
            <w:shd w:val="clear" w:color="auto" w:fill="DAF2D0"/>
            <w:vAlign w:val="center"/>
          </w:tcPr>
          <w:p w14:paraId="3F52BDB2">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审查组要求</w:t>
            </w:r>
          </w:p>
        </w:tc>
        <w:tc>
          <w:tcPr>
            <w:tcW w:w="240" w:type="pct"/>
            <w:tcBorders>
              <w:top w:val="nil"/>
              <w:left w:val="nil"/>
              <w:bottom w:val="nil"/>
              <w:right w:val="nil"/>
            </w:tcBorders>
            <w:shd w:val="clear" w:color="auto" w:fill="DAF2D0"/>
            <w:vAlign w:val="center"/>
          </w:tcPr>
          <w:p w14:paraId="7C01B5F3">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sz w:val="18"/>
                <w:szCs w:val="18"/>
                <w:highlight w:val="none"/>
                <w:u w:val="none"/>
              </w:rPr>
            </w:pPr>
            <w:r>
              <w:rPr>
                <w:rFonts w:hint="default" w:ascii="微软雅黑" w:hAnsi="微软雅黑" w:eastAsia="微软雅黑" w:cs="微软雅黑"/>
                <w:i w:val="0"/>
                <w:iCs w:val="0"/>
                <w:color w:val="000000"/>
                <w:kern w:val="2"/>
                <w:sz w:val="18"/>
                <w:szCs w:val="18"/>
                <w:highlight w:val="none"/>
                <w:lang w:val="en-US" w:eastAsia="zh-CN" w:bidi="ar-SA"/>
              </w:rPr>
              <w:t>24</w:t>
            </w:r>
          </w:p>
        </w:tc>
        <w:tc>
          <w:tcPr>
            <w:tcW w:w="3607" w:type="pct"/>
            <w:tcBorders>
              <w:top w:val="nil"/>
              <w:left w:val="nil"/>
              <w:bottom w:val="nil"/>
              <w:right w:val="nil"/>
            </w:tcBorders>
            <w:shd w:val="clear" w:color="auto" w:fill="DAF2D0"/>
            <w:vAlign w:val="center"/>
          </w:tcPr>
          <w:p w14:paraId="2FE747B2">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9.3.2条款可保留方向，但措辞需要重新整理。</w:t>
            </w:r>
          </w:p>
        </w:tc>
      </w:tr>
      <w:tr w14:paraId="45217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717B8EB2">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tcBorders>
              <w:top w:val="nil"/>
              <w:left w:val="nil"/>
              <w:bottom w:val="nil"/>
              <w:right w:val="nil"/>
            </w:tcBorders>
            <w:shd w:val="clear" w:color="auto" w:fill="DAF2D0"/>
            <w:vAlign w:val="center"/>
          </w:tcPr>
          <w:p w14:paraId="1EF1DB27">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能源计量评价</w:t>
            </w:r>
          </w:p>
        </w:tc>
        <w:tc>
          <w:tcPr>
            <w:tcW w:w="240" w:type="pct"/>
            <w:tcBorders>
              <w:top w:val="nil"/>
              <w:left w:val="nil"/>
              <w:bottom w:val="nil"/>
              <w:right w:val="nil"/>
            </w:tcBorders>
            <w:shd w:val="clear" w:color="auto" w:fill="DAF2D0"/>
            <w:vAlign w:val="center"/>
          </w:tcPr>
          <w:p w14:paraId="46F90F46">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sz w:val="18"/>
                <w:szCs w:val="18"/>
                <w:highlight w:val="none"/>
                <w:u w:val="none"/>
              </w:rPr>
            </w:pPr>
            <w:r>
              <w:rPr>
                <w:rFonts w:hint="default" w:ascii="微软雅黑" w:hAnsi="微软雅黑" w:eastAsia="微软雅黑" w:cs="微软雅黑"/>
                <w:i w:val="0"/>
                <w:iCs w:val="0"/>
                <w:color w:val="000000"/>
                <w:kern w:val="2"/>
                <w:sz w:val="18"/>
                <w:szCs w:val="18"/>
                <w:highlight w:val="none"/>
                <w:lang w:val="en-US" w:eastAsia="zh-CN" w:bidi="ar-SA"/>
              </w:rPr>
              <w:t>25</w:t>
            </w:r>
          </w:p>
        </w:tc>
        <w:tc>
          <w:tcPr>
            <w:tcW w:w="3607" w:type="pct"/>
            <w:tcBorders>
              <w:top w:val="nil"/>
              <w:left w:val="nil"/>
              <w:bottom w:val="nil"/>
              <w:right w:val="nil"/>
            </w:tcBorders>
            <w:shd w:val="clear" w:color="auto" w:fill="DAF2D0"/>
            <w:vAlign w:val="center"/>
          </w:tcPr>
          <w:p w14:paraId="144126CC">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明确建议删除。</w:t>
            </w:r>
          </w:p>
        </w:tc>
      </w:tr>
      <w:tr w14:paraId="1372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7756A976">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F2D0"/>
            <w:vAlign w:val="center"/>
          </w:tcPr>
          <w:p w14:paraId="35FF9CD4">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能效监测</w:t>
            </w:r>
          </w:p>
        </w:tc>
        <w:tc>
          <w:tcPr>
            <w:tcW w:w="240" w:type="pct"/>
            <w:tcBorders>
              <w:top w:val="nil"/>
              <w:left w:val="nil"/>
              <w:bottom w:val="nil"/>
              <w:right w:val="nil"/>
            </w:tcBorders>
            <w:shd w:val="clear" w:color="auto" w:fill="DAF2D0"/>
            <w:vAlign w:val="center"/>
          </w:tcPr>
          <w:p w14:paraId="2EAC14A5">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sz w:val="18"/>
                <w:szCs w:val="18"/>
                <w:highlight w:val="none"/>
                <w:u w:val="none"/>
              </w:rPr>
            </w:pPr>
            <w:r>
              <w:rPr>
                <w:rFonts w:hint="default" w:ascii="微软雅黑" w:hAnsi="微软雅黑" w:eastAsia="微软雅黑" w:cs="微软雅黑"/>
                <w:i w:val="0"/>
                <w:iCs w:val="0"/>
                <w:color w:val="000000"/>
                <w:kern w:val="2"/>
                <w:sz w:val="18"/>
                <w:szCs w:val="18"/>
                <w:highlight w:val="none"/>
                <w:lang w:val="en-US" w:eastAsia="zh-CN" w:bidi="ar-SA"/>
              </w:rPr>
              <w:t>26</w:t>
            </w:r>
          </w:p>
        </w:tc>
        <w:tc>
          <w:tcPr>
            <w:tcW w:w="3607" w:type="pct"/>
            <w:tcBorders>
              <w:top w:val="nil"/>
              <w:left w:val="nil"/>
              <w:bottom w:val="nil"/>
              <w:right w:val="nil"/>
            </w:tcBorders>
            <w:shd w:val="clear" w:color="auto" w:fill="DAF2D0"/>
            <w:vAlign w:val="center"/>
          </w:tcPr>
          <w:p w14:paraId="3D551BD2">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能效监测属于节能管理内容，放入能源计量审查中有越界风险。</w:t>
            </w:r>
          </w:p>
        </w:tc>
      </w:tr>
      <w:tr w14:paraId="1E921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5BA93E41">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2066F983">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094DFE64">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sz w:val="18"/>
                <w:szCs w:val="18"/>
                <w:highlight w:val="none"/>
                <w:u w:val="none"/>
              </w:rPr>
            </w:pPr>
            <w:r>
              <w:rPr>
                <w:rFonts w:hint="default" w:ascii="微软雅黑" w:hAnsi="微软雅黑" w:eastAsia="微软雅黑" w:cs="微软雅黑"/>
                <w:i w:val="0"/>
                <w:iCs w:val="0"/>
                <w:color w:val="000000"/>
                <w:kern w:val="2"/>
                <w:sz w:val="18"/>
                <w:szCs w:val="18"/>
                <w:highlight w:val="none"/>
                <w:lang w:val="en-US" w:eastAsia="zh-CN" w:bidi="ar-SA"/>
              </w:rPr>
              <w:t>27</w:t>
            </w:r>
          </w:p>
        </w:tc>
        <w:tc>
          <w:tcPr>
            <w:tcW w:w="3607" w:type="pct"/>
            <w:tcBorders>
              <w:top w:val="nil"/>
              <w:left w:val="nil"/>
              <w:bottom w:val="nil"/>
              <w:right w:val="nil"/>
            </w:tcBorders>
            <w:shd w:val="clear" w:color="auto" w:fill="DAF2D0"/>
            <w:vAlign w:val="center"/>
          </w:tcPr>
          <w:p w14:paraId="01F302AC">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可定位为计量是否满足能效监测管理的数据需求，不宜规定能效管理本身。</w:t>
            </w:r>
          </w:p>
        </w:tc>
      </w:tr>
      <w:tr w14:paraId="286DB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5F0AFC56">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F2D0"/>
            <w:vAlign w:val="center"/>
          </w:tcPr>
          <w:p w14:paraId="0ADF3887">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能源流向图</w:t>
            </w:r>
          </w:p>
        </w:tc>
        <w:tc>
          <w:tcPr>
            <w:tcW w:w="240" w:type="pct"/>
            <w:tcBorders>
              <w:top w:val="nil"/>
              <w:left w:val="nil"/>
              <w:bottom w:val="nil"/>
              <w:right w:val="nil"/>
            </w:tcBorders>
            <w:shd w:val="clear" w:color="auto" w:fill="DAF2D0"/>
            <w:vAlign w:val="center"/>
          </w:tcPr>
          <w:p w14:paraId="055BB325">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sz w:val="18"/>
                <w:szCs w:val="18"/>
                <w:highlight w:val="none"/>
                <w:u w:val="none"/>
              </w:rPr>
            </w:pPr>
            <w:r>
              <w:rPr>
                <w:rFonts w:hint="default" w:ascii="微软雅黑" w:hAnsi="微软雅黑" w:eastAsia="微软雅黑" w:cs="微软雅黑"/>
                <w:i w:val="0"/>
                <w:iCs w:val="0"/>
                <w:color w:val="000000"/>
                <w:kern w:val="2"/>
                <w:sz w:val="18"/>
                <w:szCs w:val="18"/>
                <w:highlight w:val="none"/>
                <w:lang w:val="en-US" w:eastAsia="zh-CN" w:bidi="ar-SA"/>
              </w:rPr>
              <w:t>28</w:t>
            </w:r>
          </w:p>
        </w:tc>
        <w:tc>
          <w:tcPr>
            <w:tcW w:w="3607" w:type="pct"/>
            <w:tcBorders>
              <w:top w:val="nil"/>
              <w:left w:val="nil"/>
              <w:bottom w:val="nil"/>
              <w:right w:val="nil"/>
            </w:tcBorders>
            <w:shd w:val="clear" w:color="auto" w:fill="DAF2D0"/>
            <w:vAlign w:val="center"/>
          </w:tcPr>
          <w:p w14:paraId="43D8FA36">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水应按17167新版处理，建议从能源计量范围中剔除。</w:t>
            </w:r>
          </w:p>
        </w:tc>
      </w:tr>
      <w:tr w14:paraId="0F47F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54F91B6B">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59308D97">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4D547D11">
            <w:pPr>
              <w:keepNext w:val="0"/>
              <w:keepLines w:val="0"/>
              <w:widowControl/>
              <w:numPr>
                <w:ilvl w:val="0"/>
                <w:numId w:val="0"/>
              </w:numPr>
              <w:suppressLineNumbers w:val="0"/>
              <w:spacing w:line="240" w:lineRule="atLeast"/>
              <w:ind w:left="425" w:hanging="425"/>
              <w:jc w:val="left"/>
              <w:textAlignment w:val="center"/>
              <w:rPr>
                <w:rFonts w:hint="default" w:ascii="微软雅黑" w:hAnsi="微软雅黑" w:eastAsia="微软雅黑" w:cs="微软雅黑"/>
                <w:i w:val="0"/>
                <w:iCs w:val="0"/>
                <w:color w:val="000000"/>
                <w:sz w:val="18"/>
                <w:szCs w:val="18"/>
                <w:highlight w:val="none"/>
                <w:u w:val="none"/>
                <w:lang w:val="en-US"/>
              </w:rPr>
            </w:pPr>
            <w:r>
              <w:rPr>
                <w:rFonts w:hint="default" w:ascii="微软雅黑" w:hAnsi="微软雅黑" w:eastAsia="微软雅黑" w:cs="微软雅黑"/>
                <w:i w:val="0"/>
                <w:iCs w:val="0"/>
                <w:color w:val="000000"/>
                <w:kern w:val="2"/>
                <w:sz w:val="18"/>
                <w:szCs w:val="18"/>
                <w:highlight w:val="none"/>
                <w:lang w:val="en-US" w:eastAsia="zh-CN" w:bidi="ar-SA"/>
              </w:rPr>
              <w:t>29</w:t>
            </w:r>
          </w:p>
        </w:tc>
        <w:tc>
          <w:tcPr>
            <w:tcW w:w="3607" w:type="pct"/>
            <w:tcBorders>
              <w:top w:val="nil"/>
              <w:left w:val="nil"/>
              <w:bottom w:val="nil"/>
              <w:right w:val="nil"/>
            </w:tcBorders>
            <w:shd w:val="clear" w:color="auto" w:fill="DAF2D0"/>
            <w:vAlign w:val="center"/>
          </w:tcPr>
          <w:p w14:paraId="1E32CAFE">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可考虑氢气、外购燃料气、原料用能是否需要体现。</w:t>
            </w:r>
          </w:p>
        </w:tc>
      </w:tr>
      <w:tr w14:paraId="2F77F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6BF1F630">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7C54D93F">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7C8AD474">
            <w:pPr>
              <w:keepNext w:val="0"/>
              <w:keepLines w:val="0"/>
              <w:widowControl/>
              <w:numPr>
                <w:ilvl w:val="0"/>
                <w:numId w:val="0"/>
              </w:numPr>
              <w:suppressLineNumbers w:val="0"/>
              <w:spacing w:line="240" w:lineRule="atLeast"/>
              <w:ind w:left="425" w:hanging="425"/>
              <w:jc w:val="left"/>
              <w:textAlignment w:val="center"/>
              <w:rPr>
                <w:rFonts w:hint="default" w:ascii="微软雅黑" w:hAnsi="微软雅黑" w:eastAsia="微软雅黑" w:cs="微软雅黑"/>
                <w:i w:val="0"/>
                <w:iCs w:val="0"/>
                <w:color w:val="000000"/>
                <w:sz w:val="18"/>
                <w:szCs w:val="18"/>
                <w:highlight w:val="none"/>
                <w:u w:val="none"/>
                <w:lang w:val="en-US"/>
              </w:rPr>
            </w:pPr>
            <w:r>
              <w:rPr>
                <w:rFonts w:hint="default" w:ascii="微软雅黑" w:hAnsi="微软雅黑" w:eastAsia="微软雅黑" w:cs="微软雅黑"/>
                <w:i w:val="0"/>
                <w:iCs w:val="0"/>
                <w:color w:val="000000"/>
                <w:kern w:val="2"/>
                <w:sz w:val="18"/>
                <w:szCs w:val="18"/>
                <w:highlight w:val="none"/>
                <w:lang w:val="en-US" w:eastAsia="zh-CN" w:bidi="ar-SA"/>
              </w:rPr>
              <w:t>30</w:t>
            </w:r>
          </w:p>
        </w:tc>
        <w:tc>
          <w:tcPr>
            <w:tcW w:w="3607" w:type="pct"/>
            <w:tcBorders>
              <w:top w:val="nil"/>
              <w:left w:val="nil"/>
              <w:bottom w:val="nil"/>
              <w:right w:val="nil"/>
            </w:tcBorders>
            <w:shd w:val="clear" w:color="auto" w:fill="DAF2D0"/>
            <w:vAlign w:val="center"/>
          </w:tcPr>
          <w:p w14:paraId="2E26BDAB">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如果图无法穷尽，可改为示意图。</w:t>
            </w:r>
          </w:p>
        </w:tc>
      </w:tr>
      <w:tr w14:paraId="5908F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55553DDC">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29B71E69">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2DAD7324">
            <w:pPr>
              <w:keepNext w:val="0"/>
              <w:keepLines w:val="0"/>
              <w:widowControl/>
              <w:numPr>
                <w:ilvl w:val="0"/>
                <w:numId w:val="0"/>
              </w:numPr>
              <w:suppressLineNumbers w:val="0"/>
              <w:spacing w:line="240" w:lineRule="atLeast"/>
              <w:ind w:left="425" w:hanging="425"/>
              <w:jc w:val="left"/>
              <w:textAlignment w:val="center"/>
              <w:rPr>
                <w:rFonts w:hint="default" w:ascii="微软雅黑" w:hAnsi="微软雅黑" w:eastAsia="微软雅黑" w:cs="微软雅黑"/>
                <w:i w:val="0"/>
                <w:iCs w:val="0"/>
                <w:color w:val="000000"/>
                <w:sz w:val="18"/>
                <w:szCs w:val="18"/>
                <w:highlight w:val="none"/>
                <w:u w:val="none"/>
                <w:lang w:val="en-US" w:eastAsia="zh-CN"/>
              </w:rPr>
            </w:pPr>
            <w:r>
              <w:rPr>
                <w:rFonts w:hint="default" w:ascii="微软雅黑" w:hAnsi="微软雅黑" w:eastAsia="微软雅黑" w:cs="微软雅黑"/>
                <w:i w:val="0"/>
                <w:iCs w:val="0"/>
                <w:color w:val="000000"/>
                <w:kern w:val="2"/>
                <w:sz w:val="18"/>
                <w:szCs w:val="18"/>
                <w:highlight w:val="none"/>
                <w:lang w:val="en-US" w:eastAsia="zh-CN" w:bidi="ar-SA"/>
              </w:rPr>
              <w:t>31</w:t>
            </w:r>
          </w:p>
        </w:tc>
        <w:tc>
          <w:tcPr>
            <w:tcW w:w="3607" w:type="pct"/>
            <w:tcBorders>
              <w:top w:val="nil"/>
              <w:left w:val="nil"/>
              <w:bottom w:val="nil"/>
              <w:right w:val="nil"/>
            </w:tcBorders>
            <w:shd w:val="clear" w:color="auto" w:fill="DAF2D0"/>
            <w:vAlign w:val="center"/>
          </w:tcPr>
          <w:p w14:paraId="1B04B8CA">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若能源计量网络图已足够支撑审查，就不必另设能源流向图。</w:t>
            </w:r>
          </w:p>
        </w:tc>
      </w:tr>
      <w:tr w14:paraId="62969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58DFEB2A">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right w:val="nil"/>
            </w:tcBorders>
            <w:shd w:val="clear" w:color="auto" w:fill="DAF2D0"/>
            <w:vAlign w:val="center"/>
          </w:tcPr>
          <w:p w14:paraId="53182BC2">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会后补充</w:t>
            </w:r>
          </w:p>
          <w:p w14:paraId="6AFB1371">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55A30C97">
            <w:pPr>
              <w:keepNext w:val="0"/>
              <w:keepLines w:val="0"/>
              <w:widowControl/>
              <w:numPr>
                <w:ilvl w:val="0"/>
                <w:numId w:val="0"/>
              </w:numPr>
              <w:suppressLineNumbers w:val="0"/>
              <w:spacing w:line="240" w:lineRule="atLeast"/>
              <w:ind w:left="425" w:hanging="425"/>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32</w:t>
            </w:r>
          </w:p>
        </w:tc>
        <w:tc>
          <w:tcPr>
            <w:tcW w:w="3607" w:type="pct"/>
            <w:tcBorders>
              <w:top w:val="nil"/>
              <w:left w:val="nil"/>
              <w:bottom w:val="nil"/>
              <w:right w:val="nil"/>
            </w:tcBorders>
            <w:shd w:val="clear" w:color="auto" w:fill="DAF2D0"/>
            <w:vAlign w:val="center"/>
          </w:tcPr>
          <w:p w14:paraId="0BC44318">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本规范为审查规范，不是实施规范。因此：</w:t>
            </w:r>
          </w:p>
          <w:p w14:paraId="69611E90">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本规范应规定的内容是：审查依据、适用范围、审查程序（首次会议、现场审查、末次会议等）、审查方法（抽样、询问、查阅、观察等）、审查内容（基于审查依据的条款化检查表）、审查记录、审查结论判定规则、审查报告要求等；</w:t>
            </w:r>
          </w:p>
          <w:p w14:paraId="3280D636">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（2）本规范不应包含对用能单位“应如何管理”的描述性要求（如“应建立...制度”、“应配备...人员”）。这些属于被审查单位应执行的外部法律法规/标准的要求，或自身建立的体系要求；</w:t>
            </w:r>
          </w:p>
          <w:p w14:paraId="42E84486">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（3）文中出现的所有对用能单位的具体“要求”，均必须明确其审查依据的来源（例如：《节约能源法》第X条、《能源计量监督管理办法》第Y条、GB 17167-2025第Z章）。审查人员应依据这些外部文件进行符合性判断；</w:t>
            </w:r>
          </w:p>
          <w:p w14:paraId="764F22E3">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（4）推荐性标准（如GB/T系列）或行业良好实践，不能作为强制性审查不合格的判定依据。但可将其作为“审查建议”或“改进机会”在审查报告中向被审查单位提出，或作为行业标杆参考。</w:t>
            </w:r>
          </w:p>
        </w:tc>
      </w:tr>
      <w:tr w14:paraId="66913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27CBA3F1">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7735B2F7">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69C50052">
            <w:pPr>
              <w:keepNext w:val="0"/>
              <w:keepLines w:val="0"/>
              <w:widowControl/>
              <w:numPr>
                <w:ilvl w:val="0"/>
                <w:numId w:val="0"/>
              </w:numPr>
              <w:suppressLineNumbers w:val="0"/>
              <w:spacing w:line="240" w:lineRule="atLeast"/>
              <w:ind w:left="425" w:hanging="425"/>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33</w:t>
            </w:r>
          </w:p>
        </w:tc>
        <w:tc>
          <w:tcPr>
            <w:tcW w:w="3607" w:type="pct"/>
            <w:tcBorders>
              <w:top w:val="nil"/>
              <w:left w:val="nil"/>
              <w:bottom w:val="nil"/>
              <w:right w:val="nil"/>
            </w:tcBorders>
            <w:shd w:val="clear" w:color="auto" w:fill="DAF2D0"/>
            <w:vAlign w:val="center"/>
          </w:tcPr>
          <w:p w14:paraId="49D73793">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审查结论是市场监管部门做出行政决定的依据，应为“合格”或“不合格”（或“通过”、“不通过”）。本规范是审查规范，不是评价规范，不应引入“能源计量能力分级/评级”体系。如需开展分级评价，建议另行制定评价指南或团体标准，与本规范的法定审查活动分离。</w:t>
            </w:r>
          </w:p>
        </w:tc>
      </w:tr>
      <w:tr w14:paraId="4061A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283FB764">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06B929AC">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33B5DB2F">
            <w:pPr>
              <w:keepNext w:val="0"/>
              <w:keepLines w:val="0"/>
              <w:widowControl/>
              <w:numPr>
                <w:ilvl w:val="0"/>
                <w:numId w:val="0"/>
              </w:numPr>
              <w:suppressLineNumbers w:val="0"/>
              <w:spacing w:line="240" w:lineRule="atLeast"/>
              <w:ind w:left="425" w:hanging="425"/>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34</w:t>
            </w:r>
          </w:p>
        </w:tc>
        <w:tc>
          <w:tcPr>
            <w:tcW w:w="3607" w:type="pct"/>
            <w:tcBorders>
              <w:top w:val="nil"/>
              <w:left w:val="nil"/>
              <w:bottom w:val="nil"/>
              <w:right w:val="nil"/>
            </w:tcBorders>
            <w:shd w:val="clear" w:color="auto" w:fill="DAF2D0"/>
            <w:vAlign w:val="center"/>
          </w:tcPr>
          <w:p w14:paraId="1CC0BF6E">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根据本规范研制过程中调研的情况看，</w:t>
            </w:r>
          </w:p>
          <w:p w14:paraId="4A1233B3">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（1）各单位反馈的意见有良好实践内容，也有暂时难以解决的行业痛点。</w:t>
            </w:r>
          </w:p>
          <w:p w14:paraId="435EFE42">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2）良好实践有些可能已经有推荐标准，有些可能尚没有标准。这些内容可以考虑留下来作为审查活动的增值内容。良好实践可以在后期的身价活动中，通过专家交流，介绍到被审查单位，也可以在后期制订计量规范时参考使用；</w:t>
            </w:r>
          </w:p>
          <w:p w14:paraId="512FE47A">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（3）那些行业里暂没有解决方案的痛点问题可以反馈到计量器具的制造单位，作为制造单位后续新型计量器具的开发方向。</w:t>
            </w:r>
          </w:p>
          <w:p w14:paraId="6E694192">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4）调研获得的这些内容很宝贵，对于计量水平提升会有很大帮助。建议在本规范中增加一个资料性附录：《炼油企业能源计量常见问题与改进参考》，集中收纳这些信息。并在完成审查后编制的审查报告的附录单元（审查支撑材料及待解决问题）对规范中未涉及内容进行补充记录。</w:t>
            </w:r>
          </w:p>
        </w:tc>
      </w:tr>
      <w:tr w14:paraId="0E5FB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92" w:type="pct"/>
            <w:vMerge w:val="continue"/>
            <w:tcBorders>
              <w:left w:val="nil"/>
              <w:bottom w:val="nil"/>
              <w:right w:val="nil"/>
            </w:tcBorders>
            <w:shd w:val="clear" w:color="auto" w:fill="DAF2D0"/>
            <w:vAlign w:val="center"/>
          </w:tcPr>
          <w:p w14:paraId="5A75E3D5">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283D81CE">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75E029F8">
            <w:pPr>
              <w:keepNext w:val="0"/>
              <w:keepLines w:val="0"/>
              <w:widowControl/>
              <w:numPr>
                <w:ilvl w:val="0"/>
                <w:numId w:val="0"/>
              </w:numPr>
              <w:suppressLineNumbers w:val="0"/>
              <w:spacing w:line="240" w:lineRule="atLeast"/>
              <w:ind w:left="425" w:hanging="425"/>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35</w:t>
            </w:r>
          </w:p>
        </w:tc>
        <w:tc>
          <w:tcPr>
            <w:tcW w:w="3607" w:type="pct"/>
            <w:tcBorders>
              <w:top w:val="nil"/>
              <w:left w:val="nil"/>
              <w:bottom w:val="nil"/>
              <w:right w:val="nil"/>
            </w:tcBorders>
            <w:shd w:val="clear" w:color="auto" w:fill="DAF2D0"/>
            <w:vAlign w:val="center"/>
          </w:tcPr>
          <w:p w14:paraId="73022F45">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如果按照上述意见调整后，可能会与JJF1356-2025 结构上有较大差异，需要和市场监督管理总局进行沟通。通用规范和行业专业规范的关系需要进一步确认。适用范围、内容重合度，执行时使用方法（单独使用还是共同使用），不一致时的处理方式（以本规范为准，或要求同时满足）都需要在规范中明确，以免给将来的审查机构和使用者造成困扰。</w:t>
            </w:r>
          </w:p>
        </w:tc>
      </w:tr>
      <w:tr w14:paraId="24335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restart"/>
            <w:tcBorders>
              <w:left w:val="nil"/>
              <w:right w:val="nil"/>
            </w:tcBorders>
            <w:shd w:val="clear" w:color="auto" w:fill="DAF2D0"/>
            <w:vAlign w:val="center"/>
          </w:tcPr>
          <w:p w14:paraId="4D63153A">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02C8765C">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2D54D2CD">
            <w:pPr>
              <w:keepNext w:val="0"/>
              <w:keepLines w:val="0"/>
              <w:widowControl/>
              <w:numPr>
                <w:ilvl w:val="0"/>
                <w:numId w:val="0"/>
              </w:numPr>
              <w:suppressLineNumbers w:val="0"/>
              <w:spacing w:line="240" w:lineRule="atLeast"/>
              <w:ind w:left="425" w:hanging="425"/>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36</w:t>
            </w:r>
          </w:p>
        </w:tc>
        <w:tc>
          <w:tcPr>
            <w:tcW w:w="3607" w:type="pct"/>
            <w:tcBorders>
              <w:top w:val="nil"/>
              <w:left w:val="nil"/>
              <w:bottom w:val="nil"/>
              <w:right w:val="nil"/>
            </w:tcBorders>
            <w:shd w:val="clear" w:color="auto" w:fill="DAF2D0"/>
            <w:vAlign w:val="center"/>
          </w:tcPr>
          <w:p w14:paraId="21ED3DA7">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英文标题中 “Petroleum Refining and Chemical Industry” 是否应改为更专指石油化工的 “Petrochemical”。</w:t>
            </w:r>
          </w:p>
        </w:tc>
      </w:tr>
      <w:tr w14:paraId="473CD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0DBB245A">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465EAD9A">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0830E92C">
            <w:pPr>
              <w:keepNext w:val="0"/>
              <w:keepLines w:val="0"/>
              <w:widowControl/>
              <w:numPr>
                <w:ilvl w:val="0"/>
                <w:numId w:val="0"/>
              </w:numPr>
              <w:suppressLineNumbers w:val="0"/>
              <w:spacing w:line="240" w:lineRule="atLeast"/>
              <w:ind w:left="425" w:hanging="425"/>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37</w:t>
            </w:r>
          </w:p>
        </w:tc>
        <w:tc>
          <w:tcPr>
            <w:tcW w:w="3607" w:type="pct"/>
            <w:tcBorders>
              <w:top w:val="nil"/>
              <w:left w:val="nil"/>
              <w:bottom w:val="nil"/>
              <w:right w:val="nil"/>
            </w:tcBorders>
            <w:shd w:val="clear" w:color="auto" w:fill="DAF2D0"/>
            <w:vAlign w:val="center"/>
          </w:tcPr>
          <w:p w14:paraId="7E766799">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“本规范适用于政府计量行政主管部门或第三方计量机构……”建议修改为“政府计量行政主管部门或其委托的第三方计量机构”</w:t>
            </w:r>
          </w:p>
        </w:tc>
      </w:tr>
      <w:tr w14:paraId="7F22C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3E8BD633">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0B11BDF6">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5D5542F1">
            <w:pPr>
              <w:keepNext w:val="0"/>
              <w:keepLines w:val="0"/>
              <w:widowControl/>
              <w:numPr>
                <w:ilvl w:val="0"/>
                <w:numId w:val="0"/>
              </w:numPr>
              <w:suppressLineNumbers w:val="0"/>
              <w:spacing w:line="240" w:lineRule="atLeast"/>
              <w:ind w:left="425" w:hanging="425"/>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38</w:t>
            </w:r>
          </w:p>
        </w:tc>
        <w:tc>
          <w:tcPr>
            <w:tcW w:w="3607" w:type="pct"/>
            <w:tcBorders>
              <w:top w:val="nil"/>
              <w:left w:val="nil"/>
              <w:bottom w:val="nil"/>
              <w:right w:val="nil"/>
            </w:tcBorders>
            <w:shd w:val="clear" w:color="auto" w:fill="DAF2D0"/>
            <w:vAlign w:val="center"/>
          </w:tcPr>
          <w:p w14:paraId="033125DA">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文件中部分“炼油企业”的表述应统一为“炼油化工企业”，与规范名称保持一致。</w:t>
            </w:r>
          </w:p>
        </w:tc>
      </w:tr>
      <w:tr w14:paraId="539C1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1E23F7F9">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1DABE956">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18680549">
            <w:pPr>
              <w:keepNext w:val="0"/>
              <w:keepLines w:val="0"/>
              <w:widowControl/>
              <w:numPr>
                <w:ilvl w:val="0"/>
                <w:numId w:val="0"/>
              </w:numPr>
              <w:suppressLineNumbers w:val="0"/>
              <w:spacing w:line="240" w:lineRule="atLeast"/>
              <w:ind w:left="425" w:hanging="425"/>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39</w:t>
            </w:r>
          </w:p>
        </w:tc>
        <w:tc>
          <w:tcPr>
            <w:tcW w:w="3607" w:type="pct"/>
            <w:tcBorders>
              <w:top w:val="nil"/>
              <w:left w:val="nil"/>
              <w:bottom w:val="nil"/>
              <w:right w:val="nil"/>
            </w:tcBorders>
            <w:shd w:val="clear" w:color="auto" w:fill="DAF2D0"/>
            <w:vAlign w:val="center"/>
          </w:tcPr>
          <w:p w14:paraId="63392A68">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引用文件应在正文中有明确引用；未明确引用的文件建议删除。</w:t>
            </w:r>
          </w:p>
        </w:tc>
      </w:tr>
      <w:tr w14:paraId="38A0E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292EDFE6">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60A2A0A3">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39F3471C">
            <w:pPr>
              <w:keepNext w:val="0"/>
              <w:keepLines w:val="0"/>
              <w:widowControl/>
              <w:numPr>
                <w:ilvl w:val="0"/>
                <w:numId w:val="0"/>
              </w:numPr>
              <w:suppressLineNumbers w:val="0"/>
              <w:spacing w:line="240" w:lineRule="atLeast"/>
              <w:ind w:left="425" w:hanging="425"/>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40</w:t>
            </w:r>
          </w:p>
        </w:tc>
        <w:tc>
          <w:tcPr>
            <w:tcW w:w="3607" w:type="pct"/>
            <w:tcBorders>
              <w:top w:val="nil"/>
              <w:left w:val="nil"/>
              <w:bottom w:val="nil"/>
              <w:right w:val="nil"/>
            </w:tcBorders>
            <w:shd w:val="clear" w:color="auto" w:fill="DAF2D0"/>
            <w:vAlign w:val="center"/>
          </w:tcPr>
          <w:p w14:paraId="7994C599">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正文中已提及但引用文件中未列出的文件应补充，例如《重点用能单位节能管理办法》《能源计量监督管理办法》等。</w:t>
            </w:r>
          </w:p>
        </w:tc>
      </w:tr>
      <w:tr w14:paraId="76C8A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18BE9C23">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4B0F8B2F">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37924685">
            <w:pPr>
              <w:keepNext w:val="0"/>
              <w:keepLines w:val="0"/>
              <w:widowControl/>
              <w:numPr>
                <w:ilvl w:val="0"/>
                <w:numId w:val="0"/>
              </w:numPr>
              <w:suppressLineNumbers w:val="0"/>
              <w:spacing w:line="240" w:lineRule="atLeast"/>
              <w:ind w:left="425" w:hanging="425"/>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41</w:t>
            </w:r>
          </w:p>
        </w:tc>
        <w:tc>
          <w:tcPr>
            <w:tcW w:w="3607" w:type="pct"/>
            <w:tcBorders>
              <w:top w:val="nil"/>
              <w:left w:val="nil"/>
              <w:bottom w:val="nil"/>
              <w:right w:val="nil"/>
            </w:tcBorders>
            <w:shd w:val="clear" w:color="auto" w:fill="DAF2D0"/>
            <w:vAlign w:val="center"/>
          </w:tcPr>
          <w:p w14:paraId="5D51655F">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GB 17167 因引用具体条款，应添加年号，建议写为 GB 17167-2025。</w:t>
            </w:r>
          </w:p>
        </w:tc>
      </w:tr>
      <w:tr w14:paraId="5FA89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3DF0909A">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54539313">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5DEA0294">
            <w:pPr>
              <w:keepNext w:val="0"/>
              <w:keepLines w:val="0"/>
              <w:widowControl/>
              <w:numPr>
                <w:ilvl w:val="0"/>
                <w:numId w:val="0"/>
              </w:numPr>
              <w:suppressLineNumbers w:val="0"/>
              <w:spacing w:line="240" w:lineRule="atLeast"/>
              <w:ind w:left="425" w:hanging="425"/>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42</w:t>
            </w:r>
          </w:p>
        </w:tc>
        <w:tc>
          <w:tcPr>
            <w:tcW w:w="3607" w:type="pct"/>
            <w:tcBorders>
              <w:top w:val="nil"/>
              <w:left w:val="nil"/>
              <w:bottom w:val="nil"/>
              <w:right w:val="nil"/>
            </w:tcBorders>
            <w:shd w:val="clear" w:color="auto" w:fill="DAF2D0"/>
            <w:vAlign w:val="center"/>
          </w:tcPr>
          <w:p w14:paraId="00A9C092">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GB/T 24789《用水单位水计量器具配备和管理通则》与能源计量直接关系不强，建议删除。</w:t>
            </w:r>
          </w:p>
        </w:tc>
      </w:tr>
      <w:tr w14:paraId="1F20F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636B6D47">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48AAA036">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6F7C7166">
            <w:pPr>
              <w:keepNext w:val="0"/>
              <w:keepLines w:val="0"/>
              <w:widowControl/>
              <w:numPr>
                <w:ilvl w:val="0"/>
                <w:numId w:val="0"/>
              </w:numPr>
              <w:suppressLineNumbers w:val="0"/>
              <w:spacing w:line="240" w:lineRule="atLeast"/>
              <w:ind w:left="425" w:hanging="425"/>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43</w:t>
            </w:r>
          </w:p>
        </w:tc>
        <w:tc>
          <w:tcPr>
            <w:tcW w:w="3607" w:type="pct"/>
            <w:tcBorders>
              <w:top w:val="nil"/>
              <w:left w:val="nil"/>
              <w:bottom w:val="nil"/>
              <w:right w:val="nil"/>
            </w:tcBorders>
            <w:shd w:val="clear" w:color="auto" w:fill="DAF2D0"/>
            <w:vAlign w:val="center"/>
          </w:tcPr>
          <w:p w14:paraId="1674437B">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审查依据中不应以本审查规范自身作为审查依据，避免循环引用。</w:t>
            </w:r>
          </w:p>
        </w:tc>
      </w:tr>
      <w:tr w14:paraId="5DD25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3077B0D7">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413A1FF1">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1B48C650">
            <w:pPr>
              <w:keepNext w:val="0"/>
              <w:keepLines w:val="0"/>
              <w:widowControl/>
              <w:numPr>
                <w:ilvl w:val="0"/>
                <w:numId w:val="0"/>
              </w:numPr>
              <w:suppressLineNumbers w:val="0"/>
              <w:spacing w:line="240" w:lineRule="atLeast"/>
              <w:ind w:left="425" w:hanging="425"/>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44</w:t>
            </w:r>
          </w:p>
        </w:tc>
        <w:tc>
          <w:tcPr>
            <w:tcW w:w="3607" w:type="pct"/>
            <w:tcBorders>
              <w:top w:val="nil"/>
              <w:left w:val="nil"/>
              <w:bottom w:val="nil"/>
              <w:right w:val="nil"/>
            </w:tcBorders>
            <w:shd w:val="clear" w:color="auto" w:fill="DAF2D0"/>
            <w:vAlign w:val="center"/>
          </w:tcPr>
          <w:p w14:paraId="06963158">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“依据的标准/审查规范/管理文件名称”中不宜写审查规范本身，应列明法律法规、强制标准 GB 17167-2025 等，行业重要推荐标准可选用。</w:t>
            </w:r>
          </w:p>
        </w:tc>
      </w:tr>
      <w:tr w14:paraId="096B7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5263F188">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3EF0C606">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1CF69A12">
            <w:pPr>
              <w:keepNext w:val="0"/>
              <w:keepLines w:val="0"/>
              <w:widowControl/>
              <w:numPr>
                <w:ilvl w:val="0"/>
                <w:numId w:val="0"/>
              </w:numPr>
              <w:suppressLineNumbers w:val="0"/>
              <w:spacing w:line="240" w:lineRule="atLeast"/>
              <w:ind w:left="425" w:hanging="425"/>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45</w:t>
            </w:r>
          </w:p>
        </w:tc>
        <w:tc>
          <w:tcPr>
            <w:tcW w:w="3607" w:type="pct"/>
            <w:tcBorders>
              <w:top w:val="nil"/>
              <w:left w:val="nil"/>
              <w:bottom w:val="nil"/>
              <w:right w:val="nil"/>
            </w:tcBorders>
            <w:shd w:val="clear" w:color="auto" w:fill="DAF2D0"/>
            <w:vAlign w:val="center"/>
          </w:tcPr>
          <w:p w14:paraId="591B8C9B">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“炼油化工企业”定义建议增加出处说明。</w:t>
            </w:r>
          </w:p>
        </w:tc>
      </w:tr>
      <w:tr w14:paraId="62FF8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6B1A1B27">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7C4E69D4">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32C06ACD">
            <w:pPr>
              <w:keepNext w:val="0"/>
              <w:keepLines w:val="0"/>
              <w:widowControl/>
              <w:numPr>
                <w:ilvl w:val="0"/>
                <w:numId w:val="0"/>
              </w:numPr>
              <w:suppressLineNumbers w:val="0"/>
              <w:spacing w:line="240" w:lineRule="atLeast"/>
              <w:ind w:left="425" w:hanging="425"/>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46</w:t>
            </w:r>
          </w:p>
        </w:tc>
        <w:tc>
          <w:tcPr>
            <w:tcW w:w="3607" w:type="pct"/>
            <w:tcBorders>
              <w:top w:val="nil"/>
              <w:left w:val="nil"/>
              <w:bottom w:val="nil"/>
              <w:right w:val="nil"/>
            </w:tcBorders>
            <w:shd w:val="clear" w:color="auto" w:fill="DAF2D0"/>
            <w:vAlign w:val="center"/>
          </w:tcPr>
          <w:p w14:paraId="4174BAE7">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建议保留“一个炼油化工企业整体通常作为一个用能单位考虑”的表述，以便与次级用能单位、基本用能单元形成分级对应。注释必要性不强，可删除，或在审核内容中体现。</w:t>
            </w:r>
          </w:p>
        </w:tc>
      </w:tr>
      <w:tr w14:paraId="4837D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42D8E3D5">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1007FE71">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6DF110E9">
            <w:pPr>
              <w:keepNext w:val="0"/>
              <w:keepLines w:val="0"/>
              <w:widowControl/>
              <w:numPr>
                <w:ilvl w:val="0"/>
                <w:numId w:val="0"/>
              </w:numPr>
              <w:suppressLineNumbers w:val="0"/>
              <w:spacing w:line="240" w:lineRule="atLeast"/>
              <w:ind w:left="425" w:hanging="425"/>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47</w:t>
            </w:r>
          </w:p>
        </w:tc>
        <w:tc>
          <w:tcPr>
            <w:tcW w:w="3607" w:type="pct"/>
            <w:tcBorders>
              <w:top w:val="nil"/>
              <w:left w:val="nil"/>
              <w:bottom w:val="nil"/>
              <w:right w:val="nil"/>
            </w:tcBorders>
            <w:shd w:val="clear" w:color="auto" w:fill="DAF2D0"/>
            <w:vAlign w:val="center"/>
          </w:tcPr>
          <w:p w14:paraId="472A2F32">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“次级用能单位”宜定义为作业区，即若干统一管理的关联装置组成的区域，可以是分厂、事业部、直属分公司等。</w:t>
            </w:r>
          </w:p>
        </w:tc>
      </w:tr>
      <w:tr w14:paraId="30C41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421D1805">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1C8E923A">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07306FF7">
            <w:pPr>
              <w:keepNext w:val="0"/>
              <w:keepLines w:val="0"/>
              <w:widowControl/>
              <w:numPr>
                <w:ilvl w:val="0"/>
                <w:numId w:val="0"/>
              </w:numPr>
              <w:suppressLineNumbers w:val="0"/>
              <w:spacing w:line="240" w:lineRule="atLeast"/>
              <w:ind w:left="425" w:hanging="425"/>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48</w:t>
            </w:r>
          </w:p>
        </w:tc>
        <w:tc>
          <w:tcPr>
            <w:tcW w:w="3607" w:type="pct"/>
            <w:tcBorders>
              <w:top w:val="nil"/>
              <w:left w:val="nil"/>
              <w:bottom w:val="nil"/>
              <w:right w:val="nil"/>
            </w:tcBorders>
            <w:shd w:val="clear" w:color="auto" w:fill="DAF2D0"/>
            <w:vAlign w:val="center"/>
          </w:tcPr>
          <w:p w14:paraId="11132CD0">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相关装置及配套系统不宜定义为次级用能单位，建议定义为“基本用能单元”。</w:t>
            </w:r>
          </w:p>
        </w:tc>
      </w:tr>
      <w:tr w14:paraId="35F13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3B551B3E">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6CB36118">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1757EE2E">
            <w:pPr>
              <w:keepNext w:val="0"/>
              <w:keepLines w:val="0"/>
              <w:widowControl/>
              <w:numPr>
                <w:ilvl w:val="0"/>
                <w:numId w:val="0"/>
              </w:numPr>
              <w:suppressLineNumbers w:val="0"/>
              <w:spacing w:line="240" w:lineRule="atLeast"/>
              <w:ind w:left="425" w:hanging="425"/>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49</w:t>
            </w:r>
          </w:p>
        </w:tc>
        <w:tc>
          <w:tcPr>
            <w:tcW w:w="3607" w:type="pct"/>
            <w:tcBorders>
              <w:top w:val="nil"/>
              <w:left w:val="nil"/>
              <w:bottom w:val="nil"/>
              <w:right w:val="nil"/>
            </w:tcBorders>
            <w:shd w:val="clear" w:color="auto" w:fill="DAF2D0"/>
            <w:vAlign w:val="center"/>
          </w:tcPr>
          <w:p w14:paraId="102A0C7F">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“基本用能单元”是装置还是设备需进一步明确。</w:t>
            </w:r>
          </w:p>
        </w:tc>
      </w:tr>
      <w:tr w14:paraId="57F8A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746279DA">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1C392453">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6776A562">
            <w:pPr>
              <w:keepNext w:val="0"/>
              <w:keepLines w:val="0"/>
              <w:widowControl/>
              <w:numPr>
                <w:ilvl w:val="0"/>
                <w:numId w:val="0"/>
              </w:numPr>
              <w:suppressLineNumbers w:val="0"/>
              <w:spacing w:line="240" w:lineRule="atLeast"/>
              <w:ind w:left="425" w:hanging="425"/>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50</w:t>
            </w:r>
          </w:p>
        </w:tc>
        <w:tc>
          <w:tcPr>
            <w:tcW w:w="3607" w:type="pct"/>
            <w:tcBorders>
              <w:top w:val="nil"/>
              <w:left w:val="nil"/>
              <w:bottom w:val="nil"/>
              <w:right w:val="nil"/>
            </w:tcBorders>
            <w:shd w:val="clear" w:color="auto" w:fill="DAF2D0"/>
            <w:vAlign w:val="center"/>
          </w:tcPr>
          <w:p w14:paraId="10AF6C04">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第 4 章“能源计量管理”未按会议思路调整，建议修改为：“能源计量管理审查依据”，内部相关要求条款均应标明出处。并且仅法律法规及强制标准作为审核的评判依据。推荐性标准内容可作为审查建议项提出。</w:t>
            </w:r>
          </w:p>
        </w:tc>
      </w:tr>
      <w:tr w14:paraId="0B670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16D418F7">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56FE1989">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1EA7318C">
            <w:pPr>
              <w:keepNext w:val="0"/>
              <w:keepLines w:val="0"/>
              <w:widowControl/>
              <w:numPr>
                <w:ilvl w:val="0"/>
                <w:numId w:val="0"/>
              </w:numPr>
              <w:suppressLineNumbers w:val="0"/>
              <w:spacing w:line="240" w:lineRule="atLeast"/>
              <w:ind w:left="425" w:hanging="425"/>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51</w:t>
            </w:r>
          </w:p>
        </w:tc>
        <w:tc>
          <w:tcPr>
            <w:tcW w:w="3607" w:type="pct"/>
            <w:tcBorders>
              <w:top w:val="nil"/>
              <w:left w:val="nil"/>
              <w:bottom w:val="nil"/>
              <w:right w:val="nil"/>
            </w:tcBorders>
            <w:shd w:val="clear" w:color="auto" w:fill="DAF2D0"/>
            <w:vAlign w:val="center"/>
          </w:tcPr>
          <w:p w14:paraId="67594F29">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GB 17167-2025 已删除“能源计量管理体系”要求，建议对应修改为建立、保持和使用文件化程序，规范能源计量人员职责、能源计量器具管理以及能源计量数据采集、处理、汇总和保持。</w:t>
            </w:r>
          </w:p>
        </w:tc>
      </w:tr>
      <w:tr w14:paraId="5FBB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3CA0C907">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4614DA89">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31418621">
            <w:pPr>
              <w:keepNext w:val="0"/>
              <w:keepLines w:val="0"/>
              <w:widowControl/>
              <w:numPr>
                <w:ilvl w:val="0"/>
                <w:numId w:val="0"/>
              </w:numPr>
              <w:suppressLineNumbers w:val="0"/>
              <w:spacing w:line="240" w:lineRule="atLeast"/>
              <w:ind w:left="425" w:hanging="425"/>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52</w:t>
            </w:r>
          </w:p>
        </w:tc>
        <w:tc>
          <w:tcPr>
            <w:tcW w:w="3607" w:type="pct"/>
            <w:tcBorders>
              <w:top w:val="nil"/>
              <w:left w:val="nil"/>
              <w:bottom w:val="nil"/>
              <w:right w:val="nil"/>
            </w:tcBorders>
            <w:shd w:val="clear" w:color="auto" w:fill="DAF2D0"/>
            <w:vAlign w:val="center"/>
          </w:tcPr>
          <w:p w14:paraId="6DD03243">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4.4 至 8.22 中多项内容属于测量管理体系或推荐性要求，是否有法律法规或强制性规范依据需逐条明示。</w:t>
            </w:r>
          </w:p>
        </w:tc>
      </w:tr>
      <w:tr w14:paraId="5737B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64F798F3">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6B9F7901">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1DC0FDCD">
            <w:pPr>
              <w:keepNext w:val="0"/>
              <w:keepLines w:val="0"/>
              <w:widowControl/>
              <w:numPr>
                <w:ilvl w:val="0"/>
                <w:numId w:val="0"/>
              </w:numPr>
              <w:suppressLineNumbers w:val="0"/>
              <w:spacing w:line="240" w:lineRule="atLeast"/>
              <w:ind w:left="425" w:hanging="425"/>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53</w:t>
            </w:r>
          </w:p>
        </w:tc>
        <w:tc>
          <w:tcPr>
            <w:tcW w:w="3607" w:type="pct"/>
            <w:tcBorders>
              <w:top w:val="nil"/>
              <w:left w:val="nil"/>
              <w:bottom w:val="nil"/>
              <w:right w:val="nil"/>
            </w:tcBorders>
            <w:shd w:val="clear" w:color="auto" w:fill="DAF2D0"/>
            <w:vAlign w:val="center"/>
          </w:tcPr>
          <w:p w14:paraId="59F25C6C">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各单位计量人员对计量统管，包括能源、物料、安全、环保，所以实际上不会设专人负责能源计量。可修改为“应按照 GB 17167-2025 第 5.2 款 能源计量人员，设置专兼职计量器具管理人员，负责能源计量器具的管理，……”</w:t>
            </w:r>
          </w:p>
        </w:tc>
      </w:tr>
      <w:tr w14:paraId="30E22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7209EDC5">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2ABD1D60">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00BC2B11">
            <w:pPr>
              <w:keepNext w:val="0"/>
              <w:keepLines w:val="0"/>
              <w:widowControl/>
              <w:numPr>
                <w:ilvl w:val="0"/>
                <w:numId w:val="0"/>
              </w:numPr>
              <w:suppressLineNumbers w:val="0"/>
              <w:spacing w:line="240" w:lineRule="atLeast"/>
              <w:ind w:left="425" w:hanging="425"/>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54</w:t>
            </w:r>
          </w:p>
        </w:tc>
        <w:tc>
          <w:tcPr>
            <w:tcW w:w="3607" w:type="pct"/>
            <w:tcBorders>
              <w:top w:val="nil"/>
              <w:left w:val="nil"/>
              <w:bottom w:val="nil"/>
              <w:right w:val="nil"/>
            </w:tcBorders>
            <w:shd w:val="clear" w:color="auto" w:fill="DAF2D0"/>
            <w:vAlign w:val="center"/>
          </w:tcPr>
          <w:p w14:paraId="3CF0743A">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“应设专人负责能源计量数据采集、统计、分析和应用”建议改为：应按照 GB 17167-2025 第 5.2 款，设置专兼职能源计量人员负责能源计量数据采集、处理、汇总和保持。</w:t>
            </w:r>
          </w:p>
        </w:tc>
      </w:tr>
      <w:tr w14:paraId="759A4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7C1E8CCD">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7E065250">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0697C455">
            <w:pPr>
              <w:keepNext w:val="0"/>
              <w:keepLines w:val="0"/>
              <w:widowControl/>
              <w:numPr>
                <w:ilvl w:val="0"/>
                <w:numId w:val="0"/>
              </w:numPr>
              <w:suppressLineNumbers w:val="0"/>
              <w:spacing w:line="240" w:lineRule="atLeast"/>
              <w:ind w:left="425" w:hanging="425"/>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55</w:t>
            </w:r>
          </w:p>
        </w:tc>
        <w:tc>
          <w:tcPr>
            <w:tcW w:w="3607" w:type="pct"/>
            <w:tcBorders>
              <w:top w:val="nil"/>
              <w:left w:val="nil"/>
              <w:bottom w:val="nil"/>
              <w:right w:val="nil"/>
            </w:tcBorders>
            <w:shd w:val="clear" w:color="auto" w:fill="DAF2D0"/>
            <w:vAlign w:val="center"/>
          </w:tcPr>
          <w:p w14:paraId="406B61FC">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“能源计量人员宜具有注册计量师职业资格”缺少强制要求，建议删除。</w:t>
            </w:r>
          </w:p>
        </w:tc>
      </w:tr>
      <w:tr w14:paraId="77448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664F526E">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73BA6569">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257BCB29">
            <w:pPr>
              <w:keepNext w:val="0"/>
              <w:keepLines w:val="0"/>
              <w:widowControl/>
              <w:numPr>
                <w:ilvl w:val="0"/>
                <w:numId w:val="0"/>
              </w:numPr>
              <w:suppressLineNumbers w:val="0"/>
              <w:spacing w:line="240" w:lineRule="atLeast"/>
              <w:ind w:left="425" w:hanging="425"/>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56</w:t>
            </w:r>
          </w:p>
        </w:tc>
        <w:tc>
          <w:tcPr>
            <w:tcW w:w="3607" w:type="pct"/>
            <w:tcBorders>
              <w:top w:val="nil"/>
              <w:left w:val="nil"/>
              <w:bottom w:val="nil"/>
              <w:right w:val="nil"/>
            </w:tcBorders>
            <w:shd w:val="clear" w:color="auto" w:fill="DAF2D0"/>
            <w:vAlign w:val="center"/>
          </w:tcPr>
          <w:p w14:paraId="5ADEF8D1">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“能源计量器具配备应具有适度先进性和前瞻性……”需明确强制依据。建议参照 GB 17167-2025 4.2.4 表述：应满足能源精细化管理要求，逐步升级并配备具有自动采集和远传功能的智能化能源计量器具。</w:t>
            </w:r>
          </w:p>
        </w:tc>
      </w:tr>
      <w:tr w14:paraId="4ECA6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1A74505A">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4C7579CE">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4105BF5A">
            <w:pPr>
              <w:keepNext w:val="0"/>
              <w:keepLines w:val="0"/>
              <w:widowControl/>
              <w:numPr>
                <w:ilvl w:val="0"/>
                <w:numId w:val="0"/>
              </w:numPr>
              <w:suppressLineNumbers w:val="0"/>
              <w:spacing w:line="240" w:lineRule="atLeast"/>
              <w:ind w:left="425" w:hanging="425"/>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57</w:t>
            </w:r>
          </w:p>
        </w:tc>
        <w:tc>
          <w:tcPr>
            <w:tcW w:w="3607" w:type="pct"/>
            <w:tcBorders>
              <w:top w:val="nil"/>
              <w:left w:val="nil"/>
              <w:bottom w:val="nil"/>
              <w:right w:val="nil"/>
            </w:tcBorders>
            <w:shd w:val="clear" w:color="auto" w:fill="DAF2D0"/>
            <w:vAlign w:val="center"/>
          </w:tcPr>
          <w:p w14:paraId="00B90053">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“宜配备必要的自检自查用能源计量器具”建议改为“应配备必要的便携式能源检测仪表”，因 GB 17167-2025 4.2.5 为强制要求。</w:t>
            </w:r>
          </w:p>
        </w:tc>
      </w:tr>
      <w:tr w14:paraId="5ECD2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0402ADAF">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1E391A8B">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191A1243">
            <w:pPr>
              <w:keepNext w:val="0"/>
              <w:keepLines w:val="0"/>
              <w:widowControl/>
              <w:numPr>
                <w:ilvl w:val="0"/>
                <w:numId w:val="0"/>
              </w:numPr>
              <w:suppressLineNumbers w:val="0"/>
              <w:spacing w:line="240" w:lineRule="atLeast"/>
              <w:ind w:left="425" w:hanging="425"/>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58</w:t>
            </w:r>
          </w:p>
        </w:tc>
        <w:tc>
          <w:tcPr>
            <w:tcW w:w="3607" w:type="pct"/>
            <w:tcBorders>
              <w:top w:val="nil"/>
              <w:left w:val="nil"/>
              <w:bottom w:val="nil"/>
              <w:right w:val="nil"/>
            </w:tcBorders>
            <w:shd w:val="clear" w:color="auto" w:fill="DAF2D0"/>
            <w:vAlign w:val="center"/>
          </w:tcPr>
          <w:p w14:paraId="799EF8F6">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能源流向图相关条款建议删除。</w:t>
            </w:r>
          </w:p>
        </w:tc>
      </w:tr>
      <w:tr w14:paraId="602A2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3D753FED">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3ACCDCD6">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2CBC27D0">
            <w:pPr>
              <w:keepNext w:val="0"/>
              <w:keepLines w:val="0"/>
              <w:widowControl/>
              <w:numPr>
                <w:ilvl w:val="0"/>
                <w:numId w:val="0"/>
              </w:numPr>
              <w:suppressLineNumbers w:val="0"/>
              <w:spacing w:line="240" w:lineRule="atLeast"/>
              <w:ind w:left="425" w:hanging="425"/>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59</w:t>
            </w:r>
          </w:p>
        </w:tc>
        <w:tc>
          <w:tcPr>
            <w:tcW w:w="3607" w:type="pct"/>
            <w:tcBorders>
              <w:top w:val="nil"/>
              <w:left w:val="nil"/>
              <w:bottom w:val="nil"/>
              <w:right w:val="nil"/>
            </w:tcBorders>
            <w:shd w:val="clear" w:color="auto" w:fill="DAF2D0"/>
            <w:vAlign w:val="center"/>
          </w:tcPr>
          <w:p w14:paraId="2E2E4BC8">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如保留火炬气，应说明其不属于能源范畴，但可作为碳排放活动数据考虑。</w:t>
            </w:r>
          </w:p>
        </w:tc>
      </w:tr>
      <w:tr w14:paraId="68871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3BDB47AA">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4CAA4F2E">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5CC91E5D">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60</w:t>
            </w:r>
          </w:p>
        </w:tc>
        <w:tc>
          <w:tcPr>
            <w:tcW w:w="3607" w:type="pct"/>
            <w:tcBorders>
              <w:top w:val="nil"/>
              <w:left w:val="nil"/>
              <w:bottom w:val="nil"/>
              <w:right w:val="nil"/>
            </w:tcBorders>
            <w:shd w:val="clear" w:color="auto" w:fill="DAF2D0"/>
            <w:vAlign w:val="center"/>
          </w:tcPr>
          <w:p w14:paraId="4019A40F">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“专属能源介质”几个字不必要且不准确，建议删除。</w:t>
            </w:r>
          </w:p>
        </w:tc>
      </w:tr>
      <w:tr w14:paraId="2814C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591103D0">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4A2380B9">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7855698E">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61</w:t>
            </w:r>
          </w:p>
        </w:tc>
        <w:tc>
          <w:tcPr>
            <w:tcW w:w="3607" w:type="pct"/>
            <w:tcBorders>
              <w:top w:val="nil"/>
              <w:left w:val="nil"/>
              <w:bottom w:val="nil"/>
              <w:right w:val="nil"/>
            </w:tcBorders>
            <w:shd w:val="clear" w:color="auto" w:fill="DAF2D0"/>
            <w:vAlign w:val="center"/>
          </w:tcPr>
          <w:p w14:paraId="426CBB17">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“计量采集点分类分级分项计量需求”与 6.1.1.1 重复，建议合并或删除。</w:t>
            </w:r>
          </w:p>
        </w:tc>
      </w:tr>
      <w:tr w14:paraId="3CB1E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39531496">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1F9B9196">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7112DBD0">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62</w:t>
            </w:r>
          </w:p>
        </w:tc>
        <w:tc>
          <w:tcPr>
            <w:tcW w:w="3607" w:type="pct"/>
            <w:tcBorders>
              <w:top w:val="nil"/>
              <w:left w:val="nil"/>
              <w:bottom w:val="nil"/>
              <w:right w:val="nil"/>
            </w:tcBorders>
            <w:shd w:val="clear" w:color="auto" w:fill="DAF2D0"/>
            <w:vAlign w:val="center"/>
          </w:tcPr>
          <w:p w14:paraId="7C5CC046">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计量器具准确度等级建议表述为：遵照 GB 17167-2025 要求执行，GB/T 20901 有更严格要求时可参照执行。</w:t>
            </w:r>
          </w:p>
        </w:tc>
      </w:tr>
      <w:tr w14:paraId="76C8B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1C804A27">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766CCB6B">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14A36CE3">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63</w:t>
            </w:r>
          </w:p>
        </w:tc>
        <w:tc>
          <w:tcPr>
            <w:tcW w:w="3607" w:type="pct"/>
            <w:tcBorders>
              <w:top w:val="nil"/>
              <w:left w:val="nil"/>
              <w:bottom w:val="nil"/>
              <w:right w:val="nil"/>
            </w:tcBorders>
            <w:shd w:val="clear" w:color="auto" w:fill="DAF2D0"/>
            <w:vAlign w:val="center"/>
          </w:tcPr>
          <w:p w14:paraId="4E06C0D1">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“能源流向图、计量采集点和能源计量器具需要量定期确认”中能源流向图暂时不建议考虑。</w:t>
            </w:r>
          </w:p>
        </w:tc>
      </w:tr>
      <w:tr w14:paraId="0A3D9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2ADBC2FF">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0A177169">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69BB2B73">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64</w:t>
            </w:r>
          </w:p>
        </w:tc>
        <w:tc>
          <w:tcPr>
            <w:tcW w:w="3607" w:type="pct"/>
            <w:tcBorders>
              <w:top w:val="nil"/>
              <w:left w:val="nil"/>
              <w:bottom w:val="nil"/>
              <w:right w:val="nil"/>
            </w:tcBorders>
            <w:shd w:val="clear" w:color="auto" w:fill="DAF2D0"/>
            <w:vAlign w:val="center"/>
          </w:tcPr>
          <w:p w14:paraId="2D2820A9">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建议修改为“能源计量的种类应符合国家统计等法律法规和相关标准要求，包括一次能源、二次能源和载能工质，如：煤炭、原油、天然气、电力、成品油、液化石油气、重油、渣油、煤气、蒸汽、热水、冷冻水等。”与 GB 17167 保持一致。用等，包含了氢能等未列示的内容。</w:t>
            </w:r>
          </w:p>
        </w:tc>
      </w:tr>
      <w:tr w14:paraId="40148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07CA2DFC">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12C9FF85">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57F5D58E">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65</w:t>
            </w:r>
          </w:p>
        </w:tc>
        <w:tc>
          <w:tcPr>
            <w:tcW w:w="3607" w:type="pct"/>
            <w:tcBorders>
              <w:top w:val="nil"/>
              <w:left w:val="nil"/>
              <w:bottom w:val="nil"/>
              <w:right w:val="nil"/>
            </w:tcBorders>
            <w:shd w:val="clear" w:color="auto" w:fill="DAF2D0"/>
            <w:vAlign w:val="center"/>
          </w:tcPr>
          <w:p w14:paraId="4E86E24F">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范围中“用能设备”建议统一改为“基本用能单元”。</w:t>
            </w:r>
          </w:p>
        </w:tc>
      </w:tr>
      <w:tr w14:paraId="380D6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1E3AC91B">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79C36B36">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6F98107B">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66</w:t>
            </w:r>
          </w:p>
        </w:tc>
        <w:tc>
          <w:tcPr>
            <w:tcW w:w="3607" w:type="pct"/>
            <w:tcBorders>
              <w:top w:val="nil"/>
              <w:left w:val="nil"/>
              <w:bottom w:val="nil"/>
              <w:right w:val="nil"/>
            </w:tcBorders>
            <w:shd w:val="clear" w:color="auto" w:fill="DAF2D0"/>
            <w:vAlign w:val="center"/>
          </w:tcPr>
          <w:p w14:paraId="55D551DC">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计量器具配备率条款中建议删除 GB/T 24789 和 JJG 596 的单独表述，改为“能源计量的计量器具配备率满足 GB 17167 要求，适用时可参考 GB/T 20901 的相关规定”。</w:t>
            </w:r>
          </w:p>
        </w:tc>
      </w:tr>
      <w:tr w14:paraId="245A3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604F1BEF">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1CE86EB9">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311D65F2">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67</w:t>
            </w:r>
          </w:p>
        </w:tc>
        <w:tc>
          <w:tcPr>
            <w:tcW w:w="3607" w:type="pct"/>
            <w:tcBorders>
              <w:top w:val="nil"/>
              <w:left w:val="nil"/>
              <w:bottom w:val="nil"/>
              <w:right w:val="nil"/>
            </w:tcBorders>
            <w:shd w:val="clear" w:color="auto" w:fill="DAF2D0"/>
            <w:vAlign w:val="center"/>
          </w:tcPr>
          <w:p w14:paraId="04869D16">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6.1.3.6“单台基本用能单元”建议删除“单台”。“未达到表 1 限定值的用能设备……”建议改为“基本用能单元中的……”。</w:t>
            </w:r>
          </w:p>
        </w:tc>
      </w:tr>
      <w:tr w14:paraId="5B8C2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1AE18F34">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24EA0D6F">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4AC9EDA7">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68</w:t>
            </w:r>
          </w:p>
        </w:tc>
        <w:tc>
          <w:tcPr>
            <w:tcW w:w="3607" w:type="pct"/>
            <w:tcBorders>
              <w:top w:val="nil"/>
              <w:left w:val="nil"/>
              <w:bottom w:val="nil"/>
              <w:right w:val="nil"/>
            </w:tcBorders>
            <w:shd w:val="clear" w:color="auto" w:fill="DAF2D0"/>
            <w:vAlign w:val="center"/>
          </w:tcPr>
          <w:p w14:paraId="6426EED5">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关于用能设备可不再单独配备计量器具的注 1、注 2，因已不考虑用能设备，建议删除。</w:t>
            </w:r>
          </w:p>
        </w:tc>
      </w:tr>
      <w:tr w14:paraId="7FDD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7C6946E3">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1390C64C">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105057A9">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69</w:t>
            </w:r>
          </w:p>
        </w:tc>
        <w:tc>
          <w:tcPr>
            <w:tcW w:w="3607" w:type="pct"/>
            <w:tcBorders>
              <w:top w:val="nil"/>
              <w:left w:val="nil"/>
              <w:bottom w:val="nil"/>
              <w:right w:val="nil"/>
            </w:tcBorders>
            <w:shd w:val="clear" w:color="auto" w:fill="DAF2D0"/>
            <w:vAlign w:val="center"/>
          </w:tcPr>
          <w:p w14:paraId="686A9A38">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“大口径管网、低负荷管路、两相流介质宜选用超声流量计”依据不明，建议删除或补充依据。</w:t>
            </w:r>
          </w:p>
        </w:tc>
      </w:tr>
      <w:tr w14:paraId="0F935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5F071B2E">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1BC20C96">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2033B97C">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70</w:t>
            </w:r>
          </w:p>
        </w:tc>
        <w:tc>
          <w:tcPr>
            <w:tcW w:w="3607" w:type="pct"/>
            <w:tcBorders>
              <w:top w:val="nil"/>
              <w:left w:val="nil"/>
              <w:bottom w:val="nil"/>
              <w:right w:val="nil"/>
            </w:tcBorders>
            <w:shd w:val="clear" w:color="auto" w:fill="DAF2D0"/>
            <w:vAlign w:val="center"/>
          </w:tcPr>
          <w:p w14:paraId="119AFF41">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“能源加工、转换、输运性质的用能单位”示例中火电厂、输变电企业建议改为自备电厂、热力站等。</w:t>
            </w:r>
          </w:p>
        </w:tc>
      </w:tr>
      <w:tr w14:paraId="60083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50B71426">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166C22E9">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21FA4738">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71</w:t>
            </w:r>
          </w:p>
        </w:tc>
        <w:tc>
          <w:tcPr>
            <w:tcW w:w="3607" w:type="pct"/>
            <w:tcBorders>
              <w:top w:val="nil"/>
              <w:left w:val="nil"/>
              <w:bottom w:val="nil"/>
              <w:right w:val="nil"/>
            </w:tcBorders>
            <w:shd w:val="clear" w:color="auto" w:fill="DAF2D0"/>
            <w:vAlign w:val="center"/>
          </w:tcPr>
          <w:p w14:paraId="73B0DF0F">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“能源生产用能单位，如采煤、采油企业”等建议修改为如原油炼制，在 6.1.3.9 和 6.1.3.10 之间增加一条“对从事化工品生产的用能单位（如 PX、烯烃等），其所配备的能源计量器具应满足统计原料用能的要求。”</w:t>
            </w:r>
          </w:p>
        </w:tc>
      </w:tr>
      <w:tr w14:paraId="22CA4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2889988D">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335AAE4A">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1AC7A773">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72</w:t>
            </w:r>
          </w:p>
        </w:tc>
        <w:tc>
          <w:tcPr>
            <w:tcW w:w="3607" w:type="pct"/>
            <w:tcBorders>
              <w:top w:val="nil"/>
              <w:left w:val="nil"/>
              <w:bottom w:val="nil"/>
              <w:right w:val="nil"/>
            </w:tcBorders>
            <w:shd w:val="clear" w:color="auto" w:fill="DAF2D0"/>
            <w:vAlign w:val="center"/>
          </w:tcPr>
          <w:p w14:paraId="099868C2">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表 2 用能单位能源计量器具准确度等级要求中：1、水流量表相关参数；2、压力仪表中“2.0”疑似应为“2.5”，需核实；3、电能计量装置分类方法已调整，应更新五类电能计量装置分类原则。</w:t>
            </w:r>
          </w:p>
        </w:tc>
      </w:tr>
      <w:tr w14:paraId="1AA5A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0C512B5A">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5DDF2F7D">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490FA9A3">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73</w:t>
            </w:r>
          </w:p>
        </w:tc>
        <w:tc>
          <w:tcPr>
            <w:tcW w:w="3607" w:type="pct"/>
            <w:tcBorders>
              <w:top w:val="nil"/>
              <w:left w:val="nil"/>
              <w:bottom w:val="nil"/>
              <w:right w:val="nil"/>
            </w:tcBorders>
            <w:shd w:val="clear" w:color="auto" w:fill="DAF2D0"/>
            <w:vAlign w:val="center"/>
          </w:tcPr>
          <w:p w14:paraId="2E971817">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GB/T 18603 最新版本为 2014 版，关于附录 A、附录 B 的引用需核实。</w:t>
            </w:r>
          </w:p>
        </w:tc>
      </w:tr>
      <w:tr w14:paraId="2E946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0659E2C9">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7768C53A">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69361655">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74</w:t>
            </w:r>
          </w:p>
        </w:tc>
        <w:tc>
          <w:tcPr>
            <w:tcW w:w="3607" w:type="pct"/>
            <w:tcBorders>
              <w:top w:val="nil"/>
              <w:left w:val="nil"/>
              <w:bottom w:val="nil"/>
              <w:right w:val="nil"/>
            </w:tcBorders>
            <w:shd w:val="clear" w:color="auto" w:fill="DAF2D0"/>
            <w:vAlign w:val="center"/>
          </w:tcPr>
          <w:p w14:paraId="11FA9983">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“使用其他类型计量器具，其准确度等级、最大允许误差、测量不确定度换算后应不低于表中规定”必要性不强，建议删除。</w:t>
            </w:r>
          </w:p>
        </w:tc>
      </w:tr>
      <w:tr w14:paraId="06994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285722C9">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3FADB40D">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3A6D8AF5">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75</w:t>
            </w:r>
          </w:p>
        </w:tc>
        <w:tc>
          <w:tcPr>
            <w:tcW w:w="3607" w:type="pct"/>
            <w:tcBorders>
              <w:top w:val="nil"/>
              <w:left w:val="nil"/>
              <w:bottom w:val="nil"/>
              <w:right w:val="nil"/>
            </w:tcBorders>
            <w:shd w:val="clear" w:color="auto" w:fill="DAF2D0"/>
            <w:vAlign w:val="center"/>
          </w:tcPr>
          <w:p w14:paraId="122FCFAC">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“主要次级用能单位、基本用能单元所配备电能表的准确度等级可比表 2 中相应要求低一个等级”可与下一款合并叙述。</w:t>
            </w:r>
          </w:p>
        </w:tc>
      </w:tr>
      <w:tr w14:paraId="162CF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551EE5A7">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3C74D33F">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4BAEEEE7">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76</w:t>
            </w:r>
          </w:p>
        </w:tc>
        <w:tc>
          <w:tcPr>
            <w:tcW w:w="3607" w:type="pct"/>
            <w:tcBorders>
              <w:top w:val="nil"/>
              <w:left w:val="nil"/>
              <w:bottom w:val="nil"/>
              <w:right w:val="nil"/>
            </w:tcBorders>
            <w:shd w:val="clear" w:color="auto" w:fill="DAF2D0"/>
            <w:vAlign w:val="center"/>
          </w:tcPr>
          <w:p w14:paraId="0D7FC7E4">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台账资料中“最新有效的计量溯源性证明和结果确认记录”与 GB 17167 中“最近两个连续周期的相关检定（校准）证书或测试报告”不一致，建议修改。</w:t>
            </w:r>
          </w:p>
        </w:tc>
      </w:tr>
      <w:tr w14:paraId="3FE5F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7E058BE5">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5AE06E79">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69A04D90">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77</w:t>
            </w:r>
          </w:p>
        </w:tc>
        <w:tc>
          <w:tcPr>
            <w:tcW w:w="3607" w:type="pct"/>
            <w:tcBorders>
              <w:top w:val="nil"/>
              <w:left w:val="nil"/>
              <w:bottom w:val="nil"/>
              <w:right w:val="nil"/>
            </w:tcBorders>
            <w:shd w:val="clear" w:color="auto" w:fill="DAF2D0"/>
            <w:vAlign w:val="center"/>
          </w:tcPr>
          <w:p w14:paraId="79415FE6">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“维护维修保养记录”建议按 GB 17167 表述为“计量器具维修记录”。</w:t>
            </w:r>
          </w:p>
        </w:tc>
      </w:tr>
      <w:tr w14:paraId="61EE2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58ECD376">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39647C88">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65A3D2FA">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78</w:t>
            </w:r>
          </w:p>
        </w:tc>
        <w:tc>
          <w:tcPr>
            <w:tcW w:w="3607" w:type="pct"/>
            <w:tcBorders>
              <w:top w:val="nil"/>
              <w:left w:val="nil"/>
              <w:bottom w:val="nil"/>
              <w:right w:val="nil"/>
            </w:tcBorders>
            <w:shd w:val="clear" w:color="auto" w:fill="DAF2D0"/>
            <w:vAlign w:val="center"/>
          </w:tcPr>
          <w:p w14:paraId="0B8E86E5">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“在用能源计量器具应在明显位置粘贴管理编号、计量溯源状态标识及有效期”属于管理方法，是否为强制要求需说明出处。GB 17167 明确的是经检定、校准、比对、评估不符合要求或超过周期的能源计量器具应停止使用并粘贴停用标识。</w:t>
            </w:r>
          </w:p>
        </w:tc>
      </w:tr>
      <w:tr w14:paraId="0FC11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74FD95BB">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4C7306B8">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45B8A51B">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79</w:t>
            </w:r>
          </w:p>
        </w:tc>
        <w:tc>
          <w:tcPr>
            <w:tcW w:w="3607" w:type="pct"/>
            <w:tcBorders>
              <w:top w:val="nil"/>
              <w:left w:val="nil"/>
              <w:bottom w:val="nil"/>
              <w:right w:val="nil"/>
            </w:tcBorders>
            <w:shd w:val="clear" w:color="auto" w:fill="DAF2D0"/>
            <w:vAlign w:val="center"/>
          </w:tcPr>
          <w:p w14:paraId="0B2F2F01">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“宜采用信息化手段对能源计量器具进行管理”建议改为对照 GB 17167 中“重点用能单位应利用数字技术实现能源计量数据的数字化管理”。</w:t>
            </w:r>
          </w:p>
        </w:tc>
      </w:tr>
      <w:tr w14:paraId="4B0D2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6AA9BC3F">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324880FD">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794D90B1">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80</w:t>
            </w:r>
          </w:p>
        </w:tc>
        <w:tc>
          <w:tcPr>
            <w:tcW w:w="3607" w:type="pct"/>
            <w:tcBorders>
              <w:top w:val="nil"/>
              <w:left w:val="nil"/>
              <w:bottom w:val="nil"/>
              <w:right w:val="nil"/>
            </w:tcBorders>
            <w:shd w:val="clear" w:color="auto" w:fill="DAF2D0"/>
            <w:vAlign w:val="center"/>
          </w:tcPr>
          <w:p w14:paraId="2D6074EC">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“内部最高计量标准器具管理”建议改为“企业最高计量标准”。</w:t>
            </w:r>
          </w:p>
        </w:tc>
      </w:tr>
      <w:tr w14:paraId="4FB40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31BE5523">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6416E2C3">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25E880E7">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81</w:t>
            </w:r>
          </w:p>
        </w:tc>
        <w:tc>
          <w:tcPr>
            <w:tcW w:w="3607" w:type="pct"/>
            <w:tcBorders>
              <w:top w:val="nil"/>
              <w:left w:val="nil"/>
              <w:bottom w:val="nil"/>
              <w:right w:val="nil"/>
            </w:tcBorders>
            <w:shd w:val="clear" w:color="auto" w:fill="DAF2D0"/>
            <w:vAlign w:val="center"/>
          </w:tcPr>
          <w:p w14:paraId="2FFCACDB">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6.3.2“下列工况可采用在线校准、核查比对等方式完成溯源确认……”语句不顺，建议改为：针对下列工况，应建立相应的溯源管理机制，允许采用在线校准、核查比对、数理分析等方式完成溯源或可用性确认，但相关计量器具须依托装置周期性大修时机实施离线检定/校准。</w:t>
            </w:r>
          </w:p>
        </w:tc>
      </w:tr>
      <w:tr w14:paraId="42589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29C791A6">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280DE6BE">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38D42FCF">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82</w:t>
            </w:r>
          </w:p>
        </w:tc>
        <w:tc>
          <w:tcPr>
            <w:tcW w:w="3607" w:type="pct"/>
            <w:tcBorders>
              <w:top w:val="nil"/>
              <w:left w:val="nil"/>
              <w:bottom w:val="nil"/>
              <w:right w:val="nil"/>
            </w:tcBorders>
            <w:shd w:val="clear" w:color="auto" w:fill="DAF2D0"/>
            <w:vAlign w:val="center"/>
          </w:tcPr>
          <w:p w14:paraId="0C424741">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“针对炼化企业长周期运行无法满足周期性检定规程”建议改为：长周期运行计量器具无法下线检定/校准，不能满足周期性检定要求的。</w:t>
            </w:r>
          </w:p>
        </w:tc>
      </w:tr>
      <w:tr w14:paraId="6CA25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7177E8C2">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266A9C98">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0DC89C46">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83</w:t>
            </w:r>
          </w:p>
        </w:tc>
        <w:tc>
          <w:tcPr>
            <w:tcW w:w="3607" w:type="pct"/>
            <w:tcBorders>
              <w:top w:val="nil"/>
              <w:left w:val="nil"/>
              <w:bottom w:val="nil"/>
              <w:right w:val="nil"/>
            </w:tcBorders>
            <w:shd w:val="clear" w:color="auto" w:fill="DAF2D0"/>
            <w:vAlign w:val="center"/>
          </w:tcPr>
          <w:p w14:paraId="4B2DCBAD">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应对计量溯源结果进行确认”建议改为“应对重点能源计量器具进行计量确认”，除完成溯源外，还需确认与使用场景的符合性，包括测量参数、测量范围、准确度等级、最大允许误差或测量不确定度等与测量对象的适用性。</w:t>
            </w:r>
          </w:p>
        </w:tc>
      </w:tr>
      <w:tr w14:paraId="0FD76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2B3C1393">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13CDD8F9">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37F744D2">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84</w:t>
            </w:r>
          </w:p>
        </w:tc>
        <w:tc>
          <w:tcPr>
            <w:tcW w:w="3607" w:type="pct"/>
            <w:tcBorders>
              <w:top w:val="nil"/>
              <w:left w:val="nil"/>
              <w:bottom w:val="nil"/>
              <w:right w:val="nil"/>
            </w:tcBorders>
            <w:shd w:val="clear" w:color="auto" w:fill="DAF2D0"/>
            <w:vAlign w:val="center"/>
          </w:tcPr>
          <w:p w14:paraId="548F3A82">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“工况补偿、组分修正、能量平衡核算、在线比对确认的专项溯源与数据修正规则”缺少出处，需补充依据。</w:t>
            </w:r>
          </w:p>
        </w:tc>
      </w:tr>
      <w:tr w14:paraId="3A8FA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2207747C">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593E669C">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62672123">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85</w:t>
            </w:r>
          </w:p>
        </w:tc>
        <w:tc>
          <w:tcPr>
            <w:tcW w:w="3607" w:type="pct"/>
            <w:tcBorders>
              <w:top w:val="nil"/>
              <w:left w:val="nil"/>
              <w:bottom w:val="nil"/>
              <w:right w:val="nil"/>
            </w:tcBorders>
            <w:shd w:val="clear" w:color="auto" w:fill="DAF2D0"/>
            <w:vAlign w:val="center"/>
          </w:tcPr>
          <w:p w14:paraId="58F17D45">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“在用能源计量器具应处于有效计量溯源状态，或者具有计量特性评估确认证明”表述不清，需明确证明形式，例如台账是否可以。</w:t>
            </w:r>
          </w:p>
        </w:tc>
      </w:tr>
      <w:tr w14:paraId="7EEF8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4347B770">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1BFBB514">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1F3BEB27">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86</w:t>
            </w:r>
          </w:p>
        </w:tc>
        <w:tc>
          <w:tcPr>
            <w:tcW w:w="3607" w:type="pct"/>
            <w:tcBorders>
              <w:top w:val="nil"/>
              <w:left w:val="nil"/>
              <w:bottom w:val="nil"/>
              <w:right w:val="nil"/>
            </w:tcBorders>
            <w:shd w:val="clear" w:color="auto" w:fill="DAF2D0"/>
            <w:vAlign w:val="center"/>
          </w:tcPr>
          <w:p w14:paraId="624217DA">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多相流、变组分介质工况下异常判定、误差修正、数据追溯、闭环整改流程可操作性不明，需进一步说明。</w:t>
            </w:r>
          </w:p>
        </w:tc>
      </w:tr>
      <w:tr w14:paraId="41885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4098BB14">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1F59DEDC">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10F5F7D6">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87</w:t>
            </w:r>
          </w:p>
        </w:tc>
        <w:tc>
          <w:tcPr>
            <w:tcW w:w="3607" w:type="pct"/>
            <w:tcBorders>
              <w:top w:val="nil"/>
              <w:left w:val="nil"/>
              <w:bottom w:val="nil"/>
              <w:right w:val="nil"/>
            </w:tcBorders>
            <w:shd w:val="clear" w:color="auto" w:fill="DAF2D0"/>
            <w:vAlign w:val="center"/>
          </w:tcPr>
          <w:p w14:paraId="2DD96256">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7.2.2“复杂工况宜建立动态数据校验模型……”缺少出处。</w:t>
            </w:r>
          </w:p>
        </w:tc>
      </w:tr>
      <w:tr w14:paraId="4570E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6595111B">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3A9CF527">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0D4A95F4">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88</w:t>
            </w:r>
          </w:p>
        </w:tc>
        <w:tc>
          <w:tcPr>
            <w:tcW w:w="3607" w:type="pct"/>
            <w:tcBorders>
              <w:top w:val="nil"/>
              <w:left w:val="nil"/>
              <w:bottom w:val="nil"/>
              <w:right w:val="nil"/>
            </w:tcBorders>
            <w:shd w:val="clear" w:color="auto" w:fill="DAF2D0"/>
            <w:vAlign w:val="center"/>
          </w:tcPr>
          <w:p w14:paraId="493734CE">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7.2.4 经处理后的能源计量数据由能源计量负责人授权人员审核确认的表述与企业实际不符，实际多由能源管理人员完成能源数据采集、统计和分析。</w:t>
            </w:r>
          </w:p>
        </w:tc>
      </w:tr>
      <w:tr w14:paraId="3BAEB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78598725">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43BF2403">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58CBFDF3">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89</w:t>
            </w:r>
          </w:p>
        </w:tc>
        <w:tc>
          <w:tcPr>
            <w:tcW w:w="3607" w:type="pct"/>
            <w:tcBorders>
              <w:top w:val="nil"/>
              <w:left w:val="nil"/>
              <w:bottom w:val="nil"/>
              <w:right w:val="nil"/>
            </w:tcBorders>
            <w:shd w:val="clear" w:color="auto" w:fill="DAF2D0"/>
            <w:vAlign w:val="center"/>
          </w:tcPr>
          <w:p w14:paraId="3F50821E">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“能源计量数据应用”章节超出计量过程管控范围，计量数据是计量过程输出，后期如何应用及应用效果不属于计量过程本身，建议删除或弱化。</w:t>
            </w:r>
          </w:p>
        </w:tc>
      </w:tr>
      <w:tr w14:paraId="589D2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3509F4E9">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7993C8AA">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5EB623E9">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90</w:t>
            </w:r>
          </w:p>
        </w:tc>
        <w:tc>
          <w:tcPr>
            <w:tcW w:w="3607" w:type="pct"/>
            <w:tcBorders>
              <w:top w:val="nil"/>
              <w:left w:val="nil"/>
              <w:bottom w:val="nil"/>
              <w:right w:val="nil"/>
            </w:tcBorders>
            <w:shd w:val="clear" w:color="auto" w:fill="DAF2D0"/>
            <w:vAlign w:val="center"/>
          </w:tcPr>
          <w:p w14:paraId="1082C180">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9.4.1 中 16、“能效异常分析及闭环整改报告、碳计量数据溯源台账”属于能源管理及碳排放管理范围之内，建议删除。</w:t>
            </w:r>
          </w:p>
        </w:tc>
      </w:tr>
      <w:tr w14:paraId="3F394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0363BA39">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02EF8E47">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647B0825">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91</w:t>
            </w:r>
          </w:p>
        </w:tc>
        <w:tc>
          <w:tcPr>
            <w:tcW w:w="3607" w:type="pct"/>
            <w:tcBorders>
              <w:top w:val="nil"/>
              <w:left w:val="nil"/>
              <w:bottom w:val="nil"/>
              <w:right w:val="nil"/>
            </w:tcBorders>
            <w:shd w:val="clear" w:color="auto" w:fill="DAF2D0"/>
            <w:vAlign w:val="center"/>
          </w:tcPr>
          <w:p w14:paraId="1F438AB1">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装置长周期计量溯源方案、不可拆卸在线计量器具核查台账、蒸汽平衡与物料平衡核算记录、燃料气组分与热值同步绑定留存记录、能效异常分析及闭环整改报告、碳计量数据溯源台账、特殊工况计量质量控制体系文件等属于能源管理或碳排放管理范围，建议删除。</w:t>
            </w:r>
          </w:p>
        </w:tc>
      </w:tr>
      <w:tr w14:paraId="5C56B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3E071D6B">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6255E639">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39869F35">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92</w:t>
            </w:r>
          </w:p>
        </w:tc>
        <w:tc>
          <w:tcPr>
            <w:tcW w:w="3607" w:type="pct"/>
            <w:tcBorders>
              <w:top w:val="nil"/>
              <w:left w:val="nil"/>
              <w:bottom w:val="nil"/>
              <w:right w:val="nil"/>
            </w:tcBorders>
            <w:shd w:val="clear" w:color="auto" w:fill="DAF2D0"/>
            <w:vAlign w:val="center"/>
          </w:tcPr>
          <w:p w14:paraId="6B0EF09C">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9.5.1.3 材料不齐全且未开展现场审查时，如何形成最终审查结论需说明。</w:t>
            </w:r>
          </w:p>
        </w:tc>
      </w:tr>
      <w:tr w14:paraId="588C0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49DF71B3">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45C31F35">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012CE5BA">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93</w:t>
            </w:r>
          </w:p>
        </w:tc>
        <w:tc>
          <w:tcPr>
            <w:tcW w:w="3607" w:type="pct"/>
            <w:tcBorders>
              <w:top w:val="nil"/>
              <w:left w:val="nil"/>
              <w:bottom w:val="nil"/>
              <w:right w:val="nil"/>
            </w:tcBorders>
            <w:shd w:val="clear" w:color="auto" w:fill="DAF2D0"/>
            <w:vAlign w:val="center"/>
          </w:tcPr>
          <w:p w14:paraId="2923B62E">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9.5.2.4 政府计量行政主管部门派观察员参会时，应明确观察员权力、义务及工作要求。</w:t>
            </w:r>
          </w:p>
        </w:tc>
      </w:tr>
      <w:tr w14:paraId="30A01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0C134C45">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59CF356C">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4CBC5935">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94</w:t>
            </w:r>
          </w:p>
        </w:tc>
        <w:tc>
          <w:tcPr>
            <w:tcW w:w="3607" w:type="pct"/>
            <w:tcBorders>
              <w:top w:val="nil"/>
              <w:left w:val="nil"/>
              <w:bottom w:val="nil"/>
              <w:right w:val="nil"/>
            </w:tcBorders>
            <w:shd w:val="clear" w:color="auto" w:fill="DAF2D0"/>
            <w:vAlign w:val="center"/>
          </w:tcPr>
          <w:p w14:paraId="5C2C4A86">
            <w:pPr>
              <w:widowControl/>
              <w:spacing w:after="0"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color w:val="000000"/>
                <w:kern w:val="0"/>
                <w:sz w:val="18"/>
                <w:szCs w:val="18"/>
                <w:highlight w:val="none"/>
                <w:u w:val="none"/>
                <w:lang w:bidi="ar"/>
              </w:rPr>
              <w:t>“能源计量能力要素及分值”建议以附表形式放在正文之后，以保持文档阅读连续性。</w:t>
            </w:r>
          </w:p>
        </w:tc>
      </w:tr>
      <w:tr w14:paraId="59EEC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7230A426">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510FD960">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102E978D">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95</w:t>
            </w:r>
          </w:p>
        </w:tc>
        <w:tc>
          <w:tcPr>
            <w:tcW w:w="3607" w:type="pct"/>
            <w:tcBorders>
              <w:top w:val="nil"/>
              <w:left w:val="nil"/>
              <w:bottom w:val="nil"/>
              <w:right w:val="nil"/>
            </w:tcBorders>
            <w:shd w:val="clear" w:color="auto" w:fill="DAF2D0"/>
            <w:vAlign w:val="center"/>
          </w:tcPr>
          <w:p w14:paraId="418512D1">
            <w:pPr>
              <w:widowControl/>
              <w:spacing w:after="0" w:line="240" w:lineRule="atLeast"/>
              <w:jc w:val="left"/>
              <w:textAlignment w:val="center"/>
              <w:rPr>
                <w:rFonts w:hint="eastAsia" w:ascii="微软雅黑" w:hAnsi="微软雅黑" w:eastAsia="微软雅黑" w:cs="微软雅黑"/>
                <w:b w:val="0"/>
                <w:color w:val="000000"/>
                <w:kern w:val="0"/>
                <w:sz w:val="18"/>
                <w:szCs w:val="18"/>
                <w:highlight w:val="none"/>
                <w:u w:val="none"/>
                <w:lang w:bidi="ar"/>
              </w:rPr>
            </w:pPr>
            <w:r>
              <w:rPr>
                <w:rFonts w:hint="eastAsia" w:ascii="微软雅黑" w:hAnsi="微软雅黑" w:eastAsia="微软雅黑" w:cs="微软雅黑"/>
                <w:b w:val="0"/>
                <w:color w:val="000000"/>
                <w:kern w:val="0"/>
                <w:sz w:val="18"/>
                <w:szCs w:val="18"/>
                <w:highlight w:val="none"/>
                <w:u w:val="none"/>
                <w:lang w:bidi="ar"/>
              </w:rPr>
              <w:t>A.4.3.4 中“单台设备能源消耗量……”与前文“基本用能单元”不一致，需统一。</w:t>
            </w:r>
          </w:p>
        </w:tc>
      </w:tr>
      <w:tr w14:paraId="510F8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637FFC09">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1A9E16C1">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27106C5F">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96</w:t>
            </w:r>
          </w:p>
        </w:tc>
        <w:tc>
          <w:tcPr>
            <w:tcW w:w="3607" w:type="pct"/>
            <w:tcBorders>
              <w:top w:val="nil"/>
              <w:left w:val="nil"/>
              <w:bottom w:val="nil"/>
              <w:right w:val="nil"/>
            </w:tcBorders>
            <w:shd w:val="clear" w:color="auto" w:fill="DAF2D0"/>
            <w:vAlign w:val="center"/>
          </w:tcPr>
          <w:p w14:paraId="5E6CA939">
            <w:pPr>
              <w:widowControl/>
              <w:spacing w:after="0" w:line="240" w:lineRule="atLeast"/>
              <w:jc w:val="left"/>
              <w:textAlignment w:val="center"/>
              <w:rPr>
                <w:rFonts w:hint="eastAsia" w:ascii="微软雅黑" w:hAnsi="微软雅黑" w:eastAsia="微软雅黑" w:cs="微软雅黑"/>
                <w:b w:val="0"/>
                <w:color w:val="000000"/>
                <w:kern w:val="0"/>
                <w:sz w:val="18"/>
                <w:szCs w:val="18"/>
                <w:highlight w:val="none"/>
                <w:u w:val="none"/>
                <w:lang w:bidi="ar"/>
              </w:rPr>
            </w:pPr>
            <w:r>
              <w:rPr>
                <w:rFonts w:hint="eastAsia" w:ascii="微软雅黑" w:hAnsi="微软雅黑" w:eastAsia="微软雅黑" w:cs="微软雅黑"/>
                <w:b w:val="0"/>
                <w:color w:val="000000"/>
                <w:kern w:val="0"/>
                <w:sz w:val="18"/>
                <w:szCs w:val="18"/>
                <w:highlight w:val="none"/>
                <w:u w:val="none"/>
                <w:lang w:bidi="ar"/>
              </w:rPr>
              <w:t>附录 B 中“岗位资格证号或授权文件编号”，国家没有能源计量资格证的部门和要求。</w:t>
            </w:r>
          </w:p>
        </w:tc>
      </w:tr>
      <w:tr w14:paraId="607ED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5C647767">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1BBB2041">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5264F8E6">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97</w:t>
            </w:r>
          </w:p>
        </w:tc>
        <w:tc>
          <w:tcPr>
            <w:tcW w:w="3607" w:type="pct"/>
            <w:tcBorders>
              <w:top w:val="nil"/>
              <w:left w:val="nil"/>
              <w:bottom w:val="nil"/>
              <w:right w:val="nil"/>
            </w:tcBorders>
            <w:shd w:val="clear" w:color="auto" w:fill="DAF2D0"/>
            <w:vAlign w:val="center"/>
          </w:tcPr>
          <w:p w14:paraId="0734E0F0">
            <w:pPr>
              <w:widowControl/>
              <w:spacing w:after="0" w:line="240" w:lineRule="atLeast"/>
              <w:jc w:val="left"/>
              <w:textAlignment w:val="center"/>
              <w:rPr>
                <w:rFonts w:hint="eastAsia" w:ascii="微软雅黑" w:hAnsi="微软雅黑" w:eastAsia="微软雅黑" w:cs="微软雅黑"/>
                <w:b w:val="0"/>
                <w:color w:val="000000"/>
                <w:kern w:val="0"/>
                <w:sz w:val="18"/>
                <w:szCs w:val="18"/>
                <w:highlight w:val="none"/>
                <w:u w:val="none"/>
                <w:lang w:bidi="ar"/>
              </w:rPr>
            </w:pPr>
            <w:r>
              <w:rPr>
                <w:rFonts w:hint="eastAsia" w:ascii="微软雅黑" w:hAnsi="微软雅黑" w:eastAsia="微软雅黑" w:cs="微软雅黑"/>
                <w:b w:val="0"/>
                <w:color w:val="000000"/>
                <w:kern w:val="0"/>
                <w:sz w:val="18"/>
                <w:szCs w:val="18"/>
                <w:highlight w:val="none"/>
                <w:u w:val="none"/>
                <w:lang w:bidi="ar"/>
              </w:rPr>
              <w:t>图 B.1 能源流向图的目的主要是统计应配计量器具数量，但 GB/T 6421-1986《企业能流图绘制方法》已于 2004 年废止，且企业目前基本不绘制该图，建议删除。</w:t>
            </w:r>
          </w:p>
        </w:tc>
      </w:tr>
      <w:tr w14:paraId="421E2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2575E40F">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061F8A0C">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1709D697">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98</w:t>
            </w:r>
          </w:p>
        </w:tc>
        <w:tc>
          <w:tcPr>
            <w:tcW w:w="3607" w:type="pct"/>
            <w:tcBorders>
              <w:top w:val="nil"/>
              <w:left w:val="nil"/>
              <w:bottom w:val="nil"/>
              <w:right w:val="nil"/>
            </w:tcBorders>
            <w:shd w:val="clear" w:color="auto" w:fill="DAF2D0"/>
            <w:vAlign w:val="center"/>
          </w:tcPr>
          <w:p w14:paraId="07E04442">
            <w:pPr>
              <w:widowControl/>
              <w:spacing w:after="0" w:line="240" w:lineRule="atLeast"/>
              <w:jc w:val="left"/>
              <w:textAlignment w:val="center"/>
              <w:rPr>
                <w:rFonts w:hint="eastAsia" w:ascii="微软雅黑" w:hAnsi="微软雅黑" w:eastAsia="微软雅黑" w:cs="微软雅黑"/>
                <w:b w:val="0"/>
                <w:color w:val="000000"/>
                <w:kern w:val="0"/>
                <w:sz w:val="18"/>
                <w:szCs w:val="18"/>
                <w:highlight w:val="none"/>
                <w:u w:val="none"/>
                <w:lang w:bidi="ar"/>
              </w:rPr>
            </w:pPr>
            <w:r>
              <w:rPr>
                <w:rFonts w:hint="eastAsia" w:ascii="微软雅黑" w:hAnsi="微软雅黑" w:eastAsia="微软雅黑" w:cs="微软雅黑"/>
                <w:b w:val="0"/>
                <w:color w:val="000000"/>
                <w:kern w:val="0"/>
                <w:sz w:val="18"/>
                <w:szCs w:val="18"/>
                <w:highlight w:val="none"/>
                <w:u w:val="none"/>
                <w:lang w:bidi="ar"/>
              </w:rPr>
              <w:t>审查记录说明中“见 GB 17167 表 4”应增加版本号，并核实表名。</w:t>
            </w:r>
          </w:p>
        </w:tc>
      </w:tr>
      <w:tr w14:paraId="4E473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263A18A7">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7F764F4B">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7810863E">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99</w:t>
            </w:r>
          </w:p>
        </w:tc>
        <w:tc>
          <w:tcPr>
            <w:tcW w:w="3607" w:type="pct"/>
            <w:tcBorders>
              <w:top w:val="nil"/>
              <w:left w:val="nil"/>
              <w:bottom w:val="nil"/>
              <w:right w:val="nil"/>
            </w:tcBorders>
            <w:shd w:val="clear" w:color="auto" w:fill="DAF2D0"/>
            <w:vAlign w:val="center"/>
          </w:tcPr>
          <w:p w14:paraId="704809A9">
            <w:pPr>
              <w:widowControl/>
              <w:spacing w:after="0" w:line="240" w:lineRule="atLeast"/>
              <w:jc w:val="left"/>
              <w:textAlignment w:val="center"/>
              <w:rPr>
                <w:rFonts w:hint="eastAsia" w:ascii="微软雅黑" w:hAnsi="微软雅黑" w:eastAsia="微软雅黑" w:cs="微软雅黑"/>
                <w:b w:val="0"/>
                <w:color w:val="000000"/>
                <w:kern w:val="0"/>
                <w:sz w:val="18"/>
                <w:szCs w:val="18"/>
                <w:highlight w:val="none"/>
                <w:u w:val="none"/>
                <w:lang w:bidi="ar"/>
              </w:rPr>
            </w:pPr>
            <w:r>
              <w:rPr>
                <w:rFonts w:hint="eastAsia" w:ascii="微软雅黑" w:hAnsi="微软雅黑" w:eastAsia="微软雅黑" w:cs="微软雅黑"/>
                <w:b w:val="0"/>
                <w:color w:val="000000"/>
                <w:kern w:val="0"/>
                <w:sz w:val="18"/>
                <w:szCs w:val="18"/>
                <w:highlight w:val="none"/>
                <w:u w:val="none"/>
                <w:lang w:bidi="ar"/>
              </w:rPr>
              <w:t>审查（评审）人员签字处建议增加“被审查单位人员签字”。</w:t>
            </w:r>
          </w:p>
        </w:tc>
      </w:tr>
      <w:tr w14:paraId="0E128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474122AF">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08AF335E">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3AD9564C">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100</w:t>
            </w:r>
          </w:p>
        </w:tc>
        <w:tc>
          <w:tcPr>
            <w:tcW w:w="3607" w:type="pct"/>
            <w:tcBorders>
              <w:top w:val="nil"/>
              <w:left w:val="nil"/>
              <w:bottom w:val="nil"/>
              <w:right w:val="nil"/>
            </w:tcBorders>
            <w:shd w:val="clear" w:color="auto" w:fill="DAF2D0"/>
            <w:vAlign w:val="center"/>
          </w:tcPr>
          <w:p w14:paraId="4003D5ED">
            <w:pPr>
              <w:widowControl/>
              <w:spacing w:after="0" w:line="240" w:lineRule="atLeast"/>
              <w:jc w:val="left"/>
              <w:textAlignment w:val="center"/>
              <w:rPr>
                <w:rFonts w:hint="eastAsia" w:ascii="微软雅黑" w:hAnsi="微软雅黑" w:eastAsia="微软雅黑" w:cs="微软雅黑"/>
                <w:b w:val="0"/>
                <w:color w:val="000000"/>
                <w:kern w:val="0"/>
                <w:sz w:val="18"/>
                <w:szCs w:val="18"/>
                <w:highlight w:val="none"/>
                <w:u w:val="none"/>
                <w:lang w:bidi="ar"/>
              </w:rPr>
            </w:pPr>
            <w:r>
              <w:rPr>
                <w:rFonts w:hint="eastAsia" w:ascii="微软雅黑" w:hAnsi="微软雅黑" w:eastAsia="微软雅黑" w:cs="微软雅黑"/>
                <w:b w:val="0"/>
                <w:color w:val="000000"/>
                <w:kern w:val="0"/>
                <w:sz w:val="18"/>
                <w:szCs w:val="18"/>
                <w:highlight w:val="none"/>
                <w:u w:val="none"/>
                <w:lang w:bidi="ar"/>
              </w:rPr>
              <w:t>表 C.3 能源计量工作人员配备和培训审查（评审）记录表，“岗位资格证号”存疑。</w:t>
            </w:r>
          </w:p>
        </w:tc>
      </w:tr>
      <w:tr w14:paraId="65E33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5FD2D4EC">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right w:val="nil"/>
            </w:tcBorders>
            <w:shd w:val="clear" w:color="auto" w:fill="DAF2D0"/>
            <w:vAlign w:val="center"/>
          </w:tcPr>
          <w:p w14:paraId="6B24CB96">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71C2DEEB">
            <w:pPr>
              <w:keepNext w:val="0"/>
              <w:keepLines w:val="0"/>
              <w:widowControl/>
              <w:numPr>
                <w:ilvl w:val="0"/>
                <w:numId w:val="0"/>
              </w:numPr>
              <w:suppressLineNumbers w:val="0"/>
              <w:spacing w:line="240" w:lineRule="atLeast"/>
              <w:ind w:left="425" w:hanging="425"/>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default" w:ascii="微软雅黑" w:hAnsi="微软雅黑" w:eastAsia="微软雅黑" w:cs="微软雅黑"/>
                <w:i w:val="0"/>
                <w:iCs w:val="0"/>
                <w:color w:val="000000"/>
                <w:kern w:val="0"/>
                <w:sz w:val="18"/>
                <w:szCs w:val="18"/>
                <w:highlight w:val="none"/>
                <w:lang w:val="en-US" w:eastAsia="zh-CN" w:bidi="ar"/>
              </w:rPr>
              <w:t>101</w:t>
            </w:r>
          </w:p>
        </w:tc>
        <w:tc>
          <w:tcPr>
            <w:tcW w:w="3607" w:type="pct"/>
            <w:tcBorders>
              <w:top w:val="nil"/>
              <w:left w:val="nil"/>
              <w:bottom w:val="nil"/>
              <w:right w:val="nil"/>
            </w:tcBorders>
            <w:shd w:val="clear" w:color="auto" w:fill="DAF2D0"/>
            <w:vAlign w:val="center"/>
          </w:tcPr>
          <w:p w14:paraId="5BCDD795">
            <w:pPr>
              <w:widowControl/>
              <w:spacing w:after="0" w:line="240" w:lineRule="atLeast"/>
              <w:jc w:val="left"/>
              <w:textAlignment w:val="center"/>
              <w:rPr>
                <w:rFonts w:hint="eastAsia" w:ascii="微软雅黑" w:hAnsi="微软雅黑" w:eastAsia="微软雅黑" w:cs="微软雅黑"/>
                <w:b w:val="0"/>
                <w:color w:val="000000"/>
                <w:kern w:val="0"/>
                <w:sz w:val="18"/>
                <w:szCs w:val="18"/>
                <w:highlight w:val="none"/>
                <w:u w:val="none"/>
                <w:lang w:bidi="ar"/>
              </w:rPr>
            </w:pPr>
            <w:r>
              <w:rPr>
                <w:rFonts w:hint="eastAsia" w:ascii="微软雅黑" w:hAnsi="微软雅黑" w:eastAsia="微软雅黑" w:cs="微软雅黑"/>
                <w:b w:val="0"/>
                <w:color w:val="000000"/>
                <w:kern w:val="0"/>
                <w:sz w:val="18"/>
                <w:szCs w:val="18"/>
                <w:highlight w:val="none"/>
                <w:u w:val="none"/>
                <w:lang w:bidi="ar"/>
              </w:rPr>
              <w:t>附录 D.3 循环引用？法律法规要求、强制标准 GB 17167-2025 等应列出，行业重要推荐标准可选用。</w:t>
            </w:r>
          </w:p>
        </w:tc>
      </w:tr>
      <w:tr w14:paraId="2F33E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bottom w:val="nil"/>
              <w:right w:val="nil"/>
            </w:tcBorders>
            <w:shd w:val="clear" w:color="auto" w:fill="DAF2D0"/>
            <w:vAlign w:val="center"/>
          </w:tcPr>
          <w:p w14:paraId="1A22C1EC">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left w:val="nil"/>
              <w:bottom w:val="nil"/>
              <w:right w:val="nil"/>
            </w:tcBorders>
            <w:shd w:val="clear" w:color="auto" w:fill="DAF2D0"/>
            <w:vAlign w:val="center"/>
          </w:tcPr>
          <w:p w14:paraId="3D0198C8">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AF2D0"/>
            <w:vAlign w:val="center"/>
          </w:tcPr>
          <w:p w14:paraId="6A83B4F8">
            <w:pPr>
              <w:keepNext w:val="0"/>
              <w:keepLines w:val="0"/>
              <w:widowControl/>
              <w:numPr>
                <w:ilvl w:val="-1"/>
                <w:numId w:val="0"/>
              </w:numPr>
              <w:suppressLineNumbers w:val="0"/>
              <w:spacing w:line="240" w:lineRule="atLeast"/>
              <w:ind w:left="0" w:firstLine="0"/>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102</w:t>
            </w:r>
          </w:p>
        </w:tc>
        <w:tc>
          <w:tcPr>
            <w:tcW w:w="3607" w:type="pct"/>
            <w:tcBorders>
              <w:top w:val="nil"/>
              <w:left w:val="nil"/>
              <w:bottom w:val="nil"/>
              <w:right w:val="nil"/>
            </w:tcBorders>
            <w:shd w:val="clear" w:color="auto" w:fill="DAF2D0"/>
            <w:vAlign w:val="center"/>
          </w:tcPr>
          <w:p w14:paraId="04BD5696">
            <w:pPr>
              <w:widowControl/>
              <w:spacing w:after="0" w:line="240" w:lineRule="atLeast"/>
              <w:jc w:val="left"/>
              <w:textAlignment w:val="center"/>
              <w:rPr>
                <w:rFonts w:hint="eastAsia" w:ascii="微软雅黑" w:hAnsi="微软雅黑" w:eastAsia="微软雅黑" w:cs="微软雅黑"/>
                <w:b w:val="0"/>
                <w:color w:val="000000"/>
                <w:kern w:val="0"/>
                <w:sz w:val="18"/>
                <w:szCs w:val="18"/>
                <w:highlight w:val="none"/>
                <w:u w:val="none"/>
                <w:lang w:bidi="ar"/>
              </w:rPr>
            </w:pPr>
            <w:r>
              <w:rPr>
                <w:rFonts w:hint="eastAsia" w:ascii="微软雅黑" w:hAnsi="微软雅黑" w:eastAsia="微软雅黑" w:cs="微软雅黑"/>
                <w:b w:val="0"/>
                <w:color w:val="000000"/>
                <w:kern w:val="0"/>
                <w:sz w:val="18"/>
                <w:szCs w:val="18"/>
                <w:highlight w:val="none"/>
                <w:u w:val="none"/>
                <w:lang w:bidi="ar"/>
              </w:rPr>
              <w:t>附录 G 不能用审查规范作为审查依据。</w:t>
            </w:r>
          </w:p>
        </w:tc>
      </w:tr>
      <w:tr w14:paraId="0205F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restart"/>
            <w:tcBorders>
              <w:top w:val="nil"/>
              <w:left w:val="nil"/>
              <w:bottom w:val="nil"/>
              <w:right w:val="nil"/>
            </w:tcBorders>
            <w:shd w:val="clear" w:color="auto" w:fill="DAE9F8"/>
            <w:vAlign w:val="center"/>
          </w:tcPr>
          <w:p w14:paraId="16D92E51">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专家5</w:t>
            </w:r>
          </w:p>
        </w:tc>
        <w:tc>
          <w:tcPr>
            <w:tcW w:w="759" w:type="pct"/>
            <w:vMerge w:val="restart"/>
            <w:tcBorders>
              <w:top w:val="nil"/>
              <w:left w:val="nil"/>
              <w:bottom w:val="nil"/>
              <w:right w:val="nil"/>
            </w:tcBorders>
            <w:shd w:val="clear" w:color="auto" w:fill="DAE9F8"/>
            <w:vAlign w:val="center"/>
          </w:tcPr>
          <w:p w14:paraId="3D8B2CE6">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标准名称</w:t>
            </w:r>
          </w:p>
        </w:tc>
        <w:tc>
          <w:tcPr>
            <w:tcW w:w="240" w:type="pct"/>
            <w:tcBorders>
              <w:top w:val="nil"/>
              <w:left w:val="nil"/>
              <w:bottom w:val="nil"/>
              <w:right w:val="nil"/>
            </w:tcBorders>
            <w:shd w:val="clear" w:color="auto" w:fill="DAE9F8"/>
            <w:vAlign w:val="center"/>
          </w:tcPr>
          <w:p w14:paraId="687EED1A">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w:t>
            </w:r>
          </w:p>
        </w:tc>
        <w:tc>
          <w:tcPr>
            <w:tcW w:w="3607" w:type="pct"/>
            <w:tcBorders>
              <w:top w:val="nil"/>
              <w:left w:val="nil"/>
              <w:bottom w:val="nil"/>
              <w:right w:val="nil"/>
            </w:tcBorders>
            <w:shd w:val="clear" w:color="auto" w:fill="DAE9F8"/>
            <w:vAlign w:val="center"/>
          </w:tcPr>
          <w:p w14:paraId="62479259">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建议改为“炼油化工企业”。</w:t>
            </w:r>
          </w:p>
        </w:tc>
      </w:tr>
      <w:tr w14:paraId="56A83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DAE9F8"/>
            <w:vAlign w:val="center"/>
          </w:tcPr>
          <w:p w14:paraId="5F8EC579">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E9F8"/>
            <w:vAlign w:val="center"/>
          </w:tcPr>
          <w:p w14:paraId="0E4E1F24">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E9F8"/>
            <w:vAlign w:val="center"/>
          </w:tcPr>
          <w:p w14:paraId="29B32F86">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w:t>
            </w:r>
          </w:p>
        </w:tc>
        <w:tc>
          <w:tcPr>
            <w:tcW w:w="3607" w:type="pct"/>
            <w:tcBorders>
              <w:top w:val="nil"/>
              <w:left w:val="nil"/>
              <w:bottom w:val="nil"/>
              <w:right w:val="nil"/>
            </w:tcBorders>
            <w:shd w:val="clear" w:color="auto" w:fill="DAE9F8"/>
            <w:vAlign w:val="center"/>
          </w:tcPr>
          <w:p w14:paraId="27138155">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炼油和化工在炼化企业中往往分不开，很多炼油厂也有化工装置。</w:t>
            </w:r>
          </w:p>
        </w:tc>
      </w:tr>
      <w:tr w14:paraId="71384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DAE9F8"/>
            <w:vAlign w:val="center"/>
          </w:tcPr>
          <w:p w14:paraId="13C5AFC5">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E9F8"/>
            <w:vAlign w:val="center"/>
          </w:tcPr>
          <w:p w14:paraId="18D7D48B">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E9F8"/>
            <w:vAlign w:val="center"/>
          </w:tcPr>
          <w:p w14:paraId="38F2BA88">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3</w:t>
            </w:r>
          </w:p>
        </w:tc>
        <w:tc>
          <w:tcPr>
            <w:tcW w:w="3607" w:type="pct"/>
            <w:tcBorders>
              <w:top w:val="nil"/>
              <w:left w:val="nil"/>
              <w:bottom w:val="nil"/>
              <w:right w:val="nil"/>
            </w:tcBorders>
            <w:shd w:val="clear" w:color="auto" w:fill="DAE9F8"/>
            <w:vAlign w:val="center"/>
          </w:tcPr>
          <w:p w14:paraId="3D3059FC">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明确不包括原油勘探等上游环节。</w:t>
            </w:r>
          </w:p>
        </w:tc>
      </w:tr>
      <w:tr w14:paraId="278A4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DAE9F8"/>
            <w:vAlign w:val="center"/>
          </w:tcPr>
          <w:p w14:paraId="7D19B722">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tcBorders>
              <w:top w:val="nil"/>
              <w:left w:val="nil"/>
              <w:bottom w:val="nil"/>
              <w:right w:val="nil"/>
            </w:tcBorders>
            <w:shd w:val="clear" w:color="auto" w:fill="DAE9F8"/>
            <w:vAlign w:val="center"/>
          </w:tcPr>
          <w:p w14:paraId="773A8209">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多相流</w:t>
            </w:r>
          </w:p>
        </w:tc>
        <w:tc>
          <w:tcPr>
            <w:tcW w:w="240" w:type="pct"/>
            <w:tcBorders>
              <w:top w:val="nil"/>
              <w:left w:val="nil"/>
              <w:bottom w:val="nil"/>
              <w:right w:val="nil"/>
            </w:tcBorders>
            <w:shd w:val="clear" w:color="auto" w:fill="DAE9F8"/>
            <w:vAlign w:val="center"/>
          </w:tcPr>
          <w:p w14:paraId="1CC1F371">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4</w:t>
            </w:r>
          </w:p>
        </w:tc>
        <w:tc>
          <w:tcPr>
            <w:tcW w:w="3607" w:type="pct"/>
            <w:tcBorders>
              <w:top w:val="nil"/>
              <w:left w:val="nil"/>
              <w:bottom w:val="nil"/>
              <w:right w:val="nil"/>
            </w:tcBorders>
            <w:shd w:val="clear" w:color="auto" w:fill="DAE9F8"/>
            <w:vAlign w:val="center"/>
          </w:tcPr>
          <w:p w14:paraId="476CA07C">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多相流主要涉及某些气体或特殊介质场景，需要进一步确认具体适用对象。</w:t>
            </w:r>
          </w:p>
        </w:tc>
      </w:tr>
      <w:tr w14:paraId="74D61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DAE9F8"/>
            <w:vAlign w:val="center"/>
          </w:tcPr>
          <w:p w14:paraId="7F16B346">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E9F8"/>
            <w:vAlign w:val="center"/>
          </w:tcPr>
          <w:p w14:paraId="5DF0D2ED">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特殊工况和核算替代</w:t>
            </w:r>
          </w:p>
        </w:tc>
        <w:tc>
          <w:tcPr>
            <w:tcW w:w="240" w:type="pct"/>
            <w:tcBorders>
              <w:top w:val="nil"/>
              <w:left w:val="nil"/>
              <w:bottom w:val="nil"/>
              <w:right w:val="nil"/>
            </w:tcBorders>
            <w:shd w:val="clear" w:color="auto" w:fill="DAE9F8"/>
            <w:vAlign w:val="center"/>
          </w:tcPr>
          <w:p w14:paraId="2A2265F0">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5</w:t>
            </w:r>
          </w:p>
        </w:tc>
        <w:tc>
          <w:tcPr>
            <w:tcW w:w="3607" w:type="pct"/>
            <w:tcBorders>
              <w:top w:val="nil"/>
              <w:left w:val="nil"/>
              <w:bottom w:val="nil"/>
              <w:right w:val="nil"/>
            </w:tcBorders>
            <w:shd w:val="clear" w:color="auto" w:fill="DAE9F8"/>
            <w:vAlign w:val="center"/>
          </w:tcPr>
          <w:p w14:paraId="77A20C8F">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对难以计量的场景，应允许采用核算方法替代，不应强制要求配备无法实现的计量器具。</w:t>
            </w:r>
          </w:p>
        </w:tc>
      </w:tr>
      <w:tr w14:paraId="47F10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DAE9F8"/>
            <w:vAlign w:val="center"/>
          </w:tcPr>
          <w:p w14:paraId="2814E0D2">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E9F8"/>
            <w:vAlign w:val="center"/>
          </w:tcPr>
          <w:p w14:paraId="1E19290A">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E9F8"/>
            <w:vAlign w:val="center"/>
          </w:tcPr>
          <w:p w14:paraId="0A8861EB">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6</w:t>
            </w:r>
          </w:p>
        </w:tc>
        <w:tc>
          <w:tcPr>
            <w:tcW w:w="3607" w:type="pct"/>
            <w:tcBorders>
              <w:top w:val="nil"/>
              <w:left w:val="nil"/>
              <w:bottom w:val="nil"/>
              <w:right w:val="nil"/>
            </w:tcBorders>
            <w:shd w:val="clear" w:color="auto" w:fill="DAE9F8"/>
            <w:vAlign w:val="center"/>
          </w:tcPr>
          <w:p w14:paraId="57C2D7DD">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应给企业留出口子，避免企业实际做不到。</w:t>
            </w:r>
          </w:p>
        </w:tc>
      </w:tr>
      <w:tr w14:paraId="3B6C9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DAE9F8"/>
            <w:vAlign w:val="center"/>
          </w:tcPr>
          <w:p w14:paraId="3D6D700E">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E9F8"/>
            <w:vAlign w:val="center"/>
          </w:tcPr>
          <w:p w14:paraId="4D78D8D0">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长周期运行和溯源</w:t>
            </w:r>
          </w:p>
        </w:tc>
        <w:tc>
          <w:tcPr>
            <w:tcW w:w="240" w:type="pct"/>
            <w:tcBorders>
              <w:top w:val="nil"/>
              <w:left w:val="nil"/>
              <w:bottom w:val="nil"/>
              <w:right w:val="nil"/>
            </w:tcBorders>
            <w:shd w:val="clear" w:color="auto" w:fill="DAE9F8"/>
            <w:vAlign w:val="center"/>
          </w:tcPr>
          <w:p w14:paraId="15D3CC73">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7</w:t>
            </w:r>
          </w:p>
        </w:tc>
        <w:tc>
          <w:tcPr>
            <w:tcW w:w="3607" w:type="pct"/>
            <w:tcBorders>
              <w:top w:val="nil"/>
              <w:left w:val="nil"/>
              <w:bottom w:val="nil"/>
              <w:right w:val="nil"/>
            </w:tcBorders>
            <w:shd w:val="clear" w:color="auto" w:fill="DAE9F8"/>
            <w:vAlign w:val="center"/>
          </w:tcPr>
          <w:p w14:paraId="50D8D857">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炼化企业检修周期往往是4年甚至5年，部分计量器具无法按1年或2年检定周期拆检。</w:t>
            </w:r>
          </w:p>
        </w:tc>
      </w:tr>
      <w:tr w14:paraId="3BD95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DAE9F8"/>
            <w:vAlign w:val="center"/>
          </w:tcPr>
          <w:p w14:paraId="4DD1DA0A">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E9F8"/>
            <w:vAlign w:val="center"/>
          </w:tcPr>
          <w:p w14:paraId="1F57BEC9">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E9F8"/>
            <w:vAlign w:val="center"/>
          </w:tcPr>
          <w:p w14:paraId="5F3DE314">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8</w:t>
            </w:r>
          </w:p>
        </w:tc>
        <w:tc>
          <w:tcPr>
            <w:tcW w:w="3607" w:type="pct"/>
            <w:tcBorders>
              <w:top w:val="nil"/>
              <w:left w:val="nil"/>
              <w:bottom w:val="nil"/>
              <w:right w:val="nil"/>
            </w:tcBorders>
            <w:shd w:val="clear" w:color="auto" w:fill="DAE9F8"/>
            <w:vAlign w:val="center"/>
          </w:tcPr>
          <w:p w14:paraId="1BA9EBD7">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对长周期运行、无法拆卸的计量器具，可采用在线校准、核查比对、能量平衡核算等方式完成溯源或确认。</w:t>
            </w:r>
          </w:p>
        </w:tc>
      </w:tr>
      <w:tr w14:paraId="1AF90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DAE9F8"/>
            <w:vAlign w:val="center"/>
          </w:tcPr>
          <w:p w14:paraId="4D50EF06">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E9F8"/>
            <w:vAlign w:val="center"/>
          </w:tcPr>
          <w:p w14:paraId="30008707">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关键介质</w:t>
            </w:r>
          </w:p>
        </w:tc>
        <w:tc>
          <w:tcPr>
            <w:tcW w:w="240" w:type="pct"/>
            <w:tcBorders>
              <w:top w:val="nil"/>
              <w:left w:val="nil"/>
              <w:bottom w:val="nil"/>
              <w:right w:val="nil"/>
            </w:tcBorders>
            <w:shd w:val="clear" w:color="auto" w:fill="DAE9F8"/>
            <w:vAlign w:val="center"/>
          </w:tcPr>
          <w:p w14:paraId="0807A5A6">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9</w:t>
            </w:r>
          </w:p>
        </w:tc>
        <w:tc>
          <w:tcPr>
            <w:tcW w:w="3607" w:type="pct"/>
            <w:tcBorders>
              <w:top w:val="nil"/>
              <w:left w:val="nil"/>
              <w:bottom w:val="nil"/>
              <w:right w:val="nil"/>
            </w:tcBorders>
            <w:shd w:val="clear" w:color="auto" w:fill="DAE9F8"/>
            <w:vAlign w:val="center"/>
          </w:tcPr>
          <w:p w14:paraId="637A708B">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火炬气、高压相变蒸汽等较难计量。</w:t>
            </w:r>
          </w:p>
        </w:tc>
      </w:tr>
      <w:tr w14:paraId="553E6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DAE9F8"/>
            <w:vAlign w:val="center"/>
          </w:tcPr>
          <w:p w14:paraId="38CBDBE9">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E9F8"/>
            <w:vAlign w:val="center"/>
          </w:tcPr>
          <w:p w14:paraId="678E238B">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E9F8"/>
            <w:vAlign w:val="center"/>
          </w:tcPr>
          <w:p w14:paraId="6D55F51B">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10</w:t>
            </w:r>
          </w:p>
        </w:tc>
        <w:tc>
          <w:tcPr>
            <w:tcW w:w="3607" w:type="pct"/>
            <w:tcBorders>
              <w:top w:val="nil"/>
              <w:left w:val="nil"/>
              <w:bottom w:val="nil"/>
              <w:right w:val="nil"/>
            </w:tcBorders>
            <w:shd w:val="clear" w:color="auto" w:fill="DAE9F8"/>
            <w:vAlign w:val="center"/>
          </w:tcPr>
          <w:p w14:paraId="07643AD4">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两相流若主要属于上游场景，可考虑不纳入炼化规范。</w:t>
            </w:r>
          </w:p>
        </w:tc>
      </w:tr>
      <w:tr w14:paraId="30B4F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DAE9F8"/>
            <w:vAlign w:val="center"/>
          </w:tcPr>
          <w:p w14:paraId="393A656F">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E9F8"/>
            <w:vAlign w:val="center"/>
          </w:tcPr>
          <w:p w14:paraId="676D8981">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审查组要求</w:t>
            </w:r>
          </w:p>
        </w:tc>
        <w:tc>
          <w:tcPr>
            <w:tcW w:w="240" w:type="pct"/>
            <w:tcBorders>
              <w:top w:val="nil"/>
              <w:left w:val="nil"/>
              <w:bottom w:val="nil"/>
              <w:right w:val="nil"/>
            </w:tcBorders>
            <w:shd w:val="clear" w:color="auto" w:fill="DAE9F8"/>
            <w:vAlign w:val="center"/>
          </w:tcPr>
          <w:p w14:paraId="6016E228">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11</w:t>
            </w:r>
          </w:p>
        </w:tc>
        <w:tc>
          <w:tcPr>
            <w:tcW w:w="3607" w:type="pct"/>
            <w:tcBorders>
              <w:top w:val="nil"/>
              <w:left w:val="nil"/>
              <w:bottom w:val="nil"/>
              <w:right w:val="nil"/>
            </w:tcBorders>
            <w:shd w:val="clear" w:color="auto" w:fill="DAE9F8"/>
            <w:vAlign w:val="center"/>
          </w:tcPr>
          <w:p w14:paraId="49935363">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“特殊工况”等表述不宜写太细，因为本身难以评价。</w:t>
            </w:r>
          </w:p>
        </w:tc>
      </w:tr>
      <w:tr w14:paraId="62F3C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DAE9F8"/>
            <w:vAlign w:val="center"/>
          </w:tcPr>
          <w:p w14:paraId="4DF8EE86">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E9F8"/>
            <w:vAlign w:val="center"/>
          </w:tcPr>
          <w:p w14:paraId="5BCEABE2">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E9F8"/>
            <w:vAlign w:val="center"/>
          </w:tcPr>
          <w:p w14:paraId="7055AB40">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12</w:t>
            </w:r>
          </w:p>
        </w:tc>
        <w:tc>
          <w:tcPr>
            <w:tcW w:w="3607" w:type="pct"/>
            <w:tcBorders>
              <w:top w:val="nil"/>
              <w:left w:val="nil"/>
              <w:bottom w:val="nil"/>
              <w:right w:val="nil"/>
            </w:tcBorders>
            <w:shd w:val="clear" w:color="auto" w:fill="DAE9F8"/>
            <w:vAlign w:val="center"/>
          </w:tcPr>
          <w:p w14:paraId="540CB293">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建议保留熟悉炼化生产工艺、计量等原则性要求即可。</w:t>
            </w:r>
          </w:p>
        </w:tc>
      </w:tr>
      <w:tr w14:paraId="588CA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DAE9F8"/>
            <w:vAlign w:val="center"/>
          </w:tcPr>
          <w:p w14:paraId="6CA2E240">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E9F8"/>
            <w:vAlign w:val="center"/>
          </w:tcPr>
          <w:p w14:paraId="55CEB6C7">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能源计量评价</w:t>
            </w:r>
          </w:p>
        </w:tc>
        <w:tc>
          <w:tcPr>
            <w:tcW w:w="240" w:type="pct"/>
            <w:tcBorders>
              <w:top w:val="nil"/>
              <w:left w:val="nil"/>
              <w:bottom w:val="nil"/>
              <w:right w:val="nil"/>
            </w:tcBorders>
            <w:shd w:val="clear" w:color="auto" w:fill="DAE9F8"/>
            <w:vAlign w:val="center"/>
          </w:tcPr>
          <w:p w14:paraId="581B3EE8">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13</w:t>
            </w:r>
          </w:p>
        </w:tc>
        <w:tc>
          <w:tcPr>
            <w:tcW w:w="3607" w:type="pct"/>
            <w:tcBorders>
              <w:top w:val="nil"/>
              <w:left w:val="nil"/>
              <w:bottom w:val="nil"/>
              <w:right w:val="nil"/>
            </w:tcBorders>
            <w:shd w:val="clear" w:color="auto" w:fill="DAE9F8"/>
            <w:vAlign w:val="center"/>
          </w:tcPr>
          <w:p w14:paraId="0D112101">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如果规范定位只是审查，结论应是合格/不合格，不必设置评价。</w:t>
            </w:r>
          </w:p>
        </w:tc>
      </w:tr>
      <w:tr w14:paraId="2A7C3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DAE9F8"/>
            <w:vAlign w:val="center"/>
          </w:tcPr>
          <w:p w14:paraId="650721A3">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E9F8"/>
            <w:vAlign w:val="center"/>
          </w:tcPr>
          <w:p w14:paraId="1AC19898">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E9F8"/>
            <w:vAlign w:val="center"/>
          </w:tcPr>
          <w:p w14:paraId="7A8A7611">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14</w:t>
            </w:r>
          </w:p>
        </w:tc>
        <w:tc>
          <w:tcPr>
            <w:tcW w:w="3607" w:type="pct"/>
            <w:tcBorders>
              <w:top w:val="nil"/>
              <w:left w:val="nil"/>
              <w:bottom w:val="nil"/>
              <w:right w:val="nil"/>
            </w:tcBorders>
            <w:shd w:val="clear" w:color="auto" w:fill="DAE9F8"/>
            <w:vAlign w:val="center"/>
          </w:tcPr>
          <w:p w14:paraId="452EC84D">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如果后续确有评价、服务或评级目的，应先在范围和定位中明确。</w:t>
            </w:r>
          </w:p>
        </w:tc>
      </w:tr>
      <w:tr w14:paraId="24E94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DAE9F8"/>
            <w:vAlign w:val="center"/>
          </w:tcPr>
          <w:p w14:paraId="0C7F3D07">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E9F8"/>
            <w:vAlign w:val="center"/>
          </w:tcPr>
          <w:p w14:paraId="7A8432AF">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能源流向图/能源网络图</w:t>
            </w:r>
          </w:p>
        </w:tc>
        <w:tc>
          <w:tcPr>
            <w:tcW w:w="240" w:type="pct"/>
            <w:tcBorders>
              <w:top w:val="nil"/>
              <w:left w:val="nil"/>
              <w:bottom w:val="nil"/>
              <w:right w:val="nil"/>
            </w:tcBorders>
            <w:shd w:val="clear" w:color="auto" w:fill="DAE9F8"/>
            <w:vAlign w:val="center"/>
          </w:tcPr>
          <w:p w14:paraId="79B29A38">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15</w:t>
            </w:r>
          </w:p>
        </w:tc>
        <w:tc>
          <w:tcPr>
            <w:tcW w:w="3607" w:type="pct"/>
            <w:tcBorders>
              <w:top w:val="nil"/>
              <w:left w:val="nil"/>
              <w:bottom w:val="nil"/>
              <w:right w:val="nil"/>
            </w:tcBorders>
            <w:shd w:val="clear" w:color="auto" w:fill="DAE9F8"/>
            <w:vAlign w:val="center"/>
          </w:tcPr>
          <w:p w14:paraId="355AF054">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企业目前已按33656相关要求绘制能源计量网络图。</w:t>
            </w:r>
          </w:p>
        </w:tc>
      </w:tr>
      <w:tr w14:paraId="02A1B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DAE9F8"/>
            <w:vAlign w:val="center"/>
          </w:tcPr>
          <w:p w14:paraId="17C1E6BC">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E9F8"/>
            <w:vAlign w:val="center"/>
          </w:tcPr>
          <w:p w14:paraId="504D3098">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E9F8"/>
            <w:vAlign w:val="center"/>
          </w:tcPr>
          <w:p w14:paraId="296FD94F">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sz w:val="18"/>
                <w:szCs w:val="18"/>
                <w:highlight w:val="none"/>
                <w:u w:val="none"/>
                <w:lang w:val="en-US"/>
              </w:rPr>
            </w:pPr>
            <w:r>
              <w:rPr>
                <w:rFonts w:hint="eastAsia" w:ascii="微软雅黑" w:hAnsi="微软雅黑" w:eastAsia="微软雅黑" w:cs="微软雅黑"/>
                <w:i w:val="0"/>
                <w:iCs w:val="0"/>
                <w:color w:val="000000"/>
                <w:kern w:val="0"/>
                <w:sz w:val="18"/>
                <w:szCs w:val="18"/>
                <w:highlight w:val="none"/>
                <w:u w:val="none"/>
                <w:lang w:val="en-US" w:eastAsia="zh-CN" w:bidi="ar"/>
              </w:rPr>
              <w:t>16</w:t>
            </w:r>
          </w:p>
        </w:tc>
        <w:tc>
          <w:tcPr>
            <w:tcW w:w="3607" w:type="pct"/>
            <w:tcBorders>
              <w:top w:val="nil"/>
              <w:left w:val="nil"/>
              <w:bottom w:val="nil"/>
              <w:right w:val="nil"/>
            </w:tcBorders>
            <w:shd w:val="clear" w:color="auto" w:fill="DAE9F8"/>
            <w:vAlign w:val="center"/>
          </w:tcPr>
          <w:p w14:paraId="7F9FAD32">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建议按照现有标准方法执行，避免企业重新绘图。</w:t>
            </w:r>
          </w:p>
        </w:tc>
      </w:tr>
      <w:tr w14:paraId="2FB9D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DAE9F8"/>
            <w:vAlign w:val="center"/>
          </w:tcPr>
          <w:p w14:paraId="26FFED54">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E9F8"/>
            <w:vAlign w:val="center"/>
          </w:tcPr>
          <w:p w14:paraId="3A543E32">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E9F8"/>
            <w:vAlign w:val="center"/>
          </w:tcPr>
          <w:p w14:paraId="1C4A7771">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17</w:t>
            </w:r>
          </w:p>
        </w:tc>
        <w:tc>
          <w:tcPr>
            <w:tcW w:w="3607" w:type="pct"/>
            <w:tcBorders>
              <w:top w:val="nil"/>
              <w:left w:val="nil"/>
              <w:bottom w:val="nil"/>
              <w:right w:val="nil"/>
            </w:tcBorders>
            <w:shd w:val="clear" w:color="auto" w:fill="DAE9F8"/>
            <w:vAlign w:val="center"/>
          </w:tcPr>
          <w:p w14:paraId="44474C67">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能源流向图可不单独设置，能源计量网络图已经能体现一级、二级流向和具体装置情况。</w:t>
            </w:r>
          </w:p>
        </w:tc>
      </w:tr>
      <w:tr w14:paraId="54CD9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restart"/>
            <w:tcBorders>
              <w:top w:val="nil"/>
              <w:left w:val="nil"/>
              <w:bottom w:val="nil"/>
              <w:right w:val="nil"/>
            </w:tcBorders>
            <w:shd w:val="clear" w:color="auto" w:fill="F2F2F2"/>
            <w:vAlign w:val="center"/>
          </w:tcPr>
          <w:p w14:paraId="6C9681F5">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专家6</w:t>
            </w:r>
          </w:p>
        </w:tc>
        <w:tc>
          <w:tcPr>
            <w:tcW w:w="759" w:type="pct"/>
            <w:vMerge w:val="restart"/>
            <w:tcBorders>
              <w:top w:val="nil"/>
              <w:left w:val="nil"/>
              <w:bottom w:val="nil"/>
              <w:right w:val="nil"/>
            </w:tcBorders>
            <w:shd w:val="clear" w:color="auto" w:fill="F2F2F2"/>
            <w:vAlign w:val="center"/>
          </w:tcPr>
          <w:p w14:paraId="7130AB7F">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标准名称和适用范围</w:t>
            </w:r>
          </w:p>
        </w:tc>
        <w:tc>
          <w:tcPr>
            <w:tcW w:w="240" w:type="pct"/>
            <w:tcBorders>
              <w:top w:val="nil"/>
              <w:left w:val="nil"/>
              <w:bottom w:val="nil"/>
              <w:right w:val="nil"/>
            </w:tcBorders>
            <w:shd w:val="clear" w:color="auto" w:fill="F2F2F2"/>
            <w:vAlign w:val="center"/>
          </w:tcPr>
          <w:p w14:paraId="076B74D9">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w:t>
            </w:r>
          </w:p>
        </w:tc>
        <w:tc>
          <w:tcPr>
            <w:tcW w:w="3607" w:type="pct"/>
            <w:tcBorders>
              <w:top w:val="nil"/>
              <w:left w:val="nil"/>
              <w:bottom w:val="nil"/>
              <w:right w:val="nil"/>
            </w:tcBorders>
            <w:shd w:val="clear" w:color="auto" w:fill="F2F2F2"/>
            <w:vAlign w:val="center"/>
          </w:tcPr>
          <w:p w14:paraId="77240F57">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建议参照20901，明确适用于炼油化工企业</w:t>
            </w:r>
          </w:p>
        </w:tc>
      </w:tr>
      <w:tr w14:paraId="0F73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2F2B0367">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F2F2F2"/>
            <w:vAlign w:val="center"/>
          </w:tcPr>
          <w:p w14:paraId="3B2FE509">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F2F2F2"/>
            <w:vAlign w:val="center"/>
          </w:tcPr>
          <w:p w14:paraId="43A980E9">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w:t>
            </w:r>
          </w:p>
        </w:tc>
        <w:tc>
          <w:tcPr>
            <w:tcW w:w="3607" w:type="pct"/>
            <w:tcBorders>
              <w:top w:val="nil"/>
              <w:left w:val="nil"/>
              <w:bottom w:val="nil"/>
              <w:right w:val="nil"/>
            </w:tcBorders>
            <w:shd w:val="clear" w:color="auto" w:fill="F2F2F2"/>
            <w:vAlign w:val="center"/>
          </w:tcPr>
          <w:p w14:paraId="4D966361">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不包括勘探开发等前端领域。</w:t>
            </w:r>
          </w:p>
        </w:tc>
      </w:tr>
      <w:tr w14:paraId="534A2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52613EA2">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F2F2F2"/>
            <w:vAlign w:val="center"/>
          </w:tcPr>
          <w:p w14:paraId="430FA652">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F2F2F2"/>
            <w:vAlign w:val="center"/>
          </w:tcPr>
          <w:p w14:paraId="48DA35B3">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3</w:t>
            </w:r>
          </w:p>
        </w:tc>
        <w:tc>
          <w:tcPr>
            <w:tcW w:w="3607" w:type="pct"/>
            <w:tcBorders>
              <w:top w:val="nil"/>
              <w:left w:val="nil"/>
              <w:bottom w:val="nil"/>
              <w:right w:val="nil"/>
            </w:tcBorders>
            <w:shd w:val="clear" w:color="auto" w:fill="F2F2F2"/>
            <w:vAlign w:val="center"/>
          </w:tcPr>
          <w:p w14:paraId="58EE5247">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适用范围写清楚即可，不必在名称上过度纠结。</w:t>
            </w:r>
          </w:p>
        </w:tc>
      </w:tr>
      <w:tr w14:paraId="5D516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251368F5">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F2F2F2"/>
            <w:vAlign w:val="center"/>
          </w:tcPr>
          <w:p w14:paraId="767BB9BF">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术语定义</w:t>
            </w:r>
          </w:p>
        </w:tc>
        <w:tc>
          <w:tcPr>
            <w:tcW w:w="240" w:type="pct"/>
            <w:tcBorders>
              <w:top w:val="nil"/>
              <w:left w:val="nil"/>
              <w:bottom w:val="nil"/>
              <w:right w:val="nil"/>
            </w:tcBorders>
            <w:shd w:val="clear" w:color="auto" w:fill="F2F2F2"/>
            <w:vAlign w:val="center"/>
          </w:tcPr>
          <w:p w14:paraId="05BF4941">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4</w:t>
            </w:r>
          </w:p>
        </w:tc>
        <w:tc>
          <w:tcPr>
            <w:tcW w:w="3607" w:type="pct"/>
            <w:tcBorders>
              <w:top w:val="nil"/>
              <w:left w:val="nil"/>
              <w:bottom w:val="nil"/>
              <w:right w:val="nil"/>
            </w:tcBorders>
            <w:shd w:val="clear" w:color="auto" w:fill="F2F2F2"/>
            <w:vAlign w:val="center"/>
          </w:tcPr>
          <w:p w14:paraId="43DA190B">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强烈建议不要提“主要用能设备”。</w:t>
            </w:r>
          </w:p>
        </w:tc>
      </w:tr>
      <w:tr w14:paraId="5EA09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60ADDC5A">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F2F2F2"/>
            <w:vAlign w:val="center"/>
          </w:tcPr>
          <w:p w14:paraId="79CFB9B9">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F2F2F2"/>
            <w:vAlign w:val="center"/>
          </w:tcPr>
          <w:p w14:paraId="75028480">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5</w:t>
            </w:r>
          </w:p>
        </w:tc>
        <w:tc>
          <w:tcPr>
            <w:tcW w:w="3607" w:type="pct"/>
            <w:tcBorders>
              <w:top w:val="nil"/>
              <w:left w:val="nil"/>
              <w:bottom w:val="nil"/>
              <w:right w:val="nil"/>
            </w:tcBorders>
            <w:shd w:val="clear" w:color="auto" w:fill="F2F2F2"/>
            <w:vAlign w:val="center"/>
          </w:tcPr>
          <w:p w14:paraId="21EEB352">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炼化企业通常按装置或基本用能单元进行核算和计量器具配备。</w:t>
            </w:r>
          </w:p>
        </w:tc>
      </w:tr>
      <w:tr w14:paraId="2BE6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047ED70F">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F2F2F2"/>
            <w:vAlign w:val="center"/>
          </w:tcPr>
          <w:p w14:paraId="777EDF10">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F2F2F2"/>
            <w:vAlign w:val="center"/>
          </w:tcPr>
          <w:p w14:paraId="59A92462">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6</w:t>
            </w:r>
          </w:p>
        </w:tc>
        <w:tc>
          <w:tcPr>
            <w:tcW w:w="3607" w:type="pct"/>
            <w:tcBorders>
              <w:top w:val="nil"/>
              <w:left w:val="nil"/>
              <w:bottom w:val="nil"/>
              <w:right w:val="nil"/>
            </w:tcBorders>
            <w:shd w:val="clear" w:color="auto" w:fill="F2F2F2"/>
            <w:vAlign w:val="center"/>
          </w:tcPr>
          <w:p w14:paraId="3A52339F">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术语应参照20901，保留必要的3.1、3.2、3.3即可。</w:t>
            </w:r>
          </w:p>
        </w:tc>
      </w:tr>
      <w:tr w14:paraId="0DF71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01D471A7">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F2F2F2"/>
            <w:vAlign w:val="center"/>
          </w:tcPr>
          <w:p w14:paraId="7F12AF8C">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F2F2F2"/>
            <w:vAlign w:val="center"/>
          </w:tcPr>
          <w:p w14:paraId="2AE86A6A">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7</w:t>
            </w:r>
          </w:p>
        </w:tc>
        <w:tc>
          <w:tcPr>
            <w:tcW w:w="3607" w:type="pct"/>
            <w:tcBorders>
              <w:top w:val="nil"/>
              <w:left w:val="nil"/>
              <w:bottom w:val="nil"/>
              <w:right w:val="nil"/>
            </w:tcBorders>
            <w:shd w:val="clear" w:color="auto" w:fill="F2F2F2"/>
            <w:vAlign w:val="center"/>
          </w:tcPr>
          <w:p w14:paraId="4E7C523C">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通用术语不要重复定义，避免与17167、20901等标准不一致。</w:t>
            </w:r>
          </w:p>
        </w:tc>
      </w:tr>
      <w:tr w14:paraId="2E2CF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256013E8">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F2F2F2"/>
            <w:vAlign w:val="center"/>
          </w:tcPr>
          <w:p w14:paraId="2D589882">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人员要求</w:t>
            </w:r>
          </w:p>
        </w:tc>
        <w:tc>
          <w:tcPr>
            <w:tcW w:w="240" w:type="pct"/>
            <w:tcBorders>
              <w:top w:val="nil"/>
              <w:left w:val="nil"/>
              <w:bottom w:val="nil"/>
              <w:right w:val="nil"/>
            </w:tcBorders>
            <w:shd w:val="clear" w:color="auto" w:fill="F2F2F2"/>
            <w:vAlign w:val="center"/>
          </w:tcPr>
          <w:p w14:paraId="3804DA8D">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8</w:t>
            </w:r>
          </w:p>
        </w:tc>
        <w:tc>
          <w:tcPr>
            <w:tcW w:w="3607" w:type="pct"/>
            <w:tcBorders>
              <w:top w:val="nil"/>
              <w:left w:val="nil"/>
              <w:bottom w:val="nil"/>
              <w:right w:val="nil"/>
            </w:tcBorders>
            <w:shd w:val="clear" w:color="auto" w:fill="F2F2F2"/>
            <w:vAlign w:val="center"/>
          </w:tcPr>
          <w:p w14:paraId="18E1BD56">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不建议写得过细。</w:t>
            </w:r>
          </w:p>
        </w:tc>
      </w:tr>
      <w:tr w14:paraId="22F11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54D59CC5">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F2F2F2"/>
            <w:vAlign w:val="center"/>
          </w:tcPr>
          <w:p w14:paraId="281B637B">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F2F2F2"/>
            <w:vAlign w:val="center"/>
          </w:tcPr>
          <w:p w14:paraId="47012F64">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9</w:t>
            </w:r>
          </w:p>
        </w:tc>
        <w:tc>
          <w:tcPr>
            <w:tcW w:w="3607" w:type="pct"/>
            <w:tcBorders>
              <w:top w:val="nil"/>
              <w:left w:val="nil"/>
              <w:bottom w:val="nil"/>
              <w:right w:val="nil"/>
            </w:tcBorders>
            <w:shd w:val="clear" w:color="auto" w:fill="F2F2F2"/>
            <w:vAlign w:val="center"/>
          </w:tcPr>
          <w:p w14:paraId="4E372C02">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可参照17167：“配备专业人员，定期接受能源计量专业知识培训”。</w:t>
            </w:r>
          </w:p>
        </w:tc>
      </w:tr>
      <w:tr w14:paraId="75C94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7F034AA0">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F2F2F2"/>
            <w:vAlign w:val="center"/>
          </w:tcPr>
          <w:p w14:paraId="3EC203A2">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F2F2F2"/>
            <w:vAlign w:val="center"/>
          </w:tcPr>
          <w:p w14:paraId="07F8FC1F">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10</w:t>
            </w:r>
          </w:p>
        </w:tc>
        <w:tc>
          <w:tcPr>
            <w:tcW w:w="3607" w:type="pct"/>
            <w:tcBorders>
              <w:top w:val="nil"/>
              <w:left w:val="nil"/>
              <w:bottom w:val="nil"/>
              <w:right w:val="nil"/>
            </w:tcBorders>
            <w:shd w:val="clear" w:color="auto" w:fill="F2F2F2"/>
            <w:vAlign w:val="center"/>
          </w:tcPr>
          <w:p w14:paraId="027CA04E">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标题建议改为“能源计量人员”，不要写“人员资质和培训”。</w:t>
            </w:r>
          </w:p>
        </w:tc>
      </w:tr>
      <w:tr w14:paraId="26950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2796AB51">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F2F2F2"/>
            <w:vAlign w:val="center"/>
          </w:tcPr>
          <w:p w14:paraId="4FAEAF7C">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F2F2F2"/>
            <w:vAlign w:val="center"/>
          </w:tcPr>
          <w:p w14:paraId="258C056B">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11</w:t>
            </w:r>
          </w:p>
        </w:tc>
        <w:tc>
          <w:tcPr>
            <w:tcW w:w="3607" w:type="pct"/>
            <w:tcBorders>
              <w:top w:val="nil"/>
              <w:left w:val="nil"/>
              <w:bottom w:val="nil"/>
              <w:right w:val="nil"/>
            </w:tcBorders>
            <w:shd w:val="clear" w:color="auto" w:fill="F2F2F2"/>
            <w:vAlign w:val="center"/>
          </w:tcPr>
          <w:p w14:paraId="29BEF4D4">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赋分应基于已有标准，不能凭审查规范自行创新要求。</w:t>
            </w:r>
          </w:p>
        </w:tc>
      </w:tr>
      <w:tr w14:paraId="39191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782BC75F">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F2F2F2"/>
            <w:vAlign w:val="center"/>
          </w:tcPr>
          <w:p w14:paraId="4D78581A">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台账管理</w:t>
            </w:r>
          </w:p>
        </w:tc>
        <w:tc>
          <w:tcPr>
            <w:tcW w:w="240" w:type="pct"/>
            <w:tcBorders>
              <w:top w:val="nil"/>
              <w:left w:val="nil"/>
              <w:bottom w:val="nil"/>
              <w:right w:val="nil"/>
            </w:tcBorders>
            <w:shd w:val="clear" w:color="auto" w:fill="F2F2F2"/>
            <w:vAlign w:val="center"/>
          </w:tcPr>
          <w:p w14:paraId="6F425A52">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12</w:t>
            </w:r>
          </w:p>
        </w:tc>
        <w:tc>
          <w:tcPr>
            <w:tcW w:w="3607" w:type="pct"/>
            <w:tcBorders>
              <w:top w:val="nil"/>
              <w:left w:val="nil"/>
              <w:bottom w:val="nil"/>
              <w:right w:val="nil"/>
            </w:tcBorders>
            <w:shd w:val="clear" w:color="auto" w:fill="F2F2F2"/>
            <w:vAlign w:val="center"/>
          </w:tcPr>
          <w:p w14:paraId="640F229D">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特殊工况是动态的，不宜在规范中规定死。</w:t>
            </w:r>
          </w:p>
        </w:tc>
      </w:tr>
      <w:tr w14:paraId="446C5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26991BB5">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F2F2F2"/>
            <w:vAlign w:val="center"/>
          </w:tcPr>
          <w:p w14:paraId="5259EE10">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F2F2F2"/>
            <w:vAlign w:val="center"/>
          </w:tcPr>
          <w:p w14:paraId="1416878E">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13</w:t>
            </w:r>
          </w:p>
        </w:tc>
        <w:tc>
          <w:tcPr>
            <w:tcW w:w="3607" w:type="pct"/>
            <w:tcBorders>
              <w:top w:val="nil"/>
              <w:left w:val="nil"/>
              <w:bottom w:val="nil"/>
              <w:right w:val="nil"/>
            </w:tcBorders>
            <w:shd w:val="clear" w:color="auto" w:fill="F2F2F2"/>
            <w:vAlign w:val="center"/>
          </w:tcPr>
          <w:p w14:paraId="39C25732">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正文应简化，台账格式和字段可通过附表体现。</w:t>
            </w:r>
          </w:p>
        </w:tc>
      </w:tr>
      <w:tr w14:paraId="32641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6FAFC9A7">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F2F2F2"/>
            <w:vAlign w:val="center"/>
          </w:tcPr>
          <w:p w14:paraId="122468F7">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F2F2F2"/>
            <w:vAlign w:val="center"/>
          </w:tcPr>
          <w:p w14:paraId="06CF917E">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14</w:t>
            </w:r>
          </w:p>
        </w:tc>
        <w:tc>
          <w:tcPr>
            <w:tcW w:w="3607" w:type="pct"/>
            <w:tcBorders>
              <w:top w:val="nil"/>
              <w:left w:val="nil"/>
              <w:bottom w:val="nil"/>
              <w:right w:val="nil"/>
            </w:tcBorders>
            <w:shd w:val="clear" w:color="auto" w:fill="F2F2F2"/>
            <w:vAlign w:val="center"/>
          </w:tcPr>
          <w:p w14:paraId="0CE3A93E">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台账应满足分级分类管理要求。</w:t>
            </w:r>
          </w:p>
        </w:tc>
      </w:tr>
      <w:tr w14:paraId="3B350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744D60E8">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F2F2F2"/>
            <w:vAlign w:val="center"/>
          </w:tcPr>
          <w:p w14:paraId="2EF386BD">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F2F2F2"/>
            <w:vAlign w:val="center"/>
          </w:tcPr>
          <w:p w14:paraId="26075610">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15</w:t>
            </w:r>
          </w:p>
        </w:tc>
        <w:tc>
          <w:tcPr>
            <w:tcW w:w="3607" w:type="pct"/>
            <w:tcBorders>
              <w:top w:val="nil"/>
              <w:left w:val="nil"/>
              <w:bottom w:val="nil"/>
              <w:right w:val="nil"/>
            </w:tcBorders>
            <w:shd w:val="clear" w:color="auto" w:fill="F2F2F2"/>
            <w:vAlign w:val="center"/>
          </w:tcPr>
          <w:p w14:paraId="3D80EBE8">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状态建议用“在用、封存、停用等”</w:t>
            </w:r>
          </w:p>
        </w:tc>
      </w:tr>
      <w:tr w14:paraId="1A852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4687A47D">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F2F2F2"/>
            <w:vAlign w:val="center"/>
          </w:tcPr>
          <w:p w14:paraId="500206BE">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特殊工况和溯源</w:t>
            </w:r>
          </w:p>
        </w:tc>
        <w:tc>
          <w:tcPr>
            <w:tcW w:w="240" w:type="pct"/>
            <w:tcBorders>
              <w:top w:val="nil"/>
              <w:left w:val="nil"/>
              <w:bottom w:val="nil"/>
              <w:right w:val="nil"/>
            </w:tcBorders>
            <w:shd w:val="clear" w:color="auto" w:fill="F2F2F2"/>
            <w:vAlign w:val="center"/>
          </w:tcPr>
          <w:p w14:paraId="7F519436">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16</w:t>
            </w:r>
          </w:p>
        </w:tc>
        <w:tc>
          <w:tcPr>
            <w:tcW w:w="3607" w:type="pct"/>
            <w:tcBorders>
              <w:top w:val="nil"/>
              <w:left w:val="nil"/>
              <w:bottom w:val="nil"/>
              <w:right w:val="nil"/>
            </w:tcBorders>
            <w:shd w:val="clear" w:color="auto" w:fill="F2F2F2"/>
            <w:vAlign w:val="center"/>
          </w:tcPr>
          <w:p w14:paraId="1E76ABA8">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6.3.2针对炼化企业实际有意义，体现行业特色，应尽量保留。</w:t>
            </w:r>
          </w:p>
        </w:tc>
      </w:tr>
      <w:tr w14:paraId="176CE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19E43139">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F2F2F2"/>
            <w:vAlign w:val="center"/>
          </w:tcPr>
          <w:p w14:paraId="7F7B9E90">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F2F2F2"/>
            <w:vAlign w:val="center"/>
          </w:tcPr>
          <w:p w14:paraId="28A74989">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17</w:t>
            </w:r>
          </w:p>
        </w:tc>
        <w:tc>
          <w:tcPr>
            <w:tcW w:w="3607" w:type="pct"/>
            <w:tcBorders>
              <w:top w:val="nil"/>
              <w:left w:val="nil"/>
              <w:bottom w:val="nil"/>
              <w:right w:val="nil"/>
            </w:tcBorders>
            <w:shd w:val="clear" w:color="auto" w:fill="F2F2F2"/>
            <w:vAlign w:val="center"/>
          </w:tcPr>
          <w:p w14:paraId="3B9A945F">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但括号中具体列举不宜保留，容易列不全。</w:t>
            </w:r>
          </w:p>
        </w:tc>
      </w:tr>
      <w:tr w14:paraId="0A3AA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0CFD3425">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F2F2F2"/>
            <w:vAlign w:val="center"/>
          </w:tcPr>
          <w:p w14:paraId="6982C7FB">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F2F2F2"/>
            <w:vAlign w:val="center"/>
          </w:tcPr>
          <w:p w14:paraId="19B5486B">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sz w:val="18"/>
                <w:szCs w:val="18"/>
                <w:highlight w:val="none"/>
                <w:u w:val="none"/>
                <w:lang w:val="en-US" w:eastAsia="zh-CN"/>
              </w:rPr>
              <w:t>18</w:t>
            </w:r>
          </w:p>
        </w:tc>
        <w:tc>
          <w:tcPr>
            <w:tcW w:w="3607" w:type="pct"/>
            <w:tcBorders>
              <w:top w:val="nil"/>
              <w:left w:val="nil"/>
              <w:bottom w:val="nil"/>
              <w:right w:val="nil"/>
            </w:tcBorders>
            <w:shd w:val="clear" w:color="auto" w:fill="F2F2F2"/>
            <w:vAlign w:val="center"/>
          </w:tcPr>
          <w:p w14:paraId="44347B44">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第6条与第7条可考虑整合或协调：复杂工况可采用在线校准、工况比对、能量平衡、数据核查等方式。</w:t>
            </w:r>
          </w:p>
        </w:tc>
      </w:tr>
      <w:tr w14:paraId="196E8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7C59CAE0">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F2F2F2"/>
            <w:vAlign w:val="center"/>
          </w:tcPr>
          <w:p w14:paraId="61DBB3D8">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计量器具检定和校准</w:t>
            </w:r>
          </w:p>
        </w:tc>
        <w:tc>
          <w:tcPr>
            <w:tcW w:w="240" w:type="pct"/>
            <w:tcBorders>
              <w:top w:val="nil"/>
              <w:left w:val="nil"/>
              <w:bottom w:val="nil"/>
              <w:right w:val="nil"/>
            </w:tcBorders>
            <w:shd w:val="clear" w:color="auto" w:fill="F2F2F2"/>
            <w:vAlign w:val="center"/>
          </w:tcPr>
          <w:p w14:paraId="700C9D09">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sz w:val="18"/>
                <w:szCs w:val="18"/>
                <w:highlight w:val="none"/>
                <w:u w:val="none"/>
                <w:lang w:val="en-US" w:eastAsia="zh-CN"/>
              </w:rPr>
              <w:t>19</w:t>
            </w:r>
          </w:p>
        </w:tc>
        <w:tc>
          <w:tcPr>
            <w:tcW w:w="3607" w:type="pct"/>
            <w:tcBorders>
              <w:top w:val="nil"/>
              <w:left w:val="nil"/>
              <w:bottom w:val="nil"/>
              <w:right w:val="nil"/>
            </w:tcBorders>
            <w:shd w:val="clear" w:color="auto" w:fill="F2F2F2"/>
            <w:vAlign w:val="center"/>
          </w:tcPr>
          <w:p w14:paraId="42B98E2C">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与6.3.2存在重复，且部分要求写得过细。</w:t>
            </w:r>
          </w:p>
        </w:tc>
      </w:tr>
      <w:tr w14:paraId="6CC7A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5AB0AD2A">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F2F2F2"/>
            <w:vAlign w:val="center"/>
          </w:tcPr>
          <w:p w14:paraId="4DEF3DBF">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F2F2F2"/>
            <w:vAlign w:val="center"/>
          </w:tcPr>
          <w:p w14:paraId="75648829">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sz w:val="18"/>
                <w:szCs w:val="18"/>
                <w:highlight w:val="none"/>
                <w:u w:val="none"/>
                <w:lang w:val="en-US" w:eastAsia="zh-CN"/>
              </w:rPr>
              <w:t>20</w:t>
            </w:r>
          </w:p>
        </w:tc>
        <w:tc>
          <w:tcPr>
            <w:tcW w:w="3607" w:type="pct"/>
            <w:tcBorders>
              <w:top w:val="nil"/>
              <w:left w:val="nil"/>
              <w:bottom w:val="nil"/>
              <w:right w:val="nil"/>
            </w:tcBorders>
            <w:shd w:val="clear" w:color="auto" w:fill="F2F2F2"/>
            <w:vAlign w:val="center"/>
          </w:tcPr>
          <w:p w14:paraId="3CE54E77">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建议删除6.3.5，必要内容合并到6.3.2中。</w:t>
            </w:r>
          </w:p>
        </w:tc>
      </w:tr>
      <w:tr w14:paraId="2C674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31277A5D">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F2F2F2"/>
            <w:vAlign w:val="center"/>
          </w:tcPr>
          <w:p w14:paraId="113FC49E">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计量器具精度</w:t>
            </w:r>
          </w:p>
        </w:tc>
        <w:tc>
          <w:tcPr>
            <w:tcW w:w="240" w:type="pct"/>
            <w:tcBorders>
              <w:top w:val="nil"/>
              <w:left w:val="nil"/>
              <w:bottom w:val="nil"/>
              <w:right w:val="nil"/>
            </w:tcBorders>
            <w:shd w:val="clear" w:color="auto" w:fill="F2F2F2"/>
            <w:vAlign w:val="center"/>
          </w:tcPr>
          <w:p w14:paraId="50290DD6">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21</w:t>
            </w:r>
          </w:p>
        </w:tc>
        <w:tc>
          <w:tcPr>
            <w:tcW w:w="3607" w:type="pct"/>
            <w:tcBorders>
              <w:top w:val="nil"/>
              <w:left w:val="nil"/>
              <w:bottom w:val="nil"/>
              <w:right w:val="nil"/>
            </w:tcBorders>
            <w:shd w:val="clear" w:color="auto" w:fill="F2F2F2"/>
            <w:vAlign w:val="center"/>
          </w:tcPr>
          <w:p w14:paraId="56D32234">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不建议本规范单独规定一套精度要求。</w:t>
            </w:r>
          </w:p>
        </w:tc>
      </w:tr>
      <w:tr w14:paraId="49B22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2B57659B">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F2F2F2"/>
            <w:vAlign w:val="center"/>
          </w:tcPr>
          <w:p w14:paraId="4779A080">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F2F2F2"/>
            <w:vAlign w:val="center"/>
          </w:tcPr>
          <w:p w14:paraId="7B3A703B">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22</w:t>
            </w:r>
          </w:p>
        </w:tc>
        <w:tc>
          <w:tcPr>
            <w:tcW w:w="3607" w:type="pct"/>
            <w:tcBorders>
              <w:top w:val="nil"/>
              <w:left w:val="nil"/>
              <w:bottom w:val="nil"/>
              <w:right w:val="nil"/>
            </w:tcBorders>
            <w:shd w:val="clear" w:color="auto" w:fill="F2F2F2"/>
            <w:vAlign w:val="center"/>
          </w:tcPr>
          <w:p w14:paraId="65A61B99">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建议参考20901，并在20901修订中统一相关指标。</w:t>
            </w:r>
          </w:p>
        </w:tc>
      </w:tr>
      <w:tr w14:paraId="3525E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2B3C0639">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F2F2F2"/>
            <w:vAlign w:val="center"/>
          </w:tcPr>
          <w:p w14:paraId="6012E709">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审查组要求</w:t>
            </w:r>
          </w:p>
        </w:tc>
        <w:tc>
          <w:tcPr>
            <w:tcW w:w="240" w:type="pct"/>
            <w:tcBorders>
              <w:top w:val="nil"/>
              <w:left w:val="nil"/>
              <w:bottom w:val="nil"/>
              <w:right w:val="nil"/>
            </w:tcBorders>
            <w:shd w:val="clear" w:color="auto" w:fill="F2F2F2"/>
            <w:vAlign w:val="center"/>
          </w:tcPr>
          <w:p w14:paraId="62CF08BD">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23</w:t>
            </w:r>
          </w:p>
        </w:tc>
        <w:tc>
          <w:tcPr>
            <w:tcW w:w="3607" w:type="pct"/>
            <w:tcBorders>
              <w:top w:val="nil"/>
              <w:left w:val="nil"/>
              <w:bottom w:val="nil"/>
              <w:right w:val="nil"/>
            </w:tcBorders>
            <w:shd w:val="clear" w:color="auto" w:fill="F2F2F2"/>
            <w:vAlign w:val="center"/>
          </w:tcPr>
          <w:p w14:paraId="7100F3F0">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9.3.2中“职责”表述不准确，应是能力或要求。</w:t>
            </w:r>
          </w:p>
        </w:tc>
      </w:tr>
      <w:tr w14:paraId="4763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7ECA7DD0">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F2F2F2"/>
            <w:vAlign w:val="center"/>
          </w:tcPr>
          <w:p w14:paraId="6C062DF7">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F2F2F2"/>
            <w:vAlign w:val="center"/>
          </w:tcPr>
          <w:p w14:paraId="0512951B">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24</w:t>
            </w:r>
          </w:p>
        </w:tc>
        <w:tc>
          <w:tcPr>
            <w:tcW w:w="3607" w:type="pct"/>
            <w:tcBorders>
              <w:top w:val="nil"/>
              <w:left w:val="nil"/>
              <w:bottom w:val="nil"/>
              <w:right w:val="nil"/>
            </w:tcBorders>
            <w:shd w:val="clear" w:color="auto" w:fill="F2F2F2"/>
            <w:vAlign w:val="center"/>
          </w:tcPr>
          <w:p w14:paraId="1767119D">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应重新整合措辞，区分能力要求、回避要求、保密要求。</w:t>
            </w:r>
          </w:p>
        </w:tc>
      </w:tr>
      <w:tr w14:paraId="2EE12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2BFAD39B">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F2F2F2"/>
            <w:vAlign w:val="center"/>
          </w:tcPr>
          <w:p w14:paraId="314FD306">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计量能力评价</w:t>
            </w:r>
          </w:p>
        </w:tc>
        <w:tc>
          <w:tcPr>
            <w:tcW w:w="240" w:type="pct"/>
            <w:tcBorders>
              <w:top w:val="nil"/>
              <w:left w:val="nil"/>
              <w:bottom w:val="nil"/>
              <w:right w:val="nil"/>
            </w:tcBorders>
            <w:shd w:val="clear" w:color="auto" w:fill="F2F2F2"/>
            <w:vAlign w:val="center"/>
          </w:tcPr>
          <w:p w14:paraId="16ACC625">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25</w:t>
            </w:r>
          </w:p>
        </w:tc>
        <w:tc>
          <w:tcPr>
            <w:tcW w:w="3607" w:type="pct"/>
            <w:tcBorders>
              <w:top w:val="nil"/>
              <w:left w:val="nil"/>
              <w:bottom w:val="nil"/>
              <w:right w:val="nil"/>
            </w:tcBorders>
            <w:shd w:val="clear" w:color="auto" w:fill="F2F2F2"/>
            <w:vAlign w:val="center"/>
          </w:tcPr>
          <w:p w14:paraId="27AEEC25">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评价的目的、输出和审查关系不清楚。</w:t>
            </w:r>
          </w:p>
        </w:tc>
      </w:tr>
      <w:tr w14:paraId="2EC00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586893A3">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F2F2F2"/>
            <w:vAlign w:val="center"/>
          </w:tcPr>
          <w:p w14:paraId="40EA0E79">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F2F2F2"/>
            <w:vAlign w:val="center"/>
          </w:tcPr>
          <w:p w14:paraId="02D12817">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26</w:t>
            </w:r>
          </w:p>
        </w:tc>
        <w:tc>
          <w:tcPr>
            <w:tcW w:w="3607" w:type="pct"/>
            <w:tcBorders>
              <w:top w:val="nil"/>
              <w:left w:val="nil"/>
              <w:bottom w:val="nil"/>
              <w:right w:val="nil"/>
            </w:tcBorders>
            <w:shd w:val="clear" w:color="auto" w:fill="F2F2F2"/>
            <w:vAlign w:val="center"/>
          </w:tcPr>
          <w:p w14:paraId="16DD0BC9">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与审查内容重复较多，建议删除。</w:t>
            </w:r>
          </w:p>
        </w:tc>
      </w:tr>
      <w:tr w14:paraId="58CA9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4391C177">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F2F2F2"/>
            <w:vAlign w:val="center"/>
          </w:tcPr>
          <w:p w14:paraId="182EBDA4">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F2F2F2"/>
            <w:vAlign w:val="center"/>
          </w:tcPr>
          <w:p w14:paraId="24EF3DD7">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27</w:t>
            </w:r>
          </w:p>
        </w:tc>
        <w:tc>
          <w:tcPr>
            <w:tcW w:w="3607" w:type="pct"/>
            <w:tcBorders>
              <w:top w:val="nil"/>
              <w:left w:val="nil"/>
              <w:bottom w:val="nil"/>
              <w:right w:val="nil"/>
            </w:tcBorders>
            <w:shd w:val="clear" w:color="auto" w:fill="F2F2F2"/>
            <w:vAlign w:val="center"/>
          </w:tcPr>
          <w:p w14:paraId="69DDCAA8">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如总则要求保留，也应大幅简化。</w:t>
            </w:r>
          </w:p>
        </w:tc>
      </w:tr>
      <w:tr w14:paraId="61FB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11BDE49A">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F2F2F2"/>
            <w:vAlign w:val="center"/>
          </w:tcPr>
          <w:p w14:paraId="53AFE003">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能效监测</w:t>
            </w:r>
          </w:p>
        </w:tc>
        <w:tc>
          <w:tcPr>
            <w:tcW w:w="240" w:type="pct"/>
            <w:tcBorders>
              <w:top w:val="nil"/>
              <w:left w:val="nil"/>
              <w:bottom w:val="nil"/>
              <w:right w:val="nil"/>
            </w:tcBorders>
            <w:shd w:val="clear" w:color="auto" w:fill="F2F2F2"/>
            <w:vAlign w:val="center"/>
          </w:tcPr>
          <w:p w14:paraId="5D37258A">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28</w:t>
            </w:r>
          </w:p>
        </w:tc>
        <w:tc>
          <w:tcPr>
            <w:tcW w:w="3607" w:type="pct"/>
            <w:tcBorders>
              <w:top w:val="nil"/>
              <w:left w:val="nil"/>
              <w:bottom w:val="nil"/>
              <w:right w:val="nil"/>
            </w:tcBorders>
            <w:shd w:val="clear" w:color="auto" w:fill="F2F2F2"/>
            <w:vAlign w:val="center"/>
          </w:tcPr>
          <w:p w14:paraId="6CEEB672">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主要用能设备能效监测与计量管理边界较远。</w:t>
            </w:r>
          </w:p>
        </w:tc>
      </w:tr>
      <w:tr w14:paraId="375F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3D5CCD14">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F2F2F2"/>
            <w:vAlign w:val="center"/>
          </w:tcPr>
          <w:p w14:paraId="3D54581F">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F2F2F2"/>
            <w:vAlign w:val="center"/>
          </w:tcPr>
          <w:p w14:paraId="7AA1B406">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29</w:t>
            </w:r>
          </w:p>
        </w:tc>
        <w:tc>
          <w:tcPr>
            <w:tcW w:w="3607" w:type="pct"/>
            <w:tcBorders>
              <w:top w:val="nil"/>
              <w:left w:val="nil"/>
              <w:bottom w:val="nil"/>
              <w:right w:val="nil"/>
            </w:tcBorders>
            <w:shd w:val="clear" w:color="auto" w:fill="F2F2F2"/>
            <w:vAlign w:val="center"/>
          </w:tcPr>
          <w:p w14:paraId="4507429C">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加热炉、锅炉、压缩机等参数监控通常属于设备、生产或节能专业，不是计量人员直接管理。</w:t>
            </w:r>
          </w:p>
        </w:tc>
      </w:tr>
      <w:tr w14:paraId="20224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4220CCE0">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F2F2F2"/>
            <w:vAlign w:val="center"/>
          </w:tcPr>
          <w:p w14:paraId="3F30794F">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F2F2F2"/>
            <w:vAlign w:val="center"/>
          </w:tcPr>
          <w:p w14:paraId="41B99CDC">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30</w:t>
            </w:r>
          </w:p>
        </w:tc>
        <w:tc>
          <w:tcPr>
            <w:tcW w:w="3607" w:type="pct"/>
            <w:tcBorders>
              <w:top w:val="nil"/>
              <w:left w:val="nil"/>
              <w:bottom w:val="nil"/>
              <w:right w:val="nil"/>
            </w:tcBorders>
            <w:shd w:val="clear" w:color="auto" w:fill="F2F2F2"/>
            <w:vAlign w:val="center"/>
          </w:tcPr>
          <w:p w14:paraId="74B251E9">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如总则要求必须保留，则审查时需要设备、节能等专业共同配合。</w:t>
            </w:r>
          </w:p>
        </w:tc>
      </w:tr>
      <w:tr w14:paraId="663BA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6425CAB4">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F2F2F2"/>
            <w:vAlign w:val="center"/>
          </w:tcPr>
          <w:p w14:paraId="55F37627">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能源流向图</w:t>
            </w:r>
          </w:p>
        </w:tc>
        <w:tc>
          <w:tcPr>
            <w:tcW w:w="240" w:type="pct"/>
            <w:tcBorders>
              <w:top w:val="nil"/>
              <w:left w:val="nil"/>
              <w:bottom w:val="nil"/>
              <w:right w:val="nil"/>
            </w:tcBorders>
            <w:shd w:val="clear" w:color="auto" w:fill="F2F2F2"/>
            <w:vAlign w:val="center"/>
          </w:tcPr>
          <w:p w14:paraId="0595BBD4">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sz w:val="18"/>
                <w:szCs w:val="18"/>
                <w:highlight w:val="none"/>
                <w:u w:val="none"/>
                <w:lang w:val="en-US" w:eastAsia="zh-CN"/>
              </w:rPr>
              <w:t>31</w:t>
            </w:r>
          </w:p>
        </w:tc>
        <w:tc>
          <w:tcPr>
            <w:tcW w:w="3607" w:type="pct"/>
            <w:tcBorders>
              <w:top w:val="nil"/>
              <w:left w:val="nil"/>
              <w:bottom w:val="nil"/>
              <w:right w:val="nil"/>
            </w:tcBorders>
            <w:shd w:val="clear" w:color="auto" w:fill="F2F2F2"/>
            <w:vAlign w:val="center"/>
          </w:tcPr>
          <w:p w14:paraId="7A1124DF">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首先应明确绘制能源流向图的目的。</w:t>
            </w:r>
          </w:p>
        </w:tc>
      </w:tr>
      <w:tr w14:paraId="5554F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6CEBAA96">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F2F2F2"/>
            <w:vAlign w:val="center"/>
          </w:tcPr>
          <w:p w14:paraId="4AC0024D">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F2F2F2"/>
            <w:vAlign w:val="center"/>
          </w:tcPr>
          <w:p w14:paraId="176164B0">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32</w:t>
            </w:r>
          </w:p>
        </w:tc>
        <w:tc>
          <w:tcPr>
            <w:tcW w:w="3607" w:type="pct"/>
            <w:tcBorders>
              <w:top w:val="nil"/>
              <w:left w:val="nil"/>
              <w:bottom w:val="nil"/>
              <w:right w:val="nil"/>
            </w:tcBorders>
            <w:shd w:val="clear" w:color="auto" w:fill="F2F2F2"/>
            <w:vAlign w:val="center"/>
          </w:tcPr>
          <w:p w14:paraId="6BF85694">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大型炼化企业能源品种和装置复杂，一张总图难以表达清楚。</w:t>
            </w:r>
          </w:p>
        </w:tc>
      </w:tr>
      <w:tr w14:paraId="01B2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06D2F62F">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F2F2F2"/>
            <w:vAlign w:val="center"/>
          </w:tcPr>
          <w:p w14:paraId="527DB7C4">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F2F2F2"/>
            <w:vAlign w:val="center"/>
          </w:tcPr>
          <w:p w14:paraId="760E92C3">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33</w:t>
            </w:r>
          </w:p>
        </w:tc>
        <w:tc>
          <w:tcPr>
            <w:tcW w:w="3607" w:type="pct"/>
            <w:tcBorders>
              <w:top w:val="nil"/>
              <w:left w:val="nil"/>
              <w:bottom w:val="nil"/>
              <w:right w:val="nil"/>
            </w:tcBorders>
            <w:shd w:val="clear" w:color="auto" w:fill="F2F2F2"/>
            <w:vAlign w:val="center"/>
          </w:tcPr>
          <w:p w14:paraId="56CCC3B8">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企业已有能源网络图或计量网络图，能体现计量器具配备、配备率和能源流向。</w:t>
            </w:r>
          </w:p>
        </w:tc>
      </w:tr>
      <w:tr w14:paraId="52C1E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top w:val="nil"/>
              <w:left w:val="nil"/>
              <w:bottom w:val="nil"/>
              <w:right w:val="nil"/>
            </w:tcBorders>
            <w:shd w:val="clear" w:color="auto" w:fill="F2F2F2"/>
            <w:vAlign w:val="center"/>
          </w:tcPr>
          <w:p w14:paraId="4ED46EBC">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F2F2F2"/>
            <w:vAlign w:val="center"/>
          </w:tcPr>
          <w:p w14:paraId="599BD216">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F2F2F2"/>
            <w:vAlign w:val="center"/>
          </w:tcPr>
          <w:p w14:paraId="6BC7DC39">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34</w:t>
            </w:r>
          </w:p>
        </w:tc>
        <w:tc>
          <w:tcPr>
            <w:tcW w:w="3607" w:type="pct"/>
            <w:tcBorders>
              <w:top w:val="nil"/>
              <w:left w:val="nil"/>
              <w:bottom w:val="nil"/>
              <w:right w:val="nil"/>
            </w:tcBorders>
            <w:shd w:val="clear" w:color="auto" w:fill="F2F2F2"/>
            <w:vAlign w:val="center"/>
          </w:tcPr>
          <w:p w14:paraId="5D771901">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不建议另画B.1类能源流向图，意义不大且重复。</w:t>
            </w:r>
          </w:p>
        </w:tc>
      </w:tr>
      <w:tr w14:paraId="52016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restart"/>
            <w:tcBorders>
              <w:top w:val="nil"/>
              <w:left w:val="nil"/>
              <w:right w:val="nil"/>
            </w:tcBorders>
            <w:shd w:val="clear" w:color="auto" w:fill="DAF2D0"/>
            <w:vAlign w:val="center"/>
          </w:tcPr>
          <w:p w14:paraId="56833494">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专家7</w:t>
            </w:r>
          </w:p>
        </w:tc>
        <w:tc>
          <w:tcPr>
            <w:tcW w:w="759" w:type="pct"/>
            <w:vMerge w:val="restart"/>
            <w:tcBorders>
              <w:top w:val="nil"/>
              <w:left w:val="nil"/>
              <w:bottom w:val="nil"/>
              <w:right w:val="nil"/>
            </w:tcBorders>
            <w:shd w:val="clear" w:color="auto" w:fill="DAF2D0"/>
            <w:vAlign w:val="center"/>
          </w:tcPr>
          <w:p w14:paraId="46A2665F">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标准名称和范围</w:t>
            </w:r>
          </w:p>
        </w:tc>
        <w:tc>
          <w:tcPr>
            <w:tcW w:w="240" w:type="pct"/>
            <w:tcBorders>
              <w:top w:val="nil"/>
              <w:left w:val="nil"/>
              <w:bottom w:val="nil"/>
              <w:right w:val="nil"/>
            </w:tcBorders>
            <w:shd w:val="clear" w:color="auto" w:fill="DAF2D0"/>
            <w:vAlign w:val="center"/>
          </w:tcPr>
          <w:p w14:paraId="40D7E72F">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w:t>
            </w:r>
          </w:p>
        </w:tc>
        <w:tc>
          <w:tcPr>
            <w:tcW w:w="3607" w:type="pct"/>
            <w:tcBorders>
              <w:top w:val="nil"/>
              <w:left w:val="nil"/>
              <w:bottom w:val="nil"/>
              <w:right w:val="nil"/>
            </w:tcBorders>
            <w:shd w:val="clear" w:color="auto" w:fill="DAF2D0"/>
            <w:vAlign w:val="center"/>
          </w:tcPr>
          <w:p w14:paraId="4E32415C">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同意改为“炼油化工”。</w:t>
            </w:r>
          </w:p>
        </w:tc>
      </w:tr>
      <w:tr w14:paraId="1A229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6E80A483">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71C5F90E">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6D4E1F5D">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2</w:t>
            </w:r>
          </w:p>
        </w:tc>
        <w:tc>
          <w:tcPr>
            <w:tcW w:w="3607" w:type="pct"/>
            <w:tcBorders>
              <w:top w:val="nil"/>
              <w:left w:val="nil"/>
              <w:bottom w:val="nil"/>
              <w:right w:val="nil"/>
            </w:tcBorders>
            <w:shd w:val="clear" w:color="auto" w:fill="DAF2D0"/>
            <w:vAlign w:val="center"/>
          </w:tcPr>
          <w:p w14:paraId="0C7E7ADD">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范围应与名称保持一致。</w:t>
            </w:r>
          </w:p>
        </w:tc>
      </w:tr>
      <w:tr w14:paraId="5A20A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3D67398F">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3F644216">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42023589">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3</w:t>
            </w:r>
          </w:p>
        </w:tc>
        <w:tc>
          <w:tcPr>
            <w:tcW w:w="3607" w:type="pct"/>
            <w:tcBorders>
              <w:top w:val="nil"/>
              <w:left w:val="nil"/>
              <w:bottom w:val="nil"/>
              <w:right w:val="nil"/>
            </w:tcBorders>
            <w:shd w:val="clear" w:color="auto" w:fill="DAF2D0"/>
            <w:vAlign w:val="center"/>
          </w:tcPr>
          <w:p w14:paraId="34F08E2E">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范围部分要简洁，不宜放太多计量器具种类等内容。</w:t>
            </w:r>
          </w:p>
        </w:tc>
      </w:tr>
      <w:tr w14:paraId="0CB99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3A7B84CF">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F2D0"/>
            <w:vAlign w:val="center"/>
          </w:tcPr>
          <w:p w14:paraId="2D990639">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范围内容位置</w:t>
            </w:r>
          </w:p>
        </w:tc>
        <w:tc>
          <w:tcPr>
            <w:tcW w:w="240" w:type="pct"/>
            <w:tcBorders>
              <w:top w:val="nil"/>
              <w:left w:val="nil"/>
              <w:bottom w:val="nil"/>
              <w:right w:val="nil"/>
            </w:tcBorders>
            <w:shd w:val="clear" w:color="auto" w:fill="DAF2D0"/>
            <w:vAlign w:val="center"/>
          </w:tcPr>
          <w:p w14:paraId="2CE59FA3">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4</w:t>
            </w:r>
          </w:p>
        </w:tc>
        <w:tc>
          <w:tcPr>
            <w:tcW w:w="3607" w:type="pct"/>
            <w:tcBorders>
              <w:top w:val="nil"/>
              <w:left w:val="nil"/>
              <w:bottom w:val="nil"/>
              <w:right w:val="nil"/>
            </w:tcBorders>
            <w:shd w:val="clear" w:color="auto" w:fill="DAF2D0"/>
            <w:vAlign w:val="center"/>
          </w:tcPr>
          <w:p w14:paraId="3F302E31">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能源计量器具种类等内容不宜放在“范围”中。</w:t>
            </w:r>
          </w:p>
        </w:tc>
      </w:tr>
      <w:tr w14:paraId="63833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02A42596">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4199BA75">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5374BCB4">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5</w:t>
            </w:r>
          </w:p>
        </w:tc>
        <w:tc>
          <w:tcPr>
            <w:tcW w:w="3607" w:type="pct"/>
            <w:tcBorders>
              <w:top w:val="nil"/>
              <w:left w:val="nil"/>
              <w:bottom w:val="nil"/>
              <w:right w:val="nil"/>
            </w:tcBorders>
            <w:shd w:val="clear" w:color="auto" w:fill="DAF2D0"/>
            <w:vAlign w:val="center"/>
          </w:tcPr>
          <w:p w14:paraId="49B0BA9E">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建议放到“一般要求”或“总体要求”中。</w:t>
            </w:r>
          </w:p>
        </w:tc>
      </w:tr>
      <w:tr w14:paraId="55979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74EA5A2A">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tcBorders>
              <w:top w:val="nil"/>
              <w:left w:val="nil"/>
              <w:bottom w:val="nil"/>
              <w:right w:val="nil"/>
            </w:tcBorders>
            <w:shd w:val="clear" w:color="auto" w:fill="DAF2D0"/>
            <w:vAlign w:val="center"/>
          </w:tcPr>
          <w:p w14:paraId="65636516">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碳计量内容</w:t>
            </w:r>
          </w:p>
        </w:tc>
        <w:tc>
          <w:tcPr>
            <w:tcW w:w="240" w:type="pct"/>
            <w:tcBorders>
              <w:top w:val="nil"/>
              <w:left w:val="nil"/>
              <w:bottom w:val="nil"/>
              <w:right w:val="nil"/>
            </w:tcBorders>
            <w:shd w:val="clear" w:color="auto" w:fill="DAF2D0"/>
            <w:vAlign w:val="center"/>
          </w:tcPr>
          <w:p w14:paraId="5B42016C">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6</w:t>
            </w:r>
          </w:p>
        </w:tc>
        <w:tc>
          <w:tcPr>
            <w:tcW w:w="3607" w:type="pct"/>
            <w:tcBorders>
              <w:top w:val="nil"/>
              <w:left w:val="nil"/>
              <w:bottom w:val="nil"/>
              <w:right w:val="nil"/>
            </w:tcBorders>
            <w:shd w:val="clear" w:color="auto" w:fill="DAF2D0"/>
            <w:vAlign w:val="center"/>
          </w:tcPr>
          <w:p w14:paraId="7FBDA87C">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在确认已有专门碳计量审查规范后，认可能源计量审查中不必重复纳入。</w:t>
            </w:r>
          </w:p>
        </w:tc>
      </w:tr>
      <w:tr w14:paraId="4DEA0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19BEE4AA">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F2D0"/>
            <w:vAlign w:val="center"/>
          </w:tcPr>
          <w:p w14:paraId="373DE5B7">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术语定义</w:t>
            </w:r>
          </w:p>
        </w:tc>
        <w:tc>
          <w:tcPr>
            <w:tcW w:w="240" w:type="pct"/>
            <w:tcBorders>
              <w:top w:val="nil"/>
              <w:left w:val="nil"/>
              <w:bottom w:val="nil"/>
              <w:right w:val="nil"/>
            </w:tcBorders>
            <w:shd w:val="clear" w:color="auto" w:fill="DAF2D0"/>
            <w:vAlign w:val="center"/>
          </w:tcPr>
          <w:p w14:paraId="1B144B40">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7</w:t>
            </w:r>
          </w:p>
        </w:tc>
        <w:tc>
          <w:tcPr>
            <w:tcW w:w="3607" w:type="pct"/>
            <w:tcBorders>
              <w:top w:val="nil"/>
              <w:left w:val="nil"/>
              <w:bottom w:val="nil"/>
              <w:right w:val="nil"/>
            </w:tcBorders>
            <w:shd w:val="clear" w:color="auto" w:fill="DAF2D0"/>
            <w:vAlign w:val="center"/>
          </w:tcPr>
          <w:p w14:paraId="64DCE795">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同意参照20901等标准进行简化。</w:t>
            </w:r>
          </w:p>
        </w:tc>
      </w:tr>
      <w:tr w14:paraId="18110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26EB98EE">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71E554A0">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239A5FD0">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8</w:t>
            </w:r>
          </w:p>
        </w:tc>
        <w:tc>
          <w:tcPr>
            <w:tcW w:w="3607" w:type="pct"/>
            <w:tcBorders>
              <w:top w:val="nil"/>
              <w:left w:val="nil"/>
              <w:bottom w:val="nil"/>
              <w:right w:val="nil"/>
            </w:tcBorders>
            <w:shd w:val="clear" w:color="auto" w:fill="DAF2D0"/>
            <w:vAlign w:val="center"/>
          </w:tcPr>
          <w:p w14:paraId="62006530">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不建议重复定义已有通用术语。</w:t>
            </w:r>
          </w:p>
        </w:tc>
      </w:tr>
      <w:tr w14:paraId="4D3C3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1B9BFF57">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tcBorders>
              <w:top w:val="nil"/>
              <w:left w:val="nil"/>
              <w:bottom w:val="nil"/>
              <w:right w:val="nil"/>
            </w:tcBorders>
            <w:shd w:val="clear" w:color="auto" w:fill="DAF2D0"/>
            <w:vAlign w:val="center"/>
          </w:tcPr>
          <w:p w14:paraId="563FA6DA">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人员要求</w:t>
            </w:r>
          </w:p>
        </w:tc>
        <w:tc>
          <w:tcPr>
            <w:tcW w:w="240" w:type="pct"/>
            <w:tcBorders>
              <w:top w:val="nil"/>
              <w:left w:val="nil"/>
              <w:bottom w:val="nil"/>
              <w:right w:val="nil"/>
            </w:tcBorders>
            <w:shd w:val="clear" w:color="auto" w:fill="DAF2D0"/>
            <w:vAlign w:val="center"/>
          </w:tcPr>
          <w:p w14:paraId="701A66B6">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9</w:t>
            </w:r>
          </w:p>
        </w:tc>
        <w:tc>
          <w:tcPr>
            <w:tcW w:w="3607" w:type="pct"/>
            <w:tcBorders>
              <w:top w:val="nil"/>
              <w:left w:val="nil"/>
              <w:bottom w:val="nil"/>
              <w:right w:val="nil"/>
            </w:tcBorders>
            <w:shd w:val="clear" w:color="auto" w:fill="DAF2D0"/>
            <w:vAlign w:val="center"/>
          </w:tcPr>
          <w:p w14:paraId="4C33CC11">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同意人员部分简化，保留原则性一句话即可。</w:t>
            </w:r>
          </w:p>
        </w:tc>
      </w:tr>
      <w:tr w14:paraId="29236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1A129F52">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F2D0"/>
            <w:vAlign w:val="center"/>
          </w:tcPr>
          <w:p w14:paraId="5D90305F">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能源计量评价</w:t>
            </w:r>
          </w:p>
        </w:tc>
        <w:tc>
          <w:tcPr>
            <w:tcW w:w="240" w:type="pct"/>
            <w:tcBorders>
              <w:top w:val="nil"/>
              <w:left w:val="nil"/>
              <w:bottom w:val="nil"/>
              <w:right w:val="nil"/>
            </w:tcBorders>
            <w:shd w:val="clear" w:color="auto" w:fill="DAF2D0"/>
            <w:vAlign w:val="center"/>
          </w:tcPr>
          <w:p w14:paraId="5722D7A6">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10</w:t>
            </w:r>
          </w:p>
        </w:tc>
        <w:tc>
          <w:tcPr>
            <w:tcW w:w="3607" w:type="pct"/>
            <w:tcBorders>
              <w:top w:val="nil"/>
              <w:left w:val="nil"/>
              <w:bottom w:val="nil"/>
              <w:right w:val="nil"/>
            </w:tcBorders>
            <w:shd w:val="clear" w:color="auto" w:fill="DAF2D0"/>
            <w:vAlign w:val="center"/>
          </w:tcPr>
          <w:p w14:paraId="70703C16">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总体同意删除。</w:t>
            </w:r>
          </w:p>
        </w:tc>
      </w:tr>
      <w:tr w14:paraId="229AC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18E2FEE3">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7667C224">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519F9BDF">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11</w:t>
            </w:r>
          </w:p>
        </w:tc>
        <w:tc>
          <w:tcPr>
            <w:tcW w:w="3607" w:type="pct"/>
            <w:tcBorders>
              <w:top w:val="nil"/>
              <w:left w:val="nil"/>
              <w:bottom w:val="nil"/>
              <w:right w:val="nil"/>
            </w:tcBorders>
            <w:shd w:val="clear" w:color="auto" w:fill="DAF2D0"/>
            <w:vAlign w:val="center"/>
          </w:tcPr>
          <w:p w14:paraId="02B6F358">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如果经沟通必须保留，应大幅简化，并说明评价与审查程序之间的关系。</w:t>
            </w:r>
          </w:p>
        </w:tc>
      </w:tr>
      <w:tr w14:paraId="058E6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07FF7E70">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restart"/>
            <w:tcBorders>
              <w:top w:val="nil"/>
              <w:left w:val="nil"/>
              <w:bottom w:val="nil"/>
              <w:right w:val="nil"/>
            </w:tcBorders>
            <w:shd w:val="clear" w:color="auto" w:fill="DAF2D0"/>
            <w:vAlign w:val="center"/>
          </w:tcPr>
          <w:p w14:paraId="50ED1BCD">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能源流向图</w:t>
            </w:r>
          </w:p>
        </w:tc>
        <w:tc>
          <w:tcPr>
            <w:tcW w:w="240" w:type="pct"/>
            <w:tcBorders>
              <w:top w:val="nil"/>
              <w:left w:val="nil"/>
              <w:bottom w:val="nil"/>
              <w:right w:val="nil"/>
            </w:tcBorders>
            <w:shd w:val="clear" w:color="auto" w:fill="DAF2D0"/>
            <w:vAlign w:val="center"/>
          </w:tcPr>
          <w:p w14:paraId="14030CE2">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12</w:t>
            </w:r>
          </w:p>
        </w:tc>
        <w:tc>
          <w:tcPr>
            <w:tcW w:w="3607" w:type="pct"/>
            <w:tcBorders>
              <w:top w:val="nil"/>
              <w:left w:val="nil"/>
              <w:bottom w:val="nil"/>
              <w:right w:val="nil"/>
            </w:tcBorders>
            <w:shd w:val="clear" w:color="auto" w:fill="DAF2D0"/>
            <w:vAlign w:val="center"/>
          </w:tcPr>
          <w:p w14:paraId="5707F872">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炼化企业正常情况下不会画总能源流向图。</w:t>
            </w:r>
          </w:p>
        </w:tc>
      </w:tr>
      <w:tr w14:paraId="014AF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03781023">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1940F0B1">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1A627546">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13</w:t>
            </w:r>
          </w:p>
        </w:tc>
        <w:tc>
          <w:tcPr>
            <w:tcW w:w="3607" w:type="pct"/>
            <w:tcBorders>
              <w:top w:val="nil"/>
              <w:left w:val="nil"/>
              <w:bottom w:val="nil"/>
              <w:right w:val="nil"/>
            </w:tcBorders>
            <w:shd w:val="clear" w:color="auto" w:fill="DAF2D0"/>
            <w:vAlign w:val="center"/>
          </w:tcPr>
          <w:p w14:paraId="5792BA12">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企业通常有专门的专业图或计量网络图。</w:t>
            </w:r>
          </w:p>
        </w:tc>
      </w:tr>
      <w:tr w14:paraId="294C9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600AFDCB">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vMerge w:val="continue"/>
            <w:tcBorders>
              <w:top w:val="nil"/>
              <w:left w:val="nil"/>
              <w:bottom w:val="nil"/>
              <w:right w:val="nil"/>
            </w:tcBorders>
            <w:shd w:val="clear" w:color="auto" w:fill="DAF2D0"/>
            <w:vAlign w:val="center"/>
          </w:tcPr>
          <w:p w14:paraId="614A91EC">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240" w:type="pct"/>
            <w:tcBorders>
              <w:top w:val="nil"/>
              <w:left w:val="nil"/>
              <w:bottom w:val="nil"/>
              <w:right w:val="nil"/>
            </w:tcBorders>
            <w:shd w:val="clear" w:color="auto" w:fill="DAF2D0"/>
            <w:vAlign w:val="center"/>
          </w:tcPr>
          <w:p w14:paraId="402608F6">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14</w:t>
            </w:r>
          </w:p>
        </w:tc>
        <w:tc>
          <w:tcPr>
            <w:tcW w:w="3607" w:type="pct"/>
            <w:tcBorders>
              <w:top w:val="nil"/>
              <w:left w:val="nil"/>
              <w:bottom w:val="nil"/>
              <w:right w:val="nil"/>
            </w:tcBorders>
            <w:shd w:val="clear" w:color="auto" w:fill="DAF2D0"/>
            <w:vAlign w:val="center"/>
          </w:tcPr>
          <w:p w14:paraId="7E35E6A3">
            <w:pPr>
              <w:keepNext w:val="0"/>
              <w:keepLines w:val="0"/>
              <w:widowControl/>
              <w:suppressLineNumbers w:val="0"/>
              <w:spacing w:line="240" w:lineRule="atLeast"/>
              <w:jc w:val="left"/>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同意不在本规范中单独保留该图。</w:t>
            </w:r>
          </w:p>
        </w:tc>
      </w:tr>
      <w:tr w14:paraId="01020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41FB6327">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tcBorders>
              <w:top w:val="nil"/>
              <w:left w:val="nil"/>
              <w:bottom w:val="nil"/>
              <w:right w:val="nil"/>
            </w:tcBorders>
            <w:shd w:val="clear" w:color="auto" w:fill="DAF2D0"/>
            <w:vAlign w:val="center"/>
          </w:tcPr>
          <w:p w14:paraId="0E5545D3">
            <w:pPr>
              <w:widowControl/>
              <w:spacing w:line="240" w:lineRule="atLeast"/>
              <w:jc w:val="left"/>
              <w:rPr>
                <w:rFonts w:hint="default"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会后补充</w:t>
            </w:r>
          </w:p>
        </w:tc>
        <w:tc>
          <w:tcPr>
            <w:tcW w:w="240" w:type="pct"/>
            <w:tcBorders>
              <w:top w:val="nil"/>
              <w:left w:val="nil"/>
              <w:bottom w:val="nil"/>
              <w:right w:val="nil"/>
            </w:tcBorders>
            <w:shd w:val="clear" w:color="auto" w:fill="DAF2D0"/>
            <w:vAlign w:val="center"/>
          </w:tcPr>
          <w:p w14:paraId="6FD21461">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15</w:t>
            </w:r>
          </w:p>
        </w:tc>
        <w:tc>
          <w:tcPr>
            <w:tcW w:w="3607" w:type="pct"/>
            <w:tcBorders>
              <w:top w:val="nil"/>
              <w:left w:val="nil"/>
              <w:bottom w:val="nil"/>
              <w:right w:val="nil"/>
            </w:tcBorders>
            <w:shd w:val="clear" w:color="auto" w:fill="DAF2D0"/>
            <w:vAlign w:val="center"/>
          </w:tcPr>
          <w:p w14:paraId="019B4FE8">
            <w:pPr>
              <w:keepNext w:val="0"/>
              <w:keepLines w:val="0"/>
              <w:widowControl/>
              <w:numPr>
                <w:ilvl w:val="0"/>
                <w:numId w:val="0"/>
              </w:numPr>
              <w:suppressLineNumbers w:val="0"/>
              <w:spacing w:line="240" w:lineRule="atLeast"/>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建议进一步明确“4 一般规定”审查的内容、审查内容的遵循的相关标准和要求；</w:t>
            </w:r>
          </w:p>
        </w:tc>
      </w:tr>
      <w:tr w14:paraId="4EF0A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AF2D0"/>
            <w:vAlign w:val="center"/>
          </w:tcPr>
          <w:p w14:paraId="4FB70B89">
            <w:pPr>
              <w:widowControl/>
              <w:spacing w:line="240" w:lineRule="atLeast"/>
              <w:jc w:val="left"/>
              <w:rPr>
                <w:rFonts w:hint="eastAsia" w:ascii="微软雅黑" w:hAnsi="微软雅黑" w:eastAsia="微软雅黑" w:cs="微软雅黑"/>
                <w:i w:val="0"/>
                <w:iCs w:val="0"/>
                <w:color w:val="000000"/>
                <w:sz w:val="18"/>
                <w:szCs w:val="18"/>
                <w:highlight w:val="none"/>
                <w:u w:val="none"/>
              </w:rPr>
            </w:pPr>
          </w:p>
        </w:tc>
        <w:tc>
          <w:tcPr>
            <w:tcW w:w="759" w:type="pct"/>
            <w:tcBorders>
              <w:top w:val="nil"/>
              <w:left w:val="nil"/>
              <w:bottom w:val="nil"/>
              <w:right w:val="nil"/>
            </w:tcBorders>
            <w:shd w:val="clear" w:color="auto" w:fill="DAF2D0"/>
            <w:vAlign w:val="center"/>
          </w:tcPr>
          <w:p w14:paraId="6609A772">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会后补充</w:t>
            </w:r>
          </w:p>
        </w:tc>
        <w:tc>
          <w:tcPr>
            <w:tcW w:w="240" w:type="pct"/>
            <w:tcBorders>
              <w:top w:val="nil"/>
              <w:left w:val="nil"/>
              <w:bottom w:val="nil"/>
              <w:right w:val="nil"/>
            </w:tcBorders>
            <w:shd w:val="clear" w:color="auto" w:fill="DAF2D0"/>
            <w:vAlign w:val="center"/>
          </w:tcPr>
          <w:p w14:paraId="0A1C3799">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16</w:t>
            </w:r>
          </w:p>
        </w:tc>
        <w:tc>
          <w:tcPr>
            <w:tcW w:w="3607" w:type="pct"/>
            <w:tcBorders>
              <w:top w:val="nil"/>
              <w:left w:val="nil"/>
              <w:bottom w:val="nil"/>
              <w:right w:val="nil"/>
            </w:tcBorders>
            <w:shd w:val="clear" w:color="auto" w:fill="DAF2D0"/>
            <w:vAlign w:val="center"/>
          </w:tcPr>
          <w:p w14:paraId="2176E5A0">
            <w:pPr>
              <w:keepNext w:val="0"/>
              <w:keepLines w:val="0"/>
              <w:widowControl/>
              <w:numPr>
                <w:ilvl w:val="0"/>
                <w:numId w:val="0"/>
              </w:numPr>
              <w:suppressLineNumbers w:val="0"/>
              <w:spacing w:line="240" w:lineRule="atLeast"/>
              <w:jc w:val="left"/>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针对是否区分原料用能修改能流图，含物料走向的和能评的算法保持一致，以企业边界为范围，计算原料和产品，装置副产燃料气等不再单独核算。</w:t>
            </w:r>
          </w:p>
        </w:tc>
      </w:tr>
      <w:tr w14:paraId="38ADC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restart"/>
            <w:tcBorders>
              <w:left w:val="nil"/>
              <w:right w:val="nil"/>
            </w:tcBorders>
            <w:shd w:val="clear" w:color="auto" w:fill="D7E1B4"/>
            <w:vAlign w:val="center"/>
          </w:tcPr>
          <w:p w14:paraId="005B2A75">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专家8</w:t>
            </w:r>
          </w:p>
        </w:tc>
        <w:tc>
          <w:tcPr>
            <w:tcW w:w="759" w:type="pct"/>
            <w:tcBorders>
              <w:top w:val="nil"/>
              <w:left w:val="nil"/>
              <w:bottom w:val="nil"/>
              <w:right w:val="nil"/>
            </w:tcBorders>
            <w:shd w:val="clear" w:color="auto" w:fill="D7E1B4"/>
            <w:vAlign w:val="center"/>
          </w:tcPr>
          <w:p w14:paraId="5A8DDFFA">
            <w:pPr>
              <w:widowControl/>
              <w:spacing w:line="240" w:lineRule="atLeast"/>
              <w:jc w:val="left"/>
              <w:rPr>
                <w:rFonts w:hint="default"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总体要求</w:t>
            </w:r>
          </w:p>
        </w:tc>
        <w:tc>
          <w:tcPr>
            <w:tcW w:w="240" w:type="pct"/>
            <w:tcBorders>
              <w:top w:val="nil"/>
              <w:left w:val="nil"/>
              <w:bottom w:val="nil"/>
              <w:right w:val="nil"/>
            </w:tcBorders>
            <w:shd w:val="clear" w:color="auto" w:fill="D7E1B4"/>
            <w:vAlign w:val="center"/>
          </w:tcPr>
          <w:p w14:paraId="02E0150D">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w:t>
            </w:r>
          </w:p>
        </w:tc>
        <w:tc>
          <w:tcPr>
            <w:tcW w:w="3607" w:type="pct"/>
            <w:tcBorders>
              <w:top w:val="nil"/>
              <w:left w:val="nil"/>
              <w:bottom w:val="nil"/>
              <w:right w:val="nil"/>
            </w:tcBorders>
            <w:shd w:val="clear" w:color="auto" w:fill="D7E1B4"/>
            <w:vAlign w:val="center"/>
          </w:tcPr>
          <w:p w14:paraId="7D1388B2">
            <w:pPr>
              <w:keepNext w:val="0"/>
              <w:keepLines w:val="0"/>
              <w:widowControl/>
              <w:numPr>
                <w:ilvl w:val="0"/>
                <w:numId w:val="0"/>
              </w:numPr>
              <w:suppressLineNumbers w:val="0"/>
              <w:spacing w:line="240" w:lineRule="atLeast"/>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根据国家发展改革委、国家统计局《关于进一步做好原料用能不纳入能源消费总量控制有关工作的通知》（发改环资〔2022〕803号）等规定，在规范中明确规定。在“4.1.1 健全能源计量体系”明确注明“注：原料用能不纳入能源消费总量控制。”</w:t>
            </w:r>
          </w:p>
        </w:tc>
      </w:tr>
      <w:tr w14:paraId="676C8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7E1B4"/>
            <w:vAlign w:val="center"/>
          </w:tcPr>
          <w:p w14:paraId="7520C7C6">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759" w:type="pct"/>
            <w:vMerge w:val="restart"/>
            <w:tcBorders>
              <w:top w:val="nil"/>
              <w:left w:val="nil"/>
              <w:right w:val="nil"/>
            </w:tcBorders>
            <w:shd w:val="clear" w:color="auto" w:fill="D7E1B4"/>
            <w:vAlign w:val="center"/>
          </w:tcPr>
          <w:p w14:paraId="3E920637">
            <w:pPr>
              <w:widowControl/>
              <w:spacing w:line="240" w:lineRule="atLeast"/>
              <w:jc w:val="left"/>
              <w:rPr>
                <w:rFonts w:hint="default"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sz w:val="18"/>
                <w:szCs w:val="18"/>
                <w:highlight w:val="none"/>
                <w:u w:val="none"/>
                <w:lang w:val="en-US" w:eastAsia="zh-CN"/>
              </w:rPr>
              <w:t>能源计量器具配备</w:t>
            </w:r>
          </w:p>
        </w:tc>
        <w:tc>
          <w:tcPr>
            <w:tcW w:w="240" w:type="pct"/>
            <w:tcBorders>
              <w:top w:val="nil"/>
              <w:left w:val="nil"/>
              <w:bottom w:val="nil"/>
              <w:right w:val="nil"/>
            </w:tcBorders>
            <w:shd w:val="clear" w:color="auto" w:fill="D7E1B4"/>
            <w:vAlign w:val="center"/>
          </w:tcPr>
          <w:p w14:paraId="645417A0">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2</w:t>
            </w:r>
          </w:p>
        </w:tc>
        <w:tc>
          <w:tcPr>
            <w:tcW w:w="3607" w:type="pct"/>
            <w:tcBorders>
              <w:top w:val="nil"/>
              <w:left w:val="nil"/>
              <w:bottom w:val="nil"/>
              <w:right w:val="nil"/>
            </w:tcBorders>
            <w:shd w:val="clear" w:color="auto" w:fill="D7E1B4"/>
            <w:vAlign w:val="center"/>
          </w:tcPr>
          <w:p w14:paraId="0377BA66">
            <w:pPr>
              <w:keepNext w:val="0"/>
              <w:keepLines w:val="0"/>
              <w:widowControl/>
              <w:numPr>
                <w:ilvl w:val="0"/>
                <w:numId w:val="0"/>
              </w:numPr>
              <w:suppressLineNumbers w:val="0"/>
              <w:spacing w:line="240" w:lineRule="atLeast"/>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选用的流量计应满足高温高压等石化化工行业的特殊需求</w:t>
            </w:r>
          </w:p>
        </w:tc>
      </w:tr>
      <w:tr w14:paraId="4F26B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392" w:type="pct"/>
            <w:vMerge w:val="continue"/>
            <w:tcBorders>
              <w:left w:val="nil"/>
              <w:right w:val="nil"/>
            </w:tcBorders>
            <w:shd w:val="clear" w:color="auto" w:fill="D7E1B4"/>
            <w:vAlign w:val="center"/>
          </w:tcPr>
          <w:p w14:paraId="588B32B1">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759" w:type="pct"/>
            <w:vMerge w:val="continue"/>
            <w:tcBorders>
              <w:left w:val="nil"/>
              <w:right w:val="nil"/>
            </w:tcBorders>
            <w:shd w:val="clear" w:color="auto" w:fill="D7E1B4"/>
            <w:vAlign w:val="center"/>
          </w:tcPr>
          <w:p w14:paraId="5506129E">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7E1B4"/>
            <w:vAlign w:val="center"/>
          </w:tcPr>
          <w:p w14:paraId="40397B24">
            <w:pPr>
              <w:keepNext w:val="0"/>
              <w:keepLines w:val="0"/>
              <w:widowControl/>
              <w:suppressLineNumbers w:val="0"/>
              <w:spacing w:line="240" w:lineRule="atLeast"/>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3</w:t>
            </w:r>
          </w:p>
        </w:tc>
        <w:tc>
          <w:tcPr>
            <w:tcW w:w="3607" w:type="pct"/>
            <w:tcBorders>
              <w:top w:val="nil"/>
              <w:left w:val="nil"/>
              <w:bottom w:val="nil"/>
              <w:right w:val="nil"/>
            </w:tcBorders>
            <w:shd w:val="clear" w:color="auto" w:fill="D7E1B4"/>
            <w:vAlign w:val="center"/>
          </w:tcPr>
          <w:p w14:paraId="398C66D3">
            <w:pPr>
              <w:keepNext w:val="0"/>
              <w:keepLines w:val="0"/>
              <w:widowControl/>
              <w:numPr>
                <w:ilvl w:val="0"/>
                <w:numId w:val="0"/>
              </w:numPr>
              <w:suppressLineNumbers w:val="0"/>
              <w:spacing w:line="240" w:lineRule="atLeast"/>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衡器准确度等级要求符号修改</w:t>
            </w:r>
          </w:p>
        </w:tc>
      </w:tr>
      <w:tr w14:paraId="28E63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2" w:type="pct"/>
            <w:vMerge w:val="continue"/>
            <w:tcBorders>
              <w:left w:val="nil"/>
              <w:bottom w:val="nil"/>
              <w:right w:val="nil"/>
            </w:tcBorders>
            <w:shd w:val="clear" w:color="auto" w:fill="D7E1B4"/>
            <w:vAlign w:val="center"/>
          </w:tcPr>
          <w:p w14:paraId="5625D339">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759" w:type="pct"/>
            <w:vMerge w:val="continue"/>
            <w:tcBorders>
              <w:left w:val="nil"/>
              <w:bottom w:val="nil"/>
              <w:right w:val="nil"/>
            </w:tcBorders>
            <w:shd w:val="clear" w:color="auto" w:fill="D7E1B4"/>
            <w:vAlign w:val="center"/>
          </w:tcPr>
          <w:p w14:paraId="6D7F7107">
            <w:pPr>
              <w:widowControl/>
              <w:spacing w:line="240" w:lineRule="atLeast"/>
              <w:jc w:val="left"/>
              <w:rPr>
                <w:rFonts w:hint="eastAsia" w:ascii="微软雅黑" w:hAnsi="微软雅黑" w:eastAsia="微软雅黑" w:cs="微软雅黑"/>
                <w:i w:val="0"/>
                <w:iCs w:val="0"/>
                <w:color w:val="000000"/>
                <w:sz w:val="18"/>
                <w:szCs w:val="18"/>
                <w:highlight w:val="none"/>
                <w:u w:val="none"/>
                <w:lang w:val="en-US" w:eastAsia="zh-CN"/>
              </w:rPr>
            </w:pPr>
          </w:p>
        </w:tc>
        <w:tc>
          <w:tcPr>
            <w:tcW w:w="240" w:type="pct"/>
            <w:tcBorders>
              <w:top w:val="nil"/>
              <w:left w:val="nil"/>
              <w:bottom w:val="nil"/>
              <w:right w:val="nil"/>
            </w:tcBorders>
            <w:shd w:val="clear" w:color="auto" w:fill="D7E1B4"/>
            <w:vAlign w:val="center"/>
          </w:tcPr>
          <w:p w14:paraId="3DED605B">
            <w:pPr>
              <w:keepNext w:val="0"/>
              <w:keepLines w:val="0"/>
              <w:widowControl/>
              <w:suppressLineNumbers w:val="0"/>
              <w:spacing w:line="240" w:lineRule="atLeast"/>
              <w:jc w:val="left"/>
              <w:textAlignment w:val="auto"/>
              <w:rPr>
                <w:rFonts w:hint="eastAsia" w:ascii="微软雅黑" w:hAnsi="微软雅黑" w:eastAsia="微软雅黑" w:cs="微软雅黑"/>
                <w:i w:val="0"/>
                <w:iCs w:val="0"/>
                <w:color w:val="000000"/>
                <w:kern w:val="2"/>
                <w:sz w:val="18"/>
                <w:szCs w:val="18"/>
                <w:highlight w:val="none"/>
                <w:u w:val="none"/>
                <w:lang w:val="en-US" w:eastAsia="zh-CN" w:bidi="ar"/>
              </w:rPr>
            </w:pPr>
            <w:r>
              <w:rPr>
                <w:rFonts w:hint="eastAsia" w:ascii="微软雅黑" w:hAnsi="微软雅黑" w:eastAsia="微软雅黑" w:cs="微软雅黑"/>
                <w:i w:val="0"/>
                <w:iCs w:val="0"/>
                <w:color w:val="000000"/>
                <w:kern w:val="2"/>
                <w:sz w:val="18"/>
                <w:szCs w:val="18"/>
                <w:highlight w:val="none"/>
                <w:u w:val="none"/>
                <w:lang w:val="en-US" w:eastAsia="zh-CN" w:bidi="ar"/>
              </w:rPr>
              <w:t>4</w:t>
            </w:r>
          </w:p>
        </w:tc>
        <w:tc>
          <w:tcPr>
            <w:tcW w:w="3607" w:type="pct"/>
            <w:tcBorders>
              <w:top w:val="nil"/>
              <w:left w:val="nil"/>
              <w:bottom w:val="nil"/>
              <w:right w:val="nil"/>
            </w:tcBorders>
            <w:shd w:val="clear" w:color="auto" w:fill="D7E1B4"/>
            <w:vAlign w:val="center"/>
          </w:tcPr>
          <w:p w14:paraId="6A76E0BD">
            <w:pPr>
              <w:keepNext w:val="0"/>
              <w:keepLines w:val="0"/>
              <w:widowControl/>
              <w:numPr>
                <w:ilvl w:val="0"/>
                <w:numId w:val="0"/>
              </w:numPr>
              <w:suppressLineNumbers w:val="0"/>
              <w:spacing w:line="240" w:lineRule="atLeast"/>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“电能表可比表 2 的同类用户低一个档次的要求”中“档次”应修改为“等级”</w:t>
            </w:r>
          </w:p>
        </w:tc>
      </w:tr>
    </w:tbl>
    <w:p w14:paraId="33325FC2">
      <w:pPr>
        <w:ind w:firstLine="596" w:firstLineChars="200"/>
        <w:rPr>
          <w:rFonts w:ascii="Times New Roman" w:eastAsia="仿宋"/>
          <w:bCs/>
          <w:color w:val="auto"/>
          <w:spacing w:val="-11"/>
          <w:szCs w:val="32"/>
          <w:highlight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D67FB6-89E5-4BC0-A957-3E5EE0CB5D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70D2949E-2AB9-4691-9D4C-D8E1EF92E1A4}"/>
  </w:font>
  <w:font w:name="仿宋">
    <w:panose1 w:val="02010609060101010101"/>
    <w:charset w:val="86"/>
    <w:family w:val="modern"/>
    <w:pitch w:val="default"/>
    <w:sig w:usb0="800002BF" w:usb1="38CF7CFA" w:usb2="00000016" w:usb3="00000000" w:csb0="00040001" w:csb1="00000000"/>
    <w:embedRegular r:id="rId3" w:fontKey="{A009981B-3AF4-454A-8EF3-581B78E515D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4" w:fontKey="{5A1CDCA6-F43C-4100-B57B-372C89894FAB}"/>
  </w:font>
  <w:font w:name="方正仿宋简体">
    <w:panose1 w:val="02000000000000000000"/>
    <w:charset w:val="86"/>
    <w:family w:val="auto"/>
    <w:pitch w:val="default"/>
    <w:sig w:usb0="A00002BF" w:usb1="184F6CFA" w:usb2="00000012" w:usb3="00000000" w:csb0="00040001" w:csb1="00000000"/>
    <w:embedRegular r:id="rId5" w:fontKey="{5978D4C2-D848-4ECF-8922-351931F0CA5B}"/>
  </w:font>
  <w:font w:name="微软雅黑">
    <w:panose1 w:val="020B0503020204020204"/>
    <w:charset w:val="86"/>
    <w:family w:val="auto"/>
    <w:pitch w:val="default"/>
    <w:sig w:usb0="80000287" w:usb1="2ACF3C50" w:usb2="00000016" w:usb3="00000000" w:csb0="0004001F" w:csb1="00000000"/>
    <w:embedRegular r:id="rId6" w:fontKey="{AB6D73C2-ED08-4072-8D33-BF13F8CEE8E9}"/>
  </w:font>
  <w:font w:name="KSOFE4500885">
    <w:panose1 w:val="02010609060101010101"/>
    <w:charset w:val="86"/>
    <w:family w:val="auto"/>
    <w:pitch w:val="default"/>
    <w:sig w:usb0="00000001" w:usb1="00000000" w:usb2="00000000" w:usb3="00000000" w:csb0="00040001" w:csb1="00000000"/>
  </w:font>
  <w:font w:name="WPSEMBED37">
    <w:panose1 w:val="02000000000000000000"/>
    <w:charset w:val="86"/>
    <w:family w:val="auto"/>
    <w:pitch w:val="default"/>
    <w:sig w:usb0="00000001" w:usb1="08000000" w:usb2="00000000" w:usb3="00000000" w:csb0="00040000" w:csb1="00000000"/>
  </w:font>
  <w:font w:name="WPSEMBED38">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61BE5">
    <w:pPr>
      <w:pStyle w:val="4"/>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CD664">
                          <w:pPr>
                            <w:pStyle w:val="4"/>
                            <w:rPr>
                              <w:rFonts w:hint="eastAsia"/>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C1CD664">
                    <w:pPr>
                      <w:pStyle w:val="4"/>
                      <w:rPr>
                        <w:rFonts w:hint="eastAsia"/>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84238"/>
    <w:multiLevelType w:val="multilevel"/>
    <w:tmpl w:val="89C84238"/>
    <w:lvl w:ilvl="0" w:tentative="0">
      <w:start w:val="1"/>
      <w:numFmt w:val="lowerLetter"/>
      <w:lvlText w:val="%1."/>
      <w:lvlJc w:val="left"/>
      <w:pPr>
        <w:ind w:left="1000" w:hanging="36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
    <w:nsid w:val="D1DF33BF"/>
    <w:multiLevelType w:val="singleLevel"/>
    <w:tmpl w:val="D1DF33BF"/>
    <w:lvl w:ilvl="0" w:tentative="0">
      <w:start w:val="1"/>
      <w:numFmt w:val="lowerLetter"/>
      <w:lvlText w:val="%1."/>
      <w:lvlJc w:val="left"/>
      <w:pPr>
        <w:ind w:left="425" w:hanging="425"/>
      </w:pPr>
      <w:rPr>
        <w:rFonts w:hint="default"/>
      </w:rPr>
    </w:lvl>
  </w:abstractNum>
  <w:abstractNum w:abstractNumId="2">
    <w:nsid w:val="10B1173E"/>
    <w:multiLevelType w:val="multilevel"/>
    <w:tmpl w:val="10B1173E"/>
    <w:lvl w:ilvl="0" w:tentative="0">
      <w:start w:val="1"/>
      <w:numFmt w:val="lowerLetter"/>
      <w:lvlText w:val="%1."/>
      <w:lvlJc w:val="left"/>
      <w:pPr>
        <w:ind w:left="1000" w:hanging="36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0ODc3ODBmN2QyOGI5NTg0NTQyMzkzOTM4NDgzNjcifQ=="/>
  </w:docVars>
  <w:rsids>
    <w:rsidRoot w:val="00172A27"/>
    <w:rsid w:val="00010BA2"/>
    <w:rsid w:val="00041ED1"/>
    <w:rsid w:val="0005676B"/>
    <w:rsid w:val="00063C5B"/>
    <w:rsid w:val="000E7F67"/>
    <w:rsid w:val="0011355A"/>
    <w:rsid w:val="00172A27"/>
    <w:rsid w:val="00181806"/>
    <w:rsid w:val="001D7AA1"/>
    <w:rsid w:val="001F31BE"/>
    <w:rsid w:val="00232378"/>
    <w:rsid w:val="0024042B"/>
    <w:rsid w:val="00290A1B"/>
    <w:rsid w:val="002C031A"/>
    <w:rsid w:val="002C0339"/>
    <w:rsid w:val="002C6952"/>
    <w:rsid w:val="002E32BC"/>
    <w:rsid w:val="002E6A8E"/>
    <w:rsid w:val="003454EE"/>
    <w:rsid w:val="00353264"/>
    <w:rsid w:val="0036685E"/>
    <w:rsid w:val="00397D45"/>
    <w:rsid w:val="003D7275"/>
    <w:rsid w:val="003F669A"/>
    <w:rsid w:val="0042324A"/>
    <w:rsid w:val="004532D8"/>
    <w:rsid w:val="00491D63"/>
    <w:rsid w:val="004E76F2"/>
    <w:rsid w:val="005475AE"/>
    <w:rsid w:val="00553054"/>
    <w:rsid w:val="005546E9"/>
    <w:rsid w:val="00560FAF"/>
    <w:rsid w:val="00567B54"/>
    <w:rsid w:val="005A111A"/>
    <w:rsid w:val="005A5E5B"/>
    <w:rsid w:val="005B117A"/>
    <w:rsid w:val="005B4577"/>
    <w:rsid w:val="00647D6A"/>
    <w:rsid w:val="00665C2D"/>
    <w:rsid w:val="006A435A"/>
    <w:rsid w:val="006B0370"/>
    <w:rsid w:val="006C7ADE"/>
    <w:rsid w:val="006E3B0B"/>
    <w:rsid w:val="006E4E37"/>
    <w:rsid w:val="00704C2D"/>
    <w:rsid w:val="0072581E"/>
    <w:rsid w:val="00751A48"/>
    <w:rsid w:val="00753F42"/>
    <w:rsid w:val="00774761"/>
    <w:rsid w:val="00775A03"/>
    <w:rsid w:val="007B0B25"/>
    <w:rsid w:val="007D6BF8"/>
    <w:rsid w:val="007E62BE"/>
    <w:rsid w:val="00802C90"/>
    <w:rsid w:val="00810690"/>
    <w:rsid w:val="008127F5"/>
    <w:rsid w:val="008547B8"/>
    <w:rsid w:val="008726E8"/>
    <w:rsid w:val="008F4464"/>
    <w:rsid w:val="00913BDC"/>
    <w:rsid w:val="009218F7"/>
    <w:rsid w:val="00941685"/>
    <w:rsid w:val="00970BFB"/>
    <w:rsid w:val="009854BB"/>
    <w:rsid w:val="009E3873"/>
    <w:rsid w:val="00A411B5"/>
    <w:rsid w:val="00A53284"/>
    <w:rsid w:val="00A568D7"/>
    <w:rsid w:val="00A92A23"/>
    <w:rsid w:val="00A97CD2"/>
    <w:rsid w:val="00B20A5B"/>
    <w:rsid w:val="00B60221"/>
    <w:rsid w:val="00B6059B"/>
    <w:rsid w:val="00BC71DC"/>
    <w:rsid w:val="00BD0B63"/>
    <w:rsid w:val="00BD4AE2"/>
    <w:rsid w:val="00C023CE"/>
    <w:rsid w:val="00C12949"/>
    <w:rsid w:val="00C26E60"/>
    <w:rsid w:val="00C358EE"/>
    <w:rsid w:val="00C36DA6"/>
    <w:rsid w:val="00C52A53"/>
    <w:rsid w:val="00C716DF"/>
    <w:rsid w:val="00C81632"/>
    <w:rsid w:val="00C94FBC"/>
    <w:rsid w:val="00CC2A30"/>
    <w:rsid w:val="00CD7230"/>
    <w:rsid w:val="00D1743D"/>
    <w:rsid w:val="00D36BB6"/>
    <w:rsid w:val="00D649FF"/>
    <w:rsid w:val="00D67F8E"/>
    <w:rsid w:val="00D92718"/>
    <w:rsid w:val="00D962BC"/>
    <w:rsid w:val="00DC77BF"/>
    <w:rsid w:val="00DF1DBB"/>
    <w:rsid w:val="00E158EE"/>
    <w:rsid w:val="00E71E57"/>
    <w:rsid w:val="00E874D4"/>
    <w:rsid w:val="00EB0C9C"/>
    <w:rsid w:val="00F10367"/>
    <w:rsid w:val="00F64551"/>
    <w:rsid w:val="00F70EA5"/>
    <w:rsid w:val="00F8444C"/>
    <w:rsid w:val="00F925E9"/>
    <w:rsid w:val="00FF1E3D"/>
    <w:rsid w:val="030A250A"/>
    <w:rsid w:val="040E1AAF"/>
    <w:rsid w:val="06147FFC"/>
    <w:rsid w:val="0C7462CE"/>
    <w:rsid w:val="0C836F7F"/>
    <w:rsid w:val="0DE7367C"/>
    <w:rsid w:val="1056265E"/>
    <w:rsid w:val="10AC76EE"/>
    <w:rsid w:val="14D2368C"/>
    <w:rsid w:val="18106164"/>
    <w:rsid w:val="186D53D9"/>
    <w:rsid w:val="18AC1EF0"/>
    <w:rsid w:val="191B06DA"/>
    <w:rsid w:val="198A6011"/>
    <w:rsid w:val="19AE61A3"/>
    <w:rsid w:val="1A983606"/>
    <w:rsid w:val="1BC87AA0"/>
    <w:rsid w:val="214D5A35"/>
    <w:rsid w:val="23D43A42"/>
    <w:rsid w:val="24A06258"/>
    <w:rsid w:val="270F49D9"/>
    <w:rsid w:val="294D1FCC"/>
    <w:rsid w:val="2AD54EDA"/>
    <w:rsid w:val="2AEE4330"/>
    <w:rsid w:val="2BD4532B"/>
    <w:rsid w:val="2D1519EA"/>
    <w:rsid w:val="2FCD03A8"/>
    <w:rsid w:val="31047E4A"/>
    <w:rsid w:val="33762AD6"/>
    <w:rsid w:val="38142272"/>
    <w:rsid w:val="3DB42DAD"/>
    <w:rsid w:val="3EAB0654"/>
    <w:rsid w:val="3F94516E"/>
    <w:rsid w:val="43616864"/>
    <w:rsid w:val="47844A46"/>
    <w:rsid w:val="4A5D049A"/>
    <w:rsid w:val="4AE40DA1"/>
    <w:rsid w:val="4CD55219"/>
    <w:rsid w:val="4D7D6E6B"/>
    <w:rsid w:val="4F05793B"/>
    <w:rsid w:val="4FF441B9"/>
    <w:rsid w:val="523B458F"/>
    <w:rsid w:val="54C73E79"/>
    <w:rsid w:val="54FB2284"/>
    <w:rsid w:val="553E2FE6"/>
    <w:rsid w:val="583D5E27"/>
    <w:rsid w:val="5D1C37C2"/>
    <w:rsid w:val="5F16052F"/>
    <w:rsid w:val="60E46ACE"/>
    <w:rsid w:val="60EA2C4C"/>
    <w:rsid w:val="61E0223F"/>
    <w:rsid w:val="64414747"/>
    <w:rsid w:val="656A0DED"/>
    <w:rsid w:val="6A583219"/>
    <w:rsid w:val="6FBD0683"/>
    <w:rsid w:val="71133FA7"/>
    <w:rsid w:val="726D223F"/>
    <w:rsid w:val="72E94E52"/>
    <w:rsid w:val="74B318AC"/>
    <w:rsid w:val="7561422E"/>
    <w:rsid w:val="794E3ADA"/>
    <w:rsid w:val="7B642920"/>
    <w:rsid w:val="7BCA7F45"/>
    <w:rsid w:val="7DAB14FB"/>
    <w:rsid w:val="7DD23F48"/>
    <w:rsid w:val="7F721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8"/>
      <w:szCs w:val="28"/>
    </w:rPr>
  </w:style>
  <w:style w:type="paragraph" w:styleId="4">
    <w:name w:val="footer"/>
    <w:basedOn w:val="1"/>
    <w:link w:val="12"/>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qFormat/>
    <w:uiPriority w:val="99"/>
    <w:rPr>
      <w:sz w:val="18"/>
      <w:szCs w:val="18"/>
    </w:rPr>
  </w:style>
  <w:style w:type="character" w:customStyle="1" w:styleId="12">
    <w:name w:val="页脚 字符"/>
    <w:basedOn w:val="9"/>
    <w:link w:val="4"/>
    <w:autoRedefine/>
    <w:qFormat/>
    <w:uiPriority w:val="99"/>
    <w:rPr>
      <w:sz w:val="18"/>
      <w:szCs w:val="18"/>
    </w:rPr>
  </w:style>
  <w:style w:type="paragraph" w:styleId="13">
    <w:name w:val="List Paragraph"/>
    <w:basedOn w:val="1"/>
    <w:autoRedefine/>
    <w:qFormat/>
    <w:uiPriority w:val="34"/>
    <w:pPr>
      <w:spacing w:line="600" w:lineRule="exact"/>
      <w:ind w:firstLine="596" w:firstLineChars="200"/>
    </w:pPr>
    <w:rPr>
      <w:rFonts w:ascii="Times New Roman" w:eastAsia="仿宋"/>
      <w:bCs/>
      <w:spacing w:val="-11"/>
      <w:szCs w:val="32"/>
    </w:rPr>
  </w:style>
  <w:style w:type="paragraph" w:customStyle="1" w:styleId="14">
    <w:name w:val="Default"/>
    <w:autoRedefine/>
    <w:qFormat/>
    <w:uiPriority w:val="0"/>
    <w:pPr>
      <w:widowControl w:val="0"/>
      <w:autoSpaceDE w:val="0"/>
      <w:autoSpaceDN w:val="0"/>
      <w:adjustRightInd w:val="0"/>
      <w:spacing w:after="120" w:line="276" w:lineRule="auto"/>
    </w:pPr>
    <w:rPr>
      <w:rFonts w:ascii="华文中宋" w:hAnsi="等线" w:eastAsia="华文中宋" w:cs="华文中宋"/>
      <w:color w:val="000000"/>
      <w:sz w:val="24"/>
      <w:szCs w:val="24"/>
      <w:lang w:val="en-US" w:eastAsia="zh-CN" w:bidi="ar-SA"/>
    </w:rPr>
  </w:style>
  <w:style w:type="character" w:customStyle="1" w:styleId="15">
    <w:name w:val="bjh-p"/>
    <w:basedOn w:val="9"/>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D88E41-C3F6-44B9-9960-854B5E1410D2}">
  <ds:schemaRefs/>
</ds:datastoreItem>
</file>

<file path=docProps/app.xml><?xml version="1.0" encoding="utf-8"?>
<Properties xmlns="http://schemas.openxmlformats.org/officeDocument/2006/extended-properties" xmlns:vt="http://schemas.openxmlformats.org/officeDocument/2006/docPropsVTypes">
  <Template>Normal</Template>
  <Pages>31</Pages>
  <Words>5761</Words>
  <Characters>6044</Characters>
  <Lines>124</Lines>
  <Paragraphs>68</Paragraphs>
  <TotalTime>35</TotalTime>
  <ScaleCrop>false</ScaleCrop>
  <LinksUpToDate>false</LinksUpToDate>
  <CharactersWithSpaces>6101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2023-12-05T02:42:00Z</dcterms:created>
  <dc:creator>douqi</dc:creator>
  <cp:lastModifiedBy>常靖</cp:lastModifiedBy>
  <dcterms:modified xsi:type="dcterms:W3CDTF">2026-06-12T08:41:03Z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D6DE484253714B89AE1A0B6DAA8CA642_13</vt:lpwstr>
  </property>
  <property fmtid="{D5CDD505-2E9C-101B-9397-08002B2CF9AE}" pid="4" name="KSOTemplateDocerSaveRecord">
    <vt:lpwstr>eyJoZGlkIjoiMzEwNTM5NzYwMDRjMzkwZTVkZjY2ODkwMGIxNGU0OTUiLCJ1c2VySWQiOiI0MjcyOTI0MzgifQ==</vt:lpwstr>
  </property>
</Properties>
</file>