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63EAA9">
      <w:pPr>
        <w:widowControl w:val="0"/>
        <w:kinsoku/>
        <w:autoSpaceDE/>
        <w:autoSpaceDN/>
        <w:adjustRightInd/>
        <w:snapToGrid/>
        <w:spacing w:line="240" w:lineRule="auto"/>
        <w:jc w:val="center"/>
        <w:textAlignment w:val="auto"/>
        <w:rPr>
          <w:rFonts w:hint="eastAsia" w:ascii="Times New Roman" w:hAnsi="Times New Roman" w:eastAsia="黑体" w:cs="Times New Roman"/>
          <w:snapToGrid/>
          <w:kern w:val="2"/>
          <w:sz w:val="32"/>
          <w:szCs w:val="24"/>
          <w:lang w:eastAsia="zh-CN"/>
        </w:rPr>
      </w:pPr>
      <w:r>
        <w:rPr>
          <w:rFonts w:hint="eastAsia" w:ascii="Times New Roman" w:hAnsi="Times New Roman" w:eastAsia="黑体" w:cs="Times New Roman"/>
          <w:snapToGrid/>
          <w:kern w:val="2"/>
          <w:sz w:val="32"/>
          <w:szCs w:val="24"/>
          <w:lang w:eastAsia="zh-CN"/>
        </w:rPr>
        <w:t>《电解水制氢系统能效计量测试规范》</w:t>
      </w:r>
    </w:p>
    <w:p w14:paraId="4CF4BE7C">
      <w:pPr>
        <w:widowControl w:val="0"/>
        <w:kinsoku/>
        <w:autoSpaceDE/>
        <w:autoSpaceDN/>
        <w:adjustRightInd/>
        <w:snapToGrid/>
        <w:spacing w:line="240" w:lineRule="auto"/>
        <w:jc w:val="center"/>
        <w:textAlignment w:val="auto"/>
        <w:rPr>
          <w:rFonts w:hint="eastAsia" w:ascii="Times New Roman" w:hAnsi="Times New Roman" w:eastAsia="黑体" w:cs="Times New Roman"/>
          <w:snapToGrid/>
          <w:kern w:val="2"/>
          <w:sz w:val="32"/>
          <w:szCs w:val="24"/>
          <w:lang w:eastAsia="zh-CN"/>
        </w:rPr>
      </w:pPr>
      <w:r>
        <w:rPr>
          <w:rFonts w:hint="eastAsia" w:ascii="Times New Roman" w:hAnsi="Times New Roman" w:eastAsia="黑体" w:cs="Times New Roman"/>
          <w:snapToGrid/>
          <w:kern w:val="2"/>
          <w:sz w:val="32"/>
          <w:szCs w:val="24"/>
          <w:lang w:eastAsia="zh-CN"/>
        </w:rPr>
        <w:t>编制说明</w:t>
      </w:r>
    </w:p>
    <w:p w14:paraId="3F4F526A">
      <w:pPr>
        <w:spacing w:line="396" w:lineRule="auto"/>
        <w:rPr>
          <w:rFonts w:hint="eastAsia" w:ascii="宋体" w:hAnsi="宋体" w:eastAsia="宋体" w:cs="宋体"/>
          <w:b/>
          <w:bCs/>
          <w:spacing w:val="-6"/>
          <w:sz w:val="24"/>
          <w:szCs w:val="24"/>
        </w:rPr>
      </w:pPr>
    </w:p>
    <w:p w14:paraId="74159D9B">
      <w:pPr>
        <w:widowControl w:val="0"/>
        <w:kinsoku/>
        <w:autoSpaceDE/>
        <w:autoSpaceDN/>
        <w:adjustRightInd/>
        <w:snapToGrid/>
        <w:spacing w:line="480" w:lineRule="auto"/>
        <w:jc w:val="both"/>
        <w:textAlignment w:val="auto"/>
        <w:rPr>
          <w:rFonts w:hint="eastAsia" w:ascii="Times New Roman" w:hAnsi="Times New Roman" w:eastAsia="黑体" w:cs="Times New Roman"/>
          <w:snapToGrid/>
          <w:kern w:val="2"/>
          <w:sz w:val="24"/>
          <w:szCs w:val="24"/>
          <w:lang w:eastAsia="zh-CN"/>
        </w:rPr>
      </w:pPr>
      <w:r>
        <w:rPr>
          <w:rFonts w:hint="eastAsia" w:eastAsia="黑体"/>
          <w:sz w:val="24"/>
        </w:rPr>
        <w:t>一、</w:t>
      </w:r>
      <w:r>
        <w:rPr>
          <w:rFonts w:hint="eastAsia" w:ascii="Times New Roman" w:hAnsi="Times New Roman" w:eastAsia="黑体" w:cs="Times New Roman"/>
          <w:snapToGrid/>
          <w:kern w:val="2"/>
          <w:sz w:val="24"/>
          <w:szCs w:val="24"/>
          <w:lang w:eastAsia="zh-CN"/>
        </w:rPr>
        <w:t>任务来源</w:t>
      </w:r>
    </w:p>
    <w:p w14:paraId="79E48B4D">
      <w:pPr>
        <w:widowControl w:val="0"/>
        <w:kinsoku/>
        <w:autoSpaceDE/>
        <w:autoSpaceDN/>
        <w:adjustRightInd/>
        <w:snapToGrid/>
        <w:spacing w:line="360" w:lineRule="auto"/>
        <w:ind w:firstLine="476"/>
        <w:jc w:val="both"/>
        <w:textAlignment w:val="auto"/>
        <w:rPr>
          <w:rFonts w:hint="default" w:ascii="Times New Roman" w:hAnsi="Times New Roman" w:eastAsia="宋体" w:cs="Times New Roman"/>
          <w:snapToGrid/>
          <w:kern w:val="2"/>
          <w:sz w:val="24"/>
          <w:szCs w:val="24"/>
          <w:highlight w:val="none"/>
          <w:lang w:eastAsia="zh-CN"/>
        </w:rPr>
      </w:pPr>
      <w:r>
        <w:rPr>
          <w:rFonts w:hint="default" w:ascii="Times New Roman" w:hAnsi="Times New Roman" w:eastAsia="宋体" w:cs="Times New Roman"/>
          <w:snapToGrid/>
          <w:kern w:val="2"/>
          <w:sz w:val="24"/>
          <w:szCs w:val="24"/>
          <w:lang w:eastAsia="zh-CN"/>
        </w:rPr>
        <w:t>本规范依</w:t>
      </w:r>
      <w:r>
        <w:rPr>
          <w:rFonts w:hint="default" w:ascii="Times New Roman" w:hAnsi="Times New Roman" w:eastAsia="宋体" w:cs="Times New Roman"/>
          <w:snapToGrid/>
          <w:kern w:val="2"/>
          <w:sz w:val="24"/>
          <w:szCs w:val="24"/>
          <w:highlight w:val="none"/>
          <w:lang w:eastAsia="zh-CN"/>
        </w:rPr>
        <w:t>据“市场监管总局办公厅关于</w:t>
      </w:r>
      <w:r>
        <w:rPr>
          <w:rFonts w:hint="default" w:ascii="Times New Roman" w:hAnsi="Times New Roman" w:eastAsia="宋体" w:cs="Times New Roman"/>
          <w:snapToGrid/>
          <w:kern w:val="2"/>
          <w:sz w:val="24"/>
          <w:szCs w:val="24"/>
          <w:highlight w:val="none"/>
          <w:lang w:val="en-US" w:eastAsia="zh-CN"/>
        </w:rPr>
        <w:t xml:space="preserve">印发 </w:t>
      </w:r>
      <w:r>
        <w:rPr>
          <w:rFonts w:hint="default" w:ascii="Times New Roman" w:hAnsi="Times New Roman" w:eastAsia="宋体" w:cs="Times New Roman"/>
          <w:snapToGrid/>
          <w:kern w:val="2"/>
          <w:sz w:val="24"/>
          <w:szCs w:val="24"/>
          <w:highlight w:val="none"/>
          <w:lang w:eastAsia="zh-CN"/>
        </w:rPr>
        <w:t>2024</w:t>
      </w:r>
      <w:r>
        <w:rPr>
          <w:rFonts w:hint="default" w:ascii="Times New Roman" w:hAnsi="Times New Roman" w:eastAsia="宋体" w:cs="Times New Roman"/>
          <w:snapToGrid/>
          <w:kern w:val="2"/>
          <w:sz w:val="24"/>
          <w:szCs w:val="24"/>
          <w:highlight w:val="none"/>
          <w:lang w:val="en-US" w:eastAsia="zh-CN"/>
        </w:rPr>
        <w:t xml:space="preserve"> </w:t>
      </w:r>
      <w:r>
        <w:rPr>
          <w:rFonts w:hint="default" w:ascii="Times New Roman" w:hAnsi="Times New Roman" w:eastAsia="宋体" w:cs="Times New Roman"/>
          <w:snapToGrid/>
          <w:kern w:val="2"/>
          <w:sz w:val="24"/>
          <w:szCs w:val="24"/>
          <w:highlight w:val="none"/>
          <w:lang w:eastAsia="zh-CN"/>
        </w:rPr>
        <w:t>年国家计量技术规范项目制定、修订及宣贯计划的通知”（市监计量发[</w:t>
      </w:r>
      <w:r>
        <w:rPr>
          <w:rFonts w:hint="default" w:ascii="Times New Roman" w:hAnsi="Times New Roman" w:eastAsia="宋体" w:cs="Times New Roman"/>
          <w:snapToGrid/>
          <w:kern w:val="2"/>
          <w:sz w:val="24"/>
          <w:szCs w:val="24"/>
          <w:highlight w:val="none"/>
          <w:lang w:eastAsia="zh-CN"/>
        </w:rPr>
        <w:fldChar w:fldCharType="begin"/>
      </w:r>
      <w:r>
        <w:rPr>
          <w:rFonts w:hint="default" w:ascii="Times New Roman" w:hAnsi="Times New Roman" w:eastAsia="宋体" w:cs="Times New Roman"/>
          <w:snapToGrid/>
          <w:kern w:val="2"/>
          <w:sz w:val="24"/>
          <w:szCs w:val="24"/>
          <w:highlight w:val="none"/>
          <w:lang w:eastAsia="zh-CN"/>
        </w:rPr>
        <w:instrText xml:space="preserve"> HYPERLINK \l "bookmark1" </w:instrText>
      </w:r>
      <w:r>
        <w:rPr>
          <w:rFonts w:hint="default" w:ascii="Times New Roman" w:hAnsi="Times New Roman" w:eastAsia="宋体" w:cs="Times New Roman"/>
          <w:snapToGrid/>
          <w:kern w:val="2"/>
          <w:sz w:val="24"/>
          <w:szCs w:val="24"/>
          <w:highlight w:val="none"/>
          <w:lang w:eastAsia="zh-CN"/>
        </w:rPr>
        <w:fldChar w:fldCharType="separate"/>
      </w:r>
      <w:r>
        <w:rPr>
          <w:rFonts w:hint="default" w:ascii="Times New Roman" w:hAnsi="Times New Roman" w:eastAsia="宋体" w:cs="Times New Roman"/>
          <w:snapToGrid/>
          <w:kern w:val="2"/>
          <w:sz w:val="24"/>
          <w:szCs w:val="24"/>
          <w:highlight w:val="none"/>
          <w:lang w:eastAsia="zh-CN"/>
        </w:rPr>
        <w:t>2024</w:t>
      </w:r>
      <w:r>
        <w:rPr>
          <w:rFonts w:hint="default" w:ascii="Times New Roman" w:hAnsi="Times New Roman" w:eastAsia="宋体" w:cs="Times New Roman"/>
          <w:snapToGrid/>
          <w:kern w:val="2"/>
          <w:sz w:val="24"/>
          <w:szCs w:val="24"/>
          <w:highlight w:val="none"/>
          <w:lang w:eastAsia="zh-CN"/>
        </w:rPr>
        <w:fldChar w:fldCharType="end"/>
      </w:r>
      <w:r>
        <w:rPr>
          <w:rFonts w:hint="default" w:ascii="Times New Roman" w:hAnsi="Times New Roman" w:eastAsia="宋体" w:cs="Times New Roman"/>
          <w:snapToGrid/>
          <w:kern w:val="2"/>
          <w:sz w:val="24"/>
          <w:szCs w:val="24"/>
          <w:highlight w:val="none"/>
          <w:lang w:eastAsia="zh-CN"/>
        </w:rPr>
        <w:t>]</w:t>
      </w:r>
      <w:r>
        <w:rPr>
          <w:rFonts w:hint="default" w:ascii="Times New Roman" w:hAnsi="Times New Roman" w:eastAsia="宋体" w:cs="Times New Roman"/>
          <w:snapToGrid/>
          <w:kern w:val="2"/>
          <w:sz w:val="24"/>
          <w:szCs w:val="24"/>
          <w:highlight w:val="none"/>
          <w:lang w:val="en-US" w:eastAsia="zh-CN"/>
        </w:rPr>
        <w:t xml:space="preserve"> </w:t>
      </w:r>
      <w:r>
        <w:rPr>
          <w:rFonts w:hint="default" w:ascii="Times New Roman" w:hAnsi="Times New Roman" w:eastAsia="宋体" w:cs="Times New Roman"/>
          <w:snapToGrid/>
          <w:kern w:val="2"/>
          <w:sz w:val="24"/>
          <w:szCs w:val="24"/>
          <w:highlight w:val="none"/>
          <w:lang w:eastAsia="zh-CN"/>
        </w:rPr>
        <w:t>40</w:t>
      </w:r>
      <w:r>
        <w:rPr>
          <w:rFonts w:hint="default" w:ascii="Times New Roman" w:hAnsi="Times New Roman" w:eastAsia="宋体" w:cs="Times New Roman"/>
          <w:snapToGrid/>
          <w:kern w:val="2"/>
          <w:sz w:val="24"/>
          <w:szCs w:val="24"/>
          <w:highlight w:val="none"/>
          <w:lang w:val="en-US" w:eastAsia="zh-CN"/>
        </w:rPr>
        <w:t xml:space="preserve"> </w:t>
      </w:r>
      <w:r>
        <w:rPr>
          <w:rFonts w:hint="default" w:ascii="Times New Roman" w:hAnsi="Times New Roman" w:eastAsia="宋体" w:cs="Times New Roman"/>
          <w:snapToGrid/>
          <w:kern w:val="2"/>
          <w:sz w:val="24"/>
          <w:szCs w:val="24"/>
          <w:highlight w:val="none"/>
          <w:lang w:eastAsia="zh-CN"/>
        </w:rPr>
        <w:t>号）文件，计划项目编号：MTC36/SC3-2024-0</w:t>
      </w:r>
      <w:r>
        <w:rPr>
          <w:rFonts w:hint="eastAsia" w:ascii="Times New Roman" w:hAnsi="Times New Roman" w:eastAsia="宋体" w:cs="Times New Roman"/>
          <w:snapToGrid/>
          <w:kern w:val="2"/>
          <w:sz w:val="24"/>
          <w:szCs w:val="24"/>
          <w:highlight w:val="none"/>
          <w:lang w:val="en-US" w:eastAsia="zh-CN"/>
        </w:rPr>
        <w:t>4</w:t>
      </w:r>
      <w:r>
        <w:rPr>
          <w:rFonts w:hint="default" w:ascii="Times New Roman" w:hAnsi="Times New Roman" w:eastAsia="宋体" w:cs="Times New Roman"/>
          <w:snapToGrid/>
          <w:kern w:val="2"/>
          <w:sz w:val="24"/>
          <w:szCs w:val="24"/>
          <w:highlight w:val="none"/>
          <w:lang w:eastAsia="zh-CN"/>
        </w:rPr>
        <w:t>，全国能源资源计量技术委员会能效标识计量分技术委员会秘书处要求编制，由中国计量科学研究院负责起草。</w:t>
      </w:r>
    </w:p>
    <w:p w14:paraId="09C93A2A">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eastAsia="黑体" w:cs="Times New Roman"/>
          <w:snapToGrid/>
          <w:kern w:val="2"/>
          <w:sz w:val="24"/>
          <w:szCs w:val="24"/>
          <w:highlight w:val="none"/>
          <w:lang w:eastAsia="zh-CN"/>
        </w:rPr>
      </w:pPr>
      <w:r>
        <w:rPr>
          <w:rFonts w:hint="eastAsia" w:ascii="Times New Roman" w:hAnsi="Times New Roman" w:eastAsia="黑体" w:cs="Times New Roman"/>
          <w:snapToGrid/>
          <w:kern w:val="2"/>
          <w:sz w:val="24"/>
          <w:szCs w:val="24"/>
          <w:highlight w:val="none"/>
          <w:lang w:val="en-US" w:eastAsia="zh-CN"/>
        </w:rPr>
        <w:t>二、</w:t>
      </w:r>
      <w:r>
        <w:rPr>
          <w:rFonts w:hint="eastAsia" w:ascii="Times New Roman" w:hAnsi="Times New Roman" w:eastAsia="黑体" w:cs="Times New Roman"/>
          <w:snapToGrid/>
          <w:kern w:val="2"/>
          <w:sz w:val="24"/>
          <w:szCs w:val="24"/>
          <w:highlight w:val="none"/>
          <w:lang w:eastAsia="zh-CN"/>
        </w:rPr>
        <w:t>参加单位</w:t>
      </w:r>
    </w:p>
    <w:p w14:paraId="5EDDD509">
      <w:pPr>
        <w:widowControl w:val="0"/>
        <w:kinsoku/>
        <w:autoSpaceDE/>
        <w:autoSpaceDN/>
        <w:adjustRightInd/>
        <w:snapToGrid/>
        <w:spacing w:line="360" w:lineRule="auto"/>
        <w:ind w:firstLine="480" w:firstLineChars="200"/>
        <w:jc w:val="both"/>
        <w:textAlignment w:val="auto"/>
        <w:rPr>
          <w:rFonts w:hint="eastAsia" w:ascii="Times New Roman" w:hAnsi="Times New Roman" w:eastAsia="宋体" w:cs="Times New Roman"/>
          <w:snapToGrid/>
          <w:kern w:val="2"/>
          <w:sz w:val="24"/>
          <w:szCs w:val="24"/>
          <w:highlight w:val="none"/>
          <w:lang w:eastAsia="zh-CN"/>
        </w:rPr>
      </w:pPr>
      <w:r>
        <w:rPr>
          <w:rFonts w:hint="eastAsia" w:ascii="Times New Roman" w:hAnsi="Times New Roman" w:eastAsia="宋体" w:cs="Times New Roman"/>
          <w:snapToGrid/>
          <w:kern w:val="2"/>
          <w:sz w:val="24"/>
          <w:szCs w:val="24"/>
          <w:highlight w:val="none"/>
          <w:lang w:eastAsia="zh-CN"/>
        </w:rPr>
        <w:t>本规范由中国计量科学研究院负责起草，参加起草单位包括</w:t>
      </w:r>
      <w:r>
        <w:rPr>
          <w:rFonts w:hint="eastAsia" w:ascii="Times New Roman" w:hAnsi="Times New Roman" w:eastAsia="宋体" w:cs="Times New Roman"/>
          <w:snapToGrid/>
          <w:kern w:val="2"/>
          <w:sz w:val="24"/>
          <w:szCs w:val="24"/>
          <w:highlight w:val="none"/>
          <w:lang w:val="en-US" w:eastAsia="zh-CN"/>
        </w:rPr>
        <w:t>华北电力大学、</w:t>
      </w:r>
      <w:bookmarkStart w:id="0" w:name="_Hlk209864394"/>
      <w:r>
        <w:rPr>
          <w:rFonts w:hint="default" w:ascii="Times New Roman" w:hAnsi="Times New Roman" w:eastAsia="宋体" w:cs="Times New Roman"/>
          <w:snapToGrid/>
          <w:kern w:val="2"/>
          <w:sz w:val="24"/>
          <w:szCs w:val="24"/>
          <w:highlight w:val="none"/>
          <w:lang w:eastAsia="zh-CN"/>
        </w:rPr>
        <w:t>国能氢创科技（北京）有限责任公司</w:t>
      </w:r>
      <w:bookmarkEnd w:id="0"/>
      <w:r>
        <w:rPr>
          <w:rFonts w:hint="eastAsia" w:ascii="Times New Roman" w:hAnsi="Times New Roman" w:eastAsia="宋体" w:cs="Times New Roman"/>
          <w:snapToGrid/>
          <w:kern w:val="2"/>
          <w:sz w:val="24"/>
          <w:szCs w:val="24"/>
          <w:highlight w:val="none"/>
          <w:lang w:eastAsia="zh-CN"/>
        </w:rPr>
        <w:t>、</w:t>
      </w:r>
      <w:r>
        <w:rPr>
          <w:rFonts w:hint="default" w:ascii="Times New Roman" w:hAnsi="Times New Roman" w:eastAsia="宋体" w:cs="Times New Roman"/>
          <w:snapToGrid/>
          <w:kern w:val="2"/>
          <w:sz w:val="24"/>
          <w:szCs w:val="24"/>
          <w:highlight w:val="none"/>
          <w:lang w:eastAsia="zh-CN"/>
        </w:rPr>
        <w:t>中国华能集团清洁能源技术研究院有限公司</w:t>
      </w:r>
      <w:r>
        <w:rPr>
          <w:rFonts w:hint="eastAsia" w:ascii="Times New Roman" w:hAnsi="Times New Roman" w:eastAsia="宋体" w:cs="Times New Roman"/>
          <w:snapToGrid/>
          <w:kern w:val="2"/>
          <w:sz w:val="24"/>
          <w:szCs w:val="24"/>
          <w:highlight w:val="none"/>
          <w:lang w:eastAsia="zh-CN"/>
        </w:rPr>
        <w:t>、</w:t>
      </w:r>
      <w:r>
        <w:rPr>
          <w:rFonts w:hint="default" w:ascii="Times New Roman" w:hAnsi="Times New Roman" w:eastAsia="宋体" w:cs="Times New Roman"/>
          <w:snapToGrid/>
          <w:kern w:val="2"/>
          <w:sz w:val="24"/>
          <w:szCs w:val="24"/>
          <w:highlight w:val="none"/>
          <w:lang w:eastAsia="zh-CN"/>
        </w:rPr>
        <w:t>中石化新星（北京）新能源有限公司</w:t>
      </w:r>
      <w:r>
        <w:rPr>
          <w:rFonts w:hint="eastAsia" w:ascii="Times New Roman" w:hAnsi="Times New Roman" w:eastAsia="宋体" w:cs="Times New Roman"/>
          <w:snapToGrid/>
          <w:kern w:val="2"/>
          <w:sz w:val="24"/>
          <w:szCs w:val="24"/>
          <w:highlight w:val="none"/>
          <w:lang w:eastAsia="zh-CN"/>
        </w:rPr>
        <w:t>等单位。</w:t>
      </w:r>
    </w:p>
    <w:p w14:paraId="3F55F5D6">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eastAsia="黑体" w:cs="Times New Roman"/>
          <w:snapToGrid/>
          <w:kern w:val="2"/>
          <w:sz w:val="24"/>
          <w:szCs w:val="24"/>
          <w:lang w:val="en-US" w:eastAsia="zh-CN"/>
        </w:rPr>
      </w:pPr>
      <w:r>
        <w:rPr>
          <w:rFonts w:hint="eastAsia" w:ascii="Times New Roman" w:hAnsi="Times New Roman" w:eastAsia="黑体" w:cs="Times New Roman"/>
          <w:snapToGrid/>
          <w:kern w:val="2"/>
          <w:sz w:val="24"/>
          <w:szCs w:val="24"/>
          <w:lang w:val="en-US" w:eastAsia="zh-CN"/>
        </w:rPr>
        <w:t>三、背景和意义</w:t>
      </w:r>
    </w:p>
    <w:p w14:paraId="4C204367">
      <w:pPr>
        <w:keepNext w:val="0"/>
        <w:keepLines w:val="0"/>
        <w:pageBreakBefore w:val="0"/>
        <w:widowControl w:val="0"/>
        <w:shd w:val="clear"/>
        <w:kinsoku/>
        <w:wordWrap/>
        <w:overflowPunct/>
        <w:topLinePunct w:val="0"/>
        <w:autoSpaceDE/>
        <w:autoSpaceDN/>
        <w:bidi w:val="0"/>
        <w:adjustRightInd/>
        <w:snapToGrid/>
        <w:spacing w:line="360" w:lineRule="auto"/>
        <w:ind w:firstLine="476"/>
        <w:jc w:val="both"/>
        <w:textAlignment w:val="auto"/>
        <w:rPr>
          <w:rFonts w:hint="eastAsia" w:ascii="Times New Roman" w:hAnsi="Times New Roman" w:eastAsia="宋体" w:cs="Times New Roman"/>
          <w:snapToGrid/>
          <w:color w:val="auto"/>
          <w:kern w:val="2"/>
          <w:sz w:val="24"/>
          <w:szCs w:val="24"/>
          <w:highlight w:val="none"/>
          <w:lang w:eastAsia="zh-CN"/>
        </w:rPr>
      </w:pPr>
      <w:r>
        <w:rPr>
          <w:rFonts w:hint="default" w:ascii="Times New Roman" w:hAnsi="Times New Roman" w:eastAsia="宋体" w:cs="Times New Roman"/>
          <w:snapToGrid/>
          <w:color w:val="auto"/>
          <w:kern w:val="2"/>
          <w:sz w:val="24"/>
          <w:szCs w:val="24"/>
          <w:highlight w:val="none"/>
          <w:lang w:eastAsia="zh-CN"/>
        </w:rPr>
        <w:t>保障能源平稳供给、推进低碳绿色转型是我国能源行业长期建设重心，国内能源消耗基数大，低碳化改造、节能提质是保障国内长期发展的重要基石。电解水制氢是绿氢生产的核心路径，是新能源消纳、工业脱碳、储能调峰的关键支撑技术，设备装机规模持续快速扩张，其系统能效、水效、水耗等核心指标直接决定绿氢产业节能降碳成效，对全国能源结构转型与低碳发展至关重要。伴随氢能产业配套管理制度逐步健全，多项扶持政策落地实施，电解水制氢强制性能效标准、氢气站安全技术规范持续更新优化，行业能效管控、绿氢合规认证、项目补贴准入门槛逐步抬升，进而对电解水制氢系统能效计量检测的规整度、测量准确度、检测统一性提出更高约束要求</w:t>
      </w:r>
      <w:r>
        <w:rPr>
          <w:rFonts w:hint="eastAsia" w:ascii="Times New Roman" w:hAnsi="Times New Roman" w:eastAsia="宋体" w:cs="Times New Roman"/>
          <w:snapToGrid/>
          <w:color w:val="auto"/>
          <w:kern w:val="2"/>
          <w:sz w:val="24"/>
          <w:szCs w:val="24"/>
          <w:highlight w:val="none"/>
          <w:lang w:eastAsia="zh-CN"/>
        </w:rPr>
        <w:t>。</w:t>
      </w:r>
    </w:p>
    <w:p w14:paraId="567C89A2">
      <w:pPr>
        <w:keepNext w:val="0"/>
        <w:keepLines w:val="0"/>
        <w:pageBreakBefore w:val="0"/>
        <w:widowControl w:val="0"/>
        <w:kinsoku/>
        <w:wordWrap/>
        <w:overflowPunct/>
        <w:topLinePunct w:val="0"/>
        <w:autoSpaceDE/>
        <w:autoSpaceDN/>
        <w:bidi w:val="0"/>
        <w:adjustRightInd/>
        <w:snapToGrid/>
        <w:spacing w:line="360" w:lineRule="auto"/>
        <w:ind w:firstLine="476"/>
        <w:jc w:val="both"/>
        <w:textAlignment w:val="auto"/>
        <w:rPr>
          <w:rFonts w:hint="default" w:ascii="Times New Roman" w:hAnsi="Times New Roman" w:eastAsia="宋体" w:cs="Times New Roman"/>
          <w:snapToGrid/>
          <w:kern w:val="2"/>
          <w:sz w:val="24"/>
          <w:szCs w:val="24"/>
          <w:lang w:eastAsia="zh-CN"/>
        </w:rPr>
      </w:pPr>
      <w:r>
        <w:rPr>
          <w:rFonts w:hint="default" w:ascii="Times New Roman" w:hAnsi="Times New Roman" w:eastAsia="宋体" w:cs="Times New Roman"/>
          <w:snapToGrid/>
          <w:kern w:val="2"/>
          <w:sz w:val="24"/>
          <w:szCs w:val="24"/>
          <w:lang w:eastAsia="zh-CN"/>
        </w:rPr>
        <w:t>随着碱性电解、PEM电解等多种制氢装备的市场参与主体日渐丰富，国内电解水制氢产业步入快速发展阶段，与之配套的能效计量检测配套体系建设进度滞后于产业发展节奏。第三方检测试验室、生产厂家自建检测试验平台、新能源电站就地实测环节没有统一的计量检测执行准则，氢气产出总量、系统交直流能耗、生产用水量、气体杂质组分含量等关键参数的试验方式互不统一，能效核算数据分散度高，不同测试场景下结果一致性不足。该现状既阻碍主管部门能效管控、绿氢认证审核、可再生能源制氢补贴政策精准落地实施，还会影响工程设备招投标遴选工作，阻碍氢能产业平稳健康运转。我国已发布GB 32311等国家标准划定电解水制氢系统能效准入红线，不断收紧能耗管控指标，但国家层面始终缺少针对性的专用计量技术规范用来指导制氢系统能效检测，形成行业现实矛盾：能效约束标准严苛，现场检测路径多样，量值传递难以统一，各机构检测数据无法互通认可。</w:t>
      </w:r>
    </w:p>
    <w:p w14:paraId="43A50D18">
      <w:pPr>
        <w:keepNext w:val="0"/>
        <w:keepLines w:val="0"/>
        <w:pageBreakBefore w:val="0"/>
        <w:widowControl w:val="0"/>
        <w:kinsoku/>
        <w:wordWrap/>
        <w:overflowPunct/>
        <w:topLinePunct w:val="0"/>
        <w:autoSpaceDE/>
        <w:autoSpaceDN/>
        <w:bidi w:val="0"/>
        <w:adjustRightInd/>
        <w:snapToGrid/>
        <w:spacing w:line="360" w:lineRule="auto"/>
        <w:ind w:firstLine="476"/>
        <w:jc w:val="both"/>
        <w:textAlignment w:val="auto"/>
        <w:rPr>
          <w:rFonts w:hint="default" w:ascii="Times New Roman" w:hAnsi="Times New Roman" w:eastAsia="宋体" w:cs="Times New Roman"/>
          <w:snapToGrid/>
          <w:kern w:val="2"/>
          <w:sz w:val="24"/>
          <w:szCs w:val="24"/>
          <w:lang w:eastAsia="zh-CN"/>
        </w:rPr>
      </w:pPr>
      <w:r>
        <w:rPr>
          <w:rFonts w:hint="default" w:ascii="Times New Roman" w:hAnsi="Times New Roman" w:eastAsia="宋体" w:cs="Times New Roman"/>
          <w:snapToGrid/>
          <w:kern w:val="2"/>
          <w:sz w:val="24"/>
          <w:szCs w:val="24"/>
          <w:lang w:eastAsia="zh-CN"/>
        </w:rPr>
        <w:t>放眼全球氢能行业发展格局，欧盟、日本、韩国均针对性搭建起电解水制氢检测管控规则，配套落地多项规章制度与标准化文件。相关条款规定，制氢设备能耗、产氢能力的全部试验环节，测量量值必须能够逐级溯源至本国法定计量基准，由此形成覆盖多国、认可度较高的氢能检测数据互通体系。国产电解水制氢成套设备销往境外过程中，国内暂无能够对标海外要求的成套计量检测准则，海外采购方常会提出二次检测、补充核验各项参数的要求，让生产企业承担更高的跨境检测开支，制约国内氢能设备进军海外市场。为化解上述难题，国家市场监督管理总局立项编制《电解水制氢系统能效计量测试规范》，将其归入国家计量技术规范编制更新清单。依靠构建全流程统一的计量检测框架，为绿氢能效标识管理、节能资质评审、新能源相关补贴落地筑牢计量根基，保障各类产业政策落地落地严谨有效。</w:t>
      </w:r>
    </w:p>
    <w:p w14:paraId="772BA007">
      <w:pPr>
        <w:keepNext w:val="0"/>
        <w:keepLines w:val="0"/>
        <w:pageBreakBefore w:val="0"/>
        <w:widowControl w:val="0"/>
        <w:kinsoku/>
        <w:wordWrap/>
        <w:overflowPunct/>
        <w:topLinePunct w:val="0"/>
        <w:autoSpaceDE/>
        <w:autoSpaceDN/>
        <w:bidi w:val="0"/>
        <w:adjustRightInd/>
        <w:snapToGrid/>
        <w:spacing w:line="360" w:lineRule="auto"/>
        <w:ind w:firstLine="476"/>
        <w:jc w:val="both"/>
        <w:textAlignment w:val="auto"/>
        <w:rPr>
          <w:rFonts w:hint="default" w:ascii="Times New Roman" w:hAnsi="Times New Roman" w:eastAsia="宋体" w:cs="Times New Roman"/>
          <w:snapToGrid/>
          <w:kern w:val="2"/>
          <w:sz w:val="24"/>
          <w:szCs w:val="24"/>
          <w:lang w:eastAsia="zh-CN"/>
        </w:rPr>
      </w:pPr>
      <w:r>
        <w:rPr>
          <w:rFonts w:hint="default" w:ascii="Times New Roman" w:hAnsi="Times New Roman" w:eastAsia="宋体" w:cs="Times New Roman"/>
          <w:snapToGrid/>
          <w:kern w:val="2"/>
          <w:sz w:val="24"/>
          <w:szCs w:val="24"/>
          <w:lang w:eastAsia="zh-CN"/>
        </w:rPr>
        <w:t>本次规范编制落地，补齐了国内电解水制氢系统缺少统一能效计量检测依据的技术短板，是衔接国家双碳发展布局、水电解制氢强制能效国标、跨境贸易相关要求与氢能产业高质量发展的重要技术支撑文件。本规范划定了电解水制氢设备产氢量、氢氧气体杂质含量、交直流单位能耗、制氢能效、生产水耗、电化学交流阻抗等各项核心计量参数的稳态试验条件、检测实施流程、配套测量仪器精度指标与能效测量不确定度评定方案，可显著降低各类实验室、工业现场检测的数据差异，搭建形成全国统一的制氢设备能效量值管控链条，为监管部门能效检测采信、制造企业设备性能公示、绿氢节能资质核验提供可落地、可溯源的计量技术支撑。</w:t>
      </w:r>
    </w:p>
    <w:p w14:paraId="550FBA8D">
      <w:pPr>
        <w:keepNext w:val="0"/>
        <w:keepLines w:val="0"/>
        <w:pageBreakBefore w:val="0"/>
        <w:widowControl w:val="0"/>
        <w:kinsoku/>
        <w:wordWrap/>
        <w:overflowPunct/>
        <w:topLinePunct w:val="0"/>
        <w:autoSpaceDE/>
        <w:autoSpaceDN/>
        <w:bidi w:val="0"/>
        <w:adjustRightInd/>
        <w:snapToGrid/>
        <w:spacing w:line="360" w:lineRule="auto"/>
        <w:ind w:firstLine="476"/>
        <w:jc w:val="both"/>
        <w:textAlignment w:val="auto"/>
        <w:rPr>
          <w:rFonts w:hint="default" w:ascii="Times New Roman" w:hAnsi="Times New Roman" w:eastAsia="宋体" w:cs="Times New Roman"/>
          <w:snapToGrid/>
          <w:kern w:val="2"/>
          <w:sz w:val="24"/>
          <w:szCs w:val="24"/>
          <w:lang w:eastAsia="zh-CN"/>
        </w:rPr>
      </w:pPr>
      <w:r>
        <w:rPr>
          <w:rFonts w:hint="default" w:ascii="Times New Roman" w:hAnsi="Times New Roman" w:eastAsia="宋体" w:cs="Times New Roman"/>
          <w:snapToGrid/>
          <w:kern w:val="2"/>
          <w:sz w:val="24"/>
          <w:szCs w:val="24"/>
          <w:lang w:eastAsia="zh-CN"/>
        </w:rPr>
        <w:t>因此，为健全新能源节能设备计量量值溯源体系，为电解水制氢全行业提供标准化计量技术支撑，保障各类制氢设备能效检测数据具备良好准确度与统一性，优化氢能领域量值传递与溯源架构，编制《电解水制氢系统能效计量测试规范》具备充分必要性。该项标准可完善国内新能源节能装备计量标准整体框架，同时收获经济、社会、生态多重价值，是助力电解水制氢行业朝着标准化、低碳化稳步提质发展不可或缺的计量保障。</w:t>
      </w:r>
    </w:p>
    <w:p w14:paraId="6E121741">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eastAsia="黑体" w:cs="Times New Roman"/>
          <w:snapToGrid/>
          <w:kern w:val="2"/>
          <w:sz w:val="24"/>
          <w:szCs w:val="24"/>
          <w:lang w:val="en-US" w:eastAsia="zh-CN"/>
        </w:rPr>
      </w:pPr>
      <w:r>
        <w:rPr>
          <w:rFonts w:hint="eastAsia" w:ascii="Times New Roman" w:hAnsi="Times New Roman" w:eastAsia="黑体" w:cs="Times New Roman"/>
          <w:snapToGrid/>
          <w:kern w:val="2"/>
          <w:sz w:val="24"/>
          <w:szCs w:val="24"/>
          <w:lang w:val="en-US" w:eastAsia="zh-CN"/>
        </w:rPr>
        <w:t>四、制定原则</w:t>
      </w:r>
    </w:p>
    <w:p w14:paraId="45B36A1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snapToGrid/>
          <w:kern w:val="2"/>
          <w:sz w:val="24"/>
          <w:szCs w:val="24"/>
          <w:lang w:eastAsia="zh-CN"/>
        </w:rPr>
      </w:pPr>
      <w:r>
        <w:rPr>
          <w:rFonts w:hint="eastAsia" w:ascii="Times New Roman" w:hAnsi="Times New Roman" w:eastAsia="宋体" w:cs="Times New Roman"/>
          <w:snapToGrid/>
          <w:kern w:val="2"/>
          <w:sz w:val="24"/>
          <w:szCs w:val="24"/>
          <w:lang w:eastAsia="zh-CN"/>
        </w:rPr>
        <w:t>本次规范编制全面调研氢能生产企业、第三方检测实验室、电站运维单位日常开展制氢能效检测的真实场景，结合大量重复性试验形成的能效不确定度分析数据，梳理筛选能够显著左右最终能效结果的各项核心指标，针对性制定适配多场景的现场校准、参数修正方案。在逐一核验关键参数检测可靠性之后，通过标准氢能量值基准装置完成整套测试系统的整体比对与综合校准，精准判定各类电解水检测设备的测量可靠程度。除此之外，贴合现阶段氢能产业规模化推广、行业常态化监管的整体诉求，本规范编制全程综合考量多场地检测操作难度、检测综合花销、不同档次试验设备适配能力等落地细节，在保障计量检测精度满足合规要求的基础上，充分适配行业各类主体的日常检测需求，平衡计量严谨性与大范围落地的实用性。</w:t>
      </w:r>
      <w:bookmarkStart w:id="1" w:name="_GoBack"/>
      <w:bookmarkEnd w:id="1"/>
    </w:p>
    <w:p w14:paraId="550EA972">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黑体" w:cs="Times New Roman"/>
          <w:snapToGrid/>
          <w:kern w:val="2"/>
          <w:sz w:val="24"/>
          <w:szCs w:val="24"/>
          <w:lang w:val="en-US" w:eastAsia="zh-CN"/>
        </w:rPr>
      </w:pPr>
      <w:r>
        <w:rPr>
          <w:rFonts w:hint="eastAsia" w:ascii="Times New Roman" w:hAnsi="Times New Roman" w:eastAsia="黑体" w:cs="Times New Roman"/>
          <w:snapToGrid/>
          <w:kern w:val="2"/>
          <w:sz w:val="24"/>
          <w:szCs w:val="24"/>
          <w:lang w:val="en-US" w:eastAsia="zh-CN"/>
        </w:rPr>
        <w:t>五、制定过程</w:t>
      </w:r>
    </w:p>
    <w:p w14:paraId="0372C74F">
      <w:pPr>
        <w:widowControl w:val="0"/>
        <w:kinsoku/>
        <w:autoSpaceDE/>
        <w:autoSpaceDN/>
        <w:adjustRightInd/>
        <w:snapToGrid/>
        <w:spacing w:line="360" w:lineRule="auto"/>
        <w:ind w:firstLine="476"/>
        <w:jc w:val="both"/>
        <w:textAlignment w:val="auto"/>
        <w:rPr>
          <w:rFonts w:hint="eastAsia" w:ascii="Times New Roman" w:hAnsi="Times New Roman" w:eastAsia="宋体" w:cs="Times New Roman"/>
          <w:b/>
          <w:bCs/>
          <w:snapToGrid/>
          <w:kern w:val="2"/>
          <w:sz w:val="24"/>
          <w:szCs w:val="24"/>
          <w:lang w:eastAsia="zh-CN"/>
        </w:rPr>
      </w:pPr>
      <w:r>
        <w:rPr>
          <w:rFonts w:hint="eastAsia" w:ascii="Times New Roman" w:hAnsi="Times New Roman" w:eastAsia="宋体" w:cs="Times New Roman"/>
          <w:b/>
          <w:bCs/>
          <w:snapToGrid/>
          <w:kern w:val="2"/>
          <w:sz w:val="24"/>
          <w:szCs w:val="24"/>
          <w:lang w:eastAsia="zh-CN"/>
        </w:rPr>
        <w:t>5.1  调研阶段</w:t>
      </w:r>
    </w:p>
    <w:p w14:paraId="5B0E68FA">
      <w:pPr>
        <w:widowControl w:val="0"/>
        <w:kinsoku/>
        <w:autoSpaceDE/>
        <w:autoSpaceDN/>
        <w:adjustRightInd/>
        <w:snapToGrid/>
        <w:spacing w:line="360" w:lineRule="auto"/>
        <w:ind w:firstLine="476"/>
        <w:jc w:val="both"/>
        <w:textAlignment w:val="auto"/>
        <w:rPr>
          <w:rFonts w:hint="default" w:ascii="Times New Roman" w:hAnsi="Times New Roman" w:eastAsia="宋体" w:cs="Times New Roman"/>
          <w:snapToGrid/>
          <w:kern w:val="2"/>
          <w:sz w:val="24"/>
          <w:szCs w:val="24"/>
          <w:lang w:eastAsia="zh-CN"/>
        </w:rPr>
      </w:pPr>
      <w:r>
        <w:rPr>
          <w:rFonts w:hint="default" w:ascii="Times New Roman" w:hAnsi="Times New Roman" w:eastAsia="宋体" w:cs="Times New Roman"/>
          <w:snapToGrid/>
          <w:kern w:val="2"/>
          <w:sz w:val="24"/>
          <w:szCs w:val="24"/>
          <w:highlight w:val="none"/>
          <w:lang w:eastAsia="zh-CN"/>
        </w:rPr>
        <w:t>2024</w:t>
      </w:r>
      <w:r>
        <w:rPr>
          <w:rFonts w:hint="eastAsia" w:ascii="Times New Roman" w:hAnsi="Times New Roman" w:eastAsia="宋体" w:cs="Times New Roman"/>
          <w:snapToGrid/>
          <w:kern w:val="2"/>
          <w:sz w:val="24"/>
          <w:szCs w:val="24"/>
          <w:highlight w:val="none"/>
          <w:lang w:val="en-US" w:eastAsia="zh-CN"/>
        </w:rPr>
        <w:t xml:space="preserve"> </w:t>
      </w:r>
      <w:r>
        <w:rPr>
          <w:rFonts w:hint="default" w:ascii="Times New Roman" w:hAnsi="Times New Roman" w:eastAsia="宋体" w:cs="Times New Roman"/>
          <w:snapToGrid/>
          <w:kern w:val="2"/>
          <w:sz w:val="24"/>
          <w:szCs w:val="24"/>
          <w:highlight w:val="none"/>
          <w:lang w:eastAsia="zh-CN"/>
        </w:rPr>
        <w:t>年</w:t>
      </w:r>
      <w:r>
        <w:rPr>
          <w:rFonts w:hint="eastAsia" w:ascii="Times New Roman" w:hAnsi="Times New Roman" w:eastAsia="宋体" w:cs="Times New Roman"/>
          <w:snapToGrid/>
          <w:kern w:val="2"/>
          <w:sz w:val="24"/>
          <w:szCs w:val="24"/>
          <w:highlight w:val="none"/>
          <w:lang w:val="en-US" w:eastAsia="zh-CN"/>
        </w:rPr>
        <w:t xml:space="preserve"> </w:t>
      </w:r>
      <w:r>
        <w:rPr>
          <w:rFonts w:hint="default" w:ascii="Times New Roman" w:hAnsi="Times New Roman" w:eastAsia="宋体" w:cs="Times New Roman"/>
          <w:snapToGrid/>
          <w:kern w:val="2"/>
          <w:sz w:val="24"/>
          <w:szCs w:val="24"/>
          <w:highlight w:val="none"/>
          <w:lang w:eastAsia="zh-CN"/>
        </w:rPr>
        <w:t>06</w:t>
      </w:r>
      <w:r>
        <w:rPr>
          <w:rFonts w:hint="eastAsia" w:ascii="Times New Roman" w:hAnsi="Times New Roman" w:eastAsia="宋体" w:cs="Times New Roman"/>
          <w:snapToGrid/>
          <w:kern w:val="2"/>
          <w:sz w:val="24"/>
          <w:szCs w:val="24"/>
          <w:highlight w:val="none"/>
          <w:lang w:val="en-US" w:eastAsia="zh-CN"/>
        </w:rPr>
        <w:t xml:space="preserve"> </w:t>
      </w:r>
      <w:r>
        <w:rPr>
          <w:rFonts w:hint="default" w:ascii="Times New Roman" w:hAnsi="Times New Roman" w:eastAsia="宋体" w:cs="Times New Roman"/>
          <w:snapToGrid/>
          <w:kern w:val="2"/>
          <w:sz w:val="24"/>
          <w:szCs w:val="24"/>
          <w:highlight w:val="none"/>
          <w:lang w:eastAsia="zh-CN"/>
        </w:rPr>
        <w:t>月，牵头单</w:t>
      </w:r>
      <w:r>
        <w:rPr>
          <w:rFonts w:hint="default" w:ascii="Times New Roman" w:hAnsi="Times New Roman" w:eastAsia="宋体" w:cs="Times New Roman"/>
          <w:snapToGrid/>
          <w:kern w:val="2"/>
          <w:sz w:val="24"/>
          <w:szCs w:val="24"/>
          <w:lang w:eastAsia="zh-CN"/>
        </w:rPr>
        <w:t>位承接本规范起草任务后，系统梳理电解水制氢相关国家标准、行业标准、计量校准规范及国内外技术文献，敲定规范编制原则、整体技术路线、编制依据与编制注意事项，面向氢能科研单位、设备制造企业、计量检测机构征集初步意见，结合收集的全部建议形成规范初步编制方案，确定起草组组成人员。</w:t>
      </w:r>
    </w:p>
    <w:p w14:paraId="522F7FAF">
      <w:pPr>
        <w:widowControl w:val="0"/>
        <w:kinsoku/>
        <w:autoSpaceDE/>
        <w:autoSpaceDN/>
        <w:adjustRightInd/>
        <w:snapToGrid/>
        <w:spacing w:line="360" w:lineRule="auto"/>
        <w:ind w:firstLine="476"/>
        <w:jc w:val="both"/>
        <w:textAlignment w:val="auto"/>
        <w:rPr>
          <w:rFonts w:hint="eastAsia" w:ascii="Times New Roman" w:hAnsi="Times New Roman" w:eastAsia="宋体" w:cs="Times New Roman"/>
          <w:b/>
          <w:bCs/>
          <w:snapToGrid/>
          <w:kern w:val="2"/>
          <w:sz w:val="24"/>
          <w:szCs w:val="24"/>
          <w:lang w:eastAsia="zh-CN"/>
        </w:rPr>
      </w:pPr>
      <w:r>
        <w:rPr>
          <w:rFonts w:hint="eastAsia" w:ascii="Times New Roman" w:hAnsi="Times New Roman" w:eastAsia="宋体" w:cs="Times New Roman"/>
          <w:b/>
          <w:bCs/>
          <w:snapToGrid/>
          <w:kern w:val="2"/>
          <w:sz w:val="24"/>
          <w:szCs w:val="24"/>
          <w:lang w:eastAsia="zh-CN"/>
        </w:rPr>
        <w:t>5.2  第一次工作会议</w:t>
      </w:r>
    </w:p>
    <w:p w14:paraId="215939AC">
      <w:pPr>
        <w:widowControl w:val="0"/>
        <w:kinsoku/>
        <w:autoSpaceDE/>
        <w:autoSpaceDN/>
        <w:adjustRightInd/>
        <w:snapToGrid/>
        <w:spacing w:line="360" w:lineRule="auto"/>
        <w:ind w:firstLine="476"/>
        <w:jc w:val="both"/>
        <w:textAlignment w:val="auto"/>
        <w:rPr>
          <w:rFonts w:hint="default" w:ascii="Times New Roman" w:hAnsi="Times New Roman" w:eastAsia="宋体" w:cs="Times New Roman"/>
          <w:snapToGrid/>
          <w:kern w:val="2"/>
          <w:sz w:val="24"/>
          <w:szCs w:val="24"/>
          <w:highlight w:val="none"/>
          <w:lang w:eastAsia="zh-CN"/>
        </w:rPr>
      </w:pPr>
      <w:r>
        <w:rPr>
          <w:rFonts w:hint="default" w:ascii="Times New Roman" w:hAnsi="Times New Roman" w:eastAsia="宋体" w:cs="Times New Roman"/>
          <w:snapToGrid/>
          <w:kern w:val="2"/>
          <w:sz w:val="24"/>
          <w:szCs w:val="24"/>
          <w:highlight w:val="none"/>
          <w:lang w:eastAsia="zh-CN"/>
        </w:rPr>
        <w:t>2024</w:t>
      </w:r>
      <w:r>
        <w:rPr>
          <w:rFonts w:hint="eastAsia" w:ascii="Times New Roman" w:hAnsi="Times New Roman" w:eastAsia="宋体" w:cs="Times New Roman"/>
          <w:snapToGrid/>
          <w:kern w:val="2"/>
          <w:sz w:val="24"/>
          <w:szCs w:val="24"/>
          <w:highlight w:val="none"/>
          <w:lang w:val="en-US" w:eastAsia="zh-CN"/>
        </w:rPr>
        <w:t xml:space="preserve"> </w:t>
      </w:r>
      <w:r>
        <w:rPr>
          <w:rFonts w:hint="default" w:ascii="Times New Roman" w:hAnsi="Times New Roman" w:eastAsia="宋体" w:cs="Times New Roman"/>
          <w:snapToGrid/>
          <w:kern w:val="2"/>
          <w:sz w:val="24"/>
          <w:szCs w:val="24"/>
          <w:highlight w:val="none"/>
          <w:lang w:eastAsia="zh-CN"/>
        </w:rPr>
        <w:t>年</w:t>
      </w:r>
      <w:r>
        <w:rPr>
          <w:rFonts w:hint="eastAsia" w:ascii="Times New Roman" w:hAnsi="Times New Roman" w:eastAsia="宋体" w:cs="Times New Roman"/>
          <w:snapToGrid/>
          <w:kern w:val="2"/>
          <w:sz w:val="24"/>
          <w:szCs w:val="24"/>
          <w:highlight w:val="none"/>
          <w:lang w:val="en-US" w:eastAsia="zh-CN"/>
        </w:rPr>
        <w:t xml:space="preserve"> </w:t>
      </w:r>
      <w:r>
        <w:rPr>
          <w:rFonts w:hint="default" w:ascii="Times New Roman" w:hAnsi="Times New Roman" w:eastAsia="宋体" w:cs="Times New Roman"/>
          <w:snapToGrid/>
          <w:kern w:val="2"/>
          <w:sz w:val="24"/>
          <w:szCs w:val="24"/>
          <w:highlight w:val="none"/>
          <w:lang w:eastAsia="zh-CN"/>
        </w:rPr>
        <w:t>10</w:t>
      </w:r>
      <w:r>
        <w:rPr>
          <w:rFonts w:hint="eastAsia" w:ascii="Times New Roman" w:hAnsi="Times New Roman" w:eastAsia="宋体" w:cs="Times New Roman"/>
          <w:snapToGrid/>
          <w:kern w:val="2"/>
          <w:sz w:val="24"/>
          <w:szCs w:val="24"/>
          <w:highlight w:val="none"/>
          <w:lang w:val="en-US" w:eastAsia="zh-CN"/>
        </w:rPr>
        <w:t xml:space="preserve"> </w:t>
      </w:r>
      <w:r>
        <w:rPr>
          <w:rFonts w:hint="default" w:ascii="Times New Roman" w:hAnsi="Times New Roman" w:eastAsia="宋体" w:cs="Times New Roman"/>
          <w:snapToGrid/>
          <w:kern w:val="2"/>
          <w:sz w:val="24"/>
          <w:szCs w:val="24"/>
          <w:highlight w:val="none"/>
          <w:lang w:eastAsia="zh-CN"/>
        </w:rPr>
        <w:t>月，召开第一次工作会议，参会专家来自于中国计量科学研究院、各地市级计量院</w:t>
      </w:r>
      <w:r>
        <w:rPr>
          <w:rFonts w:hint="eastAsia" w:ascii="Times New Roman" w:hAnsi="Times New Roman" w:eastAsia="宋体" w:cs="Times New Roman"/>
          <w:snapToGrid/>
          <w:kern w:val="2"/>
          <w:sz w:val="24"/>
          <w:szCs w:val="24"/>
          <w:highlight w:val="none"/>
          <w:lang w:eastAsia="zh-CN"/>
        </w:rPr>
        <w:t>、</w:t>
      </w:r>
      <w:r>
        <w:rPr>
          <w:rFonts w:hint="default" w:ascii="Times New Roman" w:hAnsi="Times New Roman" w:eastAsia="宋体" w:cs="Times New Roman"/>
          <w:snapToGrid/>
          <w:kern w:val="2"/>
          <w:sz w:val="24"/>
          <w:szCs w:val="24"/>
          <w:highlight w:val="none"/>
          <w:lang w:eastAsia="zh-CN"/>
        </w:rPr>
        <w:t>测控设备厂商等。会议主要内容为：</w:t>
      </w:r>
    </w:p>
    <w:p w14:paraId="7BE0627B">
      <w:pPr>
        <w:widowControl w:val="0"/>
        <w:kinsoku/>
        <w:autoSpaceDE/>
        <w:autoSpaceDN/>
        <w:adjustRightInd/>
        <w:snapToGrid/>
        <w:spacing w:line="360" w:lineRule="auto"/>
        <w:ind w:firstLine="476"/>
        <w:jc w:val="both"/>
        <w:textAlignment w:val="auto"/>
        <w:rPr>
          <w:rFonts w:hint="default" w:ascii="Times New Roman" w:hAnsi="Times New Roman" w:eastAsia="宋体" w:cs="Times New Roman"/>
          <w:snapToGrid/>
          <w:kern w:val="2"/>
          <w:sz w:val="24"/>
          <w:szCs w:val="24"/>
          <w:lang w:eastAsia="zh-CN"/>
        </w:rPr>
      </w:pPr>
      <w:r>
        <w:rPr>
          <w:rFonts w:hint="default" w:ascii="Times New Roman" w:hAnsi="Times New Roman" w:eastAsia="宋体" w:cs="Times New Roman"/>
          <w:snapToGrid/>
          <w:kern w:val="2"/>
          <w:sz w:val="24"/>
          <w:szCs w:val="24"/>
          <w:lang w:eastAsia="zh-CN"/>
        </w:rPr>
        <w:t>（1）讨论本规范的适用范围，规定编制要求和注意事项。</w:t>
      </w:r>
    </w:p>
    <w:p w14:paraId="6CBA175F">
      <w:pPr>
        <w:widowControl w:val="0"/>
        <w:kinsoku/>
        <w:autoSpaceDE/>
        <w:autoSpaceDN/>
        <w:adjustRightInd/>
        <w:snapToGrid/>
        <w:spacing w:line="360" w:lineRule="auto"/>
        <w:ind w:firstLine="476"/>
        <w:jc w:val="both"/>
        <w:textAlignment w:val="auto"/>
        <w:rPr>
          <w:rFonts w:hint="default" w:ascii="Times New Roman" w:hAnsi="Times New Roman" w:eastAsia="宋体" w:cs="Times New Roman"/>
          <w:snapToGrid/>
          <w:kern w:val="2"/>
          <w:sz w:val="24"/>
          <w:szCs w:val="24"/>
          <w:lang w:eastAsia="zh-CN"/>
        </w:rPr>
      </w:pPr>
      <w:r>
        <w:rPr>
          <w:rFonts w:hint="default" w:ascii="Times New Roman" w:hAnsi="Times New Roman" w:eastAsia="宋体" w:cs="Times New Roman"/>
          <w:snapToGrid/>
          <w:kern w:val="2"/>
          <w:sz w:val="24"/>
          <w:szCs w:val="24"/>
          <w:lang w:eastAsia="zh-CN"/>
        </w:rPr>
        <w:t>（2）讨论电解水制氢能效测试系统工作原理，相关计量特性，行业测量准确度和不确定度要求。</w:t>
      </w:r>
    </w:p>
    <w:p w14:paraId="1A1A36D0">
      <w:pPr>
        <w:widowControl w:val="0"/>
        <w:kinsoku/>
        <w:autoSpaceDE/>
        <w:autoSpaceDN/>
        <w:adjustRightInd/>
        <w:snapToGrid/>
        <w:spacing w:line="360" w:lineRule="auto"/>
        <w:ind w:firstLine="476"/>
        <w:jc w:val="both"/>
        <w:textAlignment w:val="auto"/>
        <w:rPr>
          <w:rFonts w:hint="default" w:ascii="Times New Roman" w:hAnsi="Times New Roman" w:eastAsia="宋体" w:cs="Times New Roman"/>
          <w:snapToGrid/>
          <w:kern w:val="2"/>
          <w:sz w:val="24"/>
          <w:szCs w:val="24"/>
          <w:lang w:eastAsia="zh-CN"/>
        </w:rPr>
      </w:pPr>
      <w:r>
        <w:rPr>
          <w:rFonts w:hint="default" w:ascii="Times New Roman" w:hAnsi="Times New Roman" w:eastAsia="宋体" w:cs="Times New Roman"/>
          <w:snapToGrid/>
          <w:kern w:val="2"/>
          <w:sz w:val="24"/>
          <w:szCs w:val="24"/>
          <w:lang w:eastAsia="zh-CN"/>
        </w:rPr>
        <w:t>（3）讨论规范起草过程中依据标准范围，明确与现行国家标准、规范保持一致的编写要求。</w:t>
      </w:r>
    </w:p>
    <w:p w14:paraId="43C4EB40">
      <w:pPr>
        <w:widowControl w:val="0"/>
        <w:kinsoku/>
        <w:autoSpaceDE/>
        <w:autoSpaceDN/>
        <w:adjustRightInd/>
        <w:snapToGrid/>
        <w:spacing w:line="360" w:lineRule="auto"/>
        <w:ind w:firstLine="476"/>
        <w:jc w:val="both"/>
        <w:textAlignment w:val="auto"/>
        <w:rPr>
          <w:rFonts w:hint="eastAsia" w:ascii="Times New Roman" w:hAnsi="Times New Roman" w:eastAsia="宋体" w:cs="Times New Roman"/>
          <w:b/>
          <w:bCs/>
          <w:snapToGrid/>
          <w:kern w:val="2"/>
          <w:sz w:val="24"/>
          <w:szCs w:val="24"/>
          <w:lang w:eastAsia="zh-CN"/>
        </w:rPr>
      </w:pPr>
      <w:r>
        <w:rPr>
          <w:rFonts w:hint="eastAsia" w:ascii="Times New Roman" w:hAnsi="Times New Roman" w:eastAsia="宋体" w:cs="Times New Roman"/>
          <w:b/>
          <w:bCs/>
          <w:snapToGrid/>
          <w:kern w:val="2"/>
          <w:sz w:val="24"/>
          <w:szCs w:val="24"/>
          <w:lang w:eastAsia="zh-CN"/>
        </w:rPr>
        <w:t>5.3  第二次工作会议</w:t>
      </w:r>
    </w:p>
    <w:p w14:paraId="2076B1A4">
      <w:pPr>
        <w:widowControl w:val="0"/>
        <w:kinsoku/>
        <w:autoSpaceDE/>
        <w:autoSpaceDN/>
        <w:adjustRightInd/>
        <w:snapToGrid/>
        <w:spacing w:line="360" w:lineRule="auto"/>
        <w:ind w:firstLine="476"/>
        <w:jc w:val="both"/>
        <w:textAlignment w:val="auto"/>
        <w:rPr>
          <w:rFonts w:hint="default" w:ascii="Times New Roman" w:hAnsi="Times New Roman" w:eastAsia="宋体" w:cs="Times New Roman"/>
          <w:snapToGrid/>
          <w:kern w:val="2"/>
          <w:sz w:val="24"/>
          <w:szCs w:val="24"/>
          <w:highlight w:val="none"/>
          <w:lang w:eastAsia="zh-CN"/>
        </w:rPr>
      </w:pPr>
      <w:r>
        <w:rPr>
          <w:rFonts w:hint="default" w:ascii="Times New Roman" w:hAnsi="Times New Roman" w:eastAsia="宋体" w:cs="Times New Roman"/>
          <w:snapToGrid/>
          <w:kern w:val="2"/>
          <w:sz w:val="24"/>
          <w:szCs w:val="24"/>
          <w:highlight w:val="none"/>
          <w:lang w:eastAsia="zh-CN"/>
        </w:rPr>
        <w:t>2025</w:t>
      </w:r>
      <w:r>
        <w:rPr>
          <w:rFonts w:hint="eastAsia" w:ascii="Times New Roman" w:hAnsi="Times New Roman" w:eastAsia="宋体" w:cs="Times New Roman"/>
          <w:snapToGrid/>
          <w:kern w:val="2"/>
          <w:sz w:val="24"/>
          <w:szCs w:val="24"/>
          <w:highlight w:val="none"/>
          <w:lang w:val="en-US" w:eastAsia="zh-CN"/>
        </w:rPr>
        <w:t xml:space="preserve"> </w:t>
      </w:r>
      <w:r>
        <w:rPr>
          <w:rFonts w:hint="default" w:ascii="Times New Roman" w:hAnsi="Times New Roman" w:eastAsia="宋体" w:cs="Times New Roman"/>
          <w:snapToGrid/>
          <w:kern w:val="2"/>
          <w:sz w:val="24"/>
          <w:szCs w:val="24"/>
          <w:highlight w:val="none"/>
          <w:lang w:eastAsia="zh-CN"/>
        </w:rPr>
        <w:t>年</w:t>
      </w:r>
      <w:r>
        <w:rPr>
          <w:rFonts w:hint="eastAsia" w:ascii="Times New Roman" w:hAnsi="Times New Roman" w:eastAsia="宋体" w:cs="Times New Roman"/>
          <w:snapToGrid/>
          <w:kern w:val="2"/>
          <w:sz w:val="24"/>
          <w:szCs w:val="24"/>
          <w:highlight w:val="none"/>
          <w:lang w:val="en-US" w:eastAsia="zh-CN"/>
        </w:rPr>
        <w:t xml:space="preserve"> </w:t>
      </w:r>
      <w:r>
        <w:rPr>
          <w:rFonts w:hint="default" w:ascii="Times New Roman" w:hAnsi="Times New Roman" w:eastAsia="宋体" w:cs="Times New Roman"/>
          <w:snapToGrid/>
          <w:kern w:val="2"/>
          <w:sz w:val="24"/>
          <w:szCs w:val="24"/>
          <w:highlight w:val="none"/>
          <w:lang w:eastAsia="zh-CN"/>
        </w:rPr>
        <w:t>0</w:t>
      </w:r>
      <w:r>
        <w:rPr>
          <w:rFonts w:hint="eastAsia" w:ascii="Times New Roman" w:hAnsi="Times New Roman" w:eastAsia="宋体" w:cs="Times New Roman"/>
          <w:snapToGrid/>
          <w:kern w:val="2"/>
          <w:sz w:val="24"/>
          <w:szCs w:val="24"/>
          <w:highlight w:val="none"/>
          <w:lang w:val="en-US" w:eastAsia="zh-CN"/>
        </w:rPr>
        <w:t xml:space="preserve">9 </w:t>
      </w:r>
      <w:r>
        <w:rPr>
          <w:rFonts w:hint="default" w:ascii="Times New Roman" w:hAnsi="Times New Roman" w:eastAsia="宋体" w:cs="Times New Roman"/>
          <w:snapToGrid/>
          <w:kern w:val="2"/>
          <w:sz w:val="24"/>
          <w:szCs w:val="24"/>
          <w:highlight w:val="none"/>
          <w:lang w:eastAsia="zh-CN"/>
        </w:rPr>
        <w:t>月，召开第二次工作会议，</w:t>
      </w:r>
      <w:r>
        <w:rPr>
          <w:rFonts w:hint="eastAsia" w:ascii="Times New Roman" w:hAnsi="Times New Roman" w:eastAsia="宋体" w:cs="Times New Roman"/>
          <w:snapToGrid/>
          <w:kern w:val="2"/>
          <w:sz w:val="24"/>
          <w:szCs w:val="24"/>
          <w:highlight w:val="none"/>
          <w:lang w:eastAsia="zh-CN"/>
        </w:rPr>
        <w:t>参会单位</w:t>
      </w:r>
      <w:r>
        <w:rPr>
          <w:rFonts w:hint="eastAsia" w:ascii="Times New Roman" w:hAnsi="Times New Roman" w:eastAsia="宋体" w:cs="Times New Roman"/>
          <w:snapToGrid/>
          <w:kern w:val="2"/>
          <w:sz w:val="24"/>
          <w:szCs w:val="24"/>
          <w:highlight w:val="none"/>
          <w:lang w:val="en-US" w:eastAsia="zh-CN"/>
        </w:rPr>
        <w:t>主要为规范起草组，来自华北电力大学、</w:t>
      </w:r>
      <w:r>
        <w:rPr>
          <w:rFonts w:hint="default" w:ascii="Times New Roman" w:hAnsi="Times New Roman" w:eastAsia="宋体" w:cs="Times New Roman"/>
          <w:snapToGrid/>
          <w:kern w:val="2"/>
          <w:sz w:val="24"/>
          <w:szCs w:val="24"/>
          <w:highlight w:val="none"/>
          <w:lang w:eastAsia="zh-CN"/>
        </w:rPr>
        <w:t>国能氢创科技（北京）有限责任公司</w:t>
      </w:r>
      <w:r>
        <w:rPr>
          <w:rFonts w:hint="eastAsia" w:ascii="Times New Roman" w:hAnsi="Times New Roman" w:eastAsia="宋体" w:cs="Times New Roman"/>
          <w:snapToGrid/>
          <w:kern w:val="2"/>
          <w:sz w:val="24"/>
          <w:szCs w:val="24"/>
          <w:highlight w:val="none"/>
          <w:lang w:eastAsia="zh-CN"/>
        </w:rPr>
        <w:t>、</w:t>
      </w:r>
      <w:r>
        <w:rPr>
          <w:rFonts w:hint="default" w:ascii="Times New Roman" w:hAnsi="Times New Roman" w:eastAsia="宋体" w:cs="Times New Roman"/>
          <w:snapToGrid/>
          <w:kern w:val="2"/>
          <w:sz w:val="24"/>
          <w:szCs w:val="24"/>
          <w:highlight w:val="none"/>
          <w:lang w:eastAsia="zh-CN"/>
        </w:rPr>
        <w:t>中国华能集团清洁能源技术研究院有限公司</w:t>
      </w:r>
      <w:r>
        <w:rPr>
          <w:rFonts w:hint="eastAsia" w:ascii="Times New Roman" w:hAnsi="Times New Roman" w:eastAsia="宋体" w:cs="Times New Roman"/>
          <w:snapToGrid/>
          <w:kern w:val="2"/>
          <w:sz w:val="24"/>
          <w:szCs w:val="24"/>
          <w:highlight w:val="none"/>
          <w:lang w:eastAsia="zh-CN"/>
        </w:rPr>
        <w:t>、</w:t>
      </w:r>
      <w:r>
        <w:rPr>
          <w:rFonts w:hint="default" w:ascii="Times New Roman" w:hAnsi="Times New Roman" w:eastAsia="宋体" w:cs="Times New Roman"/>
          <w:snapToGrid/>
          <w:kern w:val="2"/>
          <w:sz w:val="24"/>
          <w:szCs w:val="24"/>
          <w:highlight w:val="none"/>
          <w:lang w:eastAsia="zh-CN"/>
        </w:rPr>
        <w:t>中石化新星（北京）新能源有限公司</w:t>
      </w:r>
      <w:r>
        <w:rPr>
          <w:rFonts w:hint="eastAsia" w:ascii="Times New Roman" w:hAnsi="Times New Roman" w:eastAsia="宋体" w:cs="Times New Roman"/>
          <w:snapToGrid/>
          <w:kern w:val="2"/>
          <w:sz w:val="24"/>
          <w:szCs w:val="24"/>
          <w:highlight w:val="none"/>
          <w:lang w:eastAsia="zh-CN"/>
        </w:rPr>
        <w:t>等单位。</w:t>
      </w:r>
      <w:r>
        <w:rPr>
          <w:rFonts w:hint="default" w:ascii="Times New Roman" w:hAnsi="Times New Roman" w:eastAsia="宋体" w:cs="Times New Roman"/>
          <w:snapToGrid/>
          <w:kern w:val="2"/>
          <w:sz w:val="24"/>
          <w:szCs w:val="24"/>
          <w:highlight w:val="none"/>
          <w:lang w:eastAsia="zh-CN"/>
        </w:rPr>
        <w:t>会议主要内容为：</w:t>
      </w:r>
    </w:p>
    <w:p w14:paraId="6BF3B897">
      <w:pPr>
        <w:widowControl w:val="0"/>
        <w:kinsoku/>
        <w:autoSpaceDE/>
        <w:autoSpaceDN/>
        <w:adjustRightInd/>
        <w:snapToGrid/>
        <w:spacing w:line="360" w:lineRule="auto"/>
        <w:ind w:firstLine="476"/>
        <w:jc w:val="both"/>
        <w:textAlignment w:val="auto"/>
        <w:rPr>
          <w:rFonts w:hint="default" w:ascii="Times New Roman" w:hAnsi="Times New Roman" w:eastAsia="宋体" w:cs="Times New Roman"/>
          <w:snapToGrid/>
          <w:kern w:val="2"/>
          <w:sz w:val="24"/>
          <w:szCs w:val="24"/>
          <w:highlight w:val="none"/>
          <w:lang w:eastAsia="zh-CN"/>
        </w:rPr>
      </w:pPr>
      <w:r>
        <w:rPr>
          <w:rFonts w:hint="default" w:ascii="Times New Roman" w:hAnsi="Times New Roman" w:eastAsia="宋体" w:cs="Times New Roman"/>
          <w:snapToGrid/>
          <w:kern w:val="2"/>
          <w:sz w:val="24"/>
          <w:szCs w:val="24"/>
          <w:highlight w:val="none"/>
          <w:lang w:eastAsia="zh-CN"/>
        </w:rPr>
        <w:t>（1）起草组汇报规范总体思路和起草进度，</w:t>
      </w:r>
      <w:r>
        <w:rPr>
          <w:rFonts w:hint="eastAsia" w:ascii="Times New Roman" w:hAnsi="Times New Roman" w:eastAsia="宋体" w:cs="Times New Roman"/>
          <w:snapToGrid/>
          <w:kern w:val="2"/>
          <w:sz w:val="24"/>
          <w:szCs w:val="24"/>
          <w:highlight w:val="none"/>
          <w:lang w:eastAsia="zh-CN"/>
        </w:rPr>
        <w:t>收集汇总电解槽生产厂家、制氢运维企业的</w:t>
      </w:r>
      <w:r>
        <w:rPr>
          <w:rFonts w:hint="eastAsia" w:ascii="Times New Roman" w:hAnsi="Times New Roman" w:eastAsia="宋体" w:cs="Times New Roman"/>
          <w:snapToGrid/>
          <w:kern w:val="2"/>
          <w:sz w:val="24"/>
          <w:szCs w:val="24"/>
          <w:highlight w:val="none"/>
          <w:lang w:val="en-US" w:eastAsia="zh-CN"/>
        </w:rPr>
        <w:t>反馈</w:t>
      </w:r>
      <w:r>
        <w:rPr>
          <w:rFonts w:hint="eastAsia" w:ascii="Times New Roman" w:hAnsi="Times New Roman" w:eastAsia="宋体" w:cs="Times New Roman"/>
          <w:snapToGrid/>
          <w:kern w:val="2"/>
          <w:sz w:val="24"/>
          <w:szCs w:val="24"/>
          <w:highlight w:val="none"/>
          <w:lang w:eastAsia="zh-CN"/>
        </w:rPr>
        <w:t>建议</w:t>
      </w:r>
      <w:r>
        <w:rPr>
          <w:rFonts w:hint="default" w:ascii="Times New Roman" w:hAnsi="Times New Roman" w:eastAsia="宋体" w:cs="Times New Roman"/>
          <w:snapToGrid/>
          <w:kern w:val="2"/>
          <w:sz w:val="24"/>
          <w:szCs w:val="24"/>
          <w:highlight w:val="none"/>
          <w:lang w:eastAsia="zh-CN"/>
        </w:rPr>
        <w:t>。</w:t>
      </w:r>
    </w:p>
    <w:p w14:paraId="29ED3F46">
      <w:pPr>
        <w:widowControl w:val="0"/>
        <w:kinsoku/>
        <w:autoSpaceDE/>
        <w:autoSpaceDN/>
        <w:adjustRightInd/>
        <w:snapToGrid/>
        <w:spacing w:line="360" w:lineRule="auto"/>
        <w:ind w:firstLine="476"/>
        <w:jc w:val="both"/>
        <w:textAlignment w:val="auto"/>
        <w:rPr>
          <w:rFonts w:hint="eastAsia" w:ascii="Times New Roman" w:hAnsi="Times New Roman" w:eastAsia="宋体" w:cs="Times New Roman"/>
          <w:snapToGrid/>
          <w:kern w:val="2"/>
          <w:sz w:val="24"/>
          <w:szCs w:val="24"/>
          <w:highlight w:val="none"/>
          <w:lang w:eastAsia="zh-CN"/>
        </w:rPr>
      </w:pPr>
      <w:r>
        <w:rPr>
          <w:rFonts w:hint="eastAsia" w:ascii="Times New Roman" w:hAnsi="Times New Roman" w:eastAsia="宋体" w:cs="Times New Roman"/>
          <w:snapToGrid/>
          <w:kern w:val="2"/>
          <w:sz w:val="24"/>
          <w:szCs w:val="24"/>
          <w:highlight w:val="none"/>
          <w:lang w:eastAsia="zh-CN"/>
        </w:rPr>
        <w:t>（2）介绍</w:t>
      </w:r>
      <w:r>
        <w:rPr>
          <w:rFonts w:hint="eastAsia" w:ascii="Times New Roman" w:hAnsi="Times New Roman" w:eastAsia="宋体" w:cs="Times New Roman"/>
          <w:snapToGrid/>
          <w:kern w:val="2"/>
          <w:sz w:val="24"/>
          <w:szCs w:val="24"/>
          <w:highlight w:val="none"/>
          <w:lang w:val="en-US" w:eastAsia="zh-CN"/>
        </w:rPr>
        <w:t>能效测试系统</w:t>
      </w:r>
      <w:r>
        <w:rPr>
          <w:rFonts w:hint="eastAsia" w:ascii="Times New Roman" w:hAnsi="Times New Roman" w:eastAsia="宋体" w:cs="Times New Roman"/>
          <w:snapToGrid/>
          <w:kern w:val="2"/>
          <w:sz w:val="24"/>
          <w:szCs w:val="24"/>
          <w:highlight w:val="none"/>
          <w:lang w:eastAsia="zh-CN"/>
        </w:rPr>
        <w:t>的适用范围、核心计量性能指标、配套计量标准器具选型要求、整套能效测试操作方案。</w:t>
      </w:r>
    </w:p>
    <w:p w14:paraId="0A6C1B2D">
      <w:pPr>
        <w:widowControl w:val="0"/>
        <w:kinsoku/>
        <w:autoSpaceDE/>
        <w:autoSpaceDN/>
        <w:adjustRightInd/>
        <w:snapToGrid/>
        <w:spacing w:line="360" w:lineRule="auto"/>
        <w:ind w:firstLine="476"/>
        <w:jc w:val="both"/>
        <w:textAlignment w:val="auto"/>
        <w:rPr>
          <w:rFonts w:hint="eastAsia" w:ascii="Times New Roman" w:hAnsi="Times New Roman" w:eastAsia="宋体" w:cs="Times New Roman"/>
          <w:b/>
          <w:bCs/>
          <w:snapToGrid/>
          <w:kern w:val="2"/>
          <w:sz w:val="24"/>
          <w:szCs w:val="24"/>
          <w:highlight w:val="none"/>
          <w:lang w:eastAsia="zh-CN"/>
        </w:rPr>
      </w:pPr>
      <w:r>
        <w:rPr>
          <w:rFonts w:hint="eastAsia" w:ascii="Times New Roman" w:hAnsi="Times New Roman" w:eastAsia="宋体" w:cs="Times New Roman"/>
          <w:b/>
          <w:bCs/>
          <w:snapToGrid/>
          <w:kern w:val="2"/>
          <w:sz w:val="24"/>
          <w:szCs w:val="24"/>
          <w:highlight w:val="none"/>
          <w:lang w:eastAsia="zh-CN"/>
        </w:rPr>
        <w:t>5.4  第三次工作会议</w:t>
      </w:r>
    </w:p>
    <w:p w14:paraId="3C876053">
      <w:pPr>
        <w:widowControl w:val="0"/>
        <w:kinsoku/>
        <w:autoSpaceDE/>
        <w:autoSpaceDN/>
        <w:adjustRightInd/>
        <w:snapToGrid/>
        <w:spacing w:line="360" w:lineRule="auto"/>
        <w:ind w:firstLine="476"/>
        <w:jc w:val="both"/>
        <w:textAlignment w:val="auto"/>
        <w:rPr>
          <w:rFonts w:hint="default" w:ascii="Times New Roman" w:hAnsi="Times New Roman" w:eastAsia="宋体" w:cs="Times New Roman"/>
          <w:snapToGrid/>
          <w:kern w:val="2"/>
          <w:sz w:val="24"/>
          <w:szCs w:val="24"/>
          <w:lang w:eastAsia="zh-CN"/>
        </w:rPr>
      </w:pPr>
      <w:r>
        <w:rPr>
          <w:rFonts w:hint="default" w:ascii="Times New Roman" w:hAnsi="Times New Roman" w:eastAsia="宋体" w:cs="Times New Roman"/>
          <w:snapToGrid/>
          <w:kern w:val="2"/>
          <w:sz w:val="24"/>
          <w:szCs w:val="24"/>
          <w:highlight w:val="none"/>
          <w:lang w:eastAsia="zh-CN"/>
        </w:rPr>
        <w:t>2026</w:t>
      </w:r>
      <w:r>
        <w:rPr>
          <w:rFonts w:hint="eastAsia" w:ascii="Times New Roman" w:hAnsi="Times New Roman" w:eastAsia="宋体" w:cs="Times New Roman"/>
          <w:snapToGrid/>
          <w:kern w:val="2"/>
          <w:sz w:val="24"/>
          <w:szCs w:val="24"/>
          <w:highlight w:val="none"/>
          <w:lang w:val="en-US" w:eastAsia="zh-CN"/>
        </w:rPr>
        <w:t xml:space="preserve"> </w:t>
      </w:r>
      <w:r>
        <w:rPr>
          <w:rFonts w:hint="default" w:ascii="Times New Roman" w:hAnsi="Times New Roman" w:eastAsia="宋体" w:cs="Times New Roman"/>
          <w:snapToGrid/>
          <w:kern w:val="2"/>
          <w:sz w:val="24"/>
          <w:szCs w:val="24"/>
          <w:highlight w:val="none"/>
          <w:lang w:eastAsia="zh-CN"/>
        </w:rPr>
        <w:t>年</w:t>
      </w:r>
      <w:r>
        <w:rPr>
          <w:rFonts w:hint="eastAsia" w:ascii="Times New Roman" w:hAnsi="Times New Roman" w:eastAsia="宋体" w:cs="Times New Roman"/>
          <w:snapToGrid/>
          <w:kern w:val="2"/>
          <w:sz w:val="24"/>
          <w:szCs w:val="24"/>
          <w:highlight w:val="none"/>
          <w:lang w:val="en-US" w:eastAsia="zh-CN"/>
        </w:rPr>
        <w:t xml:space="preserve"> </w:t>
      </w:r>
      <w:r>
        <w:rPr>
          <w:rFonts w:hint="default" w:ascii="Times New Roman" w:hAnsi="Times New Roman" w:eastAsia="宋体" w:cs="Times New Roman"/>
          <w:snapToGrid/>
          <w:kern w:val="2"/>
          <w:sz w:val="24"/>
          <w:szCs w:val="24"/>
          <w:highlight w:val="none"/>
          <w:lang w:eastAsia="zh-CN"/>
        </w:rPr>
        <w:t>0</w:t>
      </w:r>
      <w:r>
        <w:rPr>
          <w:rFonts w:hint="eastAsia" w:ascii="Times New Roman" w:hAnsi="Times New Roman" w:eastAsia="宋体" w:cs="Times New Roman"/>
          <w:snapToGrid/>
          <w:kern w:val="2"/>
          <w:sz w:val="24"/>
          <w:szCs w:val="24"/>
          <w:highlight w:val="none"/>
          <w:lang w:val="en-US" w:eastAsia="zh-CN"/>
        </w:rPr>
        <w:t xml:space="preserve">4 </w:t>
      </w:r>
      <w:r>
        <w:rPr>
          <w:rFonts w:hint="default" w:ascii="Times New Roman" w:hAnsi="Times New Roman" w:eastAsia="宋体" w:cs="Times New Roman"/>
          <w:snapToGrid/>
          <w:kern w:val="2"/>
          <w:sz w:val="24"/>
          <w:szCs w:val="24"/>
          <w:highlight w:val="none"/>
          <w:lang w:eastAsia="zh-CN"/>
        </w:rPr>
        <w:t>月，召开第三</w:t>
      </w:r>
      <w:r>
        <w:rPr>
          <w:rFonts w:hint="default" w:ascii="Times New Roman" w:hAnsi="Times New Roman" w:eastAsia="宋体" w:cs="Times New Roman"/>
          <w:snapToGrid/>
          <w:kern w:val="2"/>
          <w:sz w:val="24"/>
          <w:szCs w:val="24"/>
          <w:lang w:eastAsia="zh-CN"/>
        </w:rPr>
        <w:t>次工作会议，</w:t>
      </w:r>
      <w:r>
        <w:rPr>
          <w:rFonts w:hint="eastAsia" w:ascii="Times New Roman" w:hAnsi="Times New Roman" w:eastAsia="宋体" w:cs="Times New Roman"/>
          <w:snapToGrid/>
          <w:kern w:val="2"/>
          <w:sz w:val="24"/>
          <w:szCs w:val="24"/>
          <w:lang w:eastAsia="zh-CN"/>
        </w:rPr>
        <w:t>参会单位与第一次会议参会</w:t>
      </w:r>
      <w:r>
        <w:rPr>
          <w:rFonts w:hint="eastAsia" w:ascii="Times New Roman" w:hAnsi="Times New Roman" w:eastAsia="宋体" w:cs="Times New Roman"/>
          <w:snapToGrid/>
          <w:kern w:val="2"/>
          <w:sz w:val="24"/>
          <w:szCs w:val="24"/>
          <w:lang w:val="en-US" w:eastAsia="zh-CN"/>
        </w:rPr>
        <w:t>人员</w:t>
      </w:r>
      <w:r>
        <w:rPr>
          <w:rFonts w:hint="eastAsia" w:ascii="Times New Roman" w:hAnsi="Times New Roman" w:eastAsia="宋体" w:cs="Times New Roman"/>
          <w:snapToGrid/>
          <w:kern w:val="2"/>
          <w:sz w:val="24"/>
          <w:szCs w:val="24"/>
          <w:lang w:eastAsia="zh-CN"/>
        </w:rPr>
        <w:t>保持一致</w:t>
      </w:r>
      <w:r>
        <w:rPr>
          <w:rFonts w:hint="default" w:ascii="Times New Roman" w:hAnsi="Times New Roman" w:eastAsia="宋体" w:cs="Times New Roman"/>
          <w:snapToGrid/>
          <w:kern w:val="2"/>
          <w:sz w:val="24"/>
          <w:szCs w:val="24"/>
          <w:lang w:eastAsia="zh-CN"/>
        </w:rPr>
        <w:t>。</w:t>
      </w:r>
    </w:p>
    <w:p w14:paraId="43256BB1">
      <w:pPr>
        <w:widowControl w:val="0"/>
        <w:kinsoku/>
        <w:autoSpaceDE/>
        <w:autoSpaceDN/>
        <w:adjustRightInd/>
        <w:snapToGrid/>
        <w:spacing w:line="360" w:lineRule="auto"/>
        <w:ind w:firstLine="476"/>
        <w:jc w:val="both"/>
        <w:textAlignment w:val="auto"/>
        <w:rPr>
          <w:rFonts w:hint="default" w:ascii="Times New Roman" w:hAnsi="Times New Roman" w:eastAsia="宋体" w:cs="Times New Roman"/>
          <w:snapToGrid/>
          <w:kern w:val="2"/>
          <w:sz w:val="24"/>
          <w:szCs w:val="24"/>
          <w:lang w:eastAsia="zh-CN"/>
        </w:rPr>
      </w:pPr>
      <w:r>
        <w:rPr>
          <w:rFonts w:hint="default" w:ascii="Times New Roman" w:hAnsi="Times New Roman" w:eastAsia="宋体" w:cs="Times New Roman"/>
          <w:snapToGrid/>
          <w:kern w:val="2"/>
          <w:sz w:val="24"/>
          <w:szCs w:val="24"/>
          <w:lang w:eastAsia="zh-CN"/>
        </w:rPr>
        <w:t>会议中对规范讨论稿全文进行逐条讨论，达成一致的内容为：</w:t>
      </w:r>
    </w:p>
    <w:p w14:paraId="59EE762E">
      <w:pPr>
        <w:widowControl w:val="0"/>
        <w:kinsoku/>
        <w:autoSpaceDE/>
        <w:autoSpaceDN/>
        <w:adjustRightInd/>
        <w:snapToGrid/>
        <w:spacing w:line="360" w:lineRule="auto"/>
        <w:ind w:firstLine="476"/>
        <w:jc w:val="both"/>
        <w:textAlignment w:val="auto"/>
        <w:rPr>
          <w:rFonts w:hint="default" w:ascii="Times New Roman" w:hAnsi="Times New Roman" w:eastAsia="宋体" w:cs="Times New Roman"/>
          <w:snapToGrid/>
          <w:kern w:val="2"/>
          <w:sz w:val="24"/>
          <w:szCs w:val="24"/>
          <w:lang w:eastAsia="zh-CN"/>
        </w:rPr>
      </w:pPr>
      <w:r>
        <w:rPr>
          <w:rFonts w:hint="default" w:ascii="Times New Roman" w:hAnsi="Times New Roman" w:eastAsia="宋体" w:cs="Times New Roman"/>
          <w:snapToGrid/>
          <w:kern w:val="2"/>
          <w:sz w:val="24"/>
          <w:szCs w:val="24"/>
          <w:lang w:eastAsia="zh-CN"/>
        </w:rPr>
        <w:t>（1）第</w:t>
      </w:r>
      <w:r>
        <w:rPr>
          <w:rFonts w:hint="eastAsia" w:ascii="Times New Roman" w:hAnsi="Times New Roman" w:eastAsia="宋体" w:cs="Times New Roman"/>
          <w:snapToGrid/>
          <w:kern w:val="2"/>
          <w:sz w:val="24"/>
          <w:szCs w:val="24"/>
          <w:lang w:val="en-US" w:eastAsia="zh-CN"/>
        </w:rPr>
        <w:t xml:space="preserve"> </w:t>
      </w:r>
      <w:r>
        <w:rPr>
          <w:rFonts w:hint="default" w:ascii="Times New Roman" w:hAnsi="Times New Roman" w:eastAsia="宋体" w:cs="Times New Roman"/>
          <w:snapToGrid/>
          <w:kern w:val="2"/>
          <w:sz w:val="24"/>
          <w:szCs w:val="24"/>
          <w:lang w:eastAsia="zh-CN"/>
        </w:rPr>
        <w:t>2</w:t>
      </w:r>
      <w:r>
        <w:rPr>
          <w:rFonts w:hint="eastAsia" w:ascii="Times New Roman" w:hAnsi="Times New Roman" w:eastAsia="宋体" w:cs="Times New Roman"/>
          <w:snapToGrid/>
          <w:kern w:val="2"/>
          <w:sz w:val="24"/>
          <w:szCs w:val="24"/>
          <w:lang w:val="en-US" w:eastAsia="zh-CN"/>
        </w:rPr>
        <w:t xml:space="preserve"> </w:t>
      </w:r>
      <w:r>
        <w:rPr>
          <w:rFonts w:hint="default" w:ascii="Times New Roman" w:hAnsi="Times New Roman" w:eastAsia="宋体" w:cs="Times New Roman"/>
          <w:snapToGrid/>
          <w:kern w:val="2"/>
          <w:sz w:val="24"/>
          <w:szCs w:val="24"/>
          <w:lang w:eastAsia="zh-CN"/>
        </w:rPr>
        <w:t>节增加引用文件</w:t>
      </w:r>
      <w:r>
        <w:rPr>
          <w:rFonts w:hint="eastAsia" w:ascii="Times New Roman" w:hAnsi="Times New Roman" w:eastAsia="宋体" w:cs="Times New Roman"/>
          <w:snapToGrid/>
          <w:kern w:val="2"/>
          <w:sz w:val="24"/>
          <w:szCs w:val="24"/>
          <w:lang w:eastAsia="zh-CN"/>
        </w:rPr>
        <w:t>“</w:t>
      </w:r>
      <w:r>
        <w:rPr>
          <w:rFonts w:hint="default" w:ascii="Times New Roman" w:hAnsi="Times New Roman" w:eastAsia="宋体" w:cs="Times New Roman"/>
          <w:snapToGrid/>
          <w:kern w:val="2"/>
          <w:sz w:val="24"/>
          <w:szCs w:val="24"/>
          <w:lang w:eastAsia="zh-CN"/>
        </w:rPr>
        <w:t>GB 50177-2024  氢气站设计规范</w:t>
      </w:r>
      <w:r>
        <w:rPr>
          <w:rFonts w:hint="eastAsia" w:ascii="Times New Roman" w:hAnsi="Times New Roman" w:eastAsia="宋体" w:cs="Times New Roman"/>
          <w:snapToGrid/>
          <w:kern w:val="2"/>
          <w:sz w:val="24"/>
          <w:szCs w:val="24"/>
          <w:lang w:eastAsia="zh-CN"/>
        </w:rPr>
        <w:t>”、“</w:t>
      </w:r>
      <w:r>
        <w:rPr>
          <w:rFonts w:hint="default" w:ascii="Times New Roman" w:hAnsi="Times New Roman" w:eastAsia="宋体" w:cs="Times New Roman"/>
          <w:snapToGrid/>
          <w:kern w:val="2"/>
          <w:sz w:val="24"/>
          <w:szCs w:val="24"/>
          <w:lang w:eastAsia="zh-CN"/>
        </w:rPr>
        <w:t>GB 50058-2014  爆炸危险环境电力装置设计规范</w:t>
      </w:r>
      <w:r>
        <w:rPr>
          <w:rFonts w:hint="eastAsia" w:ascii="Times New Roman" w:hAnsi="Times New Roman" w:eastAsia="宋体" w:cs="Times New Roman"/>
          <w:snapToGrid/>
          <w:kern w:val="2"/>
          <w:sz w:val="24"/>
          <w:szCs w:val="24"/>
          <w:lang w:val="en-US" w:eastAsia="zh-CN"/>
        </w:rPr>
        <w:t>”和“</w:t>
      </w:r>
      <w:r>
        <w:rPr>
          <w:rFonts w:hint="default" w:ascii="Times New Roman" w:hAnsi="Times New Roman" w:eastAsia="宋体" w:cs="Times New Roman"/>
          <w:snapToGrid/>
          <w:kern w:val="2"/>
          <w:sz w:val="24"/>
          <w:szCs w:val="24"/>
          <w:lang w:eastAsia="zh-CN"/>
        </w:rPr>
        <w:t>GB/T 37562-2019  压力型水电解制氢系统技术条件</w:t>
      </w:r>
      <w:r>
        <w:rPr>
          <w:rFonts w:hint="eastAsia" w:ascii="Times New Roman" w:hAnsi="Times New Roman" w:eastAsia="宋体" w:cs="Times New Roman"/>
          <w:snapToGrid/>
          <w:kern w:val="2"/>
          <w:sz w:val="24"/>
          <w:szCs w:val="24"/>
          <w:lang w:eastAsia="zh-CN"/>
        </w:rPr>
        <w:t>”</w:t>
      </w:r>
      <w:r>
        <w:rPr>
          <w:rFonts w:hint="default" w:ascii="Times New Roman" w:hAnsi="Times New Roman" w:eastAsia="宋体" w:cs="Times New Roman"/>
          <w:snapToGrid/>
          <w:kern w:val="2"/>
          <w:sz w:val="24"/>
          <w:szCs w:val="24"/>
          <w:lang w:eastAsia="zh-CN"/>
        </w:rPr>
        <w:t>；</w:t>
      </w:r>
    </w:p>
    <w:p w14:paraId="2A62156B">
      <w:pPr>
        <w:widowControl w:val="0"/>
        <w:kinsoku/>
        <w:autoSpaceDE/>
        <w:autoSpaceDN/>
        <w:adjustRightInd/>
        <w:snapToGrid/>
        <w:spacing w:line="360" w:lineRule="auto"/>
        <w:ind w:firstLine="476"/>
        <w:jc w:val="both"/>
        <w:textAlignment w:val="auto"/>
        <w:rPr>
          <w:rFonts w:hint="default" w:ascii="Times New Roman" w:hAnsi="Times New Roman" w:eastAsia="宋体" w:cs="Times New Roman"/>
          <w:snapToGrid/>
          <w:kern w:val="2"/>
          <w:sz w:val="24"/>
          <w:szCs w:val="24"/>
          <w:lang w:val="en-US" w:eastAsia="zh-CN"/>
        </w:rPr>
      </w:pPr>
      <w:r>
        <w:rPr>
          <w:rFonts w:hint="default" w:ascii="Times New Roman" w:hAnsi="Times New Roman" w:eastAsia="宋体" w:cs="Times New Roman"/>
          <w:snapToGrid/>
          <w:kern w:val="2"/>
          <w:sz w:val="24"/>
          <w:szCs w:val="24"/>
          <w:lang w:eastAsia="zh-CN"/>
        </w:rPr>
        <w:t>（2）</w:t>
      </w:r>
      <w:r>
        <w:rPr>
          <w:rFonts w:hint="eastAsia" w:ascii="Times New Roman" w:hAnsi="Times New Roman" w:eastAsia="宋体" w:cs="Times New Roman"/>
          <w:snapToGrid/>
          <w:kern w:val="2"/>
          <w:sz w:val="24"/>
          <w:szCs w:val="24"/>
          <w:lang w:val="en-US" w:eastAsia="zh-CN"/>
        </w:rPr>
        <w:t>第 3 节增加术语“直流单位能耗”和“交流单位能耗”；</w:t>
      </w:r>
    </w:p>
    <w:p w14:paraId="1323AD9F">
      <w:pPr>
        <w:widowControl w:val="0"/>
        <w:kinsoku/>
        <w:autoSpaceDE/>
        <w:autoSpaceDN/>
        <w:adjustRightInd/>
        <w:snapToGrid/>
        <w:spacing w:line="360" w:lineRule="auto"/>
        <w:ind w:firstLine="476"/>
        <w:jc w:val="both"/>
        <w:textAlignment w:val="auto"/>
        <w:rPr>
          <w:rFonts w:hint="default" w:ascii="Times New Roman" w:hAnsi="Times New Roman" w:eastAsia="宋体" w:cs="Times New Roman"/>
          <w:snapToGrid/>
          <w:kern w:val="2"/>
          <w:sz w:val="24"/>
          <w:szCs w:val="24"/>
          <w:lang w:eastAsia="zh-CN"/>
        </w:rPr>
      </w:pPr>
      <w:r>
        <w:rPr>
          <w:rFonts w:hint="default" w:ascii="Times New Roman" w:hAnsi="Times New Roman" w:eastAsia="宋体" w:cs="Times New Roman"/>
          <w:snapToGrid/>
          <w:kern w:val="2"/>
          <w:sz w:val="24"/>
          <w:szCs w:val="24"/>
          <w:lang w:eastAsia="zh-CN"/>
        </w:rPr>
        <w:t>（3）</w:t>
      </w:r>
      <w:r>
        <w:rPr>
          <w:rFonts w:hint="eastAsia" w:ascii="Times New Roman" w:hAnsi="Times New Roman" w:eastAsia="宋体" w:cs="Times New Roman"/>
          <w:snapToGrid/>
          <w:kern w:val="2"/>
          <w:sz w:val="24"/>
          <w:szCs w:val="24"/>
          <w:lang w:val="en-US" w:eastAsia="zh-CN"/>
        </w:rPr>
        <w:t>测试</w:t>
      </w:r>
      <w:r>
        <w:rPr>
          <w:rFonts w:hint="default" w:ascii="Times New Roman" w:hAnsi="Times New Roman" w:eastAsia="宋体" w:cs="Times New Roman"/>
          <w:snapToGrid/>
          <w:kern w:val="2"/>
          <w:sz w:val="24"/>
          <w:szCs w:val="24"/>
          <w:lang w:eastAsia="zh-CN"/>
        </w:rPr>
        <w:t>规范的</w:t>
      </w:r>
      <w:r>
        <w:rPr>
          <w:rFonts w:hint="eastAsia" w:ascii="Times New Roman" w:hAnsi="Times New Roman" w:eastAsia="宋体" w:cs="Times New Roman"/>
          <w:snapToGrid/>
          <w:kern w:val="2"/>
          <w:sz w:val="24"/>
          <w:szCs w:val="24"/>
          <w:lang w:val="en-US" w:eastAsia="zh-CN"/>
        </w:rPr>
        <w:t>计量特性</w:t>
      </w:r>
      <w:r>
        <w:rPr>
          <w:rFonts w:hint="default" w:ascii="Times New Roman" w:hAnsi="Times New Roman" w:eastAsia="宋体" w:cs="Times New Roman"/>
          <w:snapToGrid/>
          <w:kern w:val="2"/>
          <w:sz w:val="24"/>
          <w:szCs w:val="24"/>
          <w:lang w:eastAsia="zh-CN"/>
        </w:rPr>
        <w:t>进行规范性</w:t>
      </w:r>
      <w:r>
        <w:rPr>
          <w:rFonts w:hint="eastAsia" w:ascii="Times New Roman" w:hAnsi="Times New Roman" w:eastAsia="宋体" w:cs="Times New Roman"/>
          <w:snapToGrid/>
          <w:kern w:val="2"/>
          <w:sz w:val="24"/>
          <w:szCs w:val="24"/>
          <w:lang w:val="en-US" w:eastAsia="zh-CN"/>
        </w:rPr>
        <w:t>补充和</w:t>
      </w:r>
      <w:r>
        <w:rPr>
          <w:rFonts w:hint="default" w:ascii="Times New Roman" w:hAnsi="Times New Roman" w:eastAsia="宋体" w:cs="Times New Roman"/>
          <w:snapToGrid/>
          <w:kern w:val="2"/>
          <w:sz w:val="24"/>
          <w:szCs w:val="24"/>
          <w:lang w:eastAsia="zh-CN"/>
        </w:rPr>
        <w:t>修改；</w:t>
      </w:r>
    </w:p>
    <w:p w14:paraId="53F3B43E">
      <w:pPr>
        <w:widowControl w:val="0"/>
        <w:kinsoku/>
        <w:autoSpaceDE/>
        <w:autoSpaceDN/>
        <w:adjustRightInd/>
        <w:snapToGrid/>
        <w:spacing w:line="360" w:lineRule="auto"/>
        <w:ind w:firstLine="476"/>
        <w:jc w:val="both"/>
        <w:textAlignment w:val="auto"/>
        <w:rPr>
          <w:rFonts w:hint="eastAsia" w:ascii="Times New Roman" w:hAnsi="Times New Roman" w:eastAsia="宋体" w:cs="Times New Roman"/>
          <w:snapToGrid/>
          <w:kern w:val="2"/>
          <w:sz w:val="24"/>
          <w:szCs w:val="24"/>
          <w:lang w:eastAsia="zh-CN"/>
        </w:rPr>
      </w:pPr>
      <w:r>
        <w:rPr>
          <w:rFonts w:hint="default" w:ascii="Times New Roman" w:hAnsi="Times New Roman" w:eastAsia="宋体" w:cs="Times New Roman"/>
          <w:snapToGrid/>
          <w:kern w:val="2"/>
          <w:sz w:val="24"/>
          <w:szCs w:val="24"/>
          <w:lang w:eastAsia="zh-CN"/>
        </w:rPr>
        <w:t>（4）</w:t>
      </w:r>
      <w:r>
        <w:rPr>
          <w:rFonts w:hint="eastAsia" w:ascii="Times New Roman" w:hAnsi="Times New Roman" w:eastAsia="宋体" w:cs="Times New Roman"/>
          <w:snapToGrid/>
          <w:kern w:val="2"/>
          <w:sz w:val="24"/>
          <w:szCs w:val="24"/>
          <w:lang w:val="en-US" w:eastAsia="zh-CN"/>
        </w:rPr>
        <w:t>修改“7.3 制氢效率”；</w:t>
      </w:r>
    </w:p>
    <w:p w14:paraId="2818B165">
      <w:pPr>
        <w:widowControl w:val="0"/>
        <w:kinsoku/>
        <w:autoSpaceDE/>
        <w:autoSpaceDN/>
        <w:adjustRightInd/>
        <w:snapToGrid/>
        <w:spacing w:line="360" w:lineRule="auto"/>
        <w:ind w:firstLine="476"/>
        <w:jc w:val="both"/>
        <w:textAlignment w:val="auto"/>
        <w:rPr>
          <w:rFonts w:hint="default" w:ascii="Times New Roman" w:hAnsi="Times New Roman" w:eastAsia="宋体" w:cs="Times New Roman"/>
          <w:snapToGrid/>
          <w:kern w:val="2"/>
          <w:sz w:val="24"/>
          <w:szCs w:val="24"/>
          <w:lang w:eastAsia="zh-CN"/>
        </w:rPr>
      </w:pPr>
      <w:r>
        <w:rPr>
          <w:rFonts w:hint="default" w:ascii="Times New Roman" w:hAnsi="Times New Roman" w:eastAsia="宋体" w:cs="Times New Roman"/>
          <w:snapToGrid/>
          <w:kern w:val="2"/>
          <w:sz w:val="24"/>
          <w:szCs w:val="24"/>
          <w:lang w:eastAsia="zh-CN"/>
        </w:rPr>
        <w:t>（5）</w:t>
      </w:r>
      <w:r>
        <w:rPr>
          <w:rFonts w:hint="eastAsia" w:ascii="Times New Roman" w:hAnsi="Times New Roman" w:eastAsia="宋体" w:cs="Times New Roman"/>
          <w:snapToGrid/>
          <w:kern w:val="2"/>
          <w:sz w:val="24"/>
          <w:szCs w:val="24"/>
          <w:lang w:val="en-US" w:eastAsia="zh-CN"/>
        </w:rPr>
        <w:t>补充“7.4 交流阻抗测试”</w:t>
      </w:r>
      <w:r>
        <w:rPr>
          <w:rFonts w:hint="default" w:ascii="Times New Roman" w:hAnsi="Times New Roman" w:eastAsia="宋体" w:cs="Times New Roman"/>
          <w:snapToGrid/>
          <w:kern w:val="2"/>
          <w:sz w:val="24"/>
          <w:szCs w:val="24"/>
          <w:lang w:eastAsia="zh-CN"/>
        </w:rPr>
        <w:t>；</w:t>
      </w:r>
    </w:p>
    <w:p w14:paraId="15FA63BC">
      <w:pPr>
        <w:widowControl w:val="0"/>
        <w:kinsoku/>
        <w:autoSpaceDE/>
        <w:autoSpaceDN/>
        <w:adjustRightInd/>
        <w:snapToGrid/>
        <w:spacing w:line="360" w:lineRule="auto"/>
        <w:ind w:firstLine="476"/>
        <w:jc w:val="both"/>
        <w:textAlignment w:val="auto"/>
        <w:rPr>
          <w:rFonts w:hint="eastAsia" w:ascii="Times New Roman" w:hAnsi="Times New Roman" w:eastAsia="宋体" w:cs="Times New Roman"/>
          <w:snapToGrid/>
          <w:kern w:val="2"/>
          <w:sz w:val="24"/>
          <w:szCs w:val="24"/>
          <w:lang w:eastAsia="zh-CN"/>
        </w:rPr>
      </w:pPr>
      <w:r>
        <w:rPr>
          <w:rFonts w:hint="default" w:ascii="Times New Roman" w:hAnsi="Times New Roman" w:eastAsia="宋体" w:cs="Times New Roman"/>
          <w:snapToGrid/>
          <w:kern w:val="2"/>
          <w:sz w:val="24"/>
          <w:szCs w:val="24"/>
          <w:lang w:eastAsia="zh-CN"/>
        </w:rPr>
        <w:t>（6）</w:t>
      </w:r>
      <w:r>
        <w:rPr>
          <w:rFonts w:hint="eastAsia" w:ascii="Times New Roman" w:hAnsi="Times New Roman" w:eastAsia="宋体" w:cs="Times New Roman"/>
          <w:snapToGrid/>
          <w:kern w:val="2"/>
          <w:sz w:val="24"/>
          <w:szCs w:val="24"/>
          <w:lang w:val="en-US" w:eastAsia="zh-CN"/>
        </w:rPr>
        <w:t>修改“7.5.2 水效”。</w:t>
      </w:r>
    </w:p>
    <w:p w14:paraId="2ECBF7C9">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eastAsia="黑体" w:cs="Times New Roman"/>
          <w:snapToGrid/>
          <w:kern w:val="2"/>
          <w:sz w:val="24"/>
          <w:szCs w:val="24"/>
          <w:lang w:val="en-US" w:eastAsia="zh-CN"/>
        </w:rPr>
      </w:pPr>
      <w:r>
        <w:rPr>
          <w:rFonts w:hint="eastAsia" w:ascii="Times New Roman" w:hAnsi="Times New Roman" w:eastAsia="黑体" w:cs="Times New Roman"/>
          <w:snapToGrid/>
          <w:kern w:val="2"/>
          <w:sz w:val="24"/>
          <w:szCs w:val="24"/>
          <w:lang w:val="en-US" w:eastAsia="zh-CN"/>
        </w:rPr>
        <w:t>六、规范的先进性</w:t>
      </w:r>
    </w:p>
    <w:p w14:paraId="1F64D56C">
      <w:pPr>
        <w:widowControl w:val="0"/>
        <w:kinsoku/>
        <w:autoSpaceDE/>
        <w:autoSpaceDN/>
        <w:adjustRightInd/>
        <w:snapToGrid/>
        <w:spacing w:line="360" w:lineRule="auto"/>
        <w:ind w:firstLine="476"/>
        <w:jc w:val="both"/>
        <w:textAlignment w:val="auto"/>
        <w:rPr>
          <w:rFonts w:hint="default" w:ascii="Times New Roman" w:hAnsi="Times New Roman" w:eastAsia="宋体" w:cs="Times New Roman"/>
          <w:snapToGrid/>
          <w:kern w:val="2"/>
          <w:sz w:val="24"/>
          <w:szCs w:val="24"/>
          <w:lang w:eastAsia="zh-CN"/>
        </w:rPr>
      </w:pPr>
      <w:r>
        <w:rPr>
          <w:rFonts w:hint="default" w:ascii="Times New Roman" w:hAnsi="Times New Roman" w:eastAsia="宋体" w:cs="Times New Roman"/>
          <w:snapToGrid/>
          <w:kern w:val="2"/>
          <w:sz w:val="24"/>
          <w:szCs w:val="24"/>
          <w:lang w:eastAsia="zh-CN"/>
        </w:rPr>
        <w:t>本次起草的《</w:t>
      </w:r>
      <w:r>
        <w:rPr>
          <w:rFonts w:hint="eastAsia" w:ascii="Times New Roman" w:hAnsi="Times New Roman" w:eastAsia="宋体" w:cs="Times New Roman"/>
          <w:snapToGrid/>
          <w:kern w:val="2"/>
          <w:sz w:val="24"/>
          <w:szCs w:val="24"/>
          <w:lang w:eastAsia="zh-CN"/>
        </w:rPr>
        <w:t>电解水制氢系统能效计量测试规范</w:t>
      </w:r>
      <w:r>
        <w:rPr>
          <w:rFonts w:hint="default" w:ascii="Times New Roman" w:hAnsi="Times New Roman" w:eastAsia="宋体" w:cs="Times New Roman"/>
          <w:snapToGrid/>
          <w:kern w:val="2"/>
          <w:sz w:val="24"/>
          <w:szCs w:val="24"/>
          <w:lang w:eastAsia="zh-CN"/>
        </w:rPr>
        <w:t>》结合国内外标准中的技术要求，规范了</w:t>
      </w:r>
      <w:r>
        <w:rPr>
          <w:rFonts w:hint="eastAsia" w:ascii="Times New Roman" w:hAnsi="Times New Roman" w:eastAsia="宋体" w:cs="Times New Roman"/>
          <w:snapToGrid/>
          <w:kern w:val="2"/>
          <w:sz w:val="24"/>
          <w:szCs w:val="24"/>
          <w:lang w:eastAsia="zh-CN"/>
        </w:rPr>
        <w:t>电解水制氢系统各项能效指标的计量测试流程</w:t>
      </w:r>
      <w:r>
        <w:rPr>
          <w:rFonts w:hint="default" w:ascii="Times New Roman" w:hAnsi="Times New Roman" w:eastAsia="宋体" w:cs="Times New Roman"/>
          <w:snapToGrid/>
          <w:kern w:val="2"/>
          <w:sz w:val="24"/>
          <w:szCs w:val="24"/>
          <w:lang w:eastAsia="zh-CN"/>
        </w:rPr>
        <w:t>，较为合理地满足了</w:t>
      </w:r>
      <w:r>
        <w:rPr>
          <w:rFonts w:hint="eastAsia" w:ascii="Times New Roman" w:hAnsi="Times New Roman" w:eastAsia="宋体" w:cs="Times New Roman"/>
          <w:snapToGrid/>
          <w:kern w:val="2"/>
          <w:sz w:val="24"/>
          <w:szCs w:val="24"/>
          <w:lang w:eastAsia="zh-CN"/>
        </w:rPr>
        <w:t>电解水制氢行业对系统能效精准检测的实际需求</w:t>
      </w:r>
      <w:r>
        <w:rPr>
          <w:rFonts w:hint="default" w:ascii="Times New Roman" w:hAnsi="Times New Roman" w:eastAsia="宋体" w:cs="Times New Roman"/>
          <w:snapToGrid/>
          <w:kern w:val="2"/>
          <w:sz w:val="24"/>
          <w:szCs w:val="24"/>
          <w:lang w:eastAsia="zh-CN"/>
        </w:rPr>
        <w:t>。</w:t>
      </w:r>
    </w:p>
    <w:p w14:paraId="1D411D03">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eastAsia="黑体" w:cs="Times New Roman"/>
          <w:snapToGrid/>
          <w:kern w:val="2"/>
          <w:sz w:val="24"/>
          <w:szCs w:val="24"/>
          <w:lang w:val="en-US" w:eastAsia="zh-CN"/>
        </w:rPr>
      </w:pPr>
      <w:r>
        <w:rPr>
          <w:rFonts w:hint="eastAsia" w:ascii="Times New Roman" w:hAnsi="Times New Roman" w:eastAsia="黑体" w:cs="Times New Roman"/>
          <w:snapToGrid/>
          <w:kern w:val="2"/>
          <w:sz w:val="24"/>
          <w:szCs w:val="24"/>
          <w:lang w:val="en-US" w:eastAsia="zh-CN"/>
        </w:rPr>
        <w:t>七、与有关的现行法律、规范和强制性国家标准的关系</w:t>
      </w:r>
    </w:p>
    <w:p w14:paraId="23816026">
      <w:pPr>
        <w:widowControl w:val="0"/>
        <w:kinsoku/>
        <w:autoSpaceDE/>
        <w:autoSpaceDN/>
        <w:adjustRightInd/>
        <w:snapToGrid/>
        <w:spacing w:line="360" w:lineRule="auto"/>
        <w:ind w:firstLine="476"/>
        <w:jc w:val="both"/>
        <w:textAlignment w:val="auto"/>
        <w:rPr>
          <w:rFonts w:hint="default" w:ascii="Times New Roman" w:hAnsi="Times New Roman" w:eastAsia="宋体" w:cs="Times New Roman"/>
          <w:snapToGrid/>
          <w:kern w:val="2"/>
          <w:sz w:val="24"/>
          <w:szCs w:val="24"/>
          <w:lang w:eastAsia="zh-CN"/>
        </w:rPr>
      </w:pPr>
      <w:r>
        <w:rPr>
          <w:rFonts w:hint="default" w:ascii="Times New Roman" w:hAnsi="Times New Roman" w:eastAsia="宋体" w:cs="Times New Roman"/>
          <w:snapToGrid/>
          <w:kern w:val="2"/>
          <w:sz w:val="24"/>
          <w:szCs w:val="24"/>
          <w:lang w:eastAsia="zh-CN"/>
        </w:rPr>
        <w:t>本规范与现行法律、法规和强制性国家标准一致。</w:t>
      </w:r>
    </w:p>
    <w:p w14:paraId="5A23E4B3">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eastAsia="黑体" w:cs="Times New Roman"/>
          <w:snapToGrid/>
          <w:kern w:val="2"/>
          <w:sz w:val="24"/>
          <w:szCs w:val="24"/>
          <w:lang w:val="en-US" w:eastAsia="zh-CN"/>
        </w:rPr>
      </w:pPr>
      <w:r>
        <w:rPr>
          <w:rFonts w:hint="eastAsia" w:ascii="Times New Roman" w:hAnsi="Times New Roman" w:eastAsia="黑体" w:cs="Times New Roman"/>
          <w:snapToGrid/>
          <w:kern w:val="2"/>
          <w:sz w:val="24"/>
          <w:szCs w:val="24"/>
          <w:lang w:val="en-US" w:eastAsia="zh-CN"/>
        </w:rPr>
        <w:t>八、重大分歧意见的处理经过和依据</w:t>
      </w:r>
    </w:p>
    <w:p w14:paraId="4FC42956">
      <w:pPr>
        <w:widowControl w:val="0"/>
        <w:kinsoku/>
        <w:autoSpaceDE/>
        <w:autoSpaceDN/>
        <w:adjustRightInd/>
        <w:snapToGrid/>
        <w:spacing w:line="360" w:lineRule="auto"/>
        <w:ind w:firstLine="476"/>
        <w:jc w:val="both"/>
        <w:textAlignment w:val="auto"/>
        <w:rPr>
          <w:rFonts w:hint="default" w:ascii="Times New Roman" w:hAnsi="Times New Roman" w:eastAsia="宋体" w:cs="Times New Roman"/>
          <w:snapToGrid/>
          <w:kern w:val="2"/>
          <w:sz w:val="24"/>
          <w:szCs w:val="24"/>
          <w:lang w:eastAsia="zh-CN"/>
        </w:rPr>
      </w:pPr>
      <w:r>
        <w:rPr>
          <w:rFonts w:hint="default" w:ascii="Times New Roman" w:hAnsi="Times New Roman" w:eastAsia="宋体" w:cs="Times New Roman"/>
          <w:snapToGrid/>
          <w:kern w:val="2"/>
          <w:sz w:val="24"/>
          <w:szCs w:val="24"/>
          <w:lang w:eastAsia="zh-CN"/>
        </w:rPr>
        <w:t>本规规范在制定过程中无重大意见分歧。</w:t>
      </w:r>
    </w:p>
    <w:p w14:paraId="23DE0714">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eastAsia="黑体" w:cs="Times New Roman"/>
          <w:snapToGrid/>
          <w:kern w:val="2"/>
          <w:sz w:val="24"/>
          <w:szCs w:val="24"/>
          <w:lang w:val="en-US" w:eastAsia="zh-CN"/>
        </w:rPr>
      </w:pPr>
      <w:r>
        <w:rPr>
          <w:rFonts w:hint="eastAsia" w:ascii="Times New Roman" w:hAnsi="Times New Roman" w:eastAsia="黑体" w:cs="Times New Roman"/>
          <w:snapToGrid/>
          <w:kern w:val="2"/>
          <w:sz w:val="24"/>
          <w:szCs w:val="24"/>
          <w:lang w:val="en-US" w:eastAsia="zh-CN"/>
        </w:rPr>
        <w:t>九、其他应予以说明的事项</w:t>
      </w:r>
    </w:p>
    <w:p w14:paraId="2E219569">
      <w:pPr>
        <w:widowControl w:val="0"/>
        <w:kinsoku/>
        <w:autoSpaceDE/>
        <w:autoSpaceDN/>
        <w:adjustRightInd/>
        <w:snapToGrid/>
        <w:spacing w:line="360" w:lineRule="auto"/>
        <w:ind w:firstLine="476"/>
        <w:jc w:val="both"/>
        <w:textAlignment w:val="auto"/>
        <w:rPr>
          <w:rFonts w:hint="default" w:ascii="Times New Roman" w:hAnsi="Times New Roman" w:eastAsia="宋体" w:cs="Times New Roman"/>
          <w:snapToGrid/>
          <w:kern w:val="2"/>
          <w:sz w:val="24"/>
          <w:szCs w:val="24"/>
          <w:lang w:eastAsia="zh-CN"/>
        </w:rPr>
      </w:pPr>
      <w:r>
        <w:rPr>
          <w:rFonts w:hint="default" w:ascii="Times New Roman" w:hAnsi="Times New Roman" w:eastAsia="宋体" w:cs="Times New Roman"/>
          <w:snapToGrid/>
          <w:kern w:val="2"/>
          <w:sz w:val="24"/>
          <w:szCs w:val="24"/>
          <w:lang w:eastAsia="zh-CN"/>
        </w:rPr>
        <w:t>本规范不涉及专利、著作权等知识产权内容。</w:t>
      </w:r>
    </w:p>
    <w:sectPr>
      <w:headerReference r:id="rId5" w:type="default"/>
      <w:pgSz w:w="11906" w:h="16839"/>
      <w:pgMar w:top="1090" w:right="1717" w:bottom="1153" w:left="1770" w:header="1075" w:footer="95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E7E86">
    <w:pPr>
      <w:spacing w:line="42"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D28777C"/>
    <w:rsid w:val="1F443B15"/>
    <w:rsid w:val="21E204E9"/>
    <w:rsid w:val="23EA6B5E"/>
    <w:rsid w:val="31A604D5"/>
    <w:rsid w:val="5D825CD9"/>
    <w:rsid w:val="699C24DE"/>
    <w:rsid w:val="6F3E09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paragraph" w:styleId="3">
    <w:name w:val="footer"/>
    <w:basedOn w:val="1"/>
    <w:uiPriority w:val="0"/>
    <w:pPr>
      <w:tabs>
        <w:tab w:val="center" w:pos="4153"/>
        <w:tab w:val="right" w:pos="8306"/>
      </w:tabs>
      <w:snapToGrid w:val="0"/>
      <w:jc w:val="left"/>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7f2a6a72-9607-463a-87e6-bf1c2954418d</errorID>
      <errorWord>来自于</errorWord>
      <group>L1_Grammar</group>
      <groupName>语法问题</groupName>
      <ability>L2_Grammar</ability>
      <abilityName>语法错误</abilityName>
      <candidateList>
        <item>来自</item>
      </candidateList>
      <explain>该表达中的“来自于”存在语义重复。【词汇解析】来自：表示“来源于”。包含了“于”的意思。</explain>
      <paraID>215939AC</paraID>
      <start>26</start>
      <end>29</end>
      <status>unmodified</status>
      <modifiedWord/>
      <trackRevisions>false</trackRevisions>
    </reviewItem>
    <reviewItem>
      <errorID>287a093c-a19e-4f22-9ee8-0dd493d9079c</errorID>
      <errorWord>来自于</errorWord>
      <group>L1_Grammar</group>
      <groupName>语法问题</groupName>
      <ability>L2_Grammar</ability>
      <abilityName>语法错误</abilityName>
      <candidateList>
        <item>来自</item>
      </candidateList>
      <explain>该表达中的“来自于”存在语义重复。【词汇解析】来自：表示“来源于”。包含了“于”的意思。</explain>
      <paraID>2076B1A4</paraID>
      <start>26</start>
      <end>29</end>
      <status>unmodified</status>
      <modifiedWord/>
      <trackRevisions>false</trackRevisions>
    </reviewItem>
    <reviewItem>
      <errorID>ec2e352c-b7f7-49e6-bb26-d591e11fdb17</errorID>
      <errorWord>来自于</errorWord>
      <group>L1_Grammar</group>
      <groupName>语法问题</groupName>
      <ability>L2_Grammar</ability>
      <abilityName>语法错误</abilityName>
      <candidateList>
        <item>来自</item>
      </candidateList>
      <explain>该表达中的“来自于”存在语义重复。【词汇解析】来自：表示“来源于”。包含了“于”的意思。</explain>
      <paraID>5871FFCD</paraID>
      <start>26</start>
      <end>29</end>
      <status>unmodified</status>
      <modifiedWord/>
      <trackRevisions>false</trackRevisions>
    </reviewItem>
    <reviewItem>
      <errorID>f004fbb8-3734-415d-b411-e3bc52d5015f</errorID>
      <errorWord>校</errorWord>
      <group>L1_Grammar</group>
      <groupName>语法问题</groupName>
      <ability>L2_Order</ability>
      <abilityName>语序不当</abilityName>
      <candidateList>
        <item>对校</item>
      </candidateList>
      <explain>句子可能没有遵循时空、逻辑顺序，或者介词、关联词等位置不当。</explain>
      <paraID>59EE762E</paraID>
      <start>3</start>
      <end>4</end>
      <status>unmodified</status>
      <modifiedWord/>
      <trackRevisions>false</trackRevisions>
    </reviewItem>
    <reviewItem>
      <errorID>1587c003-c9f9-42b8-9817-01d7771803f6</errorID>
      <errorWord>校</errorWord>
      <group>L1_Grammar</group>
      <groupName>语法问题</groupName>
      <ability>L2_Order</ability>
      <abilityName>语序不当</abilityName>
      <candidateList>
        <item>对校</item>
      </candidateList>
      <explain>句子可能没有遵循时空、逻辑顺序，或者介词、关联词等位置不当。</explain>
      <paraID>1323AD9F</paraID>
      <start>3</start>
      <end>4</end>
      <status>unmodified</status>
      <modifiedWord/>
      <trackRevisions>false</trackRevisions>
    </reviewItem>
    <reviewItem>
      <errorID>ac14e57b-f44e-4eb1-84cf-93f9bc7780da</errorID>
      <errorWord>法律、法规</errorWord>
      <group>L1_Word</group>
      <groupName>字词问题</groupName>
      <ability>L2_Typo</ability>
      <abilityName>字词错误</abilityName>
      <candidateList>
        <item>法律法规</item>
      </candidateList>
      <explain/>
      <paraID>23816026</paraID>
      <start>6</start>
      <end>11</end>
      <status>unmodified</status>
      <modifiedWord/>
      <trackRevisions>false</trackRevisions>
    </reviewItem>
    <reviewItem>
      <errorID>eb45a3d7-81b4-4a89-923e-aace688de5fc</errorID>
      <errorWord>本规</errorWord>
      <group>L1_Grammar</group>
      <groupName>语法问题</groupName>
      <ability>L2_Order</ability>
      <abilityName>语序不当</abilityName>
      <candidateList>
        <item>本</item>
      </candidateList>
      <explain>句子可能没有遵循时空、逻辑顺序，或者介词、关联词等位置不当。</explain>
      <paraID>4FC42956</paraID>
      <start>0</start>
      <end>2</end>
      <status>unmodified</status>
      <modifiedWord/>
      <trackRevisions>false</trackRevisions>
    </reviewItem>
    <reviewItem>
      <errorID>ee46cbdf-bfcc-4928-a9fc-e25246a43b2f</errorID>
      <errorWord>规范</errorWord>
      <group>L1_Word</group>
      <groupName>字词问题</groupName>
      <ability>L2_Typo</ability>
      <abilityName>字词错误</abilityName>
      <candidateList>
        <item>范</item>
      </candidateList>
      <explain/>
      <paraID>4FC42956</paraID>
      <start>2</start>
      <end>4</end>
      <status>unmodified</status>
      <modifiedWord/>
      <trackRevisions>false</trackRevisions>
    </reviewItem>
  </reviewItems>
  <config/>
</contractReview>
</file>

<file path=customXml/itemProps1.xml><?xml version="1.0" encoding="utf-8"?>
<ds:datastoreItem xmlns:ds="http://schemas.openxmlformats.org/officeDocument/2006/customXml" ds:itemID="{95e219b7-131d-4808-ac5a-3f61bb272e3f}">
  <ds:schemaRefs/>
</ds:datastoreItem>
</file>

<file path=docProps/app.xml><?xml version="1.0" encoding="utf-8"?>
<Properties xmlns="http://schemas.openxmlformats.org/officeDocument/2006/extended-properties" xmlns:vt="http://schemas.openxmlformats.org/officeDocument/2006/docPropsVTypes">
  <Pages>4</Pages>
  <Words>2669</Words>
  <Characters>2770</Characters>
  <TotalTime>0</TotalTime>
  <ScaleCrop>false</ScaleCrop>
  <LinksUpToDate>false</LinksUpToDate>
  <CharactersWithSpaces>2811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2026-07-16T15:35:00Z</dcterms:created>
  <dc:creator>Think</dc:creator>
  <cp:lastModifiedBy>Liu Yang</cp:lastModifiedBy>
  <dcterms:modified xsi:type="dcterms:W3CDTF">2026-07-24T01:44:33Z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2026-07-23T22:08:40Z</vt:filetime>
  </property>
  <property fmtid="{D5CDD505-2E9C-101B-9397-08002B2CF9AE}" pid="4" name="KSOTemplateDocerSaveRecord">
    <vt:lpwstr>eyJoZGlkIjoiNWEzZDUxMGUxZTYxNmFhMWM0MTRiMTYyMzYwOTkzYmEiLCJ1c2VySWQiOiIyNzEzMDI4ODUifQ==</vt:lpwstr>
  </property>
  <property fmtid="{D5CDD505-2E9C-101B-9397-08002B2CF9AE}" pid="5" name="KSOProductBuildVer">
    <vt:lpwstr>2052-12.1.0.26895</vt:lpwstr>
  </property>
  <property fmtid="{D5CDD505-2E9C-101B-9397-08002B2CF9AE}" pid="6" name="ICV">
    <vt:lpwstr>C34D7E7FD58C4EAF86559EE8C4145C56_12</vt:lpwstr>
  </property>
</Properties>
</file>