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384C4">
      <w:pPr>
        <w:ind w:left="-2" w:leftChars="-1" w:right="-1"/>
        <w:jc w:val="center"/>
        <w:rPr>
          <w:rFonts w:hint="eastAsia" w:ascii="黑体" w:hAnsi="黑体" w:eastAsia="黑体"/>
          <w:b/>
          <w:sz w:val="36"/>
          <w:szCs w:val="36"/>
        </w:rPr>
      </w:pPr>
    </w:p>
    <w:p w14:paraId="683CE8FF">
      <w:pPr>
        <w:ind w:left="-2" w:leftChars="-1" w:right="-1"/>
        <w:jc w:val="center"/>
        <w:rPr>
          <w:rFonts w:hint="eastAsia" w:ascii="黑体" w:hAnsi="黑体" w:eastAsia="黑体"/>
          <w:b/>
          <w:sz w:val="36"/>
          <w:szCs w:val="36"/>
        </w:rPr>
      </w:pPr>
    </w:p>
    <w:p w14:paraId="4CEF6A73">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hint="eastAsia" w:ascii="黑体" w:hAnsi="黑体" w:eastAsia="黑体"/>
          <w:b/>
          <w:sz w:val="36"/>
          <w:szCs w:val="36"/>
          <w:lang w:eastAsia="zh-CN"/>
        </w:rPr>
      </w:pPr>
      <w:r>
        <w:rPr>
          <w:rFonts w:hint="eastAsia" w:ascii="黑体" w:hAnsi="黑体" w:eastAsia="黑体"/>
          <w:b/>
          <w:sz w:val="36"/>
          <w:szCs w:val="36"/>
        </w:rPr>
        <w:t>中华人民共和国国家计量</w:t>
      </w:r>
      <w:r>
        <w:rPr>
          <w:rFonts w:hint="eastAsia" w:ascii="黑体" w:hAnsi="黑体" w:eastAsia="黑体"/>
          <w:b/>
          <w:sz w:val="36"/>
          <w:szCs w:val="36"/>
          <w:lang w:val="en-US" w:eastAsia="zh-CN"/>
        </w:rPr>
        <w:t>技术规范</w:t>
      </w:r>
    </w:p>
    <w:p w14:paraId="6700F318">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8"/>
          <w:szCs w:val="48"/>
        </w:rPr>
      </w:pPr>
      <w:r>
        <w:rPr>
          <w:rFonts w:eastAsia="仿宋"/>
          <w:b/>
          <w:sz w:val="48"/>
          <w:szCs w:val="48"/>
        </w:rPr>
        <w:t xml:space="preserve"> </w:t>
      </w:r>
    </w:p>
    <w:p w14:paraId="5828781A">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8"/>
          <w:szCs w:val="48"/>
        </w:rPr>
      </w:pPr>
      <w:r>
        <w:rPr>
          <w:rFonts w:eastAsia="仿宋"/>
          <w:b/>
          <w:sz w:val="48"/>
          <w:szCs w:val="48"/>
        </w:rPr>
        <w:t xml:space="preserve"> </w:t>
      </w:r>
    </w:p>
    <w:p w14:paraId="333A126C">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8"/>
          <w:szCs w:val="48"/>
        </w:rPr>
      </w:pPr>
      <w:r>
        <w:rPr>
          <w:rFonts w:eastAsia="仿宋"/>
          <w:b/>
          <w:sz w:val="48"/>
          <w:szCs w:val="48"/>
        </w:rPr>
        <w:t xml:space="preserve"> </w:t>
      </w:r>
    </w:p>
    <w:p w14:paraId="519339ED">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ascii="黑体" w:hAnsi="黑体" w:eastAsia="黑体"/>
          <w:b/>
          <w:sz w:val="52"/>
          <w:szCs w:val="52"/>
        </w:rPr>
      </w:pPr>
      <w:r>
        <w:rPr>
          <w:rFonts w:hint="eastAsia" w:ascii="黑体" w:hAnsi="黑体" w:eastAsia="黑体"/>
          <w:b/>
          <w:sz w:val="52"/>
          <w:szCs w:val="52"/>
          <w:lang w:val="en-US" w:eastAsia="zh-CN"/>
        </w:rPr>
        <w:t>核医学放射性废液活度浓度测量仪校准规范</w:t>
      </w:r>
    </w:p>
    <w:p w14:paraId="09BAAF27">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36"/>
          <w:szCs w:val="36"/>
        </w:rPr>
      </w:pPr>
      <w:r>
        <w:rPr>
          <w:rFonts w:eastAsia="仿宋"/>
          <w:b/>
          <w:sz w:val="36"/>
          <w:szCs w:val="36"/>
        </w:rPr>
        <w:t xml:space="preserve"> </w:t>
      </w:r>
    </w:p>
    <w:p w14:paraId="37F40D44">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3CD73496">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5CB5F425">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7D30E6C8">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3EBDF08C">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10C47723">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66492843">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Cs/>
          <w:sz w:val="44"/>
          <w:szCs w:val="44"/>
        </w:rPr>
      </w:pPr>
      <w:r>
        <w:rPr>
          <w:rFonts w:eastAsia="仿宋"/>
          <w:bCs/>
          <w:sz w:val="44"/>
          <w:szCs w:val="44"/>
        </w:rPr>
        <w:t xml:space="preserve"> </w:t>
      </w:r>
    </w:p>
    <w:p w14:paraId="05AEFF8D">
      <w:pPr>
        <w:keepNext w:val="0"/>
        <w:keepLines w:val="0"/>
        <w:pageBreakBefore w:val="0"/>
        <w:widowControl w:val="0"/>
        <w:kinsoku/>
        <w:wordWrap/>
        <w:overflowPunct/>
        <w:topLinePunct w:val="0"/>
        <w:autoSpaceDE/>
        <w:autoSpaceDN/>
        <w:bidi w:val="0"/>
        <w:adjustRightInd/>
        <w:spacing w:afterAutospacing="0" w:line="480" w:lineRule="exact"/>
        <w:jc w:val="center"/>
        <w:textAlignment w:val="auto"/>
        <w:rPr>
          <w:rFonts w:ascii="宋体" w:hAnsi="宋体"/>
          <w:bCs/>
          <w:sz w:val="44"/>
          <w:szCs w:val="44"/>
        </w:rPr>
      </w:pPr>
      <w:r>
        <w:rPr>
          <w:rFonts w:hint="eastAsia" w:ascii="宋体" w:hAnsi="宋体"/>
          <w:b/>
          <w:sz w:val="44"/>
          <w:szCs w:val="44"/>
        </w:rPr>
        <w:t>编制说明</w:t>
      </w:r>
    </w:p>
    <w:p w14:paraId="7EF08B71">
      <w:pPr>
        <w:keepNext w:val="0"/>
        <w:keepLines w:val="0"/>
        <w:pageBreakBefore w:val="0"/>
        <w:widowControl w:val="0"/>
        <w:kinsoku/>
        <w:wordWrap/>
        <w:overflowPunct/>
        <w:topLinePunct w:val="0"/>
        <w:autoSpaceDE/>
        <w:autoSpaceDN/>
        <w:bidi w:val="0"/>
        <w:adjustRightInd/>
        <w:spacing w:afterAutospacing="0" w:line="480" w:lineRule="exact"/>
        <w:jc w:val="center"/>
        <w:textAlignment w:val="auto"/>
        <w:rPr>
          <w:rFonts w:eastAsia="仿宋"/>
          <w:sz w:val="28"/>
          <w:szCs w:val="28"/>
        </w:rPr>
      </w:pPr>
      <w:r>
        <w:rPr>
          <w:rFonts w:eastAsia="仿宋"/>
          <w:sz w:val="28"/>
          <w:szCs w:val="28"/>
        </w:rPr>
        <w:t xml:space="preserve"> </w:t>
      </w:r>
    </w:p>
    <w:p w14:paraId="1C30D82F">
      <w:pPr>
        <w:keepNext w:val="0"/>
        <w:keepLines w:val="0"/>
        <w:pageBreakBefore w:val="0"/>
        <w:widowControl w:val="0"/>
        <w:kinsoku/>
        <w:wordWrap/>
        <w:overflowPunct/>
        <w:topLinePunct w:val="0"/>
        <w:autoSpaceDE/>
        <w:autoSpaceDN/>
        <w:bidi w:val="0"/>
        <w:adjustRightInd/>
        <w:spacing w:afterAutospacing="0"/>
        <w:ind w:left="-2" w:leftChars="-1" w:right="-1"/>
        <w:jc w:val="center"/>
        <w:textAlignment w:val="auto"/>
        <w:rPr>
          <w:rFonts w:eastAsia="仿宋"/>
          <w:b/>
          <w:sz w:val="44"/>
          <w:szCs w:val="44"/>
        </w:rPr>
      </w:pPr>
      <w:r>
        <w:rPr>
          <w:rFonts w:eastAsia="仿宋"/>
          <w:b/>
          <w:sz w:val="44"/>
          <w:szCs w:val="44"/>
        </w:rPr>
        <w:t xml:space="preserve"> </w:t>
      </w:r>
    </w:p>
    <w:p w14:paraId="01010CFC">
      <w:pPr>
        <w:keepNext w:val="0"/>
        <w:keepLines w:val="0"/>
        <w:pageBreakBefore w:val="0"/>
        <w:widowControl w:val="0"/>
        <w:kinsoku/>
        <w:wordWrap/>
        <w:overflowPunct/>
        <w:topLinePunct w:val="0"/>
        <w:autoSpaceDE/>
        <w:autoSpaceDN/>
        <w:bidi w:val="0"/>
        <w:adjustRightInd/>
        <w:spacing w:afterAutospacing="0"/>
        <w:textAlignment w:val="auto"/>
      </w:pPr>
      <w:r>
        <w:br w:type="page"/>
      </w:r>
    </w:p>
    <w:p w14:paraId="2D103099">
      <w:pPr>
        <w:keepNext w:val="0"/>
        <w:keepLines w:val="0"/>
        <w:pageBreakBefore w:val="0"/>
        <w:widowControl w:val="0"/>
        <w:kinsoku/>
        <w:wordWrap/>
        <w:overflowPunct/>
        <w:topLinePunct w:val="0"/>
        <w:autoSpaceDE/>
        <w:autoSpaceDN/>
        <w:bidi w:val="0"/>
        <w:adjustRightInd/>
        <w:spacing w:afterAutospacing="0" w:line="360" w:lineRule="auto"/>
        <w:ind w:left="-2" w:leftChars="-1"/>
        <w:jc w:val="center"/>
        <w:textAlignment w:val="auto"/>
        <w:rPr>
          <w:rFonts w:ascii="黑体" w:hAnsi="黑体" w:eastAsia="黑体"/>
          <w:b/>
          <w:sz w:val="24"/>
          <w:szCs w:val="52"/>
        </w:rPr>
      </w:pPr>
      <w:r>
        <w:rPr>
          <w:rFonts w:hint="eastAsia" w:ascii="黑体" w:hAnsi="黑体" w:eastAsia="黑体"/>
          <w:b/>
          <w:sz w:val="24"/>
          <w:szCs w:val="52"/>
        </w:rPr>
        <w:t>核医学放射性废液活度浓度测量仪校准规范编写说明</w:t>
      </w:r>
    </w:p>
    <w:p w14:paraId="78D54A01">
      <w:pPr>
        <w:pStyle w:val="4"/>
        <w:keepNext w:val="0"/>
        <w:keepLines w:val="0"/>
        <w:pageBreakBefore w:val="0"/>
        <w:widowControl w:val="0"/>
        <w:numPr>
          <w:ilvl w:val="0"/>
          <w:numId w:val="1"/>
        </w:numPr>
        <w:kinsoku/>
        <w:wordWrap/>
        <w:overflowPunct/>
        <w:topLinePunct w:val="0"/>
        <w:autoSpaceDE/>
        <w:autoSpaceDN/>
        <w:bidi w:val="0"/>
        <w:adjustRightInd/>
        <w:spacing w:afterAutospacing="0" w:line="360" w:lineRule="auto"/>
        <w:ind w:firstLineChars="0"/>
        <w:textAlignment w:val="auto"/>
        <w:rPr>
          <w:b/>
          <w:sz w:val="24"/>
        </w:rPr>
      </w:pPr>
      <w:r>
        <w:rPr>
          <w:rFonts w:hint="eastAsia"/>
          <w:b/>
          <w:sz w:val="24"/>
        </w:rPr>
        <w:t>制定的必要性</w:t>
      </w:r>
    </w:p>
    <w:p w14:paraId="4AA8665C">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2021年，我国发布《医用同位素中长期发展规划（2021−2035）》，提出到2035年，全国范围内将实现核医学“一县一科”。规划发布后，核医学科建设明显加速，导致放射性废液的产生量显著增加，这些废液的安全管理成为核医学发展的关键环节。</w:t>
      </w:r>
    </w:p>
    <w:p w14:paraId="57660DA5">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核医学科产生的放射性废液主要来自以下两个方面：一是注射或服用了医用同位素的病人，放射性核素在体内生理代谢，最终排入注射后病人专用卫生间或核素治疗病房专用卫生间的下水道；二是医护及科研人员在操作放射性核素过程中，沾有放射性核素的手或物品在控制区内专用洗手池的清洗，以及清理有表面沾污的地面或台面产生的废水。若放射性废液未妥善处置而经污水管道流入污水处理厂，会造成水中放射性超标，对公众健康产生不利影响。</w:t>
      </w:r>
    </w:p>
    <w:p w14:paraId="4A78A211">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cs="Times New Roman"/>
          <w:sz w:val="24"/>
          <w:lang w:val="en-US" w:eastAsia="zh-CN"/>
        </w:rPr>
      </w:pPr>
      <w:r>
        <w:rPr>
          <w:rFonts w:hint="eastAsia" w:cs="Times New Roman"/>
          <w:sz w:val="24"/>
          <w:lang w:val="en-US" w:eastAsia="zh-CN"/>
        </w:rPr>
        <w:t>虽然</w:t>
      </w:r>
      <w:r>
        <w:rPr>
          <w:rFonts w:hint="default" w:ascii="Times New Roman" w:hAnsi="Times New Roman" w:eastAsia="宋体" w:cs="Times New Roman"/>
          <w:sz w:val="24"/>
        </w:rPr>
        <w:t>国内</w:t>
      </w:r>
      <w:r>
        <w:rPr>
          <w:rFonts w:hint="eastAsia" w:cs="Times New Roman"/>
          <w:sz w:val="24"/>
          <w:lang w:val="en-US" w:eastAsia="zh-CN"/>
        </w:rPr>
        <w:t>存在适用于放射性废液管理排放的相关标准，如HJ 1188-2021《核医学辐射防护与安全要求》，但现有的相关测量方法标准如GB/T 16145-2022《环境及生物样品中放射性核素的γ能谱分析方法》、HJ 841-2017《水、牛奶、植物、动物甲状腺中碘-131的分析方法》，都存在缺点而难以满足该应用场景的需求。</w:t>
      </w:r>
    </w:p>
    <w:p w14:paraId="2DEF5D2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rPr>
      </w:pPr>
      <w:r>
        <w:rPr>
          <w:rFonts w:hint="eastAsia" w:cs="Times New Roman"/>
          <w:sz w:val="24"/>
          <w:lang w:val="en-US" w:eastAsia="zh-CN"/>
        </w:rPr>
        <w:t>市面上存在多种核医学放射性废液活度浓度测量仪，但目前</w:t>
      </w:r>
      <w:r>
        <w:rPr>
          <w:rFonts w:hint="default" w:ascii="Times New Roman" w:hAnsi="Times New Roman" w:eastAsia="宋体" w:cs="Times New Roman"/>
          <w:sz w:val="24"/>
        </w:rPr>
        <w:t>尚无国家或行业层面的</w:t>
      </w:r>
      <w:r>
        <w:rPr>
          <w:rFonts w:hint="eastAsia" w:cs="Times New Roman"/>
          <w:sz w:val="24"/>
          <w:lang w:val="en-US" w:eastAsia="zh-CN"/>
        </w:rPr>
        <w:t>校准规范，</w:t>
      </w:r>
      <w:r>
        <w:rPr>
          <w:rFonts w:hint="default" w:ascii="Times New Roman" w:hAnsi="Times New Roman" w:eastAsia="宋体" w:cs="Times New Roman"/>
          <w:sz w:val="24"/>
        </w:rPr>
        <w:t>生产企业多执行各自标准，甚至可能缺乏规范的量值溯源</w:t>
      </w:r>
      <w:r>
        <w:rPr>
          <w:rFonts w:hint="eastAsia" w:cs="Times New Roman"/>
          <w:sz w:val="24"/>
          <w:lang w:eastAsia="zh-CN"/>
        </w:rPr>
        <w:t>。</w:t>
      </w:r>
      <w:r>
        <w:rPr>
          <w:rFonts w:hint="eastAsia" w:cs="Times New Roman"/>
          <w:sz w:val="24"/>
          <w:lang w:val="en-US" w:eastAsia="zh-CN"/>
        </w:rPr>
        <w:t>因此，这类仪器无法保障其测量结果的准确性和可信度</w:t>
      </w:r>
      <w:r>
        <w:rPr>
          <w:rFonts w:hint="default" w:ascii="Times New Roman" w:hAnsi="Times New Roman" w:eastAsia="宋体" w:cs="Times New Roman"/>
          <w:sz w:val="24"/>
        </w:rPr>
        <w:t>。</w:t>
      </w:r>
    </w:p>
    <w:p w14:paraId="7BDA5CDD">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cs="Times New Roman"/>
          <w:sz w:val="24"/>
          <w:lang w:val="en-US" w:eastAsia="zh-CN"/>
        </w:rPr>
      </w:pPr>
      <w:r>
        <w:rPr>
          <w:rFonts w:hint="eastAsia" w:cs="Times New Roman"/>
          <w:sz w:val="24"/>
          <w:lang w:val="en-US" w:eastAsia="zh-CN"/>
        </w:rPr>
        <w:t>在无法对核医学放射性废液活度浓度进行准确测量的情况下，为了满足排放要求，医疗机构只能选择存放更长时间，阻碍了核医学科的发展。</w:t>
      </w:r>
    </w:p>
    <w:p w14:paraId="401C90D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制定本</w:t>
      </w:r>
      <w:r>
        <w:rPr>
          <w:rFonts w:hint="eastAsia" w:cs="Times New Roman"/>
          <w:sz w:val="24"/>
          <w:lang w:val="en-US" w:eastAsia="zh-CN"/>
        </w:rPr>
        <w:t>规范</w:t>
      </w:r>
      <w:r>
        <w:rPr>
          <w:rFonts w:hint="default" w:ascii="Times New Roman" w:hAnsi="Times New Roman" w:eastAsia="宋体" w:cs="Times New Roman"/>
          <w:sz w:val="24"/>
        </w:rPr>
        <w:t>，将为量值传递与溯源、产品生产准入提供统一技术依据，</w:t>
      </w:r>
      <w:r>
        <w:rPr>
          <w:rFonts w:hint="eastAsia" w:cs="Times New Roman"/>
          <w:sz w:val="24"/>
          <w:lang w:val="en-US" w:eastAsia="zh-CN"/>
        </w:rPr>
        <w:t>有助于监管部门实施科学有效的监督，推动核医学行业规范化发展</w:t>
      </w:r>
      <w:r>
        <w:rPr>
          <w:rFonts w:hint="default" w:ascii="Times New Roman" w:hAnsi="Times New Roman" w:eastAsia="宋体" w:cs="Times New Roman"/>
          <w:sz w:val="24"/>
        </w:rPr>
        <w:t>。</w:t>
      </w:r>
    </w:p>
    <w:p w14:paraId="6B4A472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综上所述，尽快制定《核医学放射性废液活度浓度测量仪校准规范》是解决当前</w:t>
      </w:r>
      <w:r>
        <w:rPr>
          <w:rFonts w:hint="eastAsia" w:cs="Times New Roman"/>
          <w:sz w:val="24"/>
          <w:lang w:val="en-US" w:eastAsia="zh-CN"/>
        </w:rPr>
        <w:t>核医学科放射性废液管理排放和监管中</w:t>
      </w:r>
      <w:r>
        <w:rPr>
          <w:rFonts w:hint="default" w:ascii="Times New Roman" w:hAnsi="Times New Roman" w:eastAsia="宋体" w:cs="Times New Roman"/>
          <w:sz w:val="24"/>
        </w:rPr>
        <w:t>突出问题的迫切需要，是保障公众健康与辐射安全的法定责任，也是促进相关产业和技术进步的长远之策，具有显著的社会效益和必要性。</w:t>
      </w:r>
    </w:p>
    <w:p w14:paraId="56BDEBD7">
      <w:pPr>
        <w:keepNext w:val="0"/>
        <w:keepLines w:val="0"/>
        <w:pageBreakBefore w:val="0"/>
        <w:widowControl w:val="0"/>
        <w:kinsoku/>
        <w:wordWrap/>
        <w:overflowPunct/>
        <w:topLinePunct w:val="0"/>
        <w:autoSpaceDE/>
        <w:autoSpaceDN/>
        <w:bidi w:val="0"/>
        <w:adjustRightInd/>
        <w:snapToGrid w:val="0"/>
        <w:spacing w:afterAutospacing="0" w:line="480" w:lineRule="exact"/>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szCs w:val="24"/>
        </w:rPr>
        <w:t>经与全国电离辐射计量技术委员会专家的相关技术沟通与协商，向国家市场监督管理总局正式申请制订《核医学放射性废液活度浓度测量仪校准规范》。</w:t>
      </w:r>
    </w:p>
    <w:p w14:paraId="3123F447">
      <w:pPr>
        <w:pStyle w:val="4"/>
        <w:keepNext w:val="0"/>
        <w:keepLines w:val="0"/>
        <w:pageBreakBefore w:val="0"/>
        <w:widowControl w:val="0"/>
        <w:numPr>
          <w:ilvl w:val="0"/>
          <w:numId w:val="1"/>
        </w:numPr>
        <w:kinsoku/>
        <w:wordWrap/>
        <w:overflowPunct/>
        <w:topLinePunct w:val="0"/>
        <w:autoSpaceDE/>
        <w:autoSpaceDN/>
        <w:bidi w:val="0"/>
        <w:adjustRightInd/>
        <w:spacing w:afterAutospacing="0" w:line="360" w:lineRule="auto"/>
        <w:ind w:firstLineChars="0"/>
        <w:textAlignment w:val="auto"/>
        <w:rPr>
          <w:rFonts w:ascii="宋体" w:hAnsi="宋体"/>
          <w:b/>
          <w:sz w:val="24"/>
        </w:rPr>
      </w:pPr>
      <w:r>
        <w:rPr>
          <w:rFonts w:hint="eastAsia" w:ascii="宋体" w:hAnsi="宋体"/>
          <w:b/>
          <w:sz w:val="24"/>
        </w:rPr>
        <w:t>编写过程</w:t>
      </w:r>
    </w:p>
    <w:p w14:paraId="50F47A56">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宋体" w:hAnsi="宋体" w:eastAsia="宋体"/>
          <w:sz w:val="24"/>
          <w:lang w:val="en-US" w:eastAsia="zh-CN"/>
        </w:rPr>
      </w:pPr>
      <w:r>
        <w:rPr>
          <w:rFonts w:ascii="宋体" w:hAnsi="宋体"/>
          <w:sz w:val="24"/>
        </w:rPr>
        <w:t>根据</w:t>
      </w:r>
      <w:r>
        <w:rPr>
          <w:rFonts w:hint="default" w:ascii="Times New Roman" w:hAnsi="Times New Roman" w:eastAsia="宋体" w:cs="Times New Roman"/>
          <w:sz w:val="24"/>
          <w:szCs w:val="24"/>
        </w:rPr>
        <w:t>国家市场监督管理总局</w:t>
      </w:r>
      <w:r>
        <w:rPr>
          <w:rFonts w:ascii="宋体" w:hAnsi="宋体"/>
          <w:sz w:val="24"/>
        </w:rPr>
        <w:t>的决定，成立“</w:t>
      </w:r>
      <w:r>
        <w:rPr>
          <w:rFonts w:hint="eastAsia" w:ascii="宋体" w:hAnsi="宋体"/>
          <w:sz w:val="24"/>
        </w:rPr>
        <w:t>核医学放射性废液活度浓度测量仪校准规范</w:t>
      </w:r>
      <w:r>
        <w:rPr>
          <w:rFonts w:ascii="宋体" w:hAnsi="宋体"/>
          <w:sz w:val="24"/>
        </w:rPr>
        <w:t>”制定工作组。</w:t>
      </w:r>
      <w:r>
        <w:rPr>
          <w:rFonts w:hint="eastAsia" w:ascii="宋体" w:hAnsi="宋体"/>
          <w:sz w:val="24"/>
        </w:rPr>
        <w:t>工作组由中国测试技术研究院</w:t>
      </w:r>
      <w:r>
        <w:rPr>
          <w:rFonts w:hint="eastAsia" w:ascii="宋体" w:hAnsi="宋体"/>
          <w:sz w:val="24"/>
          <w:lang w:val="en-US" w:eastAsia="zh-CN"/>
        </w:rPr>
        <w:t>、上海市计量测试技术研究院</w:t>
      </w:r>
      <w:r>
        <w:rPr>
          <w:rFonts w:hint="eastAsia" w:ascii="宋体" w:hAnsi="宋体"/>
          <w:sz w:val="24"/>
          <w:lang w:eastAsia="zh-CN"/>
        </w:rPr>
        <w:t>、</w:t>
      </w:r>
      <w:r>
        <w:rPr>
          <w:rFonts w:hint="eastAsia" w:ascii="宋体" w:hAnsi="宋体"/>
          <w:sz w:val="24"/>
          <w:lang w:val="en-US" w:eastAsia="zh-CN"/>
        </w:rPr>
        <w:t>江苏省计量科学研究院</w:t>
      </w:r>
      <w:r>
        <w:rPr>
          <w:rFonts w:hint="eastAsia" w:ascii="宋体" w:hAnsi="宋体"/>
          <w:sz w:val="24"/>
          <w:lang w:eastAsia="zh-CN"/>
        </w:rPr>
        <w:t>、</w:t>
      </w:r>
      <w:r>
        <w:rPr>
          <w:rFonts w:hint="eastAsia" w:ascii="宋体" w:hAnsi="宋体"/>
          <w:sz w:val="24"/>
          <w:lang w:val="en-US" w:eastAsia="zh-CN"/>
        </w:rPr>
        <w:t>广西自治区计量检测研究院、贵州省计量测试院</w:t>
      </w:r>
      <w:r>
        <w:rPr>
          <w:rFonts w:hint="eastAsia" w:ascii="宋体" w:hAnsi="宋体"/>
          <w:sz w:val="24"/>
        </w:rPr>
        <w:t>负责本</w:t>
      </w:r>
      <w:r>
        <w:rPr>
          <w:rFonts w:hint="eastAsia" w:ascii="宋体" w:hAnsi="宋体"/>
          <w:sz w:val="24"/>
          <w:lang w:val="en-US" w:eastAsia="zh-CN"/>
        </w:rPr>
        <w:t>规范</w:t>
      </w:r>
      <w:r>
        <w:rPr>
          <w:rFonts w:hint="eastAsia" w:ascii="宋体" w:hAnsi="宋体"/>
          <w:sz w:val="24"/>
        </w:rPr>
        <w:t>的制定工作。人员如下：</w:t>
      </w:r>
    </w:p>
    <w:p w14:paraId="2F946EF4">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宋体" w:hAnsi="宋体"/>
          <w:sz w:val="24"/>
        </w:rPr>
      </w:pPr>
      <w:r>
        <w:rPr>
          <w:rFonts w:hint="eastAsia" w:ascii="宋体" w:hAnsi="宋体"/>
          <w:sz w:val="24"/>
        </w:rPr>
        <w:t>中国测试技术研究院：</w:t>
      </w:r>
      <w:r>
        <w:rPr>
          <w:rFonts w:hint="eastAsia" w:ascii="宋体" w:hAnsi="宋体"/>
          <w:sz w:val="24"/>
          <w:lang w:val="en-US" w:eastAsia="zh-CN"/>
        </w:rPr>
        <w:t>温松霖</w:t>
      </w:r>
      <w:r>
        <w:rPr>
          <w:rFonts w:hint="eastAsia" w:ascii="宋体" w:hAnsi="宋体"/>
          <w:sz w:val="24"/>
        </w:rPr>
        <w:t>、李仲林</w:t>
      </w:r>
    </w:p>
    <w:p w14:paraId="0E5DFCD6">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宋体" w:hAnsi="宋体"/>
          <w:sz w:val="24"/>
          <w:lang w:val="en-US" w:eastAsia="zh-CN"/>
        </w:rPr>
      </w:pPr>
      <w:r>
        <w:rPr>
          <w:rFonts w:hint="eastAsia" w:ascii="宋体" w:hAnsi="宋体"/>
          <w:sz w:val="24"/>
          <w:lang w:val="en-US" w:eastAsia="zh-CN"/>
        </w:rPr>
        <w:t>上海市计量测试技术研究院</w:t>
      </w:r>
      <w:r>
        <w:rPr>
          <w:rFonts w:hint="eastAsia" w:ascii="宋体" w:hAnsi="宋体"/>
          <w:sz w:val="24"/>
          <w:lang w:eastAsia="zh-CN"/>
        </w:rPr>
        <w:t>：</w:t>
      </w:r>
      <w:r>
        <w:rPr>
          <w:rFonts w:hint="eastAsia" w:ascii="宋体" w:hAnsi="宋体"/>
          <w:sz w:val="24"/>
          <w:lang w:val="en-US" w:eastAsia="zh-CN"/>
        </w:rPr>
        <w:t>陆小军</w:t>
      </w:r>
    </w:p>
    <w:p w14:paraId="2728569A">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江苏省计量科学研究院：邢立腾</w:t>
      </w:r>
    </w:p>
    <w:p w14:paraId="096F54AD">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宋体" w:hAnsi="宋体" w:eastAsia="宋体"/>
          <w:sz w:val="24"/>
          <w:lang w:val="en-US" w:eastAsia="zh-CN"/>
        </w:rPr>
      </w:pPr>
      <w:r>
        <w:rPr>
          <w:rFonts w:hint="eastAsia" w:ascii="宋体" w:hAnsi="宋体"/>
          <w:sz w:val="24"/>
          <w:lang w:val="en-US" w:eastAsia="zh-CN"/>
        </w:rPr>
        <w:t>广西自治区计量检测研究院：李香桦</w:t>
      </w:r>
    </w:p>
    <w:p w14:paraId="00EFBD74">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宋体" w:hAnsi="宋体"/>
          <w:sz w:val="24"/>
          <w:lang w:val="en-US" w:eastAsia="zh-CN"/>
        </w:rPr>
      </w:pPr>
      <w:r>
        <w:rPr>
          <w:rFonts w:hint="eastAsia" w:ascii="宋体" w:hAnsi="宋体"/>
          <w:sz w:val="24"/>
          <w:lang w:val="en-US" w:eastAsia="zh-CN"/>
        </w:rPr>
        <w:t>贵州省计量测试院：赵才贤</w:t>
      </w:r>
    </w:p>
    <w:p w14:paraId="7D987A99">
      <w:pPr>
        <w:keepNext w:val="0"/>
        <w:keepLines w:val="0"/>
        <w:pageBreakBefore w:val="0"/>
        <w:widowControl w:val="0"/>
        <w:tabs>
          <w:tab w:val="left" w:pos="9923"/>
          <w:tab w:val="left" w:pos="10065"/>
        </w:tabs>
        <w:kinsoku/>
        <w:wordWrap/>
        <w:overflowPunct/>
        <w:topLinePunct w:val="0"/>
        <w:autoSpaceDE/>
        <w:autoSpaceDN/>
        <w:bidi w:val="0"/>
        <w:adjustRightInd/>
        <w:snapToGrid w:val="0"/>
        <w:spacing w:afterAutospacing="0" w:line="480" w:lineRule="exact"/>
        <w:ind w:firstLine="480" w:firstLineChars="200"/>
        <w:textAlignment w:val="auto"/>
        <w:rPr>
          <w:rFonts w:hint="eastAsia" w:ascii="宋体" w:hAnsi="宋体"/>
          <w:sz w:val="24"/>
        </w:rPr>
      </w:pPr>
      <w:r>
        <w:rPr>
          <w:rFonts w:hint="default" w:ascii="Times New Roman" w:hAnsi="Times New Roman" w:cs="Times New Roman"/>
          <w:sz w:val="24"/>
        </w:rPr>
        <w:t>本检定规程计量主要参照JJF 1071—2010《国家计量校准规范编写规则》、JJF 1001-2011《通用计量术语及定义》、JJF 1059.1-2012《测量不确定度评定与表示》</w:t>
      </w:r>
      <w:r>
        <w:rPr>
          <w:rFonts w:hint="default" w:ascii="Times New Roman" w:hAnsi="Times New Roman" w:eastAsia="宋体" w:cs="Times New Roman"/>
          <w:sz w:val="24"/>
          <w:lang w:eastAsia="zh-CN"/>
        </w:rPr>
        <w:t>、JJF 1035—2006《电离辐射计量术语及定义》</w:t>
      </w:r>
      <w:r>
        <w:rPr>
          <w:rFonts w:hint="default" w:ascii="Times New Roman" w:hAnsi="Times New Roman" w:cs="Times New Roman"/>
          <w:sz w:val="24"/>
          <w:lang w:eastAsia="zh-CN"/>
        </w:rPr>
        <w:t>、</w:t>
      </w:r>
      <w:r>
        <w:rPr>
          <w:rFonts w:hint="default" w:ascii="Times New Roman" w:hAnsi="Times New Roman" w:eastAsia="宋体" w:cs="Times New Roman"/>
          <w:sz w:val="24"/>
          <w:lang w:eastAsia="zh-CN"/>
        </w:rPr>
        <w:t>GB/T 16145—2022 《环境及生物样品中放射性核素的γ能谱分析方法》、HJ 841—2017 《水、牛奶、植物、动物甲状腺中碘-131的分析方法》、HJ 1188—2021 《核医学辐射防护与安全要求》</w:t>
      </w:r>
      <w:r>
        <w:rPr>
          <w:rFonts w:hint="default" w:ascii="Times New Roman" w:hAnsi="Times New Roman" w:cs="Times New Roman"/>
          <w:sz w:val="24"/>
        </w:rPr>
        <w:t>等</w:t>
      </w:r>
      <w:r>
        <w:rPr>
          <w:rFonts w:hint="eastAsia" w:cs="Times New Roman"/>
          <w:sz w:val="24"/>
          <w:lang w:val="en-US" w:eastAsia="zh-CN"/>
        </w:rPr>
        <w:t>标准</w:t>
      </w:r>
      <w:r>
        <w:rPr>
          <w:rFonts w:hint="default" w:ascii="Times New Roman" w:hAnsi="Times New Roman" w:cs="Times New Roman"/>
          <w:sz w:val="24"/>
        </w:rPr>
        <w:t>进行起草，</w:t>
      </w:r>
      <w:r>
        <w:rPr>
          <w:rFonts w:hint="default" w:ascii="Times New Roman" w:hAnsi="Times New Roman" w:cs="Times New Roman"/>
          <w:color w:val="000000"/>
          <w:sz w:val="24"/>
          <w:szCs w:val="24"/>
        </w:rPr>
        <w:t>初稿于202</w:t>
      </w:r>
      <w:r>
        <w:rPr>
          <w:rFonts w:hint="default"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年</w:t>
      </w:r>
      <w:r>
        <w:rPr>
          <w:rFonts w:hint="eastAsia" w:cs="Times New Roman"/>
          <w:color w:val="000000"/>
          <w:sz w:val="24"/>
          <w:szCs w:val="24"/>
          <w:lang w:val="en-US" w:eastAsia="zh-CN"/>
        </w:rPr>
        <w:t>9</w:t>
      </w:r>
      <w:r>
        <w:rPr>
          <w:rFonts w:hint="default" w:ascii="Times New Roman" w:hAnsi="Times New Roman" w:cs="Times New Roman"/>
          <w:color w:val="000000"/>
          <w:sz w:val="24"/>
          <w:szCs w:val="24"/>
        </w:rPr>
        <w:t>月完成</w:t>
      </w:r>
      <w:r>
        <w:rPr>
          <w:rFonts w:hint="default" w:ascii="Times New Roman" w:hAnsi="Times New Roman" w:cs="Times New Roman"/>
          <w:sz w:val="24"/>
          <w:szCs w:val="24"/>
        </w:rPr>
        <w:t>。经与电离辐射技术委员会和有关专家多次讨论该校准规范并进行内容修改并补充，计划于</w:t>
      </w:r>
      <w:r>
        <w:rPr>
          <w:rFonts w:hint="default" w:ascii="Times New Roman" w:hAnsi="Times New Roman" w:cs="Times New Roman"/>
          <w:color w:val="000000"/>
          <w:sz w:val="24"/>
          <w:szCs w:val="24"/>
        </w:rPr>
        <w:t>202</w:t>
      </w:r>
      <w:r>
        <w:rPr>
          <w:rFonts w:hint="eastAsia" w:cs="Times New Roman"/>
          <w:color w:val="000000"/>
          <w:sz w:val="24"/>
          <w:szCs w:val="24"/>
          <w:lang w:val="en-US" w:eastAsia="zh-CN"/>
        </w:rPr>
        <w:t>6</w:t>
      </w:r>
      <w:r>
        <w:rPr>
          <w:rFonts w:hint="default" w:ascii="Times New Roman" w:hAnsi="Times New Roman" w:cs="Times New Roman"/>
          <w:color w:val="000000"/>
          <w:sz w:val="24"/>
          <w:szCs w:val="24"/>
        </w:rPr>
        <w:t>年</w:t>
      </w:r>
      <w:r>
        <w:rPr>
          <w:rFonts w:hint="eastAsia" w:cs="Times New Roman"/>
          <w:color w:val="000000"/>
          <w:sz w:val="24"/>
          <w:szCs w:val="24"/>
          <w:lang w:val="en-US" w:eastAsia="zh-CN"/>
        </w:rPr>
        <w:t>4</w:t>
      </w:r>
      <w:r>
        <w:rPr>
          <w:rFonts w:hint="default" w:ascii="Times New Roman" w:hAnsi="Times New Roman" w:cs="Times New Roman"/>
          <w:color w:val="000000"/>
          <w:sz w:val="24"/>
          <w:szCs w:val="24"/>
        </w:rPr>
        <w:t>月</w:t>
      </w:r>
      <w:r>
        <w:rPr>
          <w:rFonts w:hint="default" w:ascii="Times New Roman" w:hAnsi="Times New Roman" w:cs="Times New Roman"/>
          <w:sz w:val="24"/>
          <w:szCs w:val="24"/>
        </w:rPr>
        <w:t>完成征求意见稿并发送至电离辐射技术委员会全体委员在内的各位专家，广泛征求意见。</w:t>
      </w:r>
    </w:p>
    <w:p w14:paraId="2E514CA3">
      <w:pPr>
        <w:pStyle w:val="4"/>
        <w:keepNext w:val="0"/>
        <w:keepLines w:val="0"/>
        <w:pageBreakBefore w:val="0"/>
        <w:widowControl w:val="0"/>
        <w:numPr>
          <w:ilvl w:val="0"/>
          <w:numId w:val="1"/>
        </w:numPr>
        <w:kinsoku/>
        <w:wordWrap/>
        <w:overflowPunct/>
        <w:topLinePunct w:val="0"/>
        <w:autoSpaceDE/>
        <w:autoSpaceDN/>
        <w:bidi w:val="0"/>
        <w:adjustRightInd/>
        <w:spacing w:afterAutospacing="0" w:line="360" w:lineRule="auto"/>
        <w:ind w:firstLineChars="0"/>
        <w:textAlignment w:val="auto"/>
        <w:rPr>
          <w:rFonts w:ascii="宋体" w:hAnsi="宋体"/>
          <w:b/>
          <w:sz w:val="24"/>
        </w:rPr>
      </w:pPr>
      <w:r>
        <w:rPr>
          <w:rFonts w:hint="eastAsia" w:ascii="宋体" w:hAnsi="宋体"/>
          <w:b/>
          <w:sz w:val="24"/>
          <w:lang w:val="en-US" w:eastAsia="zh-CN"/>
        </w:rPr>
        <w:t>校准规范</w:t>
      </w:r>
      <w:r>
        <w:rPr>
          <w:rFonts w:hint="eastAsia" w:ascii="宋体" w:hAnsi="宋体"/>
          <w:b/>
          <w:sz w:val="24"/>
        </w:rPr>
        <w:t>名称和适用范围</w:t>
      </w:r>
    </w:p>
    <w:p w14:paraId="787DC72B">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宋体" w:hAnsi="宋体"/>
          <w:sz w:val="24"/>
        </w:rPr>
      </w:pPr>
      <w:r>
        <w:rPr>
          <w:rFonts w:hint="eastAsia" w:ascii="宋体" w:hAnsi="宋体"/>
          <w:sz w:val="24"/>
        </w:rPr>
        <w:t>本检定规程只适用于管道式废液放射性活度浓度测量仪的校准。</w:t>
      </w:r>
    </w:p>
    <w:p w14:paraId="44ACBA8E">
      <w:pPr>
        <w:pStyle w:val="4"/>
        <w:keepNext w:val="0"/>
        <w:keepLines w:val="0"/>
        <w:pageBreakBefore w:val="0"/>
        <w:widowControl w:val="0"/>
        <w:numPr>
          <w:ilvl w:val="0"/>
          <w:numId w:val="1"/>
        </w:numPr>
        <w:kinsoku/>
        <w:wordWrap/>
        <w:overflowPunct/>
        <w:topLinePunct w:val="0"/>
        <w:autoSpaceDE/>
        <w:autoSpaceDN/>
        <w:bidi w:val="0"/>
        <w:adjustRightInd/>
        <w:spacing w:afterAutospacing="0" w:line="360" w:lineRule="auto"/>
        <w:ind w:firstLineChars="0"/>
        <w:textAlignment w:val="auto"/>
        <w:rPr>
          <w:rFonts w:ascii="宋体" w:hAnsi="宋体"/>
          <w:b/>
          <w:sz w:val="24"/>
        </w:rPr>
      </w:pPr>
      <w:r>
        <w:rPr>
          <w:rFonts w:hint="eastAsia" w:ascii="宋体" w:hAnsi="宋体"/>
          <w:b/>
          <w:sz w:val="24"/>
        </w:rPr>
        <w:t>编写依据</w:t>
      </w:r>
    </w:p>
    <w:p w14:paraId="0C77737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宋体" w:hAnsi="宋体" w:eastAsia="宋体" w:cstheme="minorBidi"/>
          <w:sz w:val="24"/>
          <w:szCs w:val="22"/>
        </w:rPr>
      </w:pPr>
      <w:r>
        <w:rPr>
          <w:rFonts w:hint="eastAsia" w:ascii="宋体" w:hAnsi="宋体" w:eastAsia="宋体" w:cstheme="minorBidi"/>
          <w:sz w:val="24"/>
          <w:szCs w:val="22"/>
        </w:rPr>
        <w:t>本规范引用了下列文件：</w:t>
      </w:r>
    </w:p>
    <w:p w14:paraId="4F6F5443">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Times New Roman" w:hAnsi="Times New Roman" w:eastAsia="宋体" w:cs="Times New Roman"/>
          <w:sz w:val="24"/>
          <w:szCs w:val="22"/>
        </w:rPr>
      </w:pPr>
      <w:r>
        <w:rPr>
          <w:rFonts w:ascii="Times New Roman" w:hAnsi="Times New Roman" w:eastAsia="宋体" w:cs="Times New Roman"/>
          <w:sz w:val="24"/>
          <w:szCs w:val="22"/>
        </w:rPr>
        <w:t>JJF 1035—2006 电离辐射计量术语及定义</w:t>
      </w:r>
    </w:p>
    <w:p w14:paraId="111DD87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GB/T 16145—2022 环境及生物样品中放射性核素的γ能谱分析方法</w:t>
      </w:r>
    </w:p>
    <w:p w14:paraId="0BFB3376">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HJ 841—2017 水、牛奶、植物、动物甲状腺中碘-131的分析方法</w:t>
      </w:r>
    </w:p>
    <w:p w14:paraId="6B8A7B05">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HJ 1188—2021 核医学辐射防护与安全要求</w:t>
      </w:r>
    </w:p>
    <w:p w14:paraId="2858EF0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宋体" w:hAnsi="宋体" w:eastAsia="宋体" w:cs="Times New Roman"/>
          <w:kern w:val="0"/>
          <w:sz w:val="24"/>
          <w:szCs w:val="24"/>
        </w:rPr>
      </w:pPr>
      <w:r>
        <w:rPr>
          <w:rFonts w:ascii="宋体" w:hAnsi="宋体" w:eastAsia="宋体" w:cs="Times New Roman"/>
          <w:kern w:val="0"/>
          <w:sz w:val="24"/>
          <w:szCs w:val="24"/>
        </w:rPr>
        <w:t>凡是注日期的引用文件，仅注日期的版本适用于本</w:t>
      </w:r>
      <w:r>
        <w:rPr>
          <w:rFonts w:hint="eastAsia" w:ascii="宋体" w:hAnsi="宋体" w:eastAsia="宋体" w:cs="Times New Roman"/>
          <w:kern w:val="0"/>
          <w:sz w:val="24"/>
          <w:szCs w:val="24"/>
        </w:rPr>
        <w:t>规程</w:t>
      </w:r>
      <w:r>
        <w:rPr>
          <w:rFonts w:ascii="宋体" w:hAnsi="宋体" w:eastAsia="宋体" w:cs="Times New Roman"/>
          <w:kern w:val="0"/>
          <w:sz w:val="24"/>
          <w:szCs w:val="24"/>
        </w:rPr>
        <w:t>；凡是不注日期的引用文件，其最新版本（包括所有的修改单）适用于本</w:t>
      </w:r>
      <w:r>
        <w:rPr>
          <w:rFonts w:hint="eastAsia" w:ascii="宋体" w:hAnsi="宋体" w:eastAsia="宋体" w:cs="Times New Roman"/>
          <w:kern w:val="0"/>
          <w:sz w:val="24"/>
          <w:szCs w:val="24"/>
        </w:rPr>
        <w:t>规程</w:t>
      </w:r>
      <w:r>
        <w:rPr>
          <w:rFonts w:ascii="宋体" w:hAnsi="宋体" w:eastAsia="宋体" w:cs="Times New Roman"/>
          <w:kern w:val="0"/>
          <w:sz w:val="24"/>
          <w:szCs w:val="24"/>
        </w:rPr>
        <w:t>。</w:t>
      </w:r>
    </w:p>
    <w:p w14:paraId="703FB334">
      <w:pPr>
        <w:pStyle w:val="4"/>
        <w:keepNext w:val="0"/>
        <w:keepLines w:val="0"/>
        <w:pageBreakBefore w:val="0"/>
        <w:widowControl w:val="0"/>
        <w:numPr>
          <w:ilvl w:val="0"/>
          <w:numId w:val="1"/>
        </w:numPr>
        <w:kinsoku/>
        <w:wordWrap/>
        <w:overflowPunct/>
        <w:topLinePunct w:val="0"/>
        <w:autoSpaceDE/>
        <w:autoSpaceDN/>
        <w:bidi w:val="0"/>
        <w:adjustRightInd/>
        <w:spacing w:afterAutospacing="0" w:line="360" w:lineRule="auto"/>
        <w:ind w:firstLineChars="0"/>
        <w:textAlignment w:val="auto"/>
        <w:rPr>
          <w:rFonts w:ascii="宋体" w:hAnsi="宋体"/>
          <w:b/>
          <w:sz w:val="24"/>
        </w:rPr>
      </w:pPr>
      <w:r>
        <w:rPr>
          <w:rFonts w:hint="eastAsia" w:ascii="宋体" w:hAnsi="宋体"/>
          <w:b/>
          <w:sz w:val="24"/>
        </w:rPr>
        <w:t>内容说明</w:t>
      </w:r>
    </w:p>
    <w:p w14:paraId="66BC4F24">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1范围</w:t>
      </w:r>
    </w:p>
    <w:p w14:paraId="47090EB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规定了本规程</w:t>
      </w:r>
      <w:r>
        <w:rPr>
          <w:rFonts w:hint="eastAsia"/>
          <w:sz w:val="24"/>
          <w:lang w:val="en-US" w:eastAsia="zh-CN"/>
        </w:rPr>
        <w:t>适用</w:t>
      </w:r>
      <w:r>
        <w:rPr>
          <w:sz w:val="24"/>
        </w:rPr>
        <w:t>范围。</w:t>
      </w:r>
    </w:p>
    <w:p w14:paraId="434A7A4F">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2引用文件</w:t>
      </w:r>
    </w:p>
    <w:p w14:paraId="74BF8FBA">
      <w:pPr>
        <w:keepNext w:val="0"/>
        <w:keepLines w:val="0"/>
        <w:pageBreakBefore w:val="0"/>
        <w:widowControl w:val="0"/>
        <w:kinsoku/>
        <w:wordWrap/>
        <w:overflowPunct/>
        <w:topLinePunct w:val="0"/>
        <w:autoSpaceDE/>
        <w:autoSpaceDN/>
        <w:bidi w:val="0"/>
        <w:adjustRightInd/>
        <w:spacing w:afterAutospacing="0"/>
        <w:ind w:firstLine="480" w:firstLineChars="200"/>
        <w:textAlignment w:val="auto"/>
      </w:pPr>
      <w:r>
        <w:rPr>
          <w:sz w:val="24"/>
          <w:szCs w:val="24"/>
        </w:rPr>
        <w:t>列出了本规程所以引用的参考文献的有效版本。</w:t>
      </w:r>
    </w:p>
    <w:p w14:paraId="02A5361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3术语和计量单位</w:t>
      </w:r>
    </w:p>
    <w:p w14:paraId="05E7F6CF">
      <w:pPr>
        <w:keepNext w:val="0"/>
        <w:keepLines w:val="0"/>
        <w:pageBreakBefore w:val="0"/>
        <w:widowControl w:val="0"/>
        <w:kinsoku/>
        <w:wordWrap/>
        <w:overflowPunct/>
        <w:topLinePunct w:val="0"/>
        <w:autoSpaceDE/>
        <w:autoSpaceDN/>
        <w:bidi w:val="0"/>
        <w:adjustRightInd/>
        <w:spacing w:afterAutospacing="0"/>
        <w:ind w:firstLine="480" w:firstLineChars="200"/>
        <w:textAlignment w:val="auto"/>
        <w:rPr>
          <w:rFonts w:hint="eastAsia" w:eastAsia="宋体"/>
          <w:lang w:eastAsia="zh-CN"/>
        </w:rPr>
      </w:pPr>
      <w:r>
        <w:rPr>
          <w:sz w:val="24"/>
          <w:szCs w:val="24"/>
        </w:rPr>
        <w:t>定义了本规程中用到的相关名词术语</w:t>
      </w:r>
      <w:r>
        <w:rPr>
          <w:rFonts w:hint="eastAsia"/>
          <w:sz w:val="24"/>
          <w:szCs w:val="24"/>
          <w:lang w:eastAsia="zh-CN"/>
        </w:rPr>
        <w:t>。</w:t>
      </w:r>
    </w:p>
    <w:p w14:paraId="716E18C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4概述</w:t>
      </w:r>
    </w:p>
    <w:p w14:paraId="66464073">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宋体" w:hAnsi="宋体"/>
          <w:sz w:val="24"/>
        </w:rPr>
      </w:pPr>
      <w:r>
        <w:rPr>
          <w:rFonts w:hint="eastAsia" w:ascii="宋体" w:hAnsi="宋体"/>
          <w:sz w:val="24"/>
        </w:rPr>
        <w:t>简</w:t>
      </w:r>
      <w:r>
        <w:rPr>
          <w:rFonts w:hint="eastAsia" w:ascii="宋体" w:hAnsi="宋体"/>
          <w:sz w:val="24"/>
          <w:lang w:val="en-US" w:eastAsia="zh-CN"/>
        </w:rPr>
        <w:t>单介绍了核医学放射性废液活度浓度测量仪</w:t>
      </w:r>
      <w:r>
        <w:rPr>
          <w:rFonts w:hint="eastAsia" w:ascii="宋体" w:hAnsi="宋体"/>
          <w:sz w:val="24"/>
        </w:rPr>
        <w:t>。</w:t>
      </w:r>
    </w:p>
    <w:p w14:paraId="466CD018">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5计量特性</w:t>
      </w:r>
    </w:p>
    <w:p w14:paraId="251F8E38">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给出了</w:t>
      </w:r>
      <w:r>
        <w:rPr>
          <w:rFonts w:hint="eastAsia" w:ascii="宋体" w:hAnsi="宋体"/>
          <w:sz w:val="24"/>
          <w:lang w:val="en-US" w:eastAsia="zh-CN"/>
        </w:rPr>
        <w:t>校准过程</w:t>
      </w:r>
      <w:r>
        <w:rPr>
          <w:sz w:val="24"/>
        </w:rPr>
        <w:t>中主要的计量性能要求。</w:t>
      </w:r>
    </w:p>
    <w:p w14:paraId="0A3A4F58">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eastAsia="宋体"/>
          <w:sz w:val="24"/>
          <w:lang w:val="en-US" w:eastAsia="zh-CN"/>
        </w:rPr>
      </w:pPr>
      <w:r>
        <w:rPr>
          <w:sz w:val="24"/>
        </w:rPr>
        <w:t>6</w:t>
      </w:r>
      <w:r>
        <w:rPr>
          <w:rFonts w:hint="eastAsia"/>
          <w:sz w:val="24"/>
          <w:lang w:val="en-US" w:eastAsia="zh-CN"/>
        </w:rPr>
        <w:t>校准条件</w:t>
      </w:r>
    </w:p>
    <w:p w14:paraId="7BE2AE4E">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给出了</w:t>
      </w:r>
      <w:r>
        <w:rPr>
          <w:rFonts w:hint="eastAsia" w:ascii="宋体" w:hAnsi="宋体"/>
          <w:sz w:val="24"/>
          <w:lang w:val="en-US" w:eastAsia="zh-CN"/>
        </w:rPr>
        <w:t>校准过程</w:t>
      </w:r>
      <w:r>
        <w:rPr>
          <w:sz w:val="24"/>
        </w:rPr>
        <w:t>中的</w:t>
      </w:r>
      <w:r>
        <w:rPr>
          <w:rFonts w:hint="eastAsia"/>
          <w:sz w:val="24"/>
          <w:lang w:val="en-US" w:eastAsia="zh-CN"/>
        </w:rPr>
        <w:t>环境条件、校准设备</w:t>
      </w:r>
      <w:r>
        <w:rPr>
          <w:sz w:val="24"/>
        </w:rPr>
        <w:t>。</w:t>
      </w:r>
    </w:p>
    <w:p w14:paraId="6396067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eastAsia="宋体"/>
          <w:sz w:val="24"/>
          <w:lang w:val="en-US" w:eastAsia="zh-CN"/>
        </w:rPr>
      </w:pPr>
      <w:r>
        <w:rPr>
          <w:sz w:val="24"/>
        </w:rPr>
        <w:t>7</w:t>
      </w:r>
      <w:r>
        <w:rPr>
          <w:rFonts w:hint="eastAsia"/>
          <w:sz w:val="24"/>
          <w:lang w:val="en-US" w:eastAsia="zh-CN"/>
        </w:rPr>
        <w:t>校准项目和校准方法</w:t>
      </w:r>
    </w:p>
    <w:p w14:paraId="4A45D191">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ascii="宋体" w:hAnsi="宋体"/>
          <w:sz w:val="24"/>
        </w:rPr>
      </w:pPr>
      <w:r>
        <w:rPr>
          <w:sz w:val="24"/>
        </w:rPr>
        <w:t>给</w:t>
      </w:r>
      <w:r>
        <w:rPr>
          <w:rFonts w:hint="eastAsia" w:ascii="宋体" w:hAnsi="宋体"/>
          <w:sz w:val="24"/>
        </w:rPr>
        <w:t>出了</w:t>
      </w:r>
      <w:r>
        <w:rPr>
          <w:rFonts w:hint="eastAsia" w:ascii="宋体" w:hAnsi="宋体"/>
          <w:sz w:val="24"/>
          <w:lang w:val="en-US" w:eastAsia="zh-CN"/>
        </w:rPr>
        <w:t>核医学放射性废液活度浓度测量仪的校准</w:t>
      </w:r>
      <w:r>
        <w:rPr>
          <w:rFonts w:hint="eastAsia" w:ascii="宋体" w:hAnsi="宋体"/>
          <w:sz w:val="24"/>
        </w:rPr>
        <w:t>项目</w:t>
      </w:r>
      <w:r>
        <w:rPr>
          <w:rFonts w:hint="eastAsia" w:ascii="宋体" w:hAnsi="宋体"/>
          <w:sz w:val="24"/>
          <w:lang w:eastAsia="zh-CN"/>
        </w:rPr>
        <w:t>、</w:t>
      </w:r>
      <w:r>
        <w:rPr>
          <w:rFonts w:hint="eastAsia" w:ascii="宋体" w:hAnsi="宋体"/>
          <w:sz w:val="24"/>
          <w:lang w:val="en-US" w:eastAsia="zh-CN"/>
        </w:rPr>
        <w:t>校准</w:t>
      </w:r>
      <w:r>
        <w:rPr>
          <w:rFonts w:hint="eastAsia" w:ascii="宋体" w:hAnsi="宋体"/>
          <w:sz w:val="24"/>
        </w:rPr>
        <w:t>方法。</w:t>
      </w:r>
    </w:p>
    <w:p w14:paraId="6D44309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eastAsia"/>
          <w:sz w:val="24"/>
          <w:lang w:val="en-US" w:eastAsia="zh-CN"/>
        </w:rPr>
      </w:pPr>
      <w:r>
        <w:rPr>
          <w:sz w:val="24"/>
        </w:rPr>
        <w:t>8</w:t>
      </w:r>
      <w:r>
        <w:rPr>
          <w:rFonts w:hint="eastAsia"/>
          <w:sz w:val="24"/>
          <w:lang w:val="en-US" w:eastAsia="zh-CN"/>
        </w:rPr>
        <w:t xml:space="preserve"> 校准结果表达</w:t>
      </w:r>
    </w:p>
    <w:p w14:paraId="1997C1F7">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sz w:val="24"/>
          <w:lang w:val="en-US" w:eastAsia="zh-CN"/>
        </w:rPr>
      </w:pPr>
      <w:r>
        <w:rPr>
          <w:rFonts w:hint="eastAsia"/>
          <w:sz w:val="24"/>
          <w:lang w:val="en-US" w:eastAsia="zh-CN"/>
        </w:rPr>
        <w:t>给出了校准结果的表达形式。</w:t>
      </w:r>
      <w:bookmarkStart w:id="0" w:name="_GoBack"/>
      <w:bookmarkEnd w:id="0"/>
    </w:p>
    <w:p w14:paraId="043CF1D8">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sz w:val="24"/>
          <w:lang w:val="en-US" w:eastAsia="zh-CN"/>
        </w:rPr>
      </w:pPr>
      <w:r>
        <w:rPr>
          <w:rFonts w:hint="eastAsia"/>
          <w:sz w:val="24"/>
          <w:lang w:val="en-US" w:eastAsia="zh-CN"/>
        </w:rPr>
        <w:t>9 复校时间间隔</w:t>
      </w:r>
    </w:p>
    <w:p w14:paraId="3636B901">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rFonts w:hint="default" w:eastAsia="宋体"/>
          <w:sz w:val="24"/>
          <w:lang w:val="en-US" w:eastAsia="zh-CN"/>
        </w:rPr>
      </w:pPr>
      <w:r>
        <w:rPr>
          <w:rFonts w:hint="eastAsia"/>
          <w:sz w:val="24"/>
          <w:lang w:val="en-US" w:eastAsia="zh-CN"/>
        </w:rPr>
        <w:t>给出了复校时间间隔的建议。</w:t>
      </w:r>
    </w:p>
    <w:p w14:paraId="708CDA51">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附录A</w:t>
      </w:r>
    </w:p>
    <w:p w14:paraId="41858A65">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给出了</w:t>
      </w:r>
      <w:r>
        <w:rPr>
          <w:rFonts w:hint="eastAsia"/>
          <w:sz w:val="24"/>
          <w:lang w:val="en-US" w:eastAsia="zh-CN"/>
        </w:rPr>
        <w:t>校准原始记录（推荐）</w:t>
      </w:r>
      <w:r>
        <w:rPr>
          <w:sz w:val="24"/>
        </w:rPr>
        <w:t>格式。</w:t>
      </w:r>
    </w:p>
    <w:p w14:paraId="67E8C695">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附录B</w:t>
      </w:r>
    </w:p>
    <w:p w14:paraId="7CBB7063">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给出了</w:t>
      </w:r>
      <w:r>
        <w:rPr>
          <w:rFonts w:hint="eastAsia"/>
          <w:sz w:val="24"/>
          <w:lang w:val="en-US" w:eastAsia="zh-CN"/>
        </w:rPr>
        <w:t>校准证书</w:t>
      </w:r>
      <w:r>
        <w:rPr>
          <w:sz w:val="24"/>
        </w:rPr>
        <w:t>内页</w:t>
      </w:r>
      <w:r>
        <w:rPr>
          <w:rFonts w:hint="eastAsia"/>
          <w:sz w:val="24"/>
          <w:lang w:eastAsia="zh-CN"/>
        </w:rPr>
        <w:t>（</w:t>
      </w:r>
      <w:r>
        <w:rPr>
          <w:rFonts w:hint="eastAsia"/>
          <w:sz w:val="24"/>
          <w:lang w:val="en-US" w:eastAsia="zh-CN"/>
        </w:rPr>
        <w:t>推荐</w:t>
      </w:r>
      <w:r>
        <w:rPr>
          <w:rFonts w:hint="eastAsia"/>
          <w:sz w:val="24"/>
          <w:lang w:eastAsia="zh-CN"/>
        </w:rPr>
        <w:t>）</w:t>
      </w:r>
      <w:r>
        <w:rPr>
          <w:sz w:val="24"/>
        </w:rPr>
        <w:t>格式。</w:t>
      </w:r>
    </w:p>
    <w:p w14:paraId="61D05125">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附录C</w:t>
      </w:r>
    </w:p>
    <w:p w14:paraId="25A63152">
      <w:pPr>
        <w:keepNext w:val="0"/>
        <w:keepLines w:val="0"/>
        <w:pageBreakBefore w:val="0"/>
        <w:widowControl w:val="0"/>
        <w:kinsoku/>
        <w:wordWrap/>
        <w:overflowPunct/>
        <w:topLinePunct w:val="0"/>
        <w:autoSpaceDE/>
        <w:autoSpaceDN/>
        <w:bidi w:val="0"/>
        <w:adjustRightInd/>
        <w:spacing w:afterAutospacing="0" w:line="360" w:lineRule="auto"/>
        <w:ind w:firstLine="480" w:firstLineChars="200"/>
        <w:textAlignment w:val="auto"/>
        <w:rPr>
          <w:sz w:val="24"/>
        </w:rPr>
      </w:pPr>
      <w:r>
        <w:rPr>
          <w:sz w:val="24"/>
        </w:rPr>
        <w:t>给出了</w:t>
      </w:r>
      <w:r>
        <w:rPr>
          <w:rFonts w:hint="eastAsia" w:cs="Times New Roman"/>
          <w:sz w:val="24"/>
          <w:lang w:val="en-US" w:eastAsia="zh-CN"/>
        </w:rPr>
        <w:t>探测灵敏度测量结果</w:t>
      </w:r>
      <w:r>
        <w:rPr>
          <w:sz w:val="24"/>
        </w:rPr>
        <w:t>的</w:t>
      </w:r>
      <w:r>
        <w:rPr>
          <w:rFonts w:hint="eastAsia" w:cs="Times New Roman"/>
          <w:sz w:val="24"/>
          <w:lang w:val="en-US" w:eastAsia="zh-CN"/>
        </w:rPr>
        <w:t>不确定度</w:t>
      </w:r>
      <w:r>
        <w:rPr>
          <w:rFonts w:hint="eastAsia"/>
          <w:sz w:val="24"/>
          <w:lang w:val="en-US" w:eastAsia="zh-CN"/>
        </w:rPr>
        <w:t>评定示例</w:t>
      </w:r>
      <w:r>
        <w:rPr>
          <w:sz w:val="24"/>
        </w:rPr>
        <w:t>。</w:t>
      </w:r>
    </w:p>
    <w:p w14:paraId="1A9FA7DF">
      <w:pPr>
        <w:keepNext w:val="0"/>
        <w:keepLines w:val="0"/>
        <w:pageBreakBefore w:val="0"/>
        <w:widowControl w:val="0"/>
        <w:kinsoku/>
        <w:wordWrap/>
        <w:overflowPunct/>
        <w:topLinePunct w:val="0"/>
        <w:autoSpaceDE/>
        <w:autoSpaceDN/>
        <w:bidi w:val="0"/>
        <w:adjustRightInd/>
        <w:snapToGrid w:val="0"/>
        <w:spacing w:afterAutospacing="0" w:line="480" w:lineRule="exact"/>
        <w:ind w:firstLine="480" w:firstLineChars="200"/>
        <w:textAlignment w:val="auto"/>
        <w:rPr>
          <w:sz w:val="24"/>
          <w:szCs w:val="24"/>
        </w:rPr>
      </w:pPr>
      <w:r>
        <w:rPr>
          <w:sz w:val="24"/>
          <w:szCs w:val="24"/>
        </w:rPr>
        <w:t>以上就是对《</w:t>
      </w:r>
      <w:r>
        <w:rPr>
          <w:rFonts w:hint="eastAsia" w:ascii="宋体" w:hAnsi="宋体"/>
          <w:sz w:val="24"/>
        </w:rPr>
        <w:t>核医学放射性废液活度浓度测量仪</w:t>
      </w:r>
      <w:r>
        <w:rPr>
          <w:rFonts w:hint="eastAsia" w:ascii="宋体" w:hAnsi="宋体"/>
          <w:sz w:val="24"/>
          <w:lang w:val="en-US" w:eastAsia="zh-CN"/>
        </w:rPr>
        <w:t>校准规范</w:t>
      </w:r>
      <w:r>
        <w:rPr>
          <w:sz w:val="24"/>
          <w:szCs w:val="24"/>
        </w:rPr>
        <w:t>》制定的说明，本</w:t>
      </w:r>
      <w:r>
        <w:rPr>
          <w:rFonts w:hint="eastAsia"/>
          <w:sz w:val="24"/>
          <w:szCs w:val="24"/>
          <w:lang w:val="en-US" w:eastAsia="zh-CN"/>
        </w:rPr>
        <w:t>规范</w:t>
      </w:r>
      <w:r>
        <w:rPr>
          <w:sz w:val="24"/>
          <w:szCs w:val="24"/>
        </w:rPr>
        <w:t>调研、制订及征求意见的过程中，得到了相关领导的大力支持；还有同事和同行以及有关专家在</w:t>
      </w:r>
      <w:r>
        <w:rPr>
          <w:rFonts w:hint="eastAsia"/>
          <w:sz w:val="24"/>
          <w:szCs w:val="24"/>
          <w:lang w:val="en-US" w:eastAsia="zh-CN"/>
        </w:rPr>
        <w:t>规范</w:t>
      </w:r>
      <w:r>
        <w:rPr>
          <w:sz w:val="24"/>
          <w:szCs w:val="24"/>
        </w:rPr>
        <w:t>的起草过程中提出了大量合理、中肯的建议，并给予了具体的帮助，在此一并表示衷心的感谢！</w:t>
      </w:r>
    </w:p>
    <w:p w14:paraId="642D51AA">
      <w:pPr>
        <w:keepNext w:val="0"/>
        <w:keepLines w:val="0"/>
        <w:pageBreakBefore w:val="0"/>
        <w:widowControl w:val="0"/>
        <w:kinsoku/>
        <w:wordWrap/>
        <w:overflowPunct/>
        <w:topLinePunct w:val="0"/>
        <w:autoSpaceDE/>
        <w:autoSpaceDN/>
        <w:bidi w:val="0"/>
        <w:adjustRightInd/>
        <w:snapToGrid w:val="0"/>
        <w:spacing w:afterAutospacing="0" w:line="480" w:lineRule="exact"/>
        <w:ind w:firstLine="480" w:firstLineChars="200"/>
        <w:jc w:val="right"/>
        <w:textAlignment w:val="auto"/>
        <w:rPr>
          <w:sz w:val="24"/>
          <w:szCs w:val="24"/>
        </w:rPr>
      </w:pPr>
      <w:r>
        <w:rPr>
          <w:sz w:val="24"/>
          <w:szCs w:val="24"/>
        </w:rPr>
        <w:t>《</w:t>
      </w:r>
      <w:r>
        <w:rPr>
          <w:rFonts w:hint="eastAsia" w:ascii="宋体" w:hAnsi="宋体"/>
          <w:sz w:val="24"/>
        </w:rPr>
        <w:t>核医学放射性废液活度浓度测量仪校准规范</w:t>
      </w:r>
      <w:r>
        <w:rPr>
          <w:sz w:val="24"/>
          <w:szCs w:val="24"/>
        </w:rPr>
        <w:t>》</w:t>
      </w:r>
    </w:p>
    <w:p w14:paraId="376BE75D">
      <w:pPr>
        <w:keepNext w:val="0"/>
        <w:keepLines w:val="0"/>
        <w:pageBreakBefore w:val="0"/>
        <w:widowControl w:val="0"/>
        <w:kinsoku/>
        <w:wordWrap/>
        <w:overflowPunct/>
        <w:topLinePunct w:val="0"/>
        <w:autoSpaceDE/>
        <w:autoSpaceDN/>
        <w:bidi w:val="0"/>
        <w:adjustRightInd/>
        <w:snapToGrid w:val="0"/>
        <w:spacing w:afterAutospacing="0" w:line="480" w:lineRule="exact"/>
        <w:ind w:firstLine="480" w:firstLineChars="200"/>
        <w:jc w:val="right"/>
        <w:textAlignment w:val="auto"/>
        <w:rPr>
          <w:rFonts w:hint="eastAsia" w:ascii="宋体" w:hAnsi="宋体"/>
          <w:sz w:val="24"/>
        </w:rPr>
      </w:pPr>
      <w:r>
        <w:rPr>
          <w:color w:val="000000"/>
          <w:sz w:val="24"/>
          <w:szCs w:val="24"/>
        </w:rPr>
        <w:t>202</w:t>
      </w:r>
      <w:r>
        <w:rPr>
          <w:rFonts w:hint="eastAsia"/>
          <w:color w:val="000000"/>
          <w:sz w:val="24"/>
          <w:szCs w:val="24"/>
          <w:lang w:val="en-US" w:eastAsia="zh-CN"/>
        </w:rPr>
        <w:t>6</w:t>
      </w:r>
      <w:r>
        <w:rPr>
          <w:color w:val="000000"/>
          <w:sz w:val="24"/>
          <w:szCs w:val="24"/>
        </w:rPr>
        <w:t>年</w:t>
      </w:r>
      <w:r>
        <w:rPr>
          <w:rFonts w:hint="eastAsia"/>
          <w:color w:val="000000"/>
          <w:sz w:val="24"/>
          <w:szCs w:val="24"/>
          <w:lang w:val="en-US" w:eastAsia="zh-CN"/>
        </w:rPr>
        <w:t>3</w:t>
      </w:r>
      <w:r>
        <w:rPr>
          <w:color w:val="000000"/>
          <w:sz w:val="24"/>
          <w:szCs w:val="24"/>
        </w:rPr>
        <w:t>月</w:t>
      </w:r>
      <w:r>
        <w:rPr>
          <w:rFonts w:hint="eastAsia"/>
          <w:color w:val="000000"/>
          <w:sz w:val="24"/>
          <w:szCs w:val="24"/>
          <w:lang w:val="en-US" w:eastAsia="zh-CN"/>
        </w:rPr>
        <w:t>25</w:t>
      </w:r>
      <w:r>
        <w:rPr>
          <w:color w:val="00000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5D1322"/>
    <w:multiLevelType w:val="multilevel"/>
    <w:tmpl w:val="6B5D132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1F9"/>
    <w:rsid w:val="00160478"/>
    <w:rsid w:val="00183B05"/>
    <w:rsid w:val="001C6339"/>
    <w:rsid w:val="001D2A89"/>
    <w:rsid w:val="002E051B"/>
    <w:rsid w:val="00356B69"/>
    <w:rsid w:val="00365334"/>
    <w:rsid w:val="003C7C15"/>
    <w:rsid w:val="003E3BB3"/>
    <w:rsid w:val="004409C1"/>
    <w:rsid w:val="00524DE2"/>
    <w:rsid w:val="006C096F"/>
    <w:rsid w:val="0087471B"/>
    <w:rsid w:val="0099212E"/>
    <w:rsid w:val="00AE2212"/>
    <w:rsid w:val="00B23943"/>
    <w:rsid w:val="00BB56E3"/>
    <w:rsid w:val="00D52A8A"/>
    <w:rsid w:val="00D631F9"/>
    <w:rsid w:val="00E24AFC"/>
    <w:rsid w:val="00E276C2"/>
    <w:rsid w:val="00E74C36"/>
    <w:rsid w:val="00E93A87"/>
    <w:rsid w:val="00EE6489"/>
    <w:rsid w:val="00F0185F"/>
    <w:rsid w:val="00F41B40"/>
    <w:rsid w:val="00FE18BD"/>
    <w:rsid w:val="04D45C81"/>
    <w:rsid w:val="054364BD"/>
    <w:rsid w:val="063A70E3"/>
    <w:rsid w:val="070D2CF0"/>
    <w:rsid w:val="078A34EB"/>
    <w:rsid w:val="08854407"/>
    <w:rsid w:val="09FC4E8C"/>
    <w:rsid w:val="0A555725"/>
    <w:rsid w:val="0B1213D8"/>
    <w:rsid w:val="0B6D6042"/>
    <w:rsid w:val="0BA16495"/>
    <w:rsid w:val="0C1961BB"/>
    <w:rsid w:val="0E33223B"/>
    <w:rsid w:val="0F444223"/>
    <w:rsid w:val="0F9D7B0A"/>
    <w:rsid w:val="1A8C692E"/>
    <w:rsid w:val="1C1A02E1"/>
    <w:rsid w:val="1E5404E7"/>
    <w:rsid w:val="1EFA3C38"/>
    <w:rsid w:val="1F5C2266"/>
    <w:rsid w:val="20F3093F"/>
    <w:rsid w:val="21B55BF5"/>
    <w:rsid w:val="248442FF"/>
    <w:rsid w:val="25731D54"/>
    <w:rsid w:val="2849353B"/>
    <w:rsid w:val="2861360C"/>
    <w:rsid w:val="29B70E09"/>
    <w:rsid w:val="2AC375D4"/>
    <w:rsid w:val="2D1C121E"/>
    <w:rsid w:val="2DB94CBF"/>
    <w:rsid w:val="2FC37356"/>
    <w:rsid w:val="300D0FF7"/>
    <w:rsid w:val="30395C43"/>
    <w:rsid w:val="32A221C5"/>
    <w:rsid w:val="349D2C44"/>
    <w:rsid w:val="370A20E7"/>
    <w:rsid w:val="37920A5A"/>
    <w:rsid w:val="38743CBC"/>
    <w:rsid w:val="39650153"/>
    <w:rsid w:val="3A6D130B"/>
    <w:rsid w:val="3B2D6862"/>
    <w:rsid w:val="3BD709DF"/>
    <w:rsid w:val="3CE77152"/>
    <w:rsid w:val="40F97454"/>
    <w:rsid w:val="42703746"/>
    <w:rsid w:val="431542ED"/>
    <w:rsid w:val="44E224D8"/>
    <w:rsid w:val="48A26623"/>
    <w:rsid w:val="495F2766"/>
    <w:rsid w:val="4C4B0D80"/>
    <w:rsid w:val="4C675BBA"/>
    <w:rsid w:val="513A6A0A"/>
    <w:rsid w:val="516528E4"/>
    <w:rsid w:val="53D37FD9"/>
    <w:rsid w:val="56246EDD"/>
    <w:rsid w:val="573A1E22"/>
    <w:rsid w:val="5A6D041E"/>
    <w:rsid w:val="5B35697C"/>
    <w:rsid w:val="5BC83EA0"/>
    <w:rsid w:val="5D2B6790"/>
    <w:rsid w:val="5E1B2429"/>
    <w:rsid w:val="616C37DB"/>
    <w:rsid w:val="62F37D50"/>
    <w:rsid w:val="67620656"/>
    <w:rsid w:val="687D7DEE"/>
    <w:rsid w:val="6ED45581"/>
    <w:rsid w:val="6F6523B2"/>
    <w:rsid w:val="710475CC"/>
    <w:rsid w:val="71CF5DF0"/>
    <w:rsid w:val="72EE676E"/>
    <w:rsid w:val="73955BA6"/>
    <w:rsid w:val="759C6672"/>
    <w:rsid w:val="76766876"/>
    <w:rsid w:val="77F50B22"/>
    <w:rsid w:val="7AC06311"/>
    <w:rsid w:val="7D5E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1943</Words>
  <Characters>2081</Characters>
  <Lines>18</Lines>
  <Paragraphs>5</Paragraphs>
  <TotalTime>18</TotalTime>
  <ScaleCrop>false</ScaleCrop>
  <LinksUpToDate>false</LinksUpToDate>
  <CharactersWithSpaces>2114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2025-09-04T07:11:00Z</dcterms:created>
  <dc:creator>admin</dc:creator>
  <cp:lastModifiedBy>林雨</cp:lastModifiedBy>
  <dcterms:modified xsi:type="dcterms:W3CDTF">2026-04-01T02:12:19Z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eyJoZGlkIjoiMjliMDU4ZDE0ZDNiZmRmOWZlNmIyZjBhM2Q5MWQ5OTgiLCJ1c2VySWQiOiI0Mzk3MjE2MDIifQ==</vt:lpwstr>
  </property>
  <property fmtid="{D5CDD505-2E9C-101B-9397-08002B2CF9AE}" pid="3" name="KSOProductBuildVer">
    <vt:lpwstr>2052-12.1.0.25225</vt:lpwstr>
  </property>
  <property fmtid="{D5CDD505-2E9C-101B-9397-08002B2CF9AE}" pid="4" name="ICV">
    <vt:lpwstr>DD3CD0C593AC4645907783EB882BF567_12</vt:lpwstr>
  </property>
</Properties>
</file>