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F58CB">
      <w:pPr>
        <w:ind w:firstLine="640"/>
      </w:pPr>
      <w:bookmarkStart w:id="0" w:name="_GoBack"/>
      <w:bookmarkEnd w:id="0"/>
    </w:p>
    <w:p w14:paraId="0B5663EE">
      <w:pPr>
        <w:ind w:firstLine="640"/>
      </w:pPr>
    </w:p>
    <w:p w14:paraId="6978AB31">
      <w:pPr>
        <w:ind w:firstLine="640"/>
      </w:pPr>
    </w:p>
    <w:p w14:paraId="58CFD768">
      <w:pPr>
        <w:ind w:firstLine="640"/>
        <w:jc w:val="center"/>
      </w:pPr>
      <w:r>
        <w:rPr>
          <w:rFonts w:hint="eastAsia"/>
        </w:rPr>
        <w:t>团体标准</w:t>
      </w:r>
    </w:p>
    <w:p w14:paraId="5CFB7937">
      <w:pPr>
        <w:ind w:firstLine="640"/>
        <w:jc w:val="center"/>
      </w:pPr>
      <w:r>
        <w:rPr>
          <w:rFonts w:hint="eastAsia"/>
        </w:rPr>
        <w:t>（汽车转向系性能检测装置校准方法）</w:t>
      </w:r>
    </w:p>
    <w:p w14:paraId="7B60B75E">
      <w:pPr>
        <w:ind w:firstLine="640"/>
        <w:jc w:val="center"/>
      </w:pPr>
      <w:r>
        <w:rPr>
          <w:rFonts w:hint="eastAsia"/>
        </w:rPr>
        <w:t>（送审稿）</w:t>
      </w:r>
    </w:p>
    <w:p w14:paraId="7ECC5B79">
      <w:pPr>
        <w:ind w:firstLine="640"/>
        <w:jc w:val="center"/>
      </w:pPr>
    </w:p>
    <w:p w14:paraId="34F733D1">
      <w:pPr>
        <w:ind w:firstLine="640"/>
        <w:jc w:val="center"/>
      </w:pPr>
      <w:r>
        <w:rPr>
          <w:rFonts w:hint="eastAsia"/>
        </w:rPr>
        <w:t>编 制 说 明</w:t>
      </w:r>
    </w:p>
    <w:p w14:paraId="4C93AE42">
      <w:pPr>
        <w:ind w:firstLine="640"/>
        <w:jc w:val="center"/>
      </w:pPr>
    </w:p>
    <w:p w14:paraId="4F278550">
      <w:pPr>
        <w:ind w:firstLine="640"/>
        <w:jc w:val="center"/>
      </w:pPr>
    </w:p>
    <w:p w14:paraId="22575105">
      <w:pPr>
        <w:ind w:firstLine="640"/>
        <w:jc w:val="center"/>
      </w:pPr>
    </w:p>
    <w:p w14:paraId="3CEBAE70">
      <w:pPr>
        <w:ind w:firstLine="640"/>
        <w:jc w:val="center"/>
      </w:pPr>
    </w:p>
    <w:p w14:paraId="1A3F92B7">
      <w:pPr>
        <w:ind w:firstLine="640"/>
        <w:jc w:val="center"/>
      </w:pPr>
      <w:r>
        <w:t>标准起草工作组</w:t>
      </w:r>
    </w:p>
    <w:p w14:paraId="7585D30D">
      <w:pPr>
        <w:ind w:firstLine="640"/>
        <w:jc w:val="center"/>
      </w:pPr>
      <w:r>
        <w:t>20</w:t>
      </w:r>
      <w:r>
        <w:rPr>
          <w:rFonts w:hint="eastAsia"/>
        </w:rPr>
        <w:t>2</w:t>
      </w:r>
      <w:r>
        <w:rPr>
          <w:rFonts w:hint="eastAsia"/>
          <w:lang w:val="en-US" w:eastAsia="zh-CN"/>
        </w:rPr>
        <w:t>6</w:t>
      </w:r>
      <w:r>
        <w:t>年</w:t>
      </w:r>
      <w:r>
        <w:rPr>
          <w:rFonts w:hint="eastAsia"/>
          <w:lang w:val="en-US" w:eastAsia="zh-CN"/>
        </w:rPr>
        <w:t>7</w:t>
      </w:r>
      <w:r>
        <w:t>月</w:t>
      </w:r>
    </w:p>
    <w:p w14:paraId="402AC057">
      <w:pPr>
        <w:ind w:firstLine="640"/>
      </w:pPr>
    </w:p>
    <w:p w14:paraId="0561C7D3">
      <w:pPr>
        <w:ind w:firstLine="640"/>
      </w:pPr>
    </w:p>
    <w:p w14:paraId="5046FD8A">
      <w:pPr>
        <w:ind w:firstLine="640"/>
      </w:pPr>
      <w:r>
        <w:rPr>
          <w:rFonts w:hint="eastAsia"/>
        </w:rPr>
        <w:t>团体标准《汽车转向系性能检测装置校准方法》（送审稿）编制说明</w:t>
      </w:r>
    </w:p>
    <w:p w14:paraId="2CD213E5">
      <w:pPr>
        <w:pStyle w:val="2"/>
        <w:ind w:firstLine="640"/>
      </w:pPr>
      <w:r>
        <w:t>一、任务来源</w:t>
      </w:r>
    </w:p>
    <w:p w14:paraId="65D787F3">
      <w:pPr>
        <w:ind w:firstLine="640"/>
      </w:pPr>
      <w:r>
        <w:t>经中国计量协会批准，将《</w:t>
      </w:r>
      <w:r>
        <w:rPr>
          <w:rFonts w:hint="eastAsia"/>
        </w:rPr>
        <w:t>汽车转向系性能检测装置校准方法</w:t>
      </w:r>
      <w:r>
        <w:t>》团体标准列入</w:t>
      </w:r>
      <w:r>
        <w:rPr>
          <w:rFonts w:hint="eastAsia"/>
        </w:rPr>
        <w:t>2024</w:t>
      </w:r>
      <w:r>
        <w:t>年机动车工作委员会团体标准制修订计划。委托</w:t>
      </w:r>
      <w:r>
        <w:rPr>
          <w:rFonts w:hint="eastAsia"/>
        </w:rPr>
        <w:t>中汽研汽车检验中心(天津)有限公司</w:t>
      </w:r>
      <w:r>
        <w:t>作为主要起草单位负责制订。</w:t>
      </w:r>
    </w:p>
    <w:p w14:paraId="1C936A06">
      <w:pPr>
        <w:pStyle w:val="2"/>
        <w:numPr>
          <w:ilvl w:val="0"/>
          <w:numId w:val="3"/>
        </w:numPr>
        <w:ind w:firstLineChars="0"/>
      </w:pPr>
      <w:r>
        <w:t>目的和意义</w:t>
      </w:r>
    </w:p>
    <w:p w14:paraId="1EC12C68">
      <w:pPr>
        <w:ind w:firstLine="640"/>
      </w:pPr>
      <w:r>
        <w:t>汽车转向系统是专门用来改变或者恢复汽车行驶方向的机构，其既保障车辆按照驾驶人操纵行驶，又使得车辆在受到路面偶然冲击或意外偏离行驶方向时与其他系统配合保持车辆稳定行驶。因此，转向系统直接影响车辆的操作稳定性与安全性，也是驾驶过程中至关重要的一个系统。转向系统对整车来说非常重要，很大程度上影响行车安全以及驾驶操控性，因此对汽车转向系性能检测装置进行准确的溯源至关重要。</w:t>
      </w:r>
    </w:p>
    <w:p w14:paraId="29AB14B7">
      <w:pPr>
        <w:ind w:firstLine="640"/>
      </w:pPr>
      <w:r>
        <w:t>本规范适用于汽车转向系性能检测装置中众多参数的校准，此规范的制定将实现汽车转向系性能检测装置的量值准确溯源，提升汽车转向测试试验数据的可靠性，依据此规范能够使各个参数得到准确、高效、全面的校准，进而节约大量的时间成本和人工成本</w:t>
      </w:r>
      <w:r>
        <w:rPr>
          <w:rFonts w:hint="eastAsia"/>
        </w:rPr>
        <w:t>。</w:t>
      </w:r>
    </w:p>
    <w:p w14:paraId="370E279E">
      <w:pPr>
        <w:pStyle w:val="18"/>
        <w:numPr>
          <w:ilvl w:val="0"/>
          <w:numId w:val="4"/>
        </w:numPr>
        <w:ind w:firstLineChars="0"/>
      </w:pPr>
      <w:r>
        <w:t>国内外相关标准情况</w:t>
      </w:r>
    </w:p>
    <w:p w14:paraId="5E6EE745">
      <w:pPr>
        <w:ind w:firstLine="640"/>
      </w:pPr>
      <w:r>
        <w:rPr>
          <w:rFonts w:hint="eastAsia"/>
        </w:rPr>
        <w:t>目前国内外尚无关于汽车转向系性能检测装置的计量技术规范。</w:t>
      </w:r>
    </w:p>
    <w:p w14:paraId="2FD384F5">
      <w:pPr>
        <w:pStyle w:val="2"/>
        <w:ind w:firstLine="640"/>
      </w:pPr>
      <w:r>
        <w:t>四、标准的编制过程</w:t>
      </w:r>
    </w:p>
    <w:p w14:paraId="387D94E1">
      <w:pPr>
        <w:ind w:firstLine="640"/>
      </w:pPr>
      <w:r>
        <w:t>（一）标准的预研阶段</w:t>
      </w:r>
    </w:p>
    <w:p w14:paraId="5EFCE89F">
      <w:pPr>
        <w:ind w:firstLine="640"/>
      </w:pPr>
      <w:r>
        <w:rPr>
          <w:rFonts w:hint="eastAsia"/>
        </w:rPr>
        <w:t>2024年12月，接到中国计量协会关于团体标准的制定工作，根据要求成立了标准起草小组。</w:t>
      </w:r>
    </w:p>
    <w:p w14:paraId="70D18C2B">
      <w:pPr>
        <w:ind w:firstLine="640"/>
      </w:pPr>
      <w:r>
        <w:rPr>
          <w:rFonts w:hint="eastAsia"/>
        </w:rPr>
        <w:t>2025年1月，标准起草小组对标准的制定工作进行分工并订出计划，同时明确了标准的结构框架，确定了标准制定原则。</w:t>
      </w:r>
    </w:p>
    <w:p w14:paraId="18823D0F">
      <w:pPr>
        <w:ind w:firstLine="640"/>
      </w:pPr>
      <w:r>
        <w:rPr>
          <w:rFonts w:hint="eastAsia"/>
        </w:rPr>
        <w:t>2025年3月</w:t>
      </w:r>
      <w:r>
        <w:rPr>
          <w:rFonts w:hint="eastAsia"/>
          <w:lang w:val="en-US" w:eastAsia="zh-CN"/>
        </w:rPr>
        <w:t>-</w:t>
      </w:r>
      <w:r>
        <w:rPr>
          <w:rFonts w:hint="eastAsia"/>
        </w:rPr>
        <w:t>4月，标准起草小组进行了调研与标准比对试验，并对试验数据进行了处理与分析。</w:t>
      </w:r>
    </w:p>
    <w:p w14:paraId="1E0EBAE0">
      <w:pPr>
        <w:ind w:firstLine="640"/>
      </w:pPr>
      <w:r>
        <w:rPr>
          <w:rFonts w:hint="eastAsia"/>
        </w:rPr>
        <w:t>2025年5月，标准起草小组按照分工，完成标准讨论稿的制定。</w:t>
      </w:r>
    </w:p>
    <w:p w14:paraId="5CA895C8">
      <w:pPr>
        <w:ind w:firstLine="640"/>
      </w:pPr>
      <w:r>
        <w:rPr>
          <w:rFonts w:hint="eastAsia"/>
        </w:rPr>
        <w:t>2025年7月，标准起草小组对标准草案中的一些编制性问题和技术问题进行讨论修改。</w:t>
      </w:r>
    </w:p>
    <w:p w14:paraId="0BD223F0">
      <w:pPr>
        <w:ind w:firstLine="640"/>
      </w:pPr>
      <w:r>
        <w:rPr>
          <w:rFonts w:hint="eastAsia"/>
        </w:rPr>
        <w:t>2025年8月</w:t>
      </w:r>
      <w:r>
        <w:rPr>
          <w:rFonts w:hint="eastAsia"/>
          <w:lang w:val="en-US" w:eastAsia="zh-CN"/>
        </w:rPr>
        <w:t>-</w:t>
      </w:r>
      <w:r>
        <w:rPr>
          <w:rFonts w:hint="eastAsia"/>
        </w:rPr>
        <w:t>10月中旬，期间标准起草小组对标准讨论稿进行了进一步认真、仔细的讨论和修改，并小范围征求了行业内专家的意见，形成本标准的征求意见稿。</w:t>
      </w:r>
    </w:p>
    <w:p w14:paraId="6471FBFB">
      <w:pPr>
        <w:ind w:firstLine="640"/>
      </w:pPr>
      <w:r>
        <w:rPr>
          <w:rFonts w:hint="eastAsia"/>
        </w:rPr>
        <w:t>2025年10月，标准起草小组按要求完成编制说明。</w:t>
      </w:r>
    </w:p>
    <w:p w14:paraId="786D157D">
      <w:pPr>
        <w:ind w:firstLine="640"/>
      </w:pPr>
      <w:r>
        <w:t>（二）标准制定阶段</w:t>
      </w:r>
    </w:p>
    <w:p w14:paraId="543481A2">
      <w:pPr>
        <w:ind w:firstLine="640"/>
      </w:pPr>
      <w:r>
        <w:t>202</w:t>
      </w:r>
      <w:r>
        <w:rPr>
          <w:rFonts w:hint="eastAsia"/>
        </w:rPr>
        <w:t>5</w:t>
      </w:r>
      <w:r>
        <w:t>年</w:t>
      </w:r>
      <w:r>
        <w:rPr>
          <w:rFonts w:hint="eastAsia"/>
        </w:rPr>
        <w:t>10</w:t>
      </w:r>
      <w:r>
        <w:t>月-1</w:t>
      </w:r>
      <w:r>
        <w:rPr>
          <w:rFonts w:hint="eastAsia"/>
        </w:rPr>
        <w:t>1</w:t>
      </w:r>
      <w:r>
        <w:t>月</w:t>
      </w:r>
      <w:r>
        <w:rPr>
          <w:rFonts w:hint="eastAsia"/>
        </w:rPr>
        <w:t>：形成《汽车转向系性能检测装置校准方法》草稿，标准起草小组进行讨论，并提出修改意见。</w:t>
      </w:r>
    </w:p>
    <w:p w14:paraId="1413FB87">
      <w:pPr>
        <w:ind w:firstLine="640"/>
        <w:rPr>
          <w:rFonts w:hint="eastAsia"/>
        </w:rPr>
      </w:pPr>
      <w:r>
        <w:t>202</w:t>
      </w:r>
      <w:r>
        <w:rPr>
          <w:rFonts w:hint="eastAsia"/>
        </w:rPr>
        <w:t>5</w:t>
      </w:r>
      <w:r>
        <w:t>年1</w:t>
      </w:r>
      <w:r>
        <w:rPr>
          <w:rFonts w:hint="eastAsia"/>
        </w:rPr>
        <w:t>2月：根据修改意见进行修订，并组织评审会议，修改规范不足。</w:t>
      </w:r>
    </w:p>
    <w:p w14:paraId="1909DBE0">
      <w:pPr>
        <w:ind w:firstLine="640"/>
        <w:rPr>
          <w:rFonts w:hint="eastAsia"/>
          <w:lang w:val="en-US" w:eastAsia="zh-CN"/>
        </w:rPr>
      </w:pPr>
      <w:r>
        <w:rPr>
          <w:rFonts w:hint="eastAsia"/>
          <w:lang w:val="en-US" w:eastAsia="zh-CN"/>
        </w:rPr>
        <w:t>2026年1月，参加中国计量协会机动车计量检测技术工作委员会组织的《汽车转向器性能检测装置校准方法》预审会议。</w:t>
      </w:r>
    </w:p>
    <w:p w14:paraId="4D77710F">
      <w:pPr>
        <w:ind w:firstLine="640"/>
        <w:rPr>
          <w:rFonts w:hint="eastAsia"/>
        </w:rPr>
      </w:pPr>
      <w:r>
        <w:rPr>
          <w:rFonts w:hint="eastAsia"/>
        </w:rPr>
        <w:t>2026 年2月</w:t>
      </w:r>
      <w:r>
        <w:rPr>
          <w:rFonts w:hint="eastAsia"/>
          <w:lang w:val="en-US" w:eastAsia="zh-CN"/>
        </w:rPr>
        <w:t>-3</w:t>
      </w:r>
      <w:r>
        <w:rPr>
          <w:rFonts w:hint="eastAsia"/>
        </w:rPr>
        <w:t>月，根据预审会议内容进行修改</w:t>
      </w:r>
      <w:r>
        <w:rPr>
          <w:rFonts w:hint="eastAsia"/>
          <w:lang w:eastAsia="zh-CN"/>
        </w:rPr>
        <w:t>：</w:t>
      </w:r>
      <w:r>
        <w:rPr>
          <w:rFonts w:hint="eastAsia"/>
        </w:rPr>
        <w:t>调整</w:t>
      </w:r>
      <w:r>
        <w:rPr>
          <w:rFonts w:hint="eastAsia"/>
          <w:lang w:val="en-US" w:eastAsia="zh-CN"/>
        </w:rPr>
        <w:t>校准规范架构</w:t>
      </w:r>
      <w:r>
        <w:rPr>
          <w:rFonts w:hint="eastAsia"/>
          <w:lang w:eastAsia="zh-CN"/>
        </w:rPr>
        <w:t>，</w:t>
      </w:r>
      <w:r>
        <w:rPr>
          <w:rFonts w:hint="eastAsia"/>
        </w:rPr>
        <w:t>增加“概述”等内容</w:t>
      </w:r>
      <w:r>
        <w:rPr>
          <w:rFonts w:hint="eastAsia"/>
          <w:lang w:eastAsia="zh-CN"/>
        </w:rPr>
        <w:t>；</w:t>
      </w:r>
      <w:r>
        <w:rPr>
          <w:rFonts w:hint="eastAsia"/>
          <w:lang w:val="en-US" w:eastAsia="zh-CN"/>
        </w:rPr>
        <w:t>调整引用规范顺序；</w:t>
      </w:r>
      <w:r>
        <w:rPr>
          <w:rFonts w:hint="eastAsia"/>
        </w:rPr>
        <w:t>明确团体标准的适用范围</w:t>
      </w:r>
      <w:r>
        <w:rPr>
          <w:rFonts w:hint="eastAsia"/>
          <w:lang w:eastAsia="zh-CN"/>
        </w:rPr>
        <w:t>；</w:t>
      </w:r>
      <w:r>
        <w:rPr>
          <w:rFonts w:hint="eastAsia"/>
          <w:lang w:val="en-US" w:eastAsia="zh-CN"/>
        </w:rPr>
        <w:t>明确校准参数范围；</w:t>
      </w:r>
      <w:r>
        <w:rPr>
          <w:rFonts w:hint="eastAsia"/>
        </w:rPr>
        <w:t>完善校准步骤。</w:t>
      </w:r>
    </w:p>
    <w:p w14:paraId="006AEC20">
      <w:pPr>
        <w:ind w:firstLine="640"/>
      </w:pPr>
      <w:r>
        <w:t>20</w:t>
      </w:r>
      <w:r>
        <w:rPr>
          <w:rFonts w:hint="eastAsia"/>
        </w:rPr>
        <w:t>2</w:t>
      </w:r>
      <w:r>
        <w:t>6年3-4月</w:t>
      </w:r>
      <w:r>
        <w:rPr>
          <w:rFonts w:hint="eastAsia"/>
        </w:rPr>
        <w:t>：</w:t>
      </w:r>
      <w:r>
        <w:rPr>
          <w:rFonts w:hint="eastAsia"/>
          <w:lang w:val="en-US" w:eastAsia="zh-CN"/>
        </w:rPr>
        <w:t>完善校准步骤</w:t>
      </w:r>
      <w:r>
        <w:rPr>
          <w:rFonts w:hint="eastAsia"/>
        </w:rPr>
        <w:t>，完成规范制定</w:t>
      </w:r>
      <w:r>
        <w:t>。</w:t>
      </w:r>
    </w:p>
    <w:p w14:paraId="2947B5D3">
      <w:pPr>
        <w:ind w:firstLine="640"/>
      </w:pPr>
      <w:r>
        <w:rPr>
          <w:rFonts w:hint="eastAsia"/>
        </w:rPr>
        <w:t>2026 年5</w:t>
      </w:r>
      <w:r>
        <w:rPr>
          <w:rFonts w:hint="eastAsia"/>
          <w:lang w:val="en-US" w:eastAsia="zh-CN"/>
        </w:rPr>
        <w:t>-</w:t>
      </w:r>
      <w:r>
        <w:rPr>
          <w:rFonts w:hint="eastAsia"/>
        </w:rPr>
        <w:t>6月，确定原始记录及校准证书格式，增加不确定度评定方法，完成终审稿及编制说明。</w:t>
      </w:r>
    </w:p>
    <w:p w14:paraId="447FE364">
      <w:pPr>
        <w:ind w:firstLine="640"/>
      </w:pPr>
      <w:r>
        <w:t>五、参考的有关资料及标准</w:t>
      </w:r>
    </w:p>
    <w:p w14:paraId="197CEB34">
      <w:pPr>
        <w:ind w:firstLine="640"/>
        <w:rPr>
          <w:color w:val="000000" w:themeColor="text1"/>
          <w14:textFill>
            <w14:solidFill>
              <w14:schemeClr w14:val="tx1"/>
            </w14:solidFill>
          </w14:textFill>
        </w:rPr>
      </w:pPr>
      <w:r>
        <w:rPr>
          <w:color w:val="000000" w:themeColor="text1"/>
          <w14:textFill>
            <w14:solidFill>
              <w14:schemeClr w14:val="tx1"/>
            </w14:solidFill>
          </w14:textFill>
        </w:rPr>
        <w:t xml:space="preserve">QC/T 529-2013 </w:t>
      </w:r>
      <w:r>
        <w:rPr>
          <w:rFonts w:hint="eastAsia"/>
          <w:color w:val="000000" w:themeColor="text1"/>
          <w14:textFill>
            <w14:solidFill>
              <w14:schemeClr w14:val="tx1"/>
            </w14:solidFill>
          </w14:textFill>
        </w:rPr>
        <w:t>汽车液压动力转向系技术条件与试验方法</w:t>
      </w:r>
    </w:p>
    <w:p w14:paraId="00BDA815">
      <w:pPr>
        <w:ind w:firstLine="640"/>
        <w:rPr>
          <w:color w:val="000000" w:themeColor="text1"/>
          <w14:textFill>
            <w14:solidFill>
              <w14:schemeClr w14:val="tx1"/>
            </w14:solidFill>
          </w14:textFill>
        </w:rPr>
      </w:pPr>
      <w:r>
        <w:rPr>
          <w:color w:val="000000" w:themeColor="text1"/>
          <w14:textFill>
            <w14:solidFill>
              <w14:schemeClr w14:val="tx1"/>
            </w14:solidFill>
          </w14:textFill>
        </w:rPr>
        <w:t xml:space="preserve">QC/T 29096-2014 </w:t>
      </w:r>
      <w:r>
        <w:rPr>
          <w:rFonts w:hint="eastAsia"/>
          <w:color w:val="000000" w:themeColor="text1"/>
          <w14:textFill>
            <w14:solidFill>
              <w14:schemeClr w14:val="tx1"/>
            </w14:solidFill>
          </w14:textFill>
        </w:rPr>
        <w:t>汽车转向系总成台架试验方法</w:t>
      </w:r>
    </w:p>
    <w:p w14:paraId="40B51BCC">
      <w:pPr>
        <w:ind w:firstLine="640"/>
        <w:rPr>
          <w:color w:val="000000" w:themeColor="text1"/>
          <w14:textFill>
            <w14:solidFill>
              <w14:schemeClr w14:val="tx1"/>
            </w14:solidFill>
          </w14:textFill>
        </w:rPr>
      </w:pPr>
      <w:r>
        <w:rPr>
          <w:color w:val="000000" w:themeColor="text1"/>
          <w14:textFill>
            <w14:solidFill>
              <w14:schemeClr w14:val="tx1"/>
            </w14:solidFill>
          </w14:textFill>
        </w:rPr>
        <w:t>QCT 972-2014</w:t>
      </w:r>
      <w:r>
        <w:rPr>
          <w:rFonts w:hint="eastAsia"/>
          <w:color w:val="000000" w:themeColor="text1"/>
          <w14:textFill>
            <w14:solidFill>
              <w14:schemeClr w14:val="tx1"/>
            </w14:solidFill>
          </w14:textFill>
        </w:rPr>
        <w:t>汽车电控液压助力转向系总成技术要求及试验方法</w:t>
      </w:r>
    </w:p>
    <w:p w14:paraId="5AC11388">
      <w:pPr>
        <w:ind w:firstLine="640"/>
        <w:rPr>
          <w:color w:val="000000" w:themeColor="text1"/>
          <w14:textFill>
            <w14:solidFill>
              <w14:schemeClr w14:val="tx1"/>
            </w14:solidFill>
          </w14:textFill>
        </w:rPr>
      </w:pPr>
      <w:r>
        <w:rPr>
          <w:color w:val="000000" w:themeColor="text1"/>
          <w14:textFill>
            <w14:solidFill>
              <w14:schemeClr w14:val="tx1"/>
            </w14:solidFill>
          </w14:textFill>
        </w:rPr>
        <w:t xml:space="preserve">JJG 139-2014 </w:t>
      </w:r>
      <w:r>
        <w:rPr>
          <w:rFonts w:hint="eastAsia"/>
          <w:color w:val="000000" w:themeColor="text1"/>
          <w14:textFill>
            <w14:solidFill>
              <w14:schemeClr w14:val="tx1"/>
            </w14:solidFill>
          </w14:textFill>
        </w:rPr>
        <w:t>拉力、压力和万能试验机检定规程</w:t>
      </w:r>
    </w:p>
    <w:p w14:paraId="2C6FF597">
      <w:pPr>
        <w:ind w:firstLine="640"/>
        <w:rPr>
          <w:color w:val="000000" w:themeColor="text1"/>
          <w:kern w:val="0"/>
          <w14:textFill>
            <w14:solidFill>
              <w14:schemeClr w14:val="tx1"/>
            </w14:solidFill>
          </w14:textFill>
        </w:rPr>
      </w:pPr>
      <w:r>
        <w:rPr>
          <w:color w:val="000000" w:themeColor="text1"/>
          <w:kern w:val="0"/>
          <w14:textFill>
            <w14:solidFill>
              <w14:schemeClr w14:val="tx1"/>
            </w14:solidFill>
          </w14:textFill>
        </w:rPr>
        <w:t xml:space="preserve">JJG 269-2006 </w:t>
      </w:r>
      <w:r>
        <w:rPr>
          <w:rFonts w:hint="eastAsia"/>
          <w:color w:val="000000" w:themeColor="text1"/>
          <w:kern w:val="0"/>
          <w14:textFill>
            <w14:solidFill>
              <w14:schemeClr w14:val="tx1"/>
            </w14:solidFill>
          </w14:textFill>
        </w:rPr>
        <w:t>扭转试验机检定规程</w:t>
      </w:r>
    </w:p>
    <w:p w14:paraId="707C90B5">
      <w:pPr>
        <w:ind w:firstLine="640"/>
        <w:rPr>
          <w:color w:val="000000" w:themeColor="text1"/>
          <w14:textFill>
            <w14:solidFill>
              <w14:schemeClr w14:val="tx1"/>
            </w14:solidFill>
          </w14:textFill>
        </w:rPr>
      </w:pPr>
      <w:r>
        <w:rPr>
          <w:color w:val="000000" w:themeColor="text1"/>
          <w14:textFill>
            <w14:solidFill>
              <w14:schemeClr w14:val="tx1"/>
            </w14:solidFill>
          </w14:textFill>
        </w:rPr>
        <w:t xml:space="preserve">JJG 455-2000 </w:t>
      </w:r>
      <w:r>
        <w:rPr>
          <w:rFonts w:hint="eastAsia"/>
          <w:color w:val="000000" w:themeColor="text1"/>
          <w14:textFill>
            <w14:solidFill>
              <w14:schemeClr w14:val="tx1"/>
            </w14:solidFill>
          </w14:textFill>
        </w:rPr>
        <w:t>工作测力仪检定规程</w:t>
      </w:r>
    </w:p>
    <w:p w14:paraId="092398E5">
      <w:pPr>
        <w:ind w:firstLine="640"/>
        <w:rPr>
          <w:color w:val="000000" w:themeColor="text1"/>
          <w14:textFill>
            <w14:solidFill>
              <w14:schemeClr w14:val="tx1"/>
            </w14:solidFill>
          </w14:textFill>
        </w:rPr>
      </w:pPr>
      <w:r>
        <w:rPr>
          <w:color w:val="000000" w:themeColor="text1"/>
          <w14:textFill>
            <w14:solidFill>
              <w14:schemeClr w14:val="tx1"/>
            </w14:solidFill>
          </w14:textFill>
        </w:rPr>
        <w:t xml:space="preserve">JJG 653-2003 </w:t>
      </w:r>
      <w:r>
        <w:rPr>
          <w:rFonts w:hint="eastAsia"/>
          <w:color w:val="000000" w:themeColor="text1"/>
          <w14:textFill>
            <w14:solidFill>
              <w14:schemeClr w14:val="tx1"/>
            </w14:solidFill>
          </w14:textFill>
        </w:rPr>
        <w:t>测功装置检定规程</w:t>
      </w:r>
    </w:p>
    <w:p w14:paraId="2C60987A">
      <w:pPr>
        <w:ind w:firstLine="640"/>
        <w:rPr>
          <w:color w:val="000000" w:themeColor="text1"/>
          <w14:textFill>
            <w14:solidFill>
              <w14:schemeClr w14:val="tx1"/>
            </w14:solidFill>
          </w14:textFill>
        </w:rPr>
      </w:pPr>
      <w:r>
        <w:rPr>
          <w:color w:val="000000" w:themeColor="text1"/>
          <w14:textFill>
            <w14:solidFill>
              <w14:schemeClr w14:val="tx1"/>
            </w14:solidFill>
          </w14:textFill>
        </w:rPr>
        <w:t xml:space="preserve">JJG 875-2019 </w:t>
      </w:r>
      <w:r>
        <w:rPr>
          <w:rFonts w:hint="eastAsia"/>
          <w:color w:val="000000" w:themeColor="text1"/>
          <w14:textFill>
            <w14:solidFill>
              <w14:schemeClr w14:val="tx1"/>
            </w14:solidFill>
          </w14:textFill>
        </w:rPr>
        <w:t>数字压力计检定规程</w:t>
      </w:r>
    </w:p>
    <w:p w14:paraId="29B75138">
      <w:pPr>
        <w:ind w:firstLine="640"/>
        <w:rPr>
          <w:color w:val="000000" w:themeColor="text1"/>
          <w14:textFill>
            <w14:solidFill>
              <w14:schemeClr w14:val="tx1"/>
            </w14:solidFill>
          </w14:textFill>
        </w:rPr>
      </w:pPr>
      <w:r>
        <w:rPr>
          <w:color w:val="000000" w:themeColor="text1"/>
          <w14:textFill>
            <w14:solidFill>
              <w14:schemeClr w14:val="tx1"/>
            </w14:solidFill>
          </w14:textFill>
        </w:rPr>
        <w:t xml:space="preserve">JJF 1101-2019 </w:t>
      </w:r>
      <w:r>
        <w:rPr>
          <w:rFonts w:hint="eastAsia"/>
          <w:color w:val="000000" w:themeColor="text1"/>
          <w14:textFill>
            <w14:solidFill>
              <w14:schemeClr w14:val="tx1"/>
            </w14:solidFill>
          </w14:textFill>
        </w:rPr>
        <w:t>环境试验设备温度、湿度校准规范</w:t>
      </w:r>
    </w:p>
    <w:p w14:paraId="1E755361">
      <w:pPr>
        <w:ind w:firstLine="640"/>
        <w:rPr>
          <w:color w:val="000000" w:themeColor="text1"/>
          <w14:textFill>
            <w14:solidFill>
              <w14:schemeClr w14:val="tx1"/>
            </w14:solidFill>
          </w14:textFill>
        </w:rPr>
      </w:pPr>
      <w:r>
        <w:rPr>
          <w:color w:val="000000" w:themeColor="text1"/>
          <w14:textFill>
            <w14:solidFill>
              <w14:schemeClr w14:val="tx1"/>
            </w14:solidFill>
          </w14:textFill>
        </w:rPr>
        <w:t xml:space="preserve">JJF 1115-2004 </w:t>
      </w:r>
      <w:r>
        <w:rPr>
          <w:rFonts w:hint="eastAsia"/>
          <w:color w:val="000000" w:themeColor="text1"/>
          <w14:textFill>
            <w14:solidFill>
              <w14:schemeClr w14:val="tx1"/>
            </w14:solidFill>
          </w14:textFill>
        </w:rPr>
        <w:t>光电轴角编码器校准规范</w:t>
      </w:r>
    </w:p>
    <w:p w14:paraId="6793F4A2">
      <w:pPr>
        <w:ind w:firstLine="640"/>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JJF 1597-2016 </w:t>
      </w:r>
      <w:r>
        <w:rPr>
          <w:rFonts w:hint="eastAsia"/>
          <w:color w:val="000000" w:themeColor="text1"/>
          <w14:textFill>
            <w14:solidFill>
              <w14:schemeClr w14:val="tx1"/>
            </w14:solidFill>
          </w14:textFill>
        </w:rPr>
        <w:t>直流稳定电源校准规范</w:t>
      </w:r>
    </w:p>
    <w:p w14:paraId="6606776C">
      <w:pPr>
        <w:ind w:firstLine="640"/>
      </w:pPr>
      <w:r>
        <w:t>六、团体标准制定原则</w:t>
      </w:r>
    </w:p>
    <w:p w14:paraId="57872ED4">
      <w:pPr>
        <w:ind w:firstLine="640"/>
      </w:pPr>
      <w:r>
        <w:t>本次团体标准制定工作的主要原则有：</w:t>
      </w:r>
    </w:p>
    <w:p w14:paraId="3DE55E5A">
      <w:pPr>
        <w:ind w:firstLine="640"/>
      </w:pPr>
      <w:r>
        <w:t>a) 保持一致性。</w:t>
      </w:r>
    </w:p>
    <w:p w14:paraId="3A335E23">
      <w:pPr>
        <w:ind w:firstLine="640"/>
      </w:pPr>
      <w:r>
        <w:t>b) 明确补充性。</w:t>
      </w:r>
    </w:p>
    <w:p w14:paraId="3D47AC98">
      <w:pPr>
        <w:ind w:firstLine="640"/>
      </w:pPr>
      <w:r>
        <w:t xml:space="preserve">c) </w:t>
      </w:r>
      <w:r>
        <w:rPr>
          <w:rFonts w:hint="eastAsia"/>
        </w:rPr>
        <w:t>保证经济性</w:t>
      </w:r>
      <w:r>
        <w:t>。</w:t>
      </w:r>
    </w:p>
    <w:p w14:paraId="504363EE">
      <w:pPr>
        <w:ind w:firstLine="640"/>
      </w:pPr>
      <w:r>
        <w:rPr>
          <w:rFonts w:hint="eastAsia"/>
        </w:rPr>
        <w:t>d) 保证实操性。</w:t>
      </w:r>
    </w:p>
    <w:p w14:paraId="7306CCA6">
      <w:pPr>
        <w:pStyle w:val="2"/>
        <w:ind w:firstLine="640"/>
        <w:rPr>
          <w:rFonts w:hint="eastAsia"/>
        </w:rPr>
      </w:pPr>
      <w:r>
        <w:t>七、标准制定的重点内容有关问题的说明</w:t>
      </w:r>
    </w:p>
    <w:p w14:paraId="0D0BB40E">
      <w:pPr>
        <w:ind w:firstLine="640"/>
      </w:pPr>
      <w:r>
        <w:rPr>
          <w:rFonts w:hint="eastAsia"/>
        </w:rPr>
        <w:t>经调研，汽车转向系性能检测装置包含力值、压力、流量、转速、扭矩、位移、电流、电压、转向角、温箱温度、温箱湿度等校准参量，相关试验设备实物图如下：</w:t>
      </w:r>
    </w:p>
    <w:p w14:paraId="5EDBB9E1">
      <w:pPr>
        <w:ind w:firstLine="0" w:firstLineChars="0"/>
        <w:rPr>
          <w:rFonts w:hint="eastAsia"/>
        </w:rPr>
      </w:pPr>
      <w:r>
        <w:rPr>
          <w:rFonts w:hint="eastAsia"/>
        </w:rPr>
        <w:drawing>
          <wp:anchor distT="0" distB="0" distL="114300" distR="114300" simplePos="0" relativeHeight="251662336" behindDoc="0" locked="0" layoutInCell="1" allowOverlap="1">
            <wp:simplePos x="0" y="0"/>
            <wp:positionH relativeFrom="column">
              <wp:posOffset>321945</wp:posOffset>
            </wp:positionH>
            <wp:positionV relativeFrom="paragraph">
              <wp:posOffset>2247265</wp:posOffset>
            </wp:positionV>
            <wp:extent cx="2446655" cy="1855470"/>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46655" cy="1855470"/>
                    </a:xfrm>
                    <a:prstGeom prst="rect">
                      <a:avLst/>
                    </a:prstGeom>
                  </pic:spPr>
                </pic:pic>
              </a:graphicData>
            </a:graphic>
          </wp:anchor>
        </w:drawing>
      </w:r>
      <w:r>
        <w:rPr>
          <w:rFonts w:hint="eastAsia"/>
        </w:rPr>
        <w:drawing>
          <wp:anchor distT="0" distB="0" distL="114300" distR="114300" simplePos="0" relativeHeight="251663360" behindDoc="0" locked="0" layoutInCell="1" allowOverlap="1">
            <wp:simplePos x="0" y="0"/>
            <wp:positionH relativeFrom="column">
              <wp:posOffset>2988945</wp:posOffset>
            </wp:positionH>
            <wp:positionV relativeFrom="paragraph">
              <wp:posOffset>2235200</wp:posOffset>
            </wp:positionV>
            <wp:extent cx="2472690" cy="1898015"/>
            <wp:effectExtent l="0" t="0" r="3810" b="698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rcRect l="9745" t="45146" r="11681" b="18032"/>
                    <a:stretch>
                      <a:fillRect/>
                    </a:stretch>
                  </pic:blipFill>
                  <pic:spPr>
                    <a:xfrm>
                      <a:off x="0" y="0"/>
                      <a:ext cx="2472690" cy="1898015"/>
                    </a:xfrm>
                    <a:prstGeom prst="rect">
                      <a:avLst/>
                    </a:prstGeom>
                    <a:ln>
                      <a:noFill/>
                    </a:ln>
                  </pic:spPr>
                </pic:pic>
              </a:graphicData>
            </a:graphic>
          </wp:anchor>
        </w:drawing>
      </w:r>
      <w:r>
        <w:rPr>
          <w:rFonts w:hint="eastAsia"/>
        </w:rPr>
        <w:drawing>
          <wp:anchor distT="0" distB="0" distL="114300" distR="114300" simplePos="0" relativeHeight="251660288" behindDoc="0" locked="0" layoutInCell="1" allowOverlap="1">
            <wp:simplePos x="0" y="0"/>
            <wp:positionH relativeFrom="column">
              <wp:posOffset>2989580</wp:posOffset>
            </wp:positionH>
            <wp:positionV relativeFrom="paragraph">
              <wp:posOffset>254635</wp:posOffset>
            </wp:positionV>
            <wp:extent cx="2465705" cy="1814830"/>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65705" cy="1814830"/>
                    </a:xfrm>
                    <a:prstGeom prst="rect">
                      <a:avLst/>
                    </a:prstGeom>
                  </pic:spPr>
                </pic:pic>
              </a:graphicData>
            </a:graphic>
          </wp:anchor>
        </w:drawing>
      </w:r>
      <w:r>
        <w:rPr>
          <w:rFonts w:hint="eastAsia"/>
        </w:rPr>
        <w:drawing>
          <wp:anchor distT="0" distB="0" distL="114300" distR="114300" simplePos="0" relativeHeight="251659264" behindDoc="0" locked="0" layoutInCell="1" allowOverlap="1">
            <wp:simplePos x="0" y="0"/>
            <wp:positionH relativeFrom="column">
              <wp:posOffset>329565</wp:posOffset>
            </wp:positionH>
            <wp:positionV relativeFrom="paragraph">
              <wp:posOffset>241300</wp:posOffset>
            </wp:positionV>
            <wp:extent cx="2446655" cy="183515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6655" cy="1835150"/>
                    </a:xfrm>
                    <a:prstGeom prst="rect">
                      <a:avLst/>
                    </a:prstGeom>
                  </pic:spPr>
                </pic:pic>
              </a:graphicData>
            </a:graphic>
          </wp:anchor>
        </w:drawing>
      </w:r>
    </w:p>
    <w:p w14:paraId="0A6E8A0E">
      <w:pPr>
        <w:ind w:firstLine="640"/>
      </w:pPr>
      <w:r>
        <w:rPr>
          <w:rFonts w:hint="eastAsia"/>
        </w:rPr>
        <w:t>经研究，本标准对汽车转向系性能检测装置校准方法进行了规定，针对汽车转向系性能检测装置的各校准参数，规定了该方法的校准项目包括力值示值误差、压力示值误差、转速示值误差、扭矩示值误差、位移示值误差等，在标准中对标准装置的选用、各个项目的校准方法与结果处理进行了详细说明。</w:t>
      </w:r>
    </w:p>
    <w:p w14:paraId="18B4EC11">
      <w:pPr>
        <w:ind w:firstLine="640"/>
      </w:pPr>
      <w:r>
        <w:rPr>
          <w:rFonts w:hint="eastAsia"/>
        </w:rPr>
        <w:t>《汽车转向系性能检测装置校准方法》属于新制定的标准，文件架构按照G</w:t>
      </w:r>
      <w:r>
        <w:t>B</w:t>
      </w:r>
      <w:r>
        <w:rPr>
          <w:rFonts w:hint="eastAsia"/>
        </w:rPr>
        <w:t>/</w:t>
      </w:r>
      <w:r>
        <w:t>T 40661-2021</w:t>
      </w:r>
      <w:r>
        <w:rPr>
          <w:rFonts w:hint="eastAsia"/>
        </w:rPr>
        <w:t>进行编写，条款中“校准项目”、“校准方法”、“校准结果表达”、“复校时间间隔”等均参考JJF1071-2010《国家计量规范编写规则》的规定，结合我们在多年校准实际工作中的经验进行编写的。为了使该方法既有先进性又考虑适应实际情况，标准起草小组在制定过程中，力求按以下原则，完成制定工作：</w:t>
      </w:r>
    </w:p>
    <w:p w14:paraId="002ABE12">
      <w:pPr>
        <w:ind w:firstLine="640"/>
      </w:pPr>
      <w:r>
        <w:rPr>
          <w:rFonts w:hint="eastAsia"/>
        </w:rPr>
        <w:t>1、力求与相关国家计量检定规程、国家计量校准规范、国家标准接轨，保证其先进性、法制性；</w:t>
      </w:r>
    </w:p>
    <w:p w14:paraId="140FF74C">
      <w:pPr>
        <w:ind w:firstLine="640"/>
      </w:pPr>
      <w:r>
        <w:rPr>
          <w:rFonts w:hint="eastAsia"/>
        </w:rPr>
        <w:t>2、在标准设备选用上，由于具备同样或相似技术特性的国内外不同厂商生产的设备型号各不相同，所以本标准只对其技术要求做规定，不提供具体参考型号，建议尽量采用先进的仪器设备，性能可靠，又要经济适用；</w:t>
      </w:r>
    </w:p>
    <w:p w14:paraId="0D3FFEF3">
      <w:pPr>
        <w:ind w:firstLine="640"/>
      </w:pPr>
      <w:r>
        <w:rPr>
          <w:rFonts w:hint="eastAsia"/>
        </w:rPr>
        <w:t>3、在校准方法设计上，既要能测出主要技术指标，又要力求适用、操作简便；</w:t>
      </w:r>
    </w:p>
    <w:p w14:paraId="3CCFABCC">
      <w:pPr>
        <w:ind w:firstLine="640"/>
      </w:pPr>
      <w:r>
        <w:rPr>
          <w:rFonts w:hint="eastAsia"/>
        </w:rPr>
        <w:t>4、在标准实施中要保证其具有可操作性和经济性。</w:t>
      </w:r>
    </w:p>
    <w:p w14:paraId="7514989C">
      <w:pPr>
        <w:pStyle w:val="25"/>
        <w:spacing w:line="360" w:lineRule="auto"/>
        <w:ind w:firstLine="0" w:firstLineChars="0"/>
        <w:rPr>
          <w:color w:val="000000"/>
        </w:rPr>
      </w:pPr>
      <w:r>
        <w:rPr>
          <w:rFonts w:hint="eastAsia" w:ascii="Times New Roman"/>
          <w:kern w:val="2"/>
          <w:sz w:val="28"/>
          <w:szCs w:val="28"/>
        </w:rPr>
        <w:t>八、</w:t>
      </w:r>
      <w:r>
        <w:rPr>
          <w:rFonts w:ascii="Times New Roman"/>
          <w:kern w:val="2"/>
          <w:sz w:val="28"/>
          <w:szCs w:val="28"/>
        </w:rPr>
        <w:t>参考文献</w:t>
      </w:r>
    </w:p>
    <w:p w14:paraId="381A2569">
      <w:pPr>
        <w:pStyle w:val="25"/>
        <w:ind w:firstLine="560"/>
        <w:rPr>
          <w:rFonts w:ascii="Times New Roman"/>
          <w:kern w:val="2"/>
          <w:sz w:val="28"/>
          <w:szCs w:val="28"/>
        </w:rPr>
      </w:pPr>
      <w:r>
        <w:rPr>
          <w:rFonts w:hint="eastAsia" w:ascii="Times New Roman"/>
          <w:kern w:val="2"/>
          <w:sz w:val="28"/>
          <w:szCs w:val="28"/>
        </w:rPr>
        <w:t>无</w:t>
      </w:r>
    </w:p>
    <w:p w14:paraId="51CD1B07">
      <w:pPr>
        <w:ind w:left="0" w:leftChars="0" w:firstLine="0" w:firstLineChars="0"/>
      </w:pPr>
    </w:p>
    <w:sectPr>
      <w:footerReference r:id="rId6" w:type="first"/>
      <w:footerReference r:id="rId5" w:type="default"/>
      <w:pgSz w:w="11906" w:h="16838"/>
      <w:pgMar w:top="1440" w:right="1531" w:bottom="1440" w:left="1531" w:header="851" w:footer="992" w:gutter="0"/>
      <w:cols w:space="425" w:num="1"/>
      <w:docGrid w:type="lines" w:linePitch="634" w:charSpace="2167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29B28">
    <w:pPr>
      <w:pStyle w:val="6"/>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DD5430">
                          <w:pPr>
                            <w:pStyle w:val="6"/>
                            <w:ind w:firstLine="36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3DD5430">
                    <w:pPr>
                      <w:pStyle w:val="6"/>
                      <w:ind w:firstLine="360"/>
                    </w:pPr>
                    <w:r>
                      <w:fldChar w:fldCharType="begin"/>
                    </w:r>
                    <w:r>
                      <w:instrText xml:space="preserve"> PAGE  \* MERGEFORMAT </w:instrText>
                    </w:r>
                    <w:r>
                      <w:fldChar w:fldCharType="separate"/>
                    </w:r>
                    <w:r>
                      <w:t>5</w:t>
                    </w:r>
                    <w:r>
                      <w:fldChar w:fldCharType="end"/>
                    </w:r>
                  </w:p>
                </w:txbxContent>
              </v:textbox>
            </v:shape>
          </w:pict>
        </mc:Fallback>
      </mc:AlternateContent>
    </w:r>
  </w:p>
  <w:sdt>
    <w:sdtPr>
      <w:id w:val="25438257"/>
    </w:sdtPr>
    <w:sdtContent>
      <w:p w14:paraId="21198FBD">
        <w:pPr>
          <w:pStyle w:val="6"/>
          <w:ind w:firstLine="360"/>
          <w:rPr>
            <w:sz w:val="24"/>
          </w:rPr>
        </w:pPr>
      </w:p>
      <w:p w14:paraId="4DCBC4C9">
        <w:pPr>
          <w:pStyle w:val="6"/>
          <w:ind w:firstLine="360"/>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39330">
    <w:pPr>
      <w:pStyle w:val="6"/>
      <w:ind w:firstLine="360"/>
    </w:pP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28"/>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29"/>
      <w:suff w:val="nothing"/>
      <w:lvlText w:val="%1.%2.%3　"/>
      <w:lvlJc w:val="left"/>
      <w:pPr>
        <w:ind w:left="0" w:firstLine="0"/>
      </w:pPr>
      <w:rPr>
        <w:rFonts w:hint="eastAsia" w:ascii="黑体" w:hAnsi="Times New Roman" w:eastAsia="黑体"/>
        <w:b w:val="0"/>
        <w:i w:val="0"/>
        <w:sz w:val="21"/>
      </w:rPr>
    </w:lvl>
    <w:lvl w:ilvl="3" w:tentative="0">
      <w:start w:val="1"/>
      <w:numFmt w:val="decimal"/>
      <w:pStyle w:val="30"/>
      <w:suff w:val="nothing"/>
      <w:lvlText w:val="%1.%2.%3.%4　"/>
      <w:lvlJc w:val="left"/>
      <w:pPr>
        <w:ind w:left="0" w:firstLine="0"/>
      </w:pPr>
      <w:rPr>
        <w:rFonts w:hint="eastAsia" w:ascii="黑体" w:hAnsi="Times New Roman" w:eastAsia="黑体"/>
        <w:b w:val="0"/>
        <w:i w:val="0"/>
        <w:sz w:val="21"/>
      </w:rPr>
    </w:lvl>
    <w:lvl w:ilvl="4" w:tentative="0">
      <w:start w:val="1"/>
      <w:numFmt w:val="decimal"/>
      <w:pStyle w:val="32"/>
      <w:suff w:val="nothing"/>
      <w:lvlText w:val="%1.%2.%3.%4.%5　"/>
      <w:lvlJc w:val="left"/>
      <w:pPr>
        <w:ind w:left="0" w:firstLine="0"/>
      </w:pPr>
      <w:rPr>
        <w:rFonts w:hint="eastAsia" w:ascii="黑体" w:hAnsi="Times New Roman" w:eastAsia="黑体"/>
        <w:b w:val="0"/>
        <w:i w:val="0"/>
        <w:sz w:val="21"/>
      </w:rPr>
    </w:lvl>
    <w:lvl w:ilvl="5" w:tentative="0">
      <w:start w:val="1"/>
      <w:numFmt w:val="decimal"/>
      <w:pStyle w:val="33"/>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237EFF83"/>
    <w:multiLevelType w:val="singleLevel"/>
    <w:tmpl w:val="237EFF83"/>
    <w:lvl w:ilvl="0" w:tentative="0">
      <w:start w:val="2"/>
      <w:numFmt w:val="chineseCounting"/>
      <w:suff w:val="nothing"/>
      <w:lvlText w:val="%1、"/>
      <w:lvlJc w:val="left"/>
      <w:rPr>
        <w:rFonts w:hint="eastAsia"/>
      </w:rPr>
    </w:lvl>
  </w:abstractNum>
  <w:abstractNum w:abstractNumId="2">
    <w:nsid w:val="44C50F90"/>
    <w:multiLevelType w:val="multilevel"/>
    <w:tmpl w:val="44C50F90"/>
    <w:lvl w:ilvl="0" w:tentative="0">
      <w:start w:val="1"/>
      <w:numFmt w:val="lowerLetter"/>
      <w:pStyle w:val="34"/>
      <w:lvlText w:val="%1)"/>
      <w:lvlJc w:val="left"/>
      <w:pPr>
        <w:tabs>
          <w:tab w:val="left" w:pos="562"/>
        </w:tabs>
        <w:ind w:left="561" w:hanging="419"/>
      </w:pPr>
      <w:rPr>
        <w:rFonts w:hint="eastAsia" w:ascii="宋体" w:eastAsia="宋体"/>
        <w:b w:val="0"/>
        <w:i w:val="0"/>
        <w:sz w:val="21"/>
        <w:szCs w:val="21"/>
      </w:rPr>
    </w:lvl>
    <w:lvl w:ilvl="1" w:tentative="0">
      <w:start w:val="1"/>
      <w:numFmt w:val="decimal"/>
      <w:pStyle w:val="31"/>
      <w:lvlText w:val="%2)"/>
      <w:lvlJc w:val="left"/>
      <w:pPr>
        <w:tabs>
          <w:tab w:val="left" w:pos="1260"/>
        </w:tabs>
        <w:ind w:left="1259" w:hanging="419"/>
      </w:pPr>
      <w:rPr>
        <w:rFonts w:hint="eastAsia"/>
      </w:rPr>
    </w:lvl>
    <w:lvl w:ilvl="2" w:tentative="0">
      <w:start w:val="1"/>
      <w:numFmt w:val="decimal"/>
      <w:pStyle w:val="35"/>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688C7FEE"/>
    <w:multiLevelType w:val="singleLevel"/>
    <w:tmpl w:val="688C7FEE"/>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kNDhhMmI3MDVhOWFkYTQxMzdhMDcxMjkxMTM5ZDMifQ=="/>
  </w:docVars>
  <w:rsids>
    <w:rsidRoot w:val="00A87FC7"/>
    <w:rsid w:val="00000D1E"/>
    <w:rsid w:val="00004FFC"/>
    <w:rsid w:val="00012B79"/>
    <w:rsid w:val="00012B8C"/>
    <w:rsid w:val="00014E52"/>
    <w:rsid w:val="00016C49"/>
    <w:rsid w:val="00024322"/>
    <w:rsid w:val="00032635"/>
    <w:rsid w:val="0003333C"/>
    <w:rsid w:val="00034266"/>
    <w:rsid w:val="00036C60"/>
    <w:rsid w:val="0004060E"/>
    <w:rsid w:val="00044C79"/>
    <w:rsid w:val="00050788"/>
    <w:rsid w:val="0005162B"/>
    <w:rsid w:val="00052125"/>
    <w:rsid w:val="000644A4"/>
    <w:rsid w:val="00066CBB"/>
    <w:rsid w:val="0006797F"/>
    <w:rsid w:val="00070682"/>
    <w:rsid w:val="00070E8C"/>
    <w:rsid w:val="00072182"/>
    <w:rsid w:val="00073727"/>
    <w:rsid w:val="00073AA2"/>
    <w:rsid w:val="000779C1"/>
    <w:rsid w:val="00080F7E"/>
    <w:rsid w:val="0008500C"/>
    <w:rsid w:val="000856C9"/>
    <w:rsid w:val="00086830"/>
    <w:rsid w:val="0008728E"/>
    <w:rsid w:val="000878FC"/>
    <w:rsid w:val="00090798"/>
    <w:rsid w:val="0009297C"/>
    <w:rsid w:val="000941E8"/>
    <w:rsid w:val="000973E0"/>
    <w:rsid w:val="000A5138"/>
    <w:rsid w:val="000A5692"/>
    <w:rsid w:val="000A6881"/>
    <w:rsid w:val="000C2803"/>
    <w:rsid w:val="000C2A84"/>
    <w:rsid w:val="000C3978"/>
    <w:rsid w:val="000C43C5"/>
    <w:rsid w:val="000C5720"/>
    <w:rsid w:val="000C71FB"/>
    <w:rsid w:val="000D2343"/>
    <w:rsid w:val="000D2AEA"/>
    <w:rsid w:val="000D749C"/>
    <w:rsid w:val="000E7FCB"/>
    <w:rsid w:val="000F5013"/>
    <w:rsid w:val="00100C8D"/>
    <w:rsid w:val="00103897"/>
    <w:rsid w:val="0011248C"/>
    <w:rsid w:val="001125D8"/>
    <w:rsid w:val="00116218"/>
    <w:rsid w:val="00120138"/>
    <w:rsid w:val="001207C9"/>
    <w:rsid w:val="00124E24"/>
    <w:rsid w:val="00126DBF"/>
    <w:rsid w:val="001305F0"/>
    <w:rsid w:val="00132509"/>
    <w:rsid w:val="0013795B"/>
    <w:rsid w:val="00140C5F"/>
    <w:rsid w:val="001461AE"/>
    <w:rsid w:val="00146480"/>
    <w:rsid w:val="00147860"/>
    <w:rsid w:val="00147F89"/>
    <w:rsid w:val="001554B2"/>
    <w:rsid w:val="00160814"/>
    <w:rsid w:val="00175F95"/>
    <w:rsid w:val="0018052C"/>
    <w:rsid w:val="00181DFA"/>
    <w:rsid w:val="001838B0"/>
    <w:rsid w:val="00183D45"/>
    <w:rsid w:val="00186394"/>
    <w:rsid w:val="00186AF4"/>
    <w:rsid w:val="00192377"/>
    <w:rsid w:val="001A1496"/>
    <w:rsid w:val="001A27A4"/>
    <w:rsid w:val="001A47EA"/>
    <w:rsid w:val="001A56DB"/>
    <w:rsid w:val="001A7035"/>
    <w:rsid w:val="001A74E1"/>
    <w:rsid w:val="001B2662"/>
    <w:rsid w:val="001B2977"/>
    <w:rsid w:val="001B35CA"/>
    <w:rsid w:val="001B4631"/>
    <w:rsid w:val="001B66FB"/>
    <w:rsid w:val="001B6AAA"/>
    <w:rsid w:val="001C080A"/>
    <w:rsid w:val="001C0E04"/>
    <w:rsid w:val="001C1A1A"/>
    <w:rsid w:val="001C6640"/>
    <w:rsid w:val="001C72AE"/>
    <w:rsid w:val="001D1673"/>
    <w:rsid w:val="001D1D56"/>
    <w:rsid w:val="001D60A1"/>
    <w:rsid w:val="001D660F"/>
    <w:rsid w:val="001D70CA"/>
    <w:rsid w:val="001D7B1E"/>
    <w:rsid w:val="001E57EA"/>
    <w:rsid w:val="001E5E51"/>
    <w:rsid w:val="001E6E1A"/>
    <w:rsid w:val="001F203E"/>
    <w:rsid w:val="001F4CD9"/>
    <w:rsid w:val="001F58E1"/>
    <w:rsid w:val="001F7091"/>
    <w:rsid w:val="00201CC5"/>
    <w:rsid w:val="00201E47"/>
    <w:rsid w:val="00202004"/>
    <w:rsid w:val="00203F06"/>
    <w:rsid w:val="00204DC2"/>
    <w:rsid w:val="00210A83"/>
    <w:rsid w:val="00212537"/>
    <w:rsid w:val="0021291F"/>
    <w:rsid w:val="00216CFE"/>
    <w:rsid w:val="00221406"/>
    <w:rsid w:val="00223682"/>
    <w:rsid w:val="002238AA"/>
    <w:rsid w:val="00230152"/>
    <w:rsid w:val="0023584D"/>
    <w:rsid w:val="0023728D"/>
    <w:rsid w:val="002404A4"/>
    <w:rsid w:val="00240948"/>
    <w:rsid w:val="002476EF"/>
    <w:rsid w:val="002506F1"/>
    <w:rsid w:val="0025140B"/>
    <w:rsid w:val="0025186C"/>
    <w:rsid w:val="00261346"/>
    <w:rsid w:val="00264F56"/>
    <w:rsid w:val="002703A6"/>
    <w:rsid w:val="00270B3B"/>
    <w:rsid w:val="002758FE"/>
    <w:rsid w:val="00276254"/>
    <w:rsid w:val="00283426"/>
    <w:rsid w:val="002A04A8"/>
    <w:rsid w:val="002A72B2"/>
    <w:rsid w:val="002B1C5C"/>
    <w:rsid w:val="002B202F"/>
    <w:rsid w:val="002B3F2F"/>
    <w:rsid w:val="002B7A4E"/>
    <w:rsid w:val="002B7BA5"/>
    <w:rsid w:val="002C4050"/>
    <w:rsid w:val="002C5539"/>
    <w:rsid w:val="002C7D48"/>
    <w:rsid w:val="002D0BDB"/>
    <w:rsid w:val="002D116E"/>
    <w:rsid w:val="002D36EF"/>
    <w:rsid w:val="002D6891"/>
    <w:rsid w:val="002E0CC4"/>
    <w:rsid w:val="002E4F52"/>
    <w:rsid w:val="002E6BA6"/>
    <w:rsid w:val="002F7112"/>
    <w:rsid w:val="002F78EE"/>
    <w:rsid w:val="00303538"/>
    <w:rsid w:val="00304883"/>
    <w:rsid w:val="00306B0B"/>
    <w:rsid w:val="003122DB"/>
    <w:rsid w:val="003146C9"/>
    <w:rsid w:val="00314BD8"/>
    <w:rsid w:val="00314BEA"/>
    <w:rsid w:val="00314C5E"/>
    <w:rsid w:val="0032339B"/>
    <w:rsid w:val="00327C24"/>
    <w:rsid w:val="003305D2"/>
    <w:rsid w:val="00331D27"/>
    <w:rsid w:val="00334BC9"/>
    <w:rsid w:val="00341319"/>
    <w:rsid w:val="003557A3"/>
    <w:rsid w:val="00361268"/>
    <w:rsid w:val="003617BB"/>
    <w:rsid w:val="00364410"/>
    <w:rsid w:val="00366D12"/>
    <w:rsid w:val="003744D4"/>
    <w:rsid w:val="00374E23"/>
    <w:rsid w:val="003770DE"/>
    <w:rsid w:val="00377F05"/>
    <w:rsid w:val="003812A1"/>
    <w:rsid w:val="003860B5"/>
    <w:rsid w:val="003866B1"/>
    <w:rsid w:val="00386A96"/>
    <w:rsid w:val="00390E95"/>
    <w:rsid w:val="0039201B"/>
    <w:rsid w:val="00394880"/>
    <w:rsid w:val="003967ED"/>
    <w:rsid w:val="003A2645"/>
    <w:rsid w:val="003B0353"/>
    <w:rsid w:val="003B1F50"/>
    <w:rsid w:val="003B275D"/>
    <w:rsid w:val="003B6BA2"/>
    <w:rsid w:val="003C0B57"/>
    <w:rsid w:val="003C29D3"/>
    <w:rsid w:val="003D3179"/>
    <w:rsid w:val="003D4AAB"/>
    <w:rsid w:val="003D65F5"/>
    <w:rsid w:val="003D6CD8"/>
    <w:rsid w:val="003D6D48"/>
    <w:rsid w:val="003E439B"/>
    <w:rsid w:val="003E43F7"/>
    <w:rsid w:val="003E712A"/>
    <w:rsid w:val="003F1E02"/>
    <w:rsid w:val="003F3669"/>
    <w:rsid w:val="003F4729"/>
    <w:rsid w:val="004019E3"/>
    <w:rsid w:val="00401DA0"/>
    <w:rsid w:val="004029F6"/>
    <w:rsid w:val="00403D99"/>
    <w:rsid w:val="00405332"/>
    <w:rsid w:val="00405FF6"/>
    <w:rsid w:val="004066F6"/>
    <w:rsid w:val="00407EA5"/>
    <w:rsid w:val="00411268"/>
    <w:rsid w:val="00412128"/>
    <w:rsid w:val="004121AD"/>
    <w:rsid w:val="00413E85"/>
    <w:rsid w:val="00416A31"/>
    <w:rsid w:val="00416B68"/>
    <w:rsid w:val="00421474"/>
    <w:rsid w:val="00422E97"/>
    <w:rsid w:val="004269D9"/>
    <w:rsid w:val="00427AE1"/>
    <w:rsid w:val="00427DF8"/>
    <w:rsid w:val="00430845"/>
    <w:rsid w:val="004311B5"/>
    <w:rsid w:val="0043142B"/>
    <w:rsid w:val="00431505"/>
    <w:rsid w:val="00433560"/>
    <w:rsid w:val="0043516C"/>
    <w:rsid w:val="00436E30"/>
    <w:rsid w:val="004436FF"/>
    <w:rsid w:val="00443B1C"/>
    <w:rsid w:val="004447DF"/>
    <w:rsid w:val="004535F7"/>
    <w:rsid w:val="00454455"/>
    <w:rsid w:val="00455BA4"/>
    <w:rsid w:val="0046148E"/>
    <w:rsid w:val="00466B1F"/>
    <w:rsid w:val="0047124E"/>
    <w:rsid w:val="00475826"/>
    <w:rsid w:val="00481C70"/>
    <w:rsid w:val="00487529"/>
    <w:rsid w:val="00490C70"/>
    <w:rsid w:val="00491C00"/>
    <w:rsid w:val="00492948"/>
    <w:rsid w:val="00496AE0"/>
    <w:rsid w:val="004973B2"/>
    <w:rsid w:val="004976C7"/>
    <w:rsid w:val="004A2962"/>
    <w:rsid w:val="004A2D2F"/>
    <w:rsid w:val="004A3DE7"/>
    <w:rsid w:val="004A502F"/>
    <w:rsid w:val="004A7DF5"/>
    <w:rsid w:val="004B11CC"/>
    <w:rsid w:val="004B3A7A"/>
    <w:rsid w:val="004B5511"/>
    <w:rsid w:val="004C1B3E"/>
    <w:rsid w:val="004C35DA"/>
    <w:rsid w:val="004C4A6B"/>
    <w:rsid w:val="004C51CD"/>
    <w:rsid w:val="004C7195"/>
    <w:rsid w:val="004D001A"/>
    <w:rsid w:val="004D0A4D"/>
    <w:rsid w:val="004D1E01"/>
    <w:rsid w:val="004D4B87"/>
    <w:rsid w:val="004D4C8F"/>
    <w:rsid w:val="004D5077"/>
    <w:rsid w:val="004E2AA3"/>
    <w:rsid w:val="004E3320"/>
    <w:rsid w:val="004E6419"/>
    <w:rsid w:val="004F0C88"/>
    <w:rsid w:val="004F5831"/>
    <w:rsid w:val="004F7A9A"/>
    <w:rsid w:val="00501093"/>
    <w:rsid w:val="00502DBB"/>
    <w:rsid w:val="005032B5"/>
    <w:rsid w:val="00503B6F"/>
    <w:rsid w:val="00504476"/>
    <w:rsid w:val="00504B86"/>
    <w:rsid w:val="00510044"/>
    <w:rsid w:val="00515243"/>
    <w:rsid w:val="00515588"/>
    <w:rsid w:val="00524C4B"/>
    <w:rsid w:val="00525104"/>
    <w:rsid w:val="005310EF"/>
    <w:rsid w:val="00542A3A"/>
    <w:rsid w:val="005432F7"/>
    <w:rsid w:val="00551D9A"/>
    <w:rsid w:val="0055451B"/>
    <w:rsid w:val="00555A89"/>
    <w:rsid w:val="00555A9B"/>
    <w:rsid w:val="00556079"/>
    <w:rsid w:val="00556983"/>
    <w:rsid w:val="00557ACD"/>
    <w:rsid w:val="00557B07"/>
    <w:rsid w:val="00560B2D"/>
    <w:rsid w:val="00562372"/>
    <w:rsid w:val="005635A6"/>
    <w:rsid w:val="00563D6C"/>
    <w:rsid w:val="0056438D"/>
    <w:rsid w:val="00566116"/>
    <w:rsid w:val="005743FE"/>
    <w:rsid w:val="005770EF"/>
    <w:rsid w:val="00581F32"/>
    <w:rsid w:val="00585E4B"/>
    <w:rsid w:val="00591376"/>
    <w:rsid w:val="005949AF"/>
    <w:rsid w:val="005949BA"/>
    <w:rsid w:val="00594EFD"/>
    <w:rsid w:val="00595CB7"/>
    <w:rsid w:val="005960D1"/>
    <w:rsid w:val="0059718F"/>
    <w:rsid w:val="005A0E61"/>
    <w:rsid w:val="005A5E19"/>
    <w:rsid w:val="005B35C7"/>
    <w:rsid w:val="005B3A82"/>
    <w:rsid w:val="005B7B82"/>
    <w:rsid w:val="005C0373"/>
    <w:rsid w:val="005C359E"/>
    <w:rsid w:val="005C49AC"/>
    <w:rsid w:val="005C4B4A"/>
    <w:rsid w:val="005C56F7"/>
    <w:rsid w:val="005C7AF4"/>
    <w:rsid w:val="005D4A0D"/>
    <w:rsid w:val="005D4C79"/>
    <w:rsid w:val="005D719F"/>
    <w:rsid w:val="005E23A5"/>
    <w:rsid w:val="005E368E"/>
    <w:rsid w:val="005F0B18"/>
    <w:rsid w:val="005F14A7"/>
    <w:rsid w:val="005F45CD"/>
    <w:rsid w:val="005F5C38"/>
    <w:rsid w:val="00602FBF"/>
    <w:rsid w:val="00612BC4"/>
    <w:rsid w:val="00613838"/>
    <w:rsid w:val="0061421B"/>
    <w:rsid w:val="00617528"/>
    <w:rsid w:val="00617DDD"/>
    <w:rsid w:val="00620943"/>
    <w:rsid w:val="006219FD"/>
    <w:rsid w:val="00626D00"/>
    <w:rsid w:val="0064169F"/>
    <w:rsid w:val="006420EE"/>
    <w:rsid w:val="0064696D"/>
    <w:rsid w:val="0064760F"/>
    <w:rsid w:val="00647DA8"/>
    <w:rsid w:val="00650269"/>
    <w:rsid w:val="0065390C"/>
    <w:rsid w:val="00653DBB"/>
    <w:rsid w:val="0065432C"/>
    <w:rsid w:val="00654BEE"/>
    <w:rsid w:val="006603E2"/>
    <w:rsid w:val="00662F67"/>
    <w:rsid w:val="00663955"/>
    <w:rsid w:val="0066479F"/>
    <w:rsid w:val="006659F9"/>
    <w:rsid w:val="00672295"/>
    <w:rsid w:val="00672E3D"/>
    <w:rsid w:val="00680910"/>
    <w:rsid w:val="00681B68"/>
    <w:rsid w:val="00684BF8"/>
    <w:rsid w:val="0068537D"/>
    <w:rsid w:val="006866B4"/>
    <w:rsid w:val="00687E28"/>
    <w:rsid w:val="00694A1D"/>
    <w:rsid w:val="00695323"/>
    <w:rsid w:val="006976C6"/>
    <w:rsid w:val="006A1453"/>
    <w:rsid w:val="006A1B83"/>
    <w:rsid w:val="006A2A4D"/>
    <w:rsid w:val="006A2CD3"/>
    <w:rsid w:val="006B1D64"/>
    <w:rsid w:val="006B312A"/>
    <w:rsid w:val="006C723C"/>
    <w:rsid w:val="006D1F4B"/>
    <w:rsid w:val="006D30DA"/>
    <w:rsid w:val="006D5B45"/>
    <w:rsid w:val="006D7D70"/>
    <w:rsid w:val="006E23AD"/>
    <w:rsid w:val="006E3ADD"/>
    <w:rsid w:val="006E49C2"/>
    <w:rsid w:val="006F0ED3"/>
    <w:rsid w:val="006F4B3D"/>
    <w:rsid w:val="006F6FE8"/>
    <w:rsid w:val="00700A0B"/>
    <w:rsid w:val="0070239A"/>
    <w:rsid w:val="00702E7B"/>
    <w:rsid w:val="007054B0"/>
    <w:rsid w:val="00705D0B"/>
    <w:rsid w:val="00710274"/>
    <w:rsid w:val="00712B73"/>
    <w:rsid w:val="007232A1"/>
    <w:rsid w:val="0072522D"/>
    <w:rsid w:val="00726DA4"/>
    <w:rsid w:val="00727FFB"/>
    <w:rsid w:val="0073001B"/>
    <w:rsid w:val="00737357"/>
    <w:rsid w:val="00737B59"/>
    <w:rsid w:val="0075684D"/>
    <w:rsid w:val="00764589"/>
    <w:rsid w:val="007679F3"/>
    <w:rsid w:val="007714C6"/>
    <w:rsid w:val="007722D1"/>
    <w:rsid w:val="00777CF5"/>
    <w:rsid w:val="00786558"/>
    <w:rsid w:val="00786682"/>
    <w:rsid w:val="0079450C"/>
    <w:rsid w:val="00795ED9"/>
    <w:rsid w:val="0079661D"/>
    <w:rsid w:val="007A4603"/>
    <w:rsid w:val="007A478C"/>
    <w:rsid w:val="007A6D6C"/>
    <w:rsid w:val="007A6DC0"/>
    <w:rsid w:val="007B0A46"/>
    <w:rsid w:val="007C046E"/>
    <w:rsid w:val="007C210A"/>
    <w:rsid w:val="007C2460"/>
    <w:rsid w:val="007C24D3"/>
    <w:rsid w:val="007C695B"/>
    <w:rsid w:val="007D45F8"/>
    <w:rsid w:val="007D5D29"/>
    <w:rsid w:val="007E1F3A"/>
    <w:rsid w:val="007F6BF0"/>
    <w:rsid w:val="00800038"/>
    <w:rsid w:val="008002F4"/>
    <w:rsid w:val="008004D8"/>
    <w:rsid w:val="00802F2F"/>
    <w:rsid w:val="00810281"/>
    <w:rsid w:val="008141D7"/>
    <w:rsid w:val="0081727B"/>
    <w:rsid w:val="008223E0"/>
    <w:rsid w:val="00826105"/>
    <w:rsid w:val="0082717A"/>
    <w:rsid w:val="00833CA2"/>
    <w:rsid w:val="008344B2"/>
    <w:rsid w:val="00841FB8"/>
    <w:rsid w:val="00842869"/>
    <w:rsid w:val="00844484"/>
    <w:rsid w:val="00845685"/>
    <w:rsid w:val="00855E22"/>
    <w:rsid w:val="00860995"/>
    <w:rsid w:val="00864763"/>
    <w:rsid w:val="008648B3"/>
    <w:rsid w:val="008669A0"/>
    <w:rsid w:val="008717E9"/>
    <w:rsid w:val="00872F46"/>
    <w:rsid w:val="00873371"/>
    <w:rsid w:val="00874296"/>
    <w:rsid w:val="00875262"/>
    <w:rsid w:val="00880B4A"/>
    <w:rsid w:val="008856ED"/>
    <w:rsid w:val="00890C89"/>
    <w:rsid w:val="00892897"/>
    <w:rsid w:val="00893557"/>
    <w:rsid w:val="008A385C"/>
    <w:rsid w:val="008A3D7C"/>
    <w:rsid w:val="008A5159"/>
    <w:rsid w:val="008A691F"/>
    <w:rsid w:val="008A6AA7"/>
    <w:rsid w:val="008B2575"/>
    <w:rsid w:val="008B2C6F"/>
    <w:rsid w:val="008B5211"/>
    <w:rsid w:val="008B5C1D"/>
    <w:rsid w:val="008C3469"/>
    <w:rsid w:val="008D0E41"/>
    <w:rsid w:val="008D214C"/>
    <w:rsid w:val="008D2A4D"/>
    <w:rsid w:val="008E2A0E"/>
    <w:rsid w:val="008F01AA"/>
    <w:rsid w:val="008F09DE"/>
    <w:rsid w:val="008F1A77"/>
    <w:rsid w:val="008F598F"/>
    <w:rsid w:val="008F7C63"/>
    <w:rsid w:val="009010EF"/>
    <w:rsid w:val="009030AE"/>
    <w:rsid w:val="00903747"/>
    <w:rsid w:val="00903899"/>
    <w:rsid w:val="009042FA"/>
    <w:rsid w:val="009101A0"/>
    <w:rsid w:val="00910BE4"/>
    <w:rsid w:val="0091489C"/>
    <w:rsid w:val="009153FD"/>
    <w:rsid w:val="00917C4E"/>
    <w:rsid w:val="00923000"/>
    <w:rsid w:val="009265FF"/>
    <w:rsid w:val="0092746B"/>
    <w:rsid w:val="009274D8"/>
    <w:rsid w:val="0093104A"/>
    <w:rsid w:val="00934A93"/>
    <w:rsid w:val="00935BF1"/>
    <w:rsid w:val="00942507"/>
    <w:rsid w:val="00942674"/>
    <w:rsid w:val="00944559"/>
    <w:rsid w:val="00945754"/>
    <w:rsid w:val="00946FC2"/>
    <w:rsid w:val="0095033C"/>
    <w:rsid w:val="00952DCE"/>
    <w:rsid w:val="00954B49"/>
    <w:rsid w:val="009603A6"/>
    <w:rsid w:val="009611ED"/>
    <w:rsid w:val="009623E4"/>
    <w:rsid w:val="00962EE4"/>
    <w:rsid w:val="0097172F"/>
    <w:rsid w:val="0097215A"/>
    <w:rsid w:val="00973FD1"/>
    <w:rsid w:val="00977BDB"/>
    <w:rsid w:val="00981E01"/>
    <w:rsid w:val="009822C0"/>
    <w:rsid w:val="00983B32"/>
    <w:rsid w:val="00990264"/>
    <w:rsid w:val="00992BC3"/>
    <w:rsid w:val="00992EFD"/>
    <w:rsid w:val="00995C79"/>
    <w:rsid w:val="00996B51"/>
    <w:rsid w:val="009A09D0"/>
    <w:rsid w:val="009A3478"/>
    <w:rsid w:val="009A4124"/>
    <w:rsid w:val="009A459B"/>
    <w:rsid w:val="009A5D5D"/>
    <w:rsid w:val="009A756C"/>
    <w:rsid w:val="009A7624"/>
    <w:rsid w:val="009A7F19"/>
    <w:rsid w:val="009B1C18"/>
    <w:rsid w:val="009B3B16"/>
    <w:rsid w:val="009B7B8C"/>
    <w:rsid w:val="009B7E62"/>
    <w:rsid w:val="009C0295"/>
    <w:rsid w:val="009C0E94"/>
    <w:rsid w:val="009C27D9"/>
    <w:rsid w:val="009C2D54"/>
    <w:rsid w:val="009D030F"/>
    <w:rsid w:val="009D24A9"/>
    <w:rsid w:val="009E222E"/>
    <w:rsid w:val="009E342E"/>
    <w:rsid w:val="009E45EF"/>
    <w:rsid w:val="009E533E"/>
    <w:rsid w:val="009F2C20"/>
    <w:rsid w:val="00A00D27"/>
    <w:rsid w:val="00A04E0B"/>
    <w:rsid w:val="00A07024"/>
    <w:rsid w:val="00A10365"/>
    <w:rsid w:val="00A16FD8"/>
    <w:rsid w:val="00A17386"/>
    <w:rsid w:val="00A240E6"/>
    <w:rsid w:val="00A25B30"/>
    <w:rsid w:val="00A26C94"/>
    <w:rsid w:val="00A309FB"/>
    <w:rsid w:val="00A310B1"/>
    <w:rsid w:val="00A31CB0"/>
    <w:rsid w:val="00A341EE"/>
    <w:rsid w:val="00A34EBB"/>
    <w:rsid w:val="00A36642"/>
    <w:rsid w:val="00A37350"/>
    <w:rsid w:val="00A40790"/>
    <w:rsid w:val="00A4094C"/>
    <w:rsid w:val="00A42F4B"/>
    <w:rsid w:val="00A46090"/>
    <w:rsid w:val="00A473F1"/>
    <w:rsid w:val="00A50684"/>
    <w:rsid w:val="00A52053"/>
    <w:rsid w:val="00A5505D"/>
    <w:rsid w:val="00A56554"/>
    <w:rsid w:val="00A60D34"/>
    <w:rsid w:val="00A615B5"/>
    <w:rsid w:val="00A61695"/>
    <w:rsid w:val="00A62B92"/>
    <w:rsid w:val="00A765F4"/>
    <w:rsid w:val="00A82C35"/>
    <w:rsid w:val="00A82D3B"/>
    <w:rsid w:val="00A849A9"/>
    <w:rsid w:val="00A85ACC"/>
    <w:rsid w:val="00A86704"/>
    <w:rsid w:val="00A87A47"/>
    <w:rsid w:val="00A87FC7"/>
    <w:rsid w:val="00A92952"/>
    <w:rsid w:val="00A94055"/>
    <w:rsid w:val="00A964C3"/>
    <w:rsid w:val="00AA07A6"/>
    <w:rsid w:val="00AA7F93"/>
    <w:rsid w:val="00AB3B39"/>
    <w:rsid w:val="00AB5A03"/>
    <w:rsid w:val="00AB72F1"/>
    <w:rsid w:val="00AC0935"/>
    <w:rsid w:val="00AC0CC7"/>
    <w:rsid w:val="00AC24AB"/>
    <w:rsid w:val="00AC5C23"/>
    <w:rsid w:val="00AD1265"/>
    <w:rsid w:val="00AD31CD"/>
    <w:rsid w:val="00AD4CB9"/>
    <w:rsid w:val="00AD540A"/>
    <w:rsid w:val="00AE0065"/>
    <w:rsid w:val="00AE173B"/>
    <w:rsid w:val="00AE465F"/>
    <w:rsid w:val="00AE4C5A"/>
    <w:rsid w:val="00AE7217"/>
    <w:rsid w:val="00AF12D9"/>
    <w:rsid w:val="00AF1BA5"/>
    <w:rsid w:val="00AF7939"/>
    <w:rsid w:val="00B04B6C"/>
    <w:rsid w:val="00B06C14"/>
    <w:rsid w:val="00B07B11"/>
    <w:rsid w:val="00B111F3"/>
    <w:rsid w:val="00B144E4"/>
    <w:rsid w:val="00B16D0B"/>
    <w:rsid w:val="00B21291"/>
    <w:rsid w:val="00B24D4D"/>
    <w:rsid w:val="00B254C3"/>
    <w:rsid w:val="00B27EF0"/>
    <w:rsid w:val="00B321EE"/>
    <w:rsid w:val="00B32A6D"/>
    <w:rsid w:val="00B41872"/>
    <w:rsid w:val="00B42F9B"/>
    <w:rsid w:val="00B51FF8"/>
    <w:rsid w:val="00B527AC"/>
    <w:rsid w:val="00B53D51"/>
    <w:rsid w:val="00B664A8"/>
    <w:rsid w:val="00B711C3"/>
    <w:rsid w:val="00B7231C"/>
    <w:rsid w:val="00B7243A"/>
    <w:rsid w:val="00B735F4"/>
    <w:rsid w:val="00B756C8"/>
    <w:rsid w:val="00B77C53"/>
    <w:rsid w:val="00B81868"/>
    <w:rsid w:val="00B82375"/>
    <w:rsid w:val="00B9064B"/>
    <w:rsid w:val="00B92376"/>
    <w:rsid w:val="00B93618"/>
    <w:rsid w:val="00B956EB"/>
    <w:rsid w:val="00B95710"/>
    <w:rsid w:val="00B965D8"/>
    <w:rsid w:val="00BA1DAB"/>
    <w:rsid w:val="00BA2130"/>
    <w:rsid w:val="00BA4FB3"/>
    <w:rsid w:val="00BB3F8D"/>
    <w:rsid w:val="00BB47E1"/>
    <w:rsid w:val="00BC255A"/>
    <w:rsid w:val="00BC29D9"/>
    <w:rsid w:val="00BC2CEB"/>
    <w:rsid w:val="00BC2D5C"/>
    <w:rsid w:val="00BC33FE"/>
    <w:rsid w:val="00BC6CEE"/>
    <w:rsid w:val="00BD10A1"/>
    <w:rsid w:val="00BD2549"/>
    <w:rsid w:val="00BD33E7"/>
    <w:rsid w:val="00BD5604"/>
    <w:rsid w:val="00BD5A85"/>
    <w:rsid w:val="00BD6C4E"/>
    <w:rsid w:val="00BD6FA2"/>
    <w:rsid w:val="00BE1EF7"/>
    <w:rsid w:val="00BE3DA0"/>
    <w:rsid w:val="00BE48F3"/>
    <w:rsid w:val="00BF5832"/>
    <w:rsid w:val="00BF6D04"/>
    <w:rsid w:val="00C043AF"/>
    <w:rsid w:val="00C04854"/>
    <w:rsid w:val="00C13A5A"/>
    <w:rsid w:val="00C2367D"/>
    <w:rsid w:val="00C23BC7"/>
    <w:rsid w:val="00C30C7D"/>
    <w:rsid w:val="00C341D7"/>
    <w:rsid w:val="00C36894"/>
    <w:rsid w:val="00C40077"/>
    <w:rsid w:val="00C413BA"/>
    <w:rsid w:val="00C43DCF"/>
    <w:rsid w:val="00C44D31"/>
    <w:rsid w:val="00C44FDB"/>
    <w:rsid w:val="00C45221"/>
    <w:rsid w:val="00C46C83"/>
    <w:rsid w:val="00C46F38"/>
    <w:rsid w:val="00C53666"/>
    <w:rsid w:val="00C53B4C"/>
    <w:rsid w:val="00C557E4"/>
    <w:rsid w:val="00C60407"/>
    <w:rsid w:val="00C63BC5"/>
    <w:rsid w:val="00C741E3"/>
    <w:rsid w:val="00C75C9E"/>
    <w:rsid w:val="00C7713B"/>
    <w:rsid w:val="00C82233"/>
    <w:rsid w:val="00C8477C"/>
    <w:rsid w:val="00C87336"/>
    <w:rsid w:val="00C8744F"/>
    <w:rsid w:val="00C8755E"/>
    <w:rsid w:val="00C90432"/>
    <w:rsid w:val="00C925FD"/>
    <w:rsid w:val="00C9538B"/>
    <w:rsid w:val="00C95392"/>
    <w:rsid w:val="00C9758E"/>
    <w:rsid w:val="00C978B4"/>
    <w:rsid w:val="00CA78D3"/>
    <w:rsid w:val="00CB0E05"/>
    <w:rsid w:val="00CB0EB1"/>
    <w:rsid w:val="00CB1A07"/>
    <w:rsid w:val="00CB6CBF"/>
    <w:rsid w:val="00CC11AB"/>
    <w:rsid w:val="00CC5480"/>
    <w:rsid w:val="00CD1078"/>
    <w:rsid w:val="00CD55EF"/>
    <w:rsid w:val="00CD5EAF"/>
    <w:rsid w:val="00CD64F7"/>
    <w:rsid w:val="00CD767C"/>
    <w:rsid w:val="00CD7DA2"/>
    <w:rsid w:val="00CE4BA3"/>
    <w:rsid w:val="00CE6130"/>
    <w:rsid w:val="00CF3DC9"/>
    <w:rsid w:val="00CF5DF8"/>
    <w:rsid w:val="00CF69E1"/>
    <w:rsid w:val="00D00761"/>
    <w:rsid w:val="00D01028"/>
    <w:rsid w:val="00D01E94"/>
    <w:rsid w:val="00D0225A"/>
    <w:rsid w:val="00D03C93"/>
    <w:rsid w:val="00D07656"/>
    <w:rsid w:val="00D102F4"/>
    <w:rsid w:val="00D12B20"/>
    <w:rsid w:val="00D13D29"/>
    <w:rsid w:val="00D16CA5"/>
    <w:rsid w:val="00D1746E"/>
    <w:rsid w:val="00D21918"/>
    <w:rsid w:val="00D27634"/>
    <w:rsid w:val="00D307D1"/>
    <w:rsid w:val="00D32302"/>
    <w:rsid w:val="00D3546E"/>
    <w:rsid w:val="00D35783"/>
    <w:rsid w:val="00D3692F"/>
    <w:rsid w:val="00D37EA9"/>
    <w:rsid w:val="00D40F74"/>
    <w:rsid w:val="00D44C5D"/>
    <w:rsid w:val="00D47738"/>
    <w:rsid w:val="00D47C41"/>
    <w:rsid w:val="00D51446"/>
    <w:rsid w:val="00D55836"/>
    <w:rsid w:val="00D60854"/>
    <w:rsid w:val="00D734BE"/>
    <w:rsid w:val="00D74658"/>
    <w:rsid w:val="00D74919"/>
    <w:rsid w:val="00D80A00"/>
    <w:rsid w:val="00D90486"/>
    <w:rsid w:val="00D90C0B"/>
    <w:rsid w:val="00D91C71"/>
    <w:rsid w:val="00D941ED"/>
    <w:rsid w:val="00D94DDE"/>
    <w:rsid w:val="00D97D89"/>
    <w:rsid w:val="00DB4B1E"/>
    <w:rsid w:val="00DB4B9D"/>
    <w:rsid w:val="00DC128C"/>
    <w:rsid w:val="00DC13F4"/>
    <w:rsid w:val="00DC1F29"/>
    <w:rsid w:val="00DC216F"/>
    <w:rsid w:val="00DC269B"/>
    <w:rsid w:val="00DD1DE0"/>
    <w:rsid w:val="00DE1A2C"/>
    <w:rsid w:val="00DE2A90"/>
    <w:rsid w:val="00DE3067"/>
    <w:rsid w:val="00DE718B"/>
    <w:rsid w:val="00DF5CCD"/>
    <w:rsid w:val="00E04A28"/>
    <w:rsid w:val="00E06EE0"/>
    <w:rsid w:val="00E0784C"/>
    <w:rsid w:val="00E1180A"/>
    <w:rsid w:val="00E13D11"/>
    <w:rsid w:val="00E1460D"/>
    <w:rsid w:val="00E24C95"/>
    <w:rsid w:val="00E25476"/>
    <w:rsid w:val="00E33F6B"/>
    <w:rsid w:val="00E34C23"/>
    <w:rsid w:val="00E36F0D"/>
    <w:rsid w:val="00E417C1"/>
    <w:rsid w:val="00E5085E"/>
    <w:rsid w:val="00E61ADD"/>
    <w:rsid w:val="00E6447C"/>
    <w:rsid w:val="00E6574A"/>
    <w:rsid w:val="00E7308F"/>
    <w:rsid w:val="00E735AE"/>
    <w:rsid w:val="00E768D6"/>
    <w:rsid w:val="00E772AB"/>
    <w:rsid w:val="00E80CF6"/>
    <w:rsid w:val="00E81203"/>
    <w:rsid w:val="00E853B5"/>
    <w:rsid w:val="00E8568A"/>
    <w:rsid w:val="00E8718D"/>
    <w:rsid w:val="00E9017C"/>
    <w:rsid w:val="00E9254C"/>
    <w:rsid w:val="00E9580C"/>
    <w:rsid w:val="00EA211D"/>
    <w:rsid w:val="00EA2853"/>
    <w:rsid w:val="00EA2D03"/>
    <w:rsid w:val="00EA40EE"/>
    <w:rsid w:val="00EA7425"/>
    <w:rsid w:val="00EA79F8"/>
    <w:rsid w:val="00EB1E10"/>
    <w:rsid w:val="00EB4B58"/>
    <w:rsid w:val="00EC0D7E"/>
    <w:rsid w:val="00EC253C"/>
    <w:rsid w:val="00EC27F4"/>
    <w:rsid w:val="00EC31CC"/>
    <w:rsid w:val="00ED0E6D"/>
    <w:rsid w:val="00ED1926"/>
    <w:rsid w:val="00ED355F"/>
    <w:rsid w:val="00EE07E8"/>
    <w:rsid w:val="00EE2091"/>
    <w:rsid w:val="00EF0F05"/>
    <w:rsid w:val="00EF3C1C"/>
    <w:rsid w:val="00EF41A5"/>
    <w:rsid w:val="00EF4F60"/>
    <w:rsid w:val="00F02B7B"/>
    <w:rsid w:val="00F02EA6"/>
    <w:rsid w:val="00F05388"/>
    <w:rsid w:val="00F10EB5"/>
    <w:rsid w:val="00F120D0"/>
    <w:rsid w:val="00F12D07"/>
    <w:rsid w:val="00F15189"/>
    <w:rsid w:val="00F15C53"/>
    <w:rsid w:val="00F15D71"/>
    <w:rsid w:val="00F21C14"/>
    <w:rsid w:val="00F2238E"/>
    <w:rsid w:val="00F24012"/>
    <w:rsid w:val="00F255DB"/>
    <w:rsid w:val="00F3597D"/>
    <w:rsid w:val="00F45AC7"/>
    <w:rsid w:val="00F522AC"/>
    <w:rsid w:val="00F52358"/>
    <w:rsid w:val="00F562AD"/>
    <w:rsid w:val="00F63099"/>
    <w:rsid w:val="00F66819"/>
    <w:rsid w:val="00F6730E"/>
    <w:rsid w:val="00F70AB0"/>
    <w:rsid w:val="00F70AF6"/>
    <w:rsid w:val="00F72371"/>
    <w:rsid w:val="00F7674C"/>
    <w:rsid w:val="00F80CAB"/>
    <w:rsid w:val="00F8190D"/>
    <w:rsid w:val="00F824B6"/>
    <w:rsid w:val="00F915B4"/>
    <w:rsid w:val="00F9658B"/>
    <w:rsid w:val="00FA1EE5"/>
    <w:rsid w:val="00FA4327"/>
    <w:rsid w:val="00FA5708"/>
    <w:rsid w:val="00FA57CF"/>
    <w:rsid w:val="00FA6ABA"/>
    <w:rsid w:val="00FB02F7"/>
    <w:rsid w:val="00FB0812"/>
    <w:rsid w:val="00FB1750"/>
    <w:rsid w:val="00FB21B2"/>
    <w:rsid w:val="00FB2D6E"/>
    <w:rsid w:val="00FC11FB"/>
    <w:rsid w:val="00FC1E03"/>
    <w:rsid w:val="00FC5C5E"/>
    <w:rsid w:val="00FD0161"/>
    <w:rsid w:val="00FD12D7"/>
    <w:rsid w:val="00FD455D"/>
    <w:rsid w:val="00FD56BE"/>
    <w:rsid w:val="00FD7E01"/>
    <w:rsid w:val="00FE35D7"/>
    <w:rsid w:val="00FE6CD3"/>
    <w:rsid w:val="00FE6EC4"/>
    <w:rsid w:val="00FE73CA"/>
    <w:rsid w:val="00FE7C45"/>
    <w:rsid w:val="00FF13BA"/>
    <w:rsid w:val="00FF14B4"/>
    <w:rsid w:val="00FF1B9C"/>
    <w:rsid w:val="00FF21E4"/>
    <w:rsid w:val="00FF3AE1"/>
    <w:rsid w:val="00FF73F0"/>
    <w:rsid w:val="00FF7594"/>
    <w:rsid w:val="02663C42"/>
    <w:rsid w:val="0385634A"/>
    <w:rsid w:val="0433603D"/>
    <w:rsid w:val="043A06FC"/>
    <w:rsid w:val="053B310D"/>
    <w:rsid w:val="06DC2725"/>
    <w:rsid w:val="06FB3B03"/>
    <w:rsid w:val="070B3D9D"/>
    <w:rsid w:val="075F6EB2"/>
    <w:rsid w:val="07C81BD2"/>
    <w:rsid w:val="085F73E8"/>
    <w:rsid w:val="094E5430"/>
    <w:rsid w:val="09DC68E6"/>
    <w:rsid w:val="0A0E4FF2"/>
    <w:rsid w:val="0A110938"/>
    <w:rsid w:val="0B5D0834"/>
    <w:rsid w:val="0B5F5655"/>
    <w:rsid w:val="0C8D69A8"/>
    <w:rsid w:val="0D4B0060"/>
    <w:rsid w:val="0D677785"/>
    <w:rsid w:val="0FF85509"/>
    <w:rsid w:val="10FB3C68"/>
    <w:rsid w:val="115B2D88"/>
    <w:rsid w:val="11D16BFE"/>
    <w:rsid w:val="126E2CE8"/>
    <w:rsid w:val="12E3308D"/>
    <w:rsid w:val="14C01D3D"/>
    <w:rsid w:val="14FA226F"/>
    <w:rsid w:val="15334BB6"/>
    <w:rsid w:val="16296DE9"/>
    <w:rsid w:val="18480244"/>
    <w:rsid w:val="193F76FB"/>
    <w:rsid w:val="1A2D67B0"/>
    <w:rsid w:val="1AD80FFE"/>
    <w:rsid w:val="1B492FD4"/>
    <w:rsid w:val="1C333CBB"/>
    <w:rsid w:val="1CE407F6"/>
    <w:rsid w:val="1D2821E4"/>
    <w:rsid w:val="1D466DBC"/>
    <w:rsid w:val="1D7E569B"/>
    <w:rsid w:val="1E2B2D0C"/>
    <w:rsid w:val="1F9F0168"/>
    <w:rsid w:val="20423F38"/>
    <w:rsid w:val="222A579A"/>
    <w:rsid w:val="22C16F92"/>
    <w:rsid w:val="23561F11"/>
    <w:rsid w:val="24E10292"/>
    <w:rsid w:val="2524556B"/>
    <w:rsid w:val="27AA2CA3"/>
    <w:rsid w:val="281B645A"/>
    <w:rsid w:val="287F101E"/>
    <w:rsid w:val="289F6A33"/>
    <w:rsid w:val="28DD1D9B"/>
    <w:rsid w:val="299B58F1"/>
    <w:rsid w:val="2A7740BB"/>
    <w:rsid w:val="2D8404BB"/>
    <w:rsid w:val="2DF6203E"/>
    <w:rsid w:val="2E4D5985"/>
    <w:rsid w:val="2E6609A2"/>
    <w:rsid w:val="2E7632C6"/>
    <w:rsid w:val="2FDB060F"/>
    <w:rsid w:val="30A12166"/>
    <w:rsid w:val="316F7256"/>
    <w:rsid w:val="327402D3"/>
    <w:rsid w:val="32820B04"/>
    <w:rsid w:val="33122EA7"/>
    <w:rsid w:val="33D90E9F"/>
    <w:rsid w:val="33F352CD"/>
    <w:rsid w:val="348070AE"/>
    <w:rsid w:val="369F6096"/>
    <w:rsid w:val="36F70DBC"/>
    <w:rsid w:val="38D428CC"/>
    <w:rsid w:val="39501A09"/>
    <w:rsid w:val="39785A2E"/>
    <w:rsid w:val="398B5761"/>
    <w:rsid w:val="3C3361F9"/>
    <w:rsid w:val="3DA55145"/>
    <w:rsid w:val="3DFC60C1"/>
    <w:rsid w:val="3EF25354"/>
    <w:rsid w:val="3F8C7AD1"/>
    <w:rsid w:val="40BB048F"/>
    <w:rsid w:val="41FB20A8"/>
    <w:rsid w:val="42092064"/>
    <w:rsid w:val="425E2DF2"/>
    <w:rsid w:val="426C3C56"/>
    <w:rsid w:val="42C66261"/>
    <w:rsid w:val="43E5008C"/>
    <w:rsid w:val="44043123"/>
    <w:rsid w:val="459403B6"/>
    <w:rsid w:val="46924458"/>
    <w:rsid w:val="46B55951"/>
    <w:rsid w:val="46DF0ACB"/>
    <w:rsid w:val="46F6477A"/>
    <w:rsid w:val="49917942"/>
    <w:rsid w:val="49D37C3E"/>
    <w:rsid w:val="4B044EC2"/>
    <w:rsid w:val="4B3C797D"/>
    <w:rsid w:val="4BC77561"/>
    <w:rsid w:val="4C2524E7"/>
    <w:rsid w:val="4C327CBE"/>
    <w:rsid w:val="4EC8490A"/>
    <w:rsid w:val="4EFF1F7C"/>
    <w:rsid w:val="4F0B7756"/>
    <w:rsid w:val="4F383685"/>
    <w:rsid w:val="4F837195"/>
    <w:rsid w:val="50186577"/>
    <w:rsid w:val="51E257BE"/>
    <w:rsid w:val="51F46A7C"/>
    <w:rsid w:val="52514F1D"/>
    <w:rsid w:val="52636E23"/>
    <w:rsid w:val="53C81500"/>
    <w:rsid w:val="54795826"/>
    <w:rsid w:val="54AD4D7C"/>
    <w:rsid w:val="54EC22E2"/>
    <w:rsid w:val="55AF1B1C"/>
    <w:rsid w:val="565518B4"/>
    <w:rsid w:val="57846A5A"/>
    <w:rsid w:val="58577F78"/>
    <w:rsid w:val="58CF1811"/>
    <w:rsid w:val="59143FEE"/>
    <w:rsid w:val="59596AA1"/>
    <w:rsid w:val="59810AE7"/>
    <w:rsid w:val="59C67F57"/>
    <w:rsid w:val="5A413124"/>
    <w:rsid w:val="5A535624"/>
    <w:rsid w:val="5AAE5CD6"/>
    <w:rsid w:val="5AD82AFE"/>
    <w:rsid w:val="5AE503AE"/>
    <w:rsid w:val="5B8411B1"/>
    <w:rsid w:val="5BDB5443"/>
    <w:rsid w:val="5C281CBF"/>
    <w:rsid w:val="5CE4389C"/>
    <w:rsid w:val="5E60128D"/>
    <w:rsid w:val="5ECC1D2D"/>
    <w:rsid w:val="5F1A3317"/>
    <w:rsid w:val="5FBE05A1"/>
    <w:rsid w:val="60E275F6"/>
    <w:rsid w:val="613F521A"/>
    <w:rsid w:val="61E6342A"/>
    <w:rsid w:val="62130A76"/>
    <w:rsid w:val="62893F38"/>
    <w:rsid w:val="62B1767B"/>
    <w:rsid w:val="63E022EB"/>
    <w:rsid w:val="64632CB3"/>
    <w:rsid w:val="65DB3D0A"/>
    <w:rsid w:val="66D71736"/>
    <w:rsid w:val="679E650E"/>
    <w:rsid w:val="68D97C67"/>
    <w:rsid w:val="6A0E6E16"/>
    <w:rsid w:val="6A1F52A8"/>
    <w:rsid w:val="6A266C5C"/>
    <w:rsid w:val="6A557981"/>
    <w:rsid w:val="6A663D13"/>
    <w:rsid w:val="6BFB00DD"/>
    <w:rsid w:val="6D7B2C8E"/>
    <w:rsid w:val="6D9C0989"/>
    <w:rsid w:val="6DF826BE"/>
    <w:rsid w:val="6E041063"/>
    <w:rsid w:val="6EE33408"/>
    <w:rsid w:val="6F47594D"/>
    <w:rsid w:val="70AF47ED"/>
    <w:rsid w:val="71034277"/>
    <w:rsid w:val="717804FA"/>
    <w:rsid w:val="72E41463"/>
    <w:rsid w:val="72E53207"/>
    <w:rsid w:val="7512151E"/>
    <w:rsid w:val="759C1482"/>
    <w:rsid w:val="77150596"/>
    <w:rsid w:val="77AE7BE8"/>
    <w:rsid w:val="783D03E0"/>
    <w:rsid w:val="78936F61"/>
    <w:rsid w:val="78E35D19"/>
    <w:rsid w:val="79071A2A"/>
    <w:rsid w:val="799F0B4D"/>
    <w:rsid w:val="79A66742"/>
    <w:rsid w:val="7A3D048D"/>
    <w:rsid w:val="7AA977A4"/>
    <w:rsid w:val="7AB27FB9"/>
    <w:rsid w:val="7AD0245F"/>
    <w:rsid w:val="7CA6456F"/>
    <w:rsid w:val="7CD04239"/>
    <w:rsid w:val="7D3512E0"/>
    <w:rsid w:val="7E9D2D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560" w:firstLineChars="20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23"/>
    <w:autoRedefine/>
    <w:qFormat/>
    <w:uiPriority w:val="9"/>
    <w:pPr>
      <w:keepNext/>
      <w:keepLines/>
      <w:ind w:firstLine="200"/>
      <w:outlineLvl w:val="0"/>
    </w:pPr>
    <w:rPr>
      <w:rFonts w:eastAsia="黑体"/>
      <w:bCs/>
      <w:kern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autoRedefine/>
    <w:semiHidden/>
    <w:unhideWhenUsed/>
    <w:qFormat/>
    <w:uiPriority w:val="99"/>
    <w:pPr>
      <w:jc w:val="left"/>
    </w:pPr>
  </w:style>
  <w:style w:type="paragraph" w:styleId="4">
    <w:name w:val="Date"/>
    <w:basedOn w:val="1"/>
    <w:next w:val="1"/>
    <w:link w:val="24"/>
    <w:autoRedefine/>
    <w:semiHidden/>
    <w:unhideWhenUsed/>
    <w:qFormat/>
    <w:uiPriority w:val="99"/>
    <w:pPr>
      <w:ind w:left="100" w:leftChars="2500"/>
    </w:pPr>
  </w:style>
  <w:style w:type="paragraph" w:styleId="5">
    <w:name w:val="Balloon Text"/>
    <w:basedOn w:val="1"/>
    <w:link w:val="20"/>
    <w:autoRedefine/>
    <w:semiHidden/>
    <w:unhideWhenUsed/>
    <w:qFormat/>
    <w:uiPriority w:val="99"/>
    <w:rPr>
      <w:sz w:val="18"/>
      <w:szCs w:val="18"/>
    </w:rPr>
  </w:style>
  <w:style w:type="paragraph" w:styleId="6">
    <w:name w:val="footer"/>
    <w:basedOn w:val="1"/>
    <w:link w:val="17"/>
    <w:autoRedefine/>
    <w:qFormat/>
    <w:uiPriority w:val="99"/>
    <w:pPr>
      <w:tabs>
        <w:tab w:val="center" w:pos="4153"/>
        <w:tab w:val="right" w:pos="8306"/>
      </w:tabs>
      <w:snapToGrid w:val="0"/>
      <w:jc w:val="left"/>
    </w:pPr>
    <w:rPr>
      <w:sz w:val="18"/>
      <w:szCs w:val="18"/>
    </w:rPr>
  </w:style>
  <w:style w:type="paragraph" w:styleId="7">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semiHidden/>
    <w:unhideWhenUsed/>
    <w:qFormat/>
    <w:uiPriority w:val="99"/>
    <w:rPr>
      <w:sz w:val="24"/>
    </w:rPr>
  </w:style>
  <w:style w:type="paragraph" w:styleId="9">
    <w:name w:val="annotation subject"/>
    <w:basedOn w:val="3"/>
    <w:next w:val="3"/>
    <w:link w:val="22"/>
    <w:autoRedefine/>
    <w:semiHidden/>
    <w:unhideWhenUsed/>
    <w:qFormat/>
    <w:uiPriority w:val="99"/>
    <w:rPr>
      <w:b/>
      <w:bCs/>
    </w:rPr>
  </w:style>
  <w:style w:type="table" w:styleId="11">
    <w:name w:val="Table Grid"/>
    <w:basedOn w:val="1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22"/>
    <w:rPr>
      <w:b/>
      <w:bCs/>
    </w:rPr>
  </w:style>
  <w:style w:type="character" w:styleId="14">
    <w:name w:val="page number"/>
    <w:basedOn w:val="12"/>
    <w:autoRedefine/>
    <w:qFormat/>
    <w:uiPriority w:val="0"/>
  </w:style>
  <w:style w:type="character" w:styleId="15">
    <w:name w:val="Hyperlink"/>
    <w:basedOn w:val="12"/>
    <w:autoRedefine/>
    <w:qFormat/>
    <w:uiPriority w:val="0"/>
    <w:rPr>
      <w:color w:val="0000FF"/>
      <w:u w:val="single"/>
    </w:rPr>
  </w:style>
  <w:style w:type="character" w:styleId="16">
    <w:name w:val="annotation reference"/>
    <w:basedOn w:val="12"/>
    <w:autoRedefine/>
    <w:unhideWhenUsed/>
    <w:qFormat/>
    <w:uiPriority w:val="0"/>
    <w:rPr>
      <w:sz w:val="21"/>
      <w:szCs w:val="21"/>
    </w:rPr>
  </w:style>
  <w:style w:type="character" w:customStyle="1" w:styleId="17">
    <w:name w:val="页脚 字符"/>
    <w:basedOn w:val="12"/>
    <w:link w:val="6"/>
    <w:autoRedefine/>
    <w:qFormat/>
    <w:uiPriority w:val="99"/>
    <w:rPr>
      <w:rFonts w:ascii="Times New Roman" w:hAnsi="Times New Roman" w:eastAsia="宋体" w:cs="Times New Roman"/>
      <w:sz w:val="18"/>
      <w:szCs w:val="18"/>
    </w:rPr>
  </w:style>
  <w:style w:type="paragraph" w:styleId="18">
    <w:name w:val="List Paragraph"/>
    <w:basedOn w:val="1"/>
    <w:autoRedefine/>
    <w:qFormat/>
    <w:uiPriority w:val="34"/>
    <w:pPr>
      <w:ind w:firstLine="420"/>
    </w:pPr>
  </w:style>
  <w:style w:type="character" w:customStyle="1" w:styleId="19">
    <w:name w:val="页眉 字符"/>
    <w:basedOn w:val="12"/>
    <w:link w:val="7"/>
    <w:autoRedefine/>
    <w:qFormat/>
    <w:uiPriority w:val="99"/>
    <w:rPr>
      <w:rFonts w:ascii="Times New Roman" w:hAnsi="Times New Roman" w:eastAsia="宋体" w:cs="Times New Roman"/>
      <w:sz w:val="18"/>
      <w:szCs w:val="18"/>
    </w:rPr>
  </w:style>
  <w:style w:type="character" w:customStyle="1" w:styleId="20">
    <w:name w:val="批注框文本 字符"/>
    <w:basedOn w:val="12"/>
    <w:link w:val="5"/>
    <w:autoRedefine/>
    <w:semiHidden/>
    <w:qFormat/>
    <w:uiPriority w:val="99"/>
    <w:rPr>
      <w:rFonts w:ascii="Times New Roman" w:hAnsi="Times New Roman" w:eastAsia="宋体" w:cs="Times New Roman"/>
      <w:sz w:val="18"/>
      <w:szCs w:val="18"/>
    </w:rPr>
  </w:style>
  <w:style w:type="character" w:customStyle="1" w:styleId="21">
    <w:name w:val="批注文字 字符"/>
    <w:basedOn w:val="12"/>
    <w:link w:val="3"/>
    <w:autoRedefine/>
    <w:semiHidden/>
    <w:qFormat/>
    <w:uiPriority w:val="99"/>
    <w:rPr>
      <w:rFonts w:ascii="Times New Roman" w:hAnsi="Times New Roman" w:eastAsia="宋体" w:cs="Times New Roman"/>
      <w:szCs w:val="20"/>
    </w:rPr>
  </w:style>
  <w:style w:type="character" w:customStyle="1" w:styleId="22">
    <w:name w:val="批注主题 字符"/>
    <w:basedOn w:val="21"/>
    <w:link w:val="9"/>
    <w:autoRedefine/>
    <w:semiHidden/>
    <w:qFormat/>
    <w:uiPriority w:val="99"/>
    <w:rPr>
      <w:rFonts w:ascii="Times New Roman" w:hAnsi="Times New Roman" w:eastAsia="宋体" w:cs="Times New Roman"/>
      <w:b/>
      <w:bCs/>
      <w:szCs w:val="20"/>
    </w:rPr>
  </w:style>
  <w:style w:type="character" w:customStyle="1" w:styleId="23">
    <w:name w:val="标题 1 字符"/>
    <w:basedOn w:val="12"/>
    <w:link w:val="2"/>
    <w:autoRedefine/>
    <w:qFormat/>
    <w:uiPriority w:val="9"/>
    <w:rPr>
      <w:rFonts w:ascii="Times New Roman" w:hAnsi="Times New Roman" w:eastAsia="黑体" w:cs="Times New Roman"/>
      <w:bCs/>
      <w:kern w:val="44"/>
      <w:sz w:val="32"/>
      <w:szCs w:val="44"/>
    </w:rPr>
  </w:style>
  <w:style w:type="character" w:customStyle="1" w:styleId="24">
    <w:name w:val="日期 字符"/>
    <w:basedOn w:val="12"/>
    <w:link w:val="4"/>
    <w:autoRedefine/>
    <w:semiHidden/>
    <w:qFormat/>
    <w:uiPriority w:val="99"/>
    <w:rPr>
      <w:rFonts w:ascii="Times New Roman" w:hAnsi="Times New Roman" w:eastAsia="宋体" w:cs="Times New Roman"/>
      <w:szCs w:val="20"/>
    </w:rPr>
  </w:style>
  <w:style w:type="paragraph" w:customStyle="1" w:styleId="25">
    <w:name w:val="段"/>
    <w:link w:val="26"/>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6">
    <w:name w:val="段 Char"/>
    <w:link w:val="25"/>
    <w:autoRedefine/>
    <w:qFormat/>
    <w:uiPriority w:val="0"/>
    <w:rPr>
      <w:rFonts w:ascii="宋体" w:hAnsi="Times New Roman" w:eastAsia="宋体" w:cs="Times New Roman"/>
      <w:kern w:val="0"/>
      <w:szCs w:val="20"/>
    </w:rPr>
  </w:style>
  <w:style w:type="paragraph" w:customStyle="1" w:styleId="27">
    <w:name w:val="一级条标题"/>
    <w:next w:val="25"/>
    <w:link w:val="37"/>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28">
    <w:name w:val="章标题"/>
    <w:next w:val="25"/>
    <w:autoRedefine/>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29">
    <w:name w:val="二级条标题"/>
    <w:basedOn w:val="27"/>
    <w:next w:val="25"/>
    <w:autoRedefine/>
    <w:qFormat/>
    <w:uiPriority w:val="0"/>
    <w:pPr>
      <w:numPr>
        <w:ilvl w:val="2"/>
      </w:numPr>
      <w:spacing w:before="50" w:after="50"/>
      <w:outlineLvl w:val="3"/>
    </w:pPr>
  </w:style>
  <w:style w:type="paragraph" w:customStyle="1" w:styleId="30">
    <w:name w:val="三级条标题"/>
    <w:basedOn w:val="29"/>
    <w:next w:val="25"/>
    <w:autoRedefine/>
    <w:qFormat/>
    <w:uiPriority w:val="0"/>
    <w:pPr>
      <w:numPr>
        <w:ilvl w:val="3"/>
      </w:numPr>
      <w:outlineLvl w:val="4"/>
    </w:pPr>
  </w:style>
  <w:style w:type="paragraph" w:customStyle="1" w:styleId="31">
    <w:name w:val="数字编号列项（二级）"/>
    <w:autoRedefine/>
    <w:qFormat/>
    <w:uiPriority w:val="0"/>
    <w:pPr>
      <w:numPr>
        <w:ilvl w:val="1"/>
        <w:numId w:val="2"/>
      </w:numPr>
      <w:jc w:val="both"/>
    </w:pPr>
    <w:rPr>
      <w:rFonts w:ascii="宋体" w:hAnsi="Times New Roman" w:eastAsia="宋体" w:cs="Times New Roman"/>
      <w:sz w:val="21"/>
      <w:lang w:val="en-US" w:eastAsia="zh-CN" w:bidi="ar-SA"/>
    </w:rPr>
  </w:style>
  <w:style w:type="paragraph" w:customStyle="1" w:styleId="32">
    <w:name w:val="四级条标题"/>
    <w:basedOn w:val="30"/>
    <w:next w:val="25"/>
    <w:autoRedefine/>
    <w:qFormat/>
    <w:uiPriority w:val="0"/>
    <w:pPr>
      <w:numPr>
        <w:ilvl w:val="4"/>
      </w:numPr>
      <w:outlineLvl w:val="5"/>
    </w:pPr>
  </w:style>
  <w:style w:type="paragraph" w:customStyle="1" w:styleId="33">
    <w:name w:val="五级条标题"/>
    <w:basedOn w:val="32"/>
    <w:next w:val="25"/>
    <w:autoRedefine/>
    <w:qFormat/>
    <w:uiPriority w:val="0"/>
    <w:pPr>
      <w:numPr>
        <w:ilvl w:val="5"/>
      </w:numPr>
      <w:outlineLvl w:val="6"/>
    </w:pPr>
  </w:style>
  <w:style w:type="paragraph" w:customStyle="1" w:styleId="34">
    <w:name w:val="字母编号列项（一级）"/>
    <w:autoRedefine/>
    <w:qFormat/>
    <w:uiPriority w:val="0"/>
    <w:pPr>
      <w:numPr>
        <w:ilvl w:val="0"/>
        <w:numId w:val="2"/>
      </w:numPr>
      <w:tabs>
        <w:tab w:val="left" w:pos="840"/>
      </w:tabs>
      <w:jc w:val="both"/>
    </w:pPr>
    <w:rPr>
      <w:rFonts w:ascii="宋体" w:hAnsi="Times New Roman" w:eastAsia="宋体" w:cs="Times New Roman"/>
      <w:sz w:val="21"/>
      <w:lang w:val="en-US" w:eastAsia="zh-CN" w:bidi="ar-SA"/>
    </w:rPr>
  </w:style>
  <w:style w:type="paragraph" w:customStyle="1" w:styleId="35">
    <w:name w:val="编号列项（三级）"/>
    <w:autoRedefine/>
    <w:qFormat/>
    <w:uiPriority w:val="0"/>
    <w:pPr>
      <w:numPr>
        <w:ilvl w:val="2"/>
        <w:numId w:val="2"/>
      </w:numPr>
    </w:pPr>
    <w:rPr>
      <w:rFonts w:ascii="宋体" w:hAnsi="Times New Roman" w:eastAsia="宋体" w:cs="Times New Roman"/>
      <w:sz w:val="21"/>
      <w:lang w:val="en-US" w:eastAsia="zh-CN" w:bidi="ar-SA"/>
    </w:rPr>
  </w:style>
  <w:style w:type="paragraph" w:customStyle="1" w:styleId="36">
    <w:name w:val="二级无"/>
    <w:basedOn w:val="29"/>
    <w:autoRedefine/>
    <w:qFormat/>
    <w:uiPriority w:val="0"/>
    <w:pPr>
      <w:spacing w:beforeLines="0" w:afterLines="0"/>
    </w:pPr>
    <w:rPr>
      <w:rFonts w:ascii="宋体" w:eastAsia="宋体"/>
    </w:rPr>
  </w:style>
  <w:style w:type="character" w:customStyle="1" w:styleId="37">
    <w:name w:val="一级条标题 Char1"/>
    <w:link w:val="27"/>
    <w:autoRedefine/>
    <w:qFormat/>
    <w:locked/>
    <w:uiPriority w:val="0"/>
    <w:rPr>
      <w:rFonts w:ascii="黑体" w:hAnsi="Times New Roman" w:eastAsia="黑体" w:cs="Times New Roman"/>
      <w:kern w:val="0"/>
      <w:szCs w:val="21"/>
    </w:rPr>
  </w:style>
  <w:style w:type="paragraph" w:customStyle="1" w:styleId="38">
    <w:name w:val="_tgt"/>
    <w:basedOn w:val="1"/>
    <w:autoRedefine/>
    <w:qFormat/>
    <w:uiPriority w:val="0"/>
    <w:pPr>
      <w:widowControl/>
      <w:spacing w:before="100" w:beforeAutospacing="1" w:after="100" w:afterAutospacing="1"/>
      <w:ind w:firstLine="0"/>
      <w:jc w:val="left"/>
    </w:pPr>
    <w:rPr>
      <w:rFonts w:ascii="宋体" w:hAnsi="宋体" w:eastAsia="宋体" w:cs="宋体"/>
      <w:kern w:val="0"/>
      <w:sz w:val="24"/>
      <w:szCs w:val="24"/>
    </w:rPr>
  </w:style>
  <w:style w:type="paragraph" w:customStyle="1" w:styleId="39">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302</Words>
  <Characters>1728</Characters>
  <Lines>14</Lines>
  <Paragraphs>4</Paragraphs>
  <TotalTime>6</TotalTime>
  <ScaleCrop>false</ScaleCrop>
  <LinksUpToDate>false</LinksUpToDate>
  <CharactersWithSpaces>2026</CharactersWithSpaces>
  <Application>WPS Office_12.8.2.19315_F1E327BC-269C-435d-A152-05C5408002CA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2021-04-20T13:29:00Z</dcterms:created>
  <dc:creator>home</dc:creator>
  <cp:lastModifiedBy>HUAWEI</cp:lastModifiedBy>
  <dcterms:modified xsi:type="dcterms:W3CDTF">2026-07-31T02:47:15Z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D5025621B4C64CE48D8AFB37D3B52AE1_13</vt:lpwstr>
  </property>
  <property fmtid="{D5CDD505-2E9C-101B-9397-08002B2CF9AE}" pid="4" name="KSOTemplateDocerSaveRecord">
    <vt:lpwstr>eyJoZGlkIjoiZTYwMGUxZDIwMjEzMmJhOTc2ZDY0YzgzZTFmMzE4OTMiLCJ1c2VySWQiOiIyMzIwMTAzODcifQ==</vt:lpwstr>
  </property>
</Properties>
</file>