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AFB78">
      <w:pPr>
        <w:jc w:val="center"/>
        <w:rPr>
          <w:rFonts w:ascii="Times New Roman" w:hAnsi="Times New Roman" w:eastAsia="黑体"/>
          <w:bCs/>
          <w:sz w:val="36"/>
          <w:szCs w:val="36"/>
        </w:rPr>
      </w:pPr>
    </w:p>
    <w:p w14:paraId="5DE04928">
      <w:pPr>
        <w:jc w:val="center"/>
        <w:rPr>
          <w:rFonts w:ascii="Times New Roman" w:hAnsi="Times New Roman" w:eastAsia="黑体"/>
          <w:bCs/>
          <w:sz w:val="36"/>
          <w:szCs w:val="36"/>
        </w:rPr>
      </w:pPr>
    </w:p>
    <w:p w14:paraId="63EEC188">
      <w:pPr>
        <w:jc w:val="center"/>
        <w:rPr>
          <w:rFonts w:ascii="Times New Roman" w:hAnsi="Times New Roman" w:eastAsia="黑体"/>
          <w:bCs/>
          <w:sz w:val="36"/>
          <w:szCs w:val="36"/>
        </w:rPr>
      </w:pPr>
    </w:p>
    <w:p w14:paraId="01F9E876">
      <w:pPr>
        <w:jc w:val="center"/>
        <w:rPr>
          <w:rFonts w:hint="eastAsia" w:ascii="Times New Roman" w:hAnsi="Times New Roman" w:eastAsia="黑体"/>
          <w:bCs/>
          <w:sz w:val="72"/>
          <w:szCs w:val="72"/>
          <w:lang w:val="en-US" w:eastAsia="zh-CN"/>
        </w:rPr>
      </w:pPr>
      <w:r>
        <w:rPr>
          <w:rFonts w:hint="eastAsia" w:ascii="Times New Roman" w:hAnsi="Times New Roman" w:eastAsia="黑体"/>
          <w:bCs/>
          <w:sz w:val="72"/>
          <w:szCs w:val="72"/>
          <w:lang w:val="en-US" w:eastAsia="zh-CN"/>
        </w:rPr>
        <w:t>国家计量技术规范</w:t>
      </w:r>
    </w:p>
    <w:p w14:paraId="02AFD509">
      <w:pPr>
        <w:ind w:left="-418" w:leftChars="-445" w:right="-506" w:rightChars="-241" w:hanging="516" w:hangingChars="86"/>
        <w:jc w:val="center"/>
        <w:rPr>
          <w:rFonts w:hint="eastAsia" w:ascii="Times New Roman" w:hAnsi="Times New Roman" w:eastAsia="黑体"/>
          <w:bCs/>
          <w:sz w:val="60"/>
          <w:szCs w:val="60"/>
        </w:rPr>
      </w:pPr>
      <w:r>
        <w:rPr>
          <w:rFonts w:hint="eastAsia" w:ascii="Times New Roman" w:hAnsi="Times New Roman" w:eastAsia="黑体"/>
          <w:bCs/>
          <w:sz w:val="60"/>
          <w:szCs w:val="60"/>
        </w:rPr>
        <w:t>《</w:t>
      </w:r>
      <w:bookmarkStart w:id="0" w:name="OLE_LINK1"/>
      <w:bookmarkStart w:id="1" w:name="OLE_LINK2"/>
      <w:r>
        <w:rPr>
          <w:rFonts w:hint="eastAsia" w:ascii="Times New Roman" w:hAnsi="Times New Roman" w:eastAsia="黑体"/>
          <w:bCs/>
          <w:spacing w:val="-34"/>
          <w:sz w:val="60"/>
          <w:szCs w:val="60"/>
        </w:rPr>
        <w:t>光电式径流泥沙含量监测仪校准规范</w:t>
      </w:r>
      <w:bookmarkEnd w:id="0"/>
      <w:bookmarkEnd w:id="1"/>
      <w:r>
        <w:rPr>
          <w:rFonts w:hint="eastAsia" w:ascii="Times New Roman" w:hAnsi="Times New Roman" w:eastAsia="黑体"/>
          <w:bCs/>
          <w:sz w:val="60"/>
          <w:szCs w:val="60"/>
        </w:rPr>
        <w:t>》</w:t>
      </w:r>
    </w:p>
    <w:p w14:paraId="5F072963">
      <w:pPr>
        <w:jc w:val="center"/>
        <w:rPr>
          <w:rFonts w:hint="eastAsia" w:ascii="Times New Roman" w:hAnsi="Times New Roman" w:eastAsia="黑体"/>
          <w:bCs/>
          <w:sz w:val="72"/>
          <w:szCs w:val="72"/>
        </w:rPr>
      </w:pPr>
      <w:r>
        <w:rPr>
          <w:rFonts w:hint="eastAsia" w:ascii="Times New Roman" w:hAnsi="Times New Roman" w:eastAsia="黑体"/>
          <w:bCs/>
          <w:sz w:val="72"/>
          <w:szCs w:val="72"/>
        </w:rPr>
        <w:t>编制说明</w:t>
      </w:r>
    </w:p>
    <w:p w14:paraId="1FA9A408">
      <w:pPr>
        <w:jc w:val="center"/>
        <w:rPr>
          <w:rFonts w:ascii="Times New Roman" w:hAnsi="Times New Roman" w:eastAsia="黑体"/>
          <w:b/>
          <w:bCs/>
          <w:sz w:val="32"/>
          <w:szCs w:val="32"/>
        </w:rPr>
      </w:pPr>
    </w:p>
    <w:p w14:paraId="30CAEA8C">
      <w:pPr>
        <w:jc w:val="center"/>
        <w:rPr>
          <w:rFonts w:ascii="Times New Roman" w:hAnsi="Times New Roman" w:eastAsia="黑体"/>
          <w:b/>
          <w:bCs/>
          <w:sz w:val="32"/>
          <w:szCs w:val="32"/>
        </w:rPr>
      </w:pPr>
    </w:p>
    <w:p w14:paraId="1D14903B">
      <w:pPr>
        <w:jc w:val="center"/>
        <w:rPr>
          <w:rFonts w:ascii="Times New Roman" w:hAnsi="Times New Roman" w:eastAsia="黑体"/>
          <w:b/>
          <w:bCs/>
          <w:sz w:val="32"/>
          <w:szCs w:val="32"/>
        </w:rPr>
      </w:pPr>
    </w:p>
    <w:p w14:paraId="3C7B742C">
      <w:pPr>
        <w:jc w:val="center"/>
        <w:rPr>
          <w:rFonts w:ascii="Times New Roman" w:hAnsi="Times New Roman" w:eastAsia="黑体"/>
          <w:b/>
          <w:bCs/>
          <w:sz w:val="32"/>
          <w:szCs w:val="32"/>
        </w:rPr>
      </w:pPr>
    </w:p>
    <w:p w14:paraId="03C00F8E">
      <w:pPr>
        <w:jc w:val="center"/>
        <w:rPr>
          <w:rFonts w:ascii="Times New Roman" w:hAnsi="Times New Roman" w:eastAsia="黑体"/>
          <w:b/>
          <w:bCs/>
          <w:sz w:val="32"/>
          <w:szCs w:val="32"/>
        </w:rPr>
      </w:pPr>
    </w:p>
    <w:p w14:paraId="3FC78B72">
      <w:pPr>
        <w:jc w:val="center"/>
        <w:rPr>
          <w:rFonts w:ascii="Times New Roman" w:hAnsi="Times New Roman" w:eastAsia="黑体"/>
          <w:b/>
          <w:bCs/>
          <w:sz w:val="32"/>
          <w:szCs w:val="32"/>
        </w:rPr>
      </w:pPr>
    </w:p>
    <w:p w14:paraId="729D37A5">
      <w:pPr>
        <w:jc w:val="center"/>
        <w:rPr>
          <w:rFonts w:ascii="Times New Roman" w:hAnsi="Times New Roman" w:eastAsia="黑体"/>
          <w:b/>
          <w:bCs/>
          <w:sz w:val="32"/>
          <w:szCs w:val="32"/>
        </w:rPr>
      </w:pPr>
      <w:bookmarkStart w:id="4" w:name="_GoBack"/>
      <w:bookmarkEnd w:id="4"/>
    </w:p>
    <w:p w14:paraId="65AF33D2">
      <w:pPr>
        <w:jc w:val="center"/>
        <w:rPr>
          <w:rFonts w:ascii="Times New Roman" w:hAnsi="Times New Roman" w:eastAsia="黑体"/>
          <w:b/>
          <w:bCs/>
          <w:sz w:val="32"/>
          <w:szCs w:val="32"/>
        </w:rPr>
      </w:pPr>
    </w:p>
    <w:p w14:paraId="43529F1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楷体" w:hAnsi="楷体" w:eastAsia="楷体" w:cs="Times New Roman"/>
          <w:spacing w:val="-20"/>
          <w:sz w:val="28"/>
          <w:szCs w:val="32"/>
        </w:rPr>
      </w:pPr>
      <w:r>
        <w:rPr>
          <w:rFonts w:hint="eastAsia" w:ascii="楷体" w:hAnsi="楷体" w:eastAsia="楷体" w:cs="Times New Roman"/>
          <w:sz w:val="28"/>
          <w:szCs w:val="32"/>
        </w:rPr>
        <w:t>主要起草单位：</w:t>
      </w:r>
      <w:r>
        <w:rPr>
          <w:rFonts w:hint="eastAsia" w:ascii="楷体" w:hAnsi="楷体" w:eastAsia="楷体" w:cs="Times New Roman"/>
          <w:spacing w:val="-11"/>
          <w:sz w:val="28"/>
          <w:szCs w:val="32"/>
        </w:rPr>
        <w:t>水利部水文仪器及岩土工程仪器质量监督检验测试中心</w:t>
      </w:r>
    </w:p>
    <w:p w14:paraId="6FCD8087">
      <w:pPr>
        <w:keepNext w:val="0"/>
        <w:keepLines w:val="0"/>
        <w:pageBreakBefore w:val="0"/>
        <w:widowControl w:val="0"/>
        <w:kinsoku/>
        <w:wordWrap/>
        <w:overflowPunct/>
        <w:topLinePunct w:val="0"/>
        <w:autoSpaceDE/>
        <w:autoSpaceDN/>
        <w:bidi w:val="0"/>
        <w:adjustRightInd/>
        <w:snapToGrid/>
        <w:spacing w:line="400" w:lineRule="exact"/>
        <w:ind w:firstLine="1960" w:firstLineChars="700"/>
        <w:jc w:val="both"/>
        <w:textAlignment w:val="auto"/>
        <w:rPr>
          <w:rFonts w:hint="eastAsia" w:ascii="楷体" w:hAnsi="楷体" w:eastAsia="楷体" w:cs="Times New Roman"/>
          <w:spacing w:val="-20"/>
          <w:sz w:val="28"/>
          <w:szCs w:val="32"/>
        </w:rPr>
      </w:pPr>
      <w:r>
        <w:rPr>
          <w:rFonts w:hint="eastAsia" w:ascii="楷体" w:hAnsi="楷体" w:eastAsia="楷体" w:cs="Times New Roman"/>
          <w:sz w:val="28"/>
          <w:szCs w:val="32"/>
        </w:rPr>
        <w:t>水利部水土保持监测中心</w:t>
      </w:r>
    </w:p>
    <w:p w14:paraId="352F3D8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楷体" w:hAnsi="楷体" w:eastAsia="楷体" w:cs="Times New Roman"/>
          <w:sz w:val="28"/>
          <w:szCs w:val="32"/>
        </w:rPr>
      </w:pPr>
      <w:r>
        <w:rPr>
          <w:rFonts w:hint="eastAsia" w:ascii="楷体" w:hAnsi="楷体" w:eastAsia="楷体" w:cs="Times New Roman"/>
          <w:sz w:val="28"/>
          <w:szCs w:val="32"/>
        </w:rPr>
        <w:t>参加起草单位：西北农林科技大学</w:t>
      </w:r>
    </w:p>
    <w:p w14:paraId="52FA01FD">
      <w:pPr>
        <w:keepNext w:val="0"/>
        <w:keepLines w:val="0"/>
        <w:pageBreakBefore w:val="0"/>
        <w:widowControl w:val="0"/>
        <w:kinsoku/>
        <w:wordWrap/>
        <w:overflowPunct/>
        <w:topLinePunct w:val="0"/>
        <w:autoSpaceDE/>
        <w:autoSpaceDN/>
        <w:bidi w:val="0"/>
        <w:adjustRightInd/>
        <w:snapToGrid/>
        <w:spacing w:line="400" w:lineRule="exact"/>
        <w:ind w:firstLine="1960" w:firstLineChars="700"/>
        <w:jc w:val="both"/>
        <w:textAlignment w:val="auto"/>
        <w:rPr>
          <w:rFonts w:hint="eastAsia" w:ascii="楷体" w:hAnsi="楷体" w:eastAsia="楷体" w:cs="Times New Roman"/>
          <w:sz w:val="28"/>
          <w:szCs w:val="32"/>
        </w:rPr>
      </w:pPr>
      <w:r>
        <w:rPr>
          <w:rFonts w:hint="eastAsia" w:ascii="楷体" w:hAnsi="楷体" w:eastAsia="楷体" w:cs="Times New Roman"/>
          <w:sz w:val="28"/>
          <w:szCs w:val="32"/>
        </w:rPr>
        <w:t>长江水利委员会水文局</w:t>
      </w:r>
    </w:p>
    <w:p w14:paraId="5C2B17AE">
      <w:pPr>
        <w:keepNext w:val="0"/>
        <w:keepLines w:val="0"/>
        <w:pageBreakBefore w:val="0"/>
        <w:widowControl w:val="0"/>
        <w:kinsoku/>
        <w:wordWrap/>
        <w:overflowPunct/>
        <w:topLinePunct w:val="0"/>
        <w:autoSpaceDE/>
        <w:autoSpaceDN/>
        <w:bidi w:val="0"/>
        <w:adjustRightInd/>
        <w:snapToGrid/>
        <w:spacing w:line="400" w:lineRule="exact"/>
        <w:ind w:firstLine="1960" w:firstLineChars="700"/>
        <w:jc w:val="both"/>
        <w:textAlignment w:val="auto"/>
        <w:rPr>
          <w:rFonts w:hint="eastAsia" w:ascii="楷体" w:hAnsi="楷体" w:eastAsia="楷体" w:cs="Times New Roman"/>
          <w:sz w:val="28"/>
          <w:szCs w:val="32"/>
        </w:rPr>
      </w:pPr>
      <w:r>
        <w:rPr>
          <w:rFonts w:hint="eastAsia" w:ascii="楷体" w:hAnsi="楷体" w:eastAsia="楷体" w:cs="Times New Roman"/>
          <w:sz w:val="28"/>
          <w:szCs w:val="32"/>
        </w:rPr>
        <w:t>黄河水利委员会水文局</w:t>
      </w:r>
    </w:p>
    <w:p w14:paraId="7C386711">
      <w:pPr>
        <w:keepNext w:val="0"/>
        <w:keepLines w:val="0"/>
        <w:pageBreakBefore w:val="0"/>
        <w:widowControl w:val="0"/>
        <w:kinsoku/>
        <w:wordWrap/>
        <w:overflowPunct/>
        <w:topLinePunct w:val="0"/>
        <w:autoSpaceDE/>
        <w:autoSpaceDN/>
        <w:bidi w:val="0"/>
        <w:adjustRightInd/>
        <w:snapToGrid/>
        <w:spacing w:line="400" w:lineRule="exact"/>
        <w:ind w:firstLine="1960" w:firstLineChars="700"/>
        <w:jc w:val="both"/>
        <w:textAlignment w:val="auto"/>
        <w:rPr>
          <w:rFonts w:hint="eastAsia" w:ascii="楷体" w:hAnsi="楷体" w:eastAsia="楷体" w:cs="Times New Roman"/>
          <w:sz w:val="28"/>
          <w:szCs w:val="32"/>
        </w:rPr>
      </w:pPr>
      <w:r>
        <w:rPr>
          <w:rFonts w:hint="eastAsia" w:ascii="楷体" w:hAnsi="楷体" w:eastAsia="楷体" w:cs="Times New Roman"/>
          <w:sz w:val="28"/>
          <w:szCs w:val="32"/>
        </w:rPr>
        <w:t>水利部交通运输部国家能源局南京水利科学研究院</w:t>
      </w:r>
    </w:p>
    <w:p w14:paraId="0450669C">
      <w:pPr>
        <w:keepNext w:val="0"/>
        <w:keepLines w:val="0"/>
        <w:pageBreakBefore w:val="0"/>
        <w:widowControl w:val="0"/>
        <w:kinsoku/>
        <w:wordWrap/>
        <w:overflowPunct/>
        <w:topLinePunct w:val="0"/>
        <w:autoSpaceDE/>
        <w:autoSpaceDN/>
        <w:bidi w:val="0"/>
        <w:adjustRightInd/>
        <w:snapToGrid/>
        <w:spacing w:line="400" w:lineRule="exact"/>
        <w:ind w:firstLine="1960" w:firstLineChars="700"/>
        <w:jc w:val="both"/>
        <w:textAlignment w:val="auto"/>
        <w:rPr>
          <w:rFonts w:hint="eastAsia" w:ascii="楷体" w:hAnsi="楷体" w:eastAsia="楷体" w:cs="Times New Roman"/>
          <w:sz w:val="28"/>
          <w:szCs w:val="32"/>
        </w:rPr>
      </w:pPr>
      <w:r>
        <w:rPr>
          <w:rFonts w:hint="eastAsia" w:ascii="楷体" w:hAnsi="楷体" w:eastAsia="楷体" w:cs="Times New Roman"/>
          <w:sz w:val="28"/>
          <w:szCs w:val="32"/>
        </w:rPr>
        <w:t>河南省水土保持监测总站</w:t>
      </w:r>
    </w:p>
    <w:p w14:paraId="38EAC2C0">
      <w:pPr>
        <w:jc w:val="center"/>
        <w:rPr>
          <w:rFonts w:hint="eastAsia" w:ascii="楷体" w:hAnsi="楷体" w:eastAsia="楷体" w:cs="Times New Roman"/>
          <w:sz w:val="28"/>
          <w:szCs w:val="32"/>
        </w:rPr>
      </w:pPr>
    </w:p>
    <w:p w14:paraId="52D2D6EF">
      <w:pPr>
        <w:jc w:val="center"/>
        <w:rPr>
          <w:rFonts w:ascii="黑体" w:hAnsi="黑体" w:eastAsia="黑体"/>
          <w:sz w:val="28"/>
          <w:szCs w:val="32"/>
        </w:rPr>
        <w:sectPr>
          <w:footerReference r:id="rId3" w:type="default"/>
          <w:pgSz w:w="11906" w:h="16838"/>
          <w:pgMar w:top="1440" w:right="1800" w:bottom="1440" w:left="1800" w:header="851" w:footer="992" w:gutter="0"/>
          <w:cols w:space="425" w:num="1"/>
          <w:docGrid w:type="lines" w:linePitch="312" w:charSpace="0"/>
        </w:sectPr>
      </w:pPr>
      <w:r>
        <w:rPr>
          <w:rFonts w:hint="eastAsia" w:ascii="楷体" w:hAnsi="楷体" w:eastAsia="楷体" w:cs="Times New Roman"/>
          <w:sz w:val="28"/>
          <w:szCs w:val="32"/>
        </w:rPr>
        <w:t>二〇</w:t>
      </w:r>
      <w:r>
        <w:rPr>
          <w:rFonts w:hint="eastAsia" w:ascii="楷体" w:hAnsi="楷体" w:eastAsia="楷体" w:cs="Times New Roman"/>
          <w:sz w:val="28"/>
          <w:szCs w:val="32"/>
          <w:lang w:val="en-US" w:eastAsia="zh-CN"/>
        </w:rPr>
        <w:t>二六</w:t>
      </w:r>
      <w:r>
        <w:rPr>
          <w:rFonts w:hint="eastAsia" w:ascii="楷体" w:hAnsi="楷体" w:eastAsia="楷体" w:cs="Times New Roman"/>
          <w:sz w:val="28"/>
          <w:szCs w:val="32"/>
        </w:rPr>
        <w:t>年</w:t>
      </w:r>
      <w:r>
        <w:rPr>
          <w:rFonts w:hint="eastAsia" w:ascii="楷体" w:hAnsi="楷体" w:eastAsia="楷体" w:cs="Times New Roman"/>
          <w:sz w:val="28"/>
          <w:szCs w:val="32"/>
          <w:lang w:val="en-US" w:eastAsia="zh-CN"/>
        </w:rPr>
        <w:t>七</w:t>
      </w:r>
      <w:r>
        <w:rPr>
          <w:rFonts w:hint="eastAsia" w:ascii="楷体" w:hAnsi="楷体" w:eastAsia="楷体" w:cs="Times New Roman"/>
          <w:sz w:val="28"/>
          <w:szCs w:val="32"/>
        </w:rPr>
        <w:t>月</w:t>
      </w:r>
    </w:p>
    <w:p w14:paraId="235123BD">
      <w:pPr>
        <w:keepNext w:val="0"/>
        <w:keepLines w:val="0"/>
        <w:pageBreakBefore w:val="0"/>
        <w:widowControl w:val="0"/>
        <w:numPr>
          <w:ilvl w:val="0"/>
          <w:numId w:val="1"/>
        </w:numPr>
        <w:kinsoku/>
        <w:wordWrap/>
        <w:overflowPunct/>
        <w:topLinePunct w:val="0"/>
        <w:autoSpaceDE/>
        <w:autoSpaceDN/>
        <w:bidi w:val="0"/>
        <w:snapToGrid/>
        <w:spacing w:before="100" w:beforeAutospacing="1" w:after="100" w:afterAutospacing="1" w:line="360" w:lineRule="auto"/>
        <w:ind w:left="420" w:leftChars="0" w:hanging="420" w:firstLineChars="0"/>
        <w:textAlignment w:val="auto"/>
        <w:outlineLvl w:val="0"/>
        <w:rPr>
          <w:rFonts w:ascii="Times New Roman" w:hAnsi="Times New Roman" w:eastAsia="黑体"/>
          <w:sz w:val="28"/>
          <w:szCs w:val="28"/>
        </w:rPr>
      </w:pPr>
      <w:r>
        <w:rPr>
          <w:rFonts w:hint="eastAsia" w:ascii="Times New Roman" w:hAnsi="Times New Roman" w:eastAsia="黑体"/>
          <w:sz w:val="28"/>
          <w:szCs w:val="28"/>
        </w:rPr>
        <w:t>任务来源</w:t>
      </w:r>
    </w:p>
    <w:p w14:paraId="420879A1">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根据国家市场监督管理总局办公厅文件市监计量发〔2025〕45号“市场监管总局办公厅关于印发2025年国家计量技术规范制定、修订及宣贯计划的通知”，下达</w:t>
      </w:r>
      <w:r>
        <w:rPr>
          <w:rFonts w:hint="eastAsia" w:ascii="Times New Roman" w:hAnsi="Times New Roman" w:eastAsia="仿宋_GB2312"/>
          <w:snapToGrid w:val="0"/>
          <w:kern w:val="0"/>
          <w:sz w:val="28"/>
          <w:szCs w:val="28"/>
          <w:lang w:val="en-US" w:eastAsia="zh-CN"/>
        </w:rPr>
        <w:t>国家计量技术规范</w:t>
      </w:r>
      <w:r>
        <w:rPr>
          <w:rFonts w:hint="eastAsia" w:ascii="Times New Roman" w:hAnsi="Times New Roman" w:eastAsia="仿宋_GB2312"/>
          <w:snapToGrid w:val="0"/>
          <w:kern w:val="0"/>
          <w:sz w:val="28"/>
          <w:szCs w:val="28"/>
        </w:rPr>
        <w:t>《光电式径流泥沙含量监测仪校准规范》制定计划（计划项目编号：MTC36/SC2-2025-02）。由水利部水文仪器及岩土工程仪器质量监督检验测试中心</w:t>
      </w:r>
      <w:r>
        <w:rPr>
          <w:rFonts w:hint="eastAsia" w:ascii="Times New Roman" w:hAnsi="Times New Roman" w:eastAsia="仿宋_GB2312"/>
          <w:snapToGrid w:val="0"/>
          <w:kern w:val="0"/>
          <w:sz w:val="28"/>
          <w:szCs w:val="28"/>
          <w:lang w:eastAsia="zh-CN"/>
        </w:rPr>
        <w:t>、</w:t>
      </w:r>
      <w:r>
        <w:rPr>
          <w:rFonts w:ascii="Times New Roman" w:hAnsi="Times New Roman" w:eastAsia="仿宋_GB2312"/>
          <w:snapToGrid w:val="0"/>
          <w:kern w:val="0"/>
          <w:sz w:val="28"/>
          <w:szCs w:val="28"/>
        </w:rPr>
        <w:t>水利部水土保持监测中心</w:t>
      </w:r>
      <w:r>
        <w:rPr>
          <w:rFonts w:hint="eastAsia" w:ascii="Times New Roman" w:hAnsi="Times New Roman" w:eastAsia="仿宋_GB2312"/>
          <w:snapToGrid w:val="0"/>
          <w:kern w:val="0"/>
          <w:sz w:val="28"/>
          <w:szCs w:val="28"/>
        </w:rPr>
        <w:t>为主要起草单位，</w:t>
      </w:r>
      <w:bookmarkStart w:id="2" w:name="OLE_LINK5"/>
      <w:r>
        <w:rPr>
          <w:rFonts w:ascii="Times New Roman" w:hAnsi="Times New Roman" w:eastAsia="仿宋_GB2312"/>
          <w:snapToGrid w:val="0"/>
          <w:kern w:val="0"/>
          <w:sz w:val="28"/>
          <w:szCs w:val="28"/>
        </w:rPr>
        <w:t>西北农林科技大学、长江水利委员会水文局、黄河水利委员会水文局、水利部交通运输部国家能源局南京水利科学研究院、河南省水土保持监测总站</w:t>
      </w:r>
      <w:bookmarkEnd w:id="2"/>
      <w:r>
        <w:rPr>
          <w:rFonts w:hint="eastAsia" w:ascii="Times New Roman" w:hAnsi="Times New Roman" w:eastAsia="仿宋_GB2312"/>
          <w:snapToGrid w:val="0"/>
          <w:kern w:val="0"/>
          <w:sz w:val="28"/>
          <w:szCs w:val="28"/>
        </w:rPr>
        <w:t>等参加起草单位共同完成规范编制任务。</w:t>
      </w:r>
    </w:p>
    <w:p w14:paraId="731EFBAE">
      <w:pPr>
        <w:keepNext w:val="0"/>
        <w:keepLines w:val="0"/>
        <w:pageBreakBefore w:val="0"/>
        <w:widowControl w:val="0"/>
        <w:numPr>
          <w:ilvl w:val="0"/>
          <w:numId w:val="1"/>
        </w:numPr>
        <w:kinsoku/>
        <w:wordWrap/>
        <w:overflowPunct/>
        <w:topLinePunct w:val="0"/>
        <w:autoSpaceDE/>
        <w:autoSpaceDN/>
        <w:bidi w:val="0"/>
        <w:snapToGrid/>
        <w:spacing w:before="100" w:beforeAutospacing="1" w:after="100" w:afterAutospacing="1" w:line="360" w:lineRule="auto"/>
        <w:ind w:left="420" w:leftChars="0" w:hanging="420" w:firstLineChars="0"/>
        <w:textAlignment w:val="auto"/>
        <w:outlineLvl w:val="0"/>
        <w:rPr>
          <w:rFonts w:hint="eastAsia" w:ascii="Times New Roman" w:hAnsi="Times New Roman" w:eastAsia="黑体"/>
          <w:sz w:val="28"/>
          <w:szCs w:val="28"/>
        </w:rPr>
      </w:pPr>
      <w:r>
        <w:rPr>
          <w:rFonts w:hint="eastAsia" w:ascii="Times New Roman" w:hAnsi="Times New Roman" w:eastAsia="黑体"/>
          <w:sz w:val="28"/>
          <w:szCs w:val="28"/>
          <w:lang w:val="en-US" w:eastAsia="zh-CN"/>
        </w:rPr>
        <w:t>立项</w:t>
      </w:r>
      <w:r>
        <w:rPr>
          <w:rFonts w:hint="eastAsia" w:ascii="Times New Roman" w:hAnsi="Times New Roman" w:eastAsia="黑体"/>
          <w:sz w:val="28"/>
          <w:szCs w:val="28"/>
        </w:rPr>
        <w:t>必要性</w:t>
      </w:r>
    </w:p>
    <w:p w14:paraId="1718F9E5">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径流泥沙含量是农业、水利、国土资源、气象、林业等领域监测的重要参数，研究径流泥沙含量及其动态变化规律是农业科学、水利、气象及环境科学工作中极为重要的组成部分。随着科学技术的发展，光电式泥沙监测技术日趋成熟，光电式泥沙监测仪器应用越来越多，但是目前尚未出台针对光电式泥沙监测仪器的国家检定规程或校准规范，校准方法尚未明确，光电式泥沙监测仪器技术指标尤其是准确度无法得到科学合理的评估，径流泥沙监测数据的科学性、有效性和法制性无法得到保障，严重影响到了现代农业科学、环境科学以及水经济的高质量发展。</w:t>
      </w:r>
    </w:p>
    <w:p w14:paraId="34378894">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光电式泥沙监测仪器是水土保持和水文监测设备的重要组成部分，其监测的数据在农业、水利、环保等领域发挥着重要的作用。2022年1月，水利部办公厅 市场监管总局办公厅联合发布了《关于开展水土保持监测设备计量管理工作的通知》（</w:t>
      </w:r>
      <w:r>
        <w:rPr>
          <w:rFonts w:ascii="Times New Roman" w:hAnsi="Times New Roman" w:eastAsia="仿宋_GB2312"/>
          <w:snapToGrid w:val="0"/>
          <w:kern w:val="0"/>
          <w:sz w:val="28"/>
          <w:szCs w:val="28"/>
        </w:rPr>
        <w:t>办水保〔2021〕357号</w:t>
      </w:r>
      <w:r>
        <w:rPr>
          <w:rFonts w:hint="eastAsia" w:ascii="Times New Roman" w:hAnsi="Times New Roman" w:eastAsia="仿宋_GB2312"/>
          <w:snapToGrid w:val="0"/>
          <w:kern w:val="0"/>
          <w:sz w:val="28"/>
          <w:szCs w:val="28"/>
        </w:rPr>
        <w:t>），要求各级市场监管部门积极支持水行政主管部门完善水土保持监测计量技术规范体系、加强计量能力建设等工作，推动我国水土保持监测设备计量管理工作有序开展。</w:t>
      </w:r>
      <w:bookmarkStart w:id="3" w:name="OLE_LINK7"/>
      <w:r>
        <w:rPr>
          <w:rFonts w:hint="eastAsia" w:ascii="Times New Roman" w:hAnsi="Times New Roman" w:eastAsia="仿宋_GB2312"/>
          <w:snapToGrid w:val="0"/>
          <w:kern w:val="0"/>
          <w:sz w:val="28"/>
          <w:szCs w:val="28"/>
        </w:rPr>
        <w:t>《</w:t>
      </w:r>
      <w:r>
        <w:rPr>
          <w:rFonts w:hint="eastAsia" w:ascii="Times New Roman" w:hAnsi="Times New Roman" w:eastAsia="仿宋_GB2312"/>
          <w:snapToGrid w:val="0"/>
          <w:kern w:val="0"/>
          <w:sz w:val="28"/>
          <w:szCs w:val="28"/>
          <w:lang w:eastAsia="zh-CN"/>
        </w:rPr>
        <w:t>光电式径流含沙量监测仪</w:t>
      </w:r>
      <w:r>
        <w:rPr>
          <w:rFonts w:hint="eastAsia" w:ascii="Times New Roman" w:hAnsi="Times New Roman" w:eastAsia="仿宋_GB2312"/>
          <w:snapToGrid w:val="0"/>
          <w:kern w:val="0"/>
          <w:sz w:val="28"/>
          <w:szCs w:val="28"/>
        </w:rPr>
        <w:t>校准规范》</w:t>
      </w:r>
      <w:bookmarkEnd w:id="3"/>
      <w:r>
        <w:rPr>
          <w:rFonts w:hint="eastAsia" w:ascii="Times New Roman" w:hAnsi="Times New Roman" w:eastAsia="仿宋_GB2312"/>
          <w:snapToGrid w:val="0"/>
          <w:kern w:val="0"/>
          <w:sz w:val="28"/>
          <w:szCs w:val="28"/>
        </w:rPr>
        <w:t>的编制将会进一步完善我国计量技术体系，建立一套科学规范的实验室校准技术方案，为光电式泥沙监测仪器量值溯源提供科学的方</w:t>
      </w:r>
      <w:r>
        <w:rPr>
          <w:rFonts w:hint="eastAsia" w:ascii="Times New Roman" w:hAnsi="Times New Roman" w:eastAsia="仿宋_GB2312"/>
          <w:snapToGrid w:val="0"/>
          <w:kern w:val="0"/>
          <w:sz w:val="28"/>
          <w:szCs w:val="28"/>
          <w:lang w:eastAsia="zh-CN"/>
        </w:rPr>
        <w:t>法依</w:t>
      </w:r>
      <w:r>
        <w:rPr>
          <w:rFonts w:hint="eastAsia" w:ascii="Times New Roman" w:hAnsi="Times New Roman" w:eastAsia="仿宋_GB2312"/>
          <w:snapToGrid w:val="0"/>
          <w:kern w:val="0"/>
          <w:sz w:val="28"/>
          <w:szCs w:val="28"/>
        </w:rPr>
        <w:t>据，为径流泥沙含量的科学计量提供重要的技术支撑。</w:t>
      </w:r>
    </w:p>
    <w:p w14:paraId="4E534B5F">
      <w:pPr>
        <w:keepNext w:val="0"/>
        <w:keepLines w:val="0"/>
        <w:pageBreakBefore w:val="0"/>
        <w:widowControl w:val="0"/>
        <w:numPr>
          <w:ilvl w:val="0"/>
          <w:numId w:val="1"/>
        </w:numPr>
        <w:kinsoku/>
        <w:wordWrap/>
        <w:overflowPunct/>
        <w:topLinePunct w:val="0"/>
        <w:autoSpaceDE/>
        <w:autoSpaceDN/>
        <w:bidi w:val="0"/>
        <w:snapToGrid/>
        <w:spacing w:before="100" w:beforeAutospacing="1" w:after="100" w:afterAutospacing="1" w:line="360" w:lineRule="auto"/>
        <w:ind w:left="420" w:leftChars="0" w:hanging="420" w:firstLineChars="0"/>
        <w:textAlignment w:val="auto"/>
        <w:outlineLvl w:val="0"/>
        <w:rPr>
          <w:rFonts w:hint="eastAsia" w:ascii="Times New Roman" w:hAnsi="Times New Roman" w:eastAsia="黑体"/>
          <w:sz w:val="28"/>
          <w:szCs w:val="28"/>
        </w:rPr>
      </w:pPr>
      <w:r>
        <w:rPr>
          <w:rFonts w:hint="eastAsia" w:ascii="Times New Roman" w:hAnsi="Times New Roman" w:eastAsia="黑体"/>
          <w:sz w:val="28"/>
          <w:szCs w:val="28"/>
        </w:rPr>
        <w:t>编制依据</w:t>
      </w:r>
      <w:r>
        <w:rPr>
          <w:rFonts w:hint="eastAsia" w:ascii="Times New Roman" w:hAnsi="Times New Roman" w:eastAsia="黑体"/>
          <w:sz w:val="28"/>
          <w:szCs w:val="28"/>
          <w:lang w:val="en-US" w:eastAsia="zh-CN"/>
        </w:rPr>
        <w:t>和</w:t>
      </w:r>
      <w:r>
        <w:rPr>
          <w:rFonts w:hint="eastAsia" w:ascii="Times New Roman" w:hAnsi="Times New Roman" w:eastAsia="黑体"/>
          <w:sz w:val="28"/>
          <w:szCs w:val="28"/>
        </w:rPr>
        <w:t>原则</w:t>
      </w:r>
    </w:p>
    <w:p w14:paraId="7910F0B0">
      <w:pPr>
        <w:keepNext w:val="0"/>
        <w:keepLines w:val="0"/>
        <w:pageBreakBefore w:val="0"/>
        <w:widowControl w:val="0"/>
        <w:numPr>
          <w:ilvl w:val="0"/>
          <w:numId w:val="2"/>
        </w:numPr>
        <w:kinsoku/>
        <w:wordWrap/>
        <w:overflowPunct/>
        <w:topLinePunct w:val="0"/>
        <w:autoSpaceDE/>
        <w:autoSpaceDN/>
        <w:bidi w:val="0"/>
        <w:adjustRightInd w:val="0"/>
        <w:snapToGrid/>
        <w:spacing w:line="360" w:lineRule="auto"/>
        <w:ind w:firstLine="560" w:firstLineChars="200"/>
        <w:textAlignment w:val="auto"/>
        <w:rPr>
          <w:rFonts w:hint="eastAsia" w:ascii="楷体_GB2312" w:hAnsi="楷体_GB2312" w:eastAsia="楷体_GB2312" w:cs="楷体_GB2312"/>
          <w:snapToGrid w:val="0"/>
          <w:kern w:val="0"/>
          <w:sz w:val="28"/>
          <w:szCs w:val="28"/>
          <w:lang w:val="en-US" w:eastAsia="zh-CN"/>
        </w:rPr>
      </w:pPr>
      <w:r>
        <w:rPr>
          <w:rFonts w:hint="eastAsia" w:ascii="楷体_GB2312" w:hAnsi="楷体_GB2312" w:eastAsia="楷体_GB2312" w:cs="楷体_GB2312"/>
          <w:snapToGrid w:val="0"/>
          <w:kern w:val="0"/>
          <w:sz w:val="28"/>
          <w:szCs w:val="28"/>
          <w:lang w:val="en-US" w:eastAsia="zh-CN"/>
        </w:rPr>
        <w:t>编制依据</w:t>
      </w:r>
    </w:p>
    <w:p w14:paraId="1E02DA09">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规范编制过程中重点参考了以下规程规范：</w:t>
      </w:r>
    </w:p>
    <w:p w14:paraId="047E1B57">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ascii="Times New Roman" w:hAnsi="Times New Roman" w:eastAsia="仿宋_GB2312"/>
          <w:snapToGrid w:val="0"/>
          <w:kern w:val="0"/>
          <w:sz w:val="28"/>
          <w:szCs w:val="28"/>
        </w:rPr>
        <w:t>GB/T 50159</w:t>
      </w:r>
      <w:r>
        <w:rPr>
          <w:rFonts w:hint="eastAsia" w:ascii="Times New Roman" w:hAnsi="Times New Roman" w:eastAsia="仿宋_GB2312"/>
          <w:snapToGrid w:val="0"/>
          <w:kern w:val="0"/>
          <w:sz w:val="28"/>
          <w:szCs w:val="28"/>
        </w:rPr>
        <w:t xml:space="preserve"> </w:t>
      </w:r>
      <w:r>
        <w:rPr>
          <w:rFonts w:ascii="Times New Roman" w:hAnsi="Times New Roman" w:eastAsia="仿宋_GB2312"/>
          <w:snapToGrid w:val="0"/>
          <w:kern w:val="0"/>
          <w:sz w:val="28"/>
          <w:szCs w:val="28"/>
        </w:rPr>
        <w:t>河流悬移质泥沙测验规范</w:t>
      </w:r>
    </w:p>
    <w:p w14:paraId="0629D1CC">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ascii="Times New Roman" w:hAnsi="Times New Roman" w:eastAsia="仿宋_GB2312"/>
          <w:snapToGrid w:val="0"/>
          <w:kern w:val="0"/>
          <w:sz w:val="28"/>
          <w:szCs w:val="28"/>
        </w:rPr>
        <w:t>GB/T 20465</w:t>
      </w:r>
      <w:r>
        <w:rPr>
          <w:rFonts w:hint="eastAsia" w:ascii="Times New Roman" w:hAnsi="Times New Roman" w:eastAsia="仿宋_GB2312"/>
          <w:snapToGrid w:val="0"/>
          <w:kern w:val="0"/>
          <w:sz w:val="28"/>
          <w:szCs w:val="28"/>
        </w:rPr>
        <w:t xml:space="preserve"> </w:t>
      </w:r>
      <w:r>
        <w:rPr>
          <w:rFonts w:ascii="Times New Roman" w:hAnsi="Times New Roman" w:eastAsia="仿宋_GB2312"/>
          <w:snapToGrid w:val="0"/>
          <w:kern w:val="0"/>
          <w:sz w:val="28"/>
          <w:szCs w:val="28"/>
        </w:rPr>
        <w:t>水土保持术语</w:t>
      </w:r>
    </w:p>
    <w:p w14:paraId="34B92C2F">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ascii="Times New Roman" w:hAnsi="Times New Roman" w:eastAsia="仿宋_GB2312"/>
          <w:snapToGrid w:val="0"/>
          <w:kern w:val="0"/>
          <w:sz w:val="28"/>
          <w:szCs w:val="28"/>
        </w:rPr>
        <w:t>JJF 1071 国家计量校准规范编写规则</w:t>
      </w:r>
    </w:p>
    <w:p w14:paraId="45C80B5A">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JJF1059.1 测量不确定度评定与表示</w:t>
      </w:r>
    </w:p>
    <w:p w14:paraId="22ACA4BF">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JJF 1139 计量器具检定周期确定原则和方法</w:t>
      </w:r>
    </w:p>
    <w:p w14:paraId="055B5416">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ascii="Times New Roman" w:hAnsi="Times New Roman" w:eastAsia="仿宋_GB2312"/>
          <w:snapToGrid w:val="0"/>
          <w:kern w:val="0"/>
          <w:sz w:val="28"/>
          <w:szCs w:val="28"/>
        </w:rPr>
        <w:t>SL 277</w:t>
      </w:r>
      <w:r>
        <w:rPr>
          <w:rFonts w:hint="eastAsia" w:ascii="Times New Roman" w:hAnsi="Times New Roman" w:eastAsia="仿宋_GB2312"/>
          <w:snapToGrid w:val="0"/>
          <w:kern w:val="0"/>
          <w:sz w:val="28"/>
          <w:szCs w:val="28"/>
        </w:rPr>
        <w:t xml:space="preserve"> </w:t>
      </w:r>
      <w:r>
        <w:rPr>
          <w:rFonts w:ascii="Times New Roman" w:hAnsi="Times New Roman" w:eastAsia="仿宋_GB2312"/>
          <w:snapToGrid w:val="0"/>
          <w:kern w:val="0"/>
          <w:sz w:val="28"/>
          <w:szCs w:val="28"/>
        </w:rPr>
        <w:t>水土保持监测技术规范</w:t>
      </w:r>
    </w:p>
    <w:p w14:paraId="6884C213">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ascii="Times New Roman" w:hAnsi="Times New Roman" w:eastAsia="仿宋_GB2312"/>
          <w:snapToGrid w:val="0"/>
          <w:kern w:val="0"/>
          <w:sz w:val="28"/>
          <w:szCs w:val="28"/>
        </w:rPr>
        <w:t>SL 42</w:t>
      </w:r>
      <w:r>
        <w:rPr>
          <w:rFonts w:hint="eastAsia" w:ascii="Times New Roman" w:hAnsi="Times New Roman" w:eastAsia="仿宋_GB2312"/>
          <w:snapToGrid w:val="0"/>
          <w:kern w:val="0"/>
          <w:sz w:val="28"/>
          <w:szCs w:val="28"/>
        </w:rPr>
        <w:t xml:space="preserve"> </w:t>
      </w:r>
      <w:r>
        <w:rPr>
          <w:rFonts w:ascii="Times New Roman" w:hAnsi="Times New Roman" w:eastAsia="仿宋_GB2312"/>
          <w:snapToGrid w:val="0"/>
          <w:kern w:val="0"/>
          <w:sz w:val="28"/>
          <w:szCs w:val="28"/>
        </w:rPr>
        <w:t>河流泥沙颗粒分析规程</w:t>
      </w:r>
    </w:p>
    <w:p w14:paraId="64347AB3">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ascii="Times New Roman" w:hAnsi="Times New Roman" w:eastAsia="仿宋_GB2312"/>
          <w:snapToGrid w:val="0"/>
          <w:kern w:val="0"/>
          <w:sz w:val="28"/>
          <w:szCs w:val="28"/>
        </w:rPr>
        <w:t>SL 342</w:t>
      </w:r>
      <w:r>
        <w:rPr>
          <w:rFonts w:hint="eastAsia" w:ascii="Times New Roman" w:hAnsi="Times New Roman" w:eastAsia="仿宋_GB2312"/>
          <w:snapToGrid w:val="0"/>
          <w:kern w:val="0"/>
          <w:sz w:val="28"/>
          <w:szCs w:val="28"/>
        </w:rPr>
        <w:t xml:space="preserve"> </w:t>
      </w:r>
      <w:r>
        <w:rPr>
          <w:rFonts w:ascii="Times New Roman" w:hAnsi="Times New Roman" w:eastAsia="仿宋_GB2312"/>
          <w:snapToGrid w:val="0"/>
          <w:kern w:val="0"/>
          <w:sz w:val="28"/>
          <w:szCs w:val="28"/>
        </w:rPr>
        <w:t>水土保持监测设施通用技术条件</w:t>
      </w:r>
    </w:p>
    <w:p w14:paraId="28A60D95">
      <w:pPr>
        <w:keepNext w:val="0"/>
        <w:keepLines w:val="0"/>
        <w:pageBreakBefore w:val="0"/>
        <w:widowControl w:val="0"/>
        <w:numPr>
          <w:ilvl w:val="0"/>
          <w:numId w:val="2"/>
        </w:numPr>
        <w:kinsoku/>
        <w:wordWrap/>
        <w:overflowPunct/>
        <w:topLinePunct w:val="0"/>
        <w:autoSpaceDE/>
        <w:autoSpaceDN/>
        <w:bidi w:val="0"/>
        <w:adjustRightInd w:val="0"/>
        <w:snapToGrid/>
        <w:spacing w:line="360" w:lineRule="auto"/>
        <w:ind w:firstLine="560" w:firstLineChars="200"/>
        <w:textAlignment w:val="auto"/>
        <w:rPr>
          <w:rFonts w:hint="default" w:ascii="楷体_GB2312" w:hAnsi="楷体_GB2312" w:eastAsia="楷体_GB2312" w:cs="楷体_GB2312"/>
          <w:snapToGrid w:val="0"/>
          <w:kern w:val="0"/>
          <w:sz w:val="28"/>
          <w:szCs w:val="28"/>
          <w:lang w:val="en-US" w:eastAsia="zh-CN"/>
        </w:rPr>
      </w:pPr>
      <w:r>
        <w:rPr>
          <w:rFonts w:hint="eastAsia" w:ascii="楷体_GB2312" w:hAnsi="楷体_GB2312" w:eastAsia="楷体_GB2312" w:cs="楷体_GB2312"/>
          <w:snapToGrid w:val="0"/>
          <w:kern w:val="0"/>
          <w:sz w:val="28"/>
          <w:szCs w:val="28"/>
          <w:lang w:val="en-US" w:eastAsia="zh-CN"/>
        </w:rPr>
        <w:t>编制原则</w:t>
      </w:r>
    </w:p>
    <w:p w14:paraId="6E0A57F8">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为了使本校准规范既有先进性，又有实用性，在编制过程中，力求按照以下原则，完成规范起草工作。</w:t>
      </w:r>
    </w:p>
    <w:p w14:paraId="591B60F8">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lang w:val="en-US" w:eastAsia="zh-CN"/>
        </w:rPr>
        <w:t>1.</w:t>
      </w:r>
      <w:r>
        <w:rPr>
          <w:rFonts w:hint="eastAsia" w:ascii="Times New Roman" w:hAnsi="Times New Roman" w:eastAsia="仿宋_GB2312"/>
          <w:snapToGrid w:val="0"/>
          <w:kern w:val="0"/>
          <w:sz w:val="28"/>
          <w:szCs w:val="28"/>
        </w:rPr>
        <w:t>参照国家相关规程规范和国际标准，并尽量与国家标准保持一致，保证规范的先进性和可行性；</w:t>
      </w:r>
    </w:p>
    <w:p w14:paraId="2AF5FB85">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lang w:val="en-US" w:eastAsia="zh-CN"/>
        </w:rPr>
        <w:t>2.</w:t>
      </w:r>
      <w:r>
        <w:rPr>
          <w:rFonts w:hint="eastAsia" w:ascii="Times New Roman" w:hAnsi="Times New Roman" w:eastAsia="仿宋_GB2312"/>
          <w:snapToGrid w:val="0"/>
          <w:kern w:val="0"/>
          <w:sz w:val="28"/>
          <w:szCs w:val="28"/>
        </w:rPr>
        <w:t>在校准用装置的选择上，既要采用先进的仪器设备，性能可靠，又要考虑经济性和使用的便捷性；</w:t>
      </w:r>
    </w:p>
    <w:p w14:paraId="6BAD7AF2">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lang w:val="en-US" w:eastAsia="zh-CN"/>
        </w:rPr>
        <w:t>3.</w:t>
      </w:r>
      <w:r>
        <w:rPr>
          <w:rFonts w:hint="eastAsia" w:ascii="Times New Roman" w:hAnsi="Times New Roman" w:eastAsia="仿宋_GB2312"/>
          <w:snapToGrid w:val="0"/>
          <w:kern w:val="0"/>
          <w:sz w:val="28"/>
          <w:szCs w:val="28"/>
        </w:rPr>
        <w:t>在校准方法的设计上，既要保证主要技术指标的有效校准，又要力求</w:t>
      </w:r>
      <w:r>
        <w:rPr>
          <w:rFonts w:hint="eastAsia" w:ascii="Times New Roman" w:hAnsi="Times New Roman" w:eastAsia="仿宋_GB2312"/>
          <w:snapToGrid w:val="0"/>
          <w:kern w:val="0"/>
          <w:sz w:val="28"/>
          <w:szCs w:val="28"/>
          <w:lang w:eastAsia="zh-CN"/>
        </w:rPr>
        <w:t>经济实用</w:t>
      </w:r>
      <w:r>
        <w:rPr>
          <w:rFonts w:hint="eastAsia" w:ascii="Times New Roman" w:hAnsi="Times New Roman" w:eastAsia="仿宋_GB2312"/>
          <w:snapToGrid w:val="0"/>
          <w:kern w:val="0"/>
          <w:sz w:val="28"/>
          <w:szCs w:val="28"/>
        </w:rPr>
        <w:t>，操作方便。</w:t>
      </w:r>
    </w:p>
    <w:p w14:paraId="775B4418">
      <w:pPr>
        <w:keepNext w:val="0"/>
        <w:keepLines w:val="0"/>
        <w:pageBreakBefore w:val="0"/>
        <w:widowControl w:val="0"/>
        <w:numPr>
          <w:ilvl w:val="0"/>
          <w:numId w:val="1"/>
        </w:numPr>
        <w:kinsoku/>
        <w:wordWrap/>
        <w:overflowPunct/>
        <w:topLinePunct w:val="0"/>
        <w:autoSpaceDE/>
        <w:autoSpaceDN/>
        <w:bidi w:val="0"/>
        <w:snapToGrid/>
        <w:spacing w:before="100" w:beforeAutospacing="1" w:after="100" w:afterAutospacing="1" w:line="360" w:lineRule="auto"/>
        <w:ind w:left="420" w:leftChars="0" w:hanging="420" w:firstLineChars="0"/>
        <w:textAlignment w:val="auto"/>
        <w:outlineLvl w:val="0"/>
        <w:rPr>
          <w:rFonts w:hint="eastAsia" w:ascii="Times New Roman" w:hAnsi="Times New Roman" w:eastAsia="黑体"/>
          <w:sz w:val="28"/>
          <w:szCs w:val="28"/>
        </w:rPr>
      </w:pPr>
      <w:r>
        <w:rPr>
          <w:rFonts w:hint="eastAsia" w:ascii="Times New Roman" w:hAnsi="Times New Roman" w:eastAsia="黑体"/>
          <w:sz w:val="28"/>
          <w:szCs w:val="28"/>
          <w:lang w:val="en-US" w:eastAsia="zh-CN"/>
        </w:rPr>
        <w:t>编制</w:t>
      </w:r>
      <w:r>
        <w:rPr>
          <w:rFonts w:hint="eastAsia" w:ascii="Times New Roman" w:hAnsi="Times New Roman" w:eastAsia="黑体"/>
          <w:sz w:val="28"/>
          <w:szCs w:val="28"/>
        </w:rPr>
        <w:t>过程</w:t>
      </w:r>
    </w:p>
    <w:p w14:paraId="769C2DBB">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2025年3月～7月，开展技术调研和研讨，收集相关资料，编制标准草案。</w:t>
      </w:r>
    </w:p>
    <w:p w14:paraId="2F3174BA">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2025年8月13日，起草小组在河南召开了第一次工作组会议，就标准编制原则、标准草案等进行了讨论。</w:t>
      </w:r>
    </w:p>
    <w:p w14:paraId="0B5C6EA9">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2025年</w:t>
      </w:r>
      <w:r>
        <w:rPr>
          <w:rFonts w:hint="eastAsia" w:ascii="Times New Roman" w:hAnsi="Times New Roman" w:eastAsia="仿宋_GB2312"/>
          <w:snapToGrid w:val="0"/>
          <w:kern w:val="0"/>
          <w:sz w:val="28"/>
          <w:szCs w:val="28"/>
          <w:lang w:val="en-US" w:eastAsia="zh-CN"/>
        </w:rPr>
        <w:t>10</w:t>
      </w:r>
      <w:r>
        <w:rPr>
          <w:rFonts w:hint="eastAsia" w:ascii="Times New Roman" w:hAnsi="Times New Roman" w:eastAsia="仿宋_GB2312"/>
          <w:snapToGrid w:val="0"/>
          <w:kern w:val="0"/>
          <w:sz w:val="28"/>
          <w:szCs w:val="28"/>
        </w:rPr>
        <w:t>月，编制完成标准工作大纲和标准初稿；</w:t>
      </w:r>
    </w:p>
    <w:p w14:paraId="1EB20246">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lang w:val="en-US" w:eastAsia="zh-CN"/>
        </w:rPr>
        <w:t>2026年3月26日，起草小组</w:t>
      </w:r>
      <w:r>
        <w:rPr>
          <w:rFonts w:hint="eastAsia" w:ascii="Times New Roman" w:hAnsi="Times New Roman" w:eastAsia="仿宋_GB2312"/>
          <w:snapToGrid w:val="0"/>
          <w:kern w:val="0"/>
          <w:sz w:val="28"/>
          <w:szCs w:val="28"/>
        </w:rPr>
        <w:t>在</w:t>
      </w:r>
      <w:r>
        <w:rPr>
          <w:rFonts w:hint="eastAsia" w:ascii="Times New Roman" w:hAnsi="Times New Roman" w:eastAsia="仿宋_GB2312"/>
          <w:snapToGrid w:val="0"/>
          <w:kern w:val="0"/>
          <w:sz w:val="28"/>
          <w:szCs w:val="28"/>
          <w:lang w:val="en-US" w:eastAsia="zh-CN"/>
        </w:rPr>
        <w:t>陕西杨凌</w:t>
      </w:r>
      <w:r>
        <w:rPr>
          <w:rFonts w:hint="eastAsia" w:ascii="Times New Roman" w:hAnsi="Times New Roman" w:eastAsia="仿宋_GB2312"/>
          <w:snapToGrid w:val="0"/>
          <w:kern w:val="0"/>
          <w:sz w:val="28"/>
          <w:szCs w:val="28"/>
        </w:rPr>
        <w:t>召开了</w:t>
      </w:r>
      <w:r>
        <w:rPr>
          <w:rFonts w:hint="eastAsia" w:ascii="Times New Roman" w:hAnsi="Times New Roman" w:eastAsia="仿宋_GB2312"/>
          <w:snapToGrid w:val="0"/>
          <w:kern w:val="0"/>
          <w:sz w:val="28"/>
          <w:szCs w:val="28"/>
          <w:lang w:val="en-US" w:eastAsia="zh-CN"/>
        </w:rPr>
        <w:t>第二次工作组会议，</w:t>
      </w:r>
      <w:r>
        <w:rPr>
          <w:rFonts w:hint="eastAsia" w:ascii="Times New Roman" w:hAnsi="Times New Roman" w:eastAsia="仿宋_GB2312"/>
          <w:snapToGrid w:val="0"/>
          <w:kern w:val="0"/>
          <w:sz w:val="28"/>
          <w:szCs w:val="28"/>
        </w:rPr>
        <w:t>针对标准初稿内容进行了逐章逐条深入讨论，提出了修改意见，细化准确度等级及最大允许误差，完善相关要求。</w:t>
      </w:r>
    </w:p>
    <w:p w14:paraId="73D98916">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202</w:t>
      </w:r>
      <w:r>
        <w:rPr>
          <w:rFonts w:hint="eastAsia" w:ascii="Times New Roman" w:hAnsi="Times New Roman" w:eastAsia="仿宋_GB2312"/>
          <w:snapToGrid w:val="0"/>
          <w:kern w:val="0"/>
          <w:sz w:val="28"/>
          <w:szCs w:val="28"/>
          <w:lang w:val="en-US" w:eastAsia="zh-CN"/>
        </w:rPr>
        <w:t>6</w:t>
      </w:r>
      <w:r>
        <w:rPr>
          <w:rFonts w:hint="eastAsia" w:ascii="Times New Roman" w:hAnsi="Times New Roman" w:eastAsia="仿宋_GB2312"/>
          <w:snapToGrid w:val="0"/>
          <w:kern w:val="0"/>
          <w:sz w:val="28"/>
          <w:szCs w:val="28"/>
        </w:rPr>
        <w:t>年</w:t>
      </w:r>
      <w:r>
        <w:rPr>
          <w:rFonts w:hint="eastAsia" w:ascii="Times New Roman" w:hAnsi="Times New Roman" w:eastAsia="仿宋_GB2312"/>
          <w:snapToGrid w:val="0"/>
          <w:kern w:val="0"/>
          <w:sz w:val="28"/>
          <w:szCs w:val="28"/>
          <w:lang w:val="en-US" w:eastAsia="zh-CN"/>
        </w:rPr>
        <w:t>4</w:t>
      </w:r>
      <w:r>
        <w:rPr>
          <w:rFonts w:hint="eastAsia" w:ascii="Times New Roman" w:hAnsi="Times New Roman" w:eastAsia="仿宋_GB2312"/>
          <w:snapToGrid w:val="0"/>
          <w:kern w:val="0"/>
          <w:sz w:val="28"/>
          <w:szCs w:val="28"/>
        </w:rPr>
        <w:t>月～</w:t>
      </w:r>
      <w:r>
        <w:rPr>
          <w:rFonts w:hint="eastAsia" w:ascii="Times New Roman" w:hAnsi="Times New Roman" w:eastAsia="仿宋_GB2312"/>
          <w:snapToGrid w:val="0"/>
          <w:kern w:val="0"/>
          <w:sz w:val="28"/>
          <w:szCs w:val="28"/>
          <w:lang w:val="en-US" w:eastAsia="zh-CN"/>
        </w:rPr>
        <w:t>5</w:t>
      </w:r>
      <w:r>
        <w:rPr>
          <w:rFonts w:hint="eastAsia" w:ascii="Times New Roman" w:hAnsi="Times New Roman" w:eastAsia="仿宋_GB2312"/>
          <w:snapToGrid w:val="0"/>
          <w:kern w:val="0"/>
          <w:sz w:val="28"/>
          <w:szCs w:val="28"/>
        </w:rPr>
        <w:t>月，开展试验数据收集，完成《</w:t>
      </w:r>
      <w:r>
        <w:rPr>
          <w:rFonts w:hint="eastAsia" w:ascii="Times New Roman" w:hAnsi="Times New Roman" w:eastAsia="仿宋_GB2312"/>
          <w:snapToGrid w:val="0"/>
          <w:kern w:val="0"/>
          <w:sz w:val="28"/>
          <w:szCs w:val="28"/>
          <w:lang w:eastAsia="zh-CN"/>
        </w:rPr>
        <w:t>光电式径流含沙量监测仪</w:t>
      </w:r>
      <w:r>
        <w:rPr>
          <w:rFonts w:hint="eastAsia" w:ascii="Times New Roman" w:hAnsi="Times New Roman" w:eastAsia="仿宋_GB2312"/>
          <w:snapToGrid w:val="0"/>
          <w:kern w:val="0"/>
          <w:sz w:val="28"/>
          <w:szCs w:val="28"/>
        </w:rPr>
        <w:t>校准规范》试验验证报告和不确定度分析报告</w:t>
      </w:r>
      <w:r>
        <w:rPr>
          <w:rFonts w:hint="eastAsia" w:ascii="Times New Roman" w:hAnsi="Times New Roman" w:eastAsia="仿宋_GB2312"/>
          <w:snapToGrid w:val="0"/>
          <w:kern w:val="0"/>
          <w:sz w:val="28"/>
          <w:szCs w:val="28"/>
          <w:lang w:val="en-US" w:eastAsia="zh-CN"/>
        </w:rPr>
        <w:t>初稿</w:t>
      </w:r>
      <w:r>
        <w:rPr>
          <w:rFonts w:hint="eastAsia" w:ascii="Times New Roman" w:hAnsi="Times New Roman" w:eastAsia="仿宋_GB2312"/>
          <w:snapToGrid w:val="0"/>
          <w:kern w:val="0"/>
          <w:sz w:val="28"/>
          <w:szCs w:val="28"/>
        </w:rPr>
        <w:t>。</w:t>
      </w:r>
    </w:p>
    <w:p w14:paraId="36072E9C">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202</w:t>
      </w:r>
      <w:r>
        <w:rPr>
          <w:rFonts w:hint="eastAsia" w:ascii="Times New Roman" w:hAnsi="Times New Roman" w:eastAsia="仿宋_GB2312"/>
          <w:snapToGrid w:val="0"/>
          <w:kern w:val="0"/>
          <w:sz w:val="28"/>
          <w:szCs w:val="28"/>
          <w:lang w:val="en-US" w:eastAsia="zh-CN"/>
        </w:rPr>
        <w:t>6</w:t>
      </w:r>
      <w:r>
        <w:rPr>
          <w:rFonts w:hint="eastAsia" w:ascii="Times New Roman" w:hAnsi="Times New Roman" w:eastAsia="仿宋_GB2312"/>
          <w:snapToGrid w:val="0"/>
          <w:kern w:val="0"/>
          <w:sz w:val="28"/>
          <w:szCs w:val="28"/>
        </w:rPr>
        <w:t>年</w:t>
      </w:r>
      <w:r>
        <w:rPr>
          <w:rFonts w:hint="eastAsia" w:ascii="Times New Roman" w:hAnsi="Times New Roman" w:eastAsia="仿宋_GB2312"/>
          <w:snapToGrid w:val="0"/>
          <w:kern w:val="0"/>
          <w:sz w:val="28"/>
          <w:szCs w:val="28"/>
          <w:lang w:val="en-US" w:eastAsia="zh-CN"/>
        </w:rPr>
        <w:t>5</w:t>
      </w:r>
      <w:r>
        <w:rPr>
          <w:rFonts w:hint="eastAsia" w:ascii="Times New Roman" w:hAnsi="Times New Roman" w:eastAsia="仿宋_GB2312"/>
          <w:snapToGrid w:val="0"/>
          <w:kern w:val="0"/>
          <w:sz w:val="28"/>
          <w:szCs w:val="28"/>
        </w:rPr>
        <w:t>月</w:t>
      </w:r>
      <w:r>
        <w:rPr>
          <w:rFonts w:hint="eastAsia" w:ascii="Times New Roman" w:hAnsi="Times New Roman" w:eastAsia="仿宋_GB2312"/>
          <w:snapToGrid w:val="0"/>
          <w:kern w:val="0"/>
          <w:sz w:val="28"/>
          <w:szCs w:val="28"/>
          <w:lang w:val="en-US" w:eastAsia="zh-CN"/>
        </w:rPr>
        <w:t>14</w:t>
      </w:r>
      <w:r>
        <w:rPr>
          <w:rFonts w:hint="eastAsia" w:ascii="Times New Roman" w:hAnsi="Times New Roman" w:eastAsia="仿宋_GB2312"/>
          <w:snapToGrid w:val="0"/>
          <w:kern w:val="0"/>
          <w:sz w:val="28"/>
          <w:szCs w:val="28"/>
        </w:rPr>
        <w:t>日，起草小组</w:t>
      </w:r>
      <w:r>
        <w:rPr>
          <w:rFonts w:hint="eastAsia" w:ascii="Times New Roman" w:hAnsi="Times New Roman" w:eastAsia="仿宋_GB2312"/>
          <w:snapToGrid w:val="0"/>
          <w:kern w:val="0"/>
          <w:sz w:val="28"/>
          <w:szCs w:val="28"/>
          <w:lang w:val="en-US" w:eastAsia="zh-CN"/>
        </w:rPr>
        <w:t>在江苏南京</w:t>
      </w:r>
      <w:r>
        <w:rPr>
          <w:rFonts w:hint="eastAsia" w:ascii="Times New Roman" w:hAnsi="Times New Roman" w:eastAsia="仿宋_GB2312"/>
          <w:snapToGrid w:val="0"/>
          <w:kern w:val="0"/>
          <w:sz w:val="28"/>
          <w:szCs w:val="28"/>
        </w:rPr>
        <w:t>召开了第三次工作组会议，进一步讨论了规范的修改稿，形成标准征求意见稿。</w:t>
      </w:r>
    </w:p>
    <w:p w14:paraId="3D5E6FD8">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Times New Roman" w:hAnsi="Times New Roman" w:eastAsia="仿宋_GB2312"/>
          <w:snapToGrid w:val="0"/>
          <w:kern w:val="0"/>
          <w:sz w:val="28"/>
          <w:szCs w:val="28"/>
          <w:lang w:val="en-US" w:eastAsia="zh-CN"/>
        </w:rPr>
      </w:pPr>
      <w:r>
        <w:rPr>
          <w:rFonts w:hint="eastAsia" w:ascii="Times New Roman" w:hAnsi="Times New Roman" w:eastAsia="仿宋_GB2312"/>
          <w:snapToGrid w:val="0"/>
          <w:kern w:val="0"/>
          <w:sz w:val="28"/>
          <w:szCs w:val="28"/>
          <w:lang w:val="en-US" w:eastAsia="zh-CN"/>
        </w:rPr>
        <w:t>2026年5月~6月，根据讨论意见，修改完善征求意见稿，并对选取的多台径流含沙量监测仪进行进一步试验分析，完善试验报告及不确定度分析报告。</w:t>
      </w:r>
    </w:p>
    <w:p w14:paraId="7E82547A">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Times New Roman" w:hAnsi="Times New Roman" w:eastAsia="仿宋_GB2312"/>
          <w:snapToGrid w:val="0"/>
          <w:kern w:val="0"/>
          <w:sz w:val="28"/>
          <w:szCs w:val="28"/>
          <w:lang w:val="en-US" w:eastAsia="zh-CN"/>
        </w:rPr>
      </w:pPr>
      <w:r>
        <w:rPr>
          <w:rFonts w:hint="eastAsia" w:ascii="Times New Roman" w:hAnsi="Times New Roman" w:eastAsia="仿宋_GB2312"/>
          <w:snapToGrid w:val="0"/>
          <w:kern w:val="0"/>
          <w:sz w:val="28"/>
          <w:szCs w:val="28"/>
          <w:lang w:val="en-US" w:eastAsia="zh-CN"/>
        </w:rPr>
        <w:t>2026年7月16日，起草小组邀请行业内专家在江苏南京召开了《光电式径流含沙量检测仪校准规范》技术咨询会，与会专家对标准材料进行了充分质询和探讨，提出大量宝贵意见。</w:t>
      </w:r>
    </w:p>
    <w:p w14:paraId="5BEF7110">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lang w:val="en-US" w:eastAsia="zh-CN"/>
        </w:rPr>
        <w:t>2026年7月~8月，根据技术咨询会专家意见，修改完善标准的征求意见稿、试验报告及不确定评定报告。</w:t>
      </w:r>
    </w:p>
    <w:p w14:paraId="73F1AB83">
      <w:pPr>
        <w:keepNext w:val="0"/>
        <w:keepLines w:val="0"/>
        <w:pageBreakBefore w:val="0"/>
        <w:widowControl w:val="0"/>
        <w:numPr>
          <w:ilvl w:val="0"/>
          <w:numId w:val="1"/>
        </w:numPr>
        <w:kinsoku/>
        <w:wordWrap/>
        <w:overflowPunct/>
        <w:topLinePunct w:val="0"/>
        <w:autoSpaceDE/>
        <w:autoSpaceDN/>
        <w:bidi w:val="0"/>
        <w:snapToGrid/>
        <w:spacing w:before="100" w:beforeAutospacing="1" w:after="100" w:afterAutospacing="1" w:line="360" w:lineRule="auto"/>
        <w:ind w:left="420" w:leftChars="0" w:hanging="420" w:firstLineChars="0"/>
        <w:textAlignment w:val="auto"/>
        <w:outlineLvl w:val="0"/>
        <w:rPr>
          <w:rFonts w:hint="eastAsia" w:ascii="Times New Roman" w:hAnsi="Times New Roman" w:eastAsia="黑体"/>
          <w:sz w:val="28"/>
          <w:szCs w:val="28"/>
        </w:rPr>
      </w:pPr>
      <w:r>
        <w:rPr>
          <w:rFonts w:hint="eastAsia" w:ascii="Times New Roman" w:hAnsi="Times New Roman" w:eastAsia="黑体"/>
          <w:sz w:val="28"/>
          <w:szCs w:val="28"/>
        </w:rPr>
        <w:t>主要技术内容</w:t>
      </w:r>
    </w:p>
    <w:p w14:paraId="29926CF6">
      <w:pPr>
        <w:keepNext w:val="0"/>
        <w:keepLines w:val="0"/>
        <w:pageBreakBefore w:val="0"/>
        <w:widowControl w:val="0"/>
        <w:numPr>
          <w:ilvl w:val="255"/>
          <w:numId w:val="0"/>
        </w:numPr>
        <w:kinsoku/>
        <w:wordWrap/>
        <w:overflowPunct/>
        <w:topLinePunct w:val="0"/>
        <w:autoSpaceDE/>
        <w:autoSpaceDN/>
        <w:bidi w:val="0"/>
        <w:adjustRightInd w:val="0"/>
        <w:snapToGrid/>
        <w:spacing w:line="360" w:lineRule="auto"/>
        <w:ind w:firstLine="560" w:firstLineChars="20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规范的主要内容包括：</w:t>
      </w:r>
    </w:p>
    <w:p w14:paraId="57D14631">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leftChars="0" w:firstLine="560" w:firstLineChars="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范围，规定本规范适用的范围；</w:t>
      </w:r>
    </w:p>
    <w:p w14:paraId="4566F95F">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leftChars="0" w:firstLine="560" w:firstLineChars="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引用文件，编制本规范所引用的规程规范；</w:t>
      </w:r>
    </w:p>
    <w:p w14:paraId="36DFE5AA">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leftChars="0" w:firstLine="560" w:firstLineChars="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术语，定义本规范所出现的专用术语和计量单位；</w:t>
      </w:r>
    </w:p>
    <w:p w14:paraId="7D5B829A">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leftChars="0" w:firstLine="560" w:firstLineChars="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概述，简要叙述</w:t>
      </w:r>
      <w:r>
        <w:rPr>
          <w:rFonts w:hint="eastAsia" w:ascii="Times New Roman" w:hAnsi="Times New Roman" w:eastAsia="仿宋_GB2312"/>
          <w:snapToGrid w:val="0"/>
          <w:kern w:val="0"/>
          <w:sz w:val="28"/>
          <w:szCs w:val="28"/>
          <w:lang w:eastAsia="zh-CN"/>
        </w:rPr>
        <w:t>光电式径流含沙量监测仪</w:t>
      </w:r>
      <w:r>
        <w:rPr>
          <w:rFonts w:hint="eastAsia" w:ascii="Times New Roman" w:hAnsi="Times New Roman" w:eastAsia="仿宋_GB2312"/>
          <w:snapToGrid w:val="0"/>
          <w:kern w:val="0"/>
          <w:sz w:val="28"/>
          <w:szCs w:val="28"/>
        </w:rPr>
        <w:t>的工作原理和组成；</w:t>
      </w:r>
    </w:p>
    <w:p w14:paraId="413533A7">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leftChars="0" w:firstLine="560" w:firstLineChars="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计量</w:t>
      </w:r>
      <w:r>
        <w:rPr>
          <w:rFonts w:hint="eastAsia" w:ascii="Times New Roman" w:hAnsi="Times New Roman" w:eastAsia="仿宋_GB2312"/>
          <w:snapToGrid w:val="0"/>
          <w:kern w:val="0"/>
          <w:sz w:val="28"/>
          <w:szCs w:val="28"/>
          <w:lang w:val="en-US" w:eastAsia="zh-CN"/>
        </w:rPr>
        <w:t>特性</w:t>
      </w:r>
      <w:r>
        <w:rPr>
          <w:rFonts w:hint="eastAsia" w:ascii="Times New Roman" w:hAnsi="Times New Roman" w:eastAsia="仿宋_GB2312"/>
          <w:snapToGrid w:val="0"/>
          <w:kern w:val="0"/>
          <w:sz w:val="28"/>
          <w:szCs w:val="28"/>
        </w:rPr>
        <w:t>，规定</w:t>
      </w:r>
      <w:r>
        <w:rPr>
          <w:rFonts w:hint="eastAsia" w:ascii="Times New Roman" w:hAnsi="Times New Roman" w:eastAsia="仿宋_GB2312"/>
          <w:snapToGrid w:val="0"/>
          <w:kern w:val="0"/>
          <w:sz w:val="28"/>
          <w:szCs w:val="28"/>
          <w:lang w:eastAsia="zh-CN"/>
        </w:rPr>
        <w:t>光电式径流含沙量监测仪</w:t>
      </w:r>
      <w:r>
        <w:rPr>
          <w:rFonts w:hint="eastAsia" w:ascii="Times New Roman" w:hAnsi="Times New Roman" w:eastAsia="仿宋_GB2312"/>
          <w:snapToGrid w:val="0"/>
          <w:kern w:val="0"/>
          <w:sz w:val="28"/>
          <w:szCs w:val="28"/>
        </w:rPr>
        <w:t>的准确度等级、重复性要求；</w:t>
      </w:r>
    </w:p>
    <w:p w14:paraId="387B0753">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leftChars="0" w:firstLine="560" w:firstLineChars="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校准条件，规定校准所需环境条件；</w:t>
      </w:r>
    </w:p>
    <w:p w14:paraId="1EEB3FFF">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leftChars="0" w:firstLine="560" w:firstLineChars="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校准项目和方法，规定了校准项目、校准方法、校准结果处理和校准周期；</w:t>
      </w:r>
    </w:p>
    <w:p w14:paraId="6B4ADDD3">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leftChars="0" w:firstLine="560" w:firstLineChars="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校准结果表达</w:t>
      </w:r>
      <w:r>
        <w:rPr>
          <w:rFonts w:hint="eastAsia" w:ascii="Times New Roman" w:hAnsi="Times New Roman" w:eastAsia="仿宋_GB2312"/>
          <w:snapToGrid w:val="0"/>
          <w:kern w:val="0"/>
          <w:sz w:val="28"/>
          <w:szCs w:val="28"/>
          <w:lang w:eastAsia="zh-CN"/>
        </w:rPr>
        <w:t>，</w:t>
      </w:r>
      <w:r>
        <w:rPr>
          <w:rFonts w:hint="eastAsia" w:ascii="Times New Roman" w:hAnsi="Times New Roman" w:eastAsia="仿宋_GB2312"/>
          <w:snapToGrid w:val="0"/>
          <w:kern w:val="0"/>
          <w:sz w:val="28"/>
          <w:szCs w:val="28"/>
          <w:lang w:val="en-US" w:eastAsia="zh-CN"/>
        </w:rPr>
        <w:t>规定了在校准报告中对校准结果的表达方式；</w:t>
      </w:r>
    </w:p>
    <w:p w14:paraId="3F6EF084">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leftChars="0" w:firstLine="560" w:firstLineChars="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rPr>
        <w:t>复校时间间隔</w:t>
      </w:r>
      <w:r>
        <w:rPr>
          <w:rFonts w:hint="eastAsia" w:ascii="Times New Roman" w:hAnsi="Times New Roman" w:eastAsia="仿宋_GB2312"/>
          <w:snapToGrid w:val="0"/>
          <w:kern w:val="0"/>
          <w:sz w:val="28"/>
          <w:szCs w:val="28"/>
          <w:lang w:eastAsia="zh-CN"/>
        </w:rPr>
        <w:t>，</w:t>
      </w:r>
      <w:r>
        <w:rPr>
          <w:rFonts w:hint="eastAsia" w:ascii="Times New Roman" w:hAnsi="Times New Roman" w:eastAsia="仿宋_GB2312"/>
          <w:snapToGrid w:val="0"/>
          <w:kern w:val="0"/>
          <w:sz w:val="28"/>
          <w:szCs w:val="28"/>
          <w:lang w:val="en-US" w:eastAsia="zh-CN"/>
        </w:rPr>
        <w:t>规定了在不同用途和情形下，监测仪需要进行校准的时间间隔；</w:t>
      </w:r>
    </w:p>
    <w:p w14:paraId="64E0704C">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leftChars="0" w:firstLine="560" w:firstLineChars="0"/>
        <w:textAlignment w:val="auto"/>
        <w:rPr>
          <w:rFonts w:ascii="Times New Roman" w:hAnsi="Times New Roman" w:eastAsia="仿宋_GB2312"/>
          <w:snapToGrid w:val="0"/>
          <w:kern w:val="0"/>
          <w:sz w:val="28"/>
          <w:szCs w:val="28"/>
        </w:rPr>
      </w:pPr>
      <w:r>
        <w:rPr>
          <w:rFonts w:hint="eastAsia" w:ascii="Times New Roman" w:hAnsi="Times New Roman" w:eastAsia="仿宋_GB2312"/>
          <w:snapToGrid w:val="0"/>
          <w:kern w:val="0"/>
          <w:sz w:val="28"/>
          <w:szCs w:val="28"/>
          <w:lang w:val="en-US" w:eastAsia="zh-CN"/>
        </w:rPr>
        <w:t>附录，包括便携式泥沙含量检测仪组成结构、含沙量标准场均匀度试验方法、泥沙样品制备及其密度测量方法及校准证书/校准结果通知书（内页）格式等。</w:t>
      </w:r>
    </w:p>
    <w:p w14:paraId="488FA457">
      <w:pPr>
        <w:keepNext w:val="0"/>
        <w:keepLines w:val="0"/>
        <w:pageBreakBefore w:val="0"/>
        <w:widowControl w:val="0"/>
        <w:numPr>
          <w:ilvl w:val="0"/>
          <w:numId w:val="1"/>
        </w:numPr>
        <w:kinsoku/>
        <w:wordWrap/>
        <w:overflowPunct/>
        <w:topLinePunct w:val="0"/>
        <w:autoSpaceDE/>
        <w:autoSpaceDN/>
        <w:bidi w:val="0"/>
        <w:snapToGrid/>
        <w:spacing w:before="100" w:beforeAutospacing="1" w:after="100" w:afterAutospacing="1" w:line="360" w:lineRule="auto"/>
        <w:ind w:left="420" w:leftChars="0" w:hanging="420" w:firstLineChars="0"/>
        <w:textAlignment w:val="auto"/>
        <w:outlineLvl w:val="0"/>
        <w:rPr>
          <w:rFonts w:hint="eastAsia" w:ascii="Times New Roman" w:hAnsi="Times New Roman" w:eastAsia="黑体"/>
          <w:sz w:val="28"/>
          <w:szCs w:val="28"/>
        </w:rPr>
      </w:pPr>
      <w:r>
        <w:rPr>
          <w:rFonts w:hint="eastAsia" w:ascii="Times New Roman" w:hAnsi="Times New Roman" w:eastAsia="黑体"/>
          <w:sz w:val="28"/>
          <w:szCs w:val="28"/>
        </w:rPr>
        <w:t>新旧国家计量技术规范的修改内容及说明</w:t>
      </w:r>
    </w:p>
    <w:p w14:paraId="47C18169">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0" w:firstLineChars="200"/>
        <w:textAlignment w:val="auto"/>
        <w:rPr>
          <w:rFonts w:hint="eastAsia" w:ascii="Times New Roman" w:hAnsi="Times New Roman" w:eastAsia="仿宋_GB2312"/>
          <w:snapToGrid w:val="0"/>
          <w:kern w:val="0"/>
          <w:sz w:val="28"/>
          <w:szCs w:val="28"/>
          <w:lang w:val="en-US" w:eastAsia="zh-CN"/>
        </w:rPr>
      </w:pPr>
      <w:r>
        <w:rPr>
          <w:rFonts w:hint="eastAsia" w:ascii="Times New Roman" w:hAnsi="Times New Roman" w:eastAsia="仿宋_GB2312"/>
          <w:snapToGrid w:val="0"/>
          <w:kern w:val="0"/>
          <w:sz w:val="28"/>
          <w:szCs w:val="28"/>
          <w:lang w:val="en-US" w:eastAsia="zh-CN"/>
        </w:rPr>
        <w:t>无。</w:t>
      </w:r>
    </w:p>
    <w:p w14:paraId="07968F13">
      <w:pPr>
        <w:keepNext w:val="0"/>
        <w:keepLines w:val="0"/>
        <w:pageBreakBefore w:val="0"/>
        <w:widowControl w:val="0"/>
        <w:numPr>
          <w:ilvl w:val="0"/>
          <w:numId w:val="1"/>
        </w:numPr>
        <w:kinsoku/>
        <w:wordWrap/>
        <w:overflowPunct/>
        <w:topLinePunct w:val="0"/>
        <w:autoSpaceDE/>
        <w:autoSpaceDN/>
        <w:bidi w:val="0"/>
        <w:snapToGrid/>
        <w:spacing w:before="100" w:beforeAutospacing="1" w:after="100" w:afterAutospacing="1" w:line="360" w:lineRule="auto"/>
        <w:ind w:left="420" w:leftChars="0" w:hanging="420" w:firstLineChars="0"/>
        <w:textAlignment w:val="auto"/>
        <w:outlineLvl w:val="0"/>
        <w:rPr>
          <w:rFonts w:hint="eastAsia" w:ascii="Times New Roman" w:hAnsi="Times New Roman" w:eastAsia="黑体"/>
          <w:sz w:val="28"/>
          <w:szCs w:val="28"/>
        </w:rPr>
      </w:pPr>
      <w:r>
        <w:rPr>
          <w:rFonts w:hint="eastAsia" w:ascii="Times New Roman" w:hAnsi="Times New Roman" w:eastAsia="黑体"/>
          <w:sz w:val="28"/>
          <w:szCs w:val="28"/>
        </w:rPr>
        <w:t>与国内</w:t>
      </w:r>
      <w:r>
        <w:rPr>
          <w:rFonts w:hint="eastAsia" w:ascii="Times New Roman" w:hAnsi="Times New Roman" w:eastAsia="黑体"/>
          <w:sz w:val="28"/>
          <w:szCs w:val="28"/>
          <w:lang w:val="en-US" w:eastAsia="zh-CN"/>
        </w:rPr>
        <w:t>外</w:t>
      </w:r>
      <w:r>
        <w:rPr>
          <w:rFonts w:hint="eastAsia" w:ascii="Times New Roman" w:hAnsi="Times New Roman" w:eastAsia="黑体"/>
          <w:sz w:val="28"/>
          <w:szCs w:val="28"/>
        </w:rPr>
        <w:t>标准等技术文件的关系</w:t>
      </w:r>
    </w:p>
    <w:p w14:paraId="752DF57E">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0" w:firstLineChars="200"/>
        <w:textAlignment w:val="auto"/>
        <w:rPr>
          <w:rFonts w:hint="eastAsia" w:ascii="Times New Roman" w:hAnsi="Times New Roman" w:eastAsia="仿宋_GB2312"/>
          <w:snapToGrid w:val="0"/>
          <w:kern w:val="0"/>
          <w:sz w:val="28"/>
          <w:szCs w:val="28"/>
          <w:lang w:val="en-US" w:eastAsia="zh-CN"/>
        </w:rPr>
      </w:pPr>
      <w:r>
        <w:rPr>
          <w:rFonts w:hint="eastAsia" w:ascii="Times New Roman" w:hAnsi="Times New Roman" w:eastAsia="仿宋_GB2312"/>
          <w:snapToGrid w:val="0"/>
          <w:kern w:val="0"/>
          <w:sz w:val="28"/>
          <w:szCs w:val="28"/>
          <w:lang w:val="en-US" w:eastAsia="zh-CN"/>
        </w:rPr>
        <w:t>本规范在编制过程中，严格遵循了《国家计量校准规范编写规则》（JJF 1071）、《通用计量术语及定义》（JJF 1001）与《测量不确定度评定与表示》（JJF 1059.1）等基础性系列计量规范的书写与评定要求；鉴于目前国内外尚无专门针对“光电式径流含沙量监测仪”的专项校准标准，本规范的制定有效填补了该细分领域的量值传递空白，同时在核心计量特性提取与校准方法的设计上，充分衔接并吸收了《河流悬移质泥沙测验规范》（GB/T 50159）、《水土保持监测技术规范》（SL/T 227）以及《光电式含沙量测量仪校准规范》（JJF 2087）等现行国家与行业标准中的成熟理论与测验原则，使用了“取样烘干恒重法”确立为绝对量值溯源基准，不仅避免了方法学上的冲突，更确保了本规范与我国现行水文泥沙测验及水土保持监测标准体系的高度协调互补与技术一致性。</w:t>
      </w:r>
    </w:p>
    <w:p w14:paraId="75A20C9D">
      <w:pPr>
        <w:keepNext w:val="0"/>
        <w:keepLines w:val="0"/>
        <w:pageBreakBefore w:val="0"/>
        <w:widowControl w:val="0"/>
        <w:numPr>
          <w:ilvl w:val="0"/>
          <w:numId w:val="1"/>
        </w:numPr>
        <w:kinsoku/>
        <w:wordWrap/>
        <w:overflowPunct/>
        <w:topLinePunct w:val="0"/>
        <w:autoSpaceDE/>
        <w:autoSpaceDN/>
        <w:bidi w:val="0"/>
        <w:snapToGrid/>
        <w:spacing w:before="100" w:beforeAutospacing="1" w:after="100" w:afterAutospacing="1" w:line="360" w:lineRule="auto"/>
        <w:ind w:left="420" w:leftChars="0" w:hanging="420" w:firstLineChars="0"/>
        <w:textAlignment w:val="auto"/>
        <w:outlineLvl w:val="0"/>
        <w:rPr>
          <w:rFonts w:hint="eastAsia" w:ascii="Times New Roman" w:hAnsi="Times New Roman" w:eastAsia="黑体"/>
          <w:sz w:val="28"/>
          <w:szCs w:val="28"/>
        </w:rPr>
      </w:pPr>
      <w:r>
        <w:rPr>
          <w:rFonts w:hint="eastAsia" w:ascii="Times New Roman" w:hAnsi="Times New Roman" w:eastAsia="黑体"/>
          <w:sz w:val="28"/>
          <w:szCs w:val="28"/>
        </w:rPr>
        <w:t>重大分歧意见的处理结果和依据</w:t>
      </w:r>
    </w:p>
    <w:p w14:paraId="767714F5">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0" w:firstLineChars="200"/>
        <w:textAlignment w:val="auto"/>
        <w:rPr>
          <w:rFonts w:hint="eastAsia" w:ascii="Times New Roman" w:hAnsi="Times New Roman" w:eastAsia="仿宋_GB2312"/>
          <w:snapToGrid w:val="0"/>
          <w:kern w:val="0"/>
          <w:sz w:val="28"/>
          <w:szCs w:val="28"/>
          <w:lang w:val="en-US" w:eastAsia="zh-CN"/>
        </w:rPr>
      </w:pPr>
      <w:r>
        <w:rPr>
          <w:rFonts w:hint="eastAsia" w:ascii="Times New Roman" w:hAnsi="Times New Roman" w:eastAsia="仿宋_GB2312"/>
          <w:snapToGrid w:val="0"/>
          <w:kern w:val="0"/>
          <w:sz w:val="28"/>
          <w:szCs w:val="28"/>
          <w:lang w:val="en-US" w:eastAsia="zh-CN"/>
        </w:rPr>
        <w:t>无。</w:t>
      </w:r>
    </w:p>
    <w:p w14:paraId="3DDCBA50">
      <w:pPr>
        <w:keepNext w:val="0"/>
        <w:keepLines w:val="0"/>
        <w:pageBreakBefore w:val="0"/>
        <w:widowControl w:val="0"/>
        <w:numPr>
          <w:ilvl w:val="0"/>
          <w:numId w:val="1"/>
        </w:numPr>
        <w:kinsoku/>
        <w:wordWrap/>
        <w:overflowPunct/>
        <w:topLinePunct w:val="0"/>
        <w:autoSpaceDE/>
        <w:autoSpaceDN/>
        <w:bidi w:val="0"/>
        <w:snapToGrid/>
        <w:spacing w:before="100" w:beforeAutospacing="1" w:after="100" w:afterAutospacing="1" w:line="360" w:lineRule="auto"/>
        <w:ind w:left="420" w:leftChars="0" w:hanging="420" w:firstLineChars="0"/>
        <w:textAlignment w:val="auto"/>
        <w:outlineLvl w:val="0"/>
        <w:rPr>
          <w:rFonts w:hint="eastAsia" w:ascii="Times New Roman" w:hAnsi="Times New Roman" w:eastAsia="黑体"/>
          <w:sz w:val="28"/>
          <w:szCs w:val="28"/>
        </w:rPr>
      </w:pPr>
      <w:r>
        <w:rPr>
          <w:rFonts w:hint="eastAsia" w:ascii="Times New Roman" w:hAnsi="Times New Roman" w:eastAsia="黑体"/>
          <w:sz w:val="28"/>
          <w:szCs w:val="28"/>
        </w:rPr>
        <w:t>其他说明</w:t>
      </w:r>
    </w:p>
    <w:p w14:paraId="0F271B66">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560" w:firstLineChars="200"/>
        <w:textAlignment w:val="auto"/>
        <w:rPr>
          <w:rFonts w:hint="eastAsia" w:ascii="Times New Roman" w:hAnsi="Times New Roman" w:eastAsia="仿宋_GB2312"/>
          <w:snapToGrid w:val="0"/>
          <w:kern w:val="0"/>
          <w:sz w:val="28"/>
          <w:szCs w:val="28"/>
          <w:lang w:val="en-US" w:eastAsia="zh-CN"/>
        </w:rPr>
      </w:pPr>
      <w:r>
        <w:rPr>
          <w:rFonts w:hint="eastAsia" w:ascii="Times New Roman" w:hAnsi="Times New Roman" w:eastAsia="仿宋_GB2312"/>
          <w:snapToGrid w:val="0"/>
          <w:kern w:val="0"/>
          <w:sz w:val="28"/>
          <w:szCs w:val="28"/>
          <w:lang w:val="en-US" w:eastAsia="zh-CN"/>
        </w:rPr>
        <w:t>无。</w:t>
      </w:r>
    </w:p>
    <w:p w14:paraId="304F3F53">
      <w:pPr>
        <w:keepNext w:val="0"/>
        <w:keepLines w:val="0"/>
        <w:pageBreakBefore w:val="0"/>
        <w:widowControl w:val="0"/>
        <w:numPr>
          <w:ilvl w:val="0"/>
          <w:numId w:val="0"/>
        </w:numPr>
        <w:kinsoku/>
        <w:wordWrap/>
        <w:overflowPunct/>
        <w:topLinePunct w:val="0"/>
        <w:autoSpaceDE/>
        <w:autoSpaceDN/>
        <w:bidi w:val="0"/>
        <w:snapToGrid/>
        <w:spacing w:before="100" w:beforeAutospacing="1" w:after="100" w:afterAutospacing="1" w:line="360" w:lineRule="auto"/>
        <w:ind w:leftChars="0"/>
        <w:textAlignment w:val="auto"/>
        <w:outlineLvl w:val="0"/>
        <w:rPr>
          <w:rFonts w:hint="eastAsia" w:ascii="Times New Roman" w:hAnsi="Times New Roman" w:eastAsia="黑体"/>
          <w:sz w:val="28"/>
          <w:szCs w:val="28"/>
        </w:rPr>
      </w:pPr>
    </w:p>
    <w:p w14:paraId="41193145">
      <w:pPr>
        <w:numPr>
          <w:ilvl w:val="0"/>
          <w:numId w:val="0"/>
        </w:numPr>
        <w:adjustRightInd w:val="0"/>
        <w:snapToGrid w:val="0"/>
        <w:spacing w:line="360" w:lineRule="auto"/>
        <w:ind w:firstLine="560" w:firstLineChars="200"/>
        <w:rPr>
          <w:rFonts w:hint="eastAsia" w:ascii="Times New Roman" w:hAnsi="Times New Roman" w:eastAsia="仿宋_GB2312"/>
          <w:snapToGrid w:val="0"/>
          <w:kern w:val="0"/>
          <w:sz w:val="28"/>
          <w:szCs w:val="28"/>
          <w:lang w:val="en-US" w:eastAsia="zh-CN"/>
        </w:rPr>
      </w:pPr>
    </w:p>
    <w:sectPr>
      <w:pgSz w:w="11906" w:h="16838"/>
      <w:pgMar w:top="1440" w:right="1489"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等线" w:hAnsi="等线" w:eastAsia="等线" w:cs="Times New Roman"/>
        <w:kern w:val="2"/>
        <w:sz w:val="21"/>
        <w:szCs w:val="22"/>
        <w:lang w:val="en-US" w:eastAsia="zh-CN" w:bidi="ar-SA"/>
      </w:rPr>
      <w:id w:val="1733116563"/>
      <w:docPartObj>
        <w:docPartGallery w:val="autotext"/>
      </w:docPartObj>
    </w:sdtPr>
    <w:sdtEndPr>
      <w:rPr>
        <w:rFonts w:ascii="等线" w:hAnsi="等线" w:eastAsia="等线" w:cs="Times New Roman"/>
        <w:kern w:val="2"/>
        <w:sz w:val="18"/>
        <w:szCs w:val="18"/>
        <w:lang w:val="en-US" w:eastAsia="zh-CN" w:bidi="ar-SA"/>
      </w:rPr>
    </w:sdtEndPr>
    <w:sdtContent>
      <w:p w14:paraId="21B09DEE">
        <w:pPr>
          <w:widowControl w:val="0"/>
          <w:tabs>
            <w:tab w:val="center" w:pos="4153"/>
            <w:tab w:val="right" w:pos="8306"/>
          </w:tabs>
          <w:snapToGrid w:val="0"/>
          <w:jc w:val="center"/>
          <w:rPr>
            <w:rFonts w:ascii="等线" w:hAnsi="等线" w:eastAsia="等线" w:cs="Times New Roman"/>
            <w:kern w:val="2"/>
            <w:sz w:val="18"/>
            <w:szCs w:val="18"/>
            <w:lang w:val="en-US" w:eastAsia="zh-CN" w:bidi="ar-SA"/>
          </w:rPr>
        </w:pPr>
        <w:r>
          <w:rPr>
            <w:rFonts w:ascii="等线" w:hAnsi="等线" w:eastAsia="等线" w:cs="Times New Roman"/>
            <w:kern w:val="2"/>
            <w:sz w:val="18"/>
            <w:szCs w:val="18"/>
            <w:lang w:val="en-US" w:eastAsia="zh-CN" w:bidi="ar-SA"/>
          </w:rPr>
          <w:fldChar w:fldCharType="begin"/>
        </w:r>
        <w:r>
          <w:rPr>
            <w:rFonts w:ascii="等线" w:hAnsi="等线" w:eastAsia="等线" w:cs="Times New Roman"/>
            <w:kern w:val="2"/>
            <w:sz w:val="18"/>
            <w:szCs w:val="18"/>
            <w:lang w:val="en-US" w:eastAsia="zh-CN" w:bidi="ar-SA"/>
          </w:rPr>
          <w:instrText xml:space="preserve">PAGE   \* MERGEFORMAT</w:instrText>
        </w:r>
        <w:r>
          <w:rPr>
            <w:rFonts w:ascii="等线" w:hAnsi="等线" w:eastAsia="等线" w:cs="Times New Roman"/>
            <w:kern w:val="2"/>
            <w:sz w:val="18"/>
            <w:szCs w:val="18"/>
            <w:lang w:val="en-US" w:eastAsia="zh-CN" w:bidi="ar-SA"/>
          </w:rPr>
          <w:fldChar w:fldCharType="separate"/>
        </w:r>
        <w:r>
          <w:rPr>
            <w:rFonts w:ascii="等线" w:hAnsi="等线" w:eastAsia="等线" w:cs="Times New Roman"/>
            <w:kern w:val="2"/>
            <w:sz w:val="18"/>
            <w:szCs w:val="18"/>
            <w:lang w:val="zh-CN" w:eastAsia="zh-CN" w:bidi="ar-SA"/>
          </w:rPr>
          <w:t>2</w:t>
        </w:r>
        <w:r>
          <w:rPr>
            <w:rFonts w:ascii="等线" w:hAnsi="等线" w:eastAsia="等线" w:cs="Times New Roman"/>
            <w:kern w:val="2"/>
            <w:sz w:val="18"/>
            <w:szCs w:val="18"/>
            <w:lang w:val="en-US" w:eastAsia="zh-CN" w:bidi="ar-SA"/>
          </w:rPr>
          <w:fldChar w:fldCharType="end"/>
        </w:r>
      </w:p>
    </w:sdtContent>
  </w:sdt>
  <w:p w14:paraId="14EBFB37">
    <w:pPr>
      <w:widowControl w:val="0"/>
      <w:tabs>
        <w:tab w:val="center" w:pos="4153"/>
        <w:tab w:val="right" w:pos="8306"/>
      </w:tabs>
      <w:snapToGrid w:val="0"/>
      <w:jc w:val="left"/>
      <w:rPr>
        <w:rFonts w:ascii="等线" w:hAnsi="等线" w:eastAsia="等线" w:cs="Times New Roman"/>
        <w:kern w:val="2"/>
        <w:sz w:val="18"/>
        <w:szCs w:val="18"/>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B417B7"/>
    <w:multiLevelType w:val="singleLevel"/>
    <w:tmpl w:val="BCB417B7"/>
    <w:lvl w:ilvl="0" w:tentative="0">
      <w:start w:val="1"/>
      <w:numFmt w:val="chineseCounting"/>
      <w:suff w:val="nothing"/>
      <w:lvlText w:val="（%1）"/>
      <w:lvlJc w:val="left"/>
      <w:rPr>
        <w:rFonts w:hint="eastAsia"/>
      </w:rPr>
    </w:lvl>
  </w:abstractNum>
  <w:abstractNum w:abstractNumId="1">
    <w:nsid w:val="C2837DD3"/>
    <w:multiLevelType w:val="singleLevel"/>
    <w:tmpl w:val="C2837DD3"/>
    <w:lvl w:ilvl="0" w:tentative="0">
      <w:start w:val="1"/>
      <w:numFmt w:val="decimal"/>
      <w:suff w:val="space"/>
      <w:lvlText w:val="%1."/>
      <w:lvlJc w:val="left"/>
      <w:pPr>
        <w:ind w:left="0" w:firstLine="560"/>
      </w:pPr>
    </w:lvl>
  </w:abstractNum>
  <w:abstractNum w:abstractNumId="2">
    <w:nsid w:val="260C54EF"/>
    <w:multiLevelType w:val="singleLevel"/>
    <w:tmpl w:val="260C54EF"/>
    <w:lvl w:ilvl="0" w:tentative="0">
      <w:start w:val="1"/>
      <w:numFmt w:val="chineseCounting"/>
      <w:suff w:val="nothing"/>
      <w:lvlText w:val="%1、"/>
      <w:lvlJc w:val="left"/>
      <w:pPr>
        <w:ind w:left="0" w:firstLine="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yZGQwOTY5YjMxZDQ3YTljNTdiOGU3NmFjNzlmYTAifQ=="/>
  </w:docVars>
  <w:rsids>
    <w:rsidRoot w:val="007A0114"/>
    <w:rsid w:val="00012EE2"/>
    <w:rsid w:val="00060BBE"/>
    <w:rsid w:val="000C274F"/>
    <w:rsid w:val="000D2575"/>
    <w:rsid w:val="000D728C"/>
    <w:rsid w:val="00164699"/>
    <w:rsid w:val="001B15AF"/>
    <w:rsid w:val="001F70E7"/>
    <w:rsid w:val="002037B5"/>
    <w:rsid w:val="0022144A"/>
    <w:rsid w:val="0022181C"/>
    <w:rsid w:val="00233FE2"/>
    <w:rsid w:val="002B158B"/>
    <w:rsid w:val="00310726"/>
    <w:rsid w:val="00313A37"/>
    <w:rsid w:val="0032611E"/>
    <w:rsid w:val="00334FD3"/>
    <w:rsid w:val="00351549"/>
    <w:rsid w:val="00395263"/>
    <w:rsid w:val="003C7889"/>
    <w:rsid w:val="0041281F"/>
    <w:rsid w:val="00413257"/>
    <w:rsid w:val="004719BA"/>
    <w:rsid w:val="004917C2"/>
    <w:rsid w:val="00491ADA"/>
    <w:rsid w:val="004D4AAD"/>
    <w:rsid w:val="004E402B"/>
    <w:rsid w:val="005075BA"/>
    <w:rsid w:val="005332FD"/>
    <w:rsid w:val="00540DE6"/>
    <w:rsid w:val="00546405"/>
    <w:rsid w:val="005611C4"/>
    <w:rsid w:val="00566BC0"/>
    <w:rsid w:val="005A558B"/>
    <w:rsid w:val="005F5B51"/>
    <w:rsid w:val="006072B6"/>
    <w:rsid w:val="006130FC"/>
    <w:rsid w:val="006170BF"/>
    <w:rsid w:val="00673C3E"/>
    <w:rsid w:val="0067662B"/>
    <w:rsid w:val="00683BF5"/>
    <w:rsid w:val="006D4C9D"/>
    <w:rsid w:val="006D7AA6"/>
    <w:rsid w:val="006E440C"/>
    <w:rsid w:val="006E729B"/>
    <w:rsid w:val="007317A9"/>
    <w:rsid w:val="00757A05"/>
    <w:rsid w:val="00776427"/>
    <w:rsid w:val="00776B21"/>
    <w:rsid w:val="00795923"/>
    <w:rsid w:val="007A0114"/>
    <w:rsid w:val="007A7336"/>
    <w:rsid w:val="007B079C"/>
    <w:rsid w:val="007B3167"/>
    <w:rsid w:val="007C0240"/>
    <w:rsid w:val="008018D6"/>
    <w:rsid w:val="00814AD3"/>
    <w:rsid w:val="008278D4"/>
    <w:rsid w:val="009109BF"/>
    <w:rsid w:val="00916BB3"/>
    <w:rsid w:val="00A00227"/>
    <w:rsid w:val="00A321C0"/>
    <w:rsid w:val="00A51038"/>
    <w:rsid w:val="00A82B77"/>
    <w:rsid w:val="00A97C61"/>
    <w:rsid w:val="00AF331F"/>
    <w:rsid w:val="00B0688B"/>
    <w:rsid w:val="00B144FB"/>
    <w:rsid w:val="00BC2677"/>
    <w:rsid w:val="00CA032B"/>
    <w:rsid w:val="00CF6E7B"/>
    <w:rsid w:val="00D16450"/>
    <w:rsid w:val="00D379C7"/>
    <w:rsid w:val="00D510A8"/>
    <w:rsid w:val="00D62117"/>
    <w:rsid w:val="00D6569F"/>
    <w:rsid w:val="00DA4A0B"/>
    <w:rsid w:val="00DC2443"/>
    <w:rsid w:val="00E51D8D"/>
    <w:rsid w:val="00E726C2"/>
    <w:rsid w:val="00E84C5D"/>
    <w:rsid w:val="00EC099A"/>
    <w:rsid w:val="00ED7EAC"/>
    <w:rsid w:val="00EE7D39"/>
    <w:rsid w:val="00F1511F"/>
    <w:rsid w:val="00F36E5D"/>
    <w:rsid w:val="00F528AB"/>
    <w:rsid w:val="00F66EE4"/>
    <w:rsid w:val="00F720AF"/>
    <w:rsid w:val="00FB4F92"/>
    <w:rsid w:val="022D4C97"/>
    <w:rsid w:val="02581525"/>
    <w:rsid w:val="04AF17A9"/>
    <w:rsid w:val="07CA4C73"/>
    <w:rsid w:val="089B6610"/>
    <w:rsid w:val="092E4D8E"/>
    <w:rsid w:val="0C917B0E"/>
    <w:rsid w:val="0CEC11E8"/>
    <w:rsid w:val="101E7D8E"/>
    <w:rsid w:val="11AE2F10"/>
    <w:rsid w:val="121A2353"/>
    <w:rsid w:val="12B97DBE"/>
    <w:rsid w:val="143E22D4"/>
    <w:rsid w:val="14B0423F"/>
    <w:rsid w:val="15CB091C"/>
    <w:rsid w:val="16BB6B10"/>
    <w:rsid w:val="19BA35FD"/>
    <w:rsid w:val="1AFC158E"/>
    <w:rsid w:val="1C35495A"/>
    <w:rsid w:val="1D100F23"/>
    <w:rsid w:val="1D4604A0"/>
    <w:rsid w:val="1E9F68B6"/>
    <w:rsid w:val="20655D8C"/>
    <w:rsid w:val="21476960"/>
    <w:rsid w:val="21524C61"/>
    <w:rsid w:val="21B84D4C"/>
    <w:rsid w:val="21C14960"/>
    <w:rsid w:val="23675615"/>
    <w:rsid w:val="26914E82"/>
    <w:rsid w:val="296960FF"/>
    <w:rsid w:val="2A2C6C70"/>
    <w:rsid w:val="2AD32000"/>
    <w:rsid w:val="2B3F4CF2"/>
    <w:rsid w:val="2BD12855"/>
    <w:rsid w:val="2D376058"/>
    <w:rsid w:val="2F4F09D7"/>
    <w:rsid w:val="2F75708D"/>
    <w:rsid w:val="2FCE774B"/>
    <w:rsid w:val="309F1F4A"/>
    <w:rsid w:val="313A2048"/>
    <w:rsid w:val="32D8771E"/>
    <w:rsid w:val="34765E2B"/>
    <w:rsid w:val="35874F64"/>
    <w:rsid w:val="35FA7C22"/>
    <w:rsid w:val="37113B8E"/>
    <w:rsid w:val="386A72E1"/>
    <w:rsid w:val="395C1320"/>
    <w:rsid w:val="3AFF6407"/>
    <w:rsid w:val="3B9D5CA4"/>
    <w:rsid w:val="3C2F0A68"/>
    <w:rsid w:val="3C4354AE"/>
    <w:rsid w:val="3EEF22EE"/>
    <w:rsid w:val="401F3FE0"/>
    <w:rsid w:val="404E475C"/>
    <w:rsid w:val="40981363"/>
    <w:rsid w:val="41D37CA5"/>
    <w:rsid w:val="43322491"/>
    <w:rsid w:val="44DC50C3"/>
    <w:rsid w:val="45F471DD"/>
    <w:rsid w:val="47EE1774"/>
    <w:rsid w:val="49641B2B"/>
    <w:rsid w:val="497E0E3E"/>
    <w:rsid w:val="4BF02A2A"/>
    <w:rsid w:val="4D8C33FE"/>
    <w:rsid w:val="4EA2458E"/>
    <w:rsid w:val="51991B33"/>
    <w:rsid w:val="52E64830"/>
    <w:rsid w:val="52EC506B"/>
    <w:rsid w:val="539B006D"/>
    <w:rsid w:val="547D1CF3"/>
    <w:rsid w:val="54E22C26"/>
    <w:rsid w:val="54F46D50"/>
    <w:rsid w:val="55532560"/>
    <w:rsid w:val="573A5331"/>
    <w:rsid w:val="576837A6"/>
    <w:rsid w:val="59AA7659"/>
    <w:rsid w:val="5A9658BC"/>
    <w:rsid w:val="5BD3501A"/>
    <w:rsid w:val="5BF67F1C"/>
    <w:rsid w:val="5C556587"/>
    <w:rsid w:val="5CC74453"/>
    <w:rsid w:val="5DC50A27"/>
    <w:rsid w:val="627070C4"/>
    <w:rsid w:val="636D5ED4"/>
    <w:rsid w:val="63BA6ABF"/>
    <w:rsid w:val="68EB6901"/>
    <w:rsid w:val="6AFF300A"/>
    <w:rsid w:val="6B4F3718"/>
    <w:rsid w:val="6B9E4B94"/>
    <w:rsid w:val="6BBA77A5"/>
    <w:rsid w:val="7213667F"/>
    <w:rsid w:val="723D0FE7"/>
    <w:rsid w:val="72B041B6"/>
    <w:rsid w:val="741C4C2C"/>
    <w:rsid w:val="783C5EB8"/>
    <w:rsid w:val="7A9D69FE"/>
    <w:rsid w:val="7AB9357E"/>
    <w:rsid w:val="7BC311C4"/>
    <w:rsid w:val="7D250FF6"/>
    <w:rsid w:val="7D470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1"/>
    <w:pPr>
      <w:autoSpaceDE w:val="0"/>
      <w:autoSpaceDN w:val="0"/>
      <w:spacing w:line="360" w:lineRule="auto"/>
      <w:jc w:val="left"/>
      <w:outlineLvl w:val="0"/>
    </w:pPr>
    <w:rPr>
      <w:rFonts w:ascii="黑体" w:hAnsi="黑体" w:eastAsia="黑体" w:cs="黑体"/>
      <w:kern w:val="0"/>
      <w:sz w:val="32"/>
      <w:szCs w:val="44"/>
      <w:lang w:val="zh-CN" w:bidi="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5"/>
    <w:autoRedefine/>
    <w:qFormat/>
    <w:uiPriority w:val="1"/>
    <w:pPr>
      <w:autoSpaceDE w:val="0"/>
      <w:autoSpaceDN w:val="0"/>
      <w:adjustRightInd w:val="0"/>
      <w:snapToGrid w:val="0"/>
      <w:spacing w:line="276" w:lineRule="auto"/>
      <w:ind w:firstLine="480" w:firstLineChars="200"/>
    </w:pPr>
    <w:rPr>
      <w:rFonts w:ascii="宋体" w:hAnsi="宋体" w:eastAsia="宋体" w:cs="宋体"/>
      <w:kern w:val="0"/>
      <w:sz w:val="24"/>
      <w:lang w:eastAsia="en-US"/>
    </w:rPr>
  </w:style>
  <w:style w:type="paragraph" w:styleId="4">
    <w:name w:val="Date"/>
    <w:basedOn w:val="1"/>
    <w:next w:val="1"/>
    <w:link w:val="10"/>
    <w:autoRedefine/>
    <w:semiHidden/>
    <w:unhideWhenUsed/>
    <w:qFormat/>
    <w:uiPriority w:val="99"/>
    <w:pPr>
      <w:ind w:left="100" w:leftChars="2500"/>
    </w:p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Paragraph"/>
    <w:basedOn w:val="1"/>
    <w:autoRedefine/>
    <w:qFormat/>
    <w:uiPriority w:val="34"/>
    <w:pPr>
      <w:ind w:firstLine="420" w:firstLineChars="200"/>
    </w:pPr>
  </w:style>
  <w:style w:type="character" w:customStyle="1" w:styleId="10">
    <w:name w:val="日期 字符"/>
    <w:basedOn w:val="8"/>
    <w:link w:val="4"/>
    <w:autoRedefine/>
    <w:semiHidden/>
    <w:qFormat/>
    <w:uiPriority w:val="99"/>
  </w:style>
  <w:style w:type="character" w:styleId="11">
    <w:name w:val="Placeholder Text"/>
    <w:basedOn w:val="8"/>
    <w:autoRedefine/>
    <w:semiHidden/>
    <w:qFormat/>
    <w:uiPriority w:val="99"/>
    <w:rPr>
      <w:color w:val="666666"/>
    </w:rPr>
  </w:style>
  <w:style w:type="character" w:customStyle="1" w:styleId="12">
    <w:name w:val="页眉 字符"/>
    <w:basedOn w:val="8"/>
    <w:link w:val="6"/>
    <w:autoRedefine/>
    <w:qFormat/>
    <w:uiPriority w:val="99"/>
    <w:rPr>
      <w:sz w:val="18"/>
      <w:szCs w:val="18"/>
    </w:rPr>
  </w:style>
  <w:style w:type="character" w:customStyle="1" w:styleId="13">
    <w:name w:val="页脚 字符"/>
    <w:basedOn w:val="8"/>
    <w:link w:val="5"/>
    <w:autoRedefine/>
    <w:qFormat/>
    <w:uiPriority w:val="99"/>
    <w:rPr>
      <w:sz w:val="18"/>
      <w:szCs w:val="18"/>
    </w:rPr>
  </w:style>
  <w:style w:type="paragraph" w:customStyle="1" w:styleId="14">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5">
    <w:name w:val="正文文本 字符"/>
    <w:basedOn w:val="8"/>
    <w:link w:val="3"/>
    <w:autoRedefine/>
    <w:qFormat/>
    <w:uiPriority w:val="1"/>
    <w:rPr>
      <w:rFonts w:ascii="宋体" w:hAnsi="宋体" w:eastAsia="宋体" w:cs="宋体"/>
      <w:kern w:val="0"/>
      <w:sz w:val="24"/>
      <w:lang w:eastAsia="en-US"/>
    </w:rPr>
  </w:style>
  <w:style w:type="character" w:customStyle="1" w:styleId="16">
    <w:name w:val="标题 1 字符"/>
    <w:basedOn w:val="8"/>
    <w:link w:val="2"/>
    <w:qFormat/>
    <w:uiPriority w:val="1"/>
    <w:rPr>
      <w:rFonts w:ascii="黑体" w:hAnsi="黑体" w:eastAsia="黑体" w:cs="黑体"/>
      <w:sz w:val="32"/>
      <w:szCs w:val="44"/>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8f702af0-f850-4708-83a7-c3713601e620</errorID>
      <errorWord>制定计划</errorWord>
      <group>L1_Word</group>
      <groupName>字词问题</groupName>
      <ability>L2_Typo</ability>
      <abilityName>字词错误</abilityName>
      <candidateList>
        <item>制订计划</item>
      </candidateList>
      <explain/>
      <paraID>420879A1</paraID>
      <start>101</start>
      <end>105</end>
      <status>ignored</status>
      <modifiedWord/>
      <trackRevisions>false</trackRevisions>
    </reviewItem>
    <reviewItem>
      <errorID>c943d93b-44b4-4353-932a-291acd9e34a5</errorID>
      <errorWord>经济的高质量发展</errorWord>
      <group>L1_Word</group>
      <groupName>字词问题</groupName>
      <ability>L2_Typo</ability>
      <abilityName>字词错误</abilityName>
      <candidateList>
        <item>经济高质量发展</item>
      </candidateList>
      <explain/>
      <paraID>1718F9E5</paraID>
      <start>238</start>
      <end>246</end>
      <status>ignored</status>
      <modifiedWord/>
      <trackRevisions>false</trackRevisions>
    </reviewItem>
    <reviewItem>
      <errorID>1eff631b-fee0-470a-9c81-c5ef3a2c8353</errorID>
      <errorWord>法</errorWord>
      <group>L1_Word</group>
      <groupName>字词问题</groupName>
      <ability>L2_Typo</ability>
      <abilityName>字词错误</abilityName>
      <candidateList>
        <item>法依</item>
      </candidateList>
      <explain/>
      <paraID>34378894</paraID>
      <start>272</start>
      <end>274</end>
      <status>modified</status>
      <modifiedWord>法依</modifiedWord>
      <trackRevisions>false</trackRevisions>
    </reviewItem>
    <reviewItem>
      <errorID>329d6ffe-7a66-4fe0-a6c8-27cb3c9271a7</errorID>
      <errorWord>经济适用</errorWord>
      <group>L1_Word</group>
      <groupName>字词问题</groupName>
      <ability>L2_Typo</ability>
      <abilityName>字词错误</abilityName>
      <candidateList>
        <item>经济实用</item>
      </candidateList>
      <explain>存在发音相同字词的误用。</explain>
      <paraID>6BAD7AF2</paraID>
      <start>32</start>
      <end>36</end>
      <status>modified</status>
      <modifiedWord>经济实用</modifiedWord>
      <trackRevisions>false</trackRevisions>
    </reviewItem>
    <reviewItem>
      <errorID>ca034d1b-2f06-4178-8380-99908efc9384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769C2DBB</paraID>
      <start>7</start>
      <end>8</end>
      <status>ignored</status>
      <modifiedWord/>
      <trackRevisions>false</trackRevisions>
    </reviewItem>
    <reviewItem>
      <errorID>6ea65b7d-41bf-4f86-858a-8f47d33cd8ff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73D98916</paraID>
      <start>7</start>
      <end>8</end>
      <status>ignored</status>
      <modifiedWord/>
      <trackRevisions>false</trackRevisions>
    </reviewItem>
    <reviewItem>
      <errorID>fad3859f-94da-463f-b926-c41208f233db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3D5E6FD8</paraID>
      <start>7</start>
      <end>8</end>
      <status>ignored</status>
      <modifiedWord/>
      <trackRevisions>false</trackRevisions>
    </reviewItem>
    <reviewItem>
      <errorID>bd0bb286-6176-42c1-9738-7444d67c379c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5BEF7110</paraID>
      <start>7</start>
      <end>8</end>
      <status>ignored</status>
      <modifiedWord/>
      <trackRevisions>false</trackRevisions>
    </reviewItem>
  </reviewItems>
  <config/>
</contractReview>
</file>

<file path=customXml/itemProps1.xml><?xml version="1.0" encoding="utf-8"?>
<ds:datastoreItem xmlns:ds="http://schemas.openxmlformats.org/officeDocument/2006/customXml" ds:itemID="{566e7338-74c1-4639-ad02-1e48ef2e1427}">
  <ds:schemaRefs/>
</ds:datastoreItem>
</file>

<file path=docProps/app.xml><?xml version="1.0" encoding="utf-8"?>
<Properties xmlns="http://schemas.openxmlformats.org/officeDocument/2006/extended-properties" xmlns:vt="http://schemas.openxmlformats.org/officeDocument/2006/docPropsVTypes">
  <Template>Normal</Template>
  <Pages>7</Pages>
  <Words>2408</Words>
  <Characters>2550</Characters>
  <Lines>14</Lines>
  <Paragraphs>4</Paragraphs>
  <TotalTime>7</TotalTime>
  <ScaleCrop>false</ScaleCrop>
  <LinksUpToDate>false</LinksUpToDate>
  <CharactersWithSpaces>2572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2025-06-16T07:05:00Z</dcterms:created>
  <dc:creator>Luoping Pan</dc:creator>
  <cp:lastModifiedBy>SXQ</cp:lastModifiedBy>
  <dcterms:modified xsi:type="dcterms:W3CDTF">2026-07-30T07:10:02Z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4CC2911B2520460DB06323E2E328793A_12</vt:lpwstr>
  </property>
  <property fmtid="{D5CDD505-2E9C-101B-9397-08002B2CF9AE}" pid="4" name="KSOTemplateDocerSaveRecord">
    <vt:lpwstr>eyJoZGlkIjoiMDk2Njc3NmQ5YjZmNGNiN2U5YmMwYjVlOGUxZjk4ZWYiLCJ1c2VySWQiOiI2OTYzNDg4MzMifQ==</vt:lpwstr>
  </property>
</Properties>
</file>