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8E77E7">
      <w:pPr>
        <w:spacing w:line="560" w:lineRule="exact"/>
        <w:jc w:val="center"/>
      </w:pPr>
      <w:r>
        <w:rPr>
          <w:rFonts w:ascii="Times New Roman" w:hAnsi="Times New Roman" w:eastAsia="方正小标宋简体"/>
          <w:sz w:val="44"/>
        </w:rPr>
        <w:t>《既有建筑改造过程碳排放计量技术要求》</w:t>
      </w:r>
    </w:p>
    <w:p w14:paraId="037EEB29">
      <w:pPr>
        <w:spacing w:line="560" w:lineRule="exact"/>
        <w:jc w:val="center"/>
      </w:pPr>
      <w:r>
        <w:rPr>
          <w:rFonts w:ascii="Times New Roman" w:hAnsi="Times New Roman" w:eastAsia="方正小标宋简体"/>
          <w:sz w:val="44"/>
        </w:rPr>
        <w:t>编制说明</w:t>
      </w:r>
    </w:p>
    <w:p w14:paraId="7AACD15F">
      <w:pPr>
        <w:spacing w:after="240"/>
      </w:pPr>
    </w:p>
    <w:p w14:paraId="3EDAA0B9">
      <w:pPr>
        <w:keepNext/>
        <w:spacing w:before="240" w:after="120" w:line="560" w:lineRule="exact"/>
        <w:ind w:firstLineChars="200"/>
      </w:pPr>
      <w:r>
        <w:rPr>
          <w:rFonts w:ascii="Times New Roman" w:hAnsi="Times New Roman" w:eastAsia="黑体"/>
          <w:sz w:val="32"/>
        </w:rPr>
        <w:t>一、制定本计量技术规范的意义</w:t>
      </w:r>
    </w:p>
    <w:p w14:paraId="42057F6D">
      <w:pPr>
        <w:spacing w:line="560" w:lineRule="exact"/>
        <w:ind w:firstLineChars="200"/>
        <w:jc w:val="both"/>
      </w:pPr>
      <w:r>
        <w:rPr>
          <w:rFonts w:ascii="Times New Roman" w:hAnsi="Times New Roman" w:eastAsia="宋体"/>
          <w:sz w:val="32"/>
        </w:rPr>
        <w:t>2024年，国家市场监督管理总局办公厅组织征集2025年国家计量技术规范制修订及宣贯计划项目，《既有建筑改造过程碳排放计量技术要求》编制组按通知要求将申报书报送全国碳达峰碳中和计量技术委员会，经协调评审，该规范于2025年5月获得国家市场监督管理总局批准立项。中建研科技股份有限公司、北京市计量检测科学研究院作为主要起草单位接受了《既有建筑改造过程碳排放计量技术要求》的制定任务，正式启动《既有建筑改造过程碳排放计量技术要求》制订起草工作，任务归口全国碳达峰碳中和计量技术委员会建筑碳计量分技术委员会。</w:t>
      </w:r>
      <w:bookmarkStart w:id="0" w:name="_GoBack"/>
      <w:bookmarkEnd w:id="0"/>
    </w:p>
    <w:p w14:paraId="481448DF">
      <w:pPr>
        <w:spacing w:line="560" w:lineRule="exact"/>
        <w:ind w:firstLineChars="200"/>
        <w:jc w:val="both"/>
      </w:pPr>
      <w:r>
        <w:rPr>
          <w:rFonts w:ascii="Times New Roman" w:hAnsi="Times New Roman" w:eastAsia="宋体"/>
          <w:sz w:val="32"/>
        </w:rPr>
        <w:t>近年来，在我国“碳达峰、碳中和”目标背景下，生态文明建设已经进入以降碳为重点战略方向的关键时期，正由能源消耗总量和强度“双控”逐步转向碳排放总量和强度“双控”。《计量发展规划（2021—2035年）》提出完善温室气体排放计量监测体系，加强碳排放关键计量测试技术研究和应用，为温室气体排放“可测量、可报告、可核查”提供计量支撑。《加快构建碳排放双控制度体系工作方案》和《完善碳排放统计核算体系工作方案》进一步强调提升碳排放计量、监测和数据质量能力。计量是实现单位统一和量值准确可靠的活动，是实现温室气体排放“可测量、可报告、可核查”的重要基础和保障。开展既有建筑改造过程碳排放计量工作，有利于通过发挥计量的基础性作用，保障碳排放统计核算数据的准确可靠，推动碳排放“双控”政策的实施。</w:t>
      </w:r>
    </w:p>
    <w:p w14:paraId="4A5C3269">
      <w:pPr>
        <w:spacing w:line="560" w:lineRule="exact"/>
        <w:ind w:firstLineChars="200"/>
        <w:jc w:val="both"/>
      </w:pPr>
      <w:r>
        <w:rPr>
          <w:rFonts w:ascii="Times New Roman" w:hAnsi="Times New Roman" w:eastAsia="宋体"/>
          <w:sz w:val="32"/>
        </w:rPr>
        <w:t>大拆大建时代已经过去，以既有建筑改造为主要手段的城市更新是建筑业未来主战场。国务院办公厅转发的《加快推动建筑领域节能降碳工作方案》（国办函〔2024〕20号）提出，到2025年完成既有建筑节能改造面积比2023年增长2亿平方米以上。2026年7月，国务院印发《“十五五”碳达峰行动方案》（国发〔2026〕22号），对深入推进城乡建设绿色低碳转型、开展既有建筑节能降碳改造作出进一步部署；国家机关事务管理局、国家发展改革委印发《“十五五”公共机构节能降碳工作方案》（国管节能〔2026〕161号），要求持续开展公共机构既有建筑围护结构及供暖、空调、照明、电梯、变配电等综合能源系统和重点用能设备节能降碳改造，并提出夯实计量统计基础、推动能源资源计量升级；国家机关事务管理局发布机关事务行业标准《公共机构碳排放核算指南》（JS/T 303—2026），规范公共机构碳排放统计核算。生态环境部办公厅、住房城乡建设部办公厅联合发布《温室气体自愿减排项目方法学 既有公共建筑围护结构与供暖通风空调系统能效提升（CCER—06—001—V01）》（环办气候函〔2025〕485号），既有公共建筑能效提升改造项目自此可通过全国温室气体自愿减排交易市场获得减排量收益。上述政策和技术文件均对既有建筑改造过程的碳排放数据质量提出了明确要求，而准确、可溯源的碳排放计量是改造效果核算、监测、交易和考核的共同基础。</w:t>
      </w:r>
    </w:p>
    <w:p w14:paraId="0C11EC9F">
      <w:pPr>
        <w:spacing w:line="560" w:lineRule="exact"/>
        <w:ind w:firstLineChars="200"/>
        <w:jc w:val="both"/>
      </w:pPr>
      <w:r>
        <w:rPr>
          <w:rFonts w:ascii="Times New Roman" w:hAnsi="Times New Roman" w:eastAsia="宋体"/>
          <w:sz w:val="32"/>
        </w:rPr>
        <w:t>既有建筑改造过程融合了建筑拆除和垃圾回用、建材生产和使用、建造和建筑运行等建筑生命期各阶段的部分特点，又不同于新建建筑而有其独特特点，且大量改造工程采用不停运、局部施工方式，施工区域与正常运行区域并存，计量边界划分和数据归集难度大。目前，国内建筑碳排放主要依据国家标准《建筑碳排放计算标准》（GB/T 51366）开展计算，该标准未规定碳排放计量使用的器具、手段；正在报批的国家标准《城乡建设领域碳计量核算标准》对计量仅为定性要求，没有针对量值溯源、准确度保障和不确定度评定给出具体方法；国家计量技术规范《建筑运行阶段碳排放计量技术规范》针对建筑运行阶段给出了计量要求，但缺乏针对既有建筑改造过程的规定。因此，制定《既有建筑改造过程碳排放计量技术要求》，统一既有建筑改造过程碳排放的计量对象、计量边界、计量范围、计量要求、减碳量计算方法和计量结果表达要求，有利于保障改造项目碳排放数据的准确可靠、可比较、可溯源，为既有建筑节能降碳改造效果评估、温室气体自愿减排项目开发和城市更新行动实施提供计量技术支撑。</w:t>
      </w:r>
    </w:p>
    <w:p w14:paraId="1C7B2DEF">
      <w:pPr>
        <w:keepNext/>
        <w:spacing w:before="240" w:after="120" w:line="560" w:lineRule="exact"/>
        <w:ind w:firstLineChars="200"/>
      </w:pPr>
      <w:r>
        <w:rPr>
          <w:rFonts w:ascii="Times New Roman" w:hAnsi="Times New Roman" w:eastAsia="黑体"/>
          <w:sz w:val="32"/>
        </w:rPr>
        <w:t>二、主要工作过程</w:t>
      </w:r>
    </w:p>
    <w:p w14:paraId="26460B16">
      <w:pPr>
        <w:spacing w:line="560" w:lineRule="exact"/>
        <w:ind w:firstLineChars="200"/>
        <w:jc w:val="both"/>
      </w:pPr>
      <w:r>
        <w:rPr>
          <w:rFonts w:ascii="Times New Roman" w:hAnsi="Times New Roman" w:eastAsia="宋体"/>
          <w:sz w:val="32"/>
        </w:rPr>
        <w:t>1. 前期调研：2024年2月至2025年5月，组织人员开展既有建筑改造工艺、能源和物料消耗、计量器具配备、数据管理现状及国内外相关标准的前期调研工作，完成资料收集，进行规范制定的必要性和可行性分析，初步确定计量对象、计量边界、计量范围和主要技术路线。</w:t>
      </w:r>
    </w:p>
    <w:p w14:paraId="71BA590E">
      <w:pPr>
        <w:spacing w:line="560" w:lineRule="exact"/>
        <w:ind w:firstLineChars="200"/>
        <w:jc w:val="both"/>
      </w:pPr>
      <w:r>
        <w:rPr>
          <w:rFonts w:ascii="Times New Roman" w:hAnsi="Times New Roman" w:eastAsia="宋体"/>
          <w:sz w:val="32"/>
        </w:rPr>
        <w:t>2. 项目立项：2025年5月，全国碳达峰碳中和计量技术委员会建筑碳计量分技术委员会收到国家市场监督管理总局下发的《2025年国家计量技术规范制定、修订计划》，批准《既有建筑改造过程碳排放计量技术要求》正式立项。</w:t>
      </w:r>
    </w:p>
    <w:p w14:paraId="280AAE86">
      <w:pPr>
        <w:spacing w:line="560" w:lineRule="exact"/>
        <w:ind w:firstLineChars="200"/>
        <w:jc w:val="both"/>
      </w:pPr>
      <w:r>
        <w:rPr>
          <w:rFonts w:ascii="Times New Roman" w:hAnsi="Times New Roman" w:eastAsia="宋体"/>
          <w:sz w:val="32"/>
        </w:rPr>
        <w:t>3. 组建编制组：2025年7月，由中建研科技股份有限公司、北京市计量检测科学研究院作为主要起草单位，联合中煤科工重庆设计研究院（集团）有限公司、福州市规划设计集团、住房和城乡建设部科技与产业化发展中心等参加起草单位组成编制组，明确任务分工。</w:t>
      </w:r>
    </w:p>
    <w:p w14:paraId="05CB5564">
      <w:pPr>
        <w:spacing w:line="560" w:lineRule="exact"/>
        <w:ind w:firstLineChars="200"/>
        <w:jc w:val="both"/>
      </w:pPr>
      <w:r>
        <w:rPr>
          <w:rFonts w:ascii="Times New Roman" w:hAnsi="Times New Roman" w:eastAsia="宋体"/>
          <w:sz w:val="32"/>
        </w:rPr>
        <w:t>4. 启动及专题研讨：2025年7月23日，在中国建筑科学研究院C座906开展启动会暨专题讨论。编制组围绕适用范围、计量对象、时间边界与空间边界、改造基准期与核算期、直接和间接碳排放源流识别、计量器具配备、改造前后减碳量计算方法、不确定度评定和结果表达等重点问题开展讨论，商定了规范起草的主要思路和起草原则，确定了各起草人员的具体工作分工。</w:t>
      </w:r>
    </w:p>
    <w:p w14:paraId="2A2A3A9E">
      <w:pPr>
        <w:spacing w:line="560" w:lineRule="exact"/>
        <w:ind w:firstLineChars="200"/>
        <w:jc w:val="both"/>
      </w:pPr>
      <w:r>
        <w:rPr>
          <w:rFonts w:ascii="Times New Roman" w:hAnsi="Times New Roman" w:eastAsia="宋体"/>
          <w:sz w:val="32"/>
        </w:rPr>
        <w:t>5. 第一次会议：2025年7月，中国建筑科学研究院组织召开第一次编制组会议，就启动会后完成的草稿进行了讨论，进一步明确了规范起草的主要思路和起草原则。</w:t>
      </w:r>
    </w:p>
    <w:p w14:paraId="4C2B6205">
      <w:pPr>
        <w:spacing w:line="560" w:lineRule="exact"/>
        <w:ind w:firstLineChars="200"/>
        <w:jc w:val="both"/>
      </w:pPr>
      <w:r>
        <w:rPr>
          <w:rFonts w:ascii="Times New Roman" w:hAnsi="Times New Roman" w:eastAsia="宋体"/>
          <w:sz w:val="32"/>
        </w:rPr>
        <w:t>6. 第二次会议：2025年12月，中国建筑科学研究院组织召开第二次编制组会议，根据各编制组成员的工作成果初步编制出规范征求意见稿，并对规范逐条进行了讨论。</w:t>
      </w:r>
    </w:p>
    <w:p w14:paraId="7E8BD5D8">
      <w:pPr>
        <w:spacing w:line="560" w:lineRule="exact"/>
        <w:ind w:firstLineChars="200"/>
        <w:jc w:val="both"/>
      </w:pPr>
      <w:r>
        <w:rPr>
          <w:rFonts w:ascii="Times New Roman" w:hAnsi="Times New Roman" w:eastAsia="宋体"/>
          <w:sz w:val="32"/>
        </w:rPr>
        <w:t>7. 形成征求意见稿：2026年8月，编制组在前期工作基础上形成《既有建筑改造过程碳排放计量技术要求》征求意见稿及相关附件，拟按规定广泛征求计量技术机构、既有建筑改造设计与施工单位、建筑运行管理单位、高等院校和科研机构等单位意见。</w:t>
      </w:r>
    </w:p>
    <w:p w14:paraId="1158944C">
      <w:pPr>
        <w:keepNext/>
        <w:spacing w:before="240" w:after="120" w:line="560" w:lineRule="exact"/>
        <w:ind w:firstLineChars="200"/>
      </w:pPr>
      <w:r>
        <w:rPr>
          <w:rFonts w:ascii="Times New Roman" w:hAnsi="Times New Roman" w:eastAsia="黑体"/>
          <w:sz w:val="32"/>
        </w:rPr>
        <w:t>三、主要技术指标、参数、实验验证的论述</w:t>
      </w:r>
    </w:p>
    <w:p w14:paraId="244CC740">
      <w:pPr>
        <w:spacing w:line="560" w:lineRule="exact"/>
        <w:ind w:firstLineChars="200"/>
        <w:jc w:val="both"/>
      </w:pPr>
      <w:r>
        <w:rPr>
          <w:rFonts w:ascii="Times New Roman" w:hAnsi="Times New Roman" w:eastAsia="宋体"/>
          <w:sz w:val="32"/>
        </w:rPr>
        <w:t>（1）规范主要技术内容</w:t>
      </w:r>
    </w:p>
    <w:p w14:paraId="30CA99BB">
      <w:pPr>
        <w:spacing w:line="560" w:lineRule="exact"/>
        <w:ind w:firstLineChars="200"/>
        <w:jc w:val="both"/>
      </w:pPr>
      <w:r>
        <w:rPr>
          <w:rFonts w:ascii="Times New Roman" w:hAnsi="Times New Roman" w:eastAsia="宋体"/>
          <w:sz w:val="32"/>
        </w:rPr>
        <w:t>本规范共包含8个章节、6个附录。</w:t>
      </w:r>
    </w:p>
    <w:p w14:paraId="5DB75665">
      <w:pPr>
        <w:spacing w:line="560" w:lineRule="exact"/>
        <w:ind w:firstLineChars="200"/>
        <w:jc w:val="both"/>
      </w:pPr>
      <w:r>
        <w:rPr>
          <w:rFonts w:ascii="Times New Roman" w:hAnsi="Times New Roman" w:eastAsia="宋体"/>
          <w:sz w:val="32"/>
        </w:rPr>
        <w:t>1、范围，规定本规范适用的范围；</w:t>
      </w:r>
    </w:p>
    <w:p w14:paraId="4580C4F5">
      <w:pPr>
        <w:spacing w:line="560" w:lineRule="exact"/>
        <w:ind w:firstLineChars="200"/>
        <w:jc w:val="both"/>
      </w:pPr>
      <w:r>
        <w:rPr>
          <w:rFonts w:ascii="Times New Roman" w:hAnsi="Times New Roman" w:eastAsia="宋体"/>
          <w:sz w:val="32"/>
        </w:rPr>
        <w:t>2、引用文件，编制本规范所引用的计量检定规程、计量技术规范、国家标准和行业标准；</w:t>
      </w:r>
    </w:p>
    <w:p w14:paraId="79997240">
      <w:pPr>
        <w:spacing w:line="560" w:lineRule="exact"/>
        <w:ind w:firstLineChars="200"/>
        <w:jc w:val="both"/>
      </w:pPr>
      <w:r>
        <w:rPr>
          <w:rFonts w:ascii="Times New Roman" w:hAnsi="Times New Roman" w:eastAsia="宋体"/>
          <w:sz w:val="32"/>
        </w:rPr>
        <w:t>3、术语和定义，定义本规范所出现的专用术语；</w:t>
      </w:r>
    </w:p>
    <w:p w14:paraId="3269C930">
      <w:pPr>
        <w:spacing w:line="560" w:lineRule="exact"/>
        <w:ind w:firstLineChars="200"/>
        <w:jc w:val="both"/>
      </w:pPr>
      <w:r>
        <w:rPr>
          <w:rFonts w:ascii="Times New Roman" w:hAnsi="Times New Roman" w:eastAsia="宋体"/>
          <w:sz w:val="32"/>
        </w:rPr>
        <w:t>4、概述，规定本规范的计量对象、计量边界（空间边界和时间边界）和计量范围；</w:t>
      </w:r>
    </w:p>
    <w:p w14:paraId="2C5FB61E">
      <w:pPr>
        <w:spacing w:line="560" w:lineRule="exact"/>
        <w:ind w:firstLineChars="200"/>
        <w:jc w:val="both"/>
      </w:pPr>
      <w:r>
        <w:rPr>
          <w:rFonts w:ascii="Times New Roman" w:hAnsi="Times New Roman" w:eastAsia="宋体"/>
          <w:sz w:val="32"/>
        </w:rPr>
        <w:t>5、计量要求，规定碳源流识别、主要源流与次要源流划分、活动数据获取基本原则及其不确定度要求、排放因子计量要求，以及施工阶段、运行阶段的计量要求；</w:t>
      </w:r>
    </w:p>
    <w:p w14:paraId="541F564B">
      <w:pPr>
        <w:spacing w:line="560" w:lineRule="exact"/>
        <w:ind w:firstLineChars="200"/>
        <w:jc w:val="both"/>
      </w:pPr>
      <w:r>
        <w:rPr>
          <w:rFonts w:ascii="Times New Roman" w:hAnsi="Times New Roman" w:eastAsia="宋体"/>
          <w:sz w:val="32"/>
        </w:rPr>
        <w:t>6、既有建筑改造过程减碳量计算，规定减碳效益评估的方法及原则、改造基准期与核算期的确定和减碳量计算方法；</w:t>
      </w:r>
    </w:p>
    <w:p w14:paraId="58879C21">
      <w:pPr>
        <w:spacing w:line="560" w:lineRule="exact"/>
        <w:ind w:firstLineChars="200"/>
        <w:jc w:val="both"/>
      </w:pPr>
      <w:r>
        <w:rPr>
          <w:rFonts w:ascii="Times New Roman" w:hAnsi="Times New Roman" w:eastAsia="宋体"/>
          <w:sz w:val="32"/>
        </w:rPr>
        <w:t>7、碳计量数据管理，规定碳计量数据采集、处理和应用要求；</w:t>
      </w:r>
    </w:p>
    <w:p w14:paraId="20588DD9">
      <w:pPr>
        <w:spacing w:line="560" w:lineRule="exact"/>
        <w:ind w:firstLineChars="200"/>
        <w:jc w:val="both"/>
      </w:pPr>
      <w:r>
        <w:rPr>
          <w:rFonts w:ascii="Times New Roman" w:hAnsi="Times New Roman" w:eastAsia="宋体"/>
          <w:sz w:val="32"/>
        </w:rPr>
        <w:t>8、计量结果表达，规定既有建筑改造过程碳排放计量报告的一般要求和报告要求。</w:t>
      </w:r>
    </w:p>
    <w:p w14:paraId="7BED7B51">
      <w:pPr>
        <w:spacing w:line="560" w:lineRule="exact"/>
        <w:ind w:firstLineChars="200"/>
        <w:jc w:val="both"/>
      </w:pPr>
      <w:r>
        <w:rPr>
          <w:rFonts w:ascii="Times New Roman" w:hAnsi="Times New Roman" w:eastAsia="宋体"/>
          <w:sz w:val="32"/>
        </w:rPr>
        <w:t>6个附录分别为：附录A给出既有建筑改造过程碳排放计量范围及碳源流表；附录B给出排放因子测定要求及净购入电力、热力和常用化石燃料相关参数推荐值；附录C给出既有建筑改造过程碳排放计量报告模板；附录D给出不确定度评定方法；附录E给出不确定度评定示例；附录F给出无法获取实测不确定度时的不确定度评定方法（赋值法）及示例。</w:t>
      </w:r>
    </w:p>
    <w:p w14:paraId="02094C59">
      <w:pPr>
        <w:spacing w:line="560" w:lineRule="exact"/>
        <w:ind w:firstLineChars="200"/>
        <w:jc w:val="both"/>
      </w:pPr>
      <w:r>
        <w:rPr>
          <w:rFonts w:ascii="Times New Roman" w:hAnsi="Times New Roman" w:eastAsia="宋体"/>
          <w:sz w:val="32"/>
        </w:rPr>
        <w:t>规范内容要点说明：</w:t>
      </w:r>
    </w:p>
    <w:p w14:paraId="5770E387">
      <w:pPr>
        <w:spacing w:line="560" w:lineRule="exact"/>
        <w:ind w:firstLineChars="200"/>
        <w:jc w:val="both"/>
      </w:pPr>
      <w:r>
        <w:rPr>
          <w:rFonts w:ascii="Times New Roman" w:hAnsi="Times New Roman" w:eastAsia="宋体"/>
          <w:sz w:val="32"/>
        </w:rPr>
        <w:t>1、明确本规范适用范围，针对既有建筑改造过程中由能源和材料消耗产生碳排放的计量活动制定本规范。计量范围涵盖改造前运行阶段、改造实施阶段（包括建材生产及运输、改造施工）及改造后运行阶段的全过程，适用于既有民用建筑和工业建筑，填补了既有建筑改造过程碳排放计量的空白。</w:t>
      </w:r>
    </w:p>
    <w:p w14:paraId="3C8063C1">
      <w:pPr>
        <w:spacing w:line="560" w:lineRule="exact"/>
        <w:ind w:firstLineChars="200"/>
        <w:jc w:val="both"/>
      </w:pPr>
      <w:r>
        <w:rPr>
          <w:rFonts w:ascii="Times New Roman" w:hAnsi="Times New Roman" w:eastAsia="宋体"/>
          <w:sz w:val="32"/>
        </w:rPr>
        <w:t>2、术语定义方面，本规范引入“既有建筑改造过程”“建筑碳排放计量”“源流”“改造基准期”“改造核算期”等概念，统一规范既有建筑改造过程碳排放计量工作的术语表达。</w:t>
      </w:r>
    </w:p>
    <w:p w14:paraId="637956A5">
      <w:pPr>
        <w:spacing w:line="560" w:lineRule="exact"/>
        <w:ind w:firstLineChars="200"/>
        <w:jc w:val="both"/>
      </w:pPr>
      <w:r>
        <w:rPr>
          <w:rFonts w:ascii="Times New Roman" w:hAnsi="Times New Roman" w:eastAsia="宋体"/>
          <w:sz w:val="32"/>
        </w:rPr>
        <w:t>3、确定既有建筑改造过程碳排放的计量对象、计量边界和计量范围。计量对象为改造计量边界内由改造活动直接或间接引发的所有温室气体排放；计量边界按建材运输阶段、施工阶段、运行阶段分别规定空间边界和时间边界，并明确改造涉及使用功能变更（如办公改酒店、住宅改商业等）时，改造前后运行碳排放不具直接可比性，不得采用差值法计算减碳量，但改造实施阶段碳排放仍可按本规范要求独立计量，保证了计量结果的科学性和可比性。</w:t>
      </w:r>
    </w:p>
    <w:p w14:paraId="33DE4C52">
      <w:pPr>
        <w:spacing w:line="560" w:lineRule="exact"/>
        <w:ind w:firstLineChars="200"/>
        <w:jc w:val="both"/>
      </w:pPr>
      <w:r>
        <w:rPr>
          <w:rFonts w:ascii="Times New Roman" w:hAnsi="Times New Roman" w:eastAsia="宋体"/>
          <w:sz w:val="32"/>
        </w:rPr>
        <w:t>4、确定计量边界范围后应进行碳源流识别工作。碳源流识别应基于改造设计方案，按直接碳排放与间接碳排放分类开展，并提出主要源流与次要源流的划分原则：在某一阶段碳排放总量中占比≥10%的源流种类，或虽占比不足10%但属于改造方案核心变更内容所对应的源流视为主要源流。上述原则使计量资源集中于关键源流，兼顾了计量的准确性与经济性。</w:t>
      </w:r>
    </w:p>
    <w:p w14:paraId="1C73BA98">
      <w:pPr>
        <w:spacing w:line="560" w:lineRule="exact"/>
        <w:ind w:firstLineChars="200"/>
        <w:jc w:val="both"/>
      </w:pPr>
      <w:r>
        <w:rPr>
          <w:rFonts w:ascii="Times New Roman" w:hAnsi="Times New Roman" w:eastAsia="宋体"/>
          <w:sz w:val="32"/>
        </w:rPr>
        <w:t>5、目前行业内开展碳排放计算工作的数据质量较低，无法满足计量溯源要求，本规范对活动数据的计量要求进行了规定：活动数据获取遵循实测值＞计算法＞经验值估算法的优先级，并对各源流活动数据的扩展不确定度作出分级规定（主要源流化石燃料及净购入热力为5%、净购入电力为1%，次要源流分别为10%和2%）；排放因子获取遵循实测值＞地方发布值＞国家发布值的优先级，对可再生能源比例变化显著的地区要求采用动态更新的电网排放因子，并对排放因子的实测与计算提出了要求。</w:t>
      </w:r>
    </w:p>
    <w:p w14:paraId="10C4FFC1">
      <w:pPr>
        <w:spacing w:line="560" w:lineRule="exact"/>
        <w:ind w:firstLineChars="200"/>
        <w:jc w:val="both"/>
      </w:pPr>
      <w:r>
        <w:rPr>
          <w:rFonts w:ascii="Times New Roman" w:hAnsi="Times New Roman" w:eastAsia="宋体"/>
          <w:sz w:val="32"/>
        </w:rPr>
        <w:t>6、针对既有建筑改造大量采用不停运、局部施工方式的特点，本规范专门规定了施工与运行并存时的分项计量要求：施工区域所使用的电力、水、燃气等各类能源应安装经检定或校准合格的独立计量器具，计量回路应与正常运行区域的用能回路实现物理分离；确因现场条件限制无法安装独立计量器具时，应制定用能分摊方案并经监理单位审核确认后执行，解决了改造施工阶段与运行阶段碳排放相互混淆的问题。</w:t>
      </w:r>
    </w:p>
    <w:p w14:paraId="34182B84">
      <w:pPr>
        <w:spacing w:line="560" w:lineRule="exact"/>
        <w:ind w:firstLineChars="200"/>
        <w:jc w:val="both"/>
      </w:pPr>
      <w:r>
        <w:rPr>
          <w:rFonts w:ascii="Times New Roman" w:hAnsi="Times New Roman" w:eastAsia="宋体"/>
          <w:sz w:val="32"/>
        </w:rPr>
        <w:t>7、减碳量计算采用基准线法，项目减排量等于基准线排放量减去项目排放量。本规范规定改造基准期可选改造开工前一个完整自然年，或连续三个完整自然年运行碳排放数据的算术平均值；核算期选改造工程竣工验收合格并投入正常运行后的一个完整自然年；当基准期和核算期的气象条件存在显著差异时，应采用度日法等方法对排放量进行归一化处理。同时提出进行既有建筑改造全过程减碳效益评估时，应将改造实施阶段新增碳排放纳入综合考量，避免只计运行减碳、不计改造增碳。</w:t>
      </w:r>
    </w:p>
    <w:p w14:paraId="7B527214">
      <w:pPr>
        <w:spacing w:line="560" w:lineRule="exact"/>
        <w:ind w:firstLineChars="200"/>
        <w:jc w:val="both"/>
      </w:pPr>
      <w:r>
        <w:rPr>
          <w:rFonts w:ascii="Times New Roman" w:hAnsi="Times New Roman" w:eastAsia="宋体"/>
          <w:sz w:val="32"/>
        </w:rPr>
        <w:t>8、本规范与国家标准、JJF 1059.1《测量不确定度评定与表示》相协调，给出了活动数据、碳排放因子和建筑总碳排放量的不确定度评定方法、评定示例及赋值法，明确规定计量结果应以报告形式表达，包含建筑基本信息、建筑碳源流识别、活动数据及排放因子来源、碳排放量4项基本要素，提升了计量结果的可靠性，保证了数据的真实性和可溯源性。</w:t>
      </w:r>
    </w:p>
    <w:p w14:paraId="24CD4755">
      <w:pPr>
        <w:spacing w:line="560" w:lineRule="exact"/>
        <w:ind w:firstLineChars="200"/>
        <w:jc w:val="both"/>
      </w:pPr>
      <w:r>
        <w:rPr>
          <w:rFonts w:ascii="Times New Roman" w:hAnsi="Times New Roman" w:eastAsia="宋体"/>
          <w:sz w:val="32"/>
        </w:rPr>
        <w:t>9、规范在附录部分给出了碳源流表、排放因子相关参数推荐值、计量报告模板以及不确定度评估方法及示例，方便规范使用者操作起来有参照性。</w:t>
      </w:r>
    </w:p>
    <w:p w14:paraId="34666F6F">
      <w:pPr>
        <w:keepNext/>
        <w:spacing w:before="120" w:after="60"/>
        <w:jc w:val="center"/>
      </w:pPr>
      <w:r>
        <w:drawing>
          <wp:inline distT="0" distB="0" distL="0" distR="0">
            <wp:extent cx="5039995" cy="2167890"/>
            <wp:effectExtent l="0" t="0" r="0" b="0"/>
            <wp:docPr id="1" name="计量范围示意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计量范围示意图"/>
                    <pic:cNvPicPr>
                      <a:picLocks noChangeAspect="1"/>
                    </pic:cNvPicPr>
                  </pic:nvPicPr>
                  <pic:blipFill>
                    <a:blip r:embed="rId5"/>
                    <a:stretch>
                      <a:fillRect/>
                    </a:stretch>
                  </pic:blipFill>
                  <pic:spPr>
                    <a:xfrm>
                      <a:off x="0" y="0"/>
                      <a:ext cx="5040000" cy="2167955"/>
                    </a:xfrm>
                    <a:prstGeom prst="rect">
                      <a:avLst/>
                    </a:prstGeom>
                  </pic:spPr>
                </pic:pic>
              </a:graphicData>
            </a:graphic>
          </wp:inline>
        </w:drawing>
      </w:r>
    </w:p>
    <w:p w14:paraId="66D20440">
      <w:pPr>
        <w:spacing w:after="160" w:line="440" w:lineRule="exact"/>
        <w:jc w:val="center"/>
      </w:pPr>
      <w:r>
        <w:rPr>
          <w:rFonts w:ascii="Times New Roman" w:hAnsi="Times New Roman" w:eastAsia="宋体"/>
          <w:sz w:val="28"/>
        </w:rPr>
        <w:t>图1 既有建筑改造碳排放计量范围参考图</w:t>
      </w:r>
    </w:p>
    <w:p w14:paraId="678174FC">
      <w:pPr>
        <w:spacing w:line="560" w:lineRule="exact"/>
        <w:ind w:firstLineChars="200"/>
        <w:jc w:val="both"/>
      </w:pPr>
      <w:r>
        <w:rPr>
          <w:rFonts w:ascii="Times New Roman" w:hAnsi="Times New Roman" w:eastAsia="宋体"/>
          <w:sz w:val="32"/>
        </w:rPr>
        <w:t>（2）主要技术指标和参数</w:t>
      </w:r>
    </w:p>
    <w:p w14:paraId="5C3171B4">
      <w:pPr>
        <w:spacing w:line="560" w:lineRule="exact"/>
        <w:ind w:firstLineChars="200"/>
        <w:jc w:val="both"/>
      </w:pPr>
      <w:r>
        <w:rPr>
          <w:rFonts w:ascii="Times New Roman" w:hAnsi="Times New Roman" w:eastAsia="宋体"/>
          <w:sz w:val="32"/>
        </w:rPr>
        <w:t>1、计量边界参数：空间边界与时间边界按建材运输阶段、施工阶段、运行阶段划分；改造基准期为改造工程开工前一个完整自然年，或连续三个完整自然年运行碳排放数据的算术平均值；核算期为改造工程竣工验收合格并投入正常运行后的一个完整自然年。</w:t>
      </w:r>
    </w:p>
    <w:p w14:paraId="1D2F560D">
      <w:pPr>
        <w:spacing w:line="560" w:lineRule="exact"/>
        <w:ind w:firstLineChars="200"/>
        <w:jc w:val="both"/>
      </w:pPr>
      <w:r>
        <w:rPr>
          <w:rFonts w:ascii="Times New Roman" w:hAnsi="Times New Roman" w:eastAsia="宋体"/>
          <w:sz w:val="32"/>
        </w:rPr>
        <w:t>2、基准期有效性参数：基准期内建筑使用功能应与改造后保持一致；基准期内建筑除中小学及幼儿园项目1月、2月、7月、8月外，每月使用时间不少于160h；基准期能耗数据应连续、完整，数据缺失时段不超过核算期总时长的5%。</w:t>
      </w:r>
    </w:p>
    <w:p w14:paraId="5DFBC210">
      <w:pPr>
        <w:spacing w:line="560" w:lineRule="exact"/>
        <w:ind w:firstLineChars="200"/>
        <w:jc w:val="both"/>
      </w:pPr>
      <w:r>
        <w:rPr>
          <w:rFonts w:ascii="Times New Roman" w:hAnsi="Times New Roman" w:eastAsia="宋体"/>
          <w:sz w:val="32"/>
        </w:rPr>
        <w:t>3、源流划分参数：以源流种类在某一阶段碳排放总量中占比10%为主要源流与次要源流的划分阈值，并结合是否属于改造方案核心变更内容综合判定。</w:t>
      </w:r>
    </w:p>
    <w:p w14:paraId="27CE212F">
      <w:pPr>
        <w:spacing w:line="560" w:lineRule="exact"/>
        <w:ind w:firstLineChars="200"/>
        <w:jc w:val="both"/>
      </w:pPr>
      <w:r>
        <w:rPr>
          <w:rFonts w:ascii="Times New Roman" w:hAnsi="Times New Roman" w:eastAsia="宋体"/>
          <w:sz w:val="32"/>
        </w:rPr>
        <w:t>4、活动数据不确定度参数：各源流活动数据的相对扩展不确定度（k=2），主要源流气体、液体、固体燃料（按燃料消耗量与低位发热值乘积计）和净购入热力为5%，净购入电力为1%；次要源流分别为10%和2%。当同一源流种类下存在多种具体燃料时，应按燃料种类分别计量。</w:t>
      </w:r>
    </w:p>
    <w:p w14:paraId="39EDE027">
      <w:pPr>
        <w:spacing w:line="560" w:lineRule="exact"/>
        <w:ind w:firstLineChars="200"/>
        <w:jc w:val="both"/>
      </w:pPr>
      <w:r>
        <w:rPr>
          <w:rFonts w:ascii="Times New Roman" w:hAnsi="Times New Roman" w:eastAsia="宋体"/>
          <w:sz w:val="32"/>
        </w:rPr>
        <w:t>5、排放因子参数：化石燃料单位热值含碳量宜通过实测获得，煤采样、制样和化石燃料单位热值含碳量检测方法应符合规范附录B的规定，所用仪器应检定合格或在校准有效期内；净购入电力、热力排放因子及常用化石燃料低位发热量、单位热值含碳量、碳氧化率推荐值见规范附录B。</w:t>
      </w:r>
    </w:p>
    <w:p w14:paraId="119B495C">
      <w:pPr>
        <w:spacing w:line="560" w:lineRule="exact"/>
        <w:ind w:firstLineChars="200"/>
        <w:jc w:val="both"/>
      </w:pPr>
      <w:r>
        <w:rPr>
          <w:rFonts w:ascii="Times New Roman" w:hAnsi="Times New Roman" w:eastAsia="宋体"/>
          <w:sz w:val="32"/>
        </w:rPr>
        <w:t>6、不确定度赋值参数：当无法获取实测不确定度时，按数据来源对活动数据和碳排放因子进行赋值，活动数据相对不确定度推荐范围为3.0%~25.0%，碳排放因子相对不确定度推荐范围为3.0%~20.0%，具体见规范附录F。</w:t>
      </w:r>
    </w:p>
    <w:p w14:paraId="4F6EC0BA">
      <w:pPr>
        <w:spacing w:line="560" w:lineRule="exact"/>
        <w:ind w:firstLineChars="200"/>
        <w:jc w:val="both"/>
      </w:pPr>
      <w:r>
        <w:rPr>
          <w:rFonts w:ascii="Times New Roman" w:hAnsi="Times New Roman" w:eastAsia="宋体"/>
          <w:sz w:val="32"/>
        </w:rPr>
        <w:t>（3）实验验证和不确定度验证</w:t>
      </w:r>
    </w:p>
    <w:p w14:paraId="01F3FE49">
      <w:pPr>
        <w:spacing w:line="560" w:lineRule="exact"/>
        <w:ind w:firstLineChars="200"/>
        <w:jc w:val="both"/>
      </w:pPr>
      <w:r>
        <w:rPr>
          <w:rFonts w:ascii="Times New Roman" w:hAnsi="Times New Roman" w:eastAsia="宋体"/>
          <w:sz w:val="32"/>
        </w:rPr>
        <w:t>规范已在附录D中设置既有建筑改造过程碳排放不确定度评定方法，并在附录E中给出评定示例，用于验证测量模型、不确定度分量识别、合成标准不确定度和相对扩展不确定度的计算逻辑；附录F给出无法获取实测不确定度时的赋值方法及示例，供讨论。后续编制组拟选取具有代表性的既有建筑改造项目开展实验验证，覆盖围护结构改造、供暖通风空调系统改造、不停运局部施工等典型情形，重点验证计量边界划分的完整性、碳源流识别的适用性、计量器具配备的可行性、改造基准期与核算期数据的可比性及计量结果的可重复性，并根据验证结果对规范文本进一步修改完善。</w:t>
      </w:r>
    </w:p>
    <w:p w14:paraId="00AA7EF1">
      <w:pPr>
        <w:keepNext/>
        <w:spacing w:before="240" w:after="120" w:line="560" w:lineRule="exact"/>
        <w:ind w:firstLineChars="200"/>
      </w:pPr>
      <w:r>
        <w:rPr>
          <w:rFonts w:ascii="Times New Roman" w:hAnsi="Times New Roman" w:eastAsia="黑体"/>
          <w:sz w:val="32"/>
        </w:rPr>
        <w:t>四、与相关国家计量技术规范的关系，与国内外同类计量技术规范的水平对比情况</w:t>
      </w:r>
    </w:p>
    <w:p w14:paraId="256CEDA3">
      <w:pPr>
        <w:spacing w:line="560" w:lineRule="exact"/>
        <w:ind w:firstLineChars="200"/>
        <w:jc w:val="both"/>
      </w:pPr>
      <w:r>
        <w:rPr>
          <w:rFonts w:ascii="Times New Roman" w:hAnsi="Times New Roman" w:eastAsia="宋体"/>
          <w:sz w:val="32"/>
        </w:rPr>
        <w:t>规范起草的过程中引用或参考了以下计量检定规程、计量技术规范和国家标准：</w:t>
      </w:r>
    </w:p>
    <w:p w14:paraId="0A0DC783">
      <w:pPr>
        <w:spacing w:line="560" w:lineRule="exact"/>
        <w:ind w:firstLineChars="200"/>
        <w:jc w:val="both"/>
      </w:pPr>
      <w:r>
        <w:rPr>
          <w:rFonts w:ascii="Times New Roman" w:hAnsi="Times New Roman" w:eastAsia="宋体"/>
          <w:sz w:val="32"/>
        </w:rPr>
        <w:t>JJG 577 膜式燃气表</w:t>
      </w:r>
    </w:p>
    <w:p w14:paraId="2EC92760">
      <w:pPr>
        <w:spacing w:line="560" w:lineRule="exact"/>
        <w:ind w:firstLineChars="200"/>
        <w:jc w:val="both"/>
      </w:pPr>
      <w:r>
        <w:rPr>
          <w:rFonts w:ascii="Times New Roman" w:hAnsi="Times New Roman" w:eastAsia="宋体"/>
          <w:sz w:val="32"/>
        </w:rPr>
        <w:t>JJG 596 电子式交流电能表</w:t>
      </w:r>
    </w:p>
    <w:p w14:paraId="7CD7B257">
      <w:pPr>
        <w:spacing w:line="560" w:lineRule="exact"/>
        <w:ind w:firstLineChars="200"/>
        <w:jc w:val="both"/>
      </w:pPr>
      <w:r>
        <w:rPr>
          <w:rFonts w:ascii="Times New Roman" w:hAnsi="Times New Roman" w:eastAsia="宋体"/>
          <w:sz w:val="32"/>
        </w:rPr>
        <w:t>JJG 633 气体容积式流量计</w:t>
      </w:r>
    </w:p>
    <w:p w14:paraId="71ADBEFA">
      <w:pPr>
        <w:spacing w:line="560" w:lineRule="exact"/>
        <w:ind w:firstLineChars="200"/>
        <w:jc w:val="both"/>
      </w:pPr>
      <w:r>
        <w:rPr>
          <w:rFonts w:ascii="Times New Roman" w:hAnsi="Times New Roman" w:eastAsia="宋体"/>
          <w:sz w:val="32"/>
        </w:rPr>
        <w:t>JJG 691 多费率交流电能表</w:t>
      </w:r>
    </w:p>
    <w:p w14:paraId="6036422F">
      <w:pPr>
        <w:spacing w:line="560" w:lineRule="exact"/>
        <w:ind w:firstLineChars="200"/>
        <w:jc w:val="both"/>
      </w:pPr>
      <w:r>
        <w:rPr>
          <w:rFonts w:ascii="Times New Roman" w:hAnsi="Times New Roman" w:eastAsia="宋体"/>
          <w:sz w:val="32"/>
        </w:rPr>
        <w:t>JJG 971 液位计</w:t>
      </w:r>
    </w:p>
    <w:p w14:paraId="1BCDB68F">
      <w:pPr>
        <w:spacing w:line="560" w:lineRule="exact"/>
        <w:ind w:firstLineChars="200"/>
        <w:jc w:val="both"/>
      </w:pPr>
      <w:r>
        <w:rPr>
          <w:rFonts w:ascii="Times New Roman" w:hAnsi="Times New Roman" w:eastAsia="宋体"/>
          <w:sz w:val="32"/>
        </w:rPr>
        <w:t>JJG 1029 涡街流量计</w:t>
      </w:r>
    </w:p>
    <w:p w14:paraId="13580629">
      <w:pPr>
        <w:spacing w:line="560" w:lineRule="exact"/>
        <w:ind w:firstLineChars="200"/>
        <w:jc w:val="both"/>
      </w:pPr>
      <w:r>
        <w:rPr>
          <w:rFonts w:ascii="Times New Roman" w:hAnsi="Times New Roman" w:eastAsia="宋体"/>
          <w:sz w:val="32"/>
        </w:rPr>
        <w:t>JJG 1030 超声流量计</w:t>
      </w:r>
    </w:p>
    <w:p w14:paraId="4F22F29A">
      <w:pPr>
        <w:spacing w:line="560" w:lineRule="exact"/>
        <w:ind w:firstLineChars="200"/>
        <w:jc w:val="both"/>
      </w:pPr>
      <w:r>
        <w:rPr>
          <w:rFonts w:ascii="Times New Roman" w:hAnsi="Times New Roman" w:eastAsia="宋体"/>
          <w:sz w:val="32"/>
        </w:rPr>
        <w:t>JJG 1085 标准电能表</w:t>
      </w:r>
    </w:p>
    <w:p w14:paraId="3FAA31EF">
      <w:pPr>
        <w:spacing w:line="560" w:lineRule="exact"/>
        <w:ind w:firstLineChars="200"/>
        <w:jc w:val="both"/>
      </w:pPr>
      <w:r>
        <w:rPr>
          <w:rFonts w:ascii="Times New Roman" w:hAnsi="Times New Roman" w:eastAsia="宋体"/>
          <w:sz w:val="32"/>
        </w:rPr>
        <w:t>JJG 2063 液体流量计量器具</w:t>
      </w:r>
    </w:p>
    <w:p w14:paraId="74272E3B">
      <w:pPr>
        <w:spacing w:line="560" w:lineRule="exact"/>
        <w:ind w:firstLineChars="200"/>
        <w:jc w:val="both"/>
      </w:pPr>
      <w:r>
        <w:rPr>
          <w:rFonts w:ascii="Times New Roman" w:hAnsi="Times New Roman" w:eastAsia="宋体"/>
          <w:sz w:val="32"/>
        </w:rPr>
        <w:t>JJF 1059.1 测量不确定度评定与表示</w:t>
      </w:r>
    </w:p>
    <w:p w14:paraId="32A16291">
      <w:pPr>
        <w:spacing w:line="560" w:lineRule="exact"/>
        <w:ind w:firstLineChars="200"/>
        <w:jc w:val="both"/>
      </w:pPr>
      <w:r>
        <w:rPr>
          <w:rFonts w:ascii="Times New Roman" w:hAnsi="Times New Roman" w:eastAsia="宋体"/>
          <w:sz w:val="32"/>
        </w:rPr>
        <w:t>JJF ×××× 建筑碳排放计量器具的配备与管理 施工阶段</w:t>
      </w:r>
    </w:p>
    <w:p w14:paraId="572AF1D8">
      <w:pPr>
        <w:spacing w:line="560" w:lineRule="exact"/>
        <w:ind w:firstLineChars="200"/>
        <w:jc w:val="both"/>
      </w:pPr>
      <w:r>
        <w:rPr>
          <w:rFonts w:ascii="Times New Roman" w:hAnsi="Times New Roman" w:eastAsia="宋体"/>
          <w:sz w:val="32"/>
        </w:rPr>
        <w:t>JJF ×××× 建筑碳排放计量器具的配备与管理 运行阶段</w:t>
      </w:r>
    </w:p>
    <w:p w14:paraId="03473493">
      <w:pPr>
        <w:spacing w:line="560" w:lineRule="exact"/>
        <w:ind w:firstLineChars="200"/>
        <w:jc w:val="both"/>
      </w:pPr>
      <w:r>
        <w:rPr>
          <w:rFonts w:ascii="Times New Roman" w:hAnsi="Times New Roman" w:eastAsia="宋体"/>
          <w:sz w:val="32"/>
        </w:rPr>
        <w:t>GB 17167 用能单位能源计量器具配备和管理通则</w:t>
      </w:r>
    </w:p>
    <w:p w14:paraId="3CA236AC">
      <w:pPr>
        <w:spacing w:line="560" w:lineRule="exact"/>
        <w:ind w:firstLineChars="200"/>
        <w:jc w:val="both"/>
      </w:pPr>
      <w:r>
        <w:rPr>
          <w:rFonts w:ascii="Times New Roman" w:hAnsi="Times New Roman" w:eastAsia="宋体"/>
          <w:sz w:val="32"/>
        </w:rPr>
        <w:t>GB/T 32150 工业企业温室气体排放核算和报告通则</w:t>
      </w:r>
    </w:p>
    <w:p w14:paraId="0038E898">
      <w:pPr>
        <w:spacing w:line="560" w:lineRule="exact"/>
        <w:ind w:firstLineChars="200"/>
        <w:jc w:val="both"/>
      </w:pPr>
      <w:r>
        <w:rPr>
          <w:rFonts w:ascii="Times New Roman" w:hAnsi="Times New Roman" w:eastAsia="宋体"/>
          <w:sz w:val="32"/>
        </w:rPr>
        <w:t>GB/T 51366 建筑碳排放计算标准</w:t>
      </w:r>
    </w:p>
    <w:p w14:paraId="68C1E1F5">
      <w:pPr>
        <w:spacing w:line="560" w:lineRule="exact"/>
        <w:ind w:firstLineChars="200"/>
        <w:jc w:val="both"/>
      </w:pPr>
      <w:r>
        <w:rPr>
          <w:rFonts w:ascii="Times New Roman" w:hAnsi="Times New Roman" w:eastAsia="宋体"/>
          <w:sz w:val="32"/>
        </w:rPr>
        <w:t>GB/T 213 煤的发热量测定方法</w:t>
      </w:r>
    </w:p>
    <w:p w14:paraId="49969D13">
      <w:pPr>
        <w:spacing w:line="560" w:lineRule="exact"/>
        <w:ind w:firstLineChars="200"/>
        <w:jc w:val="both"/>
      </w:pPr>
      <w:r>
        <w:rPr>
          <w:rFonts w:ascii="Times New Roman" w:hAnsi="Times New Roman" w:eastAsia="宋体"/>
          <w:sz w:val="32"/>
        </w:rPr>
        <w:t>GB/T 384 石油产品热值测定法</w:t>
      </w:r>
    </w:p>
    <w:p w14:paraId="2152608C">
      <w:pPr>
        <w:spacing w:line="560" w:lineRule="exact"/>
        <w:ind w:firstLineChars="200"/>
        <w:jc w:val="both"/>
      </w:pPr>
      <w:r>
        <w:rPr>
          <w:rFonts w:ascii="Times New Roman" w:hAnsi="Times New Roman" w:eastAsia="宋体"/>
          <w:sz w:val="32"/>
        </w:rPr>
        <w:t>GB/T 474 煤样的制备方法</w:t>
      </w:r>
    </w:p>
    <w:p w14:paraId="17223233">
      <w:pPr>
        <w:spacing w:line="560" w:lineRule="exact"/>
        <w:ind w:firstLineChars="200"/>
        <w:jc w:val="both"/>
      </w:pPr>
      <w:r>
        <w:rPr>
          <w:rFonts w:ascii="Times New Roman" w:hAnsi="Times New Roman" w:eastAsia="宋体"/>
          <w:sz w:val="32"/>
        </w:rPr>
        <w:t>GB/T 475 商品煤样人工采取方法</w:t>
      </w:r>
    </w:p>
    <w:p w14:paraId="11C5F01F">
      <w:pPr>
        <w:spacing w:line="560" w:lineRule="exact"/>
        <w:ind w:firstLineChars="200"/>
        <w:jc w:val="both"/>
      </w:pPr>
      <w:r>
        <w:rPr>
          <w:rFonts w:ascii="Times New Roman" w:hAnsi="Times New Roman" w:eastAsia="宋体"/>
          <w:sz w:val="32"/>
        </w:rPr>
        <w:t>GB/T 476 煤中碳和氢的测定方法</w:t>
      </w:r>
    </w:p>
    <w:p w14:paraId="3DE4389E">
      <w:pPr>
        <w:spacing w:line="560" w:lineRule="exact"/>
        <w:ind w:firstLineChars="200"/>
        <w:jc w:val="both"/>
      </w:pPr>
      <w:r>
        <w:rPr>
          <w:rFonts w:ascii="Times New Roman" w:hAnsi="Times New Roman" w:eastAsia="宋体"/>
          <w:sz w:val="32"/>
        </w:rPr>
        <w:t>GB/T 11062 天然气 发热量、密度、相对密度和沃泊指数的计算方法</w:t>
      </w:r>
    </w:p>
    <w:p w14:paraId="62B95FBC">
      <w:pPr>
        <w:spacing w:line="560" w:lineRule="exact"/>
        <w:ind w:firstLineChars="200"/>
        <w:jc w:val="both"/>
      </w:pPr>
      <w:r>
        <w:rPr>
          <w:rFonts w:ascii="Times New Roman" w:hAnsi="Times New Roman" w:eastAsia="宋体"/>
          <w:sz w:val="32"/>
        </w:rPr>
        <w:t>GB/T 13610 天然气的组成分析 气相色谱法</w:t>
      </w:r>
    </w:p>
    <w:p w14:paraId="7A04F837">
      <w:pPr>
        <w:spacing w:line="560" w:lineRule="exact"/>
        <w:ind w:firstLineChars="200"/>
        <w:jc w:val="both"/>
      </w:pPr>
      <w:r>
        <w:rPr>
          <w:rFonts w:ascii="Times New Roman" w:hAnsi="Times New Roman" w:eastAsia="宋体"/>
          <w:sz w:val="32"/>
        </w:rPr>
        <w:t>GB/T 19494.1 煤炭机械化采样 第1部分：采样方法</w:t>
      </w:r>
    </w:p>
    <w:p w14:paraId="6D715B9D">
      <w:pPr>
        <w:spacing w:line="560" w:lineRule="exact"/>
        <w:ind w:firstLineChars="200"/>
        <w:jc w:val="both"/>
      </w:pPr>
      <w:r>
        <w:rPr>
          <w:rFonts w:ascii="Times New Roman" w:hAnsi="Times New Roman" w:eastAsia="宋体"/>
          <w:sz w:val="32"/>
        </w:rPr>
        <w:t>GB/T 19494.2 煤炭机械化采样 第2部分：煤样的制备</w:t>
      </w:r>
    </w:p>
    <w:p w14:paraId="225A8609">
      <w:pPr>
        <w:spacing w:line="560" w:lineRule="exact"/>
        <w:ind w:firstLineChars="200"/>
        <w:jc w:val="both"/>
      </w:pPr>
      <w:r>
        <w:rPr>
          <w:rFonts w:ascii="Times New Roman" w:hAnsi="Times New Roman" w:eastAsia="宋体"/>
          <w:sz w:val="32"/>
        </w:rPr>
        <w:t>DL/T 567.8 火力发电厂燃料试验方法 第8部分：燃油发热量的测定</w:t>
      </w:r>
    </w:p>
    <w:p w14:paraId="5A546415">
      <w:pPr>
        <w:spacing w:line="560" w:lineRule="exact"/>
        <w:ind w:firstLineChars="200"/>
        <w:jc w:val="both"/>
      </w:pPr>
      <w:r>
        <w:rPr>
          <w:rFonts w:ascii="Times New Roman" w:hAnsi="Times New Roman" w:eastAsia="宋体"/>
          <w:sz w:val="32"/>
        </w:rPr>
        <w:t>DL/T 567.9 火力发电厂燃料试验方法 第9部分：燃油中碳和氢元素的测定</w:t>
      </w:r>
    </w:p>
    <w:p w14:paraId="42F95241">
      <w:pPr>
        <w:spacing w:line="560" w:lineRule="exact"/>
        <w:ind w:firstLineChars="200"/>
        <w:jc w:val="both"/>
      </w:pPr>
      <w:r>
        <w:rPr>
          <w:rFonts w:ascii="Times New Roman" w:hAnsi="Times New Roman" w:eastAsia="宋体"/>
          <w:sz w:val="32"/>
        </w:rPr>
        <w:t>JGJ/T 346 建筑节能气象参数标准</w:t>
      </w:r>
    </w:p>
    <w:p w14:paraId="2F68E8F5">
      <w:pPr>
        <w:spacing w:line="560" w:lineRule="exact"/>
        <w:ind w:firstLineChars="200"/>
        <w:jc w:val="both"/>
      </w:pPr>
      <w:r>
        <w:rPr>
          <w:rFonts w:ascii="Times New Roman" w:hAnsi="Times New Roman" w:eastAsia="宋体"/>
          <w:sz w:val="32"/>
        </w:rPr>
        <w:t>ASTM D5291 石油产品中碳、氢、氮含量测定方法</w:t>
      </w:r>
    </w:p>
    <w:p w14:paraId="57A20CC5">
      <w:pPr>
        <w:spacing w:line="560" w:lineRule="exact"/>
        <w:ind w:firstLineChars="200"/>
        <w:jc w:val="both"/>
      </w:pPr>
      <w:r>
        <w:rPr>
          <w:rFonts w:ascii="Times New Roman" w:hAnsi="Times New Roman" w:eastAsia="宋体"/>
          <w:sz w:val="32"/>
        </w:rPr>
        <w:t>上述文件中，JJF 1059.1为不确定度评定提供方法基础，各JJG检定规程为相关计量器具的量值溯源提供依据，GB 17167为能源计量器具配备管理提供通用要求，GB/T 32150为活动数据、排放因子和企业温室气体排放核算提供通用原则，GB/T 51366为建筑各阶段碳排放计算提供方法。本规范在与上述文件协调的基础上，将技术要求细化到既有建筑改造全过程：施工阶段和运行阶段的计量器具配备分别与《建筑碳排放计量器具的配备与管理 施工阶段》《建筑碳排放计量器具的配备与管理 运行阶段》相衔接；减碳量计算的基准线思路与《温室气体自愿减排项目方法学 既有公共建筑围护结构与供暖通风空调系统能效提升（CCER—06—001—V01）》相协调，核算口径与《公共机构碳排放核算指南》（JS/T 303—2026）相衔接。本规范还与尚未正式发布的计量规范《碳计量名词术语及定义》和《建筑碳排放监测平台计量技术要求》相联系。</w:t>
      </w:r>
    </w:p>
    <w:p w14:paraId="0FD5980F">
      <w:pPr>
        <w:spacing w:line="560" w:lineRule="exact"/>
        <w:ind w:firstLineChars="200"/>
        <w:jc w:val="both"/>
      </w:pPr>
      <w:r>
        <w:rPr>
          <w:rFonts w:ascii="Times New Roman" w:hAnsi="Times New Roman" w:eastAsia="宋体"/>
          <w:sz w:val="32"/>
        </w:rPr>
        <w:t>国际上，ISO 14064-1、ISO 14067、EN 15978及温室气体核算体系等文件，主要从组织、产品或建筑全生命期角度规定温室气体量化、报告和产品环境声明的一般原则。这些文件可为边界设定、数据质量和报告提供方法学参考，但通常不直接规定既有建筑改造过程的计量点设置、计量器具配备、施工与运行并行的分项计量、改造基准期与核算期选取和量值溯源要求。在现有公开资料及本项目调研范围内，尚未发现与本规范对象、边界和技术链条完全一致的计量技术规范。因此，本规范在细分应用场景、计量器具管理和数据可追溯方面具有较强的针对性和可操作性。</w:t>
      </w:r>
    </w:p>
    <w:p w14:paraId="1D21612C">
      <w:pPr>
        <w:spacing w:line="560" w:lineRule="exact"/>
        <w:ind w:firstLineChars="200"/>
        <w:jc w:val="both"/>
      </w:pPr>
      <w:r>
        <w:rPr>
          <w:rFonts w:ascii="Times New Roman" w:hAnsi="Times New Roman" w:eastAsia="宋体"/>
          <w:sz w:val="32"/>
        </w:rPr>
        <w:t>国内外还没有同类型的计量技术规范，与国内外的同类计量技术规范的水平对比处于领先位置。</w:t>
      </w:r>
    </w:p>
    <w:p w14:paraId="05069311">
      <w:pPr>
        <w:keepNext/>
        <w:spacing w:before="240" w:after="120" w:line="560" w:lineRule="exact"/>
        <w:ind w:firstLineChars="200"/>
      </w:pPr>
      <w:r>
        <w:rPr>
          <w:rFonts w:ascii="Times New Roman" w:hAnsi="Times New Roman" w:eastAsia="黑体"/>
          <w:sz w:val="32"/>
        </w:rPr>
        <w:t>五、重大意见分歧的处理依据和结果</w:t>
      </w:r>
    </w:p>
    <w:p w14:paraId="4770F922">
      <w:pPr>
        <w:spacing w:line="560" w:lineRule="exact"/>
        <w:ind w:firstLineChars="200"/>
        <w:jc w:val="both"/>
      </w:pPr>
      <w:r>
        <w:rPr>
          <w:rFonts w:ascii="Times New Roman" w:hAnsi="Times New Roman" w:eastAsia="宋体"/>
          <w:sz w:val="32"/>
        </w:rPr>
        <w:t>截至征求意见稿形成，编制过程中无重大意见分歧。征求意见结束后，应根据意见汇总处理情况更新本节，对重大分歧说明双方理由、处理依据、协调过程和最终结果。</w:t>
      </w:r>
    </w:p>
    <w:p w14:paraId="2F6B6E0D">
      <w:pPr>
        <w:keepNext/>
        <w:spacing w:before="240" w:after="120" w:line="560" w:lineRule="exact"/>
        <w:ind w:firstLineChars="200"/>
      </w:pPr>
      <w:r>
        <w:rPr>
          <w:rFonts w:ascii="Times New Roman" w:hAnsi="Times New Roman" w:eastAsia="黑体"/>
          <w:sz w:val="32"/>
        </w:rPr>
        <w:t>六、计量技术规范实施的措施（主要实施单位/宣贯培训/检定校准/建标考核/配套资金/监督检查等）</w:t>
      </w:r>
    </w:p>
    <w:p w14:paraId="107623D5">
      <w:pPr>
        <w:spacing w:line="560" w:lineRule="exact"/>
        <w:ind w:firstLineChars="200"/>
        <w:jc w:val="both"/>
      </w:pPr>
      <w:r>
        <w:rPr>
          <w:rFonts w:ascii="Times New Roman" w:hAnsi="Times New Roman" w:eastAsia="宋体"/>
          <w:sz w:val="32"/>
        </w:rPr>
        <w:t>本规范发布实施后，拟由归口单位组织，主要起草单位、参加起草单位、相关计量技术机构、既有建筑改造设计施工单位和建筑运行管理单位共同推进实施。宣贯培训是确保计量技术规范落地的重要环节，建议采用“规范条款解读+典型改造项目案例+分项计量方案设计+减碳量计算演练”的分层分类推进模式，邀请规范主编单位和行业专家，结合具体应用场景针对性开展指导。对于计量技术机构人员，侧重评定评价技能提升，组织培训班，重点培训计量边界确认、计量器具溯源审查、改造基准期与核算期确定、数据质量评价和不确定度评定等关键技术内容；对于建设单位、施工单位和建筑运行管理单位的计量人员，作为直接执行者，采用理论教学与实际案例相结合的方式，重点培训碳源流识别、计量器具配备、施工与运行并行的分项计量、数据归集分摊、减碳量计算和报告编制，确保其准确理解规范条款。</w:t>
      </w:r>
    </w:p>
    <w:p w14:paraId="67AB8C35">
      <w:pPr>
        <w:spacing w:line="560" w:lineRule="exact"/>
        <w:ind w:firstLineChars="200"/>
        <w:jc w:val="both"/>
      </w:pPr>
      <w:r>
        <w:rPr>
          <w:rFonts w:ascii="Times New Roman" w:hAnsi="Times New Roman" w:eastAsia="宋体"/>
          <w:sz w:val="32"/>
        </w:rPr>
        <w:t>建议选择不同类型、不同改造内容的既有建筑改造项目开展试点。试点单位应梳理源流清单，确定计量边界和改造基准期，建立计量器具台账、周期检定/校准计划和活动数据台账。属于强制检定范围的工作计量器具应依法申请检定；非强制检定计量器具应按规定开展检定、校准、比对或自校，并保证证书和原始记录完整有效。鼓励建立碳计量信息系统，将计量器具唯一标识、采集点编号、检定/校准证书、排放因子版本和计算模型进行关联，通过内部审核、定期复核和监督检查持续提高数据质量。规范实施一段时间后，应根据行业反馈、排放因子数据库更新情况和计量技术发展组织效果评估，适时完善相关附录和实施指南。</w:t>
      </w:r>
    </w:p>
    <w:p w14:paraId="6361878D">
      <w:pPr>
        <w:spacing w:line="560" w:lineRule="exact"/>
        <w:ind w:firstLineChars="200"/>
        <w:jc w:val="both"/>
      </w:pPr>
      <w:r>
        <w:rPr>
          <w:rFonts w:ascii="Times New Roman" w:hAnsi="Times New Roman" w:eastAsia="宋体"/>
          <w:sz w:val="32"/>
        </w:rPr>
        <w:t>此外，主要实施单位根据全国碳达峰碳中和计量技术委员会建筑碳计量分技术委员会的规章制度对本规范编制组进行定期考核，对考核不合格的人员均进行培训再考核。</w:t>
      </w:r>
    </w:p>
    <w:p w14:paraId="528803ED">
      <w:pPr>
        <w:spacing w:line="560" w:lineRule="exact"/>
        <w:ind w:firstLineChars="200"/>
        <w:jc w:val="both"/>
      </w:pPr>
      <w:r>
        <w:rPr>
          <w:rFonts w:ascii="Times New Roman" w:hAnsi="Times New Roman" w:eastAsia="宋体"/>
          <w:sz w:val="32"/>
        </w:rPr>
        <w:t>本规范的配套资金概算如下表：</w:t>
      </w:r>
    </w:p>
    <w:tbl>
      <w:tblPr>
        <w:tblStyle w:val="2"/>
        <w:tblW w:w="5000" w:type="pct"/>
        <w:jc w:val="center"/>
        <w:tblBorders>
          <w:top w:val="single" w:color="000000" w:sz="8" w:space="0"/>
          <w:left w:val="single" w:color="000000" w:sz="4" w:space="0"/>
          <w:bottom w:val="single" w:color="000000" w:sz="8" w:space="0"/>
          <w:right w:val="single" w:color="000000" w:sz="4" w:space="0"/>
          <w:insideH w:val="single" w:color="000000" w:sz="4" w:space="0"/>
          <w:insideV w:val="single" w:color="000000" w:sz="4" w:space="0"/>
        </w:tblBorders>
        <w:tblLayout w:type="autofit"/>
        <w:tblCellMar>
          <w:top w:w="0" w:type="dxa"/>
          <w:left w:w="10" w:type="dxa"/>
          <w:bottom w:w="0" w:type="dxa"/>
          <w:right w:w="10" w:type="dxa"/>
        </w:tblCellMar>
      </w:tblPr>
      <w:tblGrid>
        <w:gridCol w:w="1200"/>
        <w:gridCol w:w="5700"/>
        <w:gridCol w:w="2400"/>
      </w:tblGrid>
      <w:tr w14:paraId="22902AD3">
        <w:tblPrEx>
          <w:tblBorders>
            <w:top w:val="single" w:color="000000" w:sz="8" w:space="0"/>
            <w:left w:val="single" w:color="000000" w:sz="4" w:space="0"/>
            <w:bottom w:val="single" w:color="000000" w:sz="8" w:space="0"/>
            <w:right w:val="single" w:color="000000" w:sz="4" w:space="0"/>
            <w:insideH w:val="single" w:color="000000" w:sz="4" w:space="0"/>
            <w:insideV w:val="single" w:color="000000" w:sz="4" w:space="0"/>
          </w:tblBorders>
          <w:tblCellMar>
            <w:top w:w="0" w:type="dxa"/>
            <w:left w:w="10" w:type="dxa"/>
            <w:bottom w:w="0" w:type="dxa"/>
            <w:right w:w="10" w:type="dxa"/>
          </w:tblCellMar>
        </w:tblPrEx>
        <w:trPr>
          <w:tblHeader/>
          <w:jc w:val="center"/>
        </w:trPr>
        <w:tc>
          <w:tcPr>
            <w:tcW w:w="1200" w:type="dxa"/>
          </w:tcPr>
          <w:p w14:paraId="6CB0509A">
            <w:pPr>
              <w:spacing w:before="40" w:after="40" w:line="360" w:lineRule="auto"/>
              <w:jc w:val="center"/>
            </w:pPr>
            <w:r>
              <w:rPr>
                <w:rFonts w:ascii="Times New Roman" w:hAnsi="Times New Roman" w:eastAsia="宋体"/>
                <w:b/>
                <w:sz w:val="28"/>
              </w:rPr>
              <w:t>序号</w:t>
            </w:r>
          </w:p>
        </w:tc>
        <w:tc>
          <w:tcPr>
            <w:tcW w:w="5700" w:type="dxa"/>
          </w:tcPr>
          <w:p w14:paraId="5EC45A22">
            <w:pPr>
              <w:spacing w:before="40" w:after="40" w:line="360" w:lineRule="auto"/>
              <w:jc w:val="center"/>
            </w:pPr>
            <w:r>
              <w:rPr>
                <w:rFonts w:ascii="Times New Roman" w:hAnsi="Times New Roman" w:eastAsia="宋体"/>
                <w:b/>
                <w:sz w:val="28"/>
              </w:rPr>
              <w:t>概算科目名称</w:t>
            </w:r>
          </w:p>
        </w:tc>
        <w:tc>
          <w:tcPr>
            <w:tcW w:w="2400" w:type="dxa"/>
          </w:tcPr>
          <w:p w14:paraId="564D6CD1">
            <w:pPr>
              <w:spacing w:before="40" w:after="40" w:line="360" w:lineRule="auto"/>
              <w:jc w:val="center"/>
            </w:pPr>
            <w:r>
              <w:rPr>
                <w:rFonts w:ascii="Times New Roman" w:hAnsi="Times New Roman" w:eastAsia="宋体"/>
                <w:b/>
                <w:sz w:val="28"/>
              </w:rPr>
              <w:t>概算（万元）</w:t>
            </w:r>
          </w:p>
        </w:tc>
      </w:tr>
      <w:tr w14:paraId="06E4E412">
        <w:tblPrEx>
          <w:tblBorders>
            <w:top w:val="single" w:color="000000" w:sz="8" w:space="0"/>
            <w:left w:val="single" w:color="000000" w:sz="4" w:space="0"/>
            <w:bottom w:val="single" w:color="000000" w:sz="8" w:space="0"/>
            <w:right w:val="single" w:color="000000" w:sz="4" w:space="0"/>
            <w:insideH w:val="single" w:color="000000" w:sz="4" w:space="0"/>
            <w:insideV w:val="single" w:color="000000" w:sz="4" w:space="0"/>
          </w:tblBorders>
          <w:tblCellMar>
            <w:top w:w="0" w:type="dxa"/>
            <w:left w:w="10" w:type="dxa"/>
            <w:bottom w:w="0" w:type="dxa"/>
            <w:right w:w="10" w:type="dxa"/>
          </w:tblCellMar>
        </w:tblPrEx>
        <w:trPr>
          <w:jc w:val="center"/>
        </w:trPr>
        <w:tc>
          <w:tcPr>
            <w:tcW w:w="1200" w:type="dxa"/>
          </w:tcPr>
          <w:p w14:paraId="00CA94DC">
            <w:pPr>
              <w:spacing w:before="40" w:after="40" w:line="360" w:lineRule="auto"/>
              <w:jc w:val="center"/>
            </w:pPr>
            <w:r>
              <w:rPr>
                <w:rFonts w:ascii="Times New Roman" w:hAnsi="Times New Roman" w:eastAsia="宋体"/>
                <w:sz w:val="28"/>
              </w:rPr>
              <w:t>1</w:t>
            </w:r>
          </w:p>
        </w:tc>
        <w:tc>
          <w:tcPr>
            <w:tcW w:w="5700" w:type="dxa"/>
          </w:tcPr>
          <w:p w14:paraId="7F16A38D">
            <w:pPr>
              <w:spacing w:before="40" w:after="40" w:line="360" w:lineRule="auto"/>
              <w:jc w:val="center"/>
            </w:pPr>
            <w:r>
              <w:rPr>
                <w:rFonts w:ascii="Times New Roman" w:hAnsi="Times New Roman" w:eastAsia="宋体"/>
                <w:sz w:val="28"/>
              </w:rPr>
              <w:t>试验验证费用</w:t>
            </w:r>
          </w:p>
        </w:tc>
        <w:tc>
          <w:tcPr>
            <w:tcW w:w="2400" w:type="dxa"/>
          </w:tcPr>
          <w:p w14:paraId="64F6BBEB">
            <w:pPr>
              <w:spacing w:before="40" w:after="40" w:line="360" w:lineRule="auto"/>
              <w:jc w:val="center"/>
            </w:pPr>
            <w:r>
              <w:rPr>
                <w:rFonts w:ascii="Times New Roman" w:hAnsi="Times New Roman" w:eastAsia="宋体"/>
                <w:sz w:val="28"/>
              </w:rPr>
              <w:t>30.0</w:t>
            </w:r>
          </w:p>
        </w:tc>
      </w:tr>
      <w:tr w14:paraId="2452FA78">
        <w:tblPrEx>
          <w:tblBorders>
            <w:top w:val="single" w:color="000000" w:sz="8" w:space="0"/>
            <w:left w:val="single" w:color="000000" w:sz="4" w:space="0"/>
            <w:bottom w:val="single" w:color="000000" w:sz="8" w:space="0"/>
            <w:right w:val="single" w:color="000000" w:sz="4" w:space="0"/>
            <w:insideH w:val="single" w:color="000000" w:sz="4" w:space="0"/>
            <w:insideV w:val="single" w:color="000000" w:sz="4" w:space="0"/>
          </w:tblBorders>
          <w:tblCellMar>
            <w:top w:w="0" w:type="dxa"/>
            <w:left w:w="10" w:type="dxa"/>
            <w:bottom w:w="0" w:type="dxa"/>
            <w:right w:w="10" w:type="dxa"/>
          </w:tblCellMar>
        </w:tblPrEx>
        <w:trPr>
          <w:jc w:val="center"/>
        </w:trPr>
        <w:tc>
          <w:tcPr>
            <w:tcW w:w="1200" w:type="dxa"/>
          </w:tcPr>
          <w:p w14:paraId="2B29DA7F">
            <w:pPr>
              <w:spacing w:before="40" w:after="40" w:line="360" w:lineRule="auto"/>
              <w:jc w:val="center"/>
            </w:pPr>
            <w:r>
              <w:rPr>
                <w:rFonts w:ascii="Times New Roman" w:hAnsi="Times New Roman" w:eastAsia="宋体"/>
                <w:sz w:val="28"/>
              </w:rPr>
              <w:t>2</w:t>
            </w:r>
          </w:p>
        </w:tc>
        <w:tc>
          <w:tcPr>
            <w:tcW w:w="5700" w:type="dxa"/>
          </w:tcPr>
          <w:p w14:paraId="32A8AF25">
            <w:pPr>
              <w:spacing w:before="40" w:after="40" w:line="360" w:lineRule="auto"/>
              <w:jc w:val="center"/>
            </w:pPr>
            <w:r>
              <w:rPr>
                <w:rFonts w:ascii="Times New Roman" w:hAnsi="Times New Roman" w:eastAsia="宋体"/>
                <w:sz w:val="28"/>
              </w:rPr>
              <w:t>差旅费</w:t>
            </w:r>
          </w:p>
        </w:tc>
        <w:tc>
          <w:tcPr>
            <w:tcW w:w="2400" w:type="dxa"/>
          </w:tcPr>
          <w:p w14:paraId="55B21CC5">
            <w:pPr>
              <w:spacing w:before="40" w:after="40" w:line="360" w:lineRule="auto"/>
              <w:jc w:val="center"/>
            </w:pPr>
            <w:r>
              <w:rPr>
                <w:rFonts w:ascii="Times New Roman" w:hAnsi="Times New Roman" w:eastAsia="宋体"/>
                <w:sz w:val="28"/>
              </w:rPr>
              <w:t>10.0</w:t>
            </w:r>
          </w:p>
        </w:tc>
      </w:tr>
      <w:tr w14:paraId="6CAAD9FF">
        <w:tblPrEx>
          <w:tblBorders>
            <w:top w:val="single" w:color="000000" w:sz="8" w:space="0"/>
            <w:left w:val="single" w:color="000000" w:sz="4" w:space="0"/>
            <w:bottom w:val="single" w:color="000000" w:sz="8" w:space="0"/>
            <w:right w:val="single" w:color="000000" w:sz="4" w:space="0"/>
            <w:insideH w:val="single" w:color="000000" w:sz="4" w:space="0"/>
            <w:insideV w:val="single" w:color="000000" w:sz="4" w:space="0"/>
          </w:tblBorders>
          <w:tblCellMar>
            <w:top w:w="0" w:type="dxa"/>
            <w:left w:w="10" w:type="dxa"/>
            <w:bottom w:w="0" w:type="dxa"/>
            <w:right w:w="10" w:type="dxa"/>
          </w:tblCellMar>
        </w:tblPrEx>
        <w:trPr>
          <w:jc w:val="center"/>
        </w:trPr>
        <w:tc>
          <w:tcPr>
            <w:tcW w:w="1200" w:type="dxa"/>
          </w:tcPr>
          <w:p w14:paraId="1609D987">
            <w:pPr>
              <w:spacing w:before="40" w:after="40" w:line="360" w:lineRule="auto"/>
              <w:jc w:val="center"/>
            </w:pPr>
            <w:r>
              <w:rPr>
                <w:rFonts w:ascii="Times New Roman" w:hAnsi="Times New Roman" w:eastAsia="宋体"/>
                <w:sz w:val="28"/>
              </w:rPr>
              <w:t>3</w:t>
            </w:r>
          </w:p>
        </w:tc>
        <w:tc>
          <w:tcPr>
            <w:tcW w:w="5700" w:type="dxa"/>
          </w:tcPr>
          <w:p w14:paraId="06FE99F3">
            <w:pPr>
              <w:spacing w:before="40" w:after="40" w:line="360" w:lineRule="auto"/>
              <w:jc w:val="center"/>
            </w:pPr>
            <w:r>
              <w:rPr>
                <w:rFonts w:ascii="Times New Roman" w:hAnsi="Times New Roman" w:eastAsia="宋体"/>
                <w:sz w:val="28"/>
              </w:rPr>
              <w:t>会议费</w:t>
            </w:r>
          </w:p>
        </w:tc>
        <w:tc>
          <w:tcPr>
            <w:tcW w:w="2400" w:type="dxa"/>
          </w:tcPr>
          <w:p w14:paraId="563555EE">
            <w:pPr>
              <w:spacing w:before="40" w:after="40" w:line="360" w:lineRule="auto"/>
              <w:jc w:val="center"/>
            </w:pPr>
            <w:r>
              <w:rPr>
                <w:rFonts w:ascii="Times New Roman" w:hAnsi="Times New Roman" w:eastAsia="宋体"/>
                <w:sz w:val="28"/>
              </w:rPr>
              <w:t>5.0</w:t>
            </w:r>
          </w:p>
        </w:tc>
      </w:tr>
      <w:tr w14:paraId="4C42DB5F">
        <w:tblPrEx>
          <w:tblBorders>
            <w:top w:val="single" w:color="000000" w:sz="8" w:space="0"/>
            <w:left w:val="single" w:color="000000" w:sz="4" w:space="0"/>
            <w:bottom w:val="single" w:color="000000" w:sz="8" w:space="0"/>
            <w:right w:val="single" w:color="000000" w:sz="4" w:space="0"/>
            <w:insideH w:val="single" w:color="000000" w:sz="4" w:space="0"/>
            <w:insideV w:val="single" w:color="000000" w:sz="4" w:space="0"/>
          </w:tblBorders>
          <w:tblCellMar>
            <w:top w:w="0" w:type="dxa"/>
            <w:left w:w="10" w:type="dxa"/>
            <w:bottom w:w="0" w:type="dxa"/>
            <w:right w:w="10" w:type="dxa"/>
          </w:tblCellMar>
        </w:tblPrEx>
        <w:trPr>
          <w:jc w:val="center"/>
        </w:trPr>
        <w:tc>
          <w:tcPr>
            <w:tcW w:w="1200" w:type="dxa"/>
          </w:tcPr>
          <w:p w14:paraId="6E9AD320">
            <w:pPr>
              <w:spacing w:before="40" w:after="40" w:line="360" w:lineRule="auto"/>
              <w:jc w:val="center"/>
            </w:pPr>
            <w:r>
              <w:rPr>
                <w:rFonts w:ascii="Times New Roman" w:hAnsi="Times New Roman" w:eastAsia="宋体"/>
                <w:sz w:val="28"/>
              </w:rPr>
              <w:t>4</w:t>
            </w:r>
          </w:p>
        </w:tc>
        <w:tc>
          <w:tcPr>
            <w:tcW w:w="5700" w:type="dxa"/>
          </w:tcPr>
          <w:p w14:paraId="16C56407">
            <w:pPr>
              <w:spacing w:before="40" w:after="40" w:line="360" w:lineRule="auto"/>
              <w:jc w:val="center"/>
            </w:pPr>
            <w:r>
              <w:rPr>
                <w:rFonts w:ascii="Times New Roman" w:hAnsi="Times New Roman" w:eastAsia="宋体"/>
                <w:sz w:val="28"/>
              </w:rPr>
              <w:t>出版、文献、知识产权事务费、资料费、印刷费</w:t>
            </w:r>
          </w:p>
        </w:tc>
        <w:tc>
          <w:tcPr>
            <w:tcW w:w="2400" w:type="dxa"/>
          </w:tcPr>
          <w:p w14:paraId="7F60F96C">
            <w:pPr>
              <w:spacing w:before="40" w:after="40" w:line="360" w:lineRule="auto"/>
              <w:jc w:val="center"/>
            </w:pPr>
            <w:r>
              <w:rPr>
                <w:rFonts w:ascii="Times New Roman" w:hAnsi="Times New Roman" w:eastAsia="宋体"/>
                <w:sz w:val="28"/>
              </w:rPr>
              <w:t>2.0</w:t>
            </w:r>
          </w:p>
        </w:tc>
      </w:tr>
      <w:tr w14:paraId="1BD2C183">
        <w:tblPrEx>
          <w:tblBorders>
            <w:top w:val="single" w:color="000000" w:sz="8" w:space="0"/>
            <w:left w:val="single" w:color="000000" w:sz="4" w:space="0"/>
            <w:bottom w:val="single" w:color="000000" w:sz="8" w:space="0"/>
            <w:right w:val="single" w:color="000000" w:sz="4" w:space="0"/>
            <w:insideH w:val="single" w:color="000000" w:sz="4" w:space="0"/>
            <w:insideV w:val="single" w:color="000000" w:sz="4" w:space="0"/>
          </w:tblBorders>
          <w:tblCellMar>
            <w:top w:w="0" w:type="dxa"/>
            <w:left w:w="10" w:type="dxa"/>
            <w:bottom w:w="0" w:type="dxa"/>
            <w:right w:w="10" w:type="dxa"/>
          </w:tblCellMar>
        </w:tblPrEx>
        <w:trPr>
          <w:jc w:val="center"/>
        </w:trPr>
        <w:tc>
          <w:tcPr>
            <w:tcW w:w="1200" w:type="dxa"/>
          </w:tcPr>
          <w:p w14:paraId="0E38B66D">
            <w:pPr>
              <w:spacing w:before="40" w:after="40" w:line="360" w:lineRule="auto"/>
              <w:jc w:val="center"/>
            </w:pPr>
            <w:r>
              <w:rPr>
                <w:rFonts w:ascii="Times New Roman" w:hAnsi="Times New Roman" w:eastAsia="宋体"/>
                <w:sz w:val="28"/>
              </w:rPr>
              <w:t>5</w:t>
            </w:r>
          </w:p>
        </w:tc>
        <w:tc>
          <w:tcPr>
            <w:tcW w:w="5700" w:type="dxa"/>
          </w:tcPr>
          <w:p w14:paraId="0636B907">
            <w:pPr>
              <w:spacing w:before="40" w:after="40" w:line="360" w:lineRule="auto"/>
              <w:jc w:val="center"/>
            </w:pPr>
            <w:r>
              <w:rPr>
                <w:rFonts w:ascii="Times New Roman" w:hAnsi="Times New Roman" w:eastAsia="宋体"/>
                <w:sz w:val="28"/>
              </w:rPr>
              <w:t>专家咨询费</w:t>
            </w:r>
          </w:p>
        </w:tc>
        <w:tc>
          <w:tcPr>
            <w:tcW w:w="2400" w:type="dxa"/>
          </w:tcPr>
          <w:p w14:paraId="6B8D8C5B">
            <w:pPr>
              <w:spacing w:before="40" w:after="40" w:line="360" w:lineRule="auto"/>
              <w:jc w:val="center"/>
            </w:pPr>
            <w:r>
              <w:rPr>
                <w:rFonts w:ascii="Times New Roman" w:hAnsi="Times New Roman" w:eastAsia="宋体"/>
                <w:sz w:val="28"/>
              </w:rPr>
              <w:t>3.0</w:t>
            </w:r>
          </w:p>
        </w:tc>
      </w:tr>
      <w:tr w14:paraId="2E52CD28">
        <w:tblPrEx>
          <w:tblBorders>
            <w:top w:val="single" w:color="000000" w:sz="8" w:space="0"/>
            <w:left w:val="single" w:color="000000" w:sz="4" w:space="0"/>
            <w:bottom w:val="single" w:color="000000" w:sz="8" w:space="0"/>
            <w:right w:val="single" w:color="000000" w:sz="4" w:space="0"/>
            <w:insideH w:val="single" w:color="000000" w:sz="4" w:space="0"/>
            <w:insideV w:val="single" w:color="000000" w:sz="4" w:space="0"/>
          </w:tblBorders>
          <w:tblCellMar>
            <w:top w:w="0" w:type="dxa"/>
            <w:left w:w="10" w:type="dxa"/>
            <w:bottom w:w="0" w:type="dxa"/>
            <w:right w:w="10" w:type="dxa"/>
          </w:tblCellMar>
        </w:tblPrEx>
        <w:trPr>
          <w:jc w:val="center"/>
        </w:trPr>
        <w:tc>
          <w:tcPr>
            <w:tcW w:w="1200" w:type="dxa"/>
          </w:tcPr>
          <w:p w14:paraId="520893F2">
            <w:pPr>
              <w:spacing w:before="40" w:after="40" w:line="360" w:lineRule="auto"/>
              <w:jc w:val="center"/>
            </w:pPr>
            <w:r>
              <w:rPr>
                <w:rFonts w:ascii="Times New Roman" w:hAnsi="Times New Roman" w:eastAsia="宋体"/>
                <w:sz w:val="28"/>
              </w:rPr>
              <w:t>合计</w:t>
            </w:r>
          </w:p>
        </w:tc>
        <w:tc>
          <w:tcPr>
            <w:tcW w:w="5700" w:type="dxa"/>
          </w:tcPr>
          <w:p w14:paraId="595F1E70">
            <w:pPr>
              <w:spacing w:before="40" w:after="40" w:line="360" w:lineRule="auto"/>
              <w:jc w:val="center"/>
            </w:pPr>
          </w:p>
        </w:tc>
        <w:tc>
          <w:tcPr>
            <w:tcW w:w="2400" w:type="dxa"/>
          </w:tcPr>
          <w:p w14:paraId="5023B190">
            <w:pPr>
              <w:spacing w:before="40" w:after="40" w:line="360" w:lineRule="auto"/>
              <w:jc w:val="center"/>
            </w:pPr>
            <w:r>
              <w:rPr>
                <w:rFonts w:ascii="Times New Roman" w:hAnsi="Times New Roman" w:eastAsia="宋体"/>
                <w:sz w:val="28"/>
              </w:rPr>
              <w:t>50.0</w:t>
            </w:r>
          </w:p>
        </w:tc>
      </w:tr>
    </w:tbl>
    <w:p w14:paraId="7C50AE08">
      <w:pPr>
        <w:spacing w:line="560" w:lineRule="exact"/>
        <w:ind w:firstLineChars="200"/>
        <w:jc w:val="both"/>
      </w:pPr>
      <w:r>
        <w:rPr>
          <w:rFonts w:ascii="Times New Roman" w:hAnsi="Times New Roman" w:eastAsia="宋体"/>
          <w:sz w:val="32"/>
        </w:rPr>
        <w:t>本规范经费由起草单位自筹，全部用于规范调研、实验验证、专家咨询、会议审查、文献资料、出版印刷和宣贯培训等编制规范相关工作。</w:t>
      </w:r>
    </w:p>
    <w:p w14:paraId="099D025A">
      <w:pPr>
        <w:keepNext/>
        <w:spacing w:before="240" w:after="120" w:line="560" w:lineRule="exact"/>
        <w:ind w:firstLineChars="200"/>
      </w:pPr>
      <w:r>
        <w:rPr>
          <w:rFonts w:ascii="Times New Roman" w:hAnsi="Times New Roman" w:eastAsia="黑体"/>
          <w:sz w:val="32"/>
        </w:rPr>
        <w:t>七、其他应说明的事项</w:t>
      </w:r>
    </w:p>
    <w:p w14:paraId="6565C188">
      <w:pPr>
        <w:spacing w:line="560" w:lineRule="exact"/>
        <w:ind w:firstLineChars="200"/>
        <w:jc w:val="both"/>
      </w:pPr>
      <w:r>
        <w:rPr>
          <w:rFonts w:ascii="Times New Roman" w:hAnsi="Times New Roman" w:eastAsia="宋体"/>
          <w:sz w:val="32"/>
        </w:rPr>
        <w:t>规范编制组在制定本规范的过程中，按以下原则完成规范的起草工作：</w:t>
      </w:r>
    </w:p>
    <w:p w14:paraId="03769273">
      <w:pPr>
        <w:spacing w:line="560" w:lineRule="exact"/>
        <w:ind w:firstLineChars="200"/>
        <w:jc w:val="both"/>
      </w:pPr>
      <w:r>
        <w:rPr>
          <w:rFonts w:ascii="Times New Roman" w:hAnsi="Times New Roman" w:eastAsia="宋体"/>
          <w:sz w:val="32"/>
        </w:rPr>
        <w:t>1、合规性原则。贯彻国家碳达峰碳中和、碳排放双控和计量发展要求，参照国际标准和国家相关法律法规，与现行计量法律法规、计量技术规范和国家标准保持协调，保证规范的先进性和可行性；</w:t>
      </w:r>
    </w:p>
    <w:p w14:paraId="732896F0">
      <w:pPr>
        <w:spacing w:line="560" w:lineRule="exact"/>
        <w:ind w:firstLineChars="200"/>
        <w:jc w:val="both"/>
      </w:pPr>
      <w:r>
        <w:rPr>
          <w:rFonts w:ascii="Times New Roman" w:hAnsi="Times New Roman" w:eastAsia="宋体"/>
          <w:sz w:val="32"/>
        </w:rPr>
        <w:t>2、科学性原则。以排放源流和测量模型为主线，明确计量对象、计量边界、活动数据、排放因子和不确定度之间的逻辑关系；</w:t>
      </w:r>
    </w:p>
    <w:p w14:paraId="01A38318">
      <w:pPr>
        <w:spacing w:line="560" w:lineRule="exact"/>
        <w:ind w:firstLineChars="200"/>
        <w:jc w:val="both"/>
      </w:pPr>
      <w:r>
        <w:rPr>
          <w:rFonts w:ascii="Times New Roman" w:hAnsi="Times New Roman" w:eastAsia="宋体"/>
          <w:sz w:val="32"/>
        </w:rPr>
        <w:t>3、准确可靠原则。优先采用直接计量和实测数据，强化计量器具量值溯源、数据质量控制和结果不确定度表达，保证既有建筑改造过程碳排放量的准确可靠；</w:t>
      </w:r>
    </w:p>
    <w:p w14:paraId="1B279808">
      <w:pPr>
        <w:spacing w:line="560" w:lineRule="exact"/>
        <w:ind w:firstLineChars="200"/>
        <w:jc w:val="both"/>
      </w:pPr>
      <w:r>
        <w:rPr>
          <w:rFonts w:ascii="Times New Roman" w:hAnsi="Times New Roman" w:eastAsia="宋体"/>
          <w:sz w:val="32"/>
        </w:rPr>
        <w:t>4、可操作性原则。充分考虑既有建筑改造工程的实际工艺、管理水平和数据基础，在计量方法的选择上既采用先进准确的方法，又考虑方法的经济性和便捷性，力求经济适用、操作方便；</w:t>
      </w:r>
    </w:p>
    <w:p w14:paraId="4D42B107">
      <w:pPr>
        <w:spacing w:line="560" w:lineRule="exact"/>
        <w:ind w:firstLineChars="200"/>
        <w:jc w:val="both"/>
      </w:pPr>
      <w:r>
        <w:rPr>
          <w:rFonts w:ascii="Times New Roman" w:hAnsi="Times New Roman" w:eastAsia="宋体"/>
          <w:sz w:val="32"/>
        </w:rPr>
        <w:t>5、可追溯与可比较原则。通过统一的源流清单、计量报告格式、基准期与核算期规定和不确定度表达，支持不同改造项目、不同建筑类型之间计量结果的合理比较。</w:t>
      </w:r>
    </w:p>
    <w:p w14:paraId="71404CCD">
      <w:pPr>
        <w:spacing w:line="560" w:lineRule="exact"/>
        <w:ind w:firstLineChars="200"/>
        <w:jc w:val="both"/>
      </w:pPr>
      <w:r>
        <w:rPr>
          <w:rFonts w:ascii="Times New Roman" w:hAnsi="Times New Roman" w:eastAsia="宋体"/>
          <w:sz w:val="32"/>
        </w:rPr>
        <w:t>本规范执行操作说明：</w:t>
      </w:r>
    </w:p>
    <w:p w14:paraId="021BBF71">
      <w:pPr>
        <w:spacing w:line="560" w:lineRule="exact"/>
        <w:ind w:firstLineChars="200"/>
        <w:jc w:val="both"/>
      </w:pPr>
      <w:r>
        <w:rPr>
          <w:rFonts w:ascii="Times New Roman" w:hAnsi="Times New Roman" w:eastAsia="宋体"/>
          <w:sz w:val="32"/>
        </w:rPr>
        <w:t>1、收集建筑基本信息和改造方案信息，包括建筑名称、所在地址、建筑面积、建筑类型、使用功能、改造内容、改造时间、能源系统形式等，确定计量对象和适用阶段。</w:t>
      </w:r>
    </w:p>
    <w:p w14:paraId="3030319E">
      <w:pPr>
        <w:spacing w:line="560" w:lineRule="exact"/>
        <w:ind w:firstLineChars="200"/>
        <w:jc w:val="both"/>
      </w:pPr>
      <w:r>
        <w:rPr>
          <w:rFonts w:ascii="Times New Roman" w:hAnsi="Times New Roman" w:eastAsia="宋体"/>
          <w:sz w:val="32"/>
        </w:rPr>
        <w:t>2、确定计量边界和计量范围。依据规范第4章确定建材运输阶段、施工阶段、运行阶段的空间边界和时间边界，识别改造是否涉及使用功能变更，确定是否适用差值法评估减碳量，并确定改造基准期与核算期。</w:t>
      </w:r>
    </w:p>
    <w:p w14:paraId="58A6BBFE">
      <w:pPr>
        <w:spacing w:line="560" w:lineRule="exact"/>
        <w:ind w:firstLineChars="200"/>
        <w:jc w:val="both"/>
      </w:pPr>
      <w:r>
        <w:rPr>
          <w:rFonts w:ascii="Times New Roman" w:hAnsi="Times New Roman" w:eastAsia="宋体"/>
          <w:sz w:val="32"/>
        </w:rPr>
        <w:t>3、识别碳源流并划分主要源流与次要源流。按规范第5章和附录A梳理各阶段化石燃料燃烧、其他温室气体逸散、净购入电力、净购入热力等源流，形成碳源流清单。</w:t>
      </w:r>
    </w:p>
    <w:p w14:paraId="4AA546A8">
      <w:pPr>
        <w:spacing w:line="560" w:lineRule="exact"/>
        <w:ind w:firstLineChars="200"/>
        <w:jc w:val="both"/>
      </w:pPr>
      <w:r>
        <w:rPr>
          <w:rFonts w:ascii="Times New Roman" w:hAnsi="Times New Roman" w:eastAsia="宋体"/>
          <w:sz w:val="32"/>
        </w:rPr>
        <w:t>4、核查计量器具。对照规范第5章及《建筑碳排放计量器具的配备与管理 施工阶段》《建筑碳排放计量器具的配备与管理 运行阶段》的要求，确认计量器具的类型、准确度等级、安装位置、检定/校准状态和证书有效性；不停运改造项目应核查施工区域与正常运行区域计量回路的独立性，满足上述要求后再获取相关活动数据。</w:t>
      </w:r>
    </w:p>
    <w:p w14:paraId="58A03672">
      <w:pPr>
        <w:spacing w:line="560" w:lineRule="exact"/>
        <w:ind w:firstLineChars="200"/>
        <w:jc w:val="both"/>
      </w:pPr>
      <w:r>
        <w:rPr>
          <w:rFonts w:ascii="Times New Roman" w:hAnsi="Times New Roman" w:eastAsia="宋体"/>
          <w:sz w:val="32"/>
        </w:rPr>
        <w:t>5、获取活动数据并评定不确定度。按实测值＞计算法＞经验值估算法的优先级获取各源流活动数据，记录数据来源、发布时间及适用范围；按规范附录D评定活动数据不确定度，无法获取实测不确定度时按附录F赋值。</w:t>
      </w:r>
    </w:p>
    <w:p w14:paraId="103FDE1A">
      <w:pPr>
        <w:spacing w:line="560" w:lineRule="exact"/>
        <w:ind w:firstLineChars="200"/>
        <w:jc w:val="both"/>
      </w:pPr>
      <w:r>
        <w:rPr>
          <w:rFonts w:ascii="Times New Roman" w:hAnsi="Times New Roman" w:eastAsia="宋体"/>
          <w:sz w:val="32"/>
        </w:rPr>
        <w:t>6、确定碳排放因子。按实测值＞地方发布值＞国家发布值的优先级选用排放因子，记录来源、发布时间及适用范围；化石燃料排放因子宜按规范第5章的方法由实测参数计算。</w:t>
      </w:r>
    </w:p>
    <w:p w14:paraId="775E4090">
      <w:pPr>
        <w:spacing w:line="560" w:lineRule="exact"/>
        <w:ind w:firstLineChars="200"/>
        <w:jc w:val="both"/>
      </w:pPr>
      <w:r>
        <w:rPr>
          <w:rFonts w:ascii="Times New Roman" w:hAnsi="Times New Roman" w:eastAsia="宋体"/>
          <w:sz w:val="32"/>
        </w:rPr>
        <w:t>7、计算与报告。汇总各源流活动数据和碳排放因子，计算各阶段碳排放量、改造前后运行阶段碳减排量和改造综合减碳效益，按规范附录C形成既有建筑改造过程碳排放计量报告，给出合成不确定度，并完成审核与证据归档。</w:t>
      </w:r>
    </w:p>
    <w:p w14:paraId="10ACF897">
      <w:pPr>
        <w:spacing w:before="480"/>
      </w:pPr>
    </w:p>
    <w:p w14:paraId="4F60FF29">
      <w:pPr>
        <w:spacing w:line="560" w:lineRule="exact"/>
        <w:jc w:val="right"/>
      </w:pPr>
      <w:r>
        <w:rPr>
          <w:rFonts w:ascii="Times New Roman" w:hAnsi="Times New Roman" w:eastAsia="宋体"/>
          <w:sz w:val="32"/>
        </w:rPr>
        <w:t>《既有建筑改造过程碳排放计量技术要求》编制组</w:t>
      </w:r>
    </w:p>
    <w:p w14:paraId="1CD27715">
      <w:pPr>
        <w:spacing w:line="560" w:lineRule="exact"/>
        <w:jc w:val="right"/>
      </w:pPr>
      <w:r>
        <w:rPr>
          <w:rFonts w:ascii="Times New Roman" w:hAnsi="Times New Roman" w:eastAsia="宋体"/>
          <w:sz w:val="32"/>
        </w:rPr>
        <w:t>2026年8月</w:t>
      </w:r>
    </w:p>
    <w:sectPr>
      <w:footerReference r:id="rId3" w:type="default"/>
      <w:pgSz w:w="11906" w:h="16838"/>
      <w:pgMar w:top="2098" w:right="1474" w:bottom="1985" w:left="1587" w:header="851" w:footer="851"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A22C75B1-07DA-46A6-8B25-796BC48A085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0C08B51B-2CA3-4242-A27D-4545FD311279}"/>
  </w:font>
  <w:font w:name="方正小标宋简体">
    <w:panose1 w:val="02000000000000000000"/>
    <w:charset w:val="86"/>
    <w:family w:val="auto"/>
    <w:pitch w:val="default"/>
    <w:sig w:usb0="00000001" w:usb1="08000000" w:usb2="00000000" w:usb3="00000000" w:csb0="00040000" w:csb1="00000000"/>
    <w:embedRegular r:id="rId3" w:fontKey="{27EBD35C-44BD-4520-8B5E-A651CBC188C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D7BB6E">
    <w:pPr>
      <w:jc w:val="center"/>
    </w:pPr>
    <w:r>
      <w:rPr>
        <w:rFonts w:ascii="Times New Roman" w:hAnsi="Times New Roman" w:eastAsia="宋体"/>
        <w:sz w:val="18"/>
      </w:rPr>
      <w:t xml:space="preserve">— </w:t>
    </w:r>
    <w:r>
      <w:rPr>
        <w:rFonts w:ascii="Times New Roman" w:hAnsi="Times New Roman" w:eastAsia="宋体"/>
        <w:sz w:val="18"/>
      </w:rPr>
      <w:fldChar w:fldCharType="begin"/>
    </w:r>
    <w:r>
      <w:rPr>
        <w:rFonts w:ascii="Times New Roman" w:hAnsi="Times New Roman" w:eastAsia="宋体"/>
        <w:sz w:val="18"/>
      </w:rPr>
      <w:instrText xml:space="preserve"> PAGE </w:instrText>
    </w:r>
    <w:r>
      <w:rPr>
        <w:rFonts w:ascii="Times New Roman" w:hAnsi="Times New Roman" w:eastAsia="宋体"/>
        <w:sz w:val="18"/>
      </w:rPr>
      <w:fldChar w:fldCharType="separate"/>
    </w:r>
    <w:r>
      <w:rPr>
        <w:rFonts w:ascii="Times New Roman" w:hAnsi="Times New Roman" w:eastAsia="宋体"/>
        <w:sz w:val="18"/>
      </w:rPr>
      <w:t>1</w:t>
    </w:r>
    <w:r>
      <w:rPr>
        <w:rFonts w:ascii="Times New Roman" w:hAnsi="Times New Roman" w:eastAsia="宋体"/>
        <w:sz w:val="18"/>
      </w:rPr>
      <w:fldChar w:fldCharType="end"/>
    </w:r>
    <w:r>
      <w:rPr>
        <w:rFonts w:ascii="Times New Roman" w:hAnsi="Times New Roman" w:eastAsia="宋体"/>
        <w:sz w:val="18"/>
      </w:rPr>
      <w:t xml:space="preserve"> —</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6"/>
  <w:documentProtection w:enforcement="0"/>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10A4EE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18</Pages>
  <Words>3430</Words>
  <Characters>3552</Characters>
  <TotalTime>1</TotalTime>
  <ScaleCrop>false</ScaleCrop>
  <LinksUpToDate>false</LinksUpToDate>
  <CharactersWithSpaces>3562</CharactersWithSpaces>
  <Application>WPS Office_12.1.0.28043_F1E327BC-269C-435d-A152-05C5408002CA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2026-08-11T10:09:34Z</dcterms:created>
  <dc:creator>Admin</dc:creator>
  <cp:lastModifiedBy>冯夕宸</cp:lastModifiedBy>
  <dcterms:modified xsi:type="dcterms:W3CDTF">2026-08-11T10:11:57Z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F0477D52270943EFBFAA6831E9DC3E04_13</vt:lpwstr>
  </property>
</Properties>
</file>