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A8F7B0">
      <w:pPr>
        <w:spacing w:line="240" w:lineRule="auto"/>
        <w:ind w:firstLine="240" w:firstLineChars="100"/>
        <w:rPr>
          <w:rFonts w:cs="Times New Roman"/>
          <w:color w:val="auto"/>
          <w:szCs w:val="24"/>
        </w:rPr>
      </w:pPr>
      <w:r>
        <w:rPr>
          <w:rFonts w:cs="Times New Roman"/>
          <w:color w:val="auto"/>
          <w:szCs w:val="24"/>
        </w:rPr>
        <w:fldChar w:fldCharType="begin"/>
      </w:r>
      <w:r>
        <w:rPr>
          <w:rFonts w:cs="Times New Roman"/>
          <w:color w:val="auto"/>
          <w:szCs w:val="24"/>
        </w:rPr>
        <w:instrText xml:space="preserve"> MACROBUTTON MTEditEquationSection2 </w:instrText>
      </w:r>
      <w:r>
        <w:rPr>
          <w:rStyle w:val="48"/>
          <w:color w:val="auto"/>
        </w:rPr>
        <w:instrText xml:space="preserve">Equation Chapter 1 Section 1</w:instrText>
      </w:r>
      <w:r>
        <w:rPr>
          <w:rFonts w:cs="Times New Roman"/>
          <w:color w:val="auto"/>
          <w:szCs w:val="24"/>
        </w:rPr>
        <w:fldChar w:fldCharType="begin"/>
      </w:r>
      <w:r>
        <w:rPr>
          <w:rFonts w:cs="Times New Roman"/>
          <w:color w:val="auto"/>
          <w:szCs w:val="24"/>
        </w:rPr>
        <w:instrText xml:space="preserve"> SEQ MTEqn \r \h \* MERGEFORMAT </w:instrText>
      </w:r>
      <w:r>
        <w:rPr>
          <w:rFonts w:cs="Times New Roman"/>
          <w:color w:val="auto"/>
          <w:szCs w:val="24"/>
        </w:rPr>
        <w:fldChar w:fldCharType="end"/>
      </w:r>
      <w:r>
        <w:rPr>
          <w:rFonts w:cs="Times New Roman"/>
          <w:color w:val="auto"/>
          <w:szCs w:val="24"/>
        </w:rPr>
        <w:fldChar w:fldCharType="begin"/>
      </w:r>
      <w:r>
        <w:rPr>
          <w:rFonts w:cs="Times New Roman"/>
          <w:color w:val="auto"/>
          <w:szCs w:val="24"/>
        </w:rPr>
        <w:instrText xml:space="preserve"> SEQ MTSec \r 1 \h \* MERGEFORMAT </w:instrText>
      </w:r>
      <w:r>
        <w:rPr>
          <w:rFonts w:cs="Times New Roman"/>
          <w:color w:val="auto"/>
          <w:szCs w:val="24"/>
        </w:rPr>
        <w:fldChar w:fldCharType="end"/>
      </w:r>
      <w:r>
        <w:rPr>
          <w:rFonts w:cs="Times New Roman"/>
          <w:color w:val="auto"/>
          <w:szCs w:val="24"/>
        </w:rPr>
        <w:fldChar w:fldCharType="begin"/>
      </w:r>
      <w:r>
        <w:rPr>
          <w:rFonts w:cs="Times New Roman"/>
          <w:color w:val="auto"/>
          <w:szCs w:val="24"/>
        </w:rPr>
        <w:instrText xml:space="preserve"> SEQ MTChap \r 1 \h \* MERGEFORMAT </w:instrText>
      </w:r>
      <w:r>
        <w:rPr>
          <w:rFonts w:cs="Times New Roman"/>
          <w:color w:val="auto"/>
          <w:szCs w:val="24"/>
        </w:rPr>
        <w:fldChar w:fldCharType="end"/>
      </w:r>
      <w:r>
        <w:rPr>
          <w:rFonts w:cs="Times New Roman"/>
          <w:color w:val="auto"/>
          <w:szCs w:val="24"/>
        </w:rPr>
        <w:fldChar w:fldCharType="end"/>
      </w:r>
    </w:p>
    <w:p w14:paraId="1832E738">
      <w:pPr>
        <w:tabs>
          <w:tab w:val="left" w:pos="851"/>
          <w:tab w:val="left" w:pos="1620"/>
          <w:tab w:val="left" w:pos="1800"/>
        </w:tabs>
        <w:spacing w:line="240" w:lineRule="auto"/>
        <w:rPr>
          <w:rFonts w:eastAsia="黑体" w:cs="Times New Roman"/>
          <w:b/>
          <w:color w:val="auto"/>
          <w:sz w:val="44"/>
          <w:szCs w:val="44"/>
        </w:rPr>
      </w:pPr>
      <w:r>
        <w:rPr>
          <w:rFonts w:eastAsia="黑体" w:cs="Times New Roman"/>
          <w:b/>
          <w:color w:val="auto"/>
          <w:sz w:val="44"/>
          <w:szCs w:val="44"/>
        </w:rPr>
        <w:t xml:space="preserve">                                                </w:t>
      </w:r>
      <w:r>
        <w:rPr>
          <w:rFonts w:eastAsia="黑体" w:cs="Times New Roman"/>
          <w:b/>
          <w:color w:val="auto"/>
          <w:sz w:val="44"/>
          <w:szCs w:val="44"/>
        </w:rPr>
        <w:drawing>
          <wp:inline distT="0" distB="0" distL="114300" distR="114300">
            <wp:extent cx="1562100" cy="609600"/>
            <wp:effectExtent l="0" t="0" r="762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rcRect l="53677" t="2350" r="15076" b="88907"/>
                    <a:stretch>
                      <a:fillRect/>
                    </a:stretch>
                  </pic:blipFill>
                  <pic:spPr>
                    <a:xfrm>
                      <a:off x="0" y="0"/>
                      <a:ext cx="1562100" cy="609600"/>
                    </a:xfrm>
                    <a:prstGeom prst="rect">
                      <a:avLst/>
                    </a:prstGeom>
                    <a:noFill/>
                    <a:ln>
                      <a:noFill/>
                    </a:ln>
                  </pic:spPr>
                </pic:pic>
              </a:graphicData>
            </a:graphic>
          </wp:inline>
        </w:drawing>
      </w:r>
    </w:p>
    <w:p w14:paraId="73DCFF5F">
      <w:pPr>
        <w:tabs>
          <w:tab w:val="left" w:pos="851"/>
          <w:tab w:val="left" w:pos="1620"/>
          <w:tab w:val="left" w:pos="1800"/>
        </w:tabs>
        <w:spacing w:line="240" w:lineRule="auto"/>
        <w:jc w:val="center"/>
        <w:rPr>
          <w:rFonts w:eastAsia="方正小标宋简体" w:cs="Times New Roman"/>
          <w:bCs/>
          <w:color w:val="auto"/>
          <w:spacing w:val="24"/>
          <w:sz w:val="52"/>
          <w:szCs w:val="52"/>
        </w:rPr>
      </w:pPr>
      <w:r>
        <w:rPr>
          <w:rFonts w:hint="eastAsia" w:ascii="黑体" w:hAnsi="黑体" w:eastAsia="黑体" w:cs="黑体"/>
          <w:bCs/>
          <w:color w:val="auto"/>
          <w:spacing w:val="24"/>
          <w:sz w:val="52"/>
          <w:szCs w:val="52"/>
        </w:rPr>
        <w:t>中华人民共和国国家计量技术规范</w:t>
      </w:r>
    </w:p>
    <w:p w14:paraId="003DC9EA">
      <w:pPr>
        <w:adjustRightInd w:val="0"/>
        <w:snapToGrid w:val="0"/>
        <w:spacing w:before="156" w:beforeLines="50" w:line="240" w:lineRule="auto"/>
        <w:jc w:val="center"/>
        <w:rPr>
          <w:rFonts w:eastAsia="黑体" w:cs="Times New Roman"/>
          <w:b/>
          <w:bCs/>
          <w:color w:val="auto"/>
          <w:sz w:val="28"/>
          <w:szCs w:val="28"/>
        </w:rPr>
      </w:pPr>
      <w:r>
        <w:rPr>
          <w:rFonts w:eastAsia="黑体" w:cs="Times New Roman"/>
          <w:color w:val="auto"/>
          <w:sz w:val="44"/>
          <w:szCs w:val="44"/>
        </w:rPr>
        <w:t xml:space="preserve">                     </w:t>
      </w:r>
      <w:r>
        <w:rPr>
          <w:rFonts w:eastAsia="黑体" w:cs="Times New Roman"/>
          <w:b/>
          <w:bCs/>
          <w:color w:val="auto"/>
          <w:sz w:val="28"/>
          <w:szCs w:val="28"/>
        </w:rPr>
        <w:t>JJF ××××-××××</w:t>
      </w:r>
    </w:p>
    <w:p w14:paraId="5D77C6C9">
      <w:pPr>
        <w:tabs>
          <w:tab w:val="left" w:pos="1620"/>
          <w:tab w:val="left" w:pos="1800"/>
        </w:tabs>
        <w:spacing w:line="240" w:lineRule="auto"/>
        <w:rPr>
          <w:rFonts w:cs="Times New Roman"/>
          <w:color w:val="auto"/>
          <w:sz w:val="28"/>
        </w:rPr>
      </w:pPr>
      <w:r>
        <w:rPr>
          <w:rFonts w:cs="Times New Roman"/>
          <w:color w:val="auto"/>
        </w:rPr>
        <mc:AlternateContent>
          <mc:Choice Requires="wps">
            <w:drawing>
              <wp:anchor distT="0" distB="0" distL="114300" distR="114300" simplePos="0" relativeHeight="251659264" behindDoc="0" locked="0" layoutInCell="1" allowOverlap="1">
                <wp:simplePos x="0" y="0"/>
                <wp:positionH relativeFrom="column">
                  <wp:posOffset>9525</wp:posOffset>
                </wp:positionH>
                <wp:positionV relativeFrom="paragraph">
                  <wp:posOffset>266700</wp:posOffset>
                </wp:positionV>
                <wp:extent cx="5481955" cy="1270"/>
                <wp:effectExtent l="0" t="0" r="0" b="0"/>
                <wp:wrapNone/>
                <wp:docPr id="1" name="Line 32"/>
                <wp:cNvGraphicFramePr/>
                <a:graphic xmlns:a="http://schemas.openxmlformats.org/drawingml/2006/main">
                  <a:graphicData uri="http://schemas.microsoft.com/office/word/2010/wordprocessingShape">
                    <wps:wsp>
                      <wps:cNvCnPr/>
                      <wps:spPr>
                        <a:xfrm flipV="1">
                          <a:off x="0" y="0"/>
                          <a:ext cx="5481955" cy="127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id="Line 32" o:spid="_x0000_s1026" o:spt="20" style="position:absolute;left:0pt;flip:y;margin-left:0.75pt;margin-top:21pt;height:0.1pt;width:431.65pt;z-index:251659264;mso-width-relative:page;mso-height-relative:page;" filled="f" stroked="t" coordsize="21600,21600" o:gfxdata="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xuWmt1AAAAAcBAAAPAAAAAAAA&#10;AAEAIAAAACIAAABkcnMvZG93bnJldi54bWxQSwECFAAUAAAACACHTuJAFOrl+d0BAADbAwAADgAA&#10;AAAAAAABACAAAAAjAQAAZHJzL2Uyb0RvYy54bWxQSwUGAAAAAAYABgBZAQAAcgUAAAAA&#10;">
                <v:fill on="f" focussize="0,0"/>
                <v:stroke color="#000000" joinstyle="round"/>
                <v:imagedata o:title=""/>
                <o:lock v:ext="edit" aspectratio="f"/>
              </v:line>
            </w:pict>
          </mc:Fallback>
        </mc:AlternateContent>
      </w:r>
    </w:p>
    <w:p w14:paraId="5711F060">
      <w:pPr>
        <w:tabs>
          <w:tab w:val="left" w:pos="1620"/>
          <w:tab w:val="left" w:pos="1800"/>
        </w:tabs>
        <w:spacing w:line="240" w:lineRule="auto"/>
        <w:rPr>
          <w:rFonts w:cs="Times New Roman"/>
          <w:color w:val="auto"/>
          <w:sz w:val="28"/>
        </w:rPr>
      </w:pPr>
    </w:p>
    <w:p w14:paraId="663F758E">
      <w:pPr>
        <w:tabs>
          <w:tab w:val="left" w:pos="1620"/>
          <w:tab w:val="left" w:pos="1800"/>
        </w:tabs>
        <w:spacing w:line="240" w:lineRule="auto"/>
        <w:rPr>
          <w:rFonts w:cs="Times New Roman"/>
          <w:color w:val="auto"/>
          <w:sz w:val="28"/>
        </w:rPr>
      </w:pPr>
    </w:p>
    <w:p w14:paraId="74E1D2A7">
      <w:pPr>
        <w:tabs>
          <w:tab w:val="left" w:pos="851"/>
          <w:tab w:val="left" w:pos="1620"/>
          <w:tab w:val="left" w:pos="1800"/>
        </w:tabs>
        <w:adjustRightInd w:val="0"/>
        <w:snapToGrid w:val="0"/>
        <w:spacing w:line="240" w:lineRule="auto"/>
        <w:jc w:val="center"/>
        <w:rPr>
          <w:rFonts w:eastAsia="黑体" w:cs="Times New Roman"/>
          <w:color w:val="auto"/>
          <w:sz w:val="52"/>
          <w:szCs w:val="52"/>
        </w:rPr>
      </w:pPr>
      <w:bookmarkStart w:id="0" w:name="_Hlk139286149"/>
      <w:r>
        <w:rPr>
          <w:rFonts w:hint="eastAsia" w:eastAsia="黑体" w:cs="Times New Roman"/>
          <w:color w:val="auto"/>
          <w:sz w:val="52"/>
          <w:szCs w:val="52"/>
          <w:lang w:val="en-US" w:eastAsia="zh-CN"/>
        </w:rPr>
        <w:t>精装修模块房碳排放计量技术规范</w:t>
      </w:r>
    </w:p>
    <w:bookmarkEnd w:id="0"/>
    <w:p w14:paraId="165B4B1B">
      <w:pPr>
        <w:autoSpaceDE w:val="0"/>
        <w:autoSpaceDN w:val="0"/>
        <w:adjustRightInd w:val="0"/>
        <w:snapToGrid w:val="0"/>
        <w:spacing w:before="312" w:beforeLines="100" w:line="240" w:lineRule="auto"/>
        <w:jc w:val="center"/>
        <w:rPr>
          <w:rFonts w:eastAsia="黑体" w:cs="Times New Roman"/>
          <w:b/>
          <w:color w:val="auto"/>
          <w:sz w:val="28"/>
          <w:szCs w:val="28"/>
        </w:rPr>
      </w:pPr>
      <w:bookmarkStart w:id="1" w:name="_Hlk139286278"/>
      <w:r>
        <w:rPr>
          <w:rFonts w:hint="eastAsia" w:eastAsia="黑体" w:cs="Times New Roman"/>
          <w:b/>
          <w:color w:val="auto"/>
          <w:sz w:val="28"/>
          <w:szCs w:val="28"/>
        </w:rPr>
        <w:t>Technical Specification for Carbon Emission Measurement</w:t>
      </w:r>
      <w:r>
        <w:rPr>
          <w:rFonts w:eastAsia="黑体" w:cs="Times New Roman"/>
          <w:b/>
          <w:color w:val="auto"/>
          <w:sz w:val="28"/>
          <w:szCs w:val="28"/>
        </w:rPr>
        <w:t xml:space="preserve"> in </w:t>
      </w:r>
    </w:p>
    <w:p w14:paraId="475CF6CB">
      <w:pPr>
        <w:autoSpaceDE w:val="0"/>
        <w:autoSpaceDN w:val="0"/>
        <w:adjustRightInd w:val="0"/>
        <w:snapToGrid w:val="0"/>
        <w:spacing w:line="240" w:lineRule="auto"/>
        <w:jc w:val="center"/>
        <w:rPr>
          <w:rFonts w:eastAsia="黑体" w:cs="Times New Roman"/>
          <w:b/>
          <w:color w:val="auto"/>
          <w:sz w:val="28"/>
          <w:szCs w:val="28"/>
        </w:rPr>
      </w:pPr>
      <w:r>
        <w:rPr>
          <w:rFonts w:eastAsia="黑体" w:cs="Times New Roman"/>
          <w:b/>
          <w:color w:val="auto"/>
          <w:sz w:val="28"/>
          <w:szCs w:val="28"/>
        </w:rPr>
        <w:t xml:space="preserve"> </w:t>
      </w:r>
      <w:r>
        <w:rPr>
          <w:rFonts w:hint="eastAsia" w:eastAsia="黑体" w:cs="Times New Roman"/>
          <w:b/>
          <w:color w:val="auto"/>
          <w:sz w:val="28"/>
          <w:szCs w:val="28"/>
          <w:lang w:val="en-US" w:eastAsia="zh-CN"/>
        </w:rPr>
        <w:t>F</w:t>
      </w:r>
      <w:r>
        <w:rPr>
          <w:rFonts w:hint="eastAsia" w:eastAsia="黑体" w:cs="Times New Roman"/>
          <w:b/>
          <w:color w:val="auto"/>
          <w:sz w:val="28"/>
          <w:szCs w:val="28"/>
        </w:rPr>
        <w:t xml:space="preserve">ully-finished </w:t>
      </w:r>
      <w:r>
        <w:rPr>
          <w:rFonts w:hint="eastAsia" w:eastAsia="黑体" w:cs="Times New Roman"/>
          <w:b/>
          <w:color w:val="auto"/>
          <w:sz w:val="28"/>
          <w:szCs w:val="28"/>
          <w:lang w:val="en-US" w:eastAsia="zh-CN"/>
        </w:rPr>
        <w:t>M</w:t>
      </w:r>
      <w:r>
        <w:rPr>
          <w:rFonts w:hint="eastAsia" w:eastAsia="黑体" w:cs="Times New Roman"/>
          <w:b/>
          <w:color w:val="auto"/>
          <w:sz w:val="28"/>
          <w:szCs w:val="28"/>
        </w:rPr>
        <w:t xml:space="preserve">odular </w:t>
      </w:r>
      <w:r>
        <w:rPr>
          <w:rFonts w:hint="eastAsia" w:eastAsia="黑体" w:cs="Times New Roman"/>
          <w:b/>
          <w:color w:val="auto"/>
          <w:sz w:val="28"/>
          <w:szCs w:val="28"/>
          <w:lang w:val="en-US" w:eastAsia="zh-CN"/>
        </w:rPr>
        <w:t>B</w:t>
      </w:r>
      <w:r>
        <w:rPr>
          <w:rFonts w:hint="eastAsia" w:eastAsia="黑体" w:cs="Times New Roman"/>
          <w:b/>
          <w:color w:val="auto"/>
          <w:sz w:val="28"/>
          <w:szCs w:val="28"/>
        </w:rPr>
        <w:t>uildings</w:t>
      </w:r>
      <w:r>
        <w:rPr>
          <w:rFonts w:hint="eastAsia" w:eastAsia="黑体" w:cs="Times New Roman"/>
          <w:b/>
          <w:color w:val="auto"/>
          <w:sz w:val="28"/>
          <w:szCs w:val="28"/>
          <w:lang w:val="en-US" w:eastAsia="zh-CN"/>
        </w:rPr>
        <w:t xml:space="preserve"> </w:t>
      </w:r>
    </w:p>
    <w:bookmarkEnd w:id="1"/>
    <w:p w14:paraId="5474951F">
      <w:pPr>
        <w:pStyle w:val="52"/>
        <w:spacing w:line="360" w:lineRule="auto"/>
        <w:jc w:val="center"/>
        <w:rPr>
          <w:rFonts w:cs="Times New Roman"/>
          <w:b/>
          <w:bCs/>
          <w:color w:val="auto"/>
          <w:sz w:val="36"/>
          <w:szCs w:val="28"/>
        </w:rPr>
      </w:pPr>
      <w:r>
        <w:rPr>
          <w:rFonts w:hint="eastAsia" w:cs="Times New Roman"/>
          <w:b/>
          <w:bCs/>
          <w:color w:val="auto"/>
          <w:sz w:val="36"/>
          <w:szCs w:val="28"/>
        </w:rPr>
        <w:t>（</w:t>
      </w:r>
      <w:r>
        <w:rPr>
          <w:rFonts w:hint="eastAsia" w:cs="Times New Roman"/>
          <w:b/>
          <w:bCs/>
          <w:color w:val="auto"/>
          <w:sz w:val="36"/>
          <w:szCs w:val="28"/>
          <w:lang w:val="en-US" w:eastAsia="zh-CN"/>
        </w:rPr>
        <w:t>征求意见</w:t>
      </w:r>
      <w:r>
        <w:rPr>
          <w:rFonts w:hint="eastAsia" w:cs="Times New Roman"/>
          <w:b/>
          <w:bCs/>
          <w:color w:val="auto"/>
          <w:sz w:val="36"/>
          <w:szCs w:val="28"/>
        </w:rPr>
        <w:t>稿）</w:t>
      </w:r>
    </w:p>
    <w:p w14:paraId="1789BC20">
      <w:pPr>
        <w:pStyle w:val="52"/>
        <w:rPr>
          <w:rFonts w:cs="Times New Roman"/>
          <w:color w:val="auto"/>
        </w:rPr>
      </w:pPr>
    </w:p>
    <w:p w14:paraId="1A02E6C0">
      <w:pPr>
        <w:pStyle w:val="52"/>
        <w:rPr>
          <w:rFonts w:cs="Times New Roman"/>
          <w:color w:val="auto"/>
        </w:rPr>
      </w:pPr>
    </w:p>
    <w:p w14:paraId="7C5B2664">
      <w:pPr>
        <w:pStyle w:val="52"/>
        <w:rPr>
          <w:rFonts w:cs="Times New Roman"/>
          <w:color w:val="auto"/>
        </w:rPr>
      </w:pPr>
    </w:p>
    <w:p w14:paraId="4FDCD7F1">
      <w:pPr>
        <w:pStyle w:val="52"/>
        <w:rPr>
          <w:rFonts w:cs="Times New Roman"/>
          <w:color w:val="auto"/>
        </w:rPr>
      </w:pPr>
    </w:p>
    <w:p w14:paraId="66551E14">
      <w:pPr>
        <w:pStyle w:val="52"/>
        <w:rPr>
          <w:rFonts w:cs="Times New Roman"/>
          <w:color w:val="auto"/>
        </w:rPr>
      </w:pPr>
    </w:p>
    <w:p w14:paraId="6A6FC3D3">
      <w:pPr>
        <w:pStyle w:val="52"/>
        <w:rPr>
          <w:rFonts w:cs="Times New Roman"/>
          <w:color w:val="auto"/>
        </w:rPr>
      </w:pPr>
    </w:p>
    <w:p w14:paraId="5CB85855">
      <w:pPr>
        <w:pStyle w:val="52"/>
        <w:rPr>
          <w:rFonts w:cs="Times New Roman"/>
          <w:color w:val="auto"/>
        </w:rPr>
      </w:pPr>
    </w:p>
    <w:p w14:paraId="27219730">
      <w:pPr>
        <w:spacing w:line="240" w:lineRule="auto"/>
        <w:jc w:val="center"/>
        <w:rPr>
          <w:rFonts w:eastAsia="黑体" w:cs="Times New Roman"/>
          <w:bCs/>
          <w:color w:val="auto"/>
          <w:spacing w:val="20"/>
          <w:sz w:val="28"/>
          <w:u w:val="single"/>
        </w:rPr>
      </w:pPr>
      <w:r>
        <w:rPr>
          <w:rFonts w:eastAsia="黑体" w:cs="Times New Roman"/>
          <w:bCs/>
          <w:color w:val="auto"/>
          <w:spacing w:val="20"/>
          <w:sz w:val="28"/>
          <w:u w:val="single"/>
        </w:rPr>
        <w:t>××××-××-××发布          ××××-××-××实施</w:t>
      </w:r>
    </w:p>
    <w:p w14:paraId="4EB1CBE7">
      <w:pPr>
        <w:spacing w:line="240" w:lineRule="auto"/>
        <w:jc w:val="center"/>
        <w:rPr>
          <w:rFonts w:eastAsia="黑体" w:cs="Times New Roman"/>
          <w:color w:val="auto"/>
          <w:sz w:val="28"/>
        </w:rPr>
      </w:pPr>
      <w:r>
        <w:rPr>
          <w:rFonts w:eastAsia="方正小标宋简体" w:cs="Times New Roman"/>
          <w:bCs/>
          <w:color w:val="auto"/>
          <w:spacing w:val="70"/>
          <w:sz w:val="44"/>
        </w:rPr>
        <w:t>国家市场监督管理总局</w:t>
      </w:r>
      <w:r>
        <w:rPr>
          <w:rFonts w:cs="Times New Roman"/>
          <w:color w:val="auto"/>
          <w:sz w:val="44"/>
        </w:rPr>
        <w:t xml:space="preserve"> </w:t>
      </w:r>
      <w:r>
        <w:rPr>
          <w:rFonts w:eastAsia="黑体" w:cs="Times New Roman"/>
          <w:color w:val="auto"/>
          <w:sz w:val="28"/>
        </w:rPr>
        <w:t>发 布</w:t>
      </w:r>
    </w:p>
    <w:p w14:paraId="15E830FE">
      <w:pPr>
        <w:tabs>
          <w:tab w:val="left" w:pos="851"/>
          <w:tab w:val="left" w:pos="1620"/>
          <w:tab w:val="left" w:pos="1800"/>
        </w:tabs>
        <w:ind w:firstLine="883"/>
        <w:jc w:val="left"/>
        <w:rPr>
          <w:rFonts w:eastAsia="黑体" w:cs="Times New Roman"/>
          <w:b/>
          <w:color w:val="auto"/>
          <w:sz w:val="44"/>
          <w:szCs w:val="44"/>
        </w:rPr>
      </w:pPr>
    </w:p>
    <w:p w14:paraId="463B03CD">
      <w:pPr>
        <w:tabs>
          <w:tab w:val="left" w:pos="851"/>
          <w:tab w:val="left" w:pos="1620"/>
          <w:tab w:val="left" w:pos="1800"/>
        </w:tabs>
        <w:spacing w:line="240" w:lineRule="auto"/>
        <w:jc w:val="left"/>
        <w:rPr>
          <w:rFonts w:hint="eastAsia" w:eastAsia="黑体" w:cs="Times New Roman"/>
          <w:bCs/>
          <w:color w:val="auto"/>
          <w:sz w:val="44"/>
          <w:szCs w:val="44"/>
        </w:rPr>
      </w:pPr>
    </w:p>
    <w:p w14:paraId="12800914">
      <w:pPr>
        <w:tabs>
          <w:tab w:val="left" w:pos="851"/>
          <w:tab w:val="left" w:pos="1620"/>
          <w:tab w:val="left" w:pos="1800"/>
        </w:tabs>
        <w:spacing w:line="240" w:lineRule="auto"/>
        <w:ind w:firstLine="440" w:firstLineChars="100"/>
        <w:jc w:val="left"/>
        <w:rPr>
          <w:rFonts w:hint="eastAsia" w:eastAsia="黑体" w:cs="Times New Roman"/>
          <w:bCs/>
          <w:color w:val="auto"/>
          <w:sz w:val="44"/>
          <w:szCs w:val="44"/>
        </w:rPr>
      </w:pPr>
      <w:r>
        <w:rPr>
          <w:rFonts w:hint="eastAsia" w:eastAsia="黑体" w:cs="Times New Roman"/>
          <w:bCs/>
          <w:color w:val="auto"/>
          <w:sz w:val="44"/>
          <w:szCs w:val="44"/>
        </w:rPr>
        <w:t>精装修模块房碳排放</w:t>
      </w:r>
    </w:p>
    <w:p w14:paraId="7324EB9C">
      <w:pPr>
        <w:tabs>
          <w:tab w:val="left" w:pos="851"/>
          <w:tab w:val="left" w:pos="1620"/>
          <w:tab w:val="left" w:pos="1800"/>
        </w:tabs>
        <w:spacing w:line="240" w:lineRule="auto"/>
        <w:ind w:firstLine="960" w:firstLineChars="400"/>
        <w:jc w:val="left"/>
        <w:rPr>
          <w:rFonts w:eastAsia="黑体" w:cs="Times New Roman"/>
          <w:bCs/>
          <w:color w:val="auto"/>
          <w:sz w:val="44"/>
          <w:szCs w:val="44"/>
        </w:rPr>
      </w:pPr>
      <w:r>
        <w:rPr>
          <w:rFonts w:cs="Times New Roman"/>
          <w:bCs/>
          <w:color w:val="auto"/>
        </w:rPr>
        <mc:AlternateContent>
          <mc:Choice Requires="wps">
            <w:drawing>
              <wp:anchor distT="0" distB="0" distL="114300" distR="114300" simplePos="0" relativeHeight="251660288" behindDoc="0" locked="0" layoutInCell="1" allowOverlap="1">
                <wp:simplePos x="0" y="0"/>
                <wp:positionH relativeFrom="column">
                  <wp:posOffset>3759200</wp:posOffset>
                </wp:positionH>
                <wp:positionV relativeFrom="paragraph">
                  <wp:posOffset>55245</wp:posOffset>
                </wp:positionV>
                <wp:extent cx="2065655" cy="791845"/>
                <wp:effectExtent l="0" t="0" r="0" b="0"/>
                <wp:wrapNone/>
                <wp:docPr id="2" name="Rectangle 5"/>
                <wp:cNvGraphicFramePr/>
                <a:graphic xmlns:a="http://schemas.openxmlformats.org/drawingml/2006/main">
                  <a:graphicData uri="http://schemas.microsoft.com/office/word/2010/wordprocessingShape">
                    <wps:wsp>
                      <wps:cNvSpPr/>
                      <wps:spPr>
                        <a:xfrm>
                          <a:off x="0" y="0"/>
                          <a:ext cx="2065655" cy="791845"/>
                        </a:xfrm>
                        <a:prstGeom prst="rect">
                          <a:avLst/>
                        </a:prstGeom>
                        <a:noFill/>
                        <a:ln w="25400" cap="rnd" cmpd="sng">
                          <a:solidFill>
                            <a:srgbClr val="000000"/>
                          </a:solidFill>
                          <a:prstDash val="sysDot"/>
                          <a:miter/>
                          <a:headEnd type="none" w="med" len="med"/>
                          <a:tailEnd type="none" w="med" len="med"/>
                        </a:ln>
                        <a:effectLst/>
                      </wps:spPr>
                      <wps:bodyPr upright="1"/>
                    </wps:wsp>
                  </a:graphicData>
                </a:graphic>
              </wp:anchor>
            </w:drawing>
          </mc:Choice>
          <mc:Fallback>
            <w:pict>
              <v:rect id="Rectangle 5" o:spid="_x0000_s1026" o:spt="1" style="position:absolute;left:0pt;margin-left:296pt;margin-top:4.35pt;height:62.35pt;width:162.65pt;z-index:251660288;mso-width-relative:page;mso-height-relative:page;" filled="f" stroked="t" coordsize="21600,21600" o:gfxdata="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rQeki2QAAAAkBAAAPAAAAAAAAAAEAIAAAACIAAABkcnMvZG93bnJldi54bWxQSwEC&#10;FAAUAAAACACHTuJAQPz7yfMBAAAHBAAADgAAAAAAAAABACAAAAAoAQAAZHJzL2Uyb0RvYy54bWxQ&#10;SwUGAAAAAAYABgBZAQAAjQUAAAAA&#10;">
                <v:fill on="f" focussize="0,0"/>
                <v:stroke weight="2pt" color="#000000" joinstyle="miter" dashstyle="1 1" endcap="round"/>
                <v:imagedata o:title=""/>
                <o:lock v:ext="edit" aspectratio="f"/>
              </v:rect>
            </w:pict>
          </mc:Fallback>
        </mc:AlternateContent>
      </w:r>
      <w:r>
        <w:rPr>
          <w:rFonts w:hint="eastAsia" w:eastAsia="黑体" w:cs="Times New Roman"/>
          <w:bCs/>
          <w:color w:val="auto"/>
          <w:sz w:val="44"/>
          <w:szCs w:val="44"/>
        </w:rPr>
        <w:t>计量技术规范</w:t>
      </w:r>
    </w:p>
    <w:p w14:paraId="08FF9E9D">
      <w:pPr>
        <w:tabs>
          <w:tab w:val="left" w:pos="1620"/>
          <w:tab w:val="left" w:pos="1800"/>
        </w:tabs>
        <w:ind w:firstLine="281" w:firstLineChars="100"/>
        <w:rPr>
          <w:rFonts w:hint="eastAsia" w:eastAsia="黑体" w:cs="Times New Roman"/>
          <w:b/>
          <w:color w:val="auto"/>
          <w:sz w:val="28"/>
          <w:szCs w:val="28"/>
        </w:rPr>
      </w:pPr>
      <w:r>
        <w:rPr>
          <w:rFonts w:hint="eastAsia" w:eastAsia="黑体" w:cs="Times New Roman"/>
          <w:b/>
          <w:color w:val="auto"/>
          <w:sz w:val="28"/>
          <w:szCs w:val="28"/>
        </w:rPr>
        <w:t xml:space="preserve">Technical Specification for Carbon </w:t>
      </w:r>
    </w:p>
    <w:p w14:paraId="4BA60E90">
      <w:pPr>
        <w:tabs>
          <w:tab w:val="left" w:pos="1620"/>
          <w:tab w:val="left" w:pos="1800"/>
        </w:tabs>
        <w:ind w:firstLine="281" w:firstLineChars="100"/>
        <w:rPr>
          <w:rFonts w:hint="eastAsia" w:eastAsia="黑体" w:cs="Times New Roman"/>
          <w:b/>
          <w:color w:val="auto"/>
          <w:sz w:val="28"/>
          <w:szCs w:val="28"/>
        </w:rPr>
      </w:pPr>
      <w:r>
        <w:rPr>
          <w:rFonts w:hint="eastAsia" w:eastAsia="黑体" w:cs="Times New Roman"/>
          <w:b/>
          <w:color w:val="auto"/>
          <w:sz w:val="28"/>
          <w:szCs w:val="28"/>
        </w:rPr>
        <w:t xml:space="preserve">Emission Measurement in Fully-finished </w:t>
      </w:r>
    </w:p>
    <w:p w14:paraId="6FD09F30">
      <w:pPr>
        <w:tabs>
          <w:tab w:val="left" w:pos="1620"/>
          <w:tab w:val="left" w:pos="1800"/>
        </w:tabs>
        <w:ind w:firstLine="281" w:firstLineChars="100"/>
        <w:rPr>
          <w:rFonts w:cs="Times New Roman"/>
          <w:color w:val="auto"/>
          <w:sz w:val="28"/>
        </w:rPr>
      </w:pPr>
      <w:r>
        <w:rPr>
          <w:rFonts w:hint="eastAsia" w:eastAsia="黑体" w:cs="Times New Roman"/>
          <w:b/>
          <w:color w:val="auto"/>
          <w:sz w:val="28"/>
          <w:szCs w:val="28"/>
        </w:rPr>
        <w:t>Modular Buildings</w:t>
      </w:r>
    </w:p>
    <w:p w14:paraId="3177D672">
      <w:pPr>
        <w:tabs>
          <w:tab w:val="left" w:pos="1620"/>
          <w:tab w:val="left" w:pos="1800"/>
        </w:tabs>
        <w:ind w:firstLine="560"/>
        <w:rPr>
          <w:rFonts w:cs="Times New Roman"/>
          <w:color w:val="auto"/>
          <w:sz w:val="28"/>
        </w:rPr>
      </w:pPr>
      <w:r>
        <w:rPr>
          <w:rFonts w:cs="Times New Roman"/>
          <w:color w:val="auto"/>
        </w:rPr>
        <mc:AlternateContent>
          <mc:Choice Requires="wps">
            <w:drawing>
              <wp:anchor distT="0" distB="0" distL="114300" distR="114300" simplePos="0" relativeHeight="251661312" behindDoc="0" locked="0" layoutInCell="1" allowOverlap="1">
                <wp:simplePos x="0" y="0"/>
                <wp:positionH relativeFrom="column">
                  <wp:posOffset>-27305</wp:posOffset>
                </wp:positionH>
                <wp:positionV relativeFrom="paragraph">
                  <wp:posOffset>52070</wp:posOffset>
                </wp:positionV>
                <wp:extent cx="6217920" cy="10795"/>
                <wp:effectExtent l="0" t="4445" r="5080" b="10160"/>
                <wp:wrapNone/>
                <wp:docPr id="3" name="直线 23"/>
                <wp:cNvGraphicFramePr/>
                <a:graphic xmlns:a="http://schemas.openxmlformats.org/drawingml/2006/main">
                  <a:graphicData uri="http://schemas.microsoft.com/office/word/2010/wordprocessingShape">
                    <wps:wsp>
                      <wps:cNvCnPr/>
                      <wps:spPr>
                        <a:xfrm>
                          <a:off x="0" y="0"/>
                          <a:ext cx="6217920" cy="1079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23" o:spid="_x0000_s1026" o:spt="20" style="position:absolute;left:0pt;margin-left:-2.15pt;margin-top:4.1pt;height:0.85pt;width:489.6pt;z-index:251661312;mso-width-relative:page;mso-height-relative:page;" filled="f" stroked="t" coordsize="21600,21600" o:gfxdata="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RYxu/1QAA&#10;AAYBAAAPAAAAAAAAAAEAIAAAACIAAABkcnMvZG93bnJldi54bWxQSwECFAAUAAAACACHTuJAmwZH&#10;6egBAADiAwAADgAAAAAAAAABACAAAAAkAQAAZHJzL2Uyb0RvYy54bWxQSwUGAAAAAAYABgBZAQAA&#10;fgUAAAAA&#10;">
                <v:fill on="f" focussize="0,0"/>
                <v:stroke color="#000000" joinstyle="round"/>
                <v:imagedata o:title=""/>
                <o:lock v:ext="edit" aspectratio="f"/>
              </v:line>
            </w:pict>
          </mc:Fallback>
        </mc:AlternateContent>
      </w:r>
    </w:p>
    <w:p w14:paraId="5D6A9D5E">
      <w:pPr>
        <w:tabs>
          <w:tab w:val="left" w:pos="1620"/>
          <w:tab w:val="left" w:pos="1800"/>
        </w:tabs>
        <w:spacing w:line="240" w:lineRule="auto"/>
        <w:ind w:firstLine="560"/>
        <w:rPr>
          <w:rFonts w:cs="Times New Roman"/>
          <w:color w:val="auto"/>
          <w:sz w:val="28"/>
        </w:rPr>
      </w:pPr>
    </w:p>
    <w:p w14:paraId="5E2403B3">
      <w:pPr>
        <w:tabs>
          <w:tab w:val="left" w:pos="1620"/>
          <w:tab w:val="left" w:pos="1800"/>
        </w:tabs>
        <w:spacing w:line="240" w:lineRule="auto"/>
        <w:ind w:left="2528" w:leftChars="260" w:hanging="1904" w:hangingChars="680"/>
        <w:rPr>
          <w:rStyle w:val="53"/>
          <w:rFonts w:cs="Times New Roman"/>
          <w:color w:val="auto"/>
        </w:rPr>
      </w:pPr>
      <w:r>
        <w:rPr>
          <w:rFonts w:eastAsia="黑体" w:cs="Times New Roman"/>
          <w:color w:val="auto"/>
          <w:sz w:val="28"/>
        </w:rPr>
        <w:t xml:space="preserve">归  口 </w:t>
      </w:r>
      <w:r>
        <w:rPr>
          <w:rFonts w:hint="eastAsia" w:eastAsia="黑体" w:cs="Times New Roman"/>
          <w:color w:val="auto"/>
          <w:sz w:val="28"/>
        </w:rPr>
        <w:t xml:space="preserve"> </w:t>
      </w:r>
      <w:r>
        <w:rPr>
          <w:rFonts w:eastAsia="黑体" w:cs="Times New Roman"/>
          <w:color w:val="auto"/>
          <w:sz w:val="28"/>
        </w:rPr>
        <w:t>单  位：</w:t>
      </w:r>
      <w:r>
        <w:rPr>
          <w:rStyle w:val="53"/>
          <w:rFonts w:cs="Times New Roman"/>
          <w:color w:val="auto"/>
        </w:rPr>
        <w:t>全国碳达峰碳中和计量技术委员会建筑碳计量分技术委员会</w:t>
      </w:r>
    </w:p>
    <w:p w14:paraId="5D673575">
      <w:pPr>
        <w:tabs>
          <w:tab w:val="left" w:pos="1276"/>
          <w:tab w:val="left" w:pos="1985"/>
        </w:tabs>
        <w:spacing w:line="240" w:lineRule="auto"/>
        <w:ind w:firstLine="560" w:firstLineChars="200"/>
        <w:rPr>
          <w:rFonts w:hint="eastAsia" w:cs="Times New Roman"/>
          <w:color w:val="auto"/>
          <w:sz w:val="28"/>
        </w:rPr>
      </w:pPr>
      <w:r>
        <w:rPr>
          <w:rFonts w:eastAsia="黑体" w:cs="Times New Roman"/>
          <w:color w:val="auto"/>
          <w:sz w:val="28"/>
        </w:rPr>
        <w:t>主要起草单位：</w:t>
      </w:r>
      <w:r>
        <w:rPr>
          <w:rFonts w:hint="eastAsia" w:cs="Times New Roman"/>
          <w:color w:val="auto"/>
          <w:sz w:val="28"/>
        </w:rPr>
        <w:t>中建深圳装饰有限公司</w:t>
      </w:r>
    </w:p>
    <w:p w14:paraId="257059A3">
      <w:pPr>
        <w:tabs>
          <w:tab w:val="left" w:pos="1276"/>
          <w:tab w:val="left" w:pos="1985"/>
        </w:tabs>
        <w:spacing w:line="240" w:lineRule="auto"/>
        <w:ind w:firstLine="2520" w:firstLineChars="900"/>
        <w:rPr>
          <w:rFonts w:hint="eastAsia" w:cs="Times New Roman"/>
          <w:color w:val="auto"/>
          <w:sz w:val="28"/>
        </w:rPr>
      </w:pPr>
      <w:r>
        <w:rPr>
          <w:rFonts w:hint="eastAsia" w:cs="Times New Roman"/>
          <w:color w:val="auto"/>
          <w:sz w:val="28"/>
        </w:rPr>
        <w:t>中国建筑科学研究院有限公司</w:t>
      </w:r>
    </w:p>
    <w:p w14:paraId="1DFE2509">
      <w:pPr>
        <w:tabs>
          <w:tab w:val="left" w:pos="1276"/>
          <w:tab w:val="left" w:pos="1985"/>
        </w:tabs>
        <w:spacing w:line="240" w:lineRule="auto"/>
        <w:ind w:firstLine="560" w:firstLineChars="200"/>
        <w:rPr>
          <w:rFonts w:cs="Times New Roman"/>
          <w:color w:val="auto"/>
          <w:sz w:val="28"/>
        </w:rPr>
      </w:pPr>
      <w:r>
        <w:rPr>
          <w:rFonts w:eastAsia="黑体" w:cs="Times New Roman"/>
          <w:color w:val="auto"/>
          <w:sz w:val="28"/>
        </w:rPr>
        <w:t>参加起草单位：</w:t>
      </w:r>
      <w:r>
        <w:rPr>
          <w:rFonts w:cs="Times New Roman"/>
          <w:color w:val="auto"/>
          <w:sz w:val="28"/>
        </w:rPr>
        <w:t>中建研科技股份有限公司</w:t>
      </w:r>
    </w:p>
    <w:p w14:paraId="34A8B339">
      <w:pPr>
        <w:tabs>
          <w:tab w:val="left" w:pos="1276"/>
          <w:tab w:val="left" w:pos="1985"/>
        </w:tabs>
        <w:spacing w:line="240" w:lineRule="auto"/>
        <w:ind w:firstLine="2520" w:firstLineChars="900"/>
        <w:rPr>
          <w:rFonts w:hint="eastAsia" w:cs="Times New Roman"/>
          <w:color w:val="auto"/>
          <w:sz w:val="28"/>
        </w:rPr>
      </w:pPr>
      <w:r>
        <w:rPr>
          <w:rFonts w:hint="eastAsia" w:cs="Times New Roman"/>
          <w:color w:val="auto"/>
          <w:sz w:val="28"/>
        </w:rPr>
        <w:t>北京市计量检测科学研究院</w:t>
      </w:r>
    </w:p>
    <w:p w14:paraId="43752A49">
      <w:pPr>
        <w:tabs>
          <w:tab w:val="left" w:pos="1276"/>
          <w:tab w:val="left" w:pos="1985"/>
        </w:tabs>
        <w:spacing w:line="240" w:lineRule="auto"/>
        <w:ind w:firstLine="2520" w:firstLineChars="900"/>
        <w:rPr>
          <w:rFonts w:hint="eastAsia" w:cs="Times New Roman"/>
          <w:color w:val="auto"/>
          <w:sz w:val="28"/>
        </w:rPr>
      </w:pPr>
      <w:r>
        <w:rPr>
          <w:rFonts w:hint="eastAsia" w:cs="Times New Roman"/>
          <w:color w:val="auto"/>
          <w:sz w:val="28"/>
        </w:rPr>
        <w:t>住房和城乡建设部科技与产业化发展中心</w:t>
      </w:r>
    </w:p>
    <w:p w14:paraId="5237A866">
      <w:pPr>
        <w:tabs>
          <w:tab w:val="left" w:pos="1620"/>
          <w:tab w:val="left" w:pos="1800"/>
        </w:tabs>
        <w:spacing w:line="240" w:lineRule="auto"/>
        <w:ind w:firstLine="2520" w:firstLineChars="900"/>
        <w:rPr>
          <w:rFonts w:cs="Times New Roman"/>
          <w:color w:val="auto"/>
          <w:sz w:val="28"/>
        </w:rPr>
      </w:pPr>
      <w:r>
        <w:rPr>
          <w:rFonts w:hint="eastAsia" w:cs="Times New Roman"/>
          <w:color w:val="auto"/>
          <w:sz w:val="28"/>
        </w:rPr>
        <w:t>上海市建筑装饰工程集团有限公司</w:t>
      </w:r>
    </w:p>
    <w:p w14:paraId="3C04DE54">
      <w:pPr>
        <w:pStyle w:val="52"/>
        <w:ind w:firstLine="560"/>
        <w:rPr>
          <w:color w:val="auto"/>
        </w:rPr>
      </w:pPr>
      <w:r>
        <w:rPr>
          <w:rFonts w:cs="Times New Roman"/>
          <w:color w:val="auto"/>
        </w:rPr>
        <w:t>本规范委托全国碳达峰碳中和计量技术委员会建筑碳计量分技术委员会负责解释</w:t>
      </w:r>
    </w:p>
    <w:p w14:paraId="21D1FEE7">
      <w:pPr>
        <w:ind w:firstLine="562"/>
        <w:rPr>
          <w:rFonts w:cs="Times New Roman"/>
          <w:b/>
          <w:bCs/>
          <w:color w:val="auto"/>
          <w:sz w:val="28"/>
          <w:szCs w:val="28"/>
        </w:rPr>
      </w:pPr>
      <w:r>
        <w:rPr>
          <w:rFonts w:cs="Times New Roman"/>
          <w:b/>
          <w:bCs/>
          <w:color w:val="auto"/>
          <w:sz w:val="28"/>
          <w:szCs w:val="28"/>
        </w:rPr>
        <w:t>本规范主要起草人：</w:t>
      </w:r>
    </w:p>
    <w:p w14:paraId="2A0FD97F">
      <w:pPr>
        <w:tabs>
          <w:tab w:val="left" w:pos="1276"/>
          <w:tab w:val="left" w:pos="1985"/>
        </w:tabs>
        <w:ind w:firstLine="560" w:firstLineChars="200"/>
        <w:rPr>
          <w:rFonts w:cs="Times New Roman"/>
          <w:color w:val="auto"/>
          <w:sz w:val="28"/>
        </w:rPr>
      </w:pPr>
      <w:r>
        <w:rPr>
          <w:rFonts w:eastAsia="黑体" w:cs="Times New Roman"/>
          <w:color w:val="auto"/>
          <w:sz w:val="28"/>
          <w:szCs w:val="28"/>
        </w:rPr>
        <w:t xml:space="preserve">        </w:t>
      </w:r>
      <w:r>
        <w:rPr>
          <w:rFonts w:hint="eastAsia" w:eastAsia="黑体" w:cs="Times New Roman"/>
          <w:color w:val="auto"/>
          <w:sz w:val="28"/>
          <w:szCs w:val="28"/>
        </w:rPr>
        <w:t xml:space="preserve">        </w:t>
      </w:r>
      <w:r>
        <w:rPr>
          <w:rFonts w:hint="eastAsia" w:eastAsia="黑体" w:cs="Times New Roman"/>
          <w:color w:val="auto"/>
          <w:sz w:val="28"/>
          <w:szCs w:val="28"/>
          <w:lang w:val="en-US" w:eastAsia="zh-CN"/>
        </w:rPr>
        <w:t>XXXXXX</w:t>
      </w:r>
      <w:r>
        <w:rPr>
          <w:rFonts w:cs="Times New Roman"/>
          <w:color w:val="auto"/>
          <w:sz w:val="28"/>
        </w:rPr>
        <w:t xml:space="preserve">     </w:t>
      </w:r>
    </w:p>
    <w:p w14:paraId="3D17AD89">
      <w:pPr>
        <w:ind w:firstLine="562"/>
        <w:rPr>
          <w:rFonts w:cs="Times New Roman"/>
          <w:b/>
          <w:bCs/>
          <w:color w:val="auto"/>
          <w:sz w:val="28"/>
          <w:szCs w:val="28"/>
        </w:rPr>
      </w:pPr>
      <w:r>
        <w:rPr>
          <w:rFonts w:cs="Times New Roman"/>
          <w:b/>
          <w:bCs/>
          <w:color w:val="auto"/>
          <w:sz w:val="28"/>
          <w:szCs w:val="28"/>
        </w:rPr>
        <w:t>参加起草人：</w:t>
      </w:r>
    </w:p>
    <w:p w14:paraId="2CBB4AD1">
      <w:pPr>
        <w:tabs>
          <w:tab w:val="left" w:pos="1276"/>
          <w:tab w:val="left" w:pos="1985"/>
        </w:tabs>
        <w:ind w:firstLine="1400" w:firstLineChars="500"/>
        <w:rPr>
          <w:rFonts w:hint="eastAsia" w:eastAsia="黑体" w:cs="Times New Roman"/>
          <w:color w:val="auto"/>
          <w:sz w:val="28"/>
          <w:szCs w:val="28"/>
          <w:lang w:val="en-US" w:eastAsia="zh-CN"/>
        </w:rPr>
      </w:pPr>
      <w:r>
        <w:rPr>
          <w:rFonts w:eastAsia="黑体" w:cs="Times New Roman"/>
          <w:color w:val="auto"/>
          <w:sz w:val="28"/>
          <w:szCs w:val="28"/>
        </w:rPr>
        <w:t xml:space="preserve">    </w:t>
      </w:r>
      <w:r>
        <w:rPr>
          <w:rFonts w:hint="eastAsia" w:eastAsia="黑体" w:cs="Times New Roman"/>
          <w:color w:val="auto"/>
          <w:sz w:val="28"/>
          <w:szCs w:val="28"/>
          <w:lang w:val="en-US" w:eastAsia="zh-CN"/>
        </w:rPr>
        <w:t>XXXXXX</w:t>
      </w:r>
    </w:p>
    <w:p w14:paraId="00452754">
      <w:pPr>
        <w:rPr>
          <w:rFonts w:hint="eastAsia" w:eastAsia="黑体" w:cs="Times New Roman"/>
          <w:color w:val="auto"/>
          <w:sz w:val="28"/>
          <w:szCs w:val="28"/>
          <w:lang w:val="en-US" w:eastAsia="zh-CN"/>
        </w:rPr>
      </w:pPr>
      <w:r>
        <w:rPr>
          <w:rFonts w:hint="eastAsia" w:eastAsia="黑体" w:cs="Times New Roman"/>
          <w:color w:val="auto"/>
          <w:sz w:val="28"/>
          <w:szCs w:val="28"/>
          <w:lang w:val="en-US" w:eastAsia="zh-CN"/>
        </w:rPr>
        <w:br w:type="page"/>
      </w:r>
    </w:p>
    <w:p w14:paraId="282701ED">
      <w:pPr>
        <w:tabs>
          <w:tab w:val="left" w:pos="1276"/>
          <w:tab w:val="left" w:pos="1985"/>
        </w:tabs>
        <w:ind w:firstLine="1400" w:firstLineChars="500"/>
        <w:rPr>
          <w:rFonts w:hint="eastAsia" w:eastAsia="黑体" w:cs="Times New Roman"/>
          <w:color w:val="auto"/>
          <w:sz w:val="28"/>
          <w:szCs w:val="28"/>
          <w:lang w:val="en-US" w:eastAsia="zh-CN"/>
        </w:rPr>
      </w:pPr>
    </w:p>
    <w:sdt>
      <w:sdtPr>
        <w:rPr>
          <w:rFonts w:ascii="宋体" w:hAnsi="宋体" w:eastAsia="宋体" w:cstheme="minorBidi"/>
          <w:kern w:val="2"/>
          <w:sz w:val="21"/>
          <w:szCs w:val="22"/>
          <w:lang w:val="en-US" w:eastAsia="zh-CN" w:bidi="ar-SA"/>
        </w:rPr>
        <w:id w:val="147456956"/>
        <w15:color w:val="DBDBDB"/>
        <w:docPartObj>
          <w:docPartGallery w:val="Table of Contents"/>
          <w:docPartUnique/>
        </w:docPartObj>
      </w:sdtPr>
      <w:sdtEndPr>
        <w:rPr>
          <w:rFonts w:ascii="Times New Roman" w:hAnsi="Times New Roman" w:eastAsia="宋体" w:cs="Times New Roman"/>
          <w:color w:val="auto"/>
          <w:kern w:val="2"/>
          <w:sz w:val="24"/>
          <w:szCs w:val="24"/>
          <w:lang w:val="en-US" w:eastAsia="zh-CN" w:bidi="ar-SA"/>
        </w:rPr>
      </w:sdtEndPr>
      <w:sdtContent>
        <w:p w14:paraId="1800B105">
          <w:pPr>
            <w:keepNext w:val="0"/>
            <w:keepLines w:val="0"/>
            <w:pageBreakBefore w:val="0"/>
            <w:widowControl w:val="0"/>
            <w:tabs>
              <w:tab w:val="left" w:pos="1276"/>
              <w:tab w:val="left" w:pos="1985"/>
            </w:tabs>
            <w:kinsoku/>
            <w:wordWrap/>
            <w:overflowPunct/>
            <w:topLinePunct w:val="0"/>
            <w:autoSpaceDE/>
            <w:autoSpaceDN/>
            <w:bidi w:val="0"/>
            <w:adjustRightInd w:val="0"/>
            <w:snapToGrid/>
            <w:ind w:firstLine="0" w:firstLineChars="0"/>
            <w:jc w:val="center"/>
            <w:textAlignment w:val="auto"/>
            <w:rPr>
              <w:sz w:val="32"/>
              <w:szCs w:val="32"/>
            </w:rPr>
          </w:pPr>
          <w:r>
            <w:rPr>
              <w:rFonts w:ascii="宋体" w:hAnsi="宋体" w:eastAsia="宋体"/>
              <w:sz w:val="32"/>
              <w:szCs w:val="32"/>
            </w:rPr>
            <w:t>目</w:t>
          </w:r>
          <w:r>
            <w:rPr>
              <w:rFonts w:hint="eastAsia" w:ascii="宋体" w:hAnsi="宋体"/>
              <w:sz w:val="32"/>
              <w:szCs w:val="32"/>
              <w:lang w:val="en-US" w:eastAsia="zh-CN"/>
            </w:rPr>
            <w:t xml:space="preserve">  </w:t>
          </w:r>
          <w:r>
            <w:rPr>
              <w:rFonts w:ascii="宋体" w:hAnsi="宋体" w:eastAsia="宋体"/>
              <w:sz w:val="32"/>
              <w:szCs w:val="32"/>
            </w:rPr>
            <w:t>录</w:t>
          </w:r>
        </w:p>
        <w:p w14:paraId="2D0AD094">
          <w:pPr>
            <w:pStyle w:val="20"/>
            <w:tabs>
              <w:tab w:val="right" w:leader="dot" w:pos="8306"/>
              <w:tab w:val="clear" w:pos="8296"/>
            </w:tabs>
          </w:pPr>
          <w:r>
            <w:rPr>
              <w:rFonts w:cs="Times New Roman"/>
              <w:color w:val="auto"/>
              <w:szCs w:val="24"/>
            </w:rPr>
            <w:fldChar w:fldCharType="begin"/>
          </w:r>
          <w:r>
            <w:rPr>
              <w:rFonts w:cs="Times New Roman"/>
              <w:color w:val="auto"/>
              <w:szCs w:val="24"/>
            </w:rPr>
            <w:instrText xml:space="preserve">TOC \o "1-3" \h \u </w:instrText>
          </w:r>
          <w:r>
            <w:rPr>
              <w:rFonts w:cs="Times New Roman"/>
              <w:color w:val="auto"/>
              <w:szCs w:val="24"/>
            </w:rPr>
            <w:fldChar w:fldCharType="separate"/>
          </w:r>
          <w:r>
            <w:rPr>
              <w:rFonts w:cs="Times New Roman"/>
              <w:color w:val="auto"/>
              <w:szCs w:val="24"/>
            </w:rPr>
            <w:fldChar w:fldCharType="begin"/>
          </w:r>
          <w:r>
            <w:rPr>
              <w:rFonts w:cs="Times New Roman"/>
              <w:szCs w:val="24"/>
            </w:rPr>
            <w:instrText xml:space="preserve"> HYPERLINK \l _Toc16924 </w:instrText>
          </w:r>
          <w:r>
            <w:rPr>
              <w:rFonts w:cs="Times New Roman"/>
              <w:szCs w:val="24"/>
            </w:rPr>
            <w:fldChar w:fldCharType="separate"/>
          </w:r>
          <w:r>
            <w:rPr>
              <w:rFonts w:cs="Times New Roman"/>
              <w:bCs w:val="0"/>
              <w:szCs w:val="44"/>
            </w:rPr>
            <w:t>引 言</w:t>
          </w:r>
          <w:r>
            <w:tab/>
          </w:r>
          <w:r>
            <w:fldChar w:fldCharType="begin"/>
          </w:r>
          <w:r>
            <w:instrText xml:space="preserve"> PAGEREF _Toc16924 \h </w:instrText>
          </w:r>
          <w:r>
            <w:fldChar w:fldCharType="separate"/>
          </w:r>
          <w:r>
            <w:t>I</w:t>
          </w:r>
          <w:r>
            <w:fldChar w:fldCharType="end"/>
          </w:r>
          <w:r>
            <w:rPr>
              <w:rFonts w:cs="Times New Roman"/>
              <w:color w:val="auto"/>
              <w:szCs w:val="24"/>
            </w:rPr>
            <w:fldChar w:fldCharType="end"/>
          </w:r>
        </w:p>
        <w:p w14:paraId="3E47EB15">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_Toc18376 </w:instrText>
          </w:r>
          <w:r>
            <w:rPr>
              <w:rFonts w:cs="Times New Roman"/>
              <w:szCs w:val="24"/>
            </w:rPr>
            <w:fldChar w:fldCharType="separate"/>
          </w:r>
          <w:r>
            <w:rPr>
              <w:rFonts w:cs="Times New Roman"/>
            </w:rPr>
            <w:t>1 范围</w:t>
          </w:r>
          <w:r>
            <w:tab/>
          </w:r>
          <w:r>
            <w:fldChar w:fldCharType="begin"/>
          </w:r>
          <w:r>
            <w:instrText xml:space="preserve"> PAGEREF _Toc18376 \h </w:instrText>
          </w:r>
          <w:r>
            <w:fldChar w:fldCharType="separate"/>
          </w:r>
          <w:r>
            <w:t>2</w:t>
          </w:r>
          <w:r>
            <w:fldChar w:fldCharType="end"/>
          </w:r>
          <w:r>
            <w:rPr>
              <w:rFonts w:cs="Times New Roman"/>
              <w:color w:val="auto"/>
              <w:szCs w:val="24"/>
            </w:rPr>
            <w:fldChar w:fldCharType="end"/>
          </w:r>
        </w:p>
        <w:p w14:paraId="2C86E3C4">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_Toc20741 </w:instrText>
          </w:r>
          <w:r>
            <w:rPr>
              <w:rFonts w:cs="Times New Roman"/>
              <w:szCs w:val="24"/>
            </w:rPr>
            <w:fldChar w:fldCharType="separate"/>
          </w:r>
          <w:r>
            <w:rPr>
              <w:rFonts w:cs="Times New Roman"/>
            </w:rPr>
            <w:t>2 引用文件</w:t>
          </w:r>
          <w:r>
            <w:tab/>
          </w:r>
          <w:r>
            <w:fldChar w:fldCharType="begin"/>
          </w:r>
          <w:r>
            <w:instrText xml:space="preserve"> PAGEREF _Toc20741 \h </w:instrText>
          </w:r>
          <w:r>
            <w:fldChar w:fldCharType="separate"/>
          </w:r>
          <w:r>
            <w:t>2</w:t>
          </w:r>
          <w:r>
            <w:fldChar w:fldCharType="end"/>
          </w:r>
          <w:r>
            <w:rPr>
              <w:rFonts w:cs="Times New Roman"/>
              <w:color w:val="auto"/>
              <w:szCs w:val="24"/>
            </w:rPr>
            <w:fldChar w:fldCharType="end"/>
          </w:r>
        </w:p>
        <w:p w14:paraId="7129F15D">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_Toc16896 </w:instrText>
          </w:r>
          <w:r>
            <w:rPr>
              <w:rFonts w:cs="Times New Roman"/>
              <w:szCs w:val="24"/>
            </w:rPr>
            <w:fldChar w:fldCharType="separate"/>
          </w:r>
          <w:r>
            <w:rPr>
              <w:rFonts w:cs="Times New Roman"/>
            </w:rPr>
            <w:t>3 术语和定义</w:t>
          </w:r>
          <w:r>
            <w:tab/>
          </w:r>
          <w:r>
            <w:fldChar w:fldCharType="begin"/>
          </w:r>
          <w:r>
            <w:instrText xml:space="preserve"> PAGEREF _Toc16896 \h </w:instrText>
          </w:r>
          <w:r>
            <w:fldChar w:fldCharType="separate"/>
          </w:r>
          <w:r>
            <w:t>3</w:t>
          </w:r>
          <w:r>
            <w:fldChar w:fldCharType="end"/>
          </w:r>
          <w:r>
            <w:rPr>
              <w:rFonts w:cs="Times New Roman"/>
              <w:color w:val="auto"/>
              <w:szCs w:val="24"/>
            </w:rPr>
            <w:fldChar w:fldCharType="end"/>
          </w:r>
        </w:p>
        <w:p w14:paraId="484F0C2A">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_Toc30383 </w:instrText>
          </w:r>
          <w:r>
            <w:rPr>
              <w:rFonts w:cs="Times New Roman"/>
              <w:szCs w:val="24"/>
            </w:rPr>
            <w:fldChar w:fldCharType="separate"/>
          </w:r>
          <w:r>
            <w:rPr>
              <w:rFonts w:cs="Times New Roman"/>
            </w:rPr>
            <w:t>4 概述</w:t>
          </w:r>
          <w:r>
            <w:tab/>
          </w:r>
          <w:r>
            <w:fldChar w:fldCharType="begin"/>
          </w:r>
          <w:r>
            <w:instrText xml:space="preserve"> PAGEREF _Toc30383 \h </w:instrText>
          </w:r>
          <w:r>
            <w:fldChar w:fldCharType="separate"/>
          </w:r>
          <w:r>
            <w:t>3</w:t>
          </w:r>
          <w:r>
            <w:fldChar w:fldCharType="end"/>
          </w:r>
          <w:r>
            <w:rPr>
              <w:rFonts w:cs="Times New Roman"/>
              <w:color w:val="auto"/>
              <w:szCs w:val="24"/>
            </w:rPr>
            <w:fldChar w:fldCharType="end"/>
          </w:r>
        </w:p>
        <w:p w14:paraId="49D1896C">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_Toc30893 </w:instrText>
          </w:r>
          <w:r>
            <w:rPr>
              <w:rFonts w:cs="Times New Roman"/>
              <w:szCs w:val="24"/>
            </w:rPr>
            <w:fldChar w:fldCharType="separate"/>
          </w:r>
          <w:r>
            <w:t>4.1 计量对象</w:t>
          </w:r>
          <w:r>
            <w:tab/>
          </w:r>
          <w:r>
            <w:fldChar w:fldCharType="begin"/>
          </w:r>
          <w:r>
            <w:instrText xml:space="preserve"> PAGEREF _Toc30893 \h </w:instrText>
          </w:r>
          <w:r>
            <w:fldChar w:fldCharType="separate"/>
          </w:r>
          <w:r>
            <w:t>3</w:t>
          </w:r>
          <w:r>
            <w:fldChar w:fldCharType="end"/>
          </w:r>
          <w:r>
            <w:rPr>
              <w:rFonts w:cs="Times New Roman"/>
              <w:color w:val="auto"/>
              <w:szCs w:val="24"/>
            </w:rPr>
            <w:fldChar w:fldCharType="end"/>
          </w:r>
        </w:p>
        <w:p w14:paraId="1A9A03C0">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_Toc11708 </w:instrText>
          </w:r>
          <w:r>
            <w:rPr>
              <w:rFonts w:cs="Times New Roman"/>
              <w:szCs w:val="24"/>
            </w:rPr>
            <w:fldChar w:fldCharType="separate"/>
          </w:r>
          <w:r>
            <w:t>4.2 计量边界</w:t>
          </w:r>
          <w:r>
            <w:tab/>
          </w:r>
          <w:r>
            <w:fldChar w:fldCharType="begin"/>
          </w:r>
          <w:r>
            <w:instrText xml:space="preserve"> PAGEREF _Toc11708 \h </w:instrText>
          </w:r>
          <w:r>
            <w:fldChar w:fldCharType="separate"/>
          </w:r>
          <w:r>
            <w:t>4</w:t>
          </w:r>
          <w:r>
            <w:fldChar w:fldCharType="end"/>
          </w:r>
          <w:r>
            <w:rPr>
              <w:rFonts w:cs="Times New Roman"/>
              <w:color w:val="auto"/>
              <w:szCs w:val="24"/>
            </w:rPr>
            <w:fldChar w:fldCharType="end"/>
          </w:r>
        </w:p>
        <w:p w14:paraId="22507ED5">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_Toc19430 </w:instrText>
          </w:r>
          <w:r>
            <w:rPr>
              <w:rFonts w:cs="Times New Roman"/>
              <w:szCs w:val="24"/>
            </w:rPr>
            <w:fldChar w:fldCharType="separate"/>
          </w:r>
          <w:r>
            <w:t xml:space="preserve">4.3 </w:t>
          </w:r>
          <w:r>
            <w:rPr>
              <w:rFonts w:hint="eastAsia"/>
            </w:rPr>
            <w:t>计量范围</w:t>
          </w:r>
          <w:r>
            <w:tab/>
          </w:r>
          <w:r>
            <w:fldChar w:fldCharType="begin"/>
          </w:r>
          <w:r>
            <w:instrText xml:space="preserve"> PAGEREF _Toc19430 \h </w:instrText>
          </w:r>
          <w:r>
            <w:fldChar w:fldCharType="separate"/>
          </w:r>
          <w:r>
            <w:t>5</w:t>
          </w:r>
          <w:r>
            <w:fldChar w:fldCharType="end"/>
          </w:r>
          <w:r>
            <w:rPr>
              <w:rFonts w:cs="Times New Roman"/>
              <w:color w:val="auto"/>
              <w:szCs w:val="24"/>
            </w:rPr>
            <w:fldChar w:fldCharType="end"/>
          </w:r>
        </w:p>
        <w:p w14:paraId="3565BF26">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_Toc11801 </w:instrText>
          </w:r>
          <w:r>
            <w:rPr>
              <w:rFonts w:cs="Times New Roman"/>
              <w:szCs w:val="24"/>
            </w:rPr>
            <w:fldChar w:fldCharType="separate"/>
          </w:r>
          <w:r>
            <w:t>4.4 碳源流识别</w:t>
          </w:r>
          <w:r>
            <w:tab/>
          </w:r>
          <w:r>
            <w:fldChar w:fldCharType="begin"/>
          </w:r>
          <w:r>
            <w:instrText xml:space="preserve"> PAGEREF _Toc11801 \h </w:instrText>
          </w:r>
          <w:r>
            <w:fldChar w:fldCharType="separate"/>
          </w:r>
          <w:r>
            <w:t>6</w:t>
          </w:r>
          <w:r>
            <w:fldChar w:fldCharType="end"/>
          </w:r>
          <w:r>
            <w:rPr>
              <w:rFonts w:cs="Times New Roman"/>
              <w:color w:val="auto"/>
              <w:szCs w:val="24"/>
            </w:rPr>
            <w:fldChar w:fldCharType="end"/>
          </w:r>
        </w:p>
        <w:p w14:paraId="476809E9">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_Toc13152 </w:instrText>
          </w:r>
          <w:r>
            <w:rPr>
              <w:rFonts w:cs="Times New Roman"/>
              <w:szCs w:val="24"/>
            </w:rPr>
            <w:fldChar w:fldCharType="separate"/>
          </w:r>
          <w:r>
            <w:rPr>
              <w:rFonts w:hint="eastAsia" w:cs="Times New Roman"/>
              <w:lang w:val="en-US" w:eastAsia="zh-CN"/>
            </w:rPr>
            <w:t>5</w:t>
          </w:r>
          <w:r>
            <w:rPr>
              <w:rFonts w:cs="Times New Roman"/>
            </w:rPr>
            <w:t xml:space="preserve"> 计量</w:t>
          </w:r>
          <w:r>
            <w:rPr>
              <w:rFonts w:hint="eastAsia" w:cs="Times New Roman"/>
              <w:lang w:val="en-US" w:eastAsia="zh-CN"/>
            </w:rPr>
            <w:t>要求</w:t>
          </w:r>
          <w:r>
            <w:tab/>
          </w:r>
          <w:r>
            <w:fldChar w:fldCharType="begin"/>
          </w:r>
          <w:r>
            <w:instrText xml:space="preserve"> PAGEREF _Toc13152 \h </w:instrText>
          </w:r>
          <w:r>
            <w:fldChar w:fldCharType="separate"/>
          </w:r>
          <w:r>
            <w:t>7</w:t>
          </w:r>
          <w:r>
            <w:fldChar w:fldCharType="end"/>
          </w:r>
          <w:r>
            <w:rPr>
              <w:rFonts w:cs="Times New Roman"/>
              <w:color w:val="auto"/>
              <w:szCs w:val="24"/>
            </w:rPr>
            <w:fldChar w:fldCharType="end"/>
          </w:r>
        </w:p>
        <w:p w14:paraId="34A7D05D">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_Toc14871 </w:instrText>
          </w:r>
          <w:r>
            <w:rPr>
              <w:rFonts w:cs="Times New Roman"/>
              <w:szCs w:val="24"/>
            </w:rPr>
            <w:fldChar w:fldCharType="separate"/>
          </w:r>
          <w:r>
            <w:rPr>
              <w:rFonts w:hint="eastAsia"/>
              <w:lang w:val="en-US" w:eastAsia="zh-CN"/>
            </w:rPr>
            <w:t>5.1 活动数据获取</w:t>
          </w:r>
          <w:r>
            <w:tab/>
          </w:r>
          <w:r>
            <w:fldChar w:fldCharType="begin"/>
          </w:r>
          <w:r>
            <w:instrText xml:space="preserve"> PAGEREF _Toc14871 \h </w:instrText>
          </w:r>
          <w:r>
            <w:fldChar w:fldCharType="separate"/>
          </w:r>
          <w:r>
            <w:t>7</w:t>
          </w:r>
          <w:r>
            <w:fldChar w:fldCharType="end"/>
          </w:r>
          <w:r>
            <w:rPr>
              <w:rFonts w:cs="Times New Roman"/>
              <w:color w:val="auto"/>
              <w:szCs w:val="24"/>
            </w:rPr>
            <w:fldChar w:fldCharType="end"/>
          </w:r>
        </w:p>
        <w:p w14:paraId="5C89C5D5">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_Toc21434 </w:instrText>
          </w:r>
          <w:r>
            <w:rPr>
              <w:rFonts w:cs="Times New Roman"/>
              <w:szCs w:val="24"/>
            </w:rPr>
            <w:fldChar w:fldCharType="separate"/>
          </w:r>
          <w:r>
            <w:rPr>
              <w:rFonts w:hint="eastAsia"/>
              <w:lang w:val="en-US" w:eastAsia="zh-CN"/>
            </w:rPr>
            <w:t>5.2 碳排放因子获取</w:t>
          </w:r>
          <w:r>
            <w:tab/>
          </w:r>
          <w:r>
            <w:fldChar w:fldCharType="begin"/>
          </w:r>
          <w:r>
            <w:instrText xml:space="preserve"> PAGEREF _Toc21434 \h </w:instrText>
          </w:r>
          <w:r>
            <w:fldChar w:fldCharType="separate"/>
          </w:r>
          <w:r>
            <w:t>8</w:t>
          </w:r>
          <w:r>
            <w:fldChar w:fldCharType="end"/>
          </w:r>
          <w:r>
            <w:rPr>
              <w:rFonts w:cs="Times New Roman"/>
              <w:color w:val="auto"/>
              <w:szCs w:val="24"/>
            </w:rPr>
            <w:fldChar w:fldCharType="end"/>
          </w:r>
        </w:p>
        <w:p w14:paraId="4830B48F">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_Toc26922 </w:instrText>
          </w:r>
          <w:r>
            <w:rPr>
              <w:rFonts w:cs="Times New Roman"/>
              <w:szCs w:val="24"/>
            </w:rPr>
            <w:fldChar w:fldCharType="separate"/>
          </w:r>
          <w:r>
            <w:rPr>
              <w:rFonts w:hint="eastAsia"/>
              <w:lang w:val="en-US" w:eastAsia="zh-CN"/>
            </w:rPr>
            <w:t>6 管理要求</w:t>
          </w:r>
          <w:r>
            <w:tab/>
          </w:r>
          <w:r>
            <w:fldChar w:fldCharType="begin"/>
          </w:r>
          <w:r>
            <w:instrText xml:space="preserve"> PAGEREF _Toc26922 \h </w:instrText>
          </w:r>
          <w:r>
            <w:fldChar w:fldCharType="separate"/>
          </w:r>
          <w:r>
            <w:t>8</w:t>
          </w:r>
          <w:r>
            <w:fldChar w:fldCharType="end"/>
          </w:r>
          <w:r>
            <w:rPr>
              <w:rFonts w:cs="Times New Roman"/>
              <w:color w:val="auto"/>
              <w:szCs w:val="24"/>
            </w:rPr>
            <w:fldChar w:fldCharType="end"/>
          </w:r>
        </w:p>
        <w:p w14:paraId="7016DB06">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_Toc32443 </w:instrText>
          </w:r>
          <w:r>
            <w:rPr>
              <w:rFonts w:cs="Times New Roman"/>
              <w:szCs w:val="24"/>
            </w:rPr>
            <w:fldChar w:fldCharType="separate"/>
          </w:r>
          <w:r>
            <w:rPr>
              <w:rFonts w:hint="eastAsia"/>
              <w:lang w:val="en-US" w:eastAsia="zh-CN"/>
            </w:rPr>
            <w:t>6.1 碳计量管理制度</w:t>
          </w:r>
          <w:r>
            <w:tab/>
          </w:r>
          <w:r>
            <w:fldChar w:fldCharType="begin"/>
          </w:r>
          <w:r>
            <w:instrText xml:space="preserve"> PAGEREF _Toc32443 \h </w:instrText>
          </w:r>
          <w:r>
            <w:fldChar w:fldCharType="separate"/>
          </w:r>
          <w:r>
            <w:t>8</w:t>
          </w:r>
          <w:r>
            <w:fldChar w:fldCharType="end"/>
          </w:r>
          <w:r>
            <w:rPr>
              <w:rFonts w:cs="Times New Roman"/>
              <w:color w:val="auto"/>
              <w:szCs w:val="24"/>
            </w:rPr>
            <w:fldChar w:fldCharType="end"/>
          </w:r>
        </w:p>
        <w:p w14:paraId="2608B620">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_Toc1432 </w:instrText>
          </w:r>
          <w:r>
            <w:rPr>
              <w:rFonts w:cs="Times New Roman"/>
              <w:szCs w:val="24"/>
            </w:rPr>
            <w:fldChar w:fldCharType="separate"/>
          </w:r>
          <w:r>
            <w:rPr>
              <w:rFonts w:hint="eastAsia"/>
              <w:lang w:val="en-US" w:eastAsia="zh-CN"/>
            </w:rPr>
            <w:t xml:space="preserve">6.2 </w:t>
          </w:r>
          <w:r>
            <w:t>碳计量人员</w:t>
          </w:r>
          <w:r>
            <w:rPr>
              <w:rFonts w:hint="eastAsia"/>
              <w:lang w:val="en-US" w:eastAsia="zh-CN"/>
            </w:rPr>
            <w:t>管理</w:t>
          </w:r>
          <w:r>
            <w:tab/>
          </w:r>
          <w:r>
            <w:fldChar w:fldCharType="begin"/>
          </w:r>
          <w:r>
            <w:instrText xml:space="preserve"> PAGEREF _Toc1432 \h </w:instrText>
          </w:r>
          <w:r>
            <w:fldChar w:fldCharType="separate"/>
          </w:r>
          <w:r>
            <w:t>9</w:t>
          </w:r>
          <w:r>
            <w:fldChar w:fldCharType="end"/>
          </w:r>
          <w:r>
            <w:rPr>
              <w:rFonts w:cs="Times New Roman"/>
              <w:color w:val="auto"/>
              <w:szCs w:val="24"/>
            </w:rPr>
            <w:fldChar w:fldCharType="end"/>
          </w:r>
        </w:p>
        <w:p w14:paraId="151197FA">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_Toc32454 </w:instrText>
          </w:r>
          <w:r>
            <w:rPr>
              <w:rFonts w:cs="Times New Roman"/>
              <w:szCs w:val="24"/>
            </w:rPr>
            <w:fldChar w:fldCharType="separate"/>
          </w:r>
          <w:r>
            <w:rPr>
              <w:rFonts w:hint="eastAsia"/>
              <w:lang w:val="en-US" w:eastAsia="zh-CN"/>
            </w:rPr>
            <w:t>6.3 碳排放计量器具管理</w:t>
          </w:r>
          <w:r>
            <w:tab/>
          </w:r>
          <w:r>
            <w:fldChar w:fldCharType="begin"/>
          </w:r>
          <w:r>
            <w:instrText xml:space="preserve"> PAGEREF _Toc32454 \h </w:instrText>
          </w:r>
          <w:r>
            <w:fldChar w:fldCharType="separate"/>
          </w:r>
          <w:r>
            <w:t>9</w:t>
          </w:r>
          <w:r>
            <w:fldChar w:fldCharType="end"/>
          </w:r>
          <w:r>
            <w:rPr>
              <w:rFonts w:cs="Times New Roman"/>
              <w:color w:val="auto"/>
              <w:szCs w:val="24"/>
            </w:rPr>
            <w:fldChar w:fldCharType="end"/>
          </w:r>
        </w:p>
        <w:p w14:paraId="6E1328B2">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_Toc31901 </w:instrText>
          </w:r>
          <w:r>
            <w:rPr>
              <w:rFonts w:cs="Times New Roman"/>
              <w:szCs w:val="24"/>
            </w:rPr>
            <w:fldChar w:fldCharType="separate"/>
          </w:r>
          <w:r>
            <w:rPr>
              <w:rFonts w:hint="eastAsia"/>
              <w:lang w:val="en-US" w:eastAsia="zh-CN"/>
            </w:rPr>
            <w:t>6.4 碳排放计量器具使用</w:t>
          </w:r>
          <w:r>
            <w:tab/>
          </w:r>
          <w:r>
            <w:fldChar w:fldCharType="begin"/>
          </w:r>
          <w:r>
            <w:instrText xml:space="preserve"> PAGEREF _Toc31901 \h </w:instrText>
          </w:r>
          <w:r>
            <w:fldChar w:fldCharType="separate"/>
          </w:r>
          <w:r>
            <w:t>10</w:t>
          </w:r>
          <w:r>
            <w:fldChar w:fldCharType="end"/>
          </w:r>
          <w:r>
            <w:rPr>
              <w:rFonts w:cs="Times New Roman"/>
              <w:color w:val="auto"/>
              <w:szCs w:val="24"/>
            </w:rPr>
            <w:fldChar w:fldCharType="end"/>
          </w:r>
        </w:p>
        <w:p w14:paraId="67089C16">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_Toc20196 </w:instrText>
          </w:r>
          <w:r>
            <w:rPr>
              <w:rFonts w:cs="Times New Roman"/>
              <w:szCs w:val="24"/>
            </w:rPr>
            <w:fldChar w:fldCharType="separate"/>
          </w:r>
          <w:r>
            <w:rPr>
              <w:rFonts w:hint="eastAsia"/>
              <w:lang w:val="en-US" w:eastAsia="zh-CN"/>
            </w:rPr>
            <w:t>7 数据质量控制与评价</w:t>
          </w:r>
          <w:r>
            <w:tab/>
          </w:r>
          <w:r>
            <w:fldChar w:fldCharType="begin"/>
          </w:r>
          <w:r>
            <w:instrText xml:space="preserve"> PAGEREF _Toc20196 \h </w:instrText>
          </w:r>
          <w:r>
            <w:fldChar w:fldCharType="separate"/>
          </w:r>
          <w:r>
            <w:t>10</w:t>
          </w:r>
          <w:r>
            <w:fldChar w:fldCharType="end"/>
          </w:r>
          <w:r>
            <w:rPr>
              <w:rFonts w:cs="Times New Roman"/>
              <w:color w:val="auto"/>
              <w:szCs w:val="24"/>
            </w:rPr>
            <w:fldChar w:fldCharType="end"/>
          </w:r>
        </w:p>
        <w:p w14:paraId="4D62F79E">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_Toc7386 </w:instrText>
          </w:r>
          <w:r>
            <w:rPr>
              <w:rFonts w:cs="Times New Roman"/>
              <w:szCs w:val="24"/>
            </w:rPr>
            <w:fldChar w:fldCharType="separate"/>
          </w:r>
          <w:r>
            <w:rPr>
              <w:rFonts w:hint="eastAsia"/>
              <w:lang w:val="en-US" w:eastAsia="zh-CN"/>
            </w:rPr>
            <w:t>7.1 异常值识别与处理</w:t>
          </w:r>
          <w:r>
            <w:tab/>
          </w:r>
          <w:r>
            <w:fldChar w:fldCharType="begin"/>
          </w:r>
          <w:r>
            <w:instrText xml:space="preserve"> PAGEREF _Toc7386 \h </w:instrText>
          </w:r>
          <w:r>
            <w:fldChar w:fldCharType="separate"/>
          </w:r>
          <w:r>
            <w:t>10</w:t>
          </w:r>
          <w:r>
            <w:fldChar w:fldCharType="end"/>
          </w:r>
          <w:r>
            <w:rPr>
              <w:rFonts w:cs="Times New Roman"/>
              <w:color w:val="auto"/>
              <w:szCs w:val="24"/>
            </w:rPr>
            <w:fldChar w:fldCharType="end"/>
          </w:r>
        </w:p>
        <w:p w14:paraId="7A24B2C2">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_Toc11271 </w:instrText>
          </w:r>
          <w:r>
            <w:rPr>
              <w:rFonts w:cs="Times New Roman"/>
              <w:szCs w:val="24"/>
            </w:rPr>
            <w:fldChar w:fldCharType="separate"/>
          </w:r>
          <w:r>
            <w:rPr>
              <w:rFonts w:hint="eastAsia"/>
              <w:lang w:val="en-US" w:eastAsia="zh-CN"/>
            </w:rPr>
            <w:t>7.2 数据可追溯性控制</w:t>
          </w:r>
          <w:r>
            <w:tab/>
          </w:r>
          <w:r>
            <w:fldChar w:fldCharType="begin"/>
          </w:r>
          <w:r>
            <w:instrText xml:space="preserve"> PAGEREF _Toc11271 \h </w:instrText>
          </w:r>
          <w:r>
            <w:fldChar w:fldCharType="separate"/>
          </w:r>
          <w:r>
            <w:t>11</w:t>
          </w:r>
          <w:r>
            <w:fldChar w:fldCharType="end"/>
          </w:r>
          <w:r>
            <w:rPr>
              <w:rFonts w:cs="Times New Roman"/>
              <w:color w:val="auto"/>
              <w:szCs w:val="24"/>
            </w:rPr>
            <w:fldChar w:fldCharType="end"/>
          </w:r>
        </w:p>
        <w:p w14:paraId="5F89F325">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_Toc32003 </w:instrText>
          </w:r>
          <w:r>
            <w:rPr>
              <w:rFonts w:cs="Times New Roman"/>
              <w:szCs w:val="24"/>
            </w:rPr>
            <w:fldChar w:fldCharType="separate"/>
          </w:r>
          <w:r>
            <w:rPr>
              <w:rFonts w:hint="eastAsia"/>
              <w:lang w:val="en-US" w:eastAsia="zh-CN"/>
            </w:rPr>
            <w:t>7.3 不确定度评定</w:t>
          </w:r>
          <w:r>
            <w:tab/>
          </w:r>
          <w:r>
            <w:fldChar w:fldCharType="begin"/>
          </w:r>
          <w:r>
            <w:instrText xml:space="preserve"> PAGEREF _Toc32003 \h </w:instrText>
          </w:r>
          <w:r>
            <w:fldChar w:fldCharType="separate"/>
          </w:r>
          <w:r>
            <w:t>11</w:t>
          </w:r>
          <w:r>
            <w:fldChar w:fldCharType="end"/>
          </w:r>
          <w:r>
            <w:rPr>
              <w:rFonts w:cs="Times New Roman"/>
              <w:color w:val="auto"/>
              <w:szCs w:val="24"/>
            </w:rPr>
            <w:fldChar w:fldCharType="end"/>
          </w:r>
        </w:p>
        <w:p w14:paraId="3A09F79F">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_Toc4468 </w:instrText>
          </w:r>
          <w:r>
            <w:rPr>
              <w:rFonts w:cs="Times New Roman"/>
              <w:szCs w:val="24"/>
            </w:rPr>
            <w:fldChar w:fldCharType="separate"/>
          </w:r>
          <w:r>
            <w:rPr>
              <w:rFonts w:hint="eastAsia" w:cs="Times New Roman"/>
            </w:rPr>
            <w:t>8</w:t>
          </w:r>
          <w:r>
            <w:rPr>
              <w:rFonts w:cs="Times New Roman"/>
            </w:rPr>
            <w:t xml:space="preserve"> 计量结果表达</w:t>
          </w:r>
          <w:r>
            <w:tab/>
          </w:r>
          <w:r>
            <w:fldChar w:fldCharType="begin"/>
          </w:r>
          <w:r>
            <w:instrText xml:space="preserve"> PAGEREF _Toc4468 \h </w:instrText>
          </w:r>
          <w:r>
            <w:fldChar w:fldCharType="separate"/>
          </w:r>
          <w:r>
            <w:t>11</w:t>
          </w:r>
          <w:r>
            <w:fldChar w:fldCharType="end"/>
          </w:r>
          <w:r>
            <w:rPr>
              <w:rFonts w:cs="Times New Roman"/>
              <w:color w:val="auto"/>
              <w:szCs w:val="24"/>
            </w:rPr>
            <w:fldChar w:fldCharType="end"/>
          </w:r>
        </w:p>
        <w:p w14:paraId="01B66E20">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_Toc29988 </w:instrText>
          </w:r>
          <w:r>
            <w:rPr>
              <w:rFonts w:cs="Times New Roman"/>
              <w:szCs w:val="24"/>
            </w:rPr>
            <w:fldChar w:fldCharType="separate"/>
          </w:r>
          <w:r>
            <w:rPr>
              <w:rFonts w:hint="eastAsia" w:cs="Times New Roman"/>
            </w:rPr>
            <w:t>8</w:t>
          </w:r>
          <w:r>
            <w:rPr>
              <w:rFonts w:cs="Times New Roman"/>
            </w:rPr>
            <w:t>.1 一般要求</w:t>
          </w:r>
          <w:r>
            <w:tab/>
          </w:r>
          <w:r>
            <w:fldChar w:fldCharType="begin"/>
          </w:r>
          <w:r>
            <w:instrText xml:space="preserve"> PAGEREF _Toc29988 \h </w:instrText>
          </w:r>
          <w:r>
            <w:fldChar w:fldCharType="separate"/>
          </w:r>
          <w:r>
            <w:t>11</w:t>
          </w:r>
          <w:r>
            <w:fldChar w:fldCharType="end"/>
          </w:r>
          <w:r>
            <w:rPr>
              <w:rFonts w:cs="Times New Roman"/>
              <w:color w:val="auto"/>
              <w:szCs w:val="24"/>
            </w:rPr>
            <w:fldChar w:fldCharType="end"/>
          </w:r>
        </w:p>
        <w:p w14:paraId="5472CE68">
          <w:pPr>
            <w:pStyle w:val="13"/>
            <w:tabs>
              <w:tab w:val="right" w:leader="dot" w:pos="8306"/>
              <w:tab w:val="clear" w:pos="8296"/>
            </w:tabs>
          </w:pPr>
          <w:r>
            <w:rPr>
              <w:rFonts w:cs="Times New Roman"/>
              <w:color w:val="auto"/>
              <w:szCs w:val="24"/>
            </w:rPr>
            <w:fldChar w:fldCharType="begin"/>
          </w:r>
          <w:r>
            <w:rPr>
              <w:rFonts w:cs="Times New Roman"/>
              <w:szCs w:val="24"/>
            </w:rPr>
            <w:instrText xml:space="preserve"> HYPERLINK \l _Toc377 </w:instrText>
          </w:r>
          <w:r>
            <w:rPr>
              <w:rFonts w:cs="Times New Roman"/>
              <w:szCs w:val="24"/>
            </w:rPr>
            <w:fldChar w:fldCharType="separate"/>
          </w:r>
          <w:r>
            <w:rPr>
              <w:rFonts w:hint="eastAsia" w:cs="Times New Roman"/>
            </w:rPr>
            <w:t>8</w:t>
          </w:r>
          <w:r>
            <w:rPr>
              <w:rFonts w:cs="Times New Roman"/>
            </w:rPr>
            <w:t>.2 报告要求</w:t>
          </w:r>
          <w:r>
            <w:tab/>
          </w:r>
          <w:r>
            <w:fldChar w:fldCharType="begin"/>
          </w:r>
          <w:r>
            <w:instrText xml:space="preserve"> PAGEREF _Toc377 \h </w:instrText>
          </w:r>
          <w:r>
            <w:fldChar w:fldCharType="separate"/>
          </w:r>
          <w:r>
            <w:t>12</w:t>
          </w:r>
          <w:r>
            <w:fldChar w:fldCharType="end"/>
          </w:r>
          <w:r>
            <w:rPr>
              <w:rFonts w:cs="Times New Roman"/>
              <w:color w:val="auto"/>
              <w:szCs w:val="24"/>
            </w:rPr>
            <w:fldChar w:fldCharType="end"/>
          </w:r>
        </w:p>
        <w:p w14:paraId="4C78C8D8">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_Toc9981 </w:instrText>
          </w:r>
          <w:r>
            <w:rPr>
              <w:rFonts w:cs="Times New Roman"/>
              <w:szCs w:val="24"/>
            </w:rPr>
            <w:fldChar w:fldCharType="separate"/>
          </w:r>
          <w:r>
            <w:rPr>
              <w:rFonts w:hint="eastAsia"/>
              <w:lang w:val="en-US" w:eastAsia="zh-CN"/>
            </w:rPr>
            <w:t>附录A</w:t>
          </w:r>
          <w:r>
            <w:tab/>
          </w:r>
          <w:r>
            <w:fldChar w:fldCharType="begin"/>
          </w:r>
          <w:r>
            <w:instrText xml:space="preserve"> PAGEREF _Toc9981 \h </w:instrText>
          </w:r>
          <w:r>
            <w:fldChar w:fldCharType="separate"/>
          </w:r>
          <w:r>
            <w:t>13</w:t>
          </w:r>
          <w:r>
            <w:fldChar w:fldCharType="end"/>
          </w:r>
          <w:r>
            <w:rPr>
              <w:rFonts w:cs="Times New Roman"/>
              <w:color w:val="auto"/>
              <w:szCs w:val="24"/>
            </w:rPr>
            <w:fldChar w:fldCharType="end"/>
          </w:r>
        </w:p>
        <w:p w14:paraId="7DF7F10D">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_Toc17625 </w:instrText>
          </w:r>
          <w:r>
            <w:rPr>
              <w:rFonts w:cs="Times New Roman"/>
              <w:szCs w:val="24"/>
            </w:rPr>
            <w:fldChar w:fldCharType="separate"/>
          </w:r>
          <w:r>
            <w:rPr>
              <w:rFonts w:hint="eastAsia"/>
              <w:lang w:val="en-US" w:eastAsia="zh-CN"/>
            </w:rPr>
            <w:t>附录B</w:t>
          </w:r>
          <w:r>
            <w:tab/>
          </w:r>
          <w:r>
            <w:fldChar w:fldCharType="begin"/>
          </w:r>
          <w:r>
            <w:instrText xml:space="preserve"> PAGEREF _Toc17625 \h </w:instrText>
          </w:r>
          <w:r>
            <w:fldChar w:fldCharType="separate"/>
          </w:r>
          <w:r>
            <w:t>16</w:t>
          </w:r>
          <w:r>
            <w:fldChar w:fldCharType="end"/>
          </w:r>
          <w:r>
            <w:rPr>
              <w:rFonts w:cs="Times New Roman"/>
              <w:color w:val="auto"/>
              <w:szCs w:val="24"/>
            </w:rPr>
            <w:fldChar w:fldCharType="end"/>
          </w:r>
        </w:p>
        <w:p w14:paraId="21EC2FDE">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_Toc13886 </w:instrText>
          </w:r>
          <w:r>
            <w:rPr>
              <w:rFonts w:cs="Times New Roman"/>
              <w:szCs w:val="24"/>
            </w:rPr>
            <w:fldChar w:fldCharType="separate"/>
          </w:r>
          <w:r>
            <w:rPr>
              <w:rFonts w:hint="default"/>
              <w:lang w:val="en-US" w:eastAsia="zh-CN"/>
            </w:rPr>
            <w:t>附录C</w:t>
          </w:r>
          <w:r>
            <w:tab/>
          </w:r>
          <w:r>
            <w:fldChar w:fldCharType="begin"/>
          </w:r>
          <w:r>
            <w:instrText xml:space="preserve"> PAGEREF _Toc13886 \h </w:instrText>
          </w:r>
          <w:r>
            <w:fldChar w:fldCharType="separate"/>
          </w:r>
          <w:r>
            <w:t>19</w:t>
          </w:r>
          <w:r>
            <w:fldChar w:fldCharType="end"/>
          </w:r>
          <w:r>
            <w:rPr>
              <w:rFonts w:cs="Times New Roman"/>
              <w:color w:val="auto"/>
              <w:szCs w:val="24"/>
            </w:rPr>
            <w:fldChar w:fldCharType="end"/>
          </w:r>
        </w:p>
        <w:p w14:paraId="46E696B6">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_Toc24213 </w:instrText>
          </w:r>
          <w:r>
            <w:rPr>
              <w:rFonts w:cs="Times New Roman"/>
              <w:szCs w:val="24"/>
            </w:rPr>
            <w:fldChar w:fldCharType="separate"/>
          </w:r>
          <w:r>
            <w:rPr>
              <w:rFonts w:hint="eastAsia"/>
              <w:lang w:val="en-US" w:eastAsia="zh-CN"/>
            </w:rPr>
            <w:t>附录D</w:t>
          </w:r>
          <w:r>
            <w:tab/>
          </w:r>
          <w:r>
            <w:fldChar w:fldCharType="begin"/>
          </w:r>
          <w:r>
            <w:instrText xml:space="preserve"> PAGEREF _Toc24213 \h </w:instrText>
          </w:r>
          <w:r>
            <w:fldChar w:fldCharType="separate"/>
          </w:r>
          <w:r>
            <w:t>20</w:t>
          </w:r>
          <w:r>
            <w:fldChar w:fldCharType="end"/>
          </w:r>
          <w:r>
            <w:rPr>
              <w:rFonts w:cs="Times New Roman"/>
              <w:color w:val="auto"/>
              <w:szCs w:val="24"/>
            </w:rPr>
            <w:fldChar w:fldCharType="end"/>
          </w:r>
        </w:p>
        <w:p w14:paraId="1328C66F">
          <w:pPr>
            <w:pStyle w:val="20"/>
            <w:tabs>
              <w:tab w:val="right" w:leader="dot" w:pos="8306"/>
              <w:tab w:val="clear" w:pos="8296"/>
            </w:tabs>
          </w:pPr>
          <w:r>
            <w:rPr>
              <w:rFonts w:cs="Times New Roman"/>
              <w:color w:val="auto"/>
              <w:szCs w:val="24"/>
            </w:rPr>
            <w:fldChar w:fldCharType="begin"/>
          </w:r>
          <w:r>
            <w:rPr>
              <w:rFonts w:cs="Times New Roman"/>
              <w:szCs w:val="24"/>
            </w:rPr>
            <w:instrText xml:space="preserve"> HYPERLINK \l _Toc6062 </w:instrText>
          </w:r>
          <w:r>
            <w:rPr>
              <w:rFonts w:cs="Times New Roman"/>
              <w:szCs w:val="24"/>
            </w:rPr>
            <w:fldChar w:fldCharType="separate"/>
          </w:r>
          <w:r>
            <w:rPr>
              <w:rFonts w:hint="eastAsia"/>
              <w:lang w:val="en-US" w:eastAsia="zh-CN"/>
            </w:rPr>
            <w:t>附录E</w:t>
          </w:r>
          <w:r>
            <w:tab/>
          </w:r>
          <w:r>
            <w:fldChar w:fldCharType="begin"/>
          </w:r>
          <w:r>
            <w:instrText xml:space="preserve"> PAGEREF _Toc6062 \h </w:instrText>
          </w:r>
          <w:r>
            <w:fldChar w:fldCharType="separate"/>
          </w:r>
          <w:r>
            <w:t>23</w:t>
          </w:r>
          <w:r>
            <w:fldChar w:fldCharType="end"/>
          </w:r>
          <w:r>
            <w:rPr>
              <w:rFonts w:cs="Times New Roman"/>
              <w:color w:val="auto"/>
              <w:szCs w:val="24"/>
            </w:rPr>
            <w:fldChar w:fldCharType="end"/>
          </w:r>
        </w:p>
        <w:p w14:paraId="38C402AE">
          <w:pPr>
            <w:keepNext w:val="0"/>
            <w:keepLines w:val="0"/>
            <w:pageBreakBefore w:val="0"/>
            <w:widowControl w:val="0"/>
            <w:kinsoku/>
            <w:wordWrap/>
            <w:overflowPunct/>
            <w:topLinePunct w:val="0"/>
            <w:autoSpaceDE/>
            <w:autoSpaceDN/>
            <w:bidi w:val="0"/>
            <w:snapToGrid/>
            <w:textAlignment w:val="auto"/>
            <w:rPr>
              <w:rFonts w:ascii="Times New Roman" w:hAnsi="Times New Roman" w:eastAsia="宋体" w:cs="Times New Roman"/>
              <w:color w:val="auto"/>
              <w:kern w:val="2"/>
              <w:sz w:val="24"/>
              <w:szCs w:val="24"/>
              <w:lang w:val="en-US" w:eastAsia="zh-CN" w:bidi="ar-SA"/>
            </w:rPr>
            <w:sectPr>
              <w:headerReference r:id="rId5" w:type="default"/>
              <w:pgSz w:w="11906" w:h="16838"/>
              <w:pgMar w:top="1440" w:right="1800" w:bottom="1440" w:left="1800" w:header="851" w:footer="992" w:gutter="0"/>
              <w:cols w:space="425" w:num="1"/>
              <w:docGrid w:type="lines" w:linePitch="312" w:charSpace="0"/>
            </w:sectPr>
          </w:pPr>
          <w:r>
            <w:rPr>
              <w:rFonts w:cs="Times New Roman"/>
              <w:color w:val="auto"/>
              <w:szCs w:val="24"/>
            </w:rPr>
            <w:fldChar w:fldCharType="end"/>
          </w:r>
        </w:p>
      </w:sdtContent>
    </w:sdt>
    <w:p w14:paraId="730447C2">
      <w:pPr>
        <w:pStyle w:val="3"/>
        <w:jc w:val="center"/>
        <w:rPr>
          <w:rFonts w:cs="Times New Roman"/>
          <w:bCs w:val="0"/>
          <w:color w:val="auto"/>
          <w:sz w:val="44"/>
          <w:szCs w:val="44"/>
        </w:rPr>
      </w:pPr>
      <w:bookmarkStart w:id="2" w:name="_Toc13229"/>
      <w:bookmarkStart w:id="3" w:name="_Toc17276"/>
      <w:bookmarkStart w:id="4" w:name="_Toc279"/>
      <w:bookmarkStart w:id="5" w:name="_Toc24027"/>
      <w:bookmarkStart w:id="6" w:name="_Toc31475"/>
      <w:bookmarkStart w:id="7" w:name="_Toc28352"/>
      <w:bookmarkStart w:id="8" w:name="_Toc16924"/>
      <w:bookmarkStart w:id="9" w:name="_Toc30167"/>
      <w:r>
        <w:rPr>
          <w:rFonts w:cs="Times New Roman"/>
          <w:bCs w:val="0"/>
          <w:color w:val="auto"/>
          <w:sz w:val="44"/>
          <w:szCs w:val="44"/>
        </w:rPr>
        <w:t>引 言</w:t>
      </w:r>
      <w:bookmarkEnd w:id="2"/>
      <w:bookmarkEnd w:id="3"/>
      <w:bookmarkEnd w:id="4"/>
      <w:bookmarkEnd w:id="5"/>
      <w:bookmarkEnd w:id="6"/>
      <w:bookmarkEnd w:id="7"/>
      <w:bookmarkEnd w:id="8"/>
      <w:bookmarkEnd w:id="9"/>
    </w:p>
    <w:p w14:paraId="44698E7E">
      <w:pPr>
        <w:ind w:firstLine="480" w:firstLineChars="200"/>
        <w:rPr>
          <w:rFonts w:hint="eastAsia" w:cs="Times New Roman"/>
          <w:color w:val="auto"/>
          <w:szCs w:val="28"/>
        </w:rPr>
      </w:pPr>
      <w:r>
        <w:rPr>
          <w:rFonts w:hint="eastAsia" w:cs="Times New Roman"/>
          <w:color w:val="auto"/>
          <w:szCs w:val="28"/>
        </w:rPr>
        <w:t>JJF 1001-2011《通用计量术语及定义》、JJF 1071-2010 《国家计量校准规范编写规则》、JJF 1059.1-2012《测量不确定度评定与表示》共同构成制定本规范的基础性系列规范。</w:t>
      </w:r>
    </w:p>
    <w:p w14:paraId="19CFB365">
      <w:pPr>
        <w:ind w:firstLine="480" w:firstLineChars="200"/>
        <w:rPr>
          <w:rFonts w:hint="default" w:eastAsia="宋体" w:cs="Times New Roman"/>
          <w:color w:val="auto"/>
          <w:szCs w:val="28"/>
          <w:lang w:val="en-US" w:eastAsia="zh-CN"/>
        </w:rPr>
      </w:pPr>
      <w:r>
        <w:rPr>
          <w:rFonts w:hint="eastAsia" w:cs="Times New Roman"/>
          <w:color w:val="auto"/>
          <w:szCs w:val="28"/>
        </w:rPr>
        <w:t>本规范旨在服务国家碳达峰、碳中和战略目标，构建精装修模块房生产阶段碳排放的统一计量技术要求。</w:t>
      </w:r>
    </w:p>
    <w:p w14:paraId="7FABF354">
      <w:pPr>
        <w:ind w:firstLine="480" w:firstLineChars="200"/>
        <w:rPr>
          <w:rFonts w:cs="Times New Roman"/>
          <w:color w:val="auto"/>
          <w:szCs w:val="28"/>
        </w:rPr>
      </w:pPr>
      <w:r>
        <w:rPr>
          <w:rFonts w:cs="Times New Roman"/>
          <w:color w:val="auto"/>
          <w:szCs w:val="28"/>
        </w:rPr>
        <w:t>本规范为首次发布。</w:t>
      </w:r>
    </w:p>
    <w:p w14:paraId="3E46D77C">
      <w:pPr>
        <w:ind w:firstLine="0" w:firstLineChars="0"/>
        <w:rPr>
          <w:rFonts w:hint="default" w:eastAsia="宋体" w:cs="Times New Roman"/>
          <w:color w:val="auto"/>
          <w:szCs w:val="28"/>
          <w:lang w:val="en-US" w:eastAsia="zh-CN"/>
        </w:rPr>
        <w:sectPr>
          <w:footerReference r:id="rId6" w:type="default"/>
          <w:pgSz w:w="11906" w:h="16838"/>
          <w:pgMar w:top="1440" w:right="1800" w:bottom="1440" w:left="1800" w:header="851" w:footer="992" w:gutter="0"/>
          <w:pgNumType w:fmt="upperRoman" w:start="1"/>
          <w:cols w:space="0" w:num="1"/>
          <w:rtlGutter w:val="0"/>
          <w:docGrid w:type="lines" w:linePitch="331" w:charSpace="0"/>
        </w:sectPr>
      </w:pPr>
    </w:p>
    <w:p w14:paraId="6C4B762D">
      <w:pPr>
        <w:jc w:val="center"/>
        <w:rPr>
          <w:rFonts w:hint="eastAsia" w:eastAsia="黑体" w:cs="Times New Roman"/>
          <w:color w:val="auto"/>
          <w:sz w:val="32"/>
          <w:szCs w:val="36"/>
          <w:lang w:val="en-US" w:eastAsia="zh-CN"/>
        </w:rPr>
        <w:sectPr>
          <w:footerReference r:id="rId7" w:type="default"/>
          <w:type w:val="continuous"/>
          <w:pgSz w:w="11906" w:h="16838"/>
          <w:pgMar w:top="720" w:right="720" w:bottom="720" w:left="720" w:header="851" w:footer="992" w:gutter="0"/>
          <w:cols w:space="425" w:num="1"/>
          <w:docGrid w:type="lines" w:linePitch="312" w:charSpace="0"/>
        </w:sectPr>
      </w:pPr>
    </w:p>
    <w:p w14:paraId="632DA5C2">
      <w:pPr>
        <w:jc w:val="center"/>
        <w:rPr>
          <w:rFonts w:eastAsia="黑体" w:cs="Times New Roman"/>
          <w:color w:val="auto"/>
          <w:sz w:val="32"/>
          <w:szCs w:val="36"/>
        </w:rPr>
      </w:pPr>
      <w:r>
        <w:rPr>
          <w:rFonts w:hint="eastAsia" w:eastAsia="黑体" w:cs="Times New Roman"/>
          <w:color w:val="auto"/>
          <w:sz w:val="32"/>
          <w:szCs w:val="36"/>
          <w:lang w:val="en-US" w:eastAsia="zh-CN"/>
        </w:rPr>
        <w:t>精装修模块房</w:t>
      </w:r>
      <w:r>
        <w:rPr>
          <w:rFonts w:eastAsia="黑体" w:cs="Times New Roman"/>
          <w:color w:val="auto"/>
          <w:sz w:val="32"/>
          <w:szCs w:val="36"/>
        </w:rPr>
        <w:t>碳排放</w:t>
      </w:r>
      <w:r>
        <w:rPr>
          <w:rFonts w:hint="eastAsia" w:eastAsia="黑体" w:cs="Times New Roman"/>
          <w:color w:val="auto"/>
          <w:sz w:val="32"/>
          <w:szCs w:val="36"/>
        </w:rPr>
        <w:t>计量</w:t>
      </w:r>
      <w:r>
        <w:rPr>
          <w:rFonts w:eastAsia="黑体" w:cs="Times New Roman"/>
          <w:color w:val="auto"/>
          <w:sz w:val="32"/>
          <w:szCs w:val="36"/>
        </w:rPr>
        <w:t>技术要求</w:t>
      </w:r>
    </w:p>
    <w:p w14:paraId="693CF00C">
      <w:pPr>
        <w:pStyle w:val="3"/>
        <w:rPr>
          <w:rFonts w:cs="Times New Roman"/>
          <w:color w:val="auto"/>
        </w:rPr>
      </w:pPr>
      <w:bookmarkStart w:id="10" w:name="_Toc16689"/>
      <w:bookmarkStart w:id="11" w:name="_Toc30198"/>
      <w:bookmarkStart w:id="12" w:name="_Toc2935"/>
      <w:bookmarkStart w:id="13" w:name="_Toc23531"/>
      <w:bookmarkStart w:id="14" w:name="_Toc391"/>
      <w:bookmarkStart w:id="15" w:name="_Toc21733"/>
      <w:bookmarkStart w:id="16" w:name="_Toc30860"/>
      <w:bookmarkStart w:id="17" w:name="_Toc18376"/>
      <w:r>
        <w:rPr>
          <w:rFonts w:cs="Times New Roman"/>
          <w:color w:val="auto"/>
        </w:rPr>
        <w:t>1 范围</w:t>
      </w:r>
      <w:bookmarkEnd w:id="10"/>
      <w:bookmarkEnd w:id="11"/>
      <w:bookmarkEnd w:id="12"/>
      <w:bookmarkEnd w:id="13"/>
      <w:bookmarkEnd w:id="14"/>
      <w:bookmarkEnd w:id="15"/>
      <w:bookmarkEnd w:id="16"/>
      <w:bookmarkEnd w:id="17"/>
    </w:p>
    <w:p w14:paraId="6B32A0A3">
      <w:pPr>
        <w:ind w:firstLine="480" w:firstLineChars="200"/>
        <w:rPr>
          <w:rFonts w:hint="eastAsia" w:cs="Times New Roman"/>
          <w:color w:val="auto"/>
          <w:szCs w:val="28"/>
        </w:rPr>
      </w:pPr>
      <w:r>
        <w:rPr>
          <w:rFonts w:hint="eastAsia" w:cs="Times New Roman"/>
          <w:color w:val="auto"/>
          <w:szCs w:val="28"/>
        </w:rPr>
        <w:t>本规范规定了采用</w:t>
      </w:r>
      <w:r>
        <w:rPr>
          <w:rFonts w:hint="eastAsia" w:cs="Times New Roman"/>
          <w:color w:val="auto"/>
          <w:szCs w:val="28"/>
          <w:lang w:val="en-US" w:eastAsia="zh-CN"/>
        </w:rPr>
        <w:t>碳排放因子</w:t>
      </w:r>
      <w:r>
        <w:rPr>
          <w:rFonts w:hint="eastAsia" w:cs="Times New Roman"/>
          <w:color w:val="auto"/>
          <w:szCs w:val="28"/>
        </w:rPr>
        <w:t>法对精装修模块房（以下简称模块房）</w:t>
      </w:r>
      <w:r>
        <w:rPr>
          <w:rFonts w:hint="eastAsia" w:cs="Times New Roman"/>
          <w:color w:val="auto"/>
          <w:szCs w:val="28"/>
          <w:lang w:val="en-US" w:eastAsia="zh-CN"/>
        </w:rPr>
        <w:t>厂内生产阶段</w:t>
      </w:r>
      <w:r>
        <w:rPr>
          <w:rFonts w:hint="eastAsia" w:cs="Times New Roman"/>
          <w:color w:val="auto"/>
          <w:szCs w:val="28"/>
        </w:rPr>
        <w:t>碳排放量的计量要求。</w:t>
      </w:r>
    </w:p>
    <w:p w14:paraId="4B358723">
      <w:pPr>
        <w:ind w:firstLine="480" w:firstLineChars="200"/>
        <w:rPr>
          <w:rFonts w:cs="Times New Roman"/>
          <w:color w:val="auto"/>
          <w:szCs w:val="28"/>
        </w:rPr>
      </w:pPr>
      <w:r>
        <w:rPr>
          <w:rFonts w:hint="eastAsia" w:cs="Times New Roman"/>
          <w:color w:val="auto"/>
          <w:szCs w:val="28"/>
        </w:rPr>
        <w:t>本规范明确了</w:t>
      </w:r>
      <w:r>
        <w:rPr>
          <w:rFonts w:hint="eastAsia" w:cs="Times New Roman"/>
          <w:color w:val="auto"/>
          <w:szCs w:val="28"/>
          <w:lang w:val="en-US" w:eastAsia="zh-CN"/>
        </w:rPr>
        <w:t>模块房生产</w:t>
      </w:r>
      <w:r>
        <w:rPr>
          <w:rFonts w:hint="eastAsia" w:cs="Times New Roman"/>
          <w:color w:val="auto"/>
          <w:szCs w:val="28"/>
        </w:rPr>
        <w:t>阶段碳排放计量边界，</w:t>
      </w:r>
      <w:r>
        <w:rPr>
          <w:rFonts w:cs="Times New Roman"/>
          <w:color w:val="auto"/>
          <w:szCs w:val="28"/>
        </w:rPr>
        <w:t>适用于已投入生产的</w:t>
      </w:r>
      <w:r>
        <w:rPr>
          <w:rFonts w:hint="eastAsia" w:cs="Times New Roman"/>
          <w:color w:val="auto"/>
          <w:szCs w:val="28"/>
          <w:lang w:val="en-US" w:eastAsia="zh-CN"/>
        </w:rPr>
        <w:t>模块房</w:t>
      </w:r>
      <w:r>
        <w:rPr>
          <w:rFonts w:cs="Times New Roman"/>
          <w:color w:val="auto"/>
          <w:szCs w:val="28"/>
        </w:rPr>
        <w:t>工厂，用于计量</w:t>
      </w:r>
      <w:r>
        <w:rPr>
          <w:rFonts w:hint="eastAsia" w:cs="Times New Roman"/>
          <w:color w:val="auto"/>
          <w:szCs w:val="28"/>
          <w:lang w:val="en-US" w:eastAsia="zh-CN"/>
        </w:rPr>
        <w:t>模块房生产</w:t>
      </w:r>
      <w:r>
        <w:rPr>
          <w:rFonts w:hint="eastAsia" w:cs="Times New Roman"/>
          <w:color w:val="auto"/>
          <w:szCs w:val="28"/>
        </w:rPr>
        <w:t>阶段</w:t>
      </w:r>
      <w:r>
        <w:rPr>
          <w:rFonts w:cs="Times New Roman"/>
          <w:color w:val="auto"/>
          <w:szCs w:val="28"/>
        </w:rPr>
        <w:t>产生的碳排放。</w:t>
      </w:r>
    </w:p>
    <w:p w14:paraId="5F8E28DF">
      <w:pPr>
        <w:pStyle w:val="3"/>
        <w:rPr>
          <w:rFonts w:cs="Times New Roman"/>
          <w:color w:val="auto"/>
        </w:rPr>
      </w:pPr>
      <w:bookmarkStart w:id="18" w:name="_Toc17784"/>
      <w:bookmarkStart w:id="19" w:name="_Toc15116"/>
      <w:bookmarkStart w:id="20" w:name="_Toc6769"/>
      <w:bookmarkStart w:id="21" w:name="_Toc26309"/>
      <w:bookmarkStart w:id="22" w:name="_Toc12947"/>
      <w:bookmarkStart w:id="23" w:name="_Toc13084"/>
      <w:bookmarkStart w:id="24" w:name="_Toc15177"/>
      <w:bookmarkStart w:id="25" w:name="_Toc20741"/>
      <w:r>
        <w:rPr>
          <w:rFonts w:cs="Times New Roman"/>
          <w:color w:val="auto"/>
        </w:rPr>
        <w:t>2 引用文件</w:t>
      </w:r>
      <w:bookmarkEnd w:id="18"/>
      <w:bookmarkEnd w:id="19"/>
      <w:bookmarkEnd w:id="20"/>
      <w:bookmarkEnd w:id="21"/>
      <w:bookmarkEnd w:id="22"/>
      <w:bookmarkEnd w:id="23"/>
      <w:bookmarkEnd w:id="24"/>
      <w:bookmarkEnd w:id="25"/>
    </w:p>
    <w:p w14:paraId="6BC2E713">
      <w:pPr>
        <w:ind w:firstLine="480" w:firstLineChars="200"/>
        <w:rPr>
          <w:rFonts w:cs="Times New Roman"/>
          <w:color w:val="auto"/>
          <w:szCs w:val="28"/>
        </w:rPr>
      </w:pPr>
      <w:r>
        <w:rPr>
          <w:rFonts w:cs="Times New Roman"/>
          <w:color w:val="auto"/>
          <w:szCs w:val="28"/>
        </w:rPr>
        <w:t>本规范引用了下列文件:</w:t>
      </w:r>
      <w:bookmarkStart w:id="26" w:name="_Hlk155338736"/>
    </w:p>
    <w:bookmarkEnd w:id="26"/>
    <w:p w14:paraId="4B3BB676">
      <w:pPr>
        <w:widowControl/>
        <w:ind w:firstLine="480" w:firstLineChars="200"/>
        <w:jc w:val="left"/>
        <w:rPr>
          <w:rFonts w:hint="eastAsia" w:eastAsia="宋体" w:cs="Times New Roman"/>
          <w:color w:val="auto"/>
          <w:kern w:val="0"/>
          <w:lang w:eastAsia="zh-CN"/>
        </w:rPr>
      </w:pPr>
      <w:bookmarkStart w:id="153" w:name="_GoBack"/>
      <w:r>
        <w:rPr>
          <w:rFonts w:hint="eastAsia" w:cs="Times New Roman"/>
          <w:color w:val="auto"/>
          <w:kern w:val="0"/>
        </w:rPr>
        <w:t>JJG</w:t>
      </w:r>
      <w:r>
        <w:rPr>
          <w:rFonts w:hint="eastAsia" w:cs="Times New Roman"/>
          <w:color w:val="auto"/>
          <w:kern w:val="0"/>
          <w:lang w:val="en-US" w:eastAsia="zh-CN"/>
        </w:rPr>
        <w:t xml:space="preserve"> </w:t>
      </w:r>
      <w:r>
        <w:rPr>
          <w:rFonts w:hint="eastAsia" w:cs="Times New Roman"/>
          <w:color w:val="auto"/>
          <w:kern w:val="0"/>
        </w:rPr>
        <w:t>195连续累计自动衡器（皮带秤）检定规程</w:t>
      </w:r>
    </w:p>
    <w:p w14:paraId="1A766428">
      <w:pPr>
        <w:widowControl/>
        <w:ind w:firstLine="480" w:firstLineChars="200"/>
        <w:jc w:val="left"/>
        <w:rPr>
          <w:rFonts w:hint="eastAsia" w:eastAsia="宋体" w:cs="Times New Roman"/>
          <w:color w:val="auto"/>
          <w:kern w:val="0"/>
          <w:lang w:eastAsia="zh-CN"/>
        </w:rPr>
      </w:pPr>
      <w:r>
        <w:rPr>
          <w:rFonts w:hint="eastAsia" w:cs="Times New Roman"/>
          <w:color w:val="auto"/>
          <w:kern w:val="0"/>
        </w:rPr>
        <w:t>JJG</w:t>
      </w:r>
      <w:r>
        <w:rPr>
          <w:rFonts w:hint="eastAsia" w:cs="Times New Roman"/>
          <w:color w:val="auto"/>
          <w:kern w:val="0"/>
          <w:lang w:val="en-US" w:eastAsia="zh-CN"/>
        </w:rPr>
        <w:t xml:space="preserve"> </w:t>
      </w:r>
      <w:r>
        <w:rPr>
          <w:rFonts w:hint="eastAsia" w:cs="Times New Roman"/>
          <w:color w:val="auto"/>
          <w:kern w:val="0"/>
        </w:rPr>
        <w:t>225热能表检定规程</w:t>
      </w:r>
    </w:p>
    <w:p w14:paraId="514ED49E">
      <w:pPr>
        <w:widowControl/>
        <w:ind w:firstLine="480" w:firstLineChars="200"/>
        <w:jc w:val="left"/>
        <w:rPr>
          <w:rFonts w:hint="eastAsia" w:eastAsia="宋体" w:cs="Times New Roman"/>
          <w:color w:val="auto"/>
          <w:kern w:val="0"/>
          <w:lang w:eastAsia="zh-CN"/>
        </w:rPr>
      </w:pPr>
      <w:r>
        <w:rPr>
          <w:rFonts w:hint="eastAsia" w:cs="Times New Roman"/>
          <w:color w:val="auto"/>
          <w:kern w:val="0"/>
        </w:rPr>
        <w:t>JJG</w:t>
      </w:r>
      <w:r>
        <w:rPr>
          <w:rFonts w:hint="eastAsia" w:cs="Times New Roman"/>
          <w:color w:val="auto"/>
          <w:kern w:val="0"/>
          <w:lang w:val="en-US" w:eastAsia="zh-CN"/>
        </w:rPr>
        <w:t xml:space="preserve"> </w:t>
      </w:r>
      <w:r>
        <w:rPr>
          <w:rFonts w:hint="eastAsia" w:cs="Times New Roman"/>
          <w:color w:val="auto"/>
          <w:kern w:val="0"/>
        </w:rPr>
        <w:t>539数字指示秤检定规程</w:t>
      </w:r>
    </w:p>
    <w:p w14:paraId="07FA603C">
      <w:pPr>
        <w:widowControl/>
        <w:ind w:firstLine="480" w:firstLineChars="200"/>
        <w:jc w:val="left"/>
        <w:rPr>
          <w:rFonts w:hint="eastAsia" w:eastAsia="宋体" w:cs="Times New Roman"/>
          <w:color w:val="auto"/>
          <w:kern w:val="0"/>
          <w:lang w:eastAsia="zh-CN"/>
        </w:rPr>
      </w:pPr>
      <w:r>
        <w:rPr>
          <w:rFonts w:hint="eastAsia" w:cs="Times New Roman"/>
          <w:color w:val="auto"/>
          <w:kern w:val="0"/>
        </w:rPr>
        <w:t>JJG</w:t>
      </w:r>
      <w:r>
        <w:rPr>
          <w:rFonts w:hint="eastAsia" w:cs="Times New Roman"/>
          <w:color w:val="auto"/>
          <w:kern w:val="0"/>
          <w:lang w:val="en-US" w:eastAsia="zh-CN"/>
        </w:rPr>
        <w:t xml:space="preserve"> </w:t>
      </w:r>
      <w:r>
        <w:rPr>
          <w:rFonts w:hint="eastAsia" w:cs="Times New Roman"/>
          <w:color w:val="auto"/>
          <w:kern w:val="0"/>
        </w:rPr>
        <w:t>596电子式交流电能表检定规程</w:t>
      </w:r>
    </w:p>
    <w:p w14:paraId="5A782D41">
      <w:pPr>
        <w:widowControl/>
        <w:ind w:firstLine="480" w:firstLineChars="200"/>
        <w:jc w:val="left"/>
        <w:rPr>
          <w:rFonts w:hint="eastAsia" w:eastAsia="宋体" w:cs="Times New Roman"/>
          <w:color w:val="auto"/>
          <w:kern w:val="0"/>
          <w:lang w:eastAsia="zh-CN"/>
        </w:rPr>
      </w:pPr>
      <w:r>
        <w:rPr>
          <w:rFonts w:hint="eastAsia" w:cs="Times New Roman"/>
          <w:color w:val="auto"/>
          <w:kern w:val="0"/>
        </w:rPr>
        <w:t>JJG</w:t>
      </w:r>
      <w:r>
        <w:rPr>
          <w:rFonts w:hint="eastAsia" w:cs="Times New Roman"/>
          <w:color w:val="auto"/>
          <w:kern w:val="0"/>
          <w:lang w:val="en-US" w:eastAsia="zh-CN"/>
        </w:rPr>
        <w:t xml:space="preserve"> </w:t>
      </w:r>
      <w:r>
        <w:rPr>
          <w:rFonts w:hint="eastAsia" w:cs="Times New Roman"/>
          <w:color w:val="auto"/>
          <w:kern w:val="0"/>
        </w:rPr>
        <w:t>640差压式流量计检定规程</w:t>
      </w:r>
    </w:p>
    <w:p w14:paraId="7A6AA3BF">
      <w:pPr>
        <w:widowControl/>
        <w:ind w:firstLine="480" w:firstLineChars="200"/>
        <w:jc w:val="left"/>
        <w:rPr>
          <w:rFonts w:hint="eastAsia" w:eastAsia="宋体" w:cs="Times New Roman"/>
          <w:color w:val="auto"/>
          <w:kern w:val="0"/>
          <w:lang w:eastAsia="zh-CN"/>
        </w:rPr>
      </w:pPr>
      <w:r>
        <w:rPr>
          <w:rFonts w:hint="eastAsia" w:cs="Times New Roman"/>
          <w:color w:val="auto"/>
          <w:kern w:val="0"/>
        </w:rPr>
        <w:t>JJG</w:t>
      </w:r>
      <w:r>
        <w:rPr>
          <w:rFonts w:hint="eastAsia" w:cs="Times New Roman"/>
          <w:color w:val="auto"/>
          <w:kern w:val="0"/>
          <w:lang w:val="en-US" w:eastAsia="zh-CN"/>
        </w:rPr>
        <w:t xml:space="preserve"> </w:t>
      </w:r>
      <w:r>
        <w:rPr>
          <w:rFonts w:hint="eastAsia" w:cs="Times New Roman"/>
          <w:color w:val="auto"/>
          <w:kern w:val="0"/>
        </w:rPr>
        <w:t>667液体容积式流量计检定规程</w:t>
      </w:r>
    </w:p>
    <w:p w14:paraId="553C812A">
      <w:pPr>
        <w:widowControl/>
        <w:ind w:firstLine="480" w:firstLineChars="200"/>
        <w:jc w:val="left"/>
        <w:rPr>
          <w:rFonts w:hint="eastAsia" w:eastAsia="宋体" w:cs="Times New Roman"/>
          <w:color w:val="auto"/>
          <w:kern w:val="0"/>
          <w:lang w:eastAsia="zh-CN"/>
        </w:rPr>
      </w:pPr>
      <w:r>
        <w:rPr>
          <w:rFonts w:hint="eastAsia" w:cs="Times New Roman"/>
          <w:color w:val="auto"/>
          <w:kern w:val="0"/>
        </w:rPr>
        <w:t>JJG</w:t>
      </w:r>
      <w:r>
        <w:rPr>
          <w:rFonts w:hint="eastAsia" w:cs="Times New Roman"/>
          <w:color w:val="auto"/>
          <w:kern w:val="0"/>
          <w:lang w:val="en-US" w:eastAsia="zh-CN"/>
        </w:rPr>
        <w:t xml:space="preserve"> </w:t>
      </w:r>
      <w:r>
        <w:rPr>
          <w:rFonts w:hint="eastAsia" w:cs="Times New Roman"/>
          <w:color w:val="auto"/>
          <w:kern w:val="0"/>
        </w:rPr>
        <w:t>1187直流标准电能表检定规程</w:t>
      </w:r>
    </w:p>
    <w:p w14:paraId="6A38E465">
      <w:pPr>
        <w:widowControl/>
        <w:ind w:firstLine="480" w:firstLineChars="200"/>
        <w:jc w:val="left"/>
        <w:rPr>
          <w:rFonts w:hint="eastAsia" w:eastAsia="宋体"/>
          <w:color w:val="auto"/>
          <w:lang w:eastAsia="zh-CN"/>
        </w:rPr>
      </w:pPr>
      <w:r>
        <w:rPr>
          <w:rFonts w:hint="eastAsia"/>
          <w:color w:val="auto"/>
        </w:rPr>
        <w:t>JJF ××××—××××</w:t>
      </w:r>
      <w:r>
        <w:rPr>
          <w:rFonts w:hint="eastAsia"/>
          <w:color w:val="auto"/>
          <w:lang w:val="en-US" w:eastAsia="zh-CN"/>
        </w:rPr>
        <w:t xml:space="preserve"> </w:t>
      </w:r>
      <w:r>
        <w:rPr>
          <w:rFonts w:hint="eastAsia"/>
          <w:color w:val="auto"/>
        </w:rPr>
        <w:t>碳计量名词术语及定义</w:t>
      </w:r>
    </w:p>
    <w:p w14:paraId="6AD7A337">
      <w:pPr>
        <w:widowControl/>
        <w:ind w:firstLine="480" w:firstLineChars="200"/>
        <w:jc w:val="left"/>
        <w:rPr>
          <w:rFonts w:hint="eastAsia" w:eastAsia="宋体"/>
          <w:color w:val="auto"/>
          <w:lang w:eastAsia="zh-CN"/>
        </w:rPr>
      </w:pPr>
      <w:r>
        <w:rPr>
          <w:rFonts w:hint="eastAsia"/>
          <w:color w:val="auto"/>
        </w:rPr>
        <w:t>JJF ××××—××××</w:t>
      </w:r>
      <w:r>
        <w:rPr>
          <w:rFonts w:hint="eastAsia"/>
          <w:color w:val="auto"/>
          <w:lang w:val="en-US" w:eastAsia="zh-CN"/>
        </w:rPr>
        <w:t xml:space="preserve"> </w:t>
      </w:r>
      <w:r>
        <w:rPr>
          <w:rFonts w:hint="eastAsia"/>
          <w:color w:val="auto"/>
        </w:rPr>
        <w:t>建筑碳排放监测平台</w:t>
      </w:r>
      <w:r>
        <w:rPr>
          <w:rFonts w:hint="eastAsia"/>
          <w:bCs/>
          <w:color w:val="auto"/>
        </w:rPr>
        <w:t>计量技术要求</w:t>
      </w:r>
    </w:p>
    <w:p w14:paraId="7101F767">
      <w:pPr>
        <w:widowControl/>
        <w:ind w:firstLine="480" w:firstLineChars="200"/>
        <w:jc w:val="left"/>
        <w:rPr>
          <w:rFonts w:cs="Times New Roman"/>
          <w:color w:val="auto"/>
          <w:kern w:val="0"/>
        </w:rPr>
      </w:pPr>
      <w:r>
        <w:rPr>
          <w:rFonts w:hint="eastAsia" w:cs="Times New Roman"/>
          <w:color w:val="auto"/>
          <w:kern w:val="0"/>
        </w:rPr>
        <w:t>JJF 1001</w:t>
      </w:r>
      <w:r>
        <w:rPr>
          <w:rFonts w:hint="eastAsia" w:cs="Times New Roman"/>
          <w:color w:val="auto"/>
          <w:kern w:val="0"/>
          <w:lang w:val="en-US" w:eastAsia="zh-CN"/>
        </w:rPr>
        <w:t xml:space="preserve">-2011 </w:t>
      </w:r>
      <w:r>
        <w:rPr>
          <w:rFonts w:hint="eastAsia" w:cs="Times New Roman"/>
          <w:color w:val="auto"/>
          <w:kern w:val="0"/>
        </w:rPr>
        <w:t>通用计量术语及定义</w:t>
      </w:r>
    </w:p>
    <w:p w14:paraId="4618A08A">
      <w:pPr>
        <w:widowControl/>
        <w:ind w:firstLine="480" w:firstLineChars="200"/>
        <w:jc w:val="left"/>
        <w:rPr>
          <w:rFonts w:cs="Times New Roman"/>
          <w:color w:val="auto"/>
          <w:kern w:val="0"/>
        </w:rPr>
      </w:pPr>
      <w:r>
        <w:rPr>
          <w:rFonts w:cs="Times New Roman"/>
          <w:color w:val="auto"/>
          <w:kern w:val="0"/>
        </w:rPr>
        <w:t>JJF 1059.1</w:t>
      </w:r>
      <w:r>
        <w:rPr>
          <w:rFonts w:hint="eastAsia" w:cs="Times New Roman"/>
          <w:color w:val="auto"/>
          <w:kern w:val="0"/>
          <w:lang w:val="en-US" w:eastAsia="zh-CN"/>
        </w:rPr>
        <w:t xml:space="preserve">-2012 </w:t>
      </w:r>
      <w:r>
        <w:rPr>
          <w:rFonts w:cs="Times New Roman"/>
          <w:color w:val="auto"/>
          <w:kern w:val="0"/>
        </w:rPr>
        <w:t>测量不确定度评定与表示</w:t>
      </w:r>
    </w:p>
    <w:p w14:paraId="1256C34E">
      <w:pPr>
        <w:widowControl/>
        <w:ind w:firstLine="480" w:firstLineChars="200"/>
        <w:jc w:val="left"/>
        <w:rPr>
          <w:rFonts w:hint="default" w:ascii="Times New Roman" w:hAnsi="Times New Roman" w:eastAsia="宋体" w:cs="Times New Roman"/>
          <w:i w:val="0"/>
          <w:iCs w:val="0"/>
          <w:caps w:val="0"/>
          <w:color w:val="auto"/>
          <w:spacing w:val="0"/>
          <w:kern w:val="0"/>
          <w:sz w:val="24"/>
          <w:szCs w:val="22"/>
          <w:shd w:val="clear" w:fill="auto"/>
        </w:rPr>
      </w:pPr>
      <w:r>
        <w:rPr>
          <w:rFonts w:hint="eastAsia" w:cs="Times New Roman"/>
          <w:color w:val="auto"/>
          <w:kern w:val="0"/>
        </w:rPr>
        <w:t>JJF 1</w:t>
      </w:r>
      <w:r>
        <w:rPr>
          <w:rFonts w:hint="default" w:cs="Times New Roman"/>
          <w:color w:val="auto"/>
          <w:kern w:val="0"/>
        </w:rPr>
        <w:t>071</w:t>
      </w:r>
      <w:r>
        <w:rPr>
          <w:rFonts w:hint="eastAsia" w:cs="Times New Roman"/>
          <w:color w:val="auto"/>
          <w:kern w:val="0"/>
          <w:lang w:val="en-US" w:eastAsia="zh-CN"/>
        </w:rPr>
        <w:t>-</w:t>
      </w:r>
      <w:r>
        <w:rPr>
          <w:rFonts w:hint="default" w:cs="Times New Roman"/>
          <w:color w:val="auto"/>
          <w:kern w:val="0"/>
        </w:rPr>
        <w:t>2010</w:t>
      </w:r>
      <w:r>
        <w:rPr>
          <w:rFonts w:hint="eastAsia" w:cs="Times New Roman"/>
          <w:color w:val="auto"/>
          <w:kern w:val="0"/>
          <w:lang w:val="en-US" w:eastAsia="zh-CN"/>
        </w:rPr>
        <w:t xml:space="preserve"> </w:t>
      </w:r>
      <w:r>
        <w:rPr>
          <w:rFonts w:hint="default" w:ascii="Times New Roman" w:hAnsi="Times New Roman" w:eastAsia="宋体" w:cs="Times New Roman"/>
          <w:i w:val="0"/>
          <w:iCs w:val="0"/>
          <w:caps w:val="0"/>
          <w:color w:val="auto"/>
          <w:spacing w:val="0"/>
          <w:kern w:val="0"/>
          <w:sz w:val="24"/>
          <w:szCs w:val="22"/>
          <w:shd w:val="clear" w:fill="auto"/>
        </w:rPr>
        <w:t>国家计量校准规范编写规则</w:t>
      </w:r>
    </w:p>
    <w:p w14:paraId="1AD524EF">
      <w:pPr>
        <w:widowControl/>
        <w:ind w:firstLine="480" w:firstLineChars="200"/>
        <w:jc w:val="left"/>
        <w:rPr>
          <w:rFonts w:hint="default" w:ascii="Times New Roman" w:hAnsi="Times New Roman" w:eastAsia="宋体" w:cs="Times New Roman"/>
          <w:i w:val="0"/>
          <w:iCs w:val="0"/>
          <w:caps w:val="0"/>
          <w:color w:val="auto"/>
          <w:spacing w:val="0"/>
          <w:kern w:val="0"/>
          <w:sz w:val="24"/>
          <w:szCs w:val="22"/>
          <w:shd w:val="clear" w:fill="auto"/>
          <w:lang w:val="en-US" w:eastAsia="zh-CN"/>
        </w:rPr>
      </w:pPr>
      <w:r>
        <w:rPr>
          <w:rFonts w:hint="default" w:ascii="Times New Roman" w:hAnsi="Times New Roman" w:eastAsia="宋体" w:cs="Times New Roman"/>
          <w:i w:val="0"/>
          <w:iCs w:val="0"/>
          <w:caps w:val="0"/>
          <w:color w:val="auto"/>
          <w:spacing w:val="0"/>
          <w:kern w:val="0"/>
          <w:sz w:val="24"/>
          <w:szCs w:val="22"/>
          <w:shd w:val="clear" w:fill="auto"/>
          <w:lang w:val="en-US" w:eastAsia="zh-CN"/>
        </w:rPr>
        <w:t>JJF 2309-2025 重点排放单位碳计量审查规范</w:t>
      </w:r>
    </w:p>
    <w:p w14:paraId="6CCE9D1F">
      <w:pPr>
        <w:widowControl/>
        <w:ind w:firstLine="480" w:firstLineChars="200"/>
        <w:jc w:val="left"/>
        <w:rPr>
          <w:rFonts w:hint="default" w:eastAsia="宋体" w:cs="Times New Roman"/>
          <w:color w:val="auto"/>
          <w:kern w:val="0"/>
          <w:lang w:val="en-US" w:eastAsia="zh-CN"/>
        </w:rPr>
      </w:pPr>
      <w:r>
        <w:rPr>
          <w:rFonts w:hint="default" w:cs="Times New Roman"/>
          <w:color w:val="auto"/>
          <w:kern w:val="0"/>
        </w:rPr>
        <w:t>GB/T 213</w:t>
      </w:r>
      <w:r>
        <w:rPr>
          <w:rFonts w:hint="eastAsia" w:cs="Times New Roman"/>
          <w:color w:val="auto"/>
          <w:kern w:val="0"/>
          <w:lang w:val="en-US" w:eastAsia="zh-CN"/>
        </w:rPr>
        <w:t>-</w:t>
      </w:r>
      <w:r>
        <w:rPr>
          <w:rFonts w:hint="default" w:cs="Times New Roman"/>
          <w:color w:val="auto"/>
          <w:kern w:val="0"/>
        </w:rPr>
        <w:t>2008</w:t>
      </w:r>
      <w:r>
        <w:rPr>
          <w:rFonts w:hint="default" w:cs="Times New Roman"/>
          <w:color w:val="auto"/>
          <w:kern w:val="0"/>
          <w:lang w:val="en-US" w:eastAsia="zh-CN"/>
        </w:rPr>
        <w:t xml:space="preserve"> </w:t>
      </w:r>
      <w:r>
        <w:rPr>
          <w:rFonts w:ascii="Times New Roman" w:hAnsi="Times New Roman" w:eastAsia="宋体" w:cs="Times New Roman"/>
          <w:i w:val="0"/>
          <w:iCs w:val="0"/>
          <w:caps w:val="0"/>
          <w:color w:val="auto"/>
          <w:spacing w:val="0"/>
          <w:kern w:val="0"/>
          <w:sz w:val="24"/>
          <w:szCs w:val="22"/>
          <w:shd w:val="clear" w:fill="auto"/>
        </w:rPr>
        <w:t>煤的发热量测定方法</w:t>
      </w:r>
    </w:p>
    <w:p w14:paraId="0E8F3EEF">
      <w:pPr>
        <w:widowControl/>
        <w:ind w:firstLine="480" w:firstLineChars="200"/>
        <w:jc w:val="left"/>
        <w:rPr>
          <w:rFonts w:hint="default" w:cs="Times New Roman"/>
          <w:color w:val="auto"/>
          <w:kern w:val="0"/>
        </w:rPr>
      </w:pPr>
      <w:r>
        <w:rPr>
          <w:rFonts w:hint="default" w:cs="Times New Roman"/>
          <w:color w:val="auto"/>
          <w:kern w:val="0"/>
        </w:rPr>
        <w:t>GB/T</w:t>
      </w:r>
      <w:r>
        <w:rPr>
          <w:rFonts w:hint="eastAsia" w:cs="Times New Roman"/>
          <w:color w:val="auto"/>
          <w:kern w:val="0"/>
          <w:lang w:val="en-US" w:eastAsia="zh-CN"/>
        </w:rPr>
        <w:t xml:space="preserve"> </w:t>
      </w:r>
      <w:r>
        <w:rPr>
          <w:rFonts w:hint="default" w:cs="Times New Roman"/>
          <w:color w:val="auto"/>
          <w:kern w:val="0"/>
        </w:rPr>
        <w:t>384</w:t>
      </w:r>
      <w:r>
        <w:rPr>
          <w:rFonts w:hint="eastAsia" w:cs="Times New Roman"/>
          <w:color w:val="auto"/>
          <w:kern w:val="0"/>
          <w:lang w:val="en-US" w:eastAsia="zh-CN"/>
        </w:rPr>
        <w:t>-</w:t>
      </w:r>
      <w:r>
        <w:rPr>
          <w:rFonts w:hint="default" w:cs="Times New Roman"/>
          <w:color w:val="auto"/>
          <w:kern w:val="0"/>
        </w:rPr>
        <w:t>1981</w:t>
      </w:r>
      <w:r>
        <w:rPr>
          <w:rFonts w:hint="eastAsia" w:cs="Times New Roman"/>
          <w:color w:val="auto"/>
          <w:kern w:val="0"/>
          <w:lang w:val="en-US" w:eastAsia="zh-CN"/>
        </w:rPr>
        <w:t xml:space="preserve"> </w:t>
      </w:r>
      <w:r>
        <w:rPr>
          <w:rFonts w:hint="default" w:cs="Times New Roman"/>
          <w:color w:val="auto"/>
          <w:kern w:val="0"/>
        </w:rPr>
        <w:t>石油产品热值测定法</w:t>
      </w:r>
    </w:p>
    <w:p w14:paraId="2896629C">
      <w:pPr>
        <w:widowControl/>
        <w:ind w:firstLine="480" w:firstLineChars="200"/>
        <w:jc w:val="left"/>
        <w:rPr>
          <w:rFonts w:hint="default" w:cs="Times New Roman"/>
          <w:color w:val="auto"/>
          <w:kern w:val="0"/>
        </w:rPr>
      </w:pPr>
      <w:r>
        <w:rPr>
          <w:rFonts w:hint="default" w:cs="Times New Roman"/>
          <w:color w:val="auto"/>
          <w:kern w:val="0"/>
        </w:rPr>
        <w:t>GB/T 476</w:t>
      </w:r>
      <w:r>
        <w:rPr>
          <w:rFonts w:hint="eastAsia" w:cs="Times New Roman"/>
          <w:color w:val="auto"/>
          <w:kern w:val="0"/>
          <w:lang w:val="en-US" w:eastAsia="zh-CN"/>
        </w:rPr>
        <w:t>-</w:t>
      </w:r>
      <w:r>
        <w:rPr>
          <w:rFonts w:hint="default" w:cs="Times New Roman"/>
          <w:color w:val="auto"/>
          <w:kern w:val="0"/>
        </w:rPr>
        <w:t>2008 煤中碳和氢的测定方法</w:t>
      </w:r>
    </w:p>
    <w:p w14:paraId="6C22A0E8">
      <w:pPr>
        <w:widowControl/>
        <w:ind w:firstLine="480" w:firstLineChars="200"/>
        <w:jc w:val="left"/>
        <w:rPr>
          <w:rFonts w:hint="default" w:cs="Times New Roman"/>
          <w:color w:val="auto"/>
          <w:kern w:val="0"/>
        </w:rPr>
      </w:pPr>
      <w:r>
        <w:rPr>
          <w:rFonts w:hint="default" w:cs="Times New Roman"/>
          <w:color w:val="auto"/>
          <w:kern w:val="0"/>
        </w:rPr>
        <w:t>GB/T 11062</w:t>
      </w:r>
      <w:r>
        <w:rPr>
          <w:rFonts w:hint="eastAsia" w:cs="Times New Roman"/>
          <w:color w:val="auto"/>
          <w:kern w:val="0"/>
          <w:lang w:val="en-US" w:eastAsia="zh-CN"/>
        </w:rPr>
        <w:t>-</w:t>
      </w:r>
      <w:r>
        <w:rPr>
          <w:rFonts w:hint="default" w:cs="Times New Roman"/>
          <w:color w:val="auto"/>
          <w:kern w:val="0"/>
        </w:rPr>
        <w:t>2020</w:t>
      </w:r>
      <w:r>
        <w:rPr>
          <w:rFonts w:hint="eastAsia" w:cs="Times New Roman"/>
          <w:color w:val="auto"/>
          <w:kern w:val="0"/>
          <w:lang w:val="en-US" w:eastAsia="zh-CN"/>
        </w:rPr>
        <w:t xml:space="preserve"> </w:t>
      </w:r>
      <w:r>
        <w:rPr>
          <w:rFonts w:hint="default" w:cs="Times New Roman"/>
          <w:color w:val="auto"/>
          <w:kern w:val="0"/>
        </w:rPr>
        <w:t>天然气发热量、密度、相对密度和沃泊指数的计算方法</w:t>
      </w:r>
    </w:p>
    <w:p w14:paraId="240BA3DA">
      <w:pPr>
        <w:widowControl/>
        <w:ind w:firstLine="480" w:firstLineChars="200"/>
        <w:jc w:val="left"/>
        <w:rPr>
          <w:rFonts w:hint="default" w:cs="Times New Roman"/>
          <w:color w:val="auto"/>
          <w:kern w:val="0"/>
        </w:rPr>
      </w:pPr>
      <w:r>
        <w:rPr>
          <w:rFonts w:hint="default" w:cs="Times New Roman"/>
          <w:color w:val="auto"/>
          <w:kern w:val="0"/>
        </w:rPr>
        <w:t>GB/T 13610</w:t>
      </w:r>
      <w:r>
        <w:rPr>
          <w:rFonts w:hint="eastAsia" w:cs="Times New Roman"/>
          <w:color w:val="auto"/>
          <w:kern w:val="0"/>
          <w:lang w:val="en-US" w:eastAsia="zh-CN"/>
        </w:rPr>
        <w:t>-</w:t>
      </w:r>
      <w:r>
        <w:rPr>
          <w:rFonts w:hint="default" w:cs="Times New Roman"/>
          <w:color w:val="auto"/>
          <w:kern w:val="0"/>
        </w:rPr>
        <w:t>2020</w:t>
      </w:r>
      <w:r>
        <w:rPr>
          <w:rFonts w:hint="eastAsia" w:cs="Times New Roman"/>
          <w:color w:val="auto"/>
          <w:kern w:val="0"/>
          <w:lang w:val="en-US" w:eastAsia="zh-CN"/>
        </w:rPr>
        <w:t xml:space="preserve"> </w:t>
      </w:r>
      <w:r>
        <w:rPr>
          <w:rFonts w:hint="default" w:cs="Times New Roman"/>
          <w:color w:val="auto"/>
          <w:kern w:val="0"/>
        </w:rPr>
        <w:t>天然气的组成分析气相色谱法</w:t>
      </w:r>
    </w:p>
    <w:p w14:paraId="1C312DDE">
      <w:pPr>
        <w:widowControl/>
        <w:ind w:firstLine="480" w:firstLineChars="200"/>
        <w:jc w:val="left"/>
        <w:rPr>
          <w:rFonts w:cs="Times New Roman"/>
          <w:color w:val="auto"/>
          <w:kern w:val="0"/>
        </w:rPr>
      </w:pPr>
      <w:r>
        <w:rPr>
          <w:rFonts w:hint="default" w:cs="Times New Roman"/>
          <w:color w:val="auto"/>
          <w:kern w:val="0"/>
        </w:rPr>
        <w:t>ASTM D5291</w:t>
      </w:r>
      <w:r>
        <w:rPr>
          <w:rFonts w:hint="eastAsia" w:cs="Times New Roman"/>
          <w:color w:val="auto"/>
          <w:kern w:val="0"/>
          <w:lang w:val="en-US" w:eastAsia="zh-CN"/>
        </w:rPr>
        <w:t>-</w:t>
      </w:r>
      <w:r>
        <w:rPr>
          <w:rFonts w:hint="default" w:cs="Times New Roman"/>
          <w:color w:val="auto"/>
          <w:kern w:val="0"/>
        </w:rPr>
        <w:t>21</w:t>
      </w:r>
      <w:r>
        <w:rPr>
          <w:rFonts w:hint="eastAsia" w:cs="Times New Roman"/>
          <w:color w:val="auto"/>
          <w:kern w:val="0"/>
          <w:lang w:val="en-US" w:eastAsia="zh-CN"/>
        </w:rPr>
        <w:t xml:space="preserve"> </w:t>
      </w:r>
      <w:r>
        <w:rPr>
          <w:rFonts w:hint="default" w:cs="Times New Roman"/>
          <w:color w:val="auto"/>
          <w:kern w:val="0"/>
        </w:rPr>
        <w:t>石油产品和润滑剂中碳、氢和氮的仪器测定</w:t>
      </w:r>
      <w:r>
        <w:rPr>
          <w:rFonts w:hint="eastAsia" w:cs="Times New Roman"/>
          <w:color w:val="auto"/>
          <w:kern w:val="0"/>
          <w:lang w:val="en-US" w:eastAsia="zh-CN"/>
        </w:rPr>
        <w:t>方法</w:t>
      </w:r>
    </w:p>
    <w:p w14:paraId="369E41F5">
      <w:pPr>
        <w:widowControl/>
        <w:ind w:firstLine="480" w:firstLineChars="200"/>
        <w:jc w:val="left"/>
        <w:rPr>
          <w:rFonts w:hint="eastAsia" w:cs="Times New Roman"/>
          <w:color w:val="auto"/>
          <w:kern w:val="0"/>
        </w:rPr>
      </w:pPr>
      <w:r>
        <w:rPr>
          <w:rFonts w:hint="eastAsia" w:cs="Times New Roman"/>
          <w:color w:val="auto"/>
          <w:kern w:val="0"/>
        </w:rPr>
        <w:t>GB/T 24851</w:t>
      </w:r>
      <w:r>
        <w:rPr>
          <w:rFonts w:hint="eastAsia" w:cs="Times New Roman"/>
          <w:color w:val="auto"/>
          <w:kern w:val="0"/>
          <w:lang w:val="en-US" w:eastAsia="zh-CN"/>
        </w:rPr>
        <w:t xml:space="preserve">-2024 </w:t>
      </w:r>
      <w:r>
        <w:rPr>
          <w:rFonts w:hint="eastAsia" w:cs="Times New Roman"/>
          <w:color w:val="auto"/>
          <w:kern w:val="0"/>
        </w:rPr>
        <w:t>建筑材料行业能源计量器具配备和管理要求</w:t>
      </w:r>
    </w:p>
    <w:bookmarkEnd w:id="153"/>
    <w:p w14:paraId="3A24DB2A">
      <w:pPr>
        <w:ind w:firstLine="480" w:firstLineChars="200"/>
        <w:rPr>
          <w:rFonts w:cs="Times New Roman"/>
          <w:color w:val="auto"/>
          <w:szCs w:val="28"/>
        </w:rPr>
      </w:pPr>
      <w:r>
        <w:rPr>
          <w:rFonts w:cs="Times New Roman"/>
          <w:color w:val="auto"/>
          <w:szCs w:val="28"/>
        </w:rPr>
        <w:t>凡是注日期的引用文件，仅注日期的版本适用于本规范；凡是不注日期的引用文件，其最新版本（包括所有的修改单）适用于本规范。</w:t>
      </w:r>
    </w:p>
    <w:p w14:paraId="32F8AEEE">
      <w:pPr>
        <w:pStyle w:val="3"/>
        <w:rPr>
          <w:rFonts w:cs="Times New Roman"/>
          <w:color w:val="auto"/>
        </w:rPr>
      </w:pPr>
      <w:bookmarkStart w:id="27" w:name="_Toc14587"/>
      <w:bookmarkStart w:id="28" w:name="_Toc9746"/>
      <w:bookmarkStart w:id="29" w:name="_Toc16896"/>
      <w:bookmarkStart w:id="30" w:name="_Toc31417"/>
      <w:bookmarkStart w:id="31" w:name="_Toc13953"/>
      <w:bookmarkStart w:id="32" w:name="_Toc17297"/>
      <w:bookmarkStart w:id="33" w:name="_Toc21325"/>
      <w:bookmarkStart w:id="34" w:name="_Toc30651"/>
      <w:r>
        <w:rPr>
          <w:rFonts w:cs="Times New Roman"/>
          <w:color w:val="auto"/>
        </w:rPr>
        <w:t>3 术语和定义</w:t>
      </w:r>
      <w:bookmarkEnd w:id="27"/>
      <w:bookmarkEnd w:id="28"/>
      <w:bookmarkEnd w:id="29"/>
      <w:bookmarkEnd w:id="30"/>
      <w:bookmarkEnd w:id="31"/>
      <w:bookmarkEnd w:id="32"/>
      <w:bookmarkEnd w:id="33"/>
      <w:bookmarkEnd w:id="34"/>
    </w:p>
    <w:p w14:paraId="67203E68">
      <w:pPr>
        <w:widowControl/>
        <w:ind w:firstLine="480" w:firstLineChars="200"/>
        <w:jc w:val="left"/>
        <w:rPr>
          <w:rFonts w:hint="default" w:eastAsia="宋体"/>
          <w:color w:val="auto"/>
          <w:lang w:val="en-US" w:eastAsia="zh-CN"/>
        </w:rPr>
      </w:pPr>
      <w:r>
        <w:rPr>
          <w:rFonts w:hint="eastAsia"/>
          <w:color w:val="auto"/>
        </w:rPr>
        <w:t>JJF 1001</w:t>
      </w:r>
      <w:r>
        <w:rPr>
          <w:rFonts w:hint="eastAsia"/>
          <w:color w:val="auto"/>
          <w:lang w:eastAsia="zh-CN"/>
        </w:rPr>
        <w:t>《</w:t>
      </w:r>
      <w:r>
        <w:rPr>
          <w:rFonts w:hint="eastAsia" w:cs="Times New Roman"/>
          <w:color w:val="auto"/>
          <w:kern w:val="0"/>
        </w:rPr>
        <w:t>通用计量术语及定义</w:t>
      </w:r>
      <w:r>
        <w:rPr>
          <w:rFonts w:hint="eastAsia"/>
          <w:color w:val="auto"/>
          <w:lang w:eastAsia="zh-CN"/>
        </w:rPr>
        <w:t>》</w:t>
      </w:r>
      <w:r>
        <w:rPr>
          <w:rFonts w:hint="eastAsia"/>
          <w:color w:val="auto"/>
        </w:rPr>
        <w:t>、JJF</w:t>
      </w:r>
      <w:r>
        <w:rPr>
          <w:rFonts w:hint="eastAsia"/>
          <w:color w:val="auto"/>
          <w:lang w:val="en-US" w:eastAsia="zh-CN"/>
        </w:rPr>
        <w:t xml:space="preserve"> xxxx</w:t>
      </w:r>
      <w:r>
        <w:rPr>
          <w:rFonts w:hint="eastAsia"/>
          <w:color w:val="auto"/>
        </w:rPr>
        <w:t>《碳计量名词术语及定义》及JJF</w:t>
      </w:r>
      <w:r>
        <w:rPr>
          <w:rFonts w:hint="eastAsia"/>
          <w:color w:val="auto"/>
          <w:lang w:val="en-US" w:eastAsia="zh-CN"/>
        </w:rPr>
        <w:t xml:space="preserve"> xxxx</w:t>
      </w:r>
      <w:r>
        <w:rPr>
          <w:rFonts w:hint="eastAsia"/>
          <w:color w:val="auto"/>
        </w:rPr>
        <w:t>《建筑碳排放监测平台</w:t>
      </w:r>
      <w:r>
        <w:rPr>
          <w:rFonts w:hint="eastAsia"/>
          <w:bCs/>
          <w:color w:val="auto"/>
        </w:rPr>
        <w:t>计量技术要求</w:t>
      </w:r>
      <w:r>
        <w:rPr>
          <w:rFonts w:hint="eastAsia"/>
          <w:color w:val="auto"/>
        </w:rPr>
        <w:t>》中的有关定义以及下列术语和定义适用于本规范。</w:t>
      </w:r>
    </w:p>
    <w:p w14:paraId="095B9DAE">
      <w:pPr>
        <w:rPr>
          <w:rFonts w:cs="Times New Roman"/>
          <w:color w:val="auto"/>
          <w:szCs w:val="28"/>
        </w:rPr>
      </w:pPr>
      <w:bookmarkStart w:id="35" w:name="_Toc170831782"/>
      <w:bookmarkStart w:id="36" w:name="_Toc188025521"/>
      <w:r>
        <w:rPr>
          <w:rFonts w:cs="Times New Roman"/>
          <w:color w:val="auto"/>
          <w:szCs w:val="28"/>
        </w:rPr>
        <w:t xml:space="preserve">3.1 </w:t>
      </w:r>
      <w:r>
        <w:rPr>
          <w:rFonts w:hint="eastAsia" w:cs="Times New Roman"/>
          <w:color w:val="auto"/>
          <w:szCs w:val="28"/>
        </w:rPr>
        <w:t>精装修模块房</w:t>
      </w:r>
      <w:r>
        <w:rPr>
          <w:rFonts w:cs="Times New Roman"/>
          <w:color w:val="auto"/>
          <w:szCs w:val="28"/>
        </w:rPr>
        <w:t xml:space="preserve">  </w:t>
      </w:r>
      <w:bookmarkEnd w:id="35"/>
      <w:bookmarkEnd w:id="36"/>
      <w:r>
        <w:rPr>
          <w:rFonts w:hint="eastAsia" w:cs="Times New Roman"/>
          <w:color w:val="auto"/>
          <w:szCs w:val="28"/>
          <w:lang w:val="en-US" w:eastAsia="zh-CN"/>
        </w:rPr>
        <w:t>f</w:t>
      </w:r>
      <w:r>
        <w:rPr>
          <w:rFonts w:hint="eastAsia" w:cs="Times New Roman"/>
          <w:color w:val="auto"/>
          <w:szCs w:val="28"/>
        </w:rPr>
        <w:t xml:space="preserve">ully-finished </w:t>
      </w:r>
      <w:r>
        <w:rPr>
          <w:rFonts w:hint="eastAsia" w:cs="Times New Roman"/>
          <w:color w:val="auto"/>
          <w:szCs w:val="28"/>
          <w:lang w:val="en-US" w:eastAsia="zh-CN"/>
        </w:rPr>
        <w:t>m</w:t>
      </w:r>
      <w:r>
        <w:rPr>
          <w:rFonts w:hint="eastAsia" w:cs="Times New Roman"/>
          <w:color w:val="auto"/>
          <w:szCs w:val="28"/>
        </w:rPr>
        <w:t xml:space="preserve">odular </w:t>
      </w:r>
      <w:r>
        <w:rPr>
          <w:rFonts w:hint="eastAsia" w:cs="Times New Roman"/>
          <w:color w:val="auto"/>
          <w:szCs w:val="28"/>
          <w:lang w:val="en-US" w:eastAsia="zh-CN"/>
        </w:rPr>
        <w:t>b</w:t>
      </w:r>
      <w:r>
        <w:rPr>
          <w:rFonts w:hint="eastAsia" w:cs="Times New Roman"/>
          <w:color w:val="auto"/>
          <w:szCs w:val="28"/>
        </w:rPr>
        <w:t>uildings</w:t>
      </w:r>
    </w:p>
    <w:p w14:paraId="1ABCDF0D">
      <w:pPr>
        <w:ind w:firstLine="480" w:firstLineChars="200"/>
        <w:rPr>
          <w:rFonts w:cs="Times New Roman"/>
          <w:color w:val="auto"/>
          <w:szCs w:val="28"/>
        </w:rPr>
      </w:pPr>
      <w:r>
        <w:rPr>
          <w:rFonts w:hint="eastAsia" w:cs="Times New Roman"/>
          <w:color w:val="auto"/>
          <w:szCs w:val="28"/>
        </w:rPr>
        <w:t>在工厂内完成主体结构、围护系统、设备管线及装饰装修（</w:t>
      </w:r>
      <w:r>
        <w:rPr>
          <w:rFonts w:hint="eastAsia" w:cs="Times New Roman"/>
          <w:color w:val="auto"/>
          <w:szCs w:val="28"/>
          <w:lang w:val="en-US" w:eastAsia="zh-CN"/>
        </w:rPr>
        <w:t>可</w:t>
      </w:r>
      <w:r>
        <w:rPr>
          <w:rFonts w:hint="eastAsia" w:cs="Times New Roman"/>
          <w:color w:val="auto"/>
          <w:szCs w:val="28"/>
        </w:rPr>
        <w:t>含固定家具、厨卫设施等）的模块化单元，通过现场组装形成具备即时入住功能的建筑产品</w:t>
      </w:r>
      <w:r>
        <w:rPr>
          <w:rFonts w:cs="Times New Roman"/>
          <w:color w:val="auto"/>
          <w:szCs w:val="28"/>
        </w:rPr>
        <w:t>。</w:t>
      </w:r>
    </w:p>
    <w:p w14:paraId="3F78AF38">
      <w:pPr>
        <w:rPr>
          <w:rFonts w:hint="eastAsia" w:cs="Times New Roman"/>
          <w:color w:val="auto"/>
          <w:szCs w:val="28"/>
          <w:lang w:val="en-US" w:eastAsia="zh-CN"/>
        </w:rPr>
      </w:pPr>
      <w:r>
        <w:rPr>
          <w:rFonts w:hint="eastAsia" w:cs="Times New Roman"/>
          <w:color w:val="auto"/>
          <w:szCs w:val="28"/>
          <w:lang w:val="en-US" w:eastAsia="zh-CN"/>
        </w:rPr>
        <w:t>3.2 计量边界  metrology boundary</w:t>
      </w:r>
    </w:p>
    <w:p w14:paraId="10FD3C81">
      <w:pPr>
        <w:ind w:firstLine="480" w:firstLineChars="200"/>
        <w:rPr>
          <w:rFonts w:hint="default" w:cs="Times New Roman"/>
          <w:color w:val="auto"/>
          <w:szCs w:val="28"/>
          <w:lang w:val="en-US" w:eastAsia="zh-CN"/>
        </w:rPr>
      </w:pPr>
      <w:r>
        <w:rPr>
          <w:rFonts w:hint="default" w:cs="Times New Roman"/>
          <w:color w:val="auto"/>
          <w:szCs w:val="28"/>
          <w:lang w:val="en-US" w:eastAsia="zh-CN"/>
        </w:rPr>
        <w:t>与</w:t>
      </w:r>
      <w:r>
        <w:rPr>
          <w:rFonts w:hint="default" w:cs="Times New Roman"/>
          <w:b/>
          <w:bCs/>
          <w:color w:val="auto"/>
          <w:szCs w:val="28"/>
          <w:lang w:val="en-US" w:eastAsia="zh-CN"/>
        </w:rPr>
        <w:t>精装修模块房</w:t>
      </w:r>
      <w:r>
        <w:rPr>
          <w:rFonts w:hint="eastAsia" w:cs="Times New Roman"/>
          <w:b/>
          <w:bCs/>
          <w:color w:val="auto"/>
          <w:szCs w:val="28"/>
          <w:lang w:val="en-US" w:eastAsia="zh-CN"/>
        </w:rPr>
        <w:t>（</w:t>
      </w:r>
      <w:r>
        <w:rPr>
          <w:rFonts w:cs="Times New Roman"/>
          <w:b/>
          <w:bCs/>
          <w:color w:val="auto"/>
          <w:szCs w:val="28"/>
        </w:rPr>
        <w:t>3.1</w:t>
      </w:r>
      <w:r>
        <w:rPr>
          <w:rFonts w:hint="eastAsia" w:cs="Times New Roman"/>
          <w:b/>
          <w:bCs/>
          <w:color w:val="auto"/>
          <w:szCs w:val="28"/>
          <w:lang w:eastAsia="zh-CN"/>
        </w:rPr>
        <w:t>）</w:t>
      </w:r>
      <w:r>
        <w:rPr>
          <w:rFonts w:hint="default" w:cs="Times New Roman"/>
          <w:color w:val="auto"/>
          <w:szCs w:val="28"/>
          <w:lang w:val="en-US" w:eastAsia="zh-CN"/>
        </w:rPr>
        <w:t>生产</w:t>
      </w:r>
      <w:r>
        <w:rPr>
          <w:rFonts w:hint="eastAsia" w:cs="Times New Roman"/>
          <w:color w:val="auto"/>
          <w:szCs w:val="28"/>
          <w:lang w:val="en-US" w:eastAsia="zh-CN"/>
        </w:rPr>
        <w:t>阶段</w:t>
      </w:r>
      <w:r>
        <w:rPr>
          <w:rFonts w:hint="default" w:cs="Times New Roman"/>
          <w:color w:val="auto"/>
          <w:szCs w:val="28"/>
          <w:lang w:val="en-US" w:eastAsia="zh-CN"/>
        </w:rPr>
        <w:t>的温室气体排放的范围。</w:t>
      </w:r>
    </w:p>
    <w:p w14:paraId="1A33EEB6">
      <w:pPr>
        <w:rPr>
          <w:rFonts w:cs="Times New Roman"/>
          <w:color w:val="auto"/>
          <w:szCs w:val="28"/>
        </w:rPr>
      </w:pPr>
      <w:r>
        <w:rPr>
          <w:rFonts w:cs="Times New Roman"/>
          <w:color w:val="auto"/>
          <w:szCs w:val="28"/>
        </w:rPr>
        <w:t>3.</w:t>
      </w:r>
      <w:r>
        <w:rPr>
          <w:rFonts w:hint="eastAsia" w:cs="Times New Roman"/>
          <w:color w:val="auto"/>
          <w:szCs w:val="28"/>
          <w:lang w:val="en-US" w:eastAsia="zh-CN"/>
        </w:rPr>
        <w:t>3</w:t>
      </w:r>
      <w:r>
        <w:rPr>
          <w:rFonts w:cs="Times New Roman"/>
          <w:color w:val="auto"/>
          <w:szCs w:val="28"/>
        </w:rPr>
        <w:t xml:space="preserve"> </w:t>
      </w:r>
      <w:r>
        <w:rPr>
          <w:rFonts w:hint="eastAsia" w:cs="Times New Roman"/>
          <w:color w:val="auto"/>
          <w:szCs w:val="28"/>
        </w:rPr>
        <w:t>活动数据</w:t>
      </w:r>
      <w:r>
        <w:rPr>
          <w:rFonts w:cs="Times New Roman"/>
          <w:color w:val="auto"/>
          <w:szCs w:val="28"/>
        </w:rPr>
        <w:t xml:space="preserve"> </w:t>
      </w:r>
      <w:r>
        <w:rPr>
          <w:rFonts w:hint="eastAsia" w:cs="Times New Roman"/>
          <w:color w:val="auto"/>
          <w:szCs w:val="28"/>
        </w:rPr>
        <w:t xml:space="preserve"> </w:t>
      </w:r>
      <w:r>
        <w:rPr>
          <w:rFonts w:cs="Times New Roman"/>
          <w:color w:val="auto"/>
          <w:szCs w:val="28"/>
        </w:rPr>
        <w:t>activity data</w:t>
      </w:r>
    </w:p>
    <w:p w14:paraId="555979DB">
      <w:pPr>
        <w:ind w:firstLine="480" w:firstLineChars="200"/>
        <w:rPr>
          <w:rFonts w:cs="Times New Roman"/>
          <w:color w:val="auto"/>
          <w:szCs w:val="28"/>
        </w:rPr>
      </w:pPr>
      <w:r>
        <w:rPr>
          <w:rFonts w:hint="eastAsia" w:cs="Times New Roman"/>
          <w:color w:val="auto"/>
          <w:szCs w:val="28"/>
        </w:rPr>
        <w:t>导致</w:t>
      </w:r>
      <w:r>
        <w:rPr>
          <w:rFonts w:hint="eastAsia" w:cs="Times New Roman"/>
          <w:color w:val="auto"/>
          <w:szCs w:val="28"/>
          <w:lang w:val="en-US" w:eastAsia="zh-CN"/>
        </w:rPr>
        <w:t>碳</w:t>
      </w:r>
      <w:r>
        <w:rPr>
          <w:rFonts w:hint="eastAsia" w:cs="Times New Roman"/>
          <w:color w:val="auto"/>
          <w:szCs w:val="28"/>
        </w:rPr>
        <w:t>排放的产生或消费活动量的表征值。</w:t>
      </w:r>
    </w:p>
    <w:p w14:paraId="64A4BA2C">
      <w:pPr>
        <w:ind w:firstLine="480" w:firstLineChars="200"/>
        <w:rPr>
          <w:rFonts w:cs="Times New Roman"/>
          <w:color w:val="auto"/>
          <w:szCs w:val="28"/>
        </w:rPr>
      </w:pPr>
      <w:r>
        <w:rPr>
          <w:rFonts w:cs="Times New Roman"/>
          <w:color w:val="auto"/>
          <w:szCs w:val="28"/>
        </w:rPr>
        <w:t>[GB/T 32150</w:t>
      </w:r>
      <w:r>
        <w:rPr>
          <w:rFonts w:hint="eastAsia" w:cs="Times New Roman"/>
          <w:color w:val="auto"/>
          <w:szCs w:val="28"/>
        </w:rPr>
        <w:t>，定义</w:t>
      </w:r>
      <w:r>
        <w:rPr>
          <w:rFonts w:cs="Times New Roman"/>
          <w:color w:val="auto"/>
          <w:szCs w:val="28"/>
        </w:rPr>
        <w:t>3.12]</w:t>
      </w:r>
    </w:p>
    <w:p w14:paraId="1E870E3E">
      <w:pPr>
        <w:ind w:firstLine="480" w:firstLineChars="200"/>
        <w:rPr>
          <w:rFonts w:cs="Times New Roman"/>
          <w:color w:val="auto"/>
          <w:sz w:val="24"/>
          <w:szCs w:val="28"/>
        </w:rPr>
      </w:pPr>
      <w:r>
        <w:rPr>
          <w:rFonts w:hint="eastAsia" w:cs="Times New Roman"/>
          <w:color w:val="auto"/>
          <w:sz w:val="24"/>
          <w:szCs w:val="28"/>
        </w:rPr>
        <w:t>注：如各种化石燃料的消耗量、原材料的使用量、购入的电量、购入的热量等。</w:t>
      </w:r>
    </w:p>
    <w:p w14:paraId="3E3A1559">
      <w:pPr>
        <w:rPr>
          <w:rFonts w:cs="Times New Roman"/>
          <w:color w:val="auto"/>
          <w:szCs w:val="28"/>
        </w:rPr>
      </w:pPr>
      <w:r>
        <w:rPr>
          <w:rFonts w:cs="Times New Roman"/>
          <w:color w:val="auto"/>
          <w:szCs w:val="28"/>
        </w:rPr>
        <w:t>3.</w:t>
      </w:r>
      <w:r>
        <w:rPr>
          <w:rFonts w:hint="eastAsia" w:cs="Times New Roman"/>
          <w:color w:val="auto"/>
          <w:szCs w:val="28"/>
          <w:lang w:val="en-US" w:eastAsia="zh-CN"/>
        </w:rPr>
        <w:t>4</w:t>
      </w:r>
      <w:r>
        <w:rPr>
          <w:rFonts w:cs="Times New Roman"/>
          <w:color w:val="auto"/>
          <w:szCs w:val="28"/>
        </w:rPr>
        <w:t xml:space="preserve"> </w:t>
      </w:r>
      <w:r>
        <w:rPr>
          <w:rFonts w:hint="eastAsia" w:cs="Times New Roman"/>
          <w:color w:val="auto"/>
          <w:szCs w:val="28"/>
        </w:rPr>
        <w:t>碳排放因子</w:t>
      </w:r>
      <w:r>
        <w:rPr>
          <w:rFonts w:cs="Times New Roman"/>
          <w:color w:val="auto"/>
          <w:szCs w:val="28"/>
        </w:rPr>
        <w:t xml:space="preserve">  carbon emission factor</w:t>
      </w:r>
    </w:p>
    <w:p w14:paraId="5551D358">
      <w:pPr>
        <w:ind w:firstLine="480" w:firstLineChars="200"/>
        <w:rPr>
          <w:rFonts w:hint="eastAsia" w:cs="Times New Roman"/>
          <w:color w:val="auto"/>
          <w:szCs w:val="28"/>
        </w:rPr>
      </w:pPr>
      <w:r>
        <w:rPr>
          <w:rFonts w:hint="eastAsia" w:cs="Times New Roman"/>
          <w:color w:val="auto"/>
          <w:szCs w:val="28"/>
        </w:rPr>
        <w:t>表征单位生产或消费活动量的温室气体排放的系数，用于量化能源、资源以及材料的消耗量的碳排放量。</w:t>
      </w:r>
    </w:p>
    <w:p w14:paraId="3BF980F0">
      <w:pPr>
        <w:pStyle w:val="3"/>
        <w:rPr>
          <w:rFonts w:cs="Times New Roman"/>
          <w:color w:val="auto"/>
        </w:rPr>
      </w:pPr>
      <w:bookmarkStart w:id="37" w:name="_Toc30383"/>
      <w:bookmarkStart w:id="38" w:name="_Toc19222"/>
      <w:bookmarkStart w:id="39" w:name="_Toc25267"/>
      <w:bookmarkStart w:id="40" w:name="_Toc8773"/>
      <w:bookmarkStart w:id="41" w:name="_Toc26058"/>
      <w:bookmarkStart w:id="42" w:name="_Toc17573"/>
      <w:bookmarkStart w:id="43" w:name="_Toc18825"/>
      <w:bookmarkStart w:id="44" w:name="_Toc15583"/>
      <w:r>
        <w:rPr>
          <w:rFonts w:cs="Times New Roman"/>
          <w:color w:val="auto"/>
        </w:rPr>
        <w:t>4 概述</w:t>
      </w:r>
      <w:bookmarkEnd w:id="37"/>
      <w:bookmarkEnd w:id="38"/>
      <w:bookmarkEnd w:id="39"/>
      <w:bookmarkEnd w:id="40"/>
      <w:bookmarkEnd w:id="41"/>
      <w:bookmarkEnd w:id="42"/>
      <w:bookmarkEnd w:id="43"/>
      <w:bookmarkEnd w:id="44"/>
    </w:p>
    <w:p w14:paraId="6DD438F9">
      <w:pPr>
        <w:pStyle w:val="4"/>
        <w:rPr>
          <w:color w:val="auto"/>
        </w:rPr>
      </w:pPr>
      <w:bookmarkStart w:id="45" w:name="_Toc4973"/>
      <w:bookmarkStart w:id="46" w:name="_Toc2434"/>
      <w:bookmarkStart w:id="47" w:name="_Toc30893"/>
      <w:bookmarkStart w:id="48" w:name="_Toc11011"/>
      <w:bookmarkStart w:id="49" w:name="_Toc12134"/>
      <w:bookmarkStart w:id="50" w:name="_Toc3666"/>
      <w:bookmarkStart w:id="51" w:name="_Toc6846"/>
      <w:bookmarkStart w:id="52" w:name="_Toc31062"/>
      <w:r>
        <w:rPr>
          <w:color w:val="auto"/>
        </w:rPr>
        <w:t>4.1 计量对象</w:t>
      </w:r>
      <w:bookmarkEnd w:id="45"/>
      <w:bookmarkEnd w:id="46"/>
      <w:bookmarkEnd w:id="47"/>
      <w:bookmarkEnd w:id="48"/>
      <w:bookmarkEnd w:id="49"/>
      <w:bookmarkEnd w:id="50"/>
      <w:bookmarkEnd w:id="51"/>
      <w:bookmarkEnd w:id="52"/>
    </w:p>
    <w:p w14:paraId="6BAEC325">
      <w:pPr>
        <w:ind w:firstLine="480" w:firstLineChars="200"/>
        <w:rPr>
          <w:rFonts w:hint="eastAsia" w:ascii="Times New Roman" w:hAnsi="Times New Roman" w:eastAsia="宋体" w:cs="宋体"/>
          <w:sz w:val="24"/>
          <w:szCs w:val="24"/>
        </w:rPr>
      </w:pPr>
      <w:r>
        <w:rPr>
          <w:rFonts w:hint="eastAsia" w:ascii="Times New Roman" w:hAnsi="Times New Roman" w:eastAsia="宋体" w:cs="宋体"/>
          <w:sz w:val="24"/>
          <w:szCs w:val="24"/>
        </w:rPr>
        <w:t>本技术规范所规定的</w:t>
      </w:r>
      <w:r>
        <w:rPr>
          <w:rFonts w:hint="eastAsia" w:cs="宋体"/>
          <w:sz w:val="24"/>
          <w:szCs w:val="24"/>
          <w:lang w:val="en-US" w:eastAsia="zh-CN"/>
        </w:rPr>
        <w:t>计量</w:t>
      </w:r>
      <w:r>
        <w:rPr>
          <w:rFonts w:hint="eastAsia" w:ascii="Times New Roman" w:hAnsi="Times New Roman" w:eastAsia="宋体" w:cs="宋体"/>
          <w:sz w:val="24"/>
          <w:szCs w:val="24"/>
        </w:rPr>
        <w:t>对象为</w:t>
      </w:r>
      <w:r>
        <w:rPr>
          <w:rFonts w:hint="eastAsia" w:cs="宋体"/>
          <w:sz w:val="24"/>
          <w:szCs w:val="24"/>
          <w:lang w:val="en-US" w:eastAsia="zh-CN"/>
        </w:rPr>
        <w:t>同一批次下</w:t>
      </w:r>
      <w:r>
        <w:rPr>
          <w:rFonts w:hint="eastAsia" w:ascii="Times New Roman" w:hAnsi="Times New Roman" w:eastAsia="宋体" w:cs="宋体"/>
          <w:sz w:val="24"/>
          <w:szCs w:val="24"/>
        </w:rPr>
        <w:t>精装修模块房</w:t>
      </w:r>
      <w:r>
        <w:rPr>
          <w:rFonts w:hint="eastAsia" w:cs="宋体"/>
          <w:sz w:val="24"/>
          <w:szCs w:val="24"/>
          <w:lang w:val="en-US" w:eastAsia="zh-CN"/>
        </w:rPr>
        <w:t>在</w:t>
      </w:r>
      <w:r>
        <w:rPr>
          <w:rFonts w:hint="eastAsia" w:ascii="Times New Roman" w:hAnsi="Times New Roman" w:eastAsia="宋体" w:cs="宋体"/>
          <w:sz w:val="24"/>
          <w:szCs w:val="24"/>
        </w:rPr>
        <w:t>工厂生产至</w:t>
      </w:r>
      <w:r>
        <w:rPr>
          <w:rFonts w:hint="eastAsia" w:cs="宋体"/>
          <w:sz w:val="24"/>
          <w:szCs w:val="24"/>
          <w:lang w:val="en-US" w:eastAsia="zh-CN"/>
        </w:rPr>
        <w:t>打包出厂</w:t>
      </w:r>
      <w:r>
        <w:rPr>
          <w:rFonts w:hint="eastAsia" w:ascii="Times New Roman" w:hAnsi="Times New Roman" w:eastAsia="宋体" w:cs="宋体"/>
          <w:sz w:val="24"/>
          <w:szCs w:val="24"/>
        </w:rPr>
        <w:t>全过程中</w:t>
      </w:r>
      <w:r>
        <w:rPr>
          <w:rFonts w:hint="eastAsia" w:cs="宋体"/>
          <w:sz w:val="24"/>
          <w:szCs w:val="24"/>
          <w:lang w:val="en-US" w:eastAsia="zh-CN"/>
        </w:rPr>
        <w:t>产生的碳排放量</w:t>
      </w:r>
      <w:r>
        <w:rPr>
          <w:rFonts w:hint="eastAsia" w:ascii="Times New Roman" w:hAnsi="Times New Roman" w:eastAsia="宋体" w:cs="宋体"/>
          <w:sz w:val="24"/>
          <w:szCs w:val="24"/>
        </w:rPr>
        <w:t>。</w:t>
      </w:r>
    </w:p>
    <w:p w14:paraId="303D6048">
      <w:pPr>
        <w:ind w:firstLine="480" w:firstLineChars="200"/>
        <w:rPr>
          <w:rFonts w:hint="eastAsia" w:ascii="Times New Roman" w:hAnsi="Times New Roman" w:eastAsia="宋体" w:cs="宋体"/>
          <w:sz w:val="24"/>
          <w:szCs w:val="24"/>
        </w:rPr>
      </w:pPr>
      <w:r>
        <w:rPr>
          <w:rFonts w:hint="eastAsia" w:cs="宋体"/>
          <w:sz w:val="24"/>
          <w:szCs w:val="24"/>
          <w:lang w:val="en-US" w:eastAsia="zh-CN"/>
        </w:rPr>
        <w:t>同一批次</w:t>
      </w:r>
      <w:r>
        <w:rPr>
          <w:rFonts w:hint="eastAsia" w:ascii="Times New Roman" w:hAnsi="Times New Roman" w:eastAsia="宋体" w:cs="宋体"/>
          <w:sz w:val="24"/>
          <w:szCs w:val="24"/>
        </w:rPr>
        <w:t>模块房碳排放计量结果应采用统一的功能单位表达方式。具体</w:t>
      </w:r>
      <w:r>
        <w:rPr>
          <w:rFonts w:hint="eastAsia" w:cs="宋体"/>
          <w:sz w:val="24"/>
          <w:szCs w:val="24"/>
          <w:lang w:val="en-US" w:eastAsia="zh-CN"/>
        </w:rPr>
        <w:t>计量单元</w:t>
      </w:r>
      <w:r>
        <w:rPr>
          <w:rFonts w:hint="eastAsia" w:ascii="Times New Roman" w:hAnsi="Times New Roman" w:eastAsia="宋体" w:cs="宋体"/>
          <w:sz w:val="24"/>
          <w:szCs w:val="24"/>
        </w:rPr>
        <w:t>可按以下原则选择：</w:t>
      </w:r>
    </w:p>
    <w:p w14:paraId="006560A3">
      <w:pPr>
        <w:ind w:firstLine="480" w:firstLineChars="200"/>
        <w:rPr>
          <w:rFonts w:hint="eastAsia" w:ascii="Times New Roman" w:hAnsi="Times New Roman" w:eastAsia="宋体" w:cs="宋体"/>
          <w:sz w:val="24"/>
          <w:szCs w:val="24"/>
        </w:rPr>
      </w:pPr>
      <w:r>
        <w:rPr>
          <w:rFonts w:hint="eastAsia" w:ascii="Times New Roman" w:hAnsi="Times New Roman" w:eastAsia="宋体" w:cs="宋体"/>
          <w:sz w:val="24"/>
          <w:szCs w:val="24"/>
        </w:rPr>
        <w:t>当计量对象为具有清晰编号、独立功能和完整交付边界的标准模块单元时，宜采用按单模块（kgCO</w:t>
      </w:r>
      <w:r>
        <w:rPr>
          <w:rFonts w:hint="eastAsia" w:ascii="Times New Roman" w:hAnsi="Times New Roman" w:cs="宋体"/>
          <w:sz w:val="24"/>
          <w:szCs w:val="24"/>
          <w:vertAlign w:val="subscript"/>
          <w:lang w:val="en-US" w:eastAsia="zh-CN"/>
        </w:rPr>
        <w:t>2</w:t>
      </w:r>
      <w:r>
        <w:rPr>
          <w:rFonts w:hint="eastAsia" w:ascii="Times New Roman" w:hAnsi="Times New Roman" w:eastAsia="宋体" w:cs="宋体"/>
          <w:sz w:val="24"/>
          <w:szCs w:val="24"/>
        </w:rPr>
        <w:t>e/模块）</w:t>
      </w:r>
      <w:r>
        <w:rPr>
          <w:rFonts w:hint="eastAsia" w:cs="宋体"/>
          <w:sz w:val="24"/>
          <w:szCs w:val="24"/>
          <w:lang w:val="en-US" w:eastAsia="zh-CN"/>
        </w:rPr>
        <w:t>的计量方式</w:t>
      </w:r>
      <w:r>
        <w:rPr>
          <w:rFonts w:hint="eastAsia" w:ascii="Times New Roman" w:hAnsi="Times New Roman" w:eastAsia="宋体" w:cs="宋体"/>
          <w:sz w:val="24"/>
          <w:szCs w:val="24"/>
        </w:rPr>
        <w:t>；</w:t>
      </w:r>
    </w:p>
    <w:p w14:paraId="05CF6479">
      <w:pPr>
        <w:ind w:firstLine="480" w:firstLineChars="200"/>
        <w:rPr>
          <w:rFonts w:hint="eastAsia" w:ascii="Times New Roman" w:hAnsi="Times New Roman" w:eastAsia="宋体" w:cs="宋体"/>
          <w:sz w:val="24"/>
          <w:szCs w:val="24"/>
        </w:rPr>
      </w:pPr>
      <w:r>
        <w:rPr>
          <w:rFonts w:hint="eastAsia" w:ascii="Times New Roman" w:hAnsi="Times New Roman" w:eastAsia="宋体" w:cs="宋体"/>
          <w:sz w:val="24"/>
          <w:szCs w:val="24"/>
        </w:rPr>
        <w:t>当模块房按套系或组合单元形式交付，或模块之间存在较强构造依赖时，可采用按单位建筑面积（kgCO</w:t>
      </w:r>
      <w:r>
        <w:rPr>
          <w:rFonts w:hint="eastAsia" w:cs="宋体"/>
          <w:sz w:val="24"/>
          <w:szCs w:val="24"/>
          <w:vertAlign w:val="subscript"/>
          <w:lang w:val="en-US" w:eastAsia="zh-CN"/>
        </w:rPr>
        <w:t>2</w:t>
      </w:r>
      <w:r>
        <w:rPr>
          <w:rFonts w:hint="eastAsia" w:ascii="Times New Roman" w:hAnsi="Times New Roman" w:eastAsia="宋体" w:cs="宋体"/>
          <w:sz w:val="24"/>
          <w:szCs w:val="24"/>
        </w:rPr>
        <w:t>e/m²）</w:t>
      </w:r>
      <w:r>
        <w:rPr>
          <w:rFonts w:hint="eastAsia" w:cs="宋体"/>
          <w:sz w:val="24"/>
          <w:szCs w:val="24"/>
          <w:lang w:val="en-US" w:eastAsia="zh-CN"/>
        </w:rPr>
        <w:t>的</w:t>
      </w:r>
      <w:r>
        <w:rPr>
          <w:rFonts w:hint="eastAsia" w:ascii="Times New Roman" w:hAnsi="Times New Roman" w:eastAsia="宋体" w:cs="宋体"/>
          <w:sz w:val="24"/>
          <w:szCs w:val="24"/>
        </w:rPr>
        <w:t>计量方式；</w:t>
      </w:r>
    </w:p>
    <w:p w14:paraId="22488F8B">
      <w:pPr>
        <w:pStyle w:val="4"/>
        <w:rPr>
          <w:color w:val="auto"/>
        </w:rPr>
      </w:pPr>
      <w:bookmarkStart w:id="53" w:name="_Toc11708"/>
      <w:bookmarkStart w:id="54" w:name="_Toc25193"/>
      <w:bookmarkStart w:id="55" w:name="_Toc29695"/>
      <w:bookmarkStart w:id="56" w:name="_Toc7631"/>
      <w:bookmarkStart w:id="57" w:name="_Toc28239"/>
      <w:bookmarkStart w:id="58" w:name="_Toc18578"/>
      <w:bookmarkStart w:id="59" w:name="_Toc18194"/>
      <w:bookmarkStart w:id="60" w:name="_Toc6319"/>
      <w:r>
        <w:rPr>
          <w:color w:val="auto"/>
        </w:rPr>
        <w:t>4.2 计量边界</w:t>
      </w:r>
      <w:bookmarkEnd w:id="53"/>
      <w:bookmarkEnd w:id="54"/>
      <w:bookmarkEnd w:id="55"/>
      <w:bookmarkEnd w:id="56"/>
      <w:bookmarkEnd w:id="57"/>
      <w:bookmarkEnd w:id="58"/>
      <w:bookmarkEnd w:id="59"/>
      <w:bookmarkEnd w:id="60"/>
    </w:p>
    <w:p w14:paraId="54B79785">
      <w:pPr>
        <w:pStyle w:val="5"/>
        <w:bidi w:val="0"/>
      </w:pPr>
      <w:r>
        <w:t xml:space="preserve">4.2.1 </w:t>
      </w:r>
      <w:r>
        <w:rPr>
          <w:rFonts w:hint="eastAsia"/>
        </w:rPr>
        <w:t>时间边界</w:t>
      </w:r>
    </w:p>
    <w:p w14:paraId="5A479617">
      <w:pPr>
        <w:ind w:firstLine="480" w:firstLineChars="200"/>
        <w:rPr>
          <w:rFonts w:hint="eastAsia" w:cs="Times New Roman"/>
          <w:color w:val="auto"/>
          <w:szCs w:val="24"/>
        </w:rPr>
      </w:pPr>
      <w:r>
        <w:rPr>
          <w:rFonts w:hint="eastAsia" w:cs="Times New Roman"/>
          <w:color w:val="auto"/>
          <w:szCs w:val="24"/>
          <w:lang w:val="en-US" w:eastAsia="zh-CN"/>
        </w:rPr>
        <w:t>模块房碳排放的时间边界应覆盖从构成模块房的各类原材料、构件及部品进入模块房生产工厂起，至在工厂完成全部加工调试并达到交付要求后最终出厂的全过程</w:t>
      </w:r>
      <w:r>
        <w:rPr>
          <w:rFonts w:hint="eastAsia" w:cs="Times New Roman"/>
          <w:color w:val="auto"/>
          <w:szCs w:val="24"/>
        </w:rPr>
        <w:t>。</w:t>
      </w:r>
    </w:p>
    <w:p w14:paraId="7050DFD6">
      <w:pPr>
        <w:ind w:firstLine="480" w:firstLineChars="200"/>
        <w:rPr>
          <w:rFonts w:hint="default" w:cs="Times New Roman"/>
          <w:color w:val="auto"/>
          <w:szCs w:val="24"/>
          <w:lang w:val="en-US" w:eastAsia="zh-CN"/>
        </w:rPr>
      </w:pPr>
      <w:r>
        <w:rPr>
          <w:rFonts w:hint="default" w:cs="Times New Roman"/>
          <w:color w:val="auto"/>
          <w:szCs w:val="24"/>
          <w:lang w:val="en-US" w:eastAsia="zh-CN"/>
        </w:rPr>
        <w:t>为准确反映模块房产品的碳排放特征，碳排放计量时间边界应依据排放活动与模块房订单的关联性进行分类处理：</w:t>
      </w:r>
    </w:p>
    <w:p w14:paraId="50730D46">
      <w:pPr>
        <w:ind w:firstLine="480" w:firstLineChars="200"/>
        <w:rPr>
          <w:rFonts w:hint="default" w:cs="Times New Roman"/>
          <w:color w:val="auto"/>
          <w:szCs w:val="24"/>
          <w:lang w:val="en-US" w:eastAsia="zh-CN"/>
        </w:rPr>
      </w:pPr>
      <w:r>
        <w:rPr>
          <w:rFonts w:hint="eastAsia" w:cs="Times New Roman"/>
          <w:color w:val="auto"/>
          <w:szCs w:val="24"/>
          <w:lang w:val="en-US" w:eastAsia="zh-CN"/>
        </w:rPr>
        <w:t>（1）</w:t>
      </w:r>
      <w:r>
        <w:rPr>
          <w:rFonts w:hint="default" w:cs="Times New Roman"/>
          <w:color w:val="auto"/>
          <w:szCs w:val="24"/>
          <w:lang w:val="en-US" w:eastAsia="zh-CN"/>
        </w:rPr>
        <w:t>与模块房订单直接相关的排放活动（</w:t>
      </w:r>
      <w:r>
        <w:rPr>
          <w:rFonts w:hint="eastAsia" w:cs="Times New Roman"/>
          <w:color w:val="auto"/>
          <w:szCs w:val="24"/>
          <w:lang w:val="en-US" w:eastAsia="zh-CN"/>
        </w:rPr>
        <w:t>包括装配件加工生产、</w:t>
      </w:r>
      <w:r>
        <w:rPr>
          <w:rFonts w:hint="default" w:cs="Times New Roman"/>
          <w:color w:val="auto"/>
          <w:szCs w:val="24"/>
          <w:lang w:val="en-US" w:eastAsia="zh-CN"/>
        </w:rPr>
        <w:t>结构拼装、管线安装、</w:t>
      </w:r>
      <w:r>
        <w:rPr>
          <w:rFonts w:hint="eastAsia" w:cs="Times New Roman"/>
          <w:color w:val="auto"/>
          <w:szCs w:val="24"/>
          <w:lang w:val="en-US" w:eastAsia="zh-CN"/>
        </w:rPr>
        <w:t>设备安装、装饰装修、检测</w:t>
      </w:r>
      <w:r>
        <w:rPr>
          <w:rFonts w:hint="default" w:cs="Times New Roman"/>
          <w:color w:val="auto"/>
          <w:szCs w:val="24"/>
          <w:lang w:val="en-US" w:eastAsia="zh-CN"/>
        </w:rPr>
        <w:t>调试</w:t>
      </w:r>
      <w:r>
        <w:rPr>
          <w:rFonts w:hint="eastAsia" w:cs="Times New Roman"/>
          <w:color w:val="auto"/>
          <w:szCs w:val="24"/>
          <w:lang w:val="en-US" w:eastAsia="zh-CN"/>
        </w:rPr>
        <w:t>等环节</w:t>
      </w:r>
      <w:r>
        <w:rPr>
          <w:rFonts w:hint="default" w:cs="Times New Roman"/>
          <w:color w:val="auto"/>
          <w:szCs w:val="24"/>
          <w:lang w:val="en-US" w:eastAsia="zh-CN"/>
        </w:rPr>
        <w:t>），应按照订单批次或模块单元生产周期为时间边界进行计量。</w:t>
      </w:r>
    </w:p>
    <w:p w14:paraId="14469544">
      <w:pPr>
        <w:ind w:firstLine="480" w:firstLineChars="200"/>
        <w:rPr>
          <w:rFonts w:hint="default" w:cs="Times New Roman"/>
          <w:color w:val="auto"/>
          <w:szCs w:val="24"/>
          <w:lang w:val="en-US" w:eastAsia="zh-CN"/>
        </w:rPr>
      </w:pPr>
      <w:r>
        <w:rPr>
          <w:rFonts w:hint="eastAsia" w:cs="Times New Roman"/>
          <w:color w:val="auto"/>
          <w:szCs w:val="24"/>
          <w:lang w:val="en-US" w:eastAsia="zh-CN"/>
        </w:rPr>
        <w:t>（2）</w:t>
      </w:r>
      <w:r>
        <w:rPr>
          <w:rFonts w:hint="default" w:cs="Times New Roman"/>
          <w:color w:val="auto"/>
          <w:szCs w:val="24"/>
          <w:lang w:val="en-US" w:eastAsia="zh-CN"/>
        </w:rPr>
        <w:t>与具体模块订单不直接相关的通用</w:t>
      </w:r>
      <w:r>
        <w:rPr>
          <w:rFonts w:hint="eastAsia" w:cs="Times New Roman"/>
          <w:color w:val="auto"/>
          <w:szCs w:val="24"/>
          <w:lang w:val="en-US" w:eastAsia="zh-CN"/>
        </w:rPr>
        <w:t>排放</w:t>
      </w:r>
      <w:r>
        <w:rPr>
          <w:rFonts w:hint="default" w:cs="Times New Roman"/>
          <w:color w:val="auto"/>
          <w:szCs w:val="24"/>
          <w:lang w:val="en-US" w:eastAsia="zh-CN"/>
        </w:rPr>
        <w:t>活动（</w:t>
      </w:r>
      <w:r>
        <w:rPr>
          <w:rFonts w:hint="eastAsia" w:cs="Times New Roman"/>
          <w:color w:val="auto"/>
          <w:szCs w:val="24"/>
          <w:lang w:val="en-US" w:eastAsia="zh-CN"/>
        </w:rPr>
        <w:t>包括</w:t>
      </w:r>
      <w:r>
        <w:rPr>
          <w:rFonts w:hint="default" w:cs="Times New Roman"/>
          <w:color w:val="auto"/>
          <w:szCs w:val="24"/>
          <w:lang w:val="en-US" w:eastAsia="zh-CN"/>
        </w:rPr>
        <w:t>厂房照明、仓储管理</w:t>
      </w:r>
      <w:r>
        <w:rPr>
          <w:rFonts w:hint="eastAsia" w:cs="Times New Roman"/>
          <w:color w:val="auto"/>
          <w:szCs w:val="24"/>
          <w:lang w:val="en-US" w:eastAsia="zh-CN"/>
        </w:rPr>
        <w:t>、办公及员工生活区能耗等</w:t>
      </w:r>
      <w:r>
        <w:rPr>
          <w:rFonts w:hint="default" w:cs="Times New Roman"/>
          <w:color w:val="auto"/>
          <w:szCs w:val="24"/>
          <w:lang w:val="en-US" w:eastAsia="zh-CN"/>
        </w:rPr>
        <w:t>），应按</w:t>
      </w:r>
      <w:r>
        <w:rPr>
          <w:rFonts w:hint="eastAsia" w:cs="Times New Roman"/>
          <w:color w:val="auto"/>
          <w:szCs w:val="24"/>
          <w:lang w:val="en-US" w:eastAsia="zh-CN"/>
        </w:rPr>
        <w:t>季度或其他具备统计完整性的时间区间</w:t>
      </w:r>
      <w:r>
        <w:rPr>
          <w:rFonts w:hint="default" w:cs="Times New Roman"/>
          <w:color w:val="auto"/>
          <w:szCs w:val="24"/>
          <w:lang w:val="en-US" w:eastAsia="zh-CN"/>
        </w:rPr>
        <w:t>为时间边界进行计量，并根据模块</w:t>
      </w:r>
      <w:r>
        <w:rPr>
          <w:rFonts w:hint="eastAsia" w:cs="Times New Roman"/>
          <w:color w:val="auto"/>
          <w:szCs w:val="24"/>
          <w:lang w:val="en-US" w:eastAsia="zh-CN"/>
        </w:rPr>
        <w:t>产量</w:t>
      </w:r>
      <w:r>
        <w:rPr>
          <w:rFonts w:hint="default" w:cs="Times New Roman"/>
          <w:color w:val="auto"/>
          <w:szCs w:val="24"/>
          <w:lang w:val="en-US" w:eastAsia="zh-CN"/>
        </w:rPr>
        <w:t>进行合理分摊。</w:t>
      </w:r>
    </w:p>
    <w:p w14:paraId="0CF9C3E9">
      <w:pPr>
        <w:pStyle w:val="5"/>
        <w:bidi w:val="0"/>
      </w:pPr>
      <w:r>
        <w:t xml:space="preserve">4.2.2 </w:t>
      </w:r>
      <w:r>
        <w:rPr>
          <w:rFonts w:hint="eastAsia"/>
        </w:rPr>
        <w:t>空间边界</w:t>
      </w:r>
    </w:p>
    <w:p w14:paraId="3F54878F">
      <w:pPr>
        <w:widowControl/>
        <w:numPr>
          <w:ilvl w:val="0"/>
          <w:numId w:val="0"/>
        </w:numPr>
        <w:ind w:firstLine="480" w:firstLineChars="200"/>
        <w:rPr>
          <w:rFonts w:hint="eastAsia" w:ascii="宋体" w:hAnsi="宋体" w:cs="宋体"/>
          <w:color w:val="auto"/>
          <w:szCs w:val="28"/>
          <w:lang w:val="en-US" w:eastAsia="zh-CN"/>
        </w:rPr>
      </w:pPr>
      <w:r>
        <w:rPr>
          <w:rFonts w:hint="eastAsia" w:cs="Times New Roman"/>
          <w:color w:val="auto"/>
          <w:szCs w:val="24"/>
        </w:rPr>
        <w:t>碳排放计量的空间边界</w:t>
      </w:r>
      <w:r>
        <w:rPr>
          <w:rFonts w:hint="eastAsia" w:cs="Times New Roman"/>
          <w:color w:val="auto"/>
          <w:szCs w:val="24"/>
          <w:lang w:val="en-US" w:eastAsia="zh-CN"/>
        </w:rPr>
        <w:t>应</w:t>
      </w:r>
      <w:r>
        <w:rPr>
          <w:rFonts w:hint="eastAsia" w:ascii="宋体" w:hAnsi="宋体" w:cs="宋体"/>
          <w:color w:val="auto"/>
          <w:szCs w:val="28"/>
          <w:lang w:val="en-US" w:eastAsia="zh-CN"/>
        </w:rPr>
        <w:t>以承担模块房生产活动的工厂用地红线为边界，涵盖直接或间接服务于该批次模块房制造活动的区域。</w:t>
      </w:r>
    </w:p>
    <w:p w14:paraId="4381B603">
      <w:pPr>
        <w:widowControl/>
        <w:numPr>
          <w:ilvl w:val="0"/>
          <w:numId w:val="0"/>
        </w:numPr>
        <w:ind w:firstLine="480" w:firstLineChars="200"/>
        <w:rPr>
          <w:rFonts w:hint="eastAsia" w:ascii="Times New Roman" w:hAnsi="Times New Roman" w:cs="宋体"/>
          <w:color w:val="auto"/>
          <w:szCs w:val="28"/>
          <w:lang w:val="en-US" w:eastAsia="zh-CN"/>
        </w:rPr>
      </w:pPr>
      <w:r>
        <w:rPr>
          <w:rFonts w:hint="eastAsia" w:ascii="Times New Roman" w:hAnsi="Times New Roman" w:eastAsia="宋体" w:cs="宋体"/>
          <w:color w:val="auto"/>
          <w:kern w:val="2"/>
          <w:sz w:val="24"/>
          <w:szCs w:val="28"/>
          <w:lang w:val="en-US" w:eastAsia="zh-CN" w:bidi="ar-SA"/>
        </w:rPr>
        <w:t>（1）</w:t>
      </w:r>
      <w:r>
        <w:rPr>
          <w:rFonts w:hint="eastAsia" w:cs="宋体"/>
          <w:color w:val="auto"/>
          <w:szCs w:val="28"/>
        </w:rPr>
        <w:t>直接服务区域包括用于模块房生产的各功能厂房或加工区域，如原材料加工区、构配件装配区、结构拼装区、装饰装修区、测试调试区，以及厂区内部用于物料流转的运输通道和装卸区域等。</w:t>
      </w:r>
    </w:p>
    <w:p w14:paraId="28627735">
      <w:pPr>
        <w:widowControl/>
        <w:numPr>
          <w:ilvl w:val="0"/>
          <w:numId w:val="0"/>
        </w:numPr>
        <w:ind w:firstLine="480" w:firstLineChars="200"/>
        <w:rPr>
          <w:rFonts w:hint="default" w:ascii="Times New Roman" w:hAnsi="Times New Roman" w:cs="宋体"/>
          <w:color w:val="auto"/>
          <w:szCs w:val="28"/>
          <w:lang w:val="en-US" w:eastAsia="zh-CN"/>
        </w:rPr>
      </w:pPr>
      <w:r>
        <w:rPr>
          <w:rFonts w:hint="default" w:ascii="Times New Roman" w:hAnsi="Times New Roman" w:eastAsia="宋体" w:cs="宋体"/>
          <w:color w:val="auto"/>
          <w:kern w:val="2"/>
          <w:sz w:val="24"/>
          <w:szCs w:val="28"/>
          <w:lang w:val="en-US" w:eastAsia="zh-CN" w:bidi="ar-SA"/>
        </w:rPr>
        <w:t>（2）</w:t>
      </w:r>
      <w:r>
        <w:rPr>
          <w:rFonts w:hint="eastAsia" w:ascii="Times New Roman" w:hAnsi="Times New Roman" w:cs="宋体"/>
          <w:color w:val="auto"/>
          <w:szCs w:val="28"/>
          <w:lang w:val="en-US" w:eastAsia="zh-CN"/>
        </w:rPr>
        <w:t>间接服务区域包括</w:t>
      </w:r>
      <w:r>
        <w:rPr>
          <w:rFonts w:hint="eastAsia" w:cs="宋体"/>
          <w:color w:val="auto"/>
          <w:szCs w:val="28"/>
        </w:rPr>
        <w:t>为生产活动提供支撑的厂务和辅助设施区域</w:t>
      </w:r>
      <w:r>
        <w:rPr>
          <w:rFonts w:hint="eastAsia" w:ascii="Times New Roman" w:hAnsi="Times New Roman" w:cs="宋体"/>
          <w:color w:val="auto"/>
          <w:szCs w:val="28"/>
          <w:lang w:eastAsia="zh-CN"/>
        </w:rPr>
        <w:t>，</w:t>
      </w:r>
      <w:r>
        <w:rPr>
          <w:rFonts w:hint="eastAsia" w:cs="宋体"/>
          <w:color w:val="auto"/>
          <w:szCs w:val="28"/>
        </w:rPr>
        <w:t>如仓储区、办公区、生活配套设施等。</w:t>
      </w:r>
    </w:p>
    <w:p w14:paraId="6F88DF3B">
      <w:pPr>
        <w:pStyle w:val="4"/>
        <w:rPr>
          <w:color w:val="auto"/>
        </w:rPr>
      </w:pPr>
      <w:bookmarkStart w:id="61" w:name="_Toc10027"/>
      <w:bookmarkStart w:id="62" w:name="_Toc14819"/>
      <w:bookmarkStart w:id="63" w:name="_Toc31612"/>
      <w:bookmarkStart w:id="64" w:name="_Toc6125"/>
      <w:bookmarkStart w:id="65" w:name="_Toc4130"/>
      <w:bookmarkStart w:id="66" w:name="_Toc7602"/>
      <w:bookmarkStart w:id="67" w:name="_Toc14667"/>
      <w:bookmarkStart w:id="68" w:name="_Toc19430"/>
      <w:r>
        <w:rPr>
          <w:color w:val="auto"/>
        </w:rPr>
        <w:t xml:space="preserve">4.3 </w:t>
      </w:r>
      <w:r>
        <w:rPr>
          <w:rFonts w:hint="eastAsia"/>
          <w:color w:val="auto"/>
        </w:rPr>
        <w:t>计量范围</w:t>
      </w:r>
      <w:bookmarkEnd w:id="61"/>
      <w:bookmarkEnd w:id="62"/>
      <w:bookmarkEnd w:id="63"/>
      <w:bookmarkEnd w:id="64"/>
      <w:bookmarkEnd w:id="65"/>
      <w:bookmarkEnd w:id="66"/>
      <w:bookmarkEnd w:id="67"/>
      <w:bookmarkEnd w:id="68"/>
    </w:p>
    <w:p w14:paraId="02BB0FA4">
      <w:pPr>
        <w:ind w:firstLine="480" w:firstLineChars="200"/>
        <w:rPr>
          <w:rFonts w:hint="eastAsia" w:cs="Times New Roman"/>
          <w:color w:val="auto"/>
          <w:szCs w:val="24"/>
        </w:rPr>
      </w:pPr>
      <w:r>
        <w:rPr>
          <w:rFonts w:hint="eastAsia" w:cs="Times New Roman"/>
          <w:color w:val="auto"/>
          <w:szCs w:val="24"/>
          <w:lang w:val="en-US" w:eastAsia="zh-CN"/>
        </w:rPr>
        <w:t>模块房生产</w:t>
      </w:r>
      <w:r>
        <w:rPr>
          <w:rFonts w:hint="eastAsia" w:cs="Times New Roman"/>
          <w:color w:val="auto"/>
          <w:szCs w:val="24"/>
        </w:rPr>
        <w:t>阶段碳排放包括直接碳排放和间接碳排放两部分，直接碳排放主要包括燃料燃烧排放、非能源介质过程排放和特殊物质过程排放；间接碳排放主要包括</w:t>
      </w:r>
      <w:r>
        <w:rPr>
          <w:rFonts w:hint="eastAsia" w:cs="Times New Roman"/>
          <w:color w:val="auto"/>
          <w:szCs w:val="24"/>
          <w:lang w:val="en-US" w:eastAsia="zh-CN"/>
        </w:rPr>
        <w:t>能源间接碳排放（</w:t>
      </w:r>
      <w:r>
        <w:rPr>
          <w:rFonts w:hint="eastAsia" w:cs="Times New Roman"/>
          <w:color w:val="auto"/>
          <w:szCs w:val="24"/>
        </w:rPr>
        <w:t>净购入电力、热</w:t>
      </w:r>
      <w:r>
        <w:rPr>
          <w:rFonts w:hint="eastAsia" w:cs="Times New Roman"/>
          <w:color w:val="auto"/>
          <w:szCs w:val="24"/>
          <w:lang w:eastAsia="zh-CN"/>
        </w:rPr>
        <w:t>（</w:t>
      </w:r>
      <w:r>
        <w:rPr>
          <w:rFonts w:hint="eastAsia" w:cs="Times New Roman"/>
          <w:color w:val="auto"/>
          <w:szCs w:val="24"/>
          <w:lang w:val="en-US" w:eastAsia="zh-CN"/>
        </w:rPr>
        <w:t>冷）力</w:t>
      </w:r>
      <w:r>
        <w:rPr>
          <w:rFonts w:hint="eastAsia" w:cs="Times New Roman"/>
          <w:color w:val="auto"/>
          <w:szCs w:val="24"/>
        </w:rPr>
        <w:t>产生的排放</w:t>
      </w:r>
      <w:r>
        <w:rPr>
          <w:rFonts w:hint="eastAsia" w:cs="Times New Roman"/>
          <w:color w:val="auto"/>
          <w:szCs w:val="24"/>
          <w:lang w:eastAsia="zh-CN"/>
        </w:rPr>
        <w:t>）</w:t>
      </w:r>
      <w:r>
        <w:rPr>
          <w:rFonts w:hint="eastAsia" w:cs="Times New Roman"/>
          <w:color w:val="auto"/>
          <w:szCs w:val="24"/>
        </w:rPr>
        <w:t>。</w:t>
      </w:r>
    </w:p>
    <w:p w14:paraId="413A656A">
      <w:pPr>
        <w:ind w:firstLine="480" w:firstLineChars="200"/>
        <w:rPr>
          <w:rFonts w:hint="eastAsia" w:cs="Times New Roman"/>
          <w:color w:val="auto"/>
          <w:szCs w:val="24"/>
        </w:rPr>
      </w:pPr>
      <w:r>
        <w:rPr>
          <w:rFonts w:hint="eastAsia" w:cs="Times New Roman"/>
          <w:color w:val="auto"/>
          <w:szCs w:val="24"/>
          <w:lang w:val="en-US" w:eastAsia="zh-CN"/>
        </w:rPr>
        <w:t>模块房生产</w:t>
      </w:r>
      <w:r>
        <w:rPr>
          <w:rFonts w:hint="eastAsia" w:cs="Times New Roman"/>
          <w:color w:val="auto"/>
          <w:szCs w:val="24"/>
        </w:rPr>
        <w:t>阶段碳排放计量范围示意图如图1所示。各生产企业应结合自身生产组织方式、工艺流程及能源供应模式，编制模块房生产流程图。</w:t>
      </w:r>
    </w:p>
    <w:p w14:paraId="3F6A7A65">
      <w:pPr>
        <w:ind w:firstLine="480" w:firstLineChars="200"/>
        <w:rPr>
          <w:rFonts w:hint="default" w:cs="Times New Roman"/>
          <w:color w:val="auto"/>
          <w:szCs w:val="24"/>
          <w:lang w:val="en-US" w:eastAsia="zh-CN"/>
        </w:rPr>
      </w:pPr>
      <w:r>
        <w:rPr>
          <w:rFonts w:hint="default" w:cs="Times New Roman"/>
          <w:color w:val="auto"/>
          <w:szCs w:val="24"/>
        </w:rPr>
        <w:t>在采用碳排放因子法计算碳排放时，对于无法直接测量排放因子的源流，应至少计量其活动数据，并将计量结果按本规范8.2的要求表达。</w:t>
      </w:r>
    </w:p>
    <w:p w14:paraId="3A1A7D66">
      <w:pPr>
        <w:ind w:firstLine="440" w:firstLineChars="200"/>
        <w:rPr>
          <w:rFonts w:hint="eastAsia" w:ascii="仿宋" w:hAnsi="仿宋" w:eastAsia="仿宋" w:cs="仿宋"/>
          <w:color w:val="auto"/>
          <w:sz w:val="22"/>
          <w:szCs w:val="22"/>
          <w:lang w:val="en-US" w:eastAsia="zh-CN"/>
        </w:rPr>
      </w:pPr>
      <w:r>
        <w:rPr>
          <w:rFonts w:hint="eastAsia" w:ascii="仿宋" w:hAnsi="仿宋" w:eastAsia="仿宋" w:cs="仿宋"/>
          <w:color w:val="auto"/>
          <w:sz w:val="22"/>
          <w:szCs w:val="22"/>
          <w:lang w:val="en-US" w:eastAsia="zh-CN"/>
        </w:rPr>
        <w:t>注：</w:t>
      </w:r>
      <w:r>
        <w:rPr>
          <w:rFonts w:hint="eastAsia" w:ascii="仿宋" w:hAnsi="仿宋" w:eastAsia="仿宋" w:cs="仿宋"/>
          <w:color w:val="auto"/>
          <w:sz w:val="22"/>
          <w:szCs w:val="22"/>
        </w:rPr>
        <w:t>为鼓励企业开展全生命周期碳排放管理，在具备数据基础和核算条件的情况下，可将材料输入阶段的隐含碳排放纳入扩展计量范围</w:t>
      </w:r>
      <w:r>
        <w:rPr>
          <w:rFonts w:hint="eastAsia" w:ascii="仿宋" w:hAnsi="仿宋" w:eastAsia="仿宋" w:cs="仿宋"/>
          <w:color w:val="auto"/>
          <w:sz w:val="22"/>
          <w:szCs w:val="22"/>
          <w:lang w:val="en-US" w:eastAsia="zh-CN"/>
        </w:rPr>
        <w:t>。材料输入阶段隐含碳排放不作为本规范强制计量内容。企业因数据获取受限、供应链信息不足或其他客观条件无法计入的，不影响本规范对模块房生产阶段碳排放计量结果及不确定度评估的符合性判定。若计入该部分内容，应说明数据来源、核算边界、排放因子选取依据及计算方法。</w:t>
      </w:r>
    </w:p>
    <w:p w14:paraId="4916ED40">
      <w:pPr>
        <w:numPr>
          <w:ilvl w:val="-1"/>
          <w:numId w:val="0"/>
        </w:numPr>
        <w:ind w:firstLine="0" w:firstLineChars="0"/>
        <w:jc w:val="center"/>
      </w:pPr>
      <w:r>
        <w:drawing>
          <wp:inline distT="0" distB="0" distL="114300" distR="114300">
            <wp:extent cx="3787140" cy="5726430"/>
            <wp:effectExtent l="0" t="0" r="1016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a:stretch>
                      <a:fillRect/>
                    </a:stretch>
                  </pic:blipFill>
                  <pic:spPr>
                    <a:xfrm>
                      <a:off x="0" y="0"/>
                      <a:ext cx="3787140" cy="5726430"/>
                    </a:xfrm>
                    <a:prstGeom prst="rect">
                      <a:avLst/>
                    </a:prstGeom>
                  </pic:spPr>
                </pic:pic>
              </a:graphicData>
            </a:graphic>
          </wp:inline>
        </w:drawing>
      </w:r>
    </w:p>
    <w:p w14:paraId="69CFE0E0">
      <w:pPr>
        <w:numPr>
          <w:ilvl w:val="-1"/>
          <w:numId w:val="0"/>
        </w:numPr>
        <w:ind w:firstLine="0" w:firstLineChars="0"/>
        <w:jc w:val="center"/>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图1 模块房</w:t>
      </w:r>
      <w:r>
        <w:rPr>
          <w:rFonts w:hint="eastAsia" w:ascii="黑体" w:hAnsi="黑体" w:eastAsia="黑体" w:cs="黑体"/>
          <w:sz w:val="21"/>
          <w:szCs w:val="21"/>
        </w:rPr>
        <w:t>碳排放计量范围示意图</w:t>
      </w:r>
    </w:p>
    <w:p w14:paraId="2E74C3D8">
      <w:pPr>
        <w:pStyle w:val="4"/>
        <w:rPr>
          <w:color w:val="auto"/>
        </w:rPr>
      </w:pPr>
      <w:bookmarkStart w:id="69" w:name="_Toc5588"/>
      <w:bookmarkStart w:id="70" w:name="_Toc30879"/>
      <w:bookmarkStart w:id="71" w:name="_Toc20577"/>
      <w:bookmarkStart w:id="72" w:name="_Toc28896"/>
      <w:bookmarkStart w:id="73" w:name="_Toc11801"/>
      <w:bookmarkStart w:id="74" w:name="_Toc10612"/>
      <w:bookmarkStart w:id="75" w:name="_Toc22690"/>
      <w:bookmarkStart w:id="76" w:name="_Toc26163"/>
      <w:r>
        <w:rPr>
          <w:color w:val="auto"/>
        </w:rPr>
        <w:t>4.4 碳源流识别</w:t>
      </w:r>
      <w:bookmarkEnd w:id="69"/>
      <w:bookmarkEnd w:id="70"/>
      <w:bookmarkEnd w:id="71"/>
      <w:bookmarkEnd w:id="72"/>
      <w:bookmarkEnd w:id="73"/>
      <w:bookmarkEnd w:id="74"/>
      <w:bookmarkEnd w:id="75"/>
      <w:bookmarkEnd w:id="76"/>
    </w:p>
    <w:p w14:paraId="42B56B7B">
      <w:pPr>
        <w:pStyle w:val="5"/>
        <w:bidi w:val="0"/>
        <w:rPr>
          <w:rFonts w:hint="default"/>
          <w:lang w:val="en-US" w:eastAsia="zh-CN"/>
        </w:rPr>
      </w:pPr>
      <w:r>
        <w:rPr>
          <w:rFonts w:hint="eastAsia"/>
          <w:lang w:val="en-US" w:eastAsia="zh-CN"/>
        </w:rPr>
        <w:t>4.4.1直接生产阶段碳源流</w:t>
      </w:r>
    </w:p>
    <w:p w14:paraId="223287EC">
      <w:pPr>
        <w:widowControl/>
        <w:ind w:firstLine="480" w:firstLineChars="200"/>
        <w:rPr>
          <w:rFonts w:hint="eastAsia"/>
          <w:color w:val="auto"/>
          <w:lang w:val="en-US" w:eastAsia="zh-CN"/>
        </w:rPr>
      </w:pPr>
      <w:r>
        <w:rPr>
          <w:rFonts w:hint="eastAsia"/>
          <w:color w:val="auto"/>
          <w:lang w:val="en-US" w:eastAsia="zh-CN"/>
        </w:rPr>
        <w:t>应依据</w:t>
      </w:r>
      <w:r>
        <w:rPr>
          <w:rFonts w:hint="eastAsia" w:ascii="Times New Roman" w:eastAsia="宋体"/>
          <w:lang w:val="en-US" w:eastAsia="zh-CN"/>
        </w:rPr>
        <w:t>生产</w:t>
      </w:r>
      <w:r>
        <w:rPr>
          <w:rFonts w:hint="eastAsia"/>
          <w:color w:val="auto"/>
          <w:lang w:val="en-US" w:eastAsia="zh-CN"/>
        </w:rPr>
        <w:t>阶段碳排放类型（直接排放、能源间接排放）对相关源流进行分类识别。碳源流识别与确认可参考表1进行识别确认。</w:t>
      </w:r>
    </w:p>
    <w:p w14:paraId="708906AA">
      <w:pPr>
        <w:widowControl/>
        <w:jc w:val="center"/>
        <w:rPr>
          <w:rFonts w:hint="eastAsia" w:ascii="黑体" w:hAnsi="黑体" w:eastAsia="黑体" w:cs="黑体"/>
          <w:b/>
          <w:bCs/>
          <w:color w:val="auto"/>
          <w:sz w:val="21"/>
          <w:szCs w:val="21"/>
          <w:lang w:val="en-US" w:eastAsia="zh-CN"/>
        </w:rPr>
      </w:pPr>
      <w:r>
        <w:rPr>
          <w:rFonts w:hint="eastAsia" w:ascii="黑体" w:hAnsi="黑体" w:eastAsia="黑体" w:cs="黑体"/>
          <w:b/>
          <w:bCs/>
          <w:color w:val="auto"/>
          <w:sz w:val="21"/>
          <w:szCs w:val="21"/>
          <w:lang w:val="en-US" w:eastAsia="zh-CN"/>
        </w:rPr>
        <w:t>表1 生产阶段碳源流示意表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2"/>
        <w:gridCol w:w="2364"/>
        <w:gridCol w:w="1832"/>
        <w:gridCol w:w="2571"/>
      </w:tblGrid>
      <w:tr w14:paraId="23363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jc w:val="center"/>
        </w:trPr>
        <w:tc>
          <w:tcPr>
            <w:tcW w:w="1028" w:type="pct"/>
            <w:vAlign w:val="center"/>
          </w:tcPr>
          <w:p w14:paraId="35AE9D5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b/>
                <w:bCs/>
                <w:color w:val="auto"/>
                <w:sz w:val="18"/>
                <w:szCs w:val="18"/>
                <w:vertAlign w:val="baseline"/>
                <w:lang w:val="en-US" w:eastAsia="zh-CN"/>
              </w:rPr>
            </w:pPr>
            <w:r>
              <w:rPr>
                <w:rFonts w:hint="eastAsia"/>
                <w:b/>
                <w:bCs/>
                <w:color w:val="auto"/>
                <w:sz w:val="18"/>
                <w:szCs w:val="18"/>
                <w:vertAlign w:val="baseline"/>
                <w:lang w:val="en-US" w:eastAsia="zh-CN"/>
              </w:rPr>
              <w:t>范围</w:t>
            </w:r>
          </w:p>
        </w:tc>
        <w:tc>
          <w:tcPr>
            <w:tcW w:w="1387" w:type="pct"/>
            <w:vAlign w:val="center"/>
          </w:tcPr>
          <w:p w14:paraId="00BD19E5">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b/>
                <w:bCs/>
                <w:color w:val="auto"/>
                <w:sz w:val="18"/>
                <w:szCs w:val="18"/>
                <w:vertAlign w:val="baseline"/>
                <w:lang w:val="en-US" w:eastAsia="zh-CN"/>
              </w:rPr>
            </w:pPr>
            <w:r>
              <w:rPr>
                <w:rFonts w:hint="eastAsia"/>
                <w:b/>
                <w:bCs/>
                <w:color w:val="auto"/>
                <w:sz w:val="18"/>
                <w:szCs w:val="18"/>
                <w:vertAlign w:val="baseline"/>
                <w:lang w:val="en-US" w:eastAsia="zh-CN"/>
              </w:rPr>
              <w:t>碳源流类型</w:t>
            </w:r>
          </w:p>
        </w:tc>
        <w:tc>
          <w:tcPr>
            <w:tcW w:w="1075" w:type="pct"/>
            <w:vAlign w:val="center"/>
          </w:tcPr>
          <w:p w14:paraId="78F71428">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b/>
                <w:bCs/>
                <w:color w:val="auto"/>
                <w:sz w:val="18"/>
                <w:szCs w:val="18"/>
                <w:vertAlign w:val="baseline"/>
                <w:lang w:val="en-US" w:eastAsia="zh-CN"/>
              </w:rPr>
            </w:pPr>
            <w:r>
              <w:rPr>
                <w:rFonts w:hint="eastAsia"/>
                <w:b/>
                <w:bCs/>
                <w:color w:val="auto"/>
                <w:sz w:val="18"/>
                <w:szCs w:val="18"/>
                <w:vertAlign w:val="baseline"/>
                <w:lang w:val="en-US" w:eastAsia="zh-CN"/>
              </w:rPr>
              <w:t>碳源流</w:t>
            </w:r>
          </w:p>
        </w:tc>
        <w:tc>
          <w:tcPr>
            <w:tcW w:w="1508" w:type="pct"/>
            <w:vAlign w:val="center"/>
          </w:tcPr>
          <w:p w14:paraId="6F6E3B11">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b/>
                <w:bCs/>
                <w:color w:val="auto"/>
                <w:sz w:val="18"/>
                <w:szCs w:val="18"/>
                <w:vertAlign w:val="baseline"/>
                <w:lang w:val="en-US" w:eastAsia="zh-CN"/>
              </w:rPr>
            </w:pPr>
            <w:r>
              <w:rPr>
                <w:rFonts w:hint="eastAsia"/>
                <w:b/>
                <w:bCs/>
                <w:color w:val="auto"/>
                <w:sz w:val="18"/>
                <w:szCs w:val="18"/>
                <w:vertAlign w:val="baseline"/>
                <w:lang w:val="en-US" w:eastAsia="zh-CN"/>
              </w:rPr>
              <w:t>举例（不限于）</w:t>
            </w:r>
          </w:p>
        </w:tc>
      </w:tr>
      <w:tr w14:paraId="19A2A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1028" w:type="pct"/>
            <w:vMerge w:val="restart"/>
            <w:vAlign w:val="center"/>
          </w:tcPr>
          <w:p w14:paraId="56C24364">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eastAsia"/>
                <w:color w:val="auto"/>
                <w:sz w:val="18"/>
                <w:szCs w:val="18"/>
                <w:vertAlign w:val="baseline"/>
                <w:lang w:val="en-US" w:eastAsia="zh-CN"/>
              </w:rPr>
              <w:t>直接碳排放</w:t>
            </w:r>
          </w:p>
        </w:tc>
        <w:tc>
          <w:tcPr>
            <w:tcW w:w="1387" w:type="pct"/>
            <w:vAlign w:val="center"/>
          </w:tcPr>
          <w:p w14:paraId="510D3D01">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化石能源消耗排放</w:t>
            </w:r>
          </w:p>
        </w:tc>
        <w:tc>
          <w:tcPr>
            <w:tcW w:w="1075" w:type="pct"/>
            <w:vAlign w:val="center"/>
          </w:tcPr>
          <w:p w14:paraId="308005A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煤炭、燃油、天然气等化石燃料</w:t>
            </w:r>
          </w:p>
        </w:tc>
        <w:tc>
          <w:tcPr>
            <w:tcW w:w="1508" w:type="pct"/>
            <w:vAlign w:val="center"/>
          </w:tcPr>
          <w:p w14:paraId="13AF9E07">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天然气加热设备、柴油叉车、应急柴油发电机</w:t>
            </w:r>
          </w:p>
        </w:tc>
      </w:tr>
      <w:tr w14:paraId="41D2F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1028" w:type="pct"/>
            <w:vMerge w:val="continue"/>
            <w:vAlign w:val="center"/>
          </w:tcPr>
          <w:p w14:paraId="71731A4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p>
        </w:tc>
        <w:tc>
          <w:tcPr>
            <w:tcW w:w="1387" w:type="pct"/>
            <w:vAlign w:val="center"/>
          </w:tcPr>
          <w:p w14:paraId="79EDE0E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非能源介质过程排放</w:t>
            </w:r>
          </w:p>
        </w:tc>
        <w:tc>
          <w:tcPr>
            <w:tcW w:w="1075" w:type="pct"/>
            <w:vAlign w:val="center"/>
          </w:tcPr>
          <w:p w14:paraId="3016EDB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原材料加工中化学反应</w:t>
            </w:r>
            <w:r>
              <w:rPr>
                <w:rFonts w:hint="eastAsia"/>
                <w:color w:val="auto"/>
                <w:sz w:val="18"/>
                <w:szCs w:val="18"/>
                <w:vertAlign w:val="baseline"/>
                <w:lang w:val="en-US" w:eastAsia="zh-CN"/>
              </w:rPr>
              <w:t>或直接</w:t>
            </w:r>
            <w:r>
              <w:rPr>
                <w:rFonts w:hint="default"/>
                <w:color w:val="auto"/>
                <w:sz w:val="18"/>
                <w:szCs w:val="18"/>
                <w:vertAlign w:val="baseline"/>
                <w:lang w:val="en-US" w:eastAsia="zh-CN"/>
              </w:rPr>
              <w:t>释放的CO₂</w:t>
            </w:r>
          </w:p>
        </w:tc>
        <w:tc>
          <w:tcPr>
            <w:tcW w:w="1508" w:type="pct"/>
            <w:vAlign w:val="center"/>
          </w:tcPr>
          <w:p w14:paraId="16D2D8B4">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rPr>
              <w:t>石灰熟化、焊接保护气产生过程排放</w:t>
            </w:r>
          </w:p>
        </w:tc>
      </w:tr>
      <w:tr w14:paraId="7C4D9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1028" w:type="pct"/>
            <w:vMerge w:val="continue"/>
            <w:vAlign w:val="center"/>
          </w:tcPr>
          <w:p w14:paraId="446C9185">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p>
        </w:tc>
        <w:tc>
          <w:tcPr>
            <w:tcW w:w="1387" w:type="pct"/>
            <w:vAlign w:val="center"/>
          </w:tcPr>
          <w:p w14:paraId="63F1B24C">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特殊物质过程排放</w:t>
            </w:r>
          </w:p>
        </w:tc>
        <w:tc>
          <w:tcPr>
            <w:tcW w:w="1075" w:type="pct"/>
            <w:vAlign w:val="center"/>
          </w:tcPr>
          <w:p w14:paraId="7B5C241F">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化学品挥发或逸散产生的温室气体</w:t>
            </w:r>
          </w:p>
        </w:tc>
        <w:tc>
          <w:tcPr>
            <w:tcW w:w="1508" w:type="pct"/>
            <w:vAlign w:val="center"/>
          </w:tcPr>
          <w:p w14:paraId="26A14FC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含氟发泡剂、溶剂型粘结剂、密封胶逸散</w:t>
            </w:r>
          </w:p>
        </w:tc>
      </w:tr>
      <w:tr w14:paraId="7906E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028" w:type="pct"/>
            <w:vMerge w:val="restart"/>
            <w:vAlign w:val="center"/>
          </w:tcPr>
          <w:p w14:paraId="5A6D612C">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eastAsia"/>
                <w:color w:val="auto"/>
                <w:sz w:val="18"/>
                <w:szCs w:val="18"/>
                <w:vertAlign w:val="baseline"/>
                <w:lang w:val="en-US" w:eastAsia="zh-CN"/>
              </w:rPr>
              <w:t>能源间接碳排放</w:t>
            </w:r>
          </w:p>
        </w:tc>
        <w:tc>
          <w:tcPr>
            <w:tcW w:w="1387" w:type="pct"/>
            <w:vMerge w:val="restart"/>
            <w:vAlign w:val="center"/>
          </w:tcPr>
          <w:p w14:paraId="43AD03B4">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净购入能源排放</w:t>
            </w:r>
          </w:p>
        </w:tc>
        <w:tc>
          <w:tcPr>
            <w:tcW w:w="1075" w:type="pct"/>
            <w:vAlign w:val="center"/>
          </w:tcPr>
          <w:p w14:paraId="410BB0E2">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电力</w:t>
            </w:r>
          </w:p>
        </w:tc>
        <w:tc>
          <w:tcPr>
            <w:tcW w:w="1508" w:type="pct"/>
            <w:vAlign w:val="center"/>
          </w:tcPr>
          <w:p w14:paraId="608991AF">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焊接与切割设备用电、</w:t>
            </w:r>
            <w:r>
              <w:rPr>
                <w:rFonts w:hint="eastAsia"/>
                <w:color w:val="auto"/>
                <w:sz w:val="18"/>
                <w:szCs w:val="18"/>
                <w:vertAlign w:val="baseline"/>
                <w:lang w:val="en-US" w:eastAsia="zh-CN"/>
              </w:rPr>
              <w:t>直接生产</w:t>
            </w:r>
            <w:r>
              <w:rPr>
                <w:rFonts w:hint="default"/>
                <w:color w:val="auto"/>
                <w:sz w:val="18"/>
                <w:szCs w:val="18"/>
                <w:vertAlign w:val="baseline"/>
                <w:lang w:val="en-US" w:eastAsia="zh-CN"/>
              </w:rPr>
              <w:t>厂区照明、装配流水线运行电力</w:t>
            </w:r>
          </w:p>
        </w:tc>
      </w:tr>
      <w:tr w14:paraId="01B2E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028" w:type="pct"/>
            <w:vMerge w:val="continue"/>
            <w:vAlign w:val="center"/>
          </w:tcPr>
          <w:p w14:paraId="71CA16D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color w:val="auto"/>
                <w:sz w:val="18"/>
                <w:szCs w:val="18"/>
                <w:vertAlign w:val="baseline"/>
                <w:lang w:val="en-US" w:eastAsia="zh-CN"/>
              </w:rPr>
            </w:pPr>
          </w:p>
        </w:tc>
        <w:tc>
          <w:tcPr>
            <w:tcW w:w="1387" w:type="pct"/>
            <w:vMerge w:val="continue"/>
            <w:vAlign w:val="center"/>
          </w:tcPr>
          <w:p w14:paraId="7E38904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p>
        </w:tc>
        <w:tc>
          <w:tcPr>
            <w:tcW w:w="1075" w:type="pct"/>
            <w:vAlign w:val="center"/>
          </w:tcPr>
          <w:p w14:paraId="77853E36">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eastAsia"/>
                <w:color w:val="auto"/>
                <w:sz w:val="18"/>
                <w:szCs w:val="18"/>
                <w:vertAlign w:val="baseline"/>
                <w:lang w:val="en-US" w:eastAsia="zh-CN"/>
              </w:rPr>
              <w:t>热（冷）力</w:t>
            </w:r>
          </w:p>
        </w:tc>
        <w:tc>
          <w:tcPr>
            <w:tcW w:w="1508" w:type="pct"/>
            <w:vAlign w:val="center"/>
          </w:tcPr>
          <w:p w14:paraId="504F6514">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rPr>
              <w:t>生产工艺用蒸汽</w:t>
            </w:r>
          </w:p>
        </w:tc>
      </w:tr>
    </w:tbl>
    <w:p w14:paraId="44559BAF">
      <w:pPr>
        <w:pStyle w:val="5"/>
        <w:rPr>
          <w:rFonts w:hint="eastAsia"/>
          <w:lang w:val="en-US" w:eastAsia="zh-CN"/>
        </w:rPr>
      </w:pPr>
      <w:r>
        <w:rPr>
          <w:rFonts w:hint="eastAsia"/>
          <w:lang w:val="en-US" w:eastAsia="zh-CN"/>
        </w:rPr>
        <w:t>4.4.2 辅助生产阶段碳源流</w:t>
      </w:r>
    </w:p>
    <w:p w14:paraId="5BCCBA45">
      <w:pPr>
        <w:widowControl/>
        <w:ind w:firstLine="480" w:firstLineChars="200"/>
        <w:rPr>
          <w:rFonts w:hint="default"/>
          <w:lang w:val="en-US" w:eastAsia="zh-CN"/>
        </w:rPr>
      </w:pPr>
      <w:r>
        <w:rPr>
          <w:rFonts w:hint="default"/>
          <w:lang w:val="en-US" w:eastAsia="zh-CN"/>
        </w:rPr>
        <w:t>应对辅助生产阶段</w:t>
      </w:r>
      <w:r>
        <w:rPr>
          <w:rFonts w:hint="eastAsia"/>
        </w:rPr>
        <w:t>碳排放类型（直接排放、能源间接排放）对相关源流进行分类识别</w:t>
      </w:r>
      <w:r>
        <w:rPr>
          <w:rFonts w:hint="default"/>
          <w:lang w:val="en-US" w:eastAsia="zh-CN"/>
        </w:rPr>
        <w:t>。辅助生产阶段碳源流的识别</w:t>
      </w:r>
      <w:r>
        <w:rPr>
          <w:rFonts w:hint="eastAsia"/>
          <w:color w:val="auto"/>
          <w:lang w:val="en-US" w:eastAsia="zh-CN"/>
        </w:rPr>
        <w:t>可参考</w:t>
      </w:r>
      <w:r>
        <w:rPr>
          <w:rFonts w:hint="default"/>
          <w:lang w:val="en-US" w:eastAsia="zh-CN"/>
        </w:rPr>
        <w:t>表</w:t>
      </w:r>
      <w:r>
        <w:rPr>
          <w:rFonts w:hint="eastAsia"/>
          <w:lang w:val="en-US" w:eastAsia="zh-CN"/>
        </w:rPr>
        <w:t>2</w:t>
      </w:r>
      <w:r>
        <w:rPr>
          <w:rFonts w:hint="default"/>
          <w:lang w:val="en-US" w:eastAsia="zh-CN"/>
        </w:rPr>
        <w:t>执行。</w:t>
      </w:r>
    </w:p>
    <w:p w14:paraId="761C474A">
      <w:pPr>
        <w:widowControl/>
        <w:jc w:val="center"/>
        <w:rPr>
          <w:rFonts w:hint="eastAsia" w:ascii="黑体" w:hAnsi="黑体" w:eastAsia="黑体" w:cs="黑体"/>
          <w:b/>
          <w:bCs/>
          <w:color w:val="auto"/>
          <w:sz w:val="21"/>
          <w:szCs w:val="21"/>
          <w:lang w:val="en-US" w:eastAsia="zh-CN"/>
        </w:rPr>
      </w:pPr>
      <w:r>
        <w:rPr>
          <w:rFonts w:hint="eastAsia" w:ascii="黑体" w:hAnsi="黑体" w:eastAsia="黑体" w:cs="黑体"/>
          <w:b/>
          <w:bCs/>
          <w:color w:val="auto"/>
          <w:sz w:val="21"/>
          <w:szCs w:val="21"/>
          <w:lang w:val="en-US" w:eastAsia="zh-CN"/>
        </w:rPr>
        <w:t>表2 生产阶段碳源流示意表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2"/>
        <w:gridCol w:w="2364"/>
        <w:gridCol w:w="1844"/>
        <w:gridCol w:w="2559"/>
      </w:tblGrid>
      <w:tr w14:paraId="11A30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blHeader/>
          <w:jc w:val="center"/>
        </w:trPr>
        <w:tc>
          <w:tcPr>
            <w:tcW w:w="1028" w:type="pct"/>
            <w:vAlign w:val="center"/>
          </w:tcPr>
          <w:p w14:paraId="2A5B36D2">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b/>
                <w:bCs/>
                <w:color w:val="auto"/>
                <w:sz w:val="18"/>
                <w:szCs w:val="18"/>
                <w:vertAlign w:val="baseline"/>
                <w:lang w:val="en-US" w:eastAsia="zh-CN"/>
              </w:rPr>
            </w:pPr>
            <w:r>
              <w:rPr>
                <w:rFonts w:hint="eastAsia"/>
                <w:b/>
                <w:bCs/>
                <w:color w:val="auto"/>
                <w:sz w:val="18"/>
                <w:szCs w:val="18"/>
                <w:vertAlign w:val="baseline"/>
                <w:lang w:val="en-US" w:eastAsia="zh-CN"/>
              </w:rPr>
              <w:t>范围</w:t>
            </w:r>
          </w:p>
        </w:tc>
        <w:tc>
          <w:tcPr>
            <w:tcW w:w="1387" w:type="pct"/>
            <w:vAlign w:val="center"/>
          </w:tcPr>
          <w:p w14:paraId="7AB6AF5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b/>
                <w:bCs/>
                <w:color w:val="auto"/>
                <w:sz w:val="18"/>
                <w:szCs w:val="18"/>
                <w:vertAlign w:val="baseline"/>
                <w:lang w:val="en-US" w:eastAsia="zh-CN"/>
              </w:rPr>
            </w:pPr>
            <w:r>
              <w:rPr>
                <w:rFonts w:hint="eastAsia"/>
                <w:b/>
                <w:bCs/>
                <w:color w:val="auto"/>
                <w:sz w:val="18"/>
                <w:szCs w:val="18"/>
                <w:vertAlign w:val="baseline"/>
                <w:lang w:val="en-US" w:eastAsia="zh-CN"/>
              </w:rPr>
              <w:t>碳源流类型</w:t>
            </w:r>
          </w:p>
        </w:tc>
        <w:tc>
          <w:tcPr>
            <w:tcW w:w="1082" w:type="pct"/>
            <w:vAlign w:val="center"/>
          </w:tcPr>
          <w:p w14:paraId="0BDFDB52">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b/>
                <w:bCs/>
                <w:color w:val="auto"/>
                <w:sz w:val="18"/>
                <w:szCs w:val="18"/>
                <w:vertAlign w:val="baseline"/>
                <w:lang w:val="en-US" w:eastAsia="zh-CN"/>
              </w:rPr>
            </w:pPr>
            <w:r>
              <w:rPr>
                <w:rFonts w:hint="eastAsia"/>
                <w:b/>
                <w:bCs/>
                <w:color w:val="auto"/>
                <w:sz w:val="18"/>
                <w:szCs w:val="18"/>
                <w:vertAlign w:val="baseline"/>
                <w:lang w:val="en-US" w:eastAsia="zh-CN"/>
              </w:rPr>
              <w:t>碳源流</w:t>
            </w:r>
          </w:p>
        </w:tc>
        <w:tc>
          <w:tcPr>
            <w:tcW w:w="1501" w:type="pct"/>
            <w:vAlign w:val="center"/>
          </w:tcPr>
          <w:p w14:paraId="2C0D5A8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b/>
                <w:bCs/>
                <w:color w:val="auto"/>
                <w:sz w:val="18"/>
                <w:szCs w:val="18"/>
                <w:vertAlign w:val="baseline"/>
                <w:lang w:val="en-US" w:eastAsia="zh-CN"/>
              </w:rPr>
            </w:pPr>
            <w:r>
              <w:rPr>
                <w:rFonts w:hint="eastAsia"/>
                <w:b/>
                <w:bCs/>
                <w:color w:val="auto"/>
                <w:sz w:val="18"/>
                <w:szCs w:val="18"/>
                <w:vertAlign w:val="baseline"/>
                <w:lang w:val="en-US" w:eastAsia="zh-CN"/>
              </w:rPr>
              <w:t>举例（不限于）</w:t>
            </w:r>
          </w:p>
        </w:tc>
      </w:tr>
      <w:tr w14:paraId="2B592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1028" w:type="pct"/>
            <w:vAlign w:val="center"/>
          </w:tcPr>
          <w:p w14:paraId="0812F97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eastAsia"/>
                <w:color w:val="auto"/>
                <w:sz w:val="18"/>
                <w:szCs w:val="18"/>
                <w:vertAlign w:val="baseline"/>
                <w:lang w:val="en-US" w:eastAsia="zh-CN"/>
              </w:rPr>
              <w:t>直接碳排放</w:t>
            </w:r>
          </w:p>
        </w:tc>
        <w:tc>
          <w:tcPr>
            <w:tcW w:w="1387" w:type="pct"/>
            <w:vAlign w:val="center"/>
          </w:tcPr>
          <w:p w14:paraId="4C96E57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化石能源消耗排放</w:t>
            </w:r>
          </w:p>
        </w:tc>
        <w:tc>
          <w:tcPr>
            <w:tcW w:w="1082" w:type="pct"/>
            <w:vAlign w:val="center"/>
          </w:tcPr>
          <w:p w14:paraId="3874E4CE">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煤炭、天然气等化石燃料</w:t>
            </w:r>
          </w:p>
        </w:tc>
        <w:tc>
          <w:tcPr>
            <w:tcW w:w="1501" w:type="pct"/>
            <w:vAlign w:val="center"/>
          </w:tcPr>
          <w:p w14:paraId="500A65F4">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rPr>
              <w:t>食堂燃气锅炉、生活热水燃气</w:t>
            </w:r>
          </w:p>
        </w:tc>
      </w:tr>
      <w:tr w14:paraId="38E0F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028" w:type="pct"/>
            <w:vMerge w:val="restart"/>
            <w:vAlign w:val="center"/>
          </w:tcPr>
          <w:p w14:paraId="0057790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eastAsia"/>
                <w:color w:val="auto"/>
                <w:sz w:val="18"/>
                <w:szCs w:val="18"/>
                <w:vertAlign w:val="baseline"/>
                <w:lang w:val="en-US" w:eastAsia="zh-CN"/>
              </w:rPr>
              <w:t>能源间接碳排放</w:t>
            </w:r>
          </w:p>
        </w:tc>
        <w:tc>
          <w:tcPr>
            <w:tcW w:w="1387" w:type="pct"/>
            <w:vMerge w:val="restart"/>
            <w:vAlign w:val="center"/>
          </w:tcPr>
          <w:p w14:paraId="608B6465">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净购入能源排放</w:t>
            </w:r>
          </w:p>
        </w:tc>
        <w:tc>
          <w:tcPr>
            <w:tcW w:w="1082" w:type="pct"/>
            <w:vAlign w:val="center"/>
          </w:tcPr>
          <w:p w14:paraId="6154C63C">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vertAlign w:val="baseline"/>
                <w:lang w:val="en-US" w:eastAsia="zh-CN"/>
              </w:rPr>
              <w:t>电力</w:t>
            </w:r>
          </w:p>
        </w:tc>
        <w:tc>
          <w:tcPr>
            <w:tcW w:w="1501" w:type="pct"/>
            <w:vAlign w:val="center"/>
          </w:tcPr>
          <w:p w14:paraId="40DEABFC">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eastAsia="宋体"/>
                <w:color w:val="auto"/>
                <w:sz w:val="18"/>
                <w:szCs w:val="18"/>
                <w:vertAlign w:val="baseline"/>
                <w:lang w:val="en-US" w:eastAsia="zh-CN"/>
              </w:rPr>
            </w:pPr>
            <w:r>
              <w:rPr>
                <w:rFonts w:hint="default"/>
                <w:color w:val="auto"/>
                <w:sz w:val="18"/>
                <w:szCs w:val="18"/>
              </w:rPr>
              <w:t>办公区照明及设备用电、宿舍及食堂区域电力</w:t>
            </w:r>
          </w:p>
        </w:tc>
      </w:tr>
      <w:tr w14:paraId="73564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028" w:type="pct"/>
            <w:vMerge w:val="continue"/>
            <w:vAlign w:val="center"/>
          </w:tcPr>
          <w:p w14:paraId="009EF998">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color w:val="auto"/>
                <w:sz w:val="18"/>
                <w:szCs w:val="18"/>
                <w:vertAlign w:val="baseline"/>
                <w:lang w:val="en-US" w:eastAsia="zh-CN"/>
              </w:rPr>
            </w:pPr>
          </w:p>
        </w:tc>
        <w:tc>
          <w:tcPr>
            <w:tcW w:w="1387" w:type="pct"/>
            <w:vMerge w:val="continue"/>
            <w:vAlign w:val="center"/>
          </w:tcPr>
          <w:p w14:paraId="7C1336B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p>
        </w:tc>
        <w:tc>
          <w:tcPr>
            <w:tcW w:w="1082" w:type="pct"/>
            <w:vAlign w:val="center"/>
          </w:tcPr>
          <w:p w14:paraId="7BBD21F5">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eastAsia"/>
                <w:color w:val="auto"/>
                <w:sz w:val="18"/>
                <w:szCs w:val="18"/>
                <w:vertAlign w:val="baseline"/>
                <w:lang w:val="en-US" w:eastAsia="zh-CN"/>
              </w:rPr>
              <w:t>热（冷）力</w:t>
            </w:r>
          </w:p>
        </w:tc>
        <w:tc>
          <w:tcPr>
            <w:tcW w:w="1501" w:type="pct"/>
            <w:vAlign w:val="center"/>
          </w:tcPr>
          <w:p w14:paraId="6FBD4CE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color w:val="auto"/>
                <w:sz w:val="18"/>
                <w:szCs w:val="18"/>
                <w:vertAlign w:val="baseline"/>
                <w:lang w:val="en-US" w:eastAsia="zh-CN"/>
              </w:rPr>
            </w:pPr>
            <w:r>
              <w:rPr>
                <w:rFonts w:hint="default"/>
                <w:color w:val="auto"/>
                <w:sz w:val="18"/>
                <w:szCs w:val="18"/>
              </w:rPr>
              <w:t>厂区供热循环热力</w:t>
            </w:r>
          </w:p>
        </w:tc>
      </w:tr>
    </w:tbl>
    <w:p w14:paraId="2CDBD4C9">
      <w:pPr>
        <w:pStyle w:val="3"/>
        <w:rPr>
          <w:rFonts w:hint="eastAsia" w:cs="Times New Roman"/>
          <w:color w:val="auto"/>
          <w:lang w:val="en-US" w:eastAsia="zh-CN"/>
        </w:rPr>
      </w:pPr>
      <w:bookmarkStart w:id="77" w:name="_Toc30297"/>
      <w:bookmarkStart w:id="78" w:name="_Toc1070"/>
      <w:bookmarkStart w:id="79" w:name="_Toc30871"/>
      <w:bookmarkStart w:id="80" w:name="_Toc3571"/>
      <w:bookmarkStart w:id="81" w:name="_Toc18024"/>
      <w:bookmarkStart w:id="82" w:name="_Toc13152"/>
      <w:bookmarkStart w:id="83" w:name="_Toc1530"/>
      <w:bookmarkStart w:id="84" w:name="_Toc30986"/>
      <w:r>
        <w:rPr>
          <w:rFonts w:hint="eastAsia" w:cs="Times New Roman"/>
          <w:color w:val="auto"/>
          <w:lang w:val="en-US" w:eastAsia="zh-CN"/>
        </w:rPr>
        <w:t>5</w:t>
      </w:r>
      <w:r>
        <w:rPr>
          <w:rFonts w:cs="Times New Roman"/>
          <w:color w:val="auto"/>
        </w:rPr>
        <w:t xml:space="preserve"> 计量</w:t>
      </w:r>
      <w:bookmarkEnd w:id="77"/>
      <w:bookmarkEnd w:id="78"/>
      <w:bookmarkEnd w:id="79"/>
      <w:bookmarkEnd w:id="80"/>
      <w:r>
        <w:rPr>
          <w:rFonts w:hint="eastAsia" w:cs="Times New Roman"/>
          <w:color w:val="auto"/>
          <w:lang w:val="en-US" w:eastAsia="zh-CN"/>
        </w:rPr>
        <w:t>要求</w:t>
      </w:r>
      <w:bookmarkEnd w:id="81"/>
      <w:bookmarkEnd w:id="82"/>
      <w:bookmarkEnd w:id="83"/>
      <w:bookmarkEnd w:id="84"/>
    </w:p>
    <w:p w14:paraId="757D2EBA">
      <w:pPr>
        <w:pStyle w:val="3"/>
        <w:rPr>
          <w:rFonts w:hint="default"/>
          <w:lang w:val="en-US" w:eastAsia="zh-CN"/>
        </w:rPr>
      </w:pPr>
      <w:bookmarkStart w:id="85" w:name="_Toc14871"/>
      <w:r>
        <w:rPr>
          <w:rFonts w:hint="eastAsia"/>
          <w:lang w:val="en-US" w:eastAsia="zh-CN"/>
        </w:rPr>
        <w:t>5.1 活动数据获取</w:t>
      </w:r>
      <w:bookmarkEnd w:id="85"/>
    </w:p>
    <w:p w14:paraId="6AC1DE11">
      <w:pPr>
        <w:ind w:firstLine="0" w:firstLineChars="0"/>
        <w:rPr>
          <w:rFonts w:hint="eastAsia"/>
          <w:lang w:val="en-US" w:eastAsia="zh-CN"/>
        </w:rPr>
      </w:pPr>
      <w:r>
        <w:rPr>
          <w:rFonts w:hint="eastAsia"/>
          <w:lang w:val="en-US" w:eastAsia="zh-CN"/>
        </w:rPr>
        <w:t>5.1.1 生产活动数据应全面覆盖模块房在生产过程中所有与碳排放相关的活动，确保核算范围完整、数据来源充分且具有可追溯性。</w:t>
      </w:r>
    </w:p>
    <w:p w14:paraId="3D74E65B">
      <w:pPr>
        <w:rPr>
          <w:rFonts w:hint="eastAsia"/>
        </w:rPr>
      </w:pPr>
      <w:r>
        <w:rPr>
          <w:rFonts w:hint="eastAsia"/>
          <w:lang w:val="en-US" w:eastAsia="zh-CN"/>
        </w:rPr>
        <w:t xml:space="preserve">5.1.2 </w:t>
      </w:r>
      <w:r>
        <w:rPr>
          <w:rFonts w:hint="eastAsia"/>
        </w:rPr>
        <w:t>活动数据</w:t>
      </w:r>
      <w:r>
        <w:rPr>
          <w:rFonts w:hint="eastAsia"/>
          <w:lang w:val="en-US" w:eastAsia="zh-CN"/>
        </w:rPr>
        <w:t>原则上</w:t>
      </w:r>
      <w:r>
        <w:rPr>
          <w:rFonts w:hint="eastAsia"/>
        </w:rPr>
        <w:t>应直接通过计量方式获取原始数据。各类化石燃料低位发热量宜采用实测方法获得，检测机构应具有CMA资质，并给出检测结果的不确定度。</w:t>
      </w:r>
    </w:p>
    <w:p w14:paraId="5DBDFDC7">
      <w:pPr>
        <w:rPr>
          <w:rFonts w:hint="eastAsia"/>
        </w:rPr>
      </w:pPr>
      <w:r>
        <w:rPr>
          <w:rFonts w:hint="eastAsia"/>
          <w:lang w:val="en-US" w:eastAsia="zh-CN"/>
        </w:rPr>
        <w:t xml:space="preserve">5.1.3 </w:t>
      </w:r>
      <w:r>
        <w:rPr>
          <w:rFonts w:hint="eastAsia"/>
        </w:rPr>
        <w:t>对外购电力</w:t>
      </w:r>
      <w:r>
        <w:rPr>
          <w:rFonts w:hint="eastAsia"/>
          <w:lang w:eastAsia="zh-CN"/>
        </w:rPr>
        <w:t>、</w:t>
      </w:r>
      <w:r>
        <w:rPr>
          <w:rFonts w:hint="eastAsia"/>
          <w:lang w:val="en-US" w:eastAsia="zh-CN"/>
        </w:rPr>
        <w:t>热力</w:t>
      </w:r>
      <w:r>
        <w:rPr>
          <w:rFonts w:hint="eastAsia"/>
        </w:rPr>
        <w:t>及化石燃料的计量应</w:t>
      </w:r>
      <w:r>
        <w:rPr>
          <w:rFonts w:hint="eastAsia"/>
          <w:lang w:val="en-US" w:eastAsia="zh-CN"/>
        </w:rPr>
        <w:t>符合以下规定：</w:t>
      </w:r>
    </w:p>
    <w:p w14:paraId="6C968E9F">
      <w:pPr>
        <w:ind w:firstLine="480" w:firstLineChars="200"/>
        <w:rPr>
          <w:rFonts w:hint="eastAsia"/>
        </w:rPr>
      </w:pPr>
      <w:r>
        <w:rPr>
          <w:rFonts w:hint="eastAsia"/>
          <w:lang w:val="en-US" w:eastAsia="zh-CN"/>
        </w:rPr>
        <w:t>a）</w:t>
      </w:r>
      <w:r>
        <w:rPr>
          <w:rFonts w:hint="eastAsia"/>
        </w:rPr>
        <w:t>应根据源流清单和生产工艺形成碳排放流向图和碳计量采集点网络图（可分别参考附录A中图A.1、图A.2），并应按碳计量采集点网络图分类、分级、分项配备计量器具。</w:t>
      </w:r>
    </w:p>
    <w:p w14:paraId="3C985432">
      <w:pPr>
        <w:pStyle w:val="12"/>
        <w:spacing w:line="360" w:lineRule="auto"/>
        <w:ind w:firstLine="480" w:firstLineChars="200"/>
        <w:rPr>
          <w:rFonts w:hint="eastAsia" w:ascii="Times New Roman" w:hAnsi="Times New Roman"/>
          <w:sz w:val="24"/>
          <w:szCs w:val="24"/>
        </w:rPr>
      </w:pPr>
      <w:r>
        <w:rPr>
          <w:rFonts w:hint="eastAsia" w:ascii="Times New Roman" w:hAnsi="Times New Roman"/>
          <w:sz w:val="24"/>
          <w:szCs w:val="24"/>
          <w:lang w:val="en-US" w:eastAsia="zh-CN"/>
        </w:rPr>
        <w:t>b）</w:t>
      </w:r>
      <w:r>
        <w:rPr>
          <w:rFonts w:hint="eastAsia" w:ascii="Times New Roman" w:hAnsi="Times New Roman"/>
          <w:sz w:val="24"/>
          <w:szCs w:val="24"/>
        </w:rPr>
        <w:t>外购电力计量生产区域应按工序或功能单元设置计量装置，其中每个独立生产工序所在厂房应至少设置1块总计量表；宜根据设备类别、产线分布或重点耗能环节设置分路计量仪表。</w:t>
      </w:r>
    </w:p>
    <w:p w14:paraId="469DC938">
      <w:pPr>
        <w:pStyle w:val="12"/>
        <w:spacing w:line="360" w:lineRule="auto"/>
        <w:rPr>
          <w:rFonts w:hint="default" w:eastAsia="宋体"/>
          <w:sz w:val="24"/>
          <w:szCs w:val="24"/>
          <w:lang w:val="en-US" w:eastAsia="zh-CN"/>
        </w:rPr>
      </w:pPr>
      <w:r>
        <w:rPr>
          <w:rFonts w:hint="eastAsia" w:ascii="Times New Roman" w:hAnsi="Times New Roman"/>
          <w:sz w:val="24"/>
          <w:szCs w:val="24"/>
          <w:lang w:val="en-US" w:eastAsia="zh-CN"/>
        </w:rPr>
        <w:t>c）</w:t>
      </w:r>
      <w:r>
        <w:rPr>
          <w:rFonts w:hint="eastAsia" w:ascii="Times New Roman" w:hAnsi="Times New Roman"/>
          <w:sz w:val="24"/>
          <w:szCs w:val="24"/>
        </w:rPr>
        <w:t>外购电力计量</w:t>
      </w:r>
      <w:r>
        <w:rPr>
          <w:rFonts w:hint="eastAsia"/>
          <w:sz w:val="24"/>
          <w:szCs w:val="24"/>
        </w:rPr>
        <w:t>非生产用能区域应实施分类独立计量。办公区域、宿舍区域及其他辅助功能区域应分别设置总计量表。</w:t>
      </w:r>
    </w:p>
    <w:p w14:paraId="2DF2997F">
      <w:pPr>
        <w:spacing w:line="360" w:lineRule="auto"/>
        <w:ind w:firstLine="0" w:firstLineChars="0"/>
        <w:rPr>
          <w:rFonts w:hint="eastAsia"/>
          <w:szCs w:val="24"/>
        </w:rPr>
      </w:pPr>
      <w:r>
        <w:rPr>
          <w:rFonts w:hint="eastAsia"/>
          <w:szCs w:val="24"/>
          <w:lang w:val="en-US" w:eastAsia="zh-CN"/>
        </w:rPr>
        <w:t>5.1.4 活动数据的计量器具配备</w:t>
      </w:r>
      <w:r>
        <w:rPr>
          <w:rFonts w:hint="eastAsia"/>
        </w:rPr>
        <w:t>应</w:t>
      </w:r>
      <w:r>
        <w:rPr>
          <w:rFonts w:hint="eastAsia"/>
          <w:lang w:val="en-US" w:eastAsia="zh-CN"/>
        </w:rPr>
        <w:t>符合以下规定</w:t>
      </w:r>
      <w:r>
        <w:rPr>
          <w:rFonts w:hint="eastAsia"/>
          <w:szCs w:val="24"/>
          <w:lang w:val="en-US" w:eastAsia="zh-CN"/>
        </w:rPr>
        <w:t>：</w:t>
      </w:r>
    </w:p>
    <w:p w14:paraId="786D2399">
      <w:pPr>
        <w:ind w:firstLine="480" w:firstLineChars="200"/>
        <w:rPr>
          <w:rFonts w:hint="eastAsia"/>
          <w:lang w:val="en-US" w:eastAsia="zh-CN"/>
        </w:rPr>
      </w:pPr>
      <w:r>
        <w:rPr>
          <w:rFonts w:hint="eastAsia"/>
          <w:lang w:val="en-US" w:eastAsia="zh-CN"/>
        </w:rPr>
        <w:t>a）化石燃料活动数据获取计量器具配备应满足表3规定的技术要求。</w:t>
      </w:r>
    </w:p>
    <w:p w14:paraId="2498D0C6">
      <w:pPr>
        <w:ind w:firstLine="480" w:firstLineChars="200"/>
        <w:rPr>
          <w:rFonts w:hint="default"/>
          <w:lang w:val="en-US" w:eastAsia="zh-CN"/>
        </w:rPr>
      </w:pPr>
      <w:r>
        <w:rPr>
          <w:rFonts w:hint="eastAsia"/>
          <w:lang w:val="en-US" w:eastAsia="zh-CN"/>
        </w:rPr>
        <w:t>b）</w:t>
      </w:r>
      <w:r>
        <w:rPr>
          <w:rFonts w:hint="eastAsia"/>
        </w:rPr>
        <w:t>净购入能源</w:t>
      </w:r>
      <w:r>
        <w:rPr>
          <w:rFonts w:hint="eastAsia"/>
          <w:lang w:val="en-US" w:eastAsia="zh-CN"/>
        </w:rPr>
        <w:t>活动数据获取计量器具配备应满足表4规定的技术要求。</w:t>
      </w:r>
    </w:p>
    <w:p w14:paraId="2E06A1E9">
      <w:pPr>
        <w:rPr>
          <w:rFonts w:hint="eastAsia"/>
          <w:lang w:val="en-US" w:eastAsia="zh-CN"/>
        </w:rPr>
      </w:pPr>
      <w:r>
        <w:rPr>
          <w:rFonts w:hint="eastAsia"/>
          <w:lang w:val="en-US" w:eastAsia="zh-CN"/>
        </w:rPr>
        <w:t>5.1.5 宜配备智能化、具有远程传输等功能的碳计量器具，建立碳排放管理等信息系统。</w:t>
      </w:r>
    </w:p>
    <w:p w14:paraId="4BC765AB">
      <w:pPr>
        <w:pStyle w:val="3"/>
        <w:bidi w:val="0"/>
        <w:rPr>
          <w:rFonts w:hint="eastAsia"/>
          <w:lang w:val="en-US" w:eastAsia="zh-CN"/>
        </w:rPr>
      </w:pPr>
      <w:bookmarkStart w:id="86" w:name="_Toc21434"/>
      <w:bookmarkStart w:id="87" w:name="_Toc6542"/>
      <w:bookmarkStart w:id="88" w:name="_Toc23894"/>
      <w:r>
        <w:rPr>
          <w:rFonts w:hint="eastAsia"/>
          <w:lang w:val="en-US" w:eastAsia="zh-CN"/>
        </w:rPr>
        <w:t>5.2 碳排放因子获取</w:t>
      </w:r>
      <w:bookmarkEnd w:id="86"/>
      <w:bookmarkEnd w:id="87"/>
      <w:bookmarkEnd w:id="88"/>
    </w:p>
    <w:p w14:paraId="74A726C6">
      <w:pPr>
        <w:rPr>
          <w:rFonts w:hint="eastAsia"/>
          <w:lang w:val="en-US" w:eastAsia="zh-CN"/>
        </w:rPr>
      </w:pPr>
      <w:r>
        <w:rPr>
          <w:rFonts w:hint="eastAsia"/>
          <w:lang w:val="en-US" w:eastAsia="zh-CN"/>
        </w:rPr>
        <w:t>5.2.1 实测法下</w:t>
      </w:r>
      <w:r>
        <w:rPr>
          <w:rFonts w:hint="eastAsia" w:ascii="Times New Roman" w:hAnsi="Times New Roman"/>
          <w:lang w:val="en-US" w:eastAsia="zh-CN"/>
        </w:rPr>
        <w:t>部分</w:t>
      </w:r>
      <w:r>
        <w:rPr>
          <w:rFonts w:hint="eastAsia" w:ascii="Times New Roman" w:hAnsi="Times New Roman"/>
        </w:rPr>
        <w:t>化石燃料采样、制样和含碳量测定方法见</w:t>
      </w:r>
      <w:r>
        <w:rPr>
          <w:rFonts w:hint="eastAsia"/>
          <w:lang w:val="en-US" w:eastAsia="zh-CN"/>
        </w:rPr>
        <w:t>附录B中的</w:t>
      </w:r>
      <w:r>
        <w:rPr>
          <w:rFonts w:hint="eastAsia" w:ascii="Times New Roman" w:hAnsi="Times New Roman"/>
        </w:rPr>
        <w:t>表</w:t>
      </w:r>
      <w:r>
        <w:rPr>
          <w:rFonts w:hint="eastAsia"/>
          <w:lang w:val="en-US" w:eastAsia="zh-CN"/>
        </w:rPr>
        <w:t>B.3</w:t>
      </w:r>
      <w:r>
        <w:rPr>
          <w:rFonts w:hint="eastAsia" w:ascii="Times New Roman" w:hAnsi="Times New Roman"/>
        </w:rPr>
        <w:t>。</w:t>
      </w:r>
    </w:p>
    <w:p w14:paraId="583D3E96">
      <w:pPr>
        <w:ind w:left="0" w:leftChars="0"/>
        <w:rPr>
          <w:rFonts w:hint="eastAsia"/>
        </w:rPr>
      </w:pPr>
      <w:r>
        <w:rPr>
          <w:rFonts w:hint="eastAsia"/>
          <w:lang w:val="en-US" w:eastAsia="zh-CN"/>
        </w:rPr>
        <w:t xml:space="preserve">5.2.2 </w:t>
      </w:r>
      <w:r>
        <w:rPr>
          <w:rFonts w:hint="eastAsia"/>
        </w:rPr>
        <w:t>电力应采用国家或地方政府部门最新颁布的、指导开展温室气体排放报告的政策中提出的电力碳排放因子。热（冷）力、气体燃料、固体燃料、液体燃料、过程排放具备测量条件时宜采用实测碳排放因子，不具备测量条件时应采用最新发布的公认可靠数据。</w:t>
      </w:r>
    </w:p>
    <w:p w14:paraId="5A9BE535">
      <w:pPr>
        <w:ind w:left="0" w:leftChars="0" w:firstLine="480" w:firstLineChars="200"/>
        <w:rPr>
          <w:rFonts w:hint="eastAsia"/>
        </w:rPr>
      </w:pPr>
      <w:r>
        <w:rPr>
          <w:rFonts w:hint="eastAsia"/>
        </w:rPr>
        <w:t>当存在多个排放因子来源时，应按照附录B</w:t>
      </w:r>
      <w:r>
        <w:rPr>
          <w:rFonts w:hint="eastAsia"/>
          <w:lang w:val="en-US" w:eastAsia="zh-CN"/>
        </w:rPr>
        <w:t>中的表B.4</w:t>
      </w:r>
      <w:r>
        <w:rPr>
          <w:rFonts w:hint="eastAsia"/>
        </w:rPr>
        <w:t>的排放因子置信度等级顺序选用置信度等级最高的数据。</w:t>
      </w:r>
    </w:p>
    <w:p w14:paraId="31D229BE">
      <w:pPr>
        <w:rPr>
          <w:rFonts w:hint="eastAsia"/>
          <w:lang w:val="en-US" w:eastAsia="zh-CN"/>
        </w:rPr>
      </w:pPr>
      <w:r>
        <w:rPr>
          <w:rFonts w:hint="eastAsia"/>
          <w:lang w:val="en-US" w:eastAsia="zh-CN"/>
        </w:rPr>
        <w:t>5.2.3 负责主体应定期（至少每年一次）审查和更新，密切关注国家及地方主管部门发布的最新排放因子数据，确保所用因子的时效性和合规性。</w:t>
      </w:r>
    </w:p>
    <w:p w14:paraId="39431D1E">
      <w:pPr>
        <w:pStyle w:val="3"/>
        <w:bidi w:val="0"/>
        <w:rPr>
          <w:rFonts w:hint="default"/>
          <w:lang w:val="en-US" w:eastAsia="zh-CN"/>
        </w:rPr>
      </w:pPr>
      <w:bookmarkStart w:id="89" w:name="_Toc6424"/>
      <w:bookmarkStart w:id="90" w:name="_Toc26922"/>
      <w:bookmarkStart w:id="91" w:name="_Toc4563"/>
      <w:bookmarkStart w:id="92" w:name="_Toc7554"/>
      <w:r>
        <w:rPr>
          <w:rFonts w:hint="eastAsia"/>
          <w:lang w:val="en-US" w:eastAsia="zh-CN"/>
        </w:rPr>
        <w:t>6 管理要求</w:t>
      </w:r>
      <w:bookmarkEnd w:id="89"/>
      <w:bookmarkEnd w:id="90"/>
      <w:bookmarkEnd w:id="91"/>
      <w:bookmarkEnd w:id="92"/>
    </w:p>
    <w:p w14:paraId="11182153">
      <w:pPr>
        <w:pStyle w:val="4"/>
        <w:bidi w:val="0"/>
        <w:rPr>
          <w:rFonts w:hint="eastAsia"/>
          <w:lang w:val="en-US" w:eastAsia="zh-CN"/>
        </w:rPr>
      </w:pPr>
      <w:bookmarkStart w:id="93" w:name="_Toc32443"/>
      <w:bookmarkStart w:id="94" w:name="_Toc28307"/>
      <w:bookmarkStart w:id="95" w:name="_Toc5041"/>
      <w:bookmarkStart w:id="96" w:name="_Toc14250"/>
      <w:r>
        <w:rPr>
          <w:rFonts w:hint="eastAsia"/>
          <w:lang w:val="en-US" w:eastAsia="zh-CN"/>
        </w:rPr>
        <w:t>6.1 碳计量管理制度</w:t>
      </w:r>
      <w:bookmarkEnd w:id="93"/>
      <w:bookmarkEnd w:id="94"/>
      <w:bookmarkEnd w:id="95"/>
      <w:bookmarkEnd w:id="96"/>
    </w:p>
    <w:p w14:paraId="2F66EC26">
      <w:pPr>
        <w:rPr>
          <w:rFonts w:hint="eastAsia"/>
          <w:lang w:val="en-US" w:eastAsia="zh-CN"/>
        </w:rPr>
      </w:pPr>
      <w:r>
        <w:rPr>
          <w:rFonts w:hint="eastAsia"/>
          <w:lang w:val="en-US" w:eastAsia="zh-CN"/>
        </w:rPr>
        <w:t>6.1.1 计量负责单位应建立覆盖模块房生产过程的碳排放计量管理制度，明确职责分工、操作规程、数据存档、监督审查和持续改进等管理要求。</w:t>
      </w:r>
    </w:p>
    <w:p w14:paraId="6ECA8C2E">
      <w:pPr>
        <w:rPr>
          <w:rFonts w:hint="default"/>
          <w:lang w:val="en-US" w:eastAsia="zh-CN"/>
        </w:rPr>
      </w:pPr>
      <w:r>
        <w:rPr>
          <w:rFonts w:hint="default"/>
          <w:lang w:val="en-US" w:eastAsia="zh-CN"/>
        </w:rPr>
        <w:t xml:space="preserve">6.1.2 </w:t>
      </w:r>
      <w:r>
        <w:rPr>
          <w:rFonts w:hint="eastAsia"/>
          <w:lang w:val="en-US" w:eastAsia="zh-CN"/>
        </w:rPr>
        <w:t>碳计量管理</w:t>
      </w:r>
      <w:r>
        <w:rPr>
          <w:rFonts w:hint="default"/>
          <w:lang w:val="en-US" w:eastAsia="zh-CN"/>
        </w:rPr>
        <w:t>制度应</w:t>
      </w:r>
      <w:r>
        <w:rPr>
          <w:rFonts w:hint="eastAsia"/>
          <w:lang w:val="en-US" w:eastAsia="zh-CN"/>
        </w:rPr>
        <w:t>应至少</w:t>
      </w:r>
      <w:r>
        <w:rPr>
          <w:rFonts w:hint="default"/>
          <w:lang w:val="en-US" w:eastAsia="zh-CN"/>
        </w:rPr>
        <w:t>包括以下内容：</w:t>
      </w:r>
    </w:p>
    <w:p w14:paraId="22441BFC">
      <w:pPr>
        <w:ind w:firstLine="480" w:firstLineChars="200"/>
        <w:rPr>
          <w:rFonts w:hint="default"/>
          <w:lang w:val="en-US" w:eastAsia="zh-CN"/>
        </w:rPr>
      </w:pPr>
      <w:r>
        <w:rPr>
          <w:rFonts w:hint="eastAsia"/>
          <w:lang w:val="en-US" w:eastAsia="zh-CN"/>
        </w:rPr>
        <w:t>（1）</w:t>
      </w:r>
      <w:r>
        <w:rPr>
          <w:rFonts w:hint="default"/>
          <w:lang w:val="en-US" w:eastAsia="zh-CN"/>
        </w:rPr>
        <w:t>计量管理组织架构与岗位职责；</w:t>
      </w:r>
    </w:p>
    <w:p w14:paraId="0802960C">
      <w:pPr>
        <w:ind w:firstLine="480" w:firstLineChars="200"/>
        <w:rPr>
          <w:rFonts w:hint="eastAsia"/>
          <w:lang w:val="en-US" w:eastAsia="zh-CN"/>
        </w:rPr>
      </w:pPr>
      <w:r>
        <w:rPr>
          <w:rFonts w:hint="eastAsia"/>
          <w:lang w:val="en-US" w:eastAsia="zh-CN"/>
        </w:rPr>
        <w:t>（2）</w:t>
      </w:r>
      <w:r>
        <w:rPr>
          <w:rFonts w:hint="default"/>
          <w:lang w:val="en-US" w:eastAsia="zh-CN"/>
        </w:rPr>
        <w:t>计量</w:t>
      </w:r>
      <w:r>
        <w:rPr>
          <w:rFonts w:hint="eastAsia"/>
          <w:lang w:val="en-US" w:eastAsia="zh-CN"/>
        </w:rPr>
        <w:t>器具配备、使用和维护管理</w:t>
      </w:r>
      <w:r>
        <w:rPr>
          <w:rFonts w:hint="default"/>
          <w:lang w:val="en-US" w:eastAsia="zh-CN"/>
        </w:rPr>
        <w:t>制度</w:t>
      </w:r>
      <w:r>
        <w:rPr>
          <w:rFonts w:hint="eastAsia"/>
          <w:lang w:val="en-US" w:eastAsia="zh-CN"/>
        </w:rPr>
        <w:t>；</w:t>
      </w:r>
    </w:p>
    <w:p w14:paraId="28FE2D3A">
      <w:pPr>
        <w:ind w:firstLine="480" w:firstLineChars="200"/>
        <w:rPr>
          <w:rFonts w:hint="default"/>
          <w:lang w:val="en-US" w:eastAsia="zh-CN"/>
        </w:rPr>
      </w:pPr>
      <w:r>
        <w:rPr>
          <w:rFonts w:hint="eastAsia"/>
          <w:lang w:val="en-US" w:eastAsia="zh-CN"/>
        </w:rPr>
        <w:t>（3）计量器具周期检定/校准管理制度</w:t>
      </w:r>
      <w:r>
        <w:rPr>
          <w:rFonts w:hint="default"/>
          <w:lang w:val="en-US" w:eastAsia="zh-CN"/>
        </w:rPr>
        <w:t>；</w:t>
      </w:r>
    </w:p>
    <w:p w14:paraId="1461C8BE">
      <w:pPr>
        <w:ind w:firstLine="480" w:firstLineChars="200"/>
        <w:rPr>
          <w:rFonts w:hint="eastAsia"/>
          <w:lang w:val="en-US" w:eastAsia="zh-CN"/>
        </w:rPr>
      </w:pPr>
      <w:r>
        <w:rPr>
          <w:rFonts w:hint="eastAsia"/>
          <w:lang w:val="en-US" w:eastAsia="zh-CN"/>
        </w:rPr>
        <w:t>（4）计量人员配备、培训和考核管理制度；</w:t>
      </w:r>
    </w:p>
    <w:p w14:paraId="4D0209D4">
      <w:pPr>
        <w:ind w:firstLine="480" w:firstLineChars="200"/>
        <w:rPr>
          <w:rFonts w:hint="default"/>
          <w:lang w:val="en-US" w:eastAsia="zh-CN"/>
        </w:rPr>
      </w:pPr>
      <w:r>
        <w:rPr>
          <w:rFonts w:hint="eastAsia"/>
          <w:lang w:val="en-US" w:eastAsia="zh-CN"/>
        </w:rPr>
        <w:t>（5）</w:t>
      </w:r>
      <w:r>
        <w:rPr>
          <w:rFonts w:hint="default"/>
          <w:lang w:val="en-US" w:eastAsia="zh-CN"/>
        </w:rPr>
        <w:t>活动数据采集、</w:t>
      </w:r>
      <w:r>
        <w:rPr>
          <w:rFonts w:hint="eastAsia"/>
          <w:lang w:val="en-US" w:eastAsia="zh-CN"/>
        </w:rPr>
        <w:t>处理、统计、分析、报告和应用制度</w:t>
      </w:r>
    </w:p>
    <w:p w14:paraId="656DCB1E">
      <w:pPr>
        <w:ind w:firstLine="480" w:firstLineChars="200"/>
        <w:rPr>
          <w:rFonts w:hint="default"/>
          <w:lang w:val="en-US" w:eastAsia="zh-CN"/>
        </w:rPr>
      </w:pPr>
      <w:r>
        <w:rPr>
          <w:rFonts w:hint="eastAsia"/>
          <w:lang w:val="en-US" w:eastAsia="zh-CN"/>
        </w:rPr>
        <w:t>（6）</w:t>
      </w:r>
      <w:r>
        <w:rPr>
          <w:rFonts w:hint="default"/>
          <w:lang w:val="en-US" w:eastAsia="zh-CN"/>
        </w:rPr>
        <w:t>数据质量控制程序与内审机制；</w:t>
      </w:r>
    </w:p>
    <w:p w14:paraId="71DAAE6F">
      <w:pPr>
        <w:ind w:firstLine="480" w:firstLineChars="200"/>
        <w:rPr>
          <w:rFonts w:hint="default"/>
          <w:lang w:val="en-US" w:eastAsia="zh-CN"/>
        </w:rPr>
      </w:pPr>
      <w:r>
        <w:rPr>
          <w:rFonts w:hint="eastAsia"/>
          <w:lang w:val="en-US" w:eastAsia="zh-CN"/>
        </w:rPr>
        <w:t>（7）</w:t>
      </w:r>
      <w:r>
        <w:rPr>
          <w:rFonts w:hint="default"/>
          <w:lang w:val="en-US" w:eastAsia="zh-CN"/>
        </w:rPr>
        <w:t>异常数据处理与修正机制；</w:t>
      </w:r>
    </w:p>
    <w:p w14:paraId="42348A67">
      <w:pPr>
        <w:pStyle w:val="4"/>
        <w:bidi w:val="0"/>
        <w:rPr>
          <w:rFonts w:hint="eastAsia" w:eastAsia="宋体"/>
          <w:lang w:val="en-US" w:eastAsia="zh-CN"/>
        </w:rPr>
      </w:pPr>
      <w:bookmarkStart w:id="97" w:name="_Toc1432"/>
      <w:bookmarkStart w:id="98" w:name="_Toc25238"/>
      <w:bookmarkStart w:id="99" w:name="_Toc1425"/>
      <w:bookmarkStart w:id="100" w:name="_Toc291"/>
      <w:r>
        <w:rPr>
          <w:rFonts w:hint="eastAsia"/>
          <w:lang w:val="en-US" w:eastAsia="zh-CN"/>
        </w:rPr>
        <w:t xml:space="preserve">6.2 </w:t>
      </w:r>
      <w:r>
        <w:t>碳计量人员</w:t>
      </w:r>
      <w:r>
        <w:rPr>
          <w:rFonts w:hint="eastAsia"/>
          <w:lang w:val="en-US" w:eastAsia="zh-CN"/>
        </w:rPr>
        <w:t>管理</w:t>
      </w:r>
      <w:bookmarkEnd w:id="97"/>
      <w:bookmarkEnd w:id="98"/>
      <w:bookmarkEnd w:id="99"/>
      <w:bookmarkEnd w:id="100"/>
    </w:p>
    <w:p w14:paraId="5DF36BBA">
      <w:pPr>
        <w:rPr>
          <w:rFonts w:hint="eastAsia" w:ascii="Times New Roman" w:hAnsi="Times New Roman" w:cs="宋体"/>
          <w:sz w:val="24"/>
          <w:szCs w:val="24"/>
          <w:lang w:val="en-US" w:eastAsia="zh-CN"/>
        </w:rPr>
      </w:pPr>
      <w:r>
        <w:rPr>
          <w:rFonts w:hint="eastAsia" w:ascii="Times New Roman" w:hAnsi="Times New Roman" w:cs="宋体"/>
          <w:sz w:val="24"/>
          <w:szCs w:val="24"/>
          <w:lang w:val="en-US" w:eastAsia="zh-CN"/>
        </w:rPr>
        <w:t>6.2.1 应明确碳排放计量相关岗位设置，包括但不限于以下角色：</w:t>
      </w:r>
    </w:p>
    <w:p w14:paraId="57BAC329">
      <w:pPr>
        <w:ind w:left="480" w:leftChars="200" w:firstLine="0" w:firstLineChars="0"/>
        <w:rPr>
          <w:rFonts w:hint="eastAsia" w:cs="宋体"/>
          <w:sz w:val="24"/>
          <w:szCs w:val="24"/>
          <w:lang w:val="en-US" w:eastAsia="zh-CN"/>
        </w:rPr>
      </w:pPr>
      <w:r>
        <w:rPr>
          <w:rFonts w:hint="eastAsia" w:cs="宋体"/>
          <w:sz w:val="24"/>
          <w:szCs w:val="24"/>
          <w:lang w:val="en-US" w:eastAsia="zh-CN"/>
        </w:rPr>
        <w:t>（1）计量员：负责日常计量设备操作、数据记录与初步校验；</w:t>
      </w:r>
    </w:p>
    <w:p w14:paraId="401543EA">
      <w:pPr>
        <w:ind w:left="480" w:leftChars="200" w:firstLine="0" w:firstLineChars="0"/>
        <w:rPr>
          <w:rFonts w:hint="eastAsia" w:cs="宋体"/>
          <w:sz w:val="24"/>
          <w:szCs w:val="24"/>
          <w:lang w:val="en-US" w:eastAsia="zh-CN"/>
        </w:rPr>
      </w:pPr>
      <w:r>
        <w:rPr>
          <w:rFonts w:hint="eastAsia" w:cs="宋体"/>
          <w:sz w:val="24"/>
          <w:szCs w:val="24"/>
          <w:lang w:val="en-US" w:eastAsia="zh-CN"/>
        </w:rPr>
        <w:t>（2）数据管理员：负责数据采集、处理、统计、分析、报告、应用，保障碳计量数据完整、真实、准确；</w:t>
      </w:r>
    </w:p>
    <w:p w14:paraId="0980627C">
      <w:pPr>
        <w:ind w:left="480" w:leftChars="200" w:firstLine="0" w:firstLineChars="0"/>
        <w:rPr>
          <w:rFonts w:hint="eastAsia" w:cs="宋体"/>
          <w:sz w:val="24"/>
          <w:szCs w:val="24"/>
          <w:lang w:val="en-US" w:eastAsia="zh-CN"/>
        </w:rPr>
      </w:pPr>
      <w:r>
        <w:rPr>
          <w:rFonts w:hint="eastAsia" w:cs="宋体"/>
          <w:sz w:val="24"/>
          <w:szCs w:val="24"/>
          <w:lang w:val="en-US" w:eastAsia="zh-CN"/>
        </w:rPr>
        <w:t>（3）计量负责人/主管：负责整体计量流程组织、制度执行与外部沟通；</w:t>
      </w:r>
    </w:p>
    <w:p w14:paraId="3C87CDAB">
      <w:pPr>
        <w:ind w:left="480" w:leftChars="200" w:firstLine="0" w:firstLineChars="0"/>
        <w:rPr>
          <w:rFonts w:hint="eastAsia" w:cs="宋体"/>
          <w:sz w:val="24"/>
          <w:szCs w:val="24"/>
          <w:lang w:val="en-US" w:eastAsia="zh-CN"/>
        </w:rPr>
      </w:pPr>
      <w:r>
        <w:rPr>
          <w:rFonts w:hint="eastAsia" w:cs="宋体"/>
          <w:sz w:val="24"/>
          <w:szCs w:val="24"/>
          <w:lang w:val="en-US" w:eastAsia="zh-CN"/>
        </w:rPr>
        <w:t>（4）设备管理员：负责计量器具配备、使用、检定/校准、维护、报废等管理工作，依法实施碳计量器具的检定/校准，确保计量器具量值的准确可靠。</w:t>
      </w:r>
    </w:p>
    <w:p w14:paraId="56314B25">
      <w:pPr>
        <w:rPr>
          <w:rFonts w:hint="eastAsia" w:cs="宋体"/>
          <w:sz w:val="24"/>
          <w:szCs w:val="24"/>
          <w:lang w:val="en-US" w:eastAsia="zh-CN"/>
        </w:rPr>
      </w:pPr>
      <w:r>
        <w:rPr>
          <w:rFonts w:hint="eastAsia" w:cs="宋体"/>
          <w:sz w:val="24"/>
          <w:szCs w:val="24"/>
          <w:lang w:val="en-US" w:eastAsia="zh-CN"/>
        </w:rPr>
        <w:t>6.2.2 各类人员应掌握从事岗位所需的专业技术和业务知识，具备碳计量技术和业务能力，定期接受与其岗位职责相匹配的培训。</w:t>
      </w:r>
    </w:p>
    <w:p w14:paraId="10AF3CC7">
      <w:pPr>
        <w:pStyle w:val="4"/>
        <w:bidi w:val="0"/>
        <w:rPr>
          <w:rFonts w:hint="default"/>
          <w:lang w:val="en-US" w:eastAsia="zh-CN"/>
        </w:rPr>
      </w:pPr>
      <w:bookmarkStart w:id="101" w:name="_Toc29527"/>
      <w:bookmarkStart w:id="102" w:name="_Toc10012"/>
      <w:bookmarkStart w:id="103" w:name="_Toc9533"/>
      <w:bookmarkStart w:id="104" w:name="_Toc32454"/>
      <w:r>
        <w:rPr>
          <w:rFonts w:hint="eastAsia"/>
          <w:lang w:val="en-US" w:eastAsia="zh-CN"/>
        </w:rPr>
        <w:t>6.3 碳排放计量器具管理</w:t>
      </w:r>
      <w:bookmarkEnd w:id="101"/>
      <w:bookmarkEnd w:id="102"/>
      <w:bookmarkEnd w:id="103"/>
      <w:bookmarkEnd w:id="104"/>
    </w:p>
    <w:p w14:paraId="3DD44ACD">
      <w:pPr>
        <w:rPr>
          <w:rFonts w:hint="default" w:cs="宋体"/>
          <w:sz w:val="24"/>
          <w:szCs w:val="24"/>
          <w:lang w:val="en-US" w:eastAsia="zh-CN"/>
        </w:rPr>
      </w:pPr>
      <w:r>
        <w:rPr>
          <w:rFonts w:hint="eastAsia" w:cs="宋体"/>
          <w:sz w:val="24"/>
          <w:szCs w:val="24"/>
          <w:lang w:val="en-US" w:eastAsia="zh-CN"/>
        </w:rPr>
        <w:t>6.3.1 应建立完整的计量器具台账，包括编号、名称、型号规格、准确度等级、量程、生产厂家、出厂编号、管理编号、安装使用位置、用途、最近检定/校准日期、检定周期/校准间隔、服务源流种类或排放类型等信息，具体</w:t>
      </w:r>
      <w:r>
        <w:rPr>
          <w:rFonts w:hint="eastAsia"/>
          <w:lang w:val="en-US" w:eastAsia="zh-CN"/>
        </w:rPr>
        <w:t>应参照附录A《精装修模块房碳排放计量器具台账》进行执行</w:t>
      </w:r>
      <w:r>
        <w:rPr>
          <w:rFonts w:hint="eastAsia" w:cs="宋体"/>
          <w:sz w:val="24"/>
          <w:szCs w:val="24"/>
          <w:lang w:val="en-US" w:eastAsia="zh-CN"/>
        </w:rPr>
        <w:t>。</w:t>
      </w:r>
    </w:p>
    <w:p w14:paraId="579E7A61">
      <w:pPr>
        <w:rPr>
          <w:rFonts w:hint="default" w:cs="宋体"/>
          <w:sz w:val="24"/>
          <w:szCs w:val="24"/>
          <w:lang w:val="en-US" w:eastAsia="zh-CN"/>
        </w:rPr>
      </w:pPr>
      <w:r>
        <w:rPr>
          <w:rFonts w:hint="eastAsia" w:cs="宋体"/>
          <w:sz w:val="24"/>
          <w:szCs w:val="24"/>
          <w:lang w:val="en-US" w:eastAsia="zh-CN"/>
        </w:rPr>
        <w:t>6.3.2 每台计量器具应设有唯一标识码，张贴在设备本体明显位置，并与采集系统数据点编号一一对应。</w:t>
      </w:r>
    </w:p>
    <w:p w14:paraId="112A1A0E">
      <w:pPr>
        <w:rPr>
          <w:rFonts w:hint="default" w:cs="宋体"/>
          <w:szCs w:val="24"/>
        </w:rPr>
      </w:pPr>
      <w:r>
        <w:rPr>
          <w:rFonts w:hint="default" w:cs="宋体"/>
          <w:szCs w:val="24"/>
        </w:rPr>
        <w:t>6.3.</w:t>
      </w:r>
      <w:r>
        <w:rPr>
          <w:rFonts w:hint="eastAsia" w:cs="宋体"/>
          <w:szCs w:val="24"/>
          <w:lang w:val="en-US" w:eastAsia="zh-CN"/>
        </w:rPr>
        <w:t>3</w:t>
      </w:r>
      <w:r>
        <w:rPr>
          <w:rFonts w:hint="default" w:cs="宋体"/>
          <w:szCs w:val="24"/>
        </w:rPr>
        <w:t xml:space="preserve"> 应制定碳计量器具周期检定</w:t>
      </w:r>
      <w:r>
        <w:rPr>
          <w:rFonts w:hint="eastAsia" w:cs="宋体"/>
          <w:szCs w:val="24"/>
          <w:lang w:eastAsia="zh-CN"/>
        </w:rPr>
        <w:t>/</w:t>
      </w:r>
      <w:r>
        <w:rPr>
          <w:rFonts w:hint="default" w:cs="宋体"/>
          <w:szCs w:val="24"/>
        </w:rPr>
        <w:t>校准计划，实行定期检定/校准。其检定周期、检定方式应遵守相关计量法律法规的规定。</w:t>
      </w:r>
    </w:p>
    <w:p w14:paraId="03D76685">
      <w:pPr>
        <w:ind w:left="0" w:leftChars="0" w:firstLine="480" w:firstLineChars="200"/>
        <w:rPr>
          <w:rFonts w:hint="default" w:cs="宋体"/>
          <w:szCs w:val="24"/>
        </w:rPr>
      </w:pPr>
      <w:r>
        <w:rPr>
          <w:rFonts w:hint="default" w:cs="宋体"/>
          <w:szCs w:val="24"/>
        </w:rPr>
        <w:t>1</w:t>
      </w:r>
      <w:r>
        <w:rPr>
          <w:rFonts w:hint="eastAsia" w:cs="宋体"/>
          <w:szCs w:val="24"/>
          <w:lang w:eastAsia="zh-CN"/>
        </w:rPr>
        <w:t>）</w:t>
      </w:r>
      <w:r>
        <w:rPr>
          <w:rFonts w:hint="default" w:cs="宋体"/>
          <w:szCs w:val="24"/>
        </w:rPr>
        <w:t>属于强制检定范围的工作计量器具应向政府计量行政部门登记备案，并向其指定的技术机构申请强制检定。</w:t>
      </w:r>
    </w:p>
    <w:p w14:paraId="6389A20E">
      <w:pPr>
        <w:ind w:left="0" w:leftChars="0" w:firstLine="480" w:firstLineChars="200"/>
        <w:rPr>
          <w:rFonts w:hint="eastAsia" w:eastAsia="宋体" w:cs="宋体"/>
          <w:szCs w:val="24"/>
          <w:lang w:eastAsia="zh-CN"/>
        </w:rPr>
      </w:pPr>
      <w:r>
        <w:rPr>
          <w:rFonts w:hint="default" w:cs="宋体"/>
          <w:szCs w:val="24"/>
        </w:rPr>
        <w:t>2</w:t>
      </w:r>
      <w:r>
        <w:rPr>
          <w:rFonts w:hint="eastAsia" w:cs="宋体"/>
          <w:szCs w:val="24"/>
          <w:lang w:eastAsia="zh-CN"/>
        </w:rPr>
        <w:t>）</w:t>
      </w:r>
      <w:r>
        <w:rPr>
          <w:rFonts w:hint="default" w:cs="宋体"/>
          <w:szCs w:val="24"/>
        </w:rPr>
        <w:t>属于非强制检定的计量器具，应由具备开展计量检定/校准资格的计量技术机构或由重点排放单位内部建立计量标准的部门实施检定/校准</w:t>
      </w:r>
      <w:r>
        <w:rPr>
          <w:rFonts w:hint="eastAsia" w:cs="宋体"/>
          <w:szCs w:val="24"/>
          <w:lang w:eastAsia="zh-CN"/>
        </w:rPr>
        <w:t>。</w:t>
      </w:r>
    </w:p>
    <w:p w14:paraId="11C9CAB6">
      <w:pPr>
        <w:ind w:left="0" w:leftChars="0" w:firstLine="480" w:firstLineChars="200"/>
        <w:rPr>
          <w:rFonts w:hint="default" w:cs="宋体"/>
          <w:szCs w:val="24"/>
        </w:rPr>
      </w:pPr>
      <w:r>
        <w:rPr>
          <w:rFonts w:hint="default" w:cs="宋体"/>
          <w:szCs w:val="24"/>
        </w:rPr>
        <w:t>3</w:t>
      </w:r>
      <w:r>
        <w:rPr>
          <w:rFonts w:hint="eastAsia" w:cs="宋体"/>
          <w:szCs w:val="24"/>
          <w:lang w:eastAsia="zh-CN"/>
        </w:rPr>
        <w:t>）</w:t>
      </w:r>
      <w:r>
        <w:rPr>
          <w:rFonts w:hint="default" w:cs="宋体"/>
          <w:szCs w:val="24"/>
        </w:rPr>
        <w:t>对无检定规程或校准规范的非强制检定计量器具，应采取可行、有效的措施</w:t>
      </w:r>
      <w:r>
        <w:rPr>
          <w:rFonts w:hint="eastAsia" w:cs="宋体"/>
          <w:szCs w:val="24"/>
          <w:lang w:eastAsia="zh-CN"/>
        </w:rPr>
        <w:t>（</w:t>
      </w:r>
      <w:r>
        <w:rPr>
          <w:rFonts w:hint="default" w:cs="宋体"/>
          <w:szCs w:val="24"/>
        </w:rPr>
        <w:t>如自校、比对、定期更换等</w:t>
      </w:r>
      <w:r>
        <w:rPr>
          <w:rFonts w:hint="eastAsia" w:cs="宋体"/>
          <w:szCs w:val="24"/>
          <w:lang w:eastAsia="zh-CN"/>
        </w:rPr>
        <w:t>）</w:t>
      </w:r>
      <w:r>
        <w:rPr>
          <w:rFonts w:hint="default" w:cs="宋体"/>
          <w:szCs w:val="24"/>
        </w:rPr>
        <w:t>确保其量值准确可靠。</w:t>
      </w:r>
    </w:p>
    <w:p w14:paraId="34FBA9E7">
      <w:pPr>
        <w:ind w:left="0" w:leftChars="0" w:firstLine="480" w:firstLineChars="200"/>
        <w:rPr>
          <w:rFonts w:hint="default" w:cs="宋体"/>
          <w:sz w:val="24"/>
          <w:szCs w:val="24"/>
          <w:lang w:val="en-US" w:eastAsia="zh-CN"/>
        </w:rPr>
      </w:pPr>
      <w:r>
        <w:rPr>
          <w:rFonts w:hint="default" w:cs="宋体"/>
          <w:szCs w:val="24"/>
        </w:rPr>
        <w:t>4</w:t>
      </w:r>
      <w:r>
        <w:rPr>
          <w:rFonts w:hint="eastAsia" w:cs="宋体"/>
          <w:szCs w:val="24"/>
          <w:lang w:eastAsia="zh-CN"/>
        </w:rPr>
        <w:t>）</w:t>
      </w:r>
      <w:r>
        <w:rPr>
          <w:rFonts w:hint="default" w:cs="宋体"/>
          <w:szCs w:val="24"/>
        </w:rPr>
        <w:t>属于排放单位自行确定检定</w:t>
      </w:r>
      <w:r>
        <w:rPr>
          <w:rFonts w:hint="eastAsia" w:cs="宋体"/>
          <w:szCs w:val="24"/>
          <w:lang w:val="en-US" w:eastAsia="zh-CN"/>
        </w:rPr>
        <w:t>/</w:t>
      </w:r>
      <w:r>
        <w:rPr>
          <w:rFonts w:hint="default" w:cs="宋体"/>
          <w:szCs w:val="24"/>
        </w:rPr>
        <w:t>校准的计量器具，开展检定/校准应有现行有效的控制文件</w:t>
      </w:r>
      <w:r>
        <w:rPr>
          <w:rFonts w:hint="eastAsia" w:cs="宋体"/>
          <w:szCs w:val="24"/>
          <w:lang w:eastAsia="zh-CN"/>
        </w:rPr>
        <w:t>（</w:t>
      </w:r>
      <w:r>
        <w:rPr>
          <w:rFonts w:hint="default" w:cs="宋体"/>
          <w:szCs w:val="24"/>
        </w:rPr>
        <w:t>如计量器具检定/校准间隔的管理程序和校准规范等</w:t>
      </w:r>
      <w:r>
        <w:rPr>
          <w:rFonts w:hint="eastAsia" w:cs="宋体"/>
          <w:szCs w:val="24"/>
          <w:lang w:eastAsia="zh-CN"/>
        </w:rPr>
        <w:t>）</w:t>
      </w:r>
      <w:r>
        <w:rPr>
          <w:rFonts w:hint="default" w:cs="宋体"/>
          <w:szCs w:val="24"/>
        </w:rPr>
        <w:t>作为依据。</w:t>
      </w:r>
    </w:p>
    <w:p w14:paraId="57BCDD25">
      <w:pPr>
        <w:pStyle w:val="4"/>
        <w:rPr>
          <w:rFonts w:hint="eastAsia"/>
          <w:lang w:val="en-US" w:eastAsia="zh-CN"/>
        </w:rPr>
      </w:pPr>
      <w:bookmarkStart w:id="105" w:name="_Toc31901"/>
      <w:r>
        <w:rPr>
          <w:rFonts w:hint="eastAsia"/>
          <w:lang w:val="en-US" w:eastAsia="zh-CN"/>
        </w:rPr>
        <w:t>6.4 碳排放计量器具使用</w:t>
      </w:r>
      <w:bookmarkEnd w:id="105"/>
    </w:p>
    <w:p w14:paraId="0E8F9083">
      <w:pPr>
        <w:rPr>
          <w:rFonts w:hint="eastAsia" w:cs="宋体"/>
          <w:sz w:val="24"/>
          <w:szCs w:val="24"/>
          <w:lang w:val="en-US" w:eastAsia="zh-CN"/>
        </w:rPr>
      </w:pPr>
      <w:r>
        <w:rPr>
          <w:rFonts w:hint="eastAsia" w:cs="宋体"/>
          <w:sz w:val="24"/>
          <w:szCs w:val="24"/>
          <w:lang w:val="en-US" w:eastAsia="zh-CN"/>
        </w:rPr>
        <w:t>6.4.1 计量设备运行期间应保持在稳定、洁净、无剧烈振动的环境条件下，严禁擅自移动、改装或停用。</w:t>
      </w:r>
    </w:p>
    <w:p w14:paraId="1187186A">
      <w:pPr>
        <w:rPr>
          <w:rFonts w:hint="eastAsia" w:cs="宋体"/>
          <w:sz w:val="24"/>
          <w:szCs w:val="24"/>
          <w:lang w:val="en-US" w:eastAsia="zh-CN"/>
        </w:rPr>
      </w:pPr>
      <w:r>
        <w:rPr>
          <w:rFonts w:hint="eastAsia" w:cs="宋体"/>
          <w:sz w:val="24"/>
          <w:szCs w:val="24"/>
          <w:lang w:val="en-US" w:eastAsia="zh-CN"/>
        </w:rPr>
        <w:t>6.4.2 应建立日常巡检制度，定期核查设备运行状态、通讯功能、读数准确性及数据完整性。</w:t>
      </w:r>
    </w:p>
    <w:p w14:paraId="6C70E2F1">
      <w:pPr>
        <w:rPr>
          <w:rFonts w:hint="eastAsia" w:cs="宋体"/>
          <w:sz w:val="24"/>
          <w:szCs w:val="24"/>
          <w:lang w:val="en-US" w:eastAsia="zh-CN"/>
        </w:rPr>
      </w:pPr>
      <w:r>
        <w:rPr>
          <w:rFonts w:hint="eastAsia" w:cs="宋体"/>
          <w:sz w:val="24"/>
          <w:szCs w:val="24"/>
          <w:lang w:val="en-US" w:eastAsia="zh-CN"/>
        </w:rPr>
        <w:t>6.4.3 在用碳计量器具被怀或出现损坏、过载、产生不正确的测量结果、超过检定周期/校准间隔、铅封/封印或保护装置损坏破裂等情况时，应停止使用、隔离存放，加贴明显的标签或标志，排查不符合原因，经再次检定/校准符合要求后才能重新投入。</w:t>
      </w:r>
    </w:p>
    <w:p w14:paraId="03CBAF30">
      <w:pPr>
        <w:pStyle w:val="3"/>
        <w:bidi w:val="0"/>
        <w:rPr>
          <w:rFonts w:hint="eastAsia"/>
          <w:lang w:val="en-US" w:eastAsia="zh-CN"/>
        </w:rPr>
      </w:pPr>
      <w:bookmarkStart w:id="106" w:name="_Toc22390"/>
      <w:bookmarkStart w:id="107" w:name="_Toc20196"/>
      <w:bookmarkStart w:id="108" w:name="_Toc21367"/>
      <w:bookmarkStart w:id="109" w:name="_Toc21494"/>
      <w:r>
        <w:rPr>
          <w:rFonts w:hint="eastAsia"/>
          <w:lang w:val="en-US" w:eastAsia="zh-CN"/>
        </w:rPr>
        <w:t>7 数据质量控制与评价</w:t>
      </w:r>
      <w:bookmarkEnd w:id="106"/>
      <w:bookmarkEnd w:id="107"/>
      <w:bookmarkEnd w:id="108"/>
      <w:bookmarkEnd w:id="109"/>
    </w:p>
    <w:p w14:paraId="012FC5E7">
      <w:pPr>
        <w:pStyle w:val="4"/>
        <w:bidi w:val="0"/>
        <w:rPr>
          <w:rFonts w:hint="eastAsia"/>
          <w:lang w:val="en-US" w:eastAsia="zh-CN"/>
        </w:rPr>
      </w:pPr>
      <w:bookmarkStart w:id="110" w:name="_Toc7386"/>
      <w:r>
        <w:rPr>
          <w:rFonts w:hint="eastAsia"/>
          <w:lang w:val="en-US" w:eastAsia="zh-CN"/>
        </w:rPr>
        <w:t>7.1 异常值识别与处理</w:t>
      </w:r>
      <w:bookmarkEnd w:id="110"/>
    </w:p>
    <w:p w14:paraId="0E87E1B0">
      <w:pPr>
        <w:rPr>
          <w:rFonts w:hint="eastAsia"/>
          <w:lang w:val="en-US" w:eastAsia="zh-CN"/>
        </w:rPr>
      </w:pPr>
      <w:r>
        <w:rPr>
          <w:rFonts w:hint="eastAsia"/>
          <w:lang w:val="en-US" w:eastAsia="zh-CN"/>
        </w:rPr>
        <w:t>7.1.1 应结合历史数据、理论用量或工艺参数制定各类活动数据（如用电、用燃料等）的合理波动范围，当出现偏离均值±3倍标准差（3</w:t>
      </w:r>
      <m:oMath>
        <m:r>
          <m:rPr>
            <m:sty m:val="p"/>
          </m:rPr>
          <w:rPr>
            <w:rFonts w:ascii="Cambria Math" w:hAnsi="Cambria Math"/>
            <w:lang w:val="en-US"/>
          </w:rPr>
          <m:t>σ</m:t>
        </m:r>
      </m:oMath>
      <w:r>
        <w:rPr>
          <w:rFonts w:hint="eastAsia"/>
          <w:lang w:val="en-US" w:eastAsia="zh-CN"/>
        </w:rPr>
        <w:t>）以上的数据，或与上下时段、同类模块差异明显的记录时，应标识为疑似异常值；</w:t>
      </w:r>
    </w:p>
    <w:p w14:paraId="3B376913">
      <w:pPr>
        <w:rPr>
          <w:rFonts w:hint="eastAsia"/>
          <w:lang w:val="en-US" w:eastAsia="zh-CN"/>
        </w:rPr>
      </w:pPr>
      <w:r>
        <w:rPr>
          <w:rFonts w:hint="eastAsia"/>
          <w:lang w:val="en-US" w:eastAsia="zh-CN"/>
        </w:rPr>
        <w:t>7.1.2 对疑似异常数据应启动核查流程，通过调取原始记录、计量仪器日志、生产工况记录等佐证材料判断其合理性，并按如下原则处理：</w:t>
      </w:r>
    </w:p>
    <w:p w14:paraId="39D20D8C">
      <w:pPr>
        <w:ind w:firstLine="480" w:firstLineChars="200"/>
        <w:rPr>
          <w:rFonts w:hint="eastAsia"/>
          <w:lang w:val="en-US" w:eastAsia="zh-CN"/>
        </w:rPr>
      </w:pPr>
      <w:r>
        <w:rPr>
          <w:rFonts w:hint="eastAsia"/>
          <w:lang w:val="en-US" w:eastAsia="zh-CN"/>
        </w:rPr>
        <w:t>（1）经确认合理的保留；</w:t>
      </w:r>
    </w:p>
    <w:p w14:paraId="3321FA06">
      <w:pPr>
        <w:ind w:firstLine="480" w:firstLineChars="200"/>
        <w:rPr>
          <w:rFonts w:hint="eastAsia"/>
          <w:lang w:val="en-US" w:eastAsia="zh-CN"/>
        </w:rPr>
      </w:pPr>
      <w:r>
        <w:rPr>
          <w:rFonts w:hint="eastAsia"/>
          <w:lang w:val="en-US" w:eastAsia="zh-CN"/>
        </w:rPr>
        <w:t>（2）因仪器故障、操作失误造成的数据应剔除或以合理估算值替代，并在报告中说明；</w:t>
      </w:r>
    </w:p>
    <w:p w14:paraId="14FE0F92">
      <w:pPr>
        <w:ind w:firstLine="480" w:firstLineChars="200"/>
        <w:rPr>
          <w:rFonts w:hint="eastAsia"/>
          <w:lang w:val="en-US" w:eastAsia="zh-CN"/>
        </w:rPr>
      </w:pPr>
      <w:r>
        <w:rPr>
          <w:rFonts w:hint="eastAsia"/>
          <w:lang w:val="en-US" w:eastAsia="zh-CN"/>
        </w:rPr>
        <w:t>（3）异常频繁发生的环节应提出整改建议，并记录在问题清单中。</w:t>
      </w:r>
    </w:p>
    <w:p w14:paraId="4C80BDB3">
      <w:pPr>
        <w:pStyle w:val="4"/>
        <w:bidi w:val="0"/>
        <w:rPr>
          <w:rFonts w:hint="eastAsia"/>
          <w:lang w:val="en-US" w:eastAsia="zh-CN"/>
        </w:rPr>
      </w:pPr>
      <w:bookmarkStart w:id="111" w:name="_Toc11271"/>
      <w:r>
        <w:rPr>
          <w:rFonts w:hint="eastAsia"/>
          <w:lang w:val="en-US" w:eastAsia="zh-CN"/>
        </w:rPr>
        <w:t>7.2 数据可追溯性控制</w:t>
      </w:r>
      <w:bookmarkEnd w:id="111"/>
    </w:p>
    <w:p w14:paraId="3A892DE1">
      <w:pPr>
        <w:bidi w:val="0"/>
        <w:rPr>
          <w:rFonts w:hint="default"/>
          <w:lang w:val="en-US" w:eastAsia="zh-CN"/>
        </w:rPr>
      </w:pPr>
      <w:r>
        <w:rPr>
          <w:rFonts w:hint="eastAsia"/>
          <w:lang w:val="en-US" w:eastAsia="zh-CN"/>
        </w:rPr>
        <w:t>7.2.1</w:t>
      </w:r>
      <w:r>
        <w:rPr>
          <w:rFonts w:hint="default"/>
          <w:lang w:val="en-US" w:eastAsia="zh-CN"/>
        </w:rPr>
        <w:t>所有采集的活动数据应根据其</w:t>
      </w:r>
      <w:r>
        <w:rPr>
          <w:rFonts w:hint="eastAsia"/>
          <w:lang w:val="en-US" w:eastAsia="zh-CN"/>
        </w:rPr>
        <w:t>所属阶段、</w:t>
      </w:r>
      <w:r>
        <w:rPr>
          <w:rFonts w:hint="default"/>
          <w:lang w:val="en-US" w:eastAsia="zh-CN"/>
        </w:rPr>
        <w:t>排放源类型、采集方式、</w:t>
      </w:r>
      <w:r>
        <w:rPr>
          <w:rFonts w:hint="eastAsia"/>
          <w:lang w:val="en-US" w:eastAsia="zh-CN"/>
        </w:rPr>
        <w:t>计量级别</w:t>
      </w:r>
      <w:r>
        <w:rPr>
          <w:rFonts w:hint="default"/>
          <w:lang w:val="en-US" w:eastAsia="zh-CN"/>
        </w:rPr>
        <w:t>进行分类，并建立主数据台账。每条活动数据应设定唯一编号</w:t>
      </w:r>
      <w:r>
        <w:rPr>
          <w:rFonts w:hint="eastAsia"/>
          <w:lang w:val="en-US" w:eastAsia="zh-CN"/>
        </w:rPr>
        <w:t>，严格参照附录C《活动数据编号管理规则》进行编制填写。</w:t>
      </w:r>
    </w:p>
    <w:p w14:paraId="5DA14529">
      <w:pPr>
        <w:bidi w:val="0"/>
        <w:rPr>
          <w:rFonts w:hint="eastAsia"/>
          <w:lang w:val="en-US" w:eastAsia="zh-CN"/>
        </w:rPr>
      </w:pPr>
      <w:r>
        <w:rPr>
          <w:rFonts w:hint="eastAsia"/>
          <w:lang w:val="en-US" w:eastAsia="zh-CN"/>
        </w:rPr>
        <w:t>7.2.2 数据分配与模块归集机制</w:t>
      </w:r>
    </w:p>
    <w:p w14:paraId="05639D00">
      <w:pPr>
        <w:ind w:firstLine="480" w:firstLineChars="200"/>
        <w:rPr>
          <w:rFonts w:hint="eastAsia" w:ascii="宋体" w:hAnsi="宋体" w:eastAsia="宋体" w:cs="宋体"/>
          <w:sz w:val="24"/>
          <w:szCs w:val="24"/>
        </w:rPr>
      </w:pPr>
      <w:r>
        <w:rPr>
          <w:rFonts w:ascii="宋体" w:hAnsi="宋体" w:eastAsia="宋体" w:cs="宋体"/>
          <w:b w:val="0"/>
          <w:bCs w:val="0"/>
          <w:sz w:val="24"/>
          <w:szCs w:val="24"/>
        </w:rPr>
        <w:t>当一批能源或物料消耗数据</w:t>
      </w:r>
      <w:r>
        <w:rPr>
          <w:rStyle w:val="28"/>
          <w:rFonts w:ascii="宋体" w:hAnsi="宋体" w:eastAsia="宋体" w:cs="宋体"/>
          <w:b w:val="0"/>
          <w:bCs w:val="0"/>
          <w:sz w:val="24"/>
          <w:szCs w:val="24"/>
        </w:rPr>
        <w:t>对应多个模块产品</w:t>
      </w:r>
      <w:r>
        <w:rPr>
          <w:rFonts w:ascii="宋体" w:hAnsi="宋体" w:eastAsia="宋体" w:cs="宋体"/>
          <w:b w:val="0"/>
          <w:bCs w:val="0"/>
          <w:sz w:val="24"/>
          <w:szCs w:val="24"/>
        </w:rPr>
        <w:t>时，应按照</w:t>
      </w:r>
      <w:r>
        <w:rPr>
          <w:rStyle w:val="28"/>
          <w:rFonts w:ascii="宋体" w:hAnsi="宋体" w:eastAsia="宋体" w:cs="宋体"/>
          <w:b w:val="0"/>
          <w:bCs w:val="0"/>
          <w:sz w:val="24"/>
          <w:szCs w:val="24"/>
        </w:rPr>
        <w:t>合理的分配原则</w:t>
      </w:r>
      <w:r>
        <w:rPr>
          <w:rFonts w:ascii="宋体" w:hAnsi="宋体" w:eastAsia="宋体" w:cs="宋体"/>
          <w:b w:val="0"/>
          <w:bCs w:val="0"/>
          <w:sz w:val="24"/>
          <w:szCs w:val="24"/>
        </w:rPr>
        <w:t>将其分摊到相应模块中，建立对应关系。</w:t>
      </w:r>
      <w:r>
        <w:rPr>
          <w:rFonts w:hint="eastAsia" w:ascii="宋体" w:hAnsi="宋体" w:cs="宋体"/>
          <w:b w:val="0"/>
          <w:bCs w:val="0"/>
          <w:sz w:val="24"/>
          <w:szCs w:val="24"/>
          <w:lang w:val="en-US" w:eastAsia="zh-CN"/>
        </w:rPr>
        <w:t>可</w:t>
      </w:r>
      <w:r>
        <w:rPr>
          <w:rFonts w:hint="eastAsia" w:ascii="宋体" w:hAnsi="宋体" w:eastAsia="宋体" w:cs="宋体"/>
          <w:b w:val="0"/>
          <w:bCs w:val="0"/>
          <w:sz w:val="24"/>
          <w:szCs w:val="24"/>
        </w:rPr>
        <w:t>采用如下分配逻辑：</w:t>
      </w:r>
    </w:p>
    <w:p w14:paraId="595D24AE">
      <w:pPr>
        <w:ind w:firstLine="480" w:firstLineChars="200"/>
        <w:rPr>
          <w:rFonts w:hint="eastAsia" w:ascii="宋体" w:hAnsi="宋体" w:cs="宋体"/>
          <w:sz w:val="24"/>
          <w:szCs w:val="24"/>
          <w:lang w:val="en-US" w:eastAsia="zh-CN"/>
        </w:rPr>
      </w:pPr>
      <w:r>
        <w:rPr>
          <w:rFonts w:hint="eastAsia" w:ascii="Times New Roman" w:hAnsi="Times New Roman" w:cs="宋体"/>
          <w:sz w:val="24"/>
          <w:szCs w:val="24"/>
          <w:lang w:eastAsia="zh-CN"/>
        </w:rPr>
        <w:t>（</w:t>
      </w:r>
      <w:r>
        <w:rPr>
          <w:rFonts w:hint="eastAsia" w:ascii="Times New Roman" w:hAnsi="Times New Roman" w:cs="宋体"/>
          <w:sz w:val="24"/>
          <w:szCs w:val="24"/>
          <w:lang w:val="en-US" w:eastAsia="zh-CN"/>
        </w:rPr>
        <w:t>1）</w:t>
      </w:r>
      <w:r>
        <w:rPr>
          <w:rFonts w:hint="eastAsia" w:ascii="宋体" w:hAnsi="宋体" w:cs="宋体"/>
          <w:sz w:val="24"/>
          <w:szCs w:val="24"/>
          <w:lang w:val="en-US" w:eastAsia="zh-CN"/>
        </w:rPr>
        <w:t>当生产同一批相同类型模块产品时，可按模块数量平均分摊各项碳排放活动数据；</w:t>
      </w:r>
    </w:p>
    <w:p w14:paraId="62853213">
      <w:pPr>
        <w:ind w:firstLine="480" w:firstLineChars="200"/>
        <w:rPr>
          <w:rFonts w:hint="eastAsia" w:ascii="宋体" w:hAnsi="宋体" w:cs="宋体"/>
          <w:sz w:val="24"/>
          <w:szCs w:val="24"/>
          <w:lang w:val="en-US" w:eastAsia="zh-CN"/>
        </w:rPr>
      </w:pPr>
      <w:r>
        <w:rPr>
          <w:rFonts w:hint="eastAsia" w:ascii="Times New Roman" w:hAnsi="Times New Roman" w:cs="宋体"/>
          <w:sz w:val="24"/>
          <w:szCs w:val="24"/>
          <w:lang w:val="en-US" w:eastAsia="zh-CN"/>
        </w:rPr>
        <w:t>（2）</w:t>
      </w:r>
      <w:r>
        <w:rPr>
          <w:rFonts w:hint="eastAsia" w:ascii="宋体" w:hAnsi="宋体" w:cs="宋体"/>
          <w:sz w:val="24"/>
          <w:szCs w:val="24"/>
          <w:lang w:val="en-US" w:eastAsia="zh-CN"/>
        </w:rPr>
        <w:t>当同一批次中存在不同类型或不同结构的模块产品，应依据模块的标准工时、产线运行时长、模块体量或模块毛重等量化指标进行加权分配。应优先选取与该类能源或物料消耗高度相关的指标进行分摊。</w:t>
      </w:r>
    </w:p>
    <w:p w14:paraId="7B84CF7A">
      <w:pPr>
        <w:rPr>
          <w:rFonts w:hint="eastAsia"/>
          <w:lang w:val="en-US" w:eastAsia="zh-CN"/>
        </w:rPr>
      </w:pPr>
      <w:r>
        <w:rPr>
          <w:rFonts w:hint="eastAsia"/>
          <w:lang w:val="en-US" w:eastAsia="zh-CN"/>
        </w:rPr>
        <w:t>7.2.3 当存在插单生产、批次断续、歇产期等不连续情形时，仍应按照实际产出模块进行追踪分摊，不得将数据平均分配至未生产的虚拟产能或超出计量边界的产品单元。</w:t>
      </w:r>
    </w:p>
    <w:p w14:paraId="5369348A">
      <w:pPr>
        <w:pStyle w:val="4"/>
        <w:bidi w:val="0"/>
        <w:rPr>
          <w:rFonts w:hint="default"/>
          <w:lang w:val="en-US" w:eastAsia="zh-CN"/>
        </w:rPr>
      </w:pPr>
      <w:bookmarkStart w:id="112" w:name="_Toc13295"/>
      <w:bookmarkStart w:id="113" w:name="_Toc3690"/>
      <w:bookmarkStart w:id="114" w:name="_Toc22288"/>
      <w:bookmarkStart w:id="115" w:name="_Toc32003"/>
      <w:r>
        <w:rPr>
          <w:rFonts w:hint="eastAsia"/>
          <w:lang w:val="en-US" w:eastAsia="zh-CN"/>
        </w:rPr>
        <w:t xml:space="preserve">7.3 </w:t>
      </w:r>
      <w:bookmarkEnd w:id="112"/>
      <w:bookmarkEnd w:id="113"/>
      <w:bookmarkEnd w:id="114"/>
      <w:r>
        <w:rPr>
          <w:rFonts w:hint="eastAsia"/>
          <w:lang w:val="en-US" w:eastAsia="zh-CN"/>
        </w:rPr>
        <w:t>不确定度评定</w:t>
      </w:r>
      <w:bookmarkEnd w:id="115"/>
    </w:p>
    <w:p w14:paraId="00EDEF32">
      <w:pPr>
        <w:bidi w:val="0"/>
        <w:ind w:firstLine="480" w:firstLineChars="200"/>
        <w:rPr>
          <w:rFonts w:hint="eastAsia"/>
          <w:lang w:val="en-US" w:eastAsia="zh-CN"/>
        </w:rPr>
      </w:pPr>
      <w:r>
        <w:rPr>
          <w:rFonts w:hint="eastAsia"/>
          <w:lang w:val="en-US" w:eastAsia="zh-CN"/>
        </w:rPr>
        <w:t>采用仪器仪表计量时，应根据各碳源流的活动数据与碳排放因子，按JJF 1059.1方法，评定其标准不确定度，计算模块房产品碳排放量的合成不确定度，示例可参考附录E《模块房碳排放量不确定度评估示例》。</w:t>
      </w:r>
    </w:p>
    <w:p w14:paraId="2E4CD844">
      <w:pPr>
        <w:bidi w:val="0"/>
        <w:ind w:firstLine="480" w:firstLineChars="200"/>
        <w:rPr>
          <w:rFonts w:hint="eastAsia"/>
          <w:lang w:val="en-US" w:eastAsia="zh-CN"/>
        </w:rPr>
      </w:pPr>
      <w:r>
        <w:rPr>
          <w:rFonts w:hint="eastAsia"/>
        </w:rPr>
        <w:t xml:space="preserve">对于采用非实测碳排放因子的，应按本规范8.2 </w:t>
      </w:r>
      <w:r>
        <w:rPr>
          <w:rFonts w:hint="eastAsia"/>
          <w:lang w:val="en-US" w:eastAsia="zh-CN"/>
        </w:rPr>
        <w:t>5</w:t>
      </w:r>
      <w:r>
        <w:rPr>
          <w:rFonts w:hint="eastAsia"/>
        </w:rPr>
        <w:t>)的规定表示。</w:t>
      </w:r>
    </w:p>
    <w:p w14:paraId="23D4DAA3">
      <w:pPr>
        <w:pStyle w:val="3"/>
        <w:rPr>
          <w:rFonts w:cs="Times New Roman"/>
        </w:rPr>
      </w:pPr>
      <w:bookmarkStart w:id="116" w:name="_Toc19197"/>
      <w:bookmarkStart w:id="117" w:name="_Toc3909"/>
      <w:bookmarkStart w:id="118" w:name="_Toc8342"/>
      <w:bookmarkStart w:id="119" w:name="_Toc4468"/>
      <w:bookmarkStart w:id="120" w:name="_Toc12109"/>
      <w:bookmarkStart w:id="121" w:name="_Toc12396"/>
      <w:bookmarkStart w:id="122" w:name="_Toc13927"/>
      <w:bookmarkStart w:id="123" w:name="_Toc30444"/>
      <w:r>
        <w:rPr>
          <w:rFonts w:hint="eastAsia" w:cs="Times New Roman"/>
        </w:rPr>
        <w:t>8</w:t>
      </w:r>
      <w:r>
        <w:rPr>
          <w:rFonts w:cs="Times New Roman"/>
        </w:rPr>
        <w:t xml:space="preserve"> 计量结果表达</w:t>
      </w:r>
      <w:bookmarkEnd w:id="116"/>
      <w:bookmarkEnd w:id="117"/>
      <w:bookmarkEnd w:id="118"/>
      <w:bookmarkEnd w:id="119"/>
      <w:bookmarkEnd w:id="120"/>
      <w:bookmarkEnd w:id="121"/>
    </w:p>
    <w:p w14:paraId="37D464D3">
      <w:pPr>
        <w:pStyle w:val="4"/>
        <w:rPr>
          <w:rFonts w:cs="Times New Roman"/>
        </w:rPr>
      </w:pPr>
      <w:bookmarkStart w:id="124" w:name="_Toc20136"/>
      <w:bookmarkStart w:id="125" w:name="_Toc25523"/>
      <w:bookmarkStart w:id="126" w:name="_Toc5801"/>
      <w:bookmarkStart w:id="127" w:name="_Toc17566"/>
      <w:bookmarkStart w:id="128" w:name="_Toc2146"/>
      <w:bookmarkStart w:id="129" w:name="_Toc29988"/>
      <w:r>
        <w:rPr>
          <w:rFonts w:hint="eastAsia" w:cs="Times New Roman"/>
        </w:rPr>
        <w:t>8</w:t>
      </w:r>
      <w:r>
        <w:rPr>
          <w:rFonts w:cs="Times New Roman"/>
        </w:rPr>
        <w:t>.1 一般要求</w:t>
      </w:r>
      <w:bookmarkEnd w:id="124"/>
      <w:bookmarkEnd w:id="125"/>
      <w:bookmarkEnd w:id="126"/>
      <w:bookmarkEnd w:id="127"/>
      <w:bookmarkEnd w:id="128"/>
      <w:bookmarkEnd w:id="129"/>
    </w:p>
    <w:p w14:paraId="6A2CC2AC">
      <w:pPr>
        <w:ind w:firstLine="480" w:firstLineChars="200"/>
        <w:rPr>
          <w:rFonts w:cs="Times New Roman"/>
          <w:szCs w:val="28"/>
        </w:rPr>
      </w:pPr>
      <w:bookmarkStart w:id="130" w:name="_Hlk143507443"/>
      <w:r>
        <w:rPr>
          <w:rFonts w:hint="eastAsia"/>
          <w:lang w:val="en-US" w:eastAsia="zh-CN"/>
        </w:rPr>
        <w:t>精装修模块房</w:t>
      </w:r>
      <w:r>
        <w:rPr>
          <w:rFonts w:hint="eastAsia" w:cs="Times New Roman"/>
          <w:szCs w:val="28"/>
          <w:lang w:val="en-US" w:eastAsia="zh-CN"/>
        </w:rPr>
        <w:t>生产</w:t>
      </w:r>
      <w:r>
        <w:rPr>
          <w:rFonts w:cs="Times New Roman"/>
          <w:szCs w:val="28"/>
        </w:rPr>
        <w:t>碳排放计量结果应以报告</w:t>
      </w:r>
      <w:bookmarkEnd w:id="130"/>
      <w:r>
        <w:rPr>
          <w:rFonts w:cs="Times New Roman"/>
          <w:szCs w:val="28"/>
        </w:rPr>
        <w:t>形式体现，报告应包含</w:t>
      </w:r>
      <w:r>
        <w:rPr>
          <w:rFonts w:hint="eastAsia"/>
          <w:lang w:val="en-US" w:eastAsia="zh-CN"/>
        </w:rPr>
        <w:t>精装修模块房</w:t>
      </w:r>
      <w:r>
        <w:rPr>
          <w:rFonts w:hint="eastAsia" w:cs="Times New Roman"/>
          <w:szCs w:val="28"/>
          <w:lang w:val="en-US" w:eastAsia="zh-CN"/>
        </w:rPr>
        <w:t>生产</w:t>
      </w:r>
      <w:r>
        <w:rPr>
          <w:rFonts w:hint="eastAsia" w:cs="Times New Roman"/>
          <w:szCs w:val="28"/>
        </w:rPr>
        <w:t>阶段</w:t>
      </w:r>
      <w:r>
        <w:rPr>
          <w:rFonts w:cs="Times New Roman"/>
          <w:szCs w:val="28"/>
        </w:rPr>
        <w:t>的基本信息、</w:t>
      </w:r>
      <w:r>
        <w:rPr>
          <w:rFonts w:hint="eastAsia" w:cs="Times New Roman"/>
          <w:szCs w:val="28"/>
        </w:rPr>
        <w:t>源流</w:t>
      </w:r>
      <w:r>
        <w:rPr>
          <w:rFonts w:cs="Times New Roman"/>
          <w:szCs w:val="28"/>
        </w:rPr>
        <w:t>识别、活动数据及</w:t>
      </w:r>
      <w:r>
        <w:rPr>
          <w:rFonts w:hint="eastAsia" w:cs="Times New Roman"/>
          <w:szCs w:val="28"/>
        </w:rPr>
        <w:t>排放因子</w:t>
      </w:r>
      <w:r>
        <w:rPr>
          <w:rFonts w:cs="Times New Roman"/>
          <w:szCs w:val="28"/>
        </w:rPr>
        <w:t>来源、碳排放量4项基本要素。</w:t>
      </w:r>
    </w:p>
    <w:p w14:paraId="52354063">
      <w:pPr>
        <w:pStyle w:val="4"/>
        <w:rPr>
          <w:rFonts w:cs="Times New Roman"/>
        </w:rPr>
      </w:pPr>
      <w:bookmarkStart w:id="131" w:name="_Toc17498"/>
      <w:bookmarkStart w:id="132" w:name="_Toc377"/>
      <w:bookmarkStart w:id="133" w:name="_Toc29260"/>
      <w:bookmarkStart w:id="134" w:name="_Toc21613"/>
      <w:bookmarkStart w:id="135" w:name="_Toc5411"/>
      <w:bookmarkStart w:id="136" w:name="_Toc26973"/>
      <w:r>
        <w:rPr>
          <w:rFonts w:hint="eastAsia" w:cs="Times New Roman"/>
        </w:rPr>
        <w:t>8</w:t>
      </w:r>
      <w:r>
        <w:rPr>
          <w:rFonts w:cs="Times New Roman"/>
        </w:rPr>
        <w:t>.2 报告要求</w:t>
      </w:r>
      <w:bookmarkEnd w:id="131"/>
      <w:bookmarkEnd w:id="132"/>
      <w:bookmarkEnd w:id="133"/>
      <w:bookmarkEnd w:id="134"/>
      <w:bookmarkEnd w:id="135"/>
      <w:bookmarkEnd w:id="136"/>
    </w:p>
    <w:p w14:paraId="5FF3F220">
      <w:pPr>
        <w:ind w:firstLine="480" w:firstLineChars="200"/>
        <w:rPr>
          <w:rFonts w:cs="Times New Roman"/>
          <w:szCs w:val="28"/>
        </w:rPr>
      </w:pPr>
      <w:r>
        <w:rPr>
          <w:rFonts w:hint="eastAsia"/>
          <w:lang w:val="en-US" w:eastAsia="zh-CN"/>
        </w:rPr>
        <w:t>精装修模块房</w:t>
      </w:r>
      <w:r>
        <w:rPr>
          <w:rFonts w:hint="eastAsia" w:cs="Times New Roman"/>
          <w:szCs w:val="28"/>
          <w:lang w:val="en-US" w:eastAsia="zh-CN"/>
        </w:rPr>
        <w:t>生产</w:t>
      </w:r>
      <w:r>
        <w:rPr>
          <w:rFonts w:hint="eastAsia" w:cs="Times New Roman"/>
          <w:szCs w:val="28"/>
        </w:rPr>
        <w:t>阶段</w:t>
      </w:r>
      <w:r>
        <w:rPr>
          <w:rFonts w:cs="Times New Roman"/>
          <w:szCs w:val="28"/>
        </w:rPr>
        <w:t>碳计量报告</w:t>
      </w:r>
      <w:r>
        <w:rPr>
          <w:rFonts w:hint="eastAsia" w:cs="Times New Roman"/>
          <w:szCs w:val="28"/>
        </w:rPr>
        <w:t>可参考</w:t>
      </w:r>
      <w:r>
        <w:rPr>
          <w:rFonts w:cs="Times New Roman"/>
          <w:szCs w:val="28"/>
        </w:rPr>
        <w:t>附录</w:t>
      </w:r>
      <w:r>
        <w:rPr>
          <w:rFonts w:hint="eastAsia" w:cs="Times New Roman"/>
          <w:szCs w:val="28"/>
          <w:lang w:val="en-US" w:eastAsia="zh-CN"/>
        </w:rPr>
        <w:t>D</w:t>
      </w:r>
      <w:r>
        <w:rPr>
          <w:rFonts w:hint="eastAsia" w:cs="Times New Roman"/>
          <w:szCs w:val="28"/>
        </w:rPr>
        <w:t>格式并</w:t>
      </w:r>
      <w:r>
        <w:rPr>
          <w:rFonts w:cs="Times New Roman"/>
          <w:szCs w:val="28"/>
        </w:rPr>
        <w:t>应满足以下规定</w:t>
      </w:r>
      <w:r>
        <w:rPr>
          <w:rFonts w:hint="eastAsia" w:cs="Times New Roman"/>
          <w:szCs w:val="28"/>
        </w:rPr>
        <w:t>：</w:t>
      </w:r>
    </w:p>
    <w:p w14:paraId="2C9C9F80">
      <w:pPr>
        <w:ind w:firstLine="480" w:firstLineChars="200"/>
        <w:rPr>
          <w:rFonts w:cs="Times New Roman"/>
          <w:szCs w:val="28"/>
        </w:rPr>
      </w:pPr>
      <w:r>
        <w:rPr>
          <w:rFonts w:hint="eastAsia" w:cs="Times New Roman"/>
          <w:szCs w:val="28"/>
          <w:lang w:val="en-US" w:eastAsia="zh-CN"/>
        </w:rPr>
        <w:t>1</w:t>
      </w:r>
      <w:r>
        <w:rPr>
          <w:rFonts w:cs="Times New Roman"/>
          <w:szCs w:val="28"/>
        </w:rPr>
        <w:t>）核查并给出</w:t>
      </w:r>
      <w:r>
        <w:rPr>
          <w:rFonts w:hint="eastAsia" w:cs="Times New Roman"/>
          <w:szCs w:val="28"/>
          <w:lang w:val="en-US" w:eastAsia="zh-CN"/>
        </w:rPr>
        <w:t>精装修模块房在工作制作过程中</w:t>
      </w:r>
      <w:r>
        <w:rPr>
          <w:rFonts w:cs="Times New Roman"/>
          <w:szCs w:val="28"/>
        </w:rPr>
        <w:t>消耗的</w:t>
      </w:r>
      <w:r>
        <w:rPr>
          <w:rFonts w:hint="eastAsia" w:cs="Times New Roman"/>
          <w:szCs w:val="28"/>
        </w:rPr>
        <w:t>源流</w:t>
      </w:r>
      <w:r>
        <w:rPr>
          <w:rFonts w:cs="Times New Roman"/>
          <w:szCs w:val="28"/>
        </w:rPr>
        <w:t>清单；</w:t>
      </w:r>
    </w:p>
    <w:p w14:paraId="0F9FBE3B">
      <w:pPr>
        <w:ind w:firstLine="480" w:firstLineChars="200"/>
        <w:rPr>
          <w:rFonts w:cs="Times New Roman"/>
          <w:szCs w:val="28"/>
        </w:rPr>
      </w:pPr>
      <w:r>
        <w:rPr>
          <w:rFonts w:hint="eastAsia" w:cs="Times New Roman"/>
          <w:szCs w:val="28"/>
          <w:lang w:val="en-US" w:eastAsia="zh-CN"/>
        </w:rPr>
        <w:t>2</w:t>
      </w:r>
      <w:r>
        <w:rPr>
          <w:rFonts w:cs="Times New Roman"/>
          <w:szCs w:val="28"/>
        </w:rPr>
        <w:t>）明确能源计量器具配备和溯源情况，核实不同种类化石能源的消耗量、净购入的电量和</w:t>
      </w:r>
      <w:r>
        <w:rPr>
          <w:rFonts w:hint="eastAsia" w:cs="Times New Roman"/>
          <w:szCs w:val="28"/>
        </w:rPr>
        <w:t>热</w:t>
      </w:r>
      <w:r>
        <w:rPr>
          <w:rFonts w:cs="Times New Roman"/>
          <w:szCs w:val="28"/>
        </w:rPr>
        <w:t>量、其他系统的碳抵消量</w:t>
      </w:r>
      <w:r>
        <w:rPr>
          <w:rFonts w:hint="eastAsia" w:cs="Times New Roman"/>
          <w:szCs w:val="28"/>
          <w:lang w:val="en-US" w:eastAsia="zh-CN"/>
        </w:rPr>
        <w:t>等</w:t>
      </w:r>
      <w:r>
        <w:rPr>
          <w:rFonts w:cs="Times New Roman"/>
          <w:szCs w:val="28"/>
        </w:rPr>
        <w:t>，以及各种</w:t>
      </w:r>
      <w:r>
        <w:rPr>
          <w:rFonts w:hint="eastAsia" w:cs="Times New Roman"/>
          <w:szCs w:val="28"/>
          <w:lang w:val="en-US" w:eastAsia="zh-CN"/>
        </w:rPr>
        <w:t>非能源过程排放</w:t>
      </w:r>
      <w:r>
        <w:rPr>
          <w:rFonts w:cs="Times New Roman"/>
          <w:szCs w:val="28"/>
        </w:rPr>
        <w:t>活动数据的来源和不确定度；</w:t>
      </w:r>
    </w:p>
    <w:p w14:paraId="7E5190E8">
      <w:pPr>
        <w:ind w:firstLine="480" w:firstLineChars="200"/>
        <w:rPr>
          <w:rFonts w:cs="Times New Roman"/>
          <w:szCs w:val="28"/>
        </w:rPr>
      </w:pPr>
      <w:r>
        <w:rPr>
          <w:rFonts w:hint="eastAsia" w:cs="Times New Roman"/>
          <w:szCs w:val="28"/>
          <w:lang w:val="en-US" w:eastAsia="zh-CN"/>
        </w:rPr>
        <w:t>3</w:t>
      </w:r>
      <w:r>
        <w:rPr>
          <w:rFonts w:cs="Times New Roman"/>
          <w:szCs w:val="28"/>
        </w:rPr>
        <w:t>）分别确定所使用的不同种类化石燃料排放因子，</w:t>
      </w:r>
      <w:r>
        <w:rPr>
          <w:rFonts w:hint="eastAsia" w:cs="Times New Roman"/>
          <w:szCs w:val="28"/>
          <w:lang w:val="en-US" w:eastAsia="zh-CN"/>
        </w:rPr>
        <w:t>及用于计算排放因子的</w:t>
      </w:r>
      <w:r>
        <w:rPr>
          <w:rFonts w:cs="Times New Roman"/>
          <w:szCs w:val="28"/>
        </w:rPr>
        <w:t>低位发热量</w:t>
      </w:r>
      <w:r>
        <w:rPr>
          <w:rFonts w:hint="eastAsia" w:cs="Times New Roman"/>
          <w:szCs w:val="28"/>
          <w:lang w:eastAsia="zh-CN"/>
        </w:rPr>
        <w:t>、</w:t>
      </w:r>
      <w:r>
        <w:rPr>
          <w:rFonts w:hint="eastAsia" w:cs="Times New Roman"/>
          <w:szCs w:val="28"/>
          <w:lang w:val="en-US" w:eastAsia="zh-CN"/>
        </w:rPr>
        <w:t>碳元素含量、氧化率等数据，确定</w:t>
      </w:r>
      <w:r>
        <w:rPr>
          <w:rFonts w:cs="Times New Roman"/>
          <w:szCs w:val="28"/>
        </w:rPr>
        <w:t>购入电力、热力和冷源在生产过程中的</w:t>
      </w:r>
      <w:r>
        <w:rPr>
          <w:rFonts w:hint="eastAsia" w:cs="Times New Roman"/>
          <w:szCs w:val="28"/>
        </w:rPr>
        <w:t>排放因子</w:t>
      </w:r>
      <w:r>
        <w:rPr>
          <w:rFonts w:cs="Times New Roman"/>
          <w:szCs w:val="28"/>
        </w:rPr>
        <w:t>，以及各</w:t>
      </w:r>
      <w:r>
        <w:rPr>
          <w:rFonts w:hint="eastAsia" w:cs="Times New Roman"/>
          <w:szCs w:val="28"/>
        </w:rPr>
        <w:t>源流</w:t>
      </w:r>
      <w:r>
        <w:rPr>
          <w:rFonts w:cs="Times New Roman"/>
          <w:szCs w:val="28"/>
        </w:rPr>
        <w:t>的</w:t>
      </w:r>
      <w:r>
        <w:rPr>
          <w:rFonts w:hint="eastAsia" w:cs="Times New Roman"/>
          <w:szCs w:val="28"/>
        </w:rPr>
        <w:t>排放因子</w:t>
      </w:r>
      <w:r>
        <w:rPr>
          <w:rFonts w:cs="Times New Roman"/>
          <w:szCs w:val="28"/>
        </w:rPr>
        <w:t>来源和所有实测数据的不确定度；</w:t>
      </w:r>
    </w:p>
    <w:p w14:paraId="1A310C52">
      <w:pPr>
        <w:ind w:firstLine="480" w:firstLineChars="200"/>
        <w:rPr>
          <w:rFonts w:cs="Times New Roman"/>
          <w:szCs w:val="28"/>
        </w:rPr>
      </w:pPr>
      <w:r>
        <w:rPr>
          <w:rFonts w:hint="eastAsia" w:cs="Times New Roman"/>
          <w:szCs w:val="28"/>
          <w:lang w:val="en-US" w:eastAsia="zh-CN"/>
        </w:rPr>
        <w:t>4</w:t>
      </w:r>
      <w:r>
        <w:rPr>
          <w:rFonts w:cs="Times New Roman"/>
          <w:szCs w:val="28"/>
        </w:rPr>
        <w:t>）核算得到</w:t>
      </w:r>
      <w:r>
        <w:rPr>
          <w:rFonts w:hint="eastAsia" w:cs="Times New Roman"/>
          <w:szCs w:val="28"/>
        </w:rPr>
        <w:t>批次</w:t>
      </w:r>
      <w:r>
        <w:rPr>
          <w:rFonts w:cs="Times New Roman"/>
          <w:szCs w:val="28"/>
        </w:rPr>
        <w:t>报告期内各</w:t>
      </w:r>
      <w:r>
        <w:rPr>
          <w:rFonts w:hint="eastAsia" w:cs="Times New Roman"/>
          <w:szCs w:val="28"/>
        </w:rPr>
        <w:t>源流</w:t>
      </w:r>
      <w:r>
        <w:rPr>
          <w:rFonts w:cs="Times New Roman"/>
          <w:szCs w:val="28"/>
        </w:rPr>
        <w:t>产生的碳排放量，并分别给出不确定度，最终明确</w:t>
      </w:r>
      <w:r>
        <w:rPr>
          <w:rFonts w:hint="eastAsia" w:cs="Times New Roman"/>
          <w:szCs w:val="28"/>
        </w:rPr>
        <w:t>批次</w:t>
      </w:r>
      <w:r>
        <w:rPr>
          <w:rFonts w:cs="Times New Roman"/>
          <w:szCs w:val="28"/>
        </w:rPr>
        <w:t>报告期内总碳排放量和</w:t>
      </w:r>
      <w:r>
        <w:rPr>
          <w:rFonts w:hint="eastAsia" w:cs="Times New Roman"/>
          <w:szCs w:val="28"/>
          <w:lang w:val="en-US" w:eastAsia="zh-CN"/>
        </w:rPr>
        <w:t>精装修模块房生产</w:t>
      </w:r>
      <w:r>
        <w:rPr>
          <w:rFonts w:hint="eastAsia" w:cs="Times New Roman"/>
          <w:szCs w:val="28"/>
        </w:rPr>
        <w:t>阶段</w:t>
      </w:r>
      <w:r>
        <w:rPr>
          <w:rFonts w:cs="Times New Roman"/>
          <w:szCs w:val="28"/>
        </w:rPr>
        <w:t>碳标识，给出合成不确定度</w:t>
      </w:r>
      <w:r>
        <w:rPr>
          <w:rFonts w:hint="eastAsia" w:cs="Times New Roman"/>
          <w:szCs w:val="28"/>
          <w:lang w:eastAsia="zh-CN"/>
        </w:rPr>
        <w:t>；</w:t>
      </w:r>
    </w:p>
    <w:p w14:paraId="0E5F9F7C">
      <w:pPr>
        <w:ind w:firstLine="480" w:firstLineChars="200"/>
        <w:rPr>
          <w:rFonts w:hint="default" w:eastAsia="宋体" w:cs="Times New Roman"/>
          <w:szCs w:val="28"/>
          <w:lang w:val="en-US" w:eastAsia="zh-CN"/>
        </w:rPr>
      </w:pPr>
      <w:r>
        <w:rPr>
          <w:rFonts w:hint="eastAsia" w:cs="Times New Roman"/>
          <w:szCs w:val="28"/>
          <w:lang w:val="en-US" w:eastAsia="zh-CN"/>
        </w:rPr>
        <w:t>5）</w:t>
      </w:r>
      <w:r>
        <w:rPr>
          <w:rFonts w:hint="eastAsia" w:cs="Times New Roman"/>
        </w:rPr>
        <w:t>对于无组织或暂未明确计量手段的排放过程，应</w:t>
      </w:r>
      <w:r>
        <w:rPr>
          <w:rFonts w:hint="eastAsia" w:cs="Times New Roman"/>
          <w:lang w:val="en-US" w:eastAsia="zh-CN"/>
        </w:rPr>
        <w:t>在报告中</w:t>
      </w:r>
      <w:r>
        <w:rPr>
          <w:rFonts w:hint="eastAsia" w:cs="Times New Roman"/>
        </w:rPr>
        <w:t>记录其</w:t>
      </w:r>
      <w:r>
        <w:rPr>
          <w:rFonts w:hint="eastAsia" w:cs="Times New Roman"/>
          <w:lang w:val="en-US" w:eastAsia="zh-CN"/>
        </w:rPr>
        <w:t>可能产生碳排放的途径及前驱体的活动数据，并声明此部分碳排放空缺或非计量值</w:t>
      </w:r>
      <w:r>
        <w:rPr>
          <w:rFonts w:hint="eastAsia" w:cs="Times New Roman"/>
          <w:szCs w:val="28"/>
          <w:lang w:val="en-US" w:eastAsia="zh-CN"/>
        </w:rPr>
        <w:t>、不参与合成不确定度的计算；</w:t>
      </w:r>
      <w:r>
        <w:rPr>
          <w:rFonts w:cs="Times New Roman"/>
          <w:szCs w:val="28"/>
        </w:rPr>
        <w:t>当某个</w:t>
      </w:r>
      <w:r>
        <w:rPr>
          <w:rFonts w:hint="eastAsia" w:cs="Times New Roman"/>
          <w:szCs w:val="28"/>
        </w:rPr>
        <w:t>源流对应的碳排放因子采用非实测值</w:t>
      </w:r>
      <w:r>
        <w:rPr>
          <w:rFonts w:cs="Times New Roman"/>
          <w:szCs w:val="28"/>
        </w:rPr>
        <w:t>时</w:t>
      </w:r>
      <w:r>
        <w:rPr>
          <w:rFonts w:hint="eastAsia" w:cs="Times New Roman"/>
          <w:szCs w:val="28"/>
          <w:lang w:eastAsia="zh-CN"/>
        </w:rPr>
        <w:t>，</w:t>
      </w:r>
      <w:r>
        <w:rPr>
          <w:rFonts w:cs="Times New Roman"/>
          <w:szCs w:val="28"/>
        </w:rPr>
        <w:t>应</w:t>
      </w:r>
      <w:r>
        <w:rPr>
          <w:rFonts w:hint="eastAsia" w:cs="Times New Roman"/>
          <w:szCs w:val="28"/>
          <w:lang w:val="en-US" w:eastAsia="zh-CN"/>
        </w:rPr>
        <w:t>在报告中</w:t>
      </w:r>
      <w:r>
        <w:rPr>
          <w:rFonts w:hint="eastAsia" w:cs="Times New Roman"/>
          <w:szCs w:val="28"/>
        </w:rPr>
        <w:t>注明</w:t>
      </w:r>
      <w:r>
        <w:rPr>
          <w:rFonts w:hint="eastAsia" w:cs="Times New Roman"/>
          <w:szCs w:val="28"/>
          <w:lang w:val="en-US" w:eastAsia="zh-CN"/>
        </w:rPr>
        <w:t>取值的来源，并声明此部分碳排放非计量值、不参与合成不确定度的计算。</w:t>
      </w:r>
    </w:p>
    <w:p w14:paraId="2F22E422">
      <w:pPr>
        <w:rPr>
          <w:rFonts w:hint="eastAsia"/>
          <w:lang w:val="en-US" w:eastAsia="zh-CN"/>
        </w:rPr>
        <w:sectPr>
          <w:footerReference r:id="rId8" w:type="default"/>
          <w:pgSz w:w="11906" w:h="16838"/>
          <w:pgMar w:top="1440" w:right="1800" w:bottom="1440" w:left="1800" w:header="851" w:footer="992" w:gutter="0"/>
          <w:cols w:space="0" w:num="1"/>
          <w:rtlGutter w:val="0"/>
          <w:docGrid w:type="lines" w:linePitch="331" w:charSpace="0"/>
        </w:sectPr>
      </w:pPr>
    </w:p>
    <w:p w14:paraId="5F6EE0B0">
      <w:pPr>
        <w:pStyle w:val="3"/>
        <w:bidi w:val="0"/>
        <w:rPr>
          <w:rFonts w:hint="eastAsia"/>
          <w:lang w:val="en-US" w:eastAsia="zh-CN"/>
        </w:rPr>
      </w:pPr>
      <w:bookmarkStart w:id="137" w:name="_Toc32421"/>
      <w:bookmarkStart w:id="138" w:name="_Toc9981"/>
      <w:r>
        <w:rPr>
          <w:rFonts w:hint="eastAsia"/>
          <w:lang w:val="en-US" w:eastAsia="zh-CN"/>
        </w:rPr>
        <w:t>附录A</w:t>
      </w:r>
      <w:bookmarkEnd w:id="122"/>
      <w:bookmarkEnd w:id="123"/>
      <w:bookmarkEnd w:id="137"/>
      <w:bookmarkEnd w:id="138"/>
      <w:r>
        <w:rPr>
          <w:rFonts w:hint="eastAsia"/>
          <w:lang w:val="en-US" w:eastAsia="zh-CN"/>
        </w:rPr>
        <w:t xml:space="preserve"> </w:t>
      </w:r>
    </w:p>
    <w:p w14:paraId="2275CB34">
      <w:pPr>
        <w:bidi w:val="0"/>
        <w:jc w:val="both"/>
      </w:pPr>
      <w:r>
        <w:rPr>
          <w:rFonts w:cs="Times New Roman"/>
          <w:szCs w:val="28"/>
        </w:rPr>
        <w:t>A.</w:t>
      </w:r>
      <w:r>
        <w:rPr>
          <w:rFonts w:hint="eastAsia" w:cs="Times New Roman"/>
          <w:szCs w:val="28"/>
          <w:lang w:val="en-US" w:eastAsia="zh-CN"/>
        </w:rPr>
        <w:t>1</w:t>
      </w:r>
      <w:r>
        <w:rPr>
          <w:rFonts w:hint="eastAsia" w:cs="Times New Roman"/>
          <w:szCs w:val="28"/>
        </w:rPr>
        <w:t xml:space="preserve"> 碳排放流向图</w:t>
      </w:r>
      <w:r>
        <w:rPr>
          <w:rFonts w:hint="eastAsia" w:cs="Times New Roman"/>
          <w:szCs w:val="28"/>
          <w:lang w:eastAsia="zh-CN"/>
        </w:rPr>
        <w:t>（</w:t>
      </w:r>
      <w:r>
        <w:rPr>
          <w:rFonts w:hint="eastAsia" w:cs="Times New Roman"/>
          <w:szCs w:val="28"/>
          <w:lang w:val="en-US" w:eastAsia="zh-CN"/>
        </w:rPr>
        <w:t>例</w:t>
      </w:r>
      <w:r>
        <w:rPr>
          <w:rFonts w:hint="eastAsia" w:cs="Times New Roman"/>
          <w:szCs w:val="28"/>
          <w:lang w:eastAsia="zh-CN"/>
        </w:rPr>
        <w:t>）</w:t>
      </w:r>
    </w:p>
    <w:p w14:paraId="2DFAA268">
      <w:pPr>
        <w:bidi w:val="0"/>
        <w:jc w:val="center"/>
      </w:pPr>
      <w:r>
        <w:drawing>
          <wp:inline distT="0" distB="0" distL="114300" distR="114300">
            <wp:extent cx="5217160" cy="5887720"/>
            <wp:effectExtent l="0" t="0" r="2540" b="5080"/>
            <wp:docPr id="116"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5"/>
                    <pic:cNvPicPr>
                      <a:picLocks noChangeAspect="1"/>
                    </pic:cNvPicPr>
                  </pic:nvPicPr>
                  <pic:blipFill>
                    <a:blip r:embed="rId12"/>
                    <a:stretch>
                      <a:fillRect/>
                    </a:stretch>
                  </pic:blipFill>
                  <pic:spPr>
                    <a:xfrm>
                      <a:off x="0" y="0"/>
                      <a:ext cx="5217160" cy="5887720"/>
                    </a:xfrm>
                    <a:prstGeom prst="rect">
                      <a:avLst/>
                    </a:prstGeom>
                  </pic:spPr>
                </pic:pic>
              </a:graphicData>
            </a:graphic>
          </wp:inline>
        </w:drawing>
      </w:r>
    </w:p>
    <w:p w14:paraId="64A9836D">
      <w:pPr>
        <w:ind w:left="2640" w:leftChars="1100" w:firstLine="1050" w:firstLineChars="5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编制：</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u w:val="single"/>
          <w:lang w:val="en-US" w:eastAsia="zh-CN"/>
        </w:rPr>
        <w:t xml:space="preserve">  </w:t>
      </w:r>
      <w:r>
        <w:rPr>
          <w:rFonts w:hint="eastAsia" w:asciiTheme="minorEastAsia" w:hAnsiTheme="minorEastAsia" w:eastAsiaTheme="minorEastAsia" w:cstheme="minorEastAsia"/>
          <w:sz w:val="21"/>
          <w:szCs w:val="21"/>
          <w:u w:val="none"/>
        </w:rPr>
        <w:t>审核</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rPr>
        <w:t>批准：</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rPr>
        <w:t>日期：</w:t>
      </w:r>
      <w:r>
        <w:rPr>
          <w:rFonts w:hint="eastAsia" w:asciiTheme="minorEastAsia" w:hAnsiTheme="minorEastAsia" w:eastAsiaTheme="minorEastAsia" w:cstheme="minorEastAsia"/>
          <w:sz w:val="21"/>
          <w:szCs w:val="21"/>
          <w:u w:val="none"/>
        </w:rPr>
        <w:t xml:space="preserve">       </w:t>
      </w:r>
    </w:p>
    <w:p w14:paraId="4199260C">
      <w:pPr>
        <w:bidi w:val="0"/>
        <w:jc w:val="center"/>
      </w:pPr>
      <w:r>
        <w:rPr>
          <w:rFonts w:eastAsia="黑体" w:cs="Times New Roman"/>
          <w:sz w:val="21"/>
          <w:szCs w:val="21"/>
        </w:rPr>
        <w:t>图</w:t>
      </w:r>
      <w:r>
        <w:rPr>
          <w:rFonts w:hint="eastAsia" w:eastAsia="黑体" w:cs="Times New Roman"/>
          <w:sz w:val="21"/>
          <w:szCs w:val="21"/>
        </w:rPr>
        <w:t>A</w:t>
      </w:r>
      <w:r>
        <w:rPr>
          <w:rFonts w:eastAsia="黑体" w:cs="Times New Roman"/>
          <w:sz w:val="21"/>
          <w:szCs w:val="21"/>
        </w:rPr>
        <w:t xml:space="preserve">.1 </w:t>
      </w:r>
      <w:r>
        <w:rPr>
          <w:rFonts w:hint="eastAsia" w:eastAsia="黑体" w:cs="Times New Roman"/>
          <w:sz w:val="21"/>
          <w:szCs w:val="21"/>
        </w:rPr>
        <w:t>碳排放</w:t>
      </w:r>
      <w:r>
        <w:rPr>
          <w:rFonts w:eastAsia="黑体" w:cs="Times New Roman"/>
          <w:sz w:val="21"/>
          <w:szCs w:val="21"/>
        </w:rPr>
        <w:t>气体流向图（参考件）</w:t>
      </w:r>
    </w:p>
    <w:p w14:paraId="733C9CB8">
      <w:pPr>
        <w:bidi w:val="0"/>
        <w:jc w:val="center"/>
      </w:pPr>
    </w:p>
    <w:p w14:paraId="74D3B1F7">
      <w:pPr>
        <w:bidi w:val="0"/>
        <w:jc w:val="center"/>
        <w:rPr>
          <w:rFonts w:hint="eastAsia" w:ascii="黑体" w:hAnsi="黑体" w:eastAsia="黑体" w:cs="黑体"/>
          <w:b/>
          <w:bCs/>
          <w:sz w:val="21"/>
          <w:szCs w:val="20"/>
          <w:lang w:val="en-US" w:eastAsia="zh-CN"/>
        </w:rPr>
      </w:pPr>
      <w:r>
        <w:drawing>
          <wp:inline distT="0" distB="0" distL="114300" distR="114300">
            <wp:extent cx="5035550" cy="3502025"/>
            <wp:effectExtent l="0" t="0" r="6350" b="3175"/>
            <wp:docPr id="145"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4"/>
                    <pic:cNvPicPr>
                      <a:picLocks noChangeAspect="1"/>
                    </pic:cNvPicPr>
                  </pic:nvPicPr>
                  <pic:blipFill>
                    <a:blip r:embed="rId13"/>
                    <a:stretch>
                      <a:fillRect/>
                    </a:stretch>
                  </pic:blipFill>
                  <pic:spPr>
                    <a:xfrm>
                      <a:off x="0" y="0"/>
                      <a:ext cx="5035550" cy="3502025"/>
                    </a:xfrm>
                    <a:prstGeom prst="rect">
                      <a:avLst/>
                    </a:prstGeom>
                  </pic:spPr>
                </pic:pic>
              </a:graphicData>
            </a:graphic>
          </wp:inline>
        </w:drawing>
      </w:r>
    </w:p>
    <w:p w14:paraId="4B22BE41">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图注：DX-XXX表示电表</w:t>
      </w:r>
    </w:p>
    <w:p w14:paraId="77B0AE63">
      <w:pPr>
        <w:ind w:left="2640" w:leftChars="1100" w:firstLine="1050" w:firstLineChars="5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编制：</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u w:val="single"/>
          <w:lang w:val="en-US" w:eastAsia="zh-CN"/>
        </w:rPr>
        <w:t xml:space="preserve">  </w:t>
      </w:r>
      <w:r>
        <w:rPr>
          <w:rFonts w:hint="eastAsia" w:asciiTheme="minorEastAsia" w:hAnsiTheme="minorEastAsia" w:eastAsiaTheme="minorEastAsia" w:cstheme="minorEastAsia"/>
          <w:sz w:val="21"/>
          <w:szCs w:val="21"/>
          <w:u w:val="none"/>
        </w:rPr>
        <w:t>审核</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rPr>
        <w:t>批准：</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rPr>
        <w:t>日期：</w:t>
      </w:r>
      <w:r>
        <w:rPr>
          <w:rFonts w:hint="eastAsia" w:asciiTheme="minorEastAsia" w:hAnsiTheme="minorEastAsia" w:eastAsiaTheme="minorEastAsia" w:cstheme="minorEastAsia"/>
          <w:sz w:val="21"/>
          <w:szCs w:val="21"/>
          <w:u w:val="none"/>
        </w:rPr>
        <w:t xml:space="preserve">       </w:t>
      </w:r>
    </w:p>
    <w:p w14:paraId="1FD0CEBF">
      <w:pPr>
        <w:jc w:val="center"/>
        <w:rPr>
          <w:rFonts w:eastAsia="黑体" w:cs="Times New Roman"/>
          <w:sz w:val="21"/>
          <w:szCs w:val="21"/>
        </w:rPr>
      </w:pPr>
      <w:r>
        <w:rPr>
          <w:rFonts w:eastAsia="黑体" w:cs="Times New Roman"/>
          <w:sz w:val="21"/>
          <w:szCs w:val="21"/>
        </w:rPr>
        <w:t>图</w:t>
      </w:r>
      <w:r>
        <w:rPr>
          <w:rFonts w:hint="eastAsia" w:eastAsia="黑体" w:cs="Times New Roman"/>
          <w:sz w:val="21"/>
          <w:szCs w:val="21"/>
        </w:rPr>
        <w:t>A</w:t>
      </w:r>
      <w:r>
        <w:rPr>
          <w:rFonts w:eastAsia="黑体" w:cs="Times New Roman"/>
          <w:sz w:val="21"/>
          <w:szCs w:val="21"/>
        </w:rPr>
        <w:t>.</w:t>
      </w:r>
      <w:r>
        <w:rPr>
          <w:rFonts w:hint="eastAsia" w:eastAsia="黑体" w:cs="Times New Roman"/>
          <w:sz w:val="21"/>
          <w:szCs w:val="21"/>
        </w:rPr>
        <w:t>2 a)</w:t>
      </w:r>
      <w:r>
        <w:rPr>
          <w:rFonts w:eastAsia="黑体" w:cs="Times New Roman"/>
          <w:sz w:val="21"/>
          <w:szCs w:val="21"/>
        </w:rPr>
        <w:t xml:space="preserve"> </w:t>
      </w:r>
      <w:r>
        <w:rPr>
          <w:rFonts w:hint="eastAsia" w:eastAsia="黑体" w:cs="Times New Roman"/>
          <w:sz w:val="21"/>
          <w:szCs w:val="21"/>
        </w:rPr>
        <w:t>外购电力碳计量器具配备及计量点网络图</w:t>
      </w:r>
      <w:r>
        <w:rPr>
          <w:rFonts w:eastAsia="黑体" w:cs="Times New Roman"/>
          <w:sz w:val="21"/>
          <w:szCs w:val="21"/>
        </w:rPr>
        <w:t>（参考件）</w:t>
      </w:r>
    </w:p>
    <w:p w14:paraId="6C79E447">
      <w:pPr>
        <w:jc w:val="center"/>
      </w:pPr>
      <w:r>
        <w:drawing>
          <wp:inline distT="0" distB="0" distL="114300" distR="114300">
            <wp:extent cx="2921000" cy="2844800"/>
            <wp:effectExtent l="0" t="0" r="0" b="0"/>
            <wp:docPr id="352"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1"/>
                    <pic:cNvPicPr>
                      <a:picLocks noChangeAspect="1"/>
                    </pic:cNvPicPr>
                  </pic:nvPicPr>
                  <pic:blipFill>
                    <a:blip r:embed="rId14"/>
                    <a:stretch>
                      <a:fillRect/>
                    </a:stretch>
                  </pic:blipFill>
                  <pic:spPr>
                    <a:xfrm>
                      <a:off x="0" y="0"/>
                      <a:ext cx="2921000" cy="2844800"/>
                    </a:xfrm>
                    <a:prstGeom prst="rect">
                      <a:avLst/>
                    </a:prstGeom>
                  </pic:spPr>
                </pic:pic>
              </a:graphicData>
            </a:graphic>
          </wp:inline>
        </w:drawing>
      </w:r>
    </w:p>
    <w:p w14:paraId="48092580">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图注：RX-XXX表示热量表</w:t>
      </w:r>
    </w:p>
    <w:p w14:paraId="395C84A4">
      <w:pPr>
        <w:ind w:left="2640" w:leftChars="1100" w:firstLine="1050" w:firstLineChars="5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编制：</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u w:val="single"/>
          <w:lang w:val="en-US" w:eastAsia="zh-CN"/>
        </w:rPr>
        <w:t xml:space="preserve">  </w:t>
      </w:r>
      <w:r>
        <w:rPr>
          <w:rFonts w:hint="eastAsia" w:asciiTheme="minorEastAsia" w:hAnsiTheme="minorEastAsia" w:eastAsiaTheme="minorEastAsia" w:cstheme="minorEastAsia"/>
          <w:sz w:val="21"/>
          <w:szCs w:val="21"/>
          <w:u w:val="none"/>
        </w:rPr>
        <w:t>审核</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rPr>
        <w:t>批准：</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rPr>
        <w:t>日期：</w:t>
      </w:r>
      <w:r>
        <w:rPr>
          <w:rFonts w:hint="eastAsia" w:asciiTheme="minorEastAsia" w:hAnsiTheme="minorEastAsia" w:eastAsiaTheme="minorEastAsia" w:cstheme="minorEastAsia"/>
          <w:sz w:val="21"/>
          <w:szCs w:val="21"/>
          <w:u w:val="none"/>
        </w:rPr>
        <w:t xml:space="preserve">       </w:t>
      </w:r>
    </w:p>
    <w:p w14:paraId="395EB397">
      <w:pPr>
        <w:jc w:val="center"/>
      </w:pPr>
      <w:r>
        <w:rPr>
          <w:rFonts w:hint="eastAsia" w:eastAsia="黑体" w:cs="Times New Roman"/>
          <w:sz w:val="21"/>
          <w:szCs w:val="21"/>
        </w:rPr>
        <w:t>图A.2 b) 外购热力碳计量器具配备及计量点网络图（参考件）</w:t>
      </w:r>
    </w:p>
    <w:p w14:paraId="2A5D5C7F">
      <w:pPr>
        <w:bidi w:val="0"/>
        <w:rPr>
          <w:rFonts w:hint="eastAsia"/>
          <w:lang w:val="en-US" w:eastAsia="zh-CN"/>
        </w:rPr>
      </w:pPr>
    </w:p>
    <w:p w14:paraId="1203D49C">
      <w:pPr>
        <w:bidi w:val="0"/>
        <w:jc w:val="center"/>
      </w:pPr>
      <w:r>
        <w:drawing>
          <wp:inline distT="0" distB="0" distL="114300" distR="114300">
            <wp:extent cx="2133600" cy="2679700"/>
            <wp:effectExtent l="0" t="0" r="0" b="0"/>
            <wp:docPr id="6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8"/>
                    <pic:cNvPicPr>
                      <a:picLocks noChangeAspect="1"/>
                    </pic:cNvPicPr>
                  </pic:nvPicPr>
                  <pic:blipFill>
                    <a:blip r:embed="rId15"/>
                    <a:stretch>
                      <a:fillRect/>
                    </a:stretch>
                  </pic:blipFill>
                  <pic:spPr>
                    <a:xfrm>
                      <a:off x="0" y="0"/>
                      <a:ext cx="2133600" cy="2679700"/>
                    </a:xfrm>
                    <a:prstGeom prst="rect">
                      <a:avLst/>
                    </a:prstGeom>
                  </pic:spPr>
                </pic:pic>
              </a:graphicData>
            </a:graphic>
          </wp:inline>
        </w:drawing>
      </w:r>
      <w:r>
        <w:rPr>
          <w:rFonts w:hint="eastAsia"/>
          <w:lang w:val="en-US" w:eastAsia="zh-CN"/>
        </w:rPr>
        <w:t xml:space="preserve">   </w:t>
      </w:r>
      <w:r>
        <w:drawing>
          <wp:inline distT="0" distB="0" distL="114300" distR="114300">
            <wp:extent cx="2129790" cy="2673985"/>
            <wp:effectExtent l="0" t="0" r="0" b="5715"/>
            <wp:docPr id="7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pic:cNvPicPr>
                      <a:picLocks noChangeAspect="1"/>
                    </pic:cNvPicPr>
                  </pic:nvPicPr>
                  <pic:blipFill>
                    <a:blip r:embed="rId16"/>
                    <a:stretch>
                      <a:fillRect/>
                    </a:stretch>
                  </pic:blipFill>
                  <pic:spPr>
                    <a:xfrm>
                      <a:off x="0" y="0"/>
                      <a:ext cx="2129790" cy="2673985"/>
                    </a:xfrm>
                    <a:prstGeom prst="rect">
                      <a:avLst/>
                    </a:prstGeom>
                  </pic:spPr>
                </pic:pic>
              </a:graphicData>
            </a:graphic>
          </wp:inline>
        </w:drawing>
      </w:r>
    </w:p>
    <w:p w14:paraId="260A71E4">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图注：TX-XXX表示天燃气表、YX-XXX表示油料表</w:t>
      </w:r>
    </w:p>
    <w:p w14:paraId="79BA7106">
      <w:pPr>
        <w:ind w:left="2640" w:leftChars="1100" w:firstLine="1050" w:firstLineChars="5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编制：</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u w:val="single"/>
          <w:lang w:val="en-US" w:eastAsia="zh-CN"/>
        </w:rPr>
        <w:t xml:space="preserve">  </w:t>
      </w:r>
      <w:r>
        <w:rPr>
          <w:rFonts w:hint="eastAsia" w:asciiTheme="minorEastAsia" w:hAnsiTheme="minorEastAsia" w:eastAsiaTheme="minorEastAsia" w:cstheme="minorEastAsia"/>
          <w:sz w:val="21"/>
          <w:szCs w:val="21"/>
          <w:u w:val="none"/>
        </w:rPr>
        <w:t>审核</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rPr>
        <w:t>批准：</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rPr>
        <w:t>日期：</w:t>
      </w:r>
      <w:r>
        <w:rPr>
          <w:rFonts w:hint="eastAsia" w:asciiTheme="minorEastAsia" w:hAnsiTheme="minorEastAsia" w:eastAsiaTheme="minorEastAsia" w:cstheme="minorEastAsia"/>
          <w:sz w:val="21"/>
          <w:szCs w:val="21"/>
          <w:u w:val="none"/>
        </w:rPr>
        <w:t xml:space="preserve">       </w:t>
      </w:r>
    </w:p>
    <w:p w14:paraId="5A387A7F">
      <w:pPr>
        <w:jc w:val="center"/>
        <w:rPr>
          <w:rFonts w:eastAsia="黑体" w:cs="Times New Roman"/>
          <w:sz w:val="21"/>
          <w:szCs w:val="21"/>
        </w:rPr>
      </w:pPr>
      <w:r>
        <w:rPr>
          <w:rFonts w:eastAsia="黑体" w:cs="Times New Roman"/>
          <w:sz w:val="21"/>
          <w:szCs w:val="21"/>
        </w:rPr>
        <w:t>图</w:t>
      </w:r>
      <w:r>
        <w:rPr>
          <w:rFonts w:hint="eastAsia" w:eastAsia="黑体" w:cs="Times New Roman"/>
          <w:sz w:val="21"/>
          <w:szCs w:val="21"/>
        </w:rPr>
        <w:t>A</w:t>
      </w:r>
      <w:r>
        <w:rPr>
          <w:rFonts w:eastAsia="黑体" w:cs="Times New Roman"/>
          <w:sz w:val="21"/>
          <w:szCs w:val="21"/>
        </w:rPr>
        <w:t>.</w:t>
      </w:r>
      <w:r>
        <w:rPr>
          <w:rFonts w:hint="eastAsia" w:eastAsia="黑体" w:cs="Times New Roman"/>
          <w:sz w:val="21"/>
          <w:szCs w:val="21"/>
        </w:rPr>
        <w:t xml:space="preserve">2 </w:t>
      </w:r>
      <w:r>
        <w:rPr>
          <w:rFonts w:hint="eastAsia" w:eastAsia="黑体" w:cs="Times New Roman"/>
          <w:sz w:val="21"/>
          <w:szCs w:val="21"/>
          <w:lang w:val="en-US" w:eastAsia="zh-CN"/>
        </w:rPr>
        <w:t>c</w:t>
      </w:r>
      <w:r>
        <w:rPr>
          <w:rFonts w:hint="eastAsia" w:eastAsia="黑体" w:cs="Times New Roman"/>
          <w:sz w:val="21"/>
          <w:szCs w:val="21"/>
        </w:rPr>
        <w:t>)</w:t>
      </w:r>
      <w:r>
        <w:rPr>
          <w:rFonts w:eastAsia="黑体" w:cs="Times New Roman"/>
          <w:sz w:val="21"/>
          <w:szCs w:val="21"/>
        </w:rPr>
        <w:t xml:space="preserve"> </w:t>
      </w:r>
      <w:r>
        <w:rPr>
          <w:rFonts w:hint="default" w:eastAsia="黑体" w:cs="Times New Roman"/>
          <w:sz w:val="21"/>
          <w:szCs w:val="21"/>
          <w:lang w:val="en-US"/>
        </w:rPr>
        <w:t>化石燃料</w:t>
      </w:r>
      <w:r>
        <w:rPr>
          <w:rFonts w:hint="eastAsia" w:eastAsia="黑体" w:cs="Times New Roman"/>
          <w:sz w:val="21"/>
          <w:szCs w:val="21"/>
        </w:rPr>
        <w:t>碳计量器具配备及计量点网络图</w:t>
      </w:r>
      <w:r>
        <w:rPr>
          <w:rFonts w:eastAsia="黑体" w:cs="Times New Roman"/>
          <w:sz w:val="21"/>
          <w:szCs w:val="21"/>
        </w:rPr>
        <w:t>（参考件）</w:t>
      </w:r>
    </w:p>
    <w:p w14:paraId="090DF795">
      <w:pPr>
        <w:bidi w:val="0"/>
        <w:jc w:val="center"/>
      </w:pPr>
    </w:p>
    <w:p w14:paraId="1DB421F5">
      <w:pPr>
        <w:bidi w:val="0"/>
        <w:jc w:val="center"/>
        <w:rPr>
          <w:rFonts w:hint="eastAsia"/>
          <w:lang w:val="en-US" w:eastAsia="zh-CN"/>
        </w:rPr>
        <w:sectPr>
          <w:pgSz w:w="11906" w:h="16838"/>
          <w:pgMar w:top="1440" w:right="1800" w:bottom="1440" w:left="1800" w:header="851" w:footer="992" w:gutter="0"/>
          <w:cols w:space="0" w:num="1"/>
          <w:rtlGutter w:val="0"/>
          <w:docGrid w:type="lines" w:linePitch="331" w:charSpace="0"/>
        </w:sectPr>
      </w:pPr>
    </w:p>
    <w:p w14:paraId="06D8109D">
      <w:pPr>
        <w:pStyle w:val="3"/>
        <w:bidi w:val="0"/>
        <w:rPr>
          <w:rFonts w:hint="eastAsia"/>
          <w:lang w:val="en-US" w:eastAsia="zh-CN"/>
        </w:rPr>
      </w:pPr>
      <w:bookmarkStart w:id="139" w:name="_Toc22244"/>
      <w:bookmarkStart w:id="140" w:name="_Toc6985"/>
      <w:bookmarkStart w:id="141" w:name="_Toc1705"/>
      <w:bookmarkStart w:id="142" w:name="_Toc17625"/>
      <w:r>
        <w:rPr>
          <w:rFonts w:hint="eastAsia"/>
          <w:lang w:val="en-US" w:eastAsia="zh-CN"/>
        </w:rPr>
        <w:t>附录B</w:t>
      </w:r>
      <w:bookmarkEnd w:id="139"/>
      <w:bookmarkEnd w:id="140"/>
      <w:bookmarkEnd w:id="141"/>
      <w:bookmarkEnd w:id="142"/>
      <w:r>
        <w:rPr>
          <w:rFonts w:hint="eastAsia"/>
          <w:lang w:val="en-US" w:eastAsia="zh-CN"/>
        </w:rPr>
        <w:t xml:space="preserve"> </w:t>
      </w:r>
    </w:p>
    <w:p w14:paraId="2FB7923A">
      <w:pPr>
        <w:rPr>
          <w:rFonts w:hint="default" w:eastAsia="宋体"/>
          <w:lang w:val="en-US" w:eastAsia="zh-CN"/>
        </w:rPr>
      </w:pPr>
      <w:r>
        <w:rPr>
          <w:rFonts w:hint="eastAsia"/>
          <w:lang w:val="en-US" w:eastAsia="zh-CN"/>
        </w:rPr>
        <w:t>B.1 部分活动数据</w:t>
      </w:r>
      <w:r>
        <w:rPr>
          <w:rFonts w:hint="eastAsia"/>
        </w:rPr>
        <w:t>获取计量器具配备技术要求</w:t>
      </w:r>
      <w:r>
        <w:rPr>
          <w:rFonts w:hint="eastAsia"/>
          <w:lang w:val="en-US" w:eastAsia="zh-CN"/>
        </w:rPr>
        <w:t>见表B.1。</w:t>
      </w:r>
    </w:p>
    <w:p w14:paraId="32FF6756">
      <w:pPr>
        <w:pStyle w:val="8"/>
        <w:rPr>
          <w:rFonts w:hint="default"/>
          <w:b/>
          <w:bCs w:val="0"/>
          <w:lang w:val="en-US" w:eastAsia="zh-CN"/>
        </w:rPr>
      </w:pPr>
      <w:r>
        <w:rPr>
          <w:rFonts w:hint="eastAsia"/>
          <w:b/>
          <w:bCs w:val="0"/>
          <w:lang w:val="en-US" w:eastAsia="zh-CN"/>
        </w:rPr>
        <w:t>表B.1 活动数据获取计量器具配备技术要求</w:t>
      </w:r>
    </w:p>
    <w:tbl>
      <w:tblPr>
        <w:tblStyle w:val="26"/>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
        <w:gridCol w:w="646"/>
        <w:gridCol w:w="1372"/>
        <w:gridCol w:w="2099"/>
        <w:gridCol w:w="3394"/>
      </w:tblGrid>
      <w:tr w14:paraId="2441D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Align w:val="center"/>
          </w:tcPr>
          <w:p w14:paraId="58C365D5">
            <w:pPr>
              <w:spacing w:line="240" w:lineRule="auto"/>
              <w:jc w:val="center"/>
              <w:rPr>
                <w:rFonts w:hint="default" w:ascii="Times New Roman" w:hAnsi="Times New Roman" w:eastAsia="宋体"/>
                <w:b/>
                <w:bCs/>
                <w:sz w:val="18"/>
                <w:szCs w:val="18"/>
                <w:vertAlign w:val="baseline"/>
                <w:lang w:val="en-US" w:eastAsia="zh-CN"/>
              </w:rPr>
            </w:pPr>
            <w:r>
              <w:rPr>
                <w:rFonts w:hint="eastAsia" w:ascii="Times New Roman" w:hAnsi="Times New Roman" w:eastAsia="宋体"/>
                <w:b/>
                <w:bCs/>
                <w:sz w:val="18"/>
                <w:szCs w:val="18"/>
                <w:vertAlign w:val="baseline"/>
                <w:lang w:val="en-US" w:eastAsia="zh-CN"/>
              </w:rPr>
              <w:t>测量参数</w:t>
            </w:r>
          </w:p>
        </w:tc>
        <w:tc>
          <w:tcPr>
            <w:tcW w:w="1184" w:type="pct"/>
            <w:gridSpan w:val="2"/>
            <w:vAlign w:val="center"/>
          </w:tcPr>
          <w:p w14:paraId="4A1EB7FF">
            <w:pPr>
              <w:spacing w:line="240" w:lineRule="auto"/>
              <w:jc w:val="center"/>
              <w:rPr>
                <w:rFonts w:hint="eastAsia" w:ascii="Times New Roman" w:hAnsi="Times New Roman" w:eastAsia="宋体"/>
                <w:b/>
                <w:bCs/>
                <w:sz w:val="18"/>
                <w:szCs w:val="18"/>
                <w:vertAlign w:val="baseline"/>
                <w:lang w:val="en-US" w:eastAsia="zh-CN"/>
              </w:rPr>
            </w:pPr>
            <w:r>
              <w:rPr>
                <w:rFonts w:hint="eastAsia" w:ascii="Times New Roman" w:hAnsi="Times New Roman" w:eastAsia="宋体"/>
                <w:b/>
                <w:bCs/>
                <w:sz w:val="18"/>
                <w:szCs w:val="18"/>
                <w:vertAlign w:val="baseline"/>
                <w:lang w:val="en-US" w:eastAsia="zh-CN"/>
              </w:rPr>
              <w:t>计量器具/设备</w:t>
            </w:r>
          </w:p>
        </w:tc>
        <w:tc>
          <w:tcPr>
            <w:tcW w:w="1232" w:type="pct"/>
            <w:vAlign w:val="center"/>
          </w:tcPr>
          <w:p w14:paraId="67513805">
            <w:pPr>
              <w:spacing w:line="240" w:lineRule="auto"/>
              <w:jc w:val="center"/>
              <w:rPr>
                <w:rFonts w:hint="default" w:ascii="Times New Roman" w:hAnsi="Times New Roman" w:eastAsia="宋体"/>
                <w:b/>
                <w:bCs/>
                <w:sz w:val="18"/>
                <w:szCs w:val="18"/>
                <w:vertAlign w:val="baseline"/>
                <w:lang w:val="en-US" w:eastAsia="zh-CN"/>
              </w:rPr>
            </w:pPr>
            <w:r>
              <w:rPr>
                <w:rFonts w:hint="eastAsia" w:ascii="Times New Roman" w:hAnsi="Times New Roman" w:eastAsia="宋体"/>
                <w:b/>
                <w:bCs/>
                <w:sz w:val="18"/>
                <w:szCs w:val="18"/>
                <w:vertAlign w:val="baseline"/>
                <w:lang w:val="en-US" w:eastAsia="zh-CN"/>
              </w:rPr>
              <w:t>准确度等级/最大允许误差</w:t>
            </w:r>
          </w:p>
        </w:tc>
        <w:tc>
          <w:tcPr>
            <w:tcW w:w="1990" w:type="pct"/>
            <w:vAlign w:val="center"/>
          </w:tcPr>
          <w:p w14:paraId="24640F8F">
            <w:pPr>
              <w:spacing w:line="240" w:lineRule="auto"/>
              <w:jc w:val="center"/>
              <w:rPr>
                <w:rFonts w:hint="default" w:ascii="Times New Roman" w:hAnsi="Times New Roman" w:eastAsia="宋体"/>
                <w:b/>
                <w:bCs/>
                <w:sz w:val="18"/>
                <w:szCs w:val="18"/>
                <w:vertAlign w:val="baseline"/>
                <w:lang w:val="en-US" w:eastAsia="zh-CN"/>
              </w:rPr>
            </w:pPr>
            <w:r>
              <w:rPr>
                <w:rFonts w:hint="eastAsia" w:ascii="Times New Roman" w:hAnsi="Times New Roman" w:eastAsia="宋体"/>
                <w:b/>
                <w:bCs/>
                <w:sz w:val="18"/>
                <w:szCs w:val="18"/>
                <w:vertAlign w:val="baseline"/>
                <w:lang w:val="en-US" w:eastAsia="zh-CN"/>
              </w:rPr>
              <w:t>检定/校准方法</w:t>
            </w:r>
          </w:p>
        </w:tc>
      </w:tr>
      <w:tr w14:paraId="71508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restart"/>
            <w:vAlign w:val="center"/>
          </w:tcPr>
          <w:p w14:paraId="7580AD14">
            <w:pPr>
              <w:spacing w:line="240" w:lineRule="auto"/>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固体燃料</w:t>
            </w:r>
          </w:p>
        </w:tc>
        <w:tc>
          <w:tcPr>
            <w:tcW w:w="1184" w:type="pct"/>
            <w:gridSpan w:val="2"/>
            <w:vAlign w:val="center"/>
          </w:tcPr>
          <w:p w14:paraId="257E1B28">
            <w:pPr>
              <w:spacing w:line="240" w:lineRule="auto"/>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rPr>
              <w:t>皮带秤、给煤机</w:t>
            </w:r>
          </w:p>
        </w:tc>
        <w:tc>
          <w:tcPr>
            <w:tcW w:w="1232" w:type="pct"/>
            <w:shd w:val="clear" w:color="auto" w:fill="auto"/>
            <w:vAlign w:val="center"/>
          </w:tcPr>
          <w:p w14:paraId="2132E257">
            <w:pPr>
              <w:spacing w:line="240" w:lineRule="auto"/>
              <w:jc w:val="center"/>
              <w:rPr>
                <w:rFonts w:hint="eastAsia" w:ascii="Times New Roman" w:hAnsi="Times New Roman" w:eastAsia="宋体" w:cstheme="minorBidi"/>
                <w:kern w:val="2"/>
                <w:sz w:val="18"/>
                <w:szCs w:val="18"/>
                <w:lang w:val="en-US" w:eastAsia="zh-CN" w:bidi="ar-SA"/>
              </w:rPr>
            </w:pPr>
            <w:r>
              <w:rPr>
                <w:rFonts w:hint="eastAsia" w:ascii="Times New Roman" w:hAnsi="Times New Roman" w:eastAsia="宋体"/>
                <w:sz w:val="18"/>
                <w:szCs w:val="18"/>
              </w:rPr>
              <w:t>0.5</w:t>
            </w:r>
            <w:r>
              <w:rPr>
                <w:rFonts w:ascii="Times New Roman" w:hAnsi="Times New Roman" w:eastAsia="宋体"/>
                <w:sz w:val="18"/>
                <w:szCs w:val="18"/>
              </w:rPr>
              <w:t>级</w:t>
            </w:r>
          </w:p>
        </w:tc>
        <w:tc>
          <w:tcPr>
            <w:tcW w:w="1990" w:type="pct"/>
            <w:shd w:val="clear" w:color="auto" w:fill="auto"/>
            <w:vAlign w:val="center"/>
          </w:tcPr>
          <w:p w14:paraId="06807CF0">
            <w:pPr>
              <w:pStyle w:val="7"/>
              <w:spacing w:line="240" w:lineRule="auto"/>
              <w:ind w:left="0"/>
              <w:jc w:val="center"/>
              <w:rPr>
                <w:rFonts w:ascii="Times New Roman" w:hAnsi="Times New Roman" w:eastAsia="宋体"/>
                <w:sz w:val="18"/>
                <w:szCs w:val="18"/>
              </w:rPr>
            </w:pPr>
            <w:r>
              <w:rPr>
                <w:rFonts w:ascii="Times New Roman" w:hAnsi="Times New Roman" w:eastAsia="宋体"/>
                <w:sz w:val="18"/>
                <w:szCs w:val="18"/>
              </w:rPr>
              <w:t>JJG 195 连续累计自动衡器（皮带秤）</w:t>
            </w:r>
          </w:p>
          <w:p w14:paraId="102713BE">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ascii="Times New Roman" w:hAnsi="Times New Roman" w:eastAsia="宋体"/>
                <w:sz w:val="18"/>
                <w:szCs w:val="18"/>
              </w:rPr>
              <w:t>JJG 539 数字指示</w:t>
            </w:r>
            <w:r>
              <w:rPr>
                <w:rFonts w:hint="eastAsia" w:ascii="Times New Roman" w:hAnsi="Times New Roman" w:eastAsia="宋体"/>
                <w:sz w:val="18"/>
                <w:szCs w:val="18"/>
              </w:rPr>
              <w:t>秤</w:t>
            </w:r>
          </w:p>
        </w:tc>
      </w:tr>
      <w:tr w14:paraId="61753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6436CFC2">
            <w:pPr>
              <w:spacing w:line="240" w:lineRule="auto"/>
              <w:jc w:val="center"/>
              <w:rPr>
                <w:rFonts w:hint="eastAsia" w:ascii="Times New Roman" w:hAnsi="Times New Roman" w:eastAsia="宋体"/>
                <w:sz w:val="18"/>
                <w:szCs w:val="18"/>
                <w:vertAlign w:val="baseline"/>
                <w:lang w:val="en-US" w:eastAsia="zh-CN"/>
              </w:rPr>
            </w:pPr>
          </w:p>
        </w:tc>
        <w:tc>
          <w:tcPr>
            <w:tcW w:w="1184" w:type="pct"/>
            <w:gridSpan w:val="2"/>
            <w:shd w:val="clear" w:color="auto" w:fill="auto"/>
            <w:vAlign w:val="center"/>
          </w:tcPr>
          <w:p w14:paraId="012FA299">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ascii="Times New Roman" w:hAnsi="Times New Roman" w:eastAsia="宋体"/>
                <w:sz w:val="18"/>
                <w:szCs w:val="18"/>
              </w:rPr>
              <w:t>汽车衡</w:t>
            </w:r>
          </w:p>
        </w:tc>
        <w:tc>
          <w:tcPr>
            <w:tcW w:w="1232" w:type="pct"/>
            <w:shd w:val="clear" w:color="auto" w:fill="auto"/>
            <w:vAlign w:val="center"/>
          </w:tcPr>
          <w:p w14:paraId="3E7938DD">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hint="eastAsia" w:ascii="Times New Roman" w:hAnsi="Times New Roman" w:eastAsia="宋体" w:cs="宋体"/>
                <w:sz w:val="18"/>
                <w:szCs w:val="18"/>
              </w:rPr>
              <w:t>Ⅲ级</w:t>
            </w:r>
          </w:p>
        </w:tc>
        <w:tc>
          <w:tcPr>
            <w:tcW w:w="1990" w:type="pct"/>
            <w:vAlign w:val="center"/>
          </w:tcPr>
          <w:p w14:paraId="4ED9AF59">
            <w:pPr>
              <w:pStyle w:val="7"/>
              <w:spacing w:line="240" w:lineRule="auto"/>
              <w:ind w:left="0" w:leftChars="0"/>
              <w:jc w:val="center"/>
              <w:rPr>
                <w:rFonts w:hint="eastAsia" w:ascii="Times New Roman" w:hAnsi="Times New Roman" w:eastAsia="宋体"/>
                <w:sz w:val="18"/>
                <w:szCs w:val="18"/>
                <w:vertAlign w:val="baseline"/>
                <w:lang w:val="en-US" w:eastAsia="zh-CN"/>
              </w:rPr>
            </w:pPr>
            <w:r>
              <w:rPr>
                <w:rFonts w:ascii="Times New Roman" w:hAnsi="Times New Roman" w:eastAsia="宋体"/>
                <w:sz w:val="18"/>
                <w:szCs w:val="18"/>
              </w:rPr>
              <w:t>JJG 1118 电子汽车衡(衡器载荷测量仪法)</w:t>
            </w:r>
          </w:p>
        </w:tc>
      </w:tr>
      <w:tr w14:paraId="7A4AF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0DE3AE6A">
            <w:pPr>
              <w:spacing w:line="240" w:lineRule="auto"/>
              <w:jc w:val="center"/>
              <w:rPr>
                <w:rFonts w:hint="eastAsia" w:ascii="Times New Roman" w:hAnsi="Times New Roman" w:eastAsia="宋体"/>
                <w:sz w:val="18"/>
                <w:szCs w:val="18"/>
                <w:vertAlign w:val="baseline"/>
                <w:lang w:val="en-US" w:eastAsia="zh-CN"/>
              </w:rPr>
            </w:pPr>
          </w:p>
        </w:tc>
        <w:tc>
          <w:tcPr>
            <w:tcW w:w="1184" w:type="pct"/>
            <w:gridSpan w:val="2"/>
            <w:shd w:val="clear" w:color="auto" w:fill="auto"/>
            <w:vAlign w:val="center"/>
          </w:tcPr>
          <w:p w14:paraId="72FC33BE">
            <w:pPr>
              <w:pStyle w:val="7"/>
              <w:spacing w:line="240" w:lineRule="auto"/>
              <w:ind w:left="0" w:leftChars="0"/>
              <w:jc w:val="center"/>
              <w:rPr>
                <w:rFonts w:hint="eastAsia" w:ascii="Times New Roman" w:hAnsi="Times New Roman" w:eastAsia="宋体" w:cs="宋体"/>
                <w:kern w:val="2"/>
                <w:sz w:val="18"/>
                <w:szCs w:val="18"/>
                <w:lang w:val="en-US" w:eastAsia="zh-CN" w:bidi="ar-SA"/>
              </w:rPr>
            </w:pPr>
            <w:r>
              <w:rPr>
                <w:rFonts w:hint="eastAsia" w:ascii="Times New Roman" w:hAnsi="Times New Roman" w:eastAsia="宋体"/>
                <w:sz w:val="18"/>
                <w:szCs w:val="18"/>
              </w:rPr>
              <w:t>数字指示秤</w:t>
            </w:r>
          </w:p>
        </w:tc>
        <w:tc>
          <w:tcPr>
            <w:tcW w:w="1232" w:type="pct"/>
            <w:shd w:val="clear" w:color="auto" w:fill="auto"/>
            <w:vAlign w:val="center"/>
          </w:tcPr>
          <w:p w14:paraId="5058FFDA">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hint="eastAsia" w:ascii="Times New Roman" w:hAnsi="Times New Roman" w:eastAsia="宋体" w:cs="宋体"/>
                <w:sz w:val="18"/>
                <w:szCs w:val="18"/>
              </w:rPr>
              <w:t>Ⅲ级</w:t>
            </w:r>
          </w:p>
        </w:tc>
        <w:tc>
          <w:tcPr>
            <w:tcW w:w="1990" w:type="pct"/>
            <w:vAlign w:val="center"/>
          </w:tcPr>
          <w:p w14:paraId="5588FCFF">
            <w:pPr>
              <w:pStyle w:val="7"/>
              <w:spacing w:line="240" w:lineRule="auto"/>
              <w:ind w:left="0" w:leftChars="0"/>
              <w:jc w:val="center"/>
              <w:rPr>
                <w:rFonts w:hint="eastAsia" w:ascii="Times New Roman" w:hAnsi="Times New Roman" w:eastAsia="宋体"/>
                <w:sz w:val="18"/>
                <w:szCs w:val="18"/>
                <w:vertAlign w:val="baseline"/>
                <w:lang w:val="en-US" w:eastAsia="zh-CN"/>
              </w:rPr>
            </w:pPr>
            <w:r>
              <w:rPr>
                <w:rFonts w:ascii="Times New Roman" w:hAnsi="Times New Roman" w:eastAsia="宋体"/>
                <w:sz w:val="18"/>
                <w:szCs w:val="18"/>
              </w:rPr>
              <w:t>JJG 539 数字指示</w:t>
            </w:r>
            <w:r>
              <w:rPr>
                <w:rFonts w:hint="eastAsia" w:ascii="Times New Roman" w:hAnsi="Times New Roman" w:eastAsia="宋体"/>
                <w:sz w:val="18"/>
                <w:szCs w:val="18"/>
              </w:rPr>
              <w:t>秤</w:t>
            </w:r>
          </w:p>
        </w:tc>
      </w:tr>
      <w:tr w14:paraId="18F2F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5A70441E">
            <w:pPr>
              <w:spacing w:line="240" w:lineRule="auto"/>
              <w:jc w:val="center"/>
              <w:rPr>
                <w:rFonts w:hint="eastAsia" w:ascii="Times New Roman" w:hAnsi="Times New Roman" w:eastAsia="宋体"/>
                <w:sz w:val="18"/>
                <w:szCs w:val="18"/>
                <w:vertAlign w:val="baseline"/>
                <w:lang w:val="en-US" w:eastAsia="zh-CN"/>
              </w:rPr>
            </w:pPr>
          </w:p>
        </w:tc>
        <w:tc>
          <w:tcPr>
            <w:tcW w:w="1184" w:type="pct"/>
            <w:gridSpan w:val="2"/>
            <w:shd w:val="clear" w:color="auto" w:fill="auto"/>
            <w:vAlign w:val="center"/>
          </w:tcPr>
          <w:p w14:paraId="54086B63">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hint="eastAsia" w:ascii="Times New Roman" w:hAnsi="Times New Roman" w:eastAsia="宋体"/>
                <w:sz w:val="18"/>
                <w:szCs w:val="18"/>
              </w:rPr>
              <w:t>轨道衡</w:t>
            </w:r>
          </w:p>
        </w:tc>
        <w:tc>
          <w:tcPr>
            <w:tcW w:w="1232" w:type="pct"/>
            <w:shd w:val="clear" w:color="auto" w:fill="auto"/>
            <w:vAlign w:val="center"/>
          </w:tcPr>
          <w:p w14:paraId="3C021C78">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hint="eastAsia" w:ascii="Times New Roman" w:hAnsi="Times New Roman" w:eastAsia="宋体" w:cs="宋体"/>
                <w:sz w:val="18"/>
                <w:szCs w:val="18"/>
              </w:rPr>
              <w:t>数字指示轨道衡Ⅲ级；自动轨道衡1.0级</w:t>
            </w:r>
          </w:p>
        </w:tc>
        <w:tc>
          <w:tcPr>
            <w:tcW w:w="1990" w:type="pct"/>
            <w:vAlign w:val="center"/>
          </w:tcPr>
          <w:p w14:paraId="6C8AE6AF">
            <w:pPr>
              <w:pStyle w:val="7"/>
              <w:spacing w:line="240" w:lineRule="auto"/>
              <w:ind w:left="0"/>
              <w:jc w:val="center"/>
              <w:rPr>
                <w:rFonts w:hint="eastAsia" w:ascii="Times New Roman" w:hAnsi="Times New Roman" w:eastAsia="宋体"/>
                <w:sz w:val="18"/>
                <w:szCs w:val="18"/>
              </w:rPr>
            </w:pPr>
            <w:r>
              <w:rPr>
                <w:rFonts w:hint="eastAsia" w:ascii="Times New Roman" w:hAnsi="Times New Roman" w:eastAsia="宋体"/>
                <w:sz w:val="18"/>
                <w:szCs w:val="18"/>
              </w:rPr>
              <w:t xml:space="preserve">JJG 781 </w:t>
            </w:r>
            <w:r>
              <w:rPr>
                <w:rFonts w:ascii="Times New Roman" w:hAnsi="Times New Roman" w:eastAsia="宋体"/>
                <w:sz w:val="18"/>
                <w:szCs w:val="18"/>
              </w:rPr>
              <w:t>数字指示轨道衡</w:t>
            </w:r>
          </w:p>
          <w:p w14:paraId="219BBB4D">
            <w:pPr>
              <w:pStyle w:val="7"/>
              <w:spacing w:line="240" w:lineRule="auto"/>
              <w:ind w:left="0" w:leftChars="0"/>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rPr>
              <w:t>JJG 234 自动轨道衡</w:t>
            </w:r>
          </w:p>
        </w:tc>
      </w:tr>
      <w:tr w14:paraId="5FE99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766CC307">
            <w:pPr>
              <w:spacing w:line="240" w:lineRule="auto"/>
              <w:jc w:val="center"/>
              <w:rPr>
                <w:rFonts w:hint="eastAsia" w:ascii="Times New Roman" w:hAnsi="Times New Roman" w:eastAsia="宋体"/>
                <w:sz w:val="18"/>
                <w:szCs w:val="18"/>
                <w:vertAlign w:val="baseline"/>
                <w:lang w:val="en-US" w:eastAsia="zh-CN"/>
              </w:rPr>
            </w:pPr>
          </w:p>
        </w:tc>
        <w:tc>
          <w:tcPr>
            <w:tcW w:w="1184" w:type="pct"/>
            <w:gridSpan w:val="2"/>
            <w:shd w:val="clear" w:color="auto" w:fill="auto"/>
            <w:vAlign w:val="center"/>
          </w:tcPr>
          <w:p w14:paraId="0C59D50A">
            <w:pPr>
              <w:pStyle w:val="7"/>
              <w:spacing w:line="240" w:lineRule="auto"/>
              <w:ind w:left="0" w:leftChars="0"/>
              <w:jc w:val="center"/>
              <w:rPr>
                <w:rFonts w:hint="eastAsia" w:ascii="Times New Roman" w:hAnsi="Times New Roman" w:eastAsia="宋体" w:cs="宋体"/>
                <w:kern w:val="2"/>
                <w:sz w:val="18"/>
                <w:szCs w:val="18"/>
                <w:lang w:val="en-US" w:eastAsia="zh-CN" w:bidi="ar-SA"/>
              </w:rPr>
            </w:pPr>
            <w:r>
              <w:rPr>
                <w:rFonts w:hint="eastAsia" w:ascii="Times New Roman" w:hAnsi="Times New Roman" w:eastAsia="宋体"/>
                <w:sz w:val="18"/>
                <w:szCs w:val="18"/>
              </w:rPr>
              <w:t>激光测距仪、三维激光扫描仪等</w:t>
            </w:r>
          </w:p>
        </w:tc>
        <w:tc>
          <w:tcPr>
            <w:tcW w:w="1232" w:type="pct"/>
            <w:shd w:val="clear" w:color="auto" w:fill="auto"/>
            <w:vAlign w:val="center"/>
          </w:tcPr>
          <w:p w14:paraId="58F3374D">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hint="eastAsia" w:ascii="Times New Roman" w:hAnsi="Times New Roman" w:eastAsia="宋体" w:cs="宋体"/>
                <w:sz w:val="18"/>
                <w:szCs w:val="18"/>
              </w:rPr>
              <w:t>2级</w:t>
            </w:r>
          </w:p>
        </w:tc>
        <w:tc>
          <w:tcPr>
            <w:tcW w:w="1990" w:type="pct"/>
            <w:vAlign w:val="center"/>
          </w:tcPr>
          <w:p w14:paraId="7ADE24B4">
            <w:pPr>
              <w:pStyle w:val="7"/>
              <w:spacing w:line="240" w:lineRule="auto"/>
              <w:ind w:left="0"/>
              <w:jc w:val="center"/>
              <w:rPr>
                <w:rFonts w:hint="eastAsia" w:ascii="Times New Roman" w:hAnsi="Times New Roman" w:eastAsia="宋体"/>
                <w:sz w:val="18"/>
                <w:szCs w:val="18"/>
              </w:rPr>
            </w:pPr>
            <w:r>
              <w:rPr>
                <w:rFonts w:hint="eastAsia" w:ascii="Times New Roman" w:hAnsi="Times New Roman" w:eastAsia="宋体"/>
                <w:sz w:val="18"/>
                <w:szCs w:val="18"/>
              </w:rPr>
              <w:t>JJG 703 光电测距仪</w:t>
            </w:r>
          </w:p>
          <w:p w14:paraId="46D99E66">
            <w:pPr>
              <w:pStyle w:val="7"/>
              <w:spacing w:line="240" w:lineRule="auto"/>
              <w:ind w:left="0"/>
              <w:jc w:val="center"/>
              <w:rPr>
                <w:rFonts w:hint="eastAsia" w:ascii="Times New Roman" w:hAnsi="Times New Roman" w:eastAsia="宋体"/>
                <w:sz w:val="18"/>
                <w:szCs w:val="18"/>
              </w:rPr>
            </w:pPr>
            <w:r>
              <w:rPr>
                <w:rFonts w:hint="eastAsia" w:ascii="Times New Roman" w:hAnsi="Times New Roman" w:eastAsia="宋体"/>
                <w:sz w:val="18"/>
                <w:szCs w:val="18"/>
              </w:rPr>
              <w:t>JJG 966 手持式激光测距仪</w:t>
            </w:r>
          </w:p>
          <w:p w14:paraId="22926099">
            <w:pPr>
              <w:pStyle w:val="7"/>
              <w:spacing w:line="240" w:lineRule="auto"/>
              <w:ind w:left="0" w:leftChars="0"/>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rPr>
              <w:t>JJF 1324 脉冲</w:t>
            </w:r>
            <w:r>
              <w:rPr>
                <w:rFonts w:ascii="Times New Roman" w:hAnsi="Times New Roman" w:eastAsia="宋体"/>
                <w:sz w:val="18"/>
                <w:szCs w:val="18"/>
              </w:rPr>
              <w:t>激光测距仪校准规范</w:t>
            </w:r>
          </w:p>
        </w:tc>
      </w:tr>
      <w:tr w14:paraId="79A42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restart"/>
            <w:vAlign w:val="center"/>
          </w:tcPr>
          <w:p w14:paraId="77CF2F16">
            <w:pPr>
              <w:pStyle w:val="7"/>
              <w:spacing w:line="240" w:lineRule="auto"/>
              <w:ind w:left="0" w:leftChars="0"/>
              <w:rPr>
                <w:rFonts w:hint="eastAsia" w:ascii="Times New Roman" w:hAnsi="Times New Roman" w:eastAsia="宋体"/>
                <w:sz w:val="18"/>
                <w:szCs w:val="18"/>
                <w:vertAlign w:val="baseline"/>
                <w:lang w:val="en-US" w:eastAsia="zh-CN"/>
              </w:rPr>
            </w:pPr>
            <w:r>
              <w:rPr>
                <w:rFonts w:hint="eastAsia"/>
                <w:sz w:val="18"/>
                <w:szCs w:val="18"/>
              </w:rPr>
              <w:t>液体燃料</w:t>
            </w:r>
            <w:r>
              <w:rPr>
                <w:sz w:val="18"/>
                <w:szCs w:val="18"/>
              </w:rPr>
              <w:t>消耗量</w:t>
            </w:r>
          </w:p>
        </w:tc>
        <w:tc>
          <w:tcPr>
            <w:tcW w:w="1184" w:type="pct"/>
            <w:gridSpan w:val="2"/>
            <w:shd w:val="clear" w:color="auto" w:fill="auto"/>
            <w:vAlign w:val="center"/>
          </w:tcPr>
          <w:p w14:paraId="726CFE13">
            <w:pPr>
              <w:pStyle w:val="7"/>
              <w:spacing w:line="240" w:lineRule="auto"/>
              <w:ind w:left="0" w:leftChars="0"/>
              <w:rPr>
                <w:rFonts w:hint="eastAsia" w:ascii="Times New Roman" w:hAnsi="Times New Roman" w:eastAsia="宋体"/>
                <w:sz w:val="18"/>
                <w:szCs w:val="18"/>
              </w:rPr>
            </w:pPr>
            <w:r>
              <w:rPr>
                <w:sz w:val="18"/>
                <w:szCs w:val="18"/>
              </w:rPr>
              <w:t>差压式流量计</w:t>
            </w:r>
          </w:p>
        </w:tc>
        <w:tc>
          <w:tcPr>
            <w:tcW w:w="1232" w:type="pct"/>
            <w:vMerge w:val="restart"/>
            <w:shd w:val="clear" w:color="auto" w:fill="auto"/>
            <w:vAlign w:val="center"/>
          </w:tcPr>
          <w:p w14:paraId="678BED1A">
            <w:pPr>
              <w:pStyle w:val="7"/>
              <w:spacing w:line="240" w:lineRule="auto"/>
              <w:ind w:left="0" w:leftChars="0"/>
              <w:jc w:val="left"/>
              <w:rPr>
                <w:rFonts w:hint="eastAsia" w:ascii="Times New Roman" w:hAnsi="Times New Roman" w:eastAsia="宋体" w:cs="宋体"/>
                <w:sz w:val="18"/>
                <w:szCs w:val="18"/>
              </w:rPr>
            </w:pPr>
            <w:r>
              <w:rPr>
                <w:sz w:val="18"/>
                <w:szCs w:val="18"/>
              </w:rPr>
              <w:t>成品油</w:t>
            </w:r>
            <w:r>
              <w:rPr>
                <w:rFonts w:hint="eastAsia"/>
                <w:sz w:val="18"/>
                <w:szCs w:val="18"/>
              </w:rPr>
              <w:t>最大允许误差±0.5%</w:t>
            </w:r>
            <w:r>
              <w:rPr>
                <w:sz w:val="18"/>
                <w:szCs w:val="18"/>
              </w:rPr>
              <w:t>；重油、渣油</w:t>
            </w:r>
            <w:r>
              <w:rPr>
                <w:rFonts w:hint="eastAsia"/>
                <w:sz w:val="18"/>
                <w:szCs w:val="18"/>
              </w:rPr>
              <w:t>准确度等级</w:t>
            </w:r>
            <w:r>
              <w:rPr>
                <w:sz w:val="18"/>
                <w:szCs w:val="18"/>
              </w:rPr>
              <w:t>1.0</w:t>
            </w:r>
            <w:r>
              <w:rPr>
                <w:rFonts w:hint="eastAsia"/>
                <w:sz w:val="18"/>
                <w:szCs w:val="18"/>
              </w:rPr>
              <w:t>级</w:t>
            </w:r>
          </w:p>
        </w:tc>
        <w:tc>
          <w:tcPr>
            <w:tcW w:w="1990" w:type="pct"/>
            <w:vAlign w:val="center"/>
          </w:tcPr>
          <w:p w14:paraId="55AC7D00">
            <w:pPr>
              <w:pStyle w:val="7"/>
              <w:spacing w:line="240" w:lineRule="auto"/>
              <w:ind w:left="0" w:leftChars="0"/>
              <w:jc w:val="center"/>
              <w:rPr>
                <w:rFonts w:hint="eastAsia" w:ascii="Times New Roman" w:hAnsi="Times New Roman" w:eastAsia="宋体"/>
                <w:sz w:val="18"/>
                <w:szCs w:val="18"/>
              </w:rPr>
            </w:pPr>
            <w:r>
              <w:rPr>
                <w:sz w:val="18"/>
                <w:szCs w:val="18"/>
              </w:rPr>
              <w:t>JJG 640 差压式流量计</w:t>
            </w:r>
          </w:p>
        </w:tc>
      </w:tr>
      <w:tr w14:paraId="0A335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7F9590B2">
            <w:pPr>
              <w:pStyle w:val="7"/>
              <w:spacing w:line="240" w:lineRule="auto"/>
              <w:ind w:left="0" w:leftChars="0"/>
              <w:rPr>
                <w:rFonts w:hint="eastAsia" w:ascii="Times New Roman" w:hAnsi="Times New Roman" w:eastAsia="宋体"/>
                <w:sz w:val="18"/>
                <w:szCs w:val="18"/>
                <w:vertAlign w:val="baseline"/>
                <w:lang w:val="en-US" w:eastAsia="zh-CN"/>
              </w:rPr>
            </w:pPr>
          </w:p>
        </w:tc>
        <w:tc>
          <w:tcPr>
            <w:tcW w:w="1184" w:type="pct"/>
            <w:gridSpan w:val="2"/>
            <w:shd w:val="clear" w:color="auto" w:fill="auto"/>
            <w:vAlign w:val="center"/>
          </w:tcPr>
          <w:p w14:paraId="3494D90D">
            <w:pPr>
              <w:pStyle w:val="7"/>
              <w:spacing w:line="240" w:lineRule="auto"/>
              <w:ind w:left="0" w:leftChars="0"/>
              <w:rPr>
                <w:rFonts w:hint="eastAsia" w:ascii="Times New Roman" w:hAnsi="Times New Roman" w:eastAsia="宋体"/>
                <w:sz w:val="18"/>
                <w:szCs w:val="18"/>
              </w:rPr>
            </w:pPr>
            <w:r>
              <w:rPr>
                <w:sz w:val="18"/>
                <w:szCs w:val="18"/>
              </w:rPr>
              <w:t>超声流量计</w:t>
            </w:r>
          </w:p>
        </w:tc>
        <w:tc>
          <w:tcPr>
            <w:tcW w:w="1232" w:type="pct"/>
            <w:vMerge w:val="continue"/>
            <w:shd w:val="clear" w:color="auto" w:fill="auto"/>
            <w:vAlign w:val="center"/>
          </w:tcPr>
          <w:p w14:paraId="16C221FC">
            <w:pPr>
              <w:pStyle w:val="7"/>
              <w:spacing w:line="240" w:lineRule="auto"/>
              <w:ind w:left="0" w:leftChars="0"/>
              <w:jc w:val="left"/>
              <w:rPr>
                <w:rFonts w:hint="eastAsia" w:ascii="Times New Roman" w:hAnsi="Times New Roman" w:eastAsia="宋体" w:cs="宋体"/>
                <w:sz w:val="18"/>
                <w:szCs w:val="18"/>
              </w:rPr>
            </w:pPr>
          </w:p>
        </w:tc>
        <w:tc>
          <w:tcPr>
            <w:tcW w:w="1990" w:type="pct"/>
            <w:vAlign w:val="center"/>
          </w:tcPr>
          <w:p w14:paraId="495EC9DA">
            <w:pPr>
              <w:pStyle w:val="63"/>
              <w:ind w:firstLine="0" w:firstLineChars="0"/>
              <w:jc w:val="center"/>
              <w:rPr>
                <w:rFonts w:hint="eastAsia" w:ascii="Times New Roman" w:hAnsi="Times New Roman" w:eastAsia="宋体"/>
                <w:sz w:val="18"/>
                <w:szCs w:val="18"/>
              </w:rPr>
            </w:pPr>
            <w:r>
              <w:rPr>
                <w:rFonts w:ascii="Times New Roman"/>
                <w:kern w:val="2"/>
                <w:sz w:val="18"/>
                <w:szCs w:val="18"/>
              </w:rPr>
              <w:t>JJG 1030 超声流量计</w:t>
            </w:r>
          </w:p>
        </w:tc>
      </w:tr>
      <w:tr w14:paraId="48133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14AF7193">
            <w:pPr>
              <w:pStyle w:val="7"/>
              <w:spacing w:line="240" w:lineRule="auto"/>
              <w:ind w:left="0" w:leftChars="0"/>
              <w:rPr>
                <w:rFonts w:hint="eastAsia" w:ascii="Times New Roman" w:hAnsi="Times New Roman" w:eastAsia="宋体"/>
                <w:sz w:val="18"/>
                <w:szCs w:val="18"/>
                <w:vertAlign w:val="baseline"/>
                <w:lang w:val="en-US" w:eastAsia="zh-CN"/>
              </w:rPr>
            </w:pPr>
          </w:p>
        </w:tc>
        <w:tc>
          <w:tcPr>
            <w:tcW w:w="1184" w:type="pct"/>
            <w:gridSpan w:val="2"/>
            <w:shd w:val="clear" w:color="auto" w:fill="auto"/>
            <w:vAlign w:val="center"/>
          </w:tcPr>
          <w:p w14:paraId="7A4BA2EC">
            <w:pPr>
              <w:pStyle w:val="7"/>
              <w:spacing w:line="240" w:lineRule="auto"/>
              <w:ind w:left="0" w:leftChars="0"/>
              <w:rPr>
                <w:rFonts w:hint="eastAsia" w:ascii="Times New Roman" w:hAnsi="Times New Roman" w:eastAsia="宋体"/>
                <w:sz w:val="18"/>
                <w:szCs w:val="18"/>
              </w:rPr>
            </w:pPr>
            <w:r>
              <w:rPr>
                <w:sz w:val="18"/>
                <w:szCs w:val="18"/>
              </w:rPr>
              <w:t>液体容积式流量计</w:t>
            </w:r>
          </w:p>
        </w:tc>
        <w:tc>
          <w:tcPr>
            <w:tcW w:w="1232" w:type="pct"/>
            <w:vMerge w:val="continue"/>
            <w:shd w:val="clear" w:color="auto" w:fill="auto"/>
            <w:vAlign w:val="center"/>
          </w:tcPr>
          <w:p w14:paraId="40926B6E">
            <w:pPr>
              <w:pStyle w:val="7"/>
              <w:spacing w:line="240" w:lineRule="auto"/>
              <w:ind w:left="0" w:leftChars="0"/>
              <w:jc w:val="left"/>
              <w:rPr>
                <w:rFonts w:hint="eastAsia" w:ascii="Times New Roman" w:hAnsi="Times New Roman" w:eastAsia="宋体" w:cs="宋体"/>
                <w:sz w:val="18"/>
                <w:szCs w:val="18"/>
              </w:rPr>
            </w:pPr>
          </w:p>
        </w:tc>
        <w:tc>
          <w:tcPr>
            <w:tcW w:w="1990" w:type="pct"/>
            <w:vAlign w:val="center"/>
          </w:tcPr>
          <w:p w14:paraId="6A3A43CB">
            <w:pPr>
              <w:pStyle w:val="7"/>
              <w:spacing w:line="240" w:lineRule="auto"/>
              <w:ind w:left="0" w:leftChars="0"/>
              <w:jc w:val="center"/>
              <w:rPr>
                <w:rFonts w:hint="eastAsia" w:ascii="Times New Roman" w:hAnsi="Times New Roman" w:eastAsia="宋体"/>
                <w:sz w:val="18"/>
                <w:szCs w:val="18"/>
              </w:rPr>
            </w:pPr>
            <w:r>
              <w:rPr>
                <w:sz w:val="18"/>
                <w:szCs w:val="18"/>
              </w:rPr>
              <w:t>JJG 667 液体容积式流量计</w:t>
            </w:r>
          </w:p>
        </w:tc>
      </w:tr>
      <w:tr w14:paraId="1FAD6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3D3F0F9B">
            <w:pPr>
              <w:pStyle w:val="7"/>
              <w:spacing w:line="240" w:lineRule="auto"/>
              <w:ind w:left="0" w:leftChars="0"/>
              <w:rPr>
                <w:rFonts w:hint="eastAsia" w:ascii="Times New Roman" w:hAnsi="Times New Roman" w:eastAsia="宋体"/>
                <w:sz w:val="18"/>
                <w:szCs w:val="18"/>
                <w:vertAlign w:val="baseline"/>
                <w:lang w:val="en-US" w:eastAsia="zh-CN"/>
              </w:rPr>
            </w:pPr>
          </w:p>
        </w:tc>
        <w:tc>
          <w:tcPr>
            <w:tcW w:w="1184" w:type="pct"/>
            <w:gridSpan w:val="2"/>
            <w:shd w:val="clear" w:color="auto" w:fill="auto"/>
            <w:vAlign w:val="center"/>
          </w:tcPr>
          <w:p w14:paraId="2E982A16">
            <w:pPr>
              <w:pStyle w:val="7"/>
              <w:spacing w:line="240" w:lineRule="auto"/>
              <w:ind w:left="0" w:leftChars="0"/>
              <w:rPr>
                <w:rFonts w:hint="eastAsia" w:ascii="Times New Roman" w:hAnsi="Times New Roman" w:eastAsia="宋体"/>
                <w:sz w:val="18"/>
                <w:szCs w:val="18"/>
              </w:rPr>
            </w:pPr>
            <w:r>
              <w:rPr>
                <w:rFonts w:hint="eastAsia"/>
                <w:sz w:val="18"/>
                <w:szCs w:val="18"/>
              </w:rPr>
              <w:t>质量流量计</w:t>
            </w:r>
          </w:p>
        </w:tc>
        <w:tc>
          <w:tcPr>
            <w:tcW w:w="1232" w:type="pct"/>
            <w:vMerge w:val="continue"/>
            <w:shd w:val="clear" w:color="auto" w:fill="auto"/>
            <w:vAlign w:val="center"/>
          </w:tcPr>
          <w:p w14:paraId="24AAD3BB">
            <w:pPr>
              <w:pStyle w:val="7"/>
              <w:spacing w:line="240" w:lineRule="auto"/>
              <w:ind w:left="0" w:leftChars="0"/>
              <w:jc w:val="left"/>
              <w:rPr>
                <w:rFonts w:hint="eastAsia" w:ascii="Times New Roman" w:hAnsi="Times New Roman" w:eastAsia="宋体" w:cs="宋体"/>
                <w:sz w:val="18"/>
                <w:szCs w:val="18"/>
              </w:rPr>
            </w:pPr>
          </w:p>
        </w:tc>
        <w:tc>
          <w:tcPr>
            <w:tcW w:w="1990" w:type="pct"/>
            <w:vAlign w:val="center"/>
          </w:tcPr>
          <w:p w14:paraId="0C3FB17D">
            <w:pPr>
              <w:pStyle w:val="7"/>
              <w:spacing w:line="240" w:lineRule="auto"/>
              <w:ind w:left="0" w:leftChars="0"/>
              <w:jc w:val="center"/>
              <w:rPr>
                <w:rFonts w:hint="eastAsia" w:ascii="Times New Roman" w:hAnsi="Times New Roman" w:eastAsia="宋体"/>
                <w:sz w:val="18"/>
                <w:szCs w:val="18"/>
              </w:rPr>
            </w:pPr>
            <w:r>
              <w:rPr>
                <w:sz w:val="18"/>
                <w:szCs w:val="18"/>
              </w:rPr>
              <w:t>JJG 1038 科里奥利质量流量计</w:t>
            </w:r>
          </w:p>
        </w:tc>
      </w:tr>
      <w:tr w14:paraId="0366C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592" w:type="pct"/>
            <w:vMerge w:val="continue"/>
            <w:vAlign w:val="center"/>
          </w:tcPr>
          <w:p w14:paraId="7318CDA6">
            <w:pPr>
              <w:pStyle w:val="7"/>
              <w:spacing w:line="240" w:lineRule="auto"/>
              <w:ind w:left="0" w:leftChars="0"/>
              <w:rPr>
                <w:rFonts w:hint="eastAsia" w:ascii="Times New Roman" w:hAnsi="Times New Roman" w:eastAsia="宋体"/>
                <w:sz w:val="18"/>
                <w:szCs w:val="18"/>
                <w:vertAlign w:val="baseline"/>
                <w:lang w:val="en-US" w:eastAsia="zh-CN"/>
              </w:rPr>
            </w:pPr>
          </w:p>
        </w:tc>
        <w:tc>
          <w:tcPr>
            <w:tcW w:w="1184" w:type="pct"/>
            <w:gridSpan w:val="2"/>
            <w:shd w:val="clear" w:color="auto" w:fill="auto"/>
            <w:vAlign w:val="center"/>
          </w:tcPr>
          <w:p w14:paraId="0EA013B3">
            <w:pPr>
              <w:pStyle w:val="7"/>
              <w:spacing w:line="240" w:lineRule="auto"/>
              <w:ind w:left="0" w:leftChars="0"/>
              <w:rPr>
                <w:rFonts w:hint="eastAsia" w:ascii="Times New Roman" w:hAnsi="Times New Roman" w:eastAsia="宋体"/>
                <w:sz w:val="18"/>
                <w:szCs w:val="18"/>
              </w:rPr>
            </w:pPr>
            <w:r>
              <w:rPr>
                <w:rFonts w:hint="eastAsia"/>
                <w:sz w:val="18"/>
                <w:szCs w:val="18"/>
              </w:rPr>
              <w:t>液位计（压力式）</w:t>
            </w:r>
          </w:p>
        </w:tc>
        <w:tc>
          <w:tcPr>
            <w:tcW w:w="1232" w:type="pct"/>
            <w:vMerge w:val="restart"/>
            <w:shd w:val="clear" w:color="auto" w:fill="auto"/>
            <w:vAlign w:val="center"/>
          </w:tcPr>
          <w:p w14:paraId="0A291454">
            <w:pPr>
              <w:pStyle w:val="7"/>
              <w:spacing w:line="240" w:lineRule="auto"/>
              <w:ind w:left="0" w:leftChars="0"/>
              <w:jc w:val="left"/>
              <w:rPr>
                <w:rFonts w:hint="eastAsia" w:ascii="Times New Roman" w:hAnsi="Times New Roman" w:eastAsia="宋体" w:cs="宋体"/>
                <w:sz w:val="18"/>
                <w:szCs w:val="18"/>
              </w:rPr>
            </w:pPr>
            <w:r>
              <w:rPr>
                <w:rFonts w:hint="eastAsia"/>
                <w:sz w:val="18"/>
                <w:szCs w:val="18"/>
              </w:rPr>
              <w:t>体积计量交接：仪表</w:t>
            </w:r>
            <w:r>
              <w:rPr>
                <w:sz w:val="18"/>
                <w:szCs w:val="18"/>
              </w:rPr>
              <w:t>最大允许误差±1mm</w:t>
            </w:r>
            <w:r>
              <w:rPr>
                <w:rFonts w:hint="eastAsia"/>
                <w:sz w:val="18"/>
                <w:szCs w:val="18"/>
              </w:rPr>
              <w:t>，安装最大允许误差</w:t>
            </w:r>
            <w:r>
              <w:rPr>
                <w:sz w:val="18"/>
                <w:szCs w:val="18"/>
              </w:rPr>
              <w:t>±</w:t>
            </w:r>
            <w:r>
              <w:rPr>
                <w:rFonts w:hint="eastAsia"/>
                <w:sz w:val="18"/>
                <w:szCs w:val="18"/>
              </w:rPr>
              <w:t>4</w:t>
            </w:r>
            <w:r>
              <w:rPr>
                <w:sz w:val="18"/>
                <w:szCs w:val="18"/>
              </w:rPr>
              <w:t>mm</w:t>
            </w:r>
          </w:p>
        </w:tc>
        <w:tc>
          <w:tcPr>
            <w:tcW w:w="1990" w:type="pct"/>
            <w:vAlign w:val="center"/>
          </w:tcPr>
          <w:p w14:paraId="3A5BF73A">
            <w:pPr>
              <w:pStyle w:val="7"/>
              <w:spacing w:line="240" w:lineRule="auto"/>
              <w:ind w:left="0" w:leftChars="0"/>
              <w:jc w:val="center"/>
              <w:rPr>
                <w:rFonts w:hint="eastAsia" w:ascii="Times New Roman" w:hAnsi="Times New Roman" w:eastAsia="宋体"/>
                <w:sz w:val="18"/>
                <w:szCs w:val="18"/>
              </w:rPr>
            </w:pPr>
            <w:r>
              <w:rPr>
                <w:rFonts w:hint="eastAsia"/>
                <w:sz w:val="18"/>
                <w:szCs w:val="18"/>
              </w:rPr>
              <w:t>JJG 882 压力变送器</w:t>
            </w:r>
          </w:p>
        </w:tc>
      </w:tr>
      <w:tr w14:paraId="7EB06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592" w:type="pct"/>
            <w:vMerge w:val="continue"/>
            <w:vAlign w:val="center"/>
          </w:tcPr>
          <w:p w14:paraId="3439497A">
            <w:pPr>
              <w:pStyle w:val="7"/>
              <w:spacing w:line="240" w:lineRule="auto"/>
              <w:ind w:left="0" w:leftChars="0"/>
              <w:rPr>
                <w:rFonts w:hint="eastAsia" w:ascii="Times New Roman" w:hAnsi="Times New Roman" w:eastAsia="宋体"/>
                <w:sz w:val="18"/>
                <w:szCs w:val="18"/>
                <w:vertAlign w:val="baseline"/>
                <w:lang w:val="en-US" w:eastAsia="zh-CN"/>
              </w:rPr>
            </w:pPr>
          </w:p>
        </w:tc>
        <w:tc>
          <w:tcPr>
            <w:tcW w:w="1184" w:type="pct"/>
            <w:gridSpan w:val="2"/>
            <w:shd w:val="clear" w:color="auto" w:fill="auto"/>
            <w:vAlign w:val="center"/>
          </w:tcPr>
          <w:p w14:paraId="37E54392">
            <w:pPr>
              <w:pStyle w:val="7"/>
              <w:spacing w:line="240" w:lineRule="auto"/>
              <w:ind w:left="0" w:leftChars="0"/>
              <w:rPr>
                <w:rFonts w:hint="eastAsia" w:ascii="Times New Roman" w:hAnsi="Times New Roman" w:eastAsia="宋体"/>
                <w:sz w:val="18"/>
                <w:szCs w:val="18"/>
              </w:rPr>
            </w:pPr>
            <w:r>
              <w:rPr>
                <w:rFonts w:hint="eastAsia"/>
                <w:sz w:val="18"/>
                <w:szCs w:val="18"/>
              </w:rPr>
              <w:t>储罐</w:t>
            </w:r>
            <w:r>
              <w:rPr>
                <w:sz w:val="18"/>
                <w:szCs w:val="18"/>
              </w:rPr>
              <w:t>液位计</w:t>
            </w:r>
            <w:r>
              <w:rPr>
                <w:rFonts w:hint="eastAsia"/>
                <w:sz w:val="18"/>
                <w:szCs w:val="18"/>
              </w:rPr>
              <w:t>（联通式、浮力式、反射式）</w:t>
            </w:r>
          </w:p>
        </w:tc>
        <w:tc>
          <w:tcPr>
            <w:tcW w:w="1232" w:type="pct"/>
            <w:vMerge w:val="continue"/>
            <w:shd w:val="clear" w:color="auto" w:fill="auto"/>
            <w:vAlign w:val="center"/>
          </w:tcPr>
          <w:p w14:paraId="45FEC842">
            <w:pPr>
              <w:pStyle w:val="7"/>
              <w:spacing w:line="240" w:lineRule="auto"/>
              <w:ind w:left="0" w:leftChars="0"/>
              <w:jc w:val="both"/>
              <w:rPr>
                <w:rFonts w:hint="eastAsia" w:ascii="Times New Roman" w:hAnsi="Times New Roman" w:eastAsia="宋体" w:cs="宋体"/>
                <w:sz w:val="18"/>
                <w:szCs w:val="18"/>
              </w:rPr>
            </w:pPr>
          </w:p>
        </w:tc>
        <w:tc>
          <w:tcPr>
            <w:tcW w:w="1990" w:type="pct"/>
            <w:vAlign w:val="center"/>
          </w:tcPr>
          <w:p w14:paraId="49F883CE">
            <w:pPr>
              <w:pStyle w:val="7"/>
              <w:spacing w:line="240" w:lineRule="auto"/>
              <w:ind w:left="0" w:leftChars="0"/>
              <w:jc w:val="center"/>
              <w:rPr>
                <w:rFonts w:hint="eastAsia" w:ascii="Times New Roman" w:hAnsi="Times New Roman" w:eastAsia="宋体"/>
                <w:sz w:val="18"/>
                <w:szCs w:val="18"/>
              </w:rPr>
            </w:pPr>
            <w:r>
              <w:rPr>
                <w:sz w:val="18"/>
                <w:szCs w:val="18"/>
              </w:rPr>
              <w:t>JJG 971 液位计</w:t>
            </w:r>
          </w:p>
        </w:tc>
      </w:tr>
      <w:tr w14:paraId="63AC1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restart"/>
            <w:vAlign w:val="center"/>
          </w:tcPr>
          <w:p w14:paraId="38778D99">
            <w:pPr>
              <w:spacing w:line="240" w:lineRule="auto"/>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rPr>
              <w:t>气体燃料</w:t>
            </w:r>
            <w:r>
              <w:rPr>
                <w:rFonts w:ascii="Times New Roman" w:hAnsi="Times New Roman" w:eastAsia="宋体"/>
                <w:sz w:val="18"/>
                <w:szCs w:val="18"/>
              </w:rPr>
              <w:t>消耗量</w:t>
            </w:r>
          </w:p>
        </w:tc>
        <w:tc>
          <w:tcPr>
            <w:tcW w:w="1184" w:type="pct"/>
            <w:gridSpan w:val="2"/>
            <w:vAlign w:val="center"/>
          </w:tcPr>
          <w:p w14:paraId="3D9F7B23">
            <w:pPr>
              <w:spacing w:line="240" w:lineRule="auto"/>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差压式流量计</w:t>
            </w:r>
          </w:p>
        </w:tc>
        <w:tc>
          <w:tcPr>
            <w:tcW w:w="1232" w:type="pct"/>
            <w:vMerge w:val="restart"/>
            <w:vAlign w:val="center"/>
          </w:tcPr>
          <w:p w14:paraId="7561CB73">
            <w:pPr>
              <w:spacing w:line="240" w:lineRule="auto"/>
              <w:jc w:val="left"/>
              <w:rPr>
                <w:rFonts w:hint="eastAsia" w:ascii="Times New Roman" w:hAnsi="Times New Roman" w:eastAsia="宋体"/>
                <w:sz w:val="18"/>
                <w:szCs w:val="18"/>
                <w:vertAlign w:val="baseline"/>
                <w:lang w:val="en-US" w:eastAsia="zh-CN"/>
              </w:rPr>
            </w:pPr>
            <w:r>
              <w:rPr>
                <w:rFonts w:ascii="Times New Roman" w:hAnsi="Times New Roman" w:eastAsia="宋体"/>
                <w:sz w:val="18"/>
                <w:szCs w:val="18"/>
              </w:rPr>
              <w:t>成品油</w:t>
            </w:r>
            <w:r>
              <w:rPr>
                <w:rFonts w:hint="eastAsia" w:ascii="Times New Roman" w:hAnsi="Times New Roman" w:eastAsia="宋体"/>
                <w:sz w:val="18"/>
                <w:szCs w:val="18"/>
              </w:rPr>
              <w:t>最大允许误差±0.5%</w:t>
            </w:r>
            <w:r>
              <w:rPr>
                <w:rFonts w:ascii="Times New Roman" w:hAnsi="Times New Roman" w:eastAsia="宋体"/>
                <w:sz w:val="18"/>
                <w:szCs w:val="18"/>
              </w:rPr>
              <w:t>；重油、渣油</w:t>
            </w:r>
            <w:r>
              <w:rPr>
                <w:rFonts w:hint="eastAsia" w:ascii="Times New Roman" w:hAnsi="Times New Roman" w:eastAsia="宋体"/>
                <w:sz w:val="18"/>
                <w:szCs w:val="18"/>
              </w:rPr>
              <w:t>准确度等级</w:t>
            </w:r>
            <w:r>
              <w:rPr>
                <w:rFonts w:ascii="Times New Roman" w:hAnsi="Times New Roman" w:eastAsia="宋体"/>
                <w:sz w:val="18"/>
                <w:szCs w:val="18"/>
              </w:rPr>
              <w:t>1.0</w:t>
            </w:r>
            <w:r>
              <w:rPr>
                <w:rFonts w:hint="eastAsia" w:ascii="Times New Roman" w:hAnsi="Times New Roman" w:eastAsia="宋体"/>
                <w:sz w:val="18"/>
                <w:szCs w:val="18"/>
              </w:rPr>
              <w:t>级</w:t>
            </w:r>
          </w:p>
        </w:tc>
        <w:tc>
          <w:tcPr>
            <w:tcW w:w="1990" w:type="pct"/>
            <w:shd w:val="clear" w:color="auto" w:fill="auto"/>
            <w:vAlign w:val="center"/>
          </w:tcPr>
          <w:p w14:paraId="5B97D1D2">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ascii="Times New Roman" w:hAnsi="Times New Roman" w:eastAsia="宋体"/>
                <w:sz w:val="18"/>
                <w:szCs w:val="18"/>
              </w:rPr>
              <w:t>JJG 640 差压式流量计</w:t>
            </w:r>
          </w:p>
        </w:tc>
      </w:tr>
      <w:tr w14:paraId="3272E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7AE0A6B6">
            <w:pPr>
              <w:spacing w:line="240" w:lineRule="auto"/>
              <w:jc w:val="center"/>
              <w:rPr>
                <w:rFonts w:hint="eastAsia" w:ascii="Times New Roman" w:hAnsi="Times New Roman" w:eastAsia="宋体"/>
                <w:sz w:val="18"/>
                <w:szCs w:val="18"/>
                <w:vertAlign w:val="baseline"/>
                <w:lang w:val="en-US" w:eastAsia="zh-CN"/>
              </w:rPr>
            </w:pPr>
          </w:p>
        </w:tc>
        <w:tc>
          <w:tcPr>
            <w:tcW w:w="1184" w:type="pct"/>
            <w:gridSpan w:val="2"/>
            <w:vAlign w:val="center"/>
          </w:tcPr>
          <w:p w14:paraId="6985AF55">
            <w:pPr>
              <w:spacing w:line="240" w:lineRule="auto"/>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超声流量计</w:t>
            </w:r>
          </w:p>
        </w:tc>
        <w:tc>
          <w:tcPr>
            <w:tcW w:w="1232" w:type="pct"/>
            <w:vMerge w:val="continue"/>
            <w:vAlign w:val="center"/>
          </w:tcPr>
          <w:p w14:paraId="11117AC2">
            <w:pPr>
              <w:spacing w:line="240" w:lineRule="auto"/>
              <w:jc w:val="left"/>
              <w:rPr>
                <w:rFonts w:hint="eastAsia" w:ascii="Times New Roman" w:hAnsi="Times New Roman" w:eastAsia="宋体"/>
                <w:sz w:val="18"/>
                <w:szCs w:val="18"/>
                <w:vertAlign w:val="baseline"/>
                <w:lang w:val="en-US" w:eastAsia="zh-CN"/>
              </w:rPr>
            </w:pPr>
          </w:p>
        </w:tc>
        <w:tc>
          <w:tcPr>
            <w:tcW w:w="1990" w:type="pct"/>
            <w:shd w:val="clear" w:color="auto" w:fill="auto"/>
            <w:vAlign w:val="center"/>
          </w:tcPr>
          <w:p w14:paraId="69B321DA">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hAnsi="Times New Roman" w:eastAsia="宋体"/>
                <w:kern w:val="2"/>
                <w:sz w:val="18"/>
                <w:szCs w:val="18"/>
              </w:rPr>
              <w:t>JJG 1030 超声流量计</w:t>
            </w:r>
          </w:p>
        </w:tc>
      </w:tr>
      <w:tr w14:paraId="3ED98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4294749C">
            <w:pPr>
              <w:spacing w:line="240" w:lineRule="auto"/>
              <w:jc w:val="center"/>
              <w:rPr>
                <w:rFonts w:hint="eastAsia" w:ascii="Times New Roman" w:hAnsi="Times New Roman" w:eastAsia="宋体"/>
                <w:sz w:val="18"/>
                <w:szCs w:val="18"/>
                <w:vertAlign w:val="baseline"/>
                <w:lang w:val="en-US" w:eastAsia="zh-CN"/>
              </w:rPr>
            </w:pPr>
          </w:p>
        </w:tc>
        <w:tc>
          <w:tcPr>
            <w:tcW w:w="1184" w:type="pct"/>
            <w:gridSpan w:val="2"/>
            <w:vAlign w:val="center"/>
          </w:tcPr>
          <w:p w14:paraId="7C0D7FF5">
            <w:pPr>
              <w:spacing w:line="240" w:lineRule="auto"/>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液体容积式流量计</w:t>
            </w:r>
          </w:p>
        </w:tc>
        <w:tc>
          <w:tcPr>
            <w:tcW w:w="1232" w:type="pct"/>
            <w:vMerge w:val="continue"/>
            <w:vAlign w:val="center"/>
          </w:tcPr>
          <w:p w14:paraId="3D4103FE">
            <w:pPr>
              <w:spacing w:line="240" w:lineRule="auto"/>
              <w:jc w:val="left"/>
              <w:rPr>
                <w:rFonts w:hint="eastAsia" w:ascii="Times New Roman" w:hAnsi="Times New Roman" w:eastAsia="宋体"/>
                <w:sz w:val="18"/>
                <w:szCs w:val="18"/>
                <w:vertAlign w:val="baseline"/>
                <w:lang w:val="en-US" w:eastAsia="zh-CN"/>
              </w:rPr>
            </w:pPr>
          </w:p>
        </w:tc>
        <w:tc>
          <w:tcPr>
            <w:tcW w:w="1990" w:type="pct"/>
            <w:shd w:val="clear" w:color="auto" w:fill="auto"/>
            <w:vAlign w:val="center"/>
          </w:tcPr>
          <w:p w14:paraId="42E5BFF3">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ascii="Times New Roman" w:hAnsi="Times New Roman" w:eastAsia="宋体"/>
                <w:sz w:val="18"/>
                <w:szCs w:val="18"/>
              </w:rPr>
              <w:t>JJG 667 液体容积式流量计</w:t>
            </w:r>
          </w:p>
        </w:tc>
      </w:tr>
      <w:tr w14:paraId="1114A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751093D4">
            <w:pPr>
              <w:spacing w:line="240" w:lineRule="auto"/>
              <w:jc w:val="center"/>
              <w:rPr>
                <w:rFonts w:hint="eastAsia" w:ascii="Times New Roman" w:hAnsi="Times New Roman" w:eastAsia="宋体"/>
                <w:sz w:val="18"/>
                <w:szCs w:val="18"/>
                <w:vertAlign w:val="baseline"/>
                <w:lang w:val="en-US" w:eastAsia="zh-CN"/>
              </w:rPr>
            </w:pPr>
          </w:p>
        </w:tc>
        <w:tc>
          <w:tcPr>
            <w:tcW w:w="1184" w:type="pct"/>
            <w:gridSpan w:val="2"/>
            <w:vAlign w:val="center"/>
          </w:tcPr>
          <w:p w14:paraId="62D7CE61">
            <w:pPr>
              <w:spacing w:line="240" w:lineRule="auto"/>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质量流量计</w:t>
            </w:r>
          </w:p>
        </w:tc>
        <w:tc>
          <w:tcPr>
            <w:tcW w:w="1232" w:type="pct"/>
            <w:vMerge w:val="continue"/>
            <w:vAlign w:val="center"/>
          </w:tcPr>
          <w:p w14:paraId="04BEE7BD">
            <w:pPr>
              <w:spacing w:line="240" w:lineRule="auto"/>
              <w:jc w:val="left"/>
              <w:rPr>
                <w:rFonts w:hint="eastAsia" w:ascii="Times New Roman" w:hAnsi="Times New Roman" w:eastAsia="宋体"/>
                <w:sz w:val="18"/>
                <w:szCs w:val="18"/>
                <w:vertAlign w:val="baseline"/>
                <w:lang w:val="en-US" w:eastAsia="zh-CN"/>
              </w:rPr>
            </w:pPr>
          </w:p>
        </w:tc>
        <w:tc>
          <w:tcPr>
            <w:tcW w:w="1990" w:type="pct"/>
            <w:shd w:val="clear" w:color="auto" w:fill="auto"/>
            <w:vAlign w:val="center"/>
          </w:tcPr>
          <w:p w14:paraId="46FA4A64">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ascii="Times New Roman" w:hAnsi="Times New Roman" w:eastAsia="宋体"/>
                <w:sz w:val="18"/>
                <w:szCs w:val="18"/>
              </w:rPr>
              <w:t>JJG 1038 科里奥利质量流量计</w:t>
            </w:r>
          </w:p>
        </w:tc>
      </w:tr>
      <w:tr w14:paraId="51127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62CC81D3">
            <w:pPr>
              <w:spacing w:line="240" w:lineRule="auto"/>
              <w:jc w:val="center"/>
              <w:rPr>
                <w:rFonts w:hint="eastAsia" w:ascii="Times New Roman" w:hAnsi="Times New Roman" w:eastAsia="宋体"/>
                <w:sz w:val="18"/>
                <w:szCs w:val="18"/>
                <w:vertAlign w:val="baseline"/>
                <w:lang w:val="en-US" w:eastAsia="zh-CN"/>
              </w:rPr>
            </w:pPr>
          </w:p>
        </w:tc>
        <w:tc>
          <w:tcPr>
            <w:tcW w:w="1184" w:type="pct"/>
            <w:gridSpan w:val="2"/>
            <w:vAlign w:val="center"/>
          </w:tcPr>
          <w:p w14:paraId="04B8A9F3">
            <w:pPr>
              <w:spacing w:line="240" w:lineRule="auto"/>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液位计（压力式）</w:t>
            </w:r>
          </w:p>
        </w:tc>
        <w:tc>
          <w:tcPr>
            <w:tcW w:w="1232" w:type="pct"/>
            <w:vMerge w:val="restart"/>
            <w:vAlign w:val="center"/>
          </w:tcPr>
          <w:p w14:paraId="06390412">
            <w:pPr>
              <w:spacing w:line="240" w:lineRule="auto"/>
              <w:jc w:val="both"/>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rPr>
              <w:t>体积计量交接：仪表</w:t>
            </w:r>
            <w:r>
              <w:rPr>
                <w:rFonts w:ascii="Times New Roman" w:hAnsi="Times New Roman" w:eastAsia="宋体"/>
                <w:sz w:val="18"/>
                <w:szCs w:val="18"/>
              </w:rPr>
              <w:t>最大允许误差±1mm</w:t>
            </w:r>
            <w:r>
              <w:rPr>
                <w:rFonts w:hint="eastAsia" w:ascii="Times New Roman" w:hAnsi="Times New Roman" w:eastAsia="宋体"/>
                <w:sz w:val="18"/>
                <w:szCs w:val="18"/>
              </w:rPr>
              <w:t>，安装最大允许误差</w:t>
            </w:r>
            <w:r>
              <w:rPr>
                <w:rFonts w:ascii="Times New Roman" w:hAnsi="Times New Roman" w:eastAsia="宋体"/>
                <w:sz w:val="18"/>
                <w:szCs w:val="18"/>
              </w:rPr>
              <w:t>±</w:t>
            </w:r>
            <w:r>
              <w:rPr>
                <w:rFonts w:hint="eastAsia" w:ascii="Times New Roman" w:hAnsi="Times New Roman" w:eastAsia="宋体"/>
                <w:sz w:val="18"/>
                <w:szCs w:val="18"/>
              </w:rPr>
              <w:t>4</w:t>
            </w:r>
            <w:r>
              <w:rPr>
                <w:rFonts w:ascii="Times New Roman" w:hAnsi="Times New Roman" w:eastAsia="宋体"/>
                <w:sz w:val="18"/>
                <w:szCs w:val="18"/>
              </w:rPr>
              <w:t>mm</w:t>
            </w:r>
          </w:p>
        </w:tc>
        <w:tc>
          <w:tcPr>
            <w:tcW w:w="1990" w:type="pct"/>
            <w:shd w:val="clear" w:color="auto" w:fill="auto"/>
            <w:vAlign w:val="center"/>
          </w:tcPr>
          <w:p w14:paraId="32A7BB0D">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hint="eastAsia" w:ascii="Times New Roman" w:hAnsi="Times New Roman" w:eastAsia="宋体"/>
                <w:sz w:val="18"/>
                <w:szCs w:val="18"/>
              </w:rPr>
              <w:t>JJG 882 压力变送器</w:t>
            </w:r>
          </w:p>
        </w:tc>
      </w:tr>
      <w:tr w14:paraId="3EAF2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38EEEDF2">
            <w:pPr>
              <w:spacing w:line="240" w:lineRule="auto"/>
              <w:jc w:val="center"/>
              <w:rPr>
                <w:rFonts w:hint="eastAsia" w:ascii="Times New Roman" w:hAnsi="Times New Roman" w:eastAsia="宋体"/>
                <w:sz w:val="18"/>
                <w:szCs w:val="18"/>
                <w:vertAlign w:val="baseline"/>
                <w:lang w:val="en-US" w:eastAsia="zh-CN"/>
              </w:rPr>
            </w:pPr>
          </w:p>
        </w:tc>
        <w:tc>
          <w:tcPr>
            <w:tcW w:w="1184" w:type="pct"/>
            <w:gridSpan w:val="2"/>
            <w:vAlign w:val="center"/>
          </w:tcPr>
          <w:p w14:paraId="7DDD78CB">
            <w:pPr>
              <w:spacing w:line="240" w:lineRule="auto"/>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rPr>
              <w:t>储罐液位计（联通式、浮力式、反射式）</w:t>
            </w:r>
          </w:p>
        </w:tc>
        <w:tc>
          <w:tcPr>
            <w:tcW w:w="1232" w:type="pct"/>
            <w:vMerge w:val="continue"/>
            <w:vAlign w:val="center"/>
          </w:tcPr>
          <w:p w14:paraId="74CB5679">
            <w:pPr>
              <w:spacing w:line="240" w:lineRule="auto"/>
              <w:jc w:val="center"/>
              <w:rPr>
                <w:rFonts w:hint="eastAsia" w:ascii="Times New Roman" w:hAnsi="Times New Roman" w:eastAsia="宋体"/>
                <w:sz w:val="18"/>
                <w:szCs w:val="18"/>
                <w:vertAlign w:val="baseline"/>
                <w:lang w:val="en-US" w:eastAsia="zh-CN"/>
              </w:rPr>
            </w:pPr>
          </w:p>
        </w:tc>
        <w:tc>
          <w:tcPr>
            <w:tcW w:w="1990" w:type="pct"/>
            <w:vAlign w:val="center"/>
          </w:tcPr>
          <w:p w14:paraId="581667F2">
            <w:pPr>
              <w:spacing w:line="240" w:lineRule="auto"/>
              <w:jc w:val="center"/>
              <w:rPr>
                <w:rFonts w:hint="eastAsia" w:ascii="Times New Roman" w:hAnsi="Times New Roman" w:eastAsia="宋体"/>
                <w:sz w:val="18"/>
                <w:szCs w:val="18"/>
                <w:vertAlign w:val="baseline"/>
                <w:lang w:val="en-US" w:eastAsia="zh-CN"/>
              </w:rPr>
            </w:pPr>
            <w:r>
              <w:rPr>
                <w:rFonts w:ascii="Times New Roman" w:hAnsi="Times New Roman" w:eastAsia="宋体"/>
                <w:sz w:val="18"/>
                <w:szCs w:val="18"/>
              </w:rPr>
              <w:t>JJG 971 液位计</w:t>
            </w:r>
          </w:p>
        </w:tc>
      </w:tr>
      <w:tr w14:paraId="55EA3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308B2746">
            <w:pPr>
              <w:spacing w:line="240" w:lineRule="auto"/>
              <w:jc w:val="center"/>
              <w:rPr>
                <w:rFonts w:hint="eastAsia" w:ascii="Times New Roman" w:hAnsi="Times New Roman" w:eastAsia="宋体"/>
                <w:sz w:val="18"/>
                <w:szCs w:val="18"/>
                <w:vertAlign w:val="baseline"/>
                <w:lang w:val="en-US" w:eastAsia="zh-CN"/>
              </w:rPr>
            </w:pPr>
          </w:p>
        </w:tc>
        <w:tc>
          <w:tcPr>
            <w:tcW w:w="1184" w:type="pct"/>
            <w:gridSpan w:val="2"/>
            <w:vAlign w:val="center"/>
          </w:tcPr>
          <w:p w14:paraId="12FCF259">
            <w:pPr>
              <w:spacing w:line="240" w:lineRule="auto"/>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rPr>
              <w:t>加油机</w:t>
            </w:r>
          </w:p>
        </w:tc>
        <w:tc>
          <w:tcPr>
            <w:tcW w:w="1232" w:type="pct"/>
            <w:vAlign w:val="center"/>
          </w:tcPr>
          <w:p w14:paraId="7053E2F8">
            <w:pPr>
              <w:spacing w:line="240" w:lineRule="auto"/>
              <w:jc w:val="center"/>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rPr>
              <w:t>±0.3%</w:t>
            </w:r>
          </w:p>
        </w:tc>
        <w:tc>
          <w:tcPr>
            <w:tcW w:w="1990" w:type="pct"/>
            <w:vAlign w:val="center"/>
          </w:tcPr>
          <w:p w14:paraId="2BBCE37D">
            <w:pPr>
              <w:spacing w:line="240" w:lineRule="auto"/>
              <w:jc w:val="center"/>
              <w:rPr>
                <w:rFonts w:hint="eastAsia" w:ascii="Times New Roman" w:hAnsi="Times New Roman" w:eastAsia="宋体"/>
                <w:sz w:val="18"/>
                <w:szCs w:val="18"/>
                <w:vertAlign w:val="baseline"/>
                <w:lang w:val="en-US" w:eastAsia="zh-CN"/>
              </w:rPr>
            </w:pPr>
            <w:bookmarkStart w:id="143" w:name="OLE_LINK1"/>
            <w:r>
              <w:rPr>
                <w:rFonts w:hint="eastAsia" w:ascii="Times New Roman" w:hAnsi="Times New Roman" w:eastAsia="宋体"/>
                <w:sz w:val="18"/>
                <w:szCs w:val="18"/>
              </w:rPr>
              <w:t>JJG 443</w:t>
            </w:r>
            <w:bookmarkEnd w:id="143"/>
            <w:r>
              <w:rPr>
                <w:rFonts w:hint="eastAsia" w:ascii="Times New Roman" w:hAnsi="Times New Roman" w:eastAsia="宋体"/>
                <w:sz w:val="18"/>
                <w:szCs w:val="18"/>
              </w:rPr>
              <w:t xml:space="preserve"> 燃油加油机（试行）</w:t>
            </w:r>
          </w:p>
        </w:tc>
      </w:tr>
      <w:tr w14:paraId="41F4D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1F17DE1C">
            <w:pPr>
              <w:spacing w:line="240" w:lineRule="auto"/>
              <w:jc w:val="center"/>
              <w:rPr>
                <w:rFonts w:hint="eastAsia" w:ascii="Times New Roman" w:hAnsi="Times New Roman" w:eastAsia="宋体"/>
                <w:sz w:val="18"/>
                <w:szCs w:val="18"/>
                <w:vertAlign w:val="baseline"/>
                <w:lang w:val="en-US" w:eastAsia="zh-CN"/>
              </w:rPr>
            </w:pPr>
          </w:p>
        </w:tc>
        <w:tc>
          <w:tcPr>
            <w:tcW w:w="379" w:type="pct"/>
            <w:vMerge w:val="restart"/>
            <w:vAlign w:val="center"/>
          </w:tcPr>
          <w:p w14:paraId="18A10AA1">
            <w:pPr>
              <w:pStyle w:val="7"/>
              <w:spacing w:line="240" w:lineRule="auto"/>
              <w:ind w:left="0" w:leftChars="0"/>
              <w:rPr>
                <w:rFonts w:hint="eastAsia" w:ascii="Times New Roman" w:hAnsi="Times New Roman" w:eastAsia="宋体"/>
                <w:sz w:val="18"/>
                <w:szCs w:val="18"/>
                <w:vertAlign w:val="baseline"/>
                <w:lang w:val="en-US" w:eastAsia="zh-CN"/>
              </w:rPr>
            </w:pPr>
            <w:r>
              <w:rPr>
                <w:rFonts w:ascii="Times New Roman" w:hAnsi="Times New Roman" w:eastAsia="宋体"/>
                <w:sz w:val="18"/>
                <w:szCs w:val="18"/>
              </w:rPr>
              <w:t>燃气表</w:t>
            </w:r>
          </w:p>
        </w:tc>
        <w:tc>
          <w:tcPr>
            <w:tcW w:w="805" w:type="pct"/>
            <w:vAlign w:val="center"/>
          </w:tcPr>
          <w:p w14:paraId="64F47587">
            <w:pPr>
              <w:pStyle w:val="7"/>
              <w:spacing w:line="240" w:lineRule="auto"/>
              <w:ind w:left="0" w:leftChars="0"/>
              <w:rPr>
                <w:rFonts w:hint="eastAsia" w:ascii="Times New Roman" w:hAnsi="Times New Roman" w:eastAsia="宋体"/>
                <w:sz w:val="18"/>
                <w:szCs w:val="18"/>
                <w:vertAlign w:val="baseline"/>
                <w:lang w:val="en-US" w:eastAsia="zh-CN"/>
              </w:rPr>
            </w:pPr>
            <w:r>
              <w:rPr>
                <w:rFonts w:ascii="Times New Roman" w:hAnsi="Times New Roman" w:eastAsia="宋体"/>
                <w:sz w:val="18"/>
                <w:szCs w:val="18"/>
              </w:rPr>
              <w:t>膜式燃气表</w:t>
            </w:r>
          </w:p>
        </w:tc>
        <w:tc>
          <w:tcPr>
            <w:tcW w:w="1232" w:type="pct"/>
            <w:vMerge w:val="restart"/>
            <w:vAlign w:val="center"/>
          </w:tcPr>
          <w:p w14:paraId="7E85BA40">
            <w:pPr>
              <w:spacing w:line="240" w:lineRule="auto"/>
              <w:jc w:val="left"/>
              <w:rPr>
                <w:rFonts w:hint="eastAsia" w:ascii="Times New Roman" w:hAnsi="Times New Roman" w:eastAsia="宋体"/>
                <w:sz w:val="18"/>
                <w:szCs w:val="18"/>
              </w:rPr>
            </w:pPr>
            <w:r>
              <w:rPr>
                <w:rFonts w:hint="eastAsia" w:ascii="Times New Roman" w:hAnsi="Times New Roman" w:eastAsia="宋体"/>
                <w:sz w:val="18"/>
                <w:szCs w:val="18"/>
              </w:rPr>
              <w:t>天然气最大允许误差±1.5%；</w:t>
            </w:r>
          </w:p>
          <w:p w14:paraId="00172C12">
            <w:pPr>
              <w:spacing w:line="240" w:lineRule="auto"/>
              <w:jc w:val="left"/>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rPr>
              <w:t>煤气准确度等级2.0级</w:t>
            </w:r>
          </w:p>
        </w:tc>
        <w:tc>
          <w:tcPr>
            <w:tcW w:w="1990" w:type="pct"/>
            <w:shd w:val="clear" w:color="auto" w:fill="auto"/>
            <w:vAlign w:val="center"/>
          </w:tcPr>
          <w:p w14:paraId="5AB25AEE">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ascii="Times New Roman" w:hAnsi="Times New Roman" w:eastAsia="宋体"/>
                <w:sz w:val="18"/>
                <w:szCs w:val="18"/>
              </w:rPr>
              <w:t>JJG 577 膜式燃气表</w:t>
            </w:r>
          </w:p>
        </w:tc>
      </w:tr>
      <w:tr w14:paraId="4E3B6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460C8C2F">
            <w:pPr>
              <w:spacing w:line="240" w:lineRule="auto"/>
              <w:jc w:val="center"/>
              <w:rPr>
                <w:rFonts w:hint="eastAsia" w:ascii="Times New Roman" w:hAnsi="Times New Roman" w:eastAsia="宋体"/>
                <w:sz w:val="18"/>
                <w:szCs w:val="18"/>
                <w:vertAlign w:val="baseline"/>
                <w:lang w:val="en-US" w:eastAsia="zh-CN"/>
              </w:rPr>
            </w:pPr>
          </w:p>
        </w:tc>
        <w:tc>
          <w:tcPr>
            <w:tcW w:w="379" w:type="pct"/>
            <w:vMerge w:val="continue"/>
            <w:vAlign w:val="center"/>
          </w:tcPr>
          <w:p w14:paraId="5CE5F7CE">
            <w:pPr>
              <w:pStyle w:val="7"/>
              <w:spacing w:line="240" w:lineRule="auto"/>
              <w:ind w:left="0" w:leftChars="0"/>
              <w:rPr>
                <w:rFonts w:hint="eastAsia" w:ascii="Times New Roman" w:hAnsi="Times New Roman" w:eastAsia="宋体"/>
                <w:sz w:val="18"/>
                <w:szCs w:val="18"/>
                <w:vertAlign w:val="baseline"/>
                <w:lang w:val="en-US" w:eastAsia="zh-CN"/>
              </w:rPr>
            </w:pPr>
          </w:p>
        </w:tc>
        <w:tc>
          <w:tcPr>
            <w:tcW w:w="805" w:type="pct"/>
            <w:vAlign w:val="center"/>
          </w:tcPr>
          <w:p w14:paraId="01C0CA52">
            <w:pPr>
              <w:pStyle w:val="7"/>
              <w:spacing w:line="240" w:lineRule="auto"/>
              <w:ind w:left="0" w:leftChars="0"/>
              <w:rPr>
                <w:rFonts w:hint="eastAsia" w:ascii="Times New Roman" w:hAnsi="Times New Roman" w:eastAsia="宋体"/>
                <w:sz w:val="18"/>
                <w:szCs w:val="18"/>
                <w:vertAlign w:val="baseline"/>
                <w:lang w:val="en-US" w:eastAsia="zh-CN"/>
              </w:rPr>
            </w:pPr>
            <w:r>
              <w:rPr>
                <w:rFonts w:ascii="Times New Roman" w:hAnsi="Times New Roman" w:eastAsia="宋体"/>
                <w:sz w:val="18"/>
                <w:szCs w:val="18"/>
              </w:rPr>
              <w:t>超声波燃气表</w:t>
            </w:r>
          </w:p>
        </w:tc>
        <w:tc>
          <w:tcPr>
            <w:tcW w:w="1232" w:type="pct"/>
            <w:vMerge w:val="continue"/>
            <w:vAlign w:val="center"/>
          </w:tcPr>
          <w:p w14:paraId="20EFFB5D">
            <w:pPr>
              <w:spacing w:line="240" w:lineRule="auto"/>
              <w:jc w:val="center"/>
              <w:rPr>
                <w:rFonts w:hint="eastAsia" w:ascii="Times New Roman" w:hAnsi="Times New Roman" w:eastAsia="宋体"/>
                <w:sz w:val="18"/>
                <w:szCs w:val="18"/>
                <w:vertAlign w:val="baseline"/>
                <w:lang w:val="en-US" w:eastAsia="zh-CN"/>
              </w:rPr>
            </w:pPr>
          </w:p>
        </w:tc>
        <w:tc>
          <w:tcPr>
            <w:tcW w:w="1990" w:type="pct"/>
            <w:shd w:val="clear" w:color="auto" w:fill="auto"/>
            <w:vAlign w:val="center"/>
          </w:tcPr>
          <w:p w14:paraId="66808380">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ascii="Times New Roman" w:hAnsi="Times New Roman" w:eastAsia="宋体"/>
                <w:sz w:val="18"/>
                <w:szCs w:val="18"/>
              </w:rPr>
              <w:t>JJG</w:t>
            </w:r>
            <w:r>
              <w:rPr>
                <w:rFonts w:hint="eastAsia" w:ascii="Times New Roman" w:hAnsi="Times New Roman" w:eastAsia="宋体"/>
                <w:sz w:val="18"/>
                <w:szCs w:val="18"/>
              </w:rPr>
              <w:t xml:space="preserve"> 1190</w:t>
            </w:r>
            <w:r>
              <w:rPr>
                <w:rFonts w:ascii="Times New Roman" w:hAnsi="Times New Roman" w:eastAsia="宋体"/>
                <w:sz w:val="18"/>
                <w:szCs w:val="18"/>
              </w:rPr>
              <w:t xml:space="preserve"> 超声波燃气表</w:t>
            </w:r>
          </w:p>
        </w:tc>
      </w:tr>
      <w:tr w14:paraId="2908C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401BCE57">
            <w:pPr>
              <w:spacing w:line="240" w:lineRule="auto"/>
              <w:jc w:val="center"/>
              <w:rPr>
                <w:rFonts w:hint="eastAsia" w:ascii="Times New Roman" w:hAnsi="Times New Roman" w:eastAsia="宋体"/>
                <w:sz w:val="18"/>
                <w:szCs w:val="18"/>
                <w:vertAlign w:val="baseline"/>
                <w:lang w:val="en-US" w:eastAsia="zh-CN"/>
              </w:rPr>
            </w:pPr>
          </w:p>
        </w:tc>
        <w:tc>
          <w:tcPr>
            <w:tcW w:w="379" w:type="pct"/>
            <w:vMerge w:val="restart"/>
            <w:vAlign w:val="center"/>
          </w:tcPr>
          <w:p w14:paraId="215884A0">
            <w:pPr>
              <w:pStyle w:val="7"/>
              <w:spacing w:line="240" w:lineRule="auto"/>
              <w:ind w:left="0" w:leftChars="0"/>
              <w:rPr>
                <w:rFonts w:hint="eastAsia" w:ascii="Times New Roman" w:hAnsi="Times New Roman" w:eastAsia="宋体"/>
                <w:sz w:val="18"/>
                <w:szCs w:val="18"/>
                <w:vertAlign w:val="baseline"/>
                <w:lang w:val="en-US" w:eastAsia="zh-CN"/>
              </w:rPr>
            </w:pPr>
            <w:r>
              <w:rPr>
                <w:rFonts w:ascii="Times New Roman" w:hAnsi="Times New Roman" w:eastAsia="宋体"/>
                <w:sz w:val="18"/>
                <w:szCs w:val="18"/>
              </w:rPr>
              <w:t>气体流量计</w:t>
            </w:r>
          </w:p>
        </w:tc>
        <w:tc>
          <w:tcPr>
            <w:tcW w:w="805" w:type="pct"/>
            <w:vAlign w:val="center"/>
          </w:tcPr>
          <w:p w14:paraId="06DF9604">
            <w:pPr>
              <w:pStyle w:val="7"/>
              <w:spacing w:line="240" w:lineRule="auto"/>
              <w:ind w:left="0" w:leftChars="0"/>
              <w:rPr>
                <w:rFonts w:hint="eastAsia" w:ascii="Times New Roman" w:hAnsi="Times New Roman" w:eastAsia="宋体"/>
                <w:sz w:val="18"/>
                <w:szCs w:val="18"/>
                <w:vertAlign w:val="baseline"/>
                <w:lang w:val="en-US" w:eastAsia="zh-CN"/>
              </w:rPr>
            </w:pPr>
            <w:r>
              <w:rPr>
                <w:rFonts w:ascii="Times New Roman" w:hAnsi="Times New Roman" w:eastAsia="宋体"/>
                <w:sz w:val="18"/>
                <w:szCs w:val="18"/>
              </w:rPr>
              <w:t>容积式流量计</w:t>
            </w:r>
          </w:p>
        </w:tc>
        <w:tc>
          <w:tcPr>
            <w:tcW w:w="1232" w:type="pct"/>
            <w:vMerge w:val="continue"/>
            <w:vAlign w:val="center"/>
          </w:tcPr>
          <w:p w14:paraId="684461D5">
            <w:pPr>
              <w:spacing w:line="240" w:lineRule="auto"/>
              <w:jc w:val="center"/>
              <w:rPr>
                <w:rFonts w:hint="eastAsia" w:ascii="Times New Roman" w:hAnsi="Times New Roman" w:eastAsia="宋体"/>
                <w:sz w:val="18"/>
                <w:szCs w:val="18"/>
                <w:vertAlign w:val="baseline"/>
                <w:lang w:val="en-US" w:eastAsia="zh-CN"/>
              </w:rPr>
            </w:pPr>
          </w:p>
        </w:tc>
        <w:tc>
          <w:tcPr>
            <w:tcW w:w="1990" w:type="pct"/>
            <w:shd w:val="clear" w:color="auto" w:fill="auto"/>
            <w:vAlign w:val="center"/>
          </w:tcPr>
          <w:p w14:paraId="30D15A28">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ascii="Times New Roman" w:hAnsi="Times New Roman" w:eastAsia="宋体"/>
                <w:sz w:val="18"/>
                <w:szCs w:val="18"/>
              </w:rPr>
              <w:t>JJG 633 气体容积式流量计</w:t>
            </w:r>
          </w:p>
        </w:tc>
      </w:tr>
      <w:tr w14:paraId="1BFF9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1F9F2FC3">
            <w:pPr>
              <w:spacing w:line="240" w:lineRule="auto"/>
              <w:jc w:val="center"/>
              <w:rPr>
                <w:rFonts w:hint="eastAsia" w:ascii="Times New Roman" w:hAnsi="Times New Roman" w:eastAsia="宋体"/>
                <w:sz w:val="18"/>
                <w:szCs w:val="18"/>
                <w:vertAlign w:val="baseline"/>
                <w:lang w:val="en-US" w:eastAsia="zh-CN"/>
              </w:rPr>
            </w:pPr>
          </w:p>
        </w:tc>
        <w:tc>
          <w:tcPr>
            <w:tcW w:w="379" w:type="pct"/>
            <w:vMerge w:val="continue"/>
            <w:vAlign w:val="center"/>
          </w:tcPr>
          <w:p w14:paraId="54034EFA">
            <w:pPr>
              <w:pStyle w:val="7"/>
              <w:spacing w:line="240" w:lineRule="auto"/>
              <w:ind w:left="0" w:leftChars="0"/>
              <w:rPr>
                <w:rFonts w:hint="eastAsia" w:ascii="Times New Roman" w:hAnsi="Times New Roman" w:eastAsia="宋体"/>
                <w:sz w:val="18"/>
                <w:szCs w:val="18"/>
                <w:vertAlign w:val="baseline"/>
                <w:lang w:val="en-US" w:eastAsia="zh-CN"/>
              </w:rPr>
            </w:pPr>
          </w:p>
        </w:tc>
        <w:tc>
          <w:tcPr>
            <w:tcW w:w="805" w:type="pct"/>
            <w:vAlign w:val="center"/>
          </w:tcPr>
          <w:p w14:paraId="2492587C">
            <w:pPr>
              <w:pStyle w:val="7"/>
              <w:spacing w:line="240" w:lineRule="auto"/>
              <w:ind w:left="0" w:leftChars="0"/>
              <w:rPr>
                <w:rFonts w:hint="eastAsia" w:ascii="Times New Roman" w:hAnsi="Times New Roman" w:eastAsia="宋体"/>
                <w:sz w:val="18"/>
                <w:szCs w:val="18"/>
                <w:vertAlign w:val="baseline"/>
                <w:lang w:val="en-US" w:eastAsia="zh-CN"/>
              </w:rPr>
            </w:pPr>
            <w:r>
              <w:rPr>
                <w:rFonts w:ascii="Times New Roman" w:hAnsi="Times New Roman" w:eastAsia="宋体"/>
                <w:sz w:val="18"/>
                <w:szCs w:val="18"/>
              </w:rPr>
              <w:t>涡轮流量计</w:t>
            </w:r>
          </w:p>
        </w:tc>
        <w:tc>
          <w:tcPr>
            <w:tcW w:w="1232" w:type="pct"/>
            <w:vMerge w:val="continue"/>
            <w:vAlign w:val="center"/>
          </w:tcPr>
          <w:p w14:paraId="460B85E7">
            <w:pPr>
              <w:spacing w:line="240" w:lineRule="auto"/>
              <w:jc w:val="center"/>
              <w:rPr>
                <w:rFonts w:hint="eastAsia" w:ascii="Times New Roman" w:hAnsi="Times New Roman" w:eastAsia="宋体"/>
                <w:sz w:val="18"/>
                <w:szCs w:val="18"/>
                <w:vertAlign w:val="baseline"/>
                <w:lang w:val="en-US" w:eastAsia="zh-CN"/>
              </w:rPr>
            </w:pPr>
          </w:p>
        </w:tc>
        <w:tc>
          <w:tcPr>
            <w:tcW w:w="1990" w:type="pct"/>
            <w:shd w:val="clear" w:color="auto" w:fill="auto"/>
            <w:vAlign w:val="center"/>
          </w:tcPr>
          <w:p w14:paraId="2881316A">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ascii="Times New Roman" w:hAnsi="Times New Roman" w:eastAsia="宋体"/>
                <w:sz w:val="18"/>
                <w:szCs w:val="18"/>
              </w:rPr>
              <w:t>JJG 1037 涡轮流量计</w:t>
            </w:r>
          </w:p>
        </w:tc>
      </w:tr>
      <w:tr w14:paraId="7F61C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76088356">
            <w:pPr>
              <w:spacing w:line="240" w:lineRule="auto"/>
              <w:jc w:val="center"/>
              <w:rPr>
                <w:rFonts w:hint="eastAsia" w:ascii="Times New Roman" w:hAnsi="Times New Roman" w:eastAsia="宋体"/>
                <w:sz w:val="18"/>
                <w:szCs w:val="18"/>
                <w:vertAlign w:val="baseline"/>
                <w:lang w:val="en-US" w:eastAsia="zh-CN"/>
              </w:rPr>
            </w:pPr>
          </w:p>
        </w:tc>
        <w:tc>
          <w:tcPr>
            <w:tcW w:w="379" w:type="pct"/>
            <w:vMerge w:val="continue"/>
            <w:vAlign w:val="center"/>
          </w:tcPr>
          <w:p w14:paraId="04A2B8CE">
            <w:pPr>
              <w:pStyle w:val="7"/>
              <w:spacing w:line="240" w:lineRule="auto"/>
              <w:ind w:left="0" w:leftChars="0"/>
              <w:rPr>
                <w:rFonts w:hint="eastAsia" w:ascii="Times New Roman" w:hAnsi="Times New Roman" w:eastAsia="宋体"/>
                <w:sz w:val="18"/>
                <w:szCs w:val="18"/>
                <w:vertAlign w:val="baseline"/>
                <w:lang w:val="en-US" w:eastAsia="zh-CN"/>
              </w:rPr>
            </w:pPr>
          </w:p>
        </w:tc>
        <w:tc>
          <w:tcPr>
            <w:tcW w:w="805" w:type="pct"/>
            <w:vAlign w:val="center"/>
          </w:tcPr>
          <w:p w14:paraId="27AF3151">
            <w:pPr>
              <w:pStyle w:val="7"/>
              <w:spacing w:line="240" w:lineRule="auto"/>
              <w:ind w:left="0" w:leftChars="0"/>
              <w:rPr>
                <w:rFonts w:hint="eastAsia" w:ascii="Times New Roman" w:hAnsi="Times New Roman" w:eastAsia="宋体"/>
                <w:sz w:val="18"/>
                <w:szCs w:val="18"/>
                <w:vertAlign w:val="baseline"/>
                <w:lang w:val="en-US" w:eastAsia="zh-CN"/>
              </w:rPr>
            </w:pPr>
            <w:r>
              <w:rPr>
                <w:rFonts w:ascii="Times New Roman" w:hAnsi="Times New Roman" w:eastAsia="宋体"/>
                <w:sz w:val="18"/>
                <w:szCs w:val="18"/>
              </w:rPr>
              <w:t>超声流量计</w:t>
            </w:r>
          </w:p>
        </w:tc>
        <w:tc>
          <w:tcPr>
            <w:tcW w:w="1232" w:type="pct"/>
            <w:vMerge w:val="continue"/>
            <w:vAlign w:val="center"/>
          </w:tcPr>
          <w:p w14:paraId="6F717DA8">
            <w:pPr>
              <w:spacing w:line="240" w:lineRule="auto"/>
              <w:jc w:val="center"/>
              <w:rPr>
                <w:rFonts w:hint="eastAsia" w:ascii="Times New Roman" w:hAnsi="Times New Roman" w:eastAsia="宋体"/>
                <w:sz w:val="18"/>
                <w:szCs w:val="18"/>
                <w:vertAlign w:val="baseline"/>
                <w:lang w:val="en-US" w:eastAsia="zh-CN"/>
              </w:rPr>
            </w:pPr>
          </w:p>
        </w:tc>
        <w:tc>
          <w:tcPr>
            <w:tcW w:w="1990" w:type="pct"/>
            <w:shd w:val="clear" w:color="auto" w:fill="auto"/>
            <w:vAlign w:val="center"/>
          </w:tcPr>
          <w:p w14:paraId="6CBC16D2">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ascii="Times New Roman" w:hAnsi="Times New Roman" w:eastAsia="宋体"/>
                <w:sz w:val="18"/>
                <w:szCs w:val="18"/>
              </w:rPr>
              <w:t>JJG 1030 超声流量计</w:t>
            </w:r>
          </w:p>
        </w:tc>
      </w:tr>
      <w:tr w14:paraId="6DC0D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2940218C">
            <w:pPr>
              <w:spacing w:line="240" w:lineRule="auto"/>
              <w:jc w:val="center"/>
              <w:rPr>
                <w:rFonts w:hint="eastAsia" w:ascii="Times New Roman" w:hAnsi="Times New Roman" w:eastAsia="宋体"/>
                <w:sz w:val="18"/>
                <w:szCs w:val="18"/>
                <w:vertAlign w:val="baseline"/>
                <w:lang w:val="en-US" w:eastAsia="zh-CN"/>
              </w:rPr>
            </w:pPr>
          </w:p>
        </w:tc>
        <w:tc>
          <w:tcPr>
            <w:tcW w:w="379" w:type="pct"/>
            <w:vMerge w:val="continue"/>
            <w:vAlign w:val="center"/>
          </w:tcPr>
          <w:p w14:paraId="0A571A39">
            <w:pPr>
              <w:pStyle w:val="7"/>
              <w:spacing w:line="240" w:lineRule="auto"/>
              <w:ind w:left="0" w:leftChars="0"/>
              <w:rPr>
                <w:rFonts w:hint="eastAsia" w:ascii="Times New Roman" w:hAnsi="Times New Roman" w:eastAsia="宋体"/>
                <w:sz w:val="18"/>
                <w:szCs w:val="18"/>
                <w:vertAlign w:val="baseline"/>
                <w:lang w:val="en-US" w:eastAsia="zh-CN"/>
              </w:rPr>
            </w:pPr>
          </w:p>
        </w:tc>
        <w:tc>
          <w:tcPr>
            <w:tcW w:w="805" w:type="pct"/>
            <w:vAlign w:val="center"/>
          </w:tcPr>
          <w:p w14:paraId="038035DB">
            <w:pPr>
              <w:pStyle w:val="7"/>
              <w:spacing w:line="240" w:lineRule="auto"/>
              <w:ind w:left="0" w:leftChars="0"/>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rPr>
              <w:t>质量</w:t>
            </w:r>
            <w:r>
              <w:rPr>
                <w:rFonts w:ascii="Times New Roman" w:hAnsi="Times New Roman" w:eastAsia="宋体"/>
                <w:sz w:val="18"/>
                <w:szCs w:val="18"/>
              </w:rPr>
              <w:t>流量计</w:t>
            </w:r>
          </w:p>
        </w:tc>
        <w:tc>
          <w:tcPr>
            <w:tcW w:w="1232" w:type="pct"/>
            <w:vMerge w:val="continue"/>
            <w:vAlign w:val="center"/>
          </w:tcPr>
          <w:p w14:paraId="59ADAF20">
            <w:pPr>
              <w:spacing w:line="240" w:lineRule="auto"/>
              <w:jc w:val="center"/>
              <w:rPr>
                <w:rFonts w:hint="eastAsia" w:ascii="Times New Roman" w:hAnsi="Times New Roman" w:eastAsia="宋体"/>
                <w:sz w:val="18"/>
                <w:szCs w:val="18"/>
                <w:vertAlign w:val="baseline"/>
                <w:lang w:val="en-US" w:eastAsia="zh-CN"/>
              </w:rPr>
            </w:pPr>
          </w:p>
        </w:tc>
        <w:tc>
          <w:tcPr>
            <w:tcW w:w="1990" w:type="pct"/>
            <w:shd w:val="clear" w:color="auto" w:fill="auto"/>
            <w:vAlign w:val="center"/>
          </w:tcPr>
          <w:p w14:paraId="35F6536B">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ascii="Times New Roman" w:hAnsi="Times New Roman" w:eastAsia="宋体"/>
                <w:sz w:val="18"/>
                <w:szCs w:val="18"/>
              </w:rPr>
              <w:t>JJG 1132 热式气体质量流量计</w:t>
            </w:r>
          </w:p>
        </w:tc>
      </w:tr>
      <w:tr w14:paraId="5CAF5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Merge w:val="continue"/>
            <w:vAlign w:val="center"/>
          </w:tcPr>
          <w:p w14:paraId="7E6B41AF">
            <w:pPr>
              <w:spacing w:line="240" w:lineRule="auto"/>
              <w:jc w:val="center"/>
              <w:rPr>
                <w:rFonts w:hint="eastAsia" w:ascii="Times New Roman" w:hAnsi="Times New Roman" w:eastAsia="宋体"/>
                <w:sz w:val="18"/>
                <w:szCs w:val="18"/>
                <w:vertAlign w:val="baseline"/>
                <w:lang w:val="en-US" w:eastAsia="zh-CN"/>
              </w:rPr>
            </w:pPr>
          </w:p>
        </w:tc>
        <w:tc>
          <w:tcPr>
            <w:tcW w:w="379" w:type="pct"/>
            <w:vMerge w:val="continue"/>
            <w:vAlign w:val="center"/>
          </w:tcPr>
          <w:p w14:paraId="6A82D64D">
            <w:pPr>
              <w:pStyle w:val="7"/>
              <w:spacing w:line="240" w:lineRule="auto"/>
              <w:ind w:left="0" w:leftChars="0"/>
              <w:rPr>
                <w:rFonts w:hint="eastAsia" w:ascii="Times New Roman" w:hAnsi="Times New Roman" w:eastAsia="宋体"/>
                <w:sz w:val="18"/>
                <w:szCs w:val="18"/>
                <w:vertAlign w:val="baseline"/>
                <w:lang w:val="en-US" w:eastAsia="zh-CN"/>
              </w:rPr>
            </w:pPr>
          </w:p>
        </w:tc>
        <w:tc>
          <w:tcPr>
            <w:tcW w:w="805" w:type="pct"/>
            <w:vAlign w:val="center"/>
          </w:tcPr>
          <w:p w14:paraId="4A96F54A">
            <w:pPr>
              <w:pStyle w:val="7"/>
              <w:spacing w:line="240" w:lineRule="auto"/>
              <w:ind w:left="0" w:leftChars="0"/>
              <w:rPr>
                <w:rFonts w:hint="eastAsia" w:ascii="Times New Roman" w:hAnsi="Times New Roman" w:eastAsia="宋体"/>
                <w:sz w:val="18"/>
                <w:szCs w:val="18"/>
                <w:vertAlign w:val="baseline"/>
                <w:lang w:val="en-US" w:eastAsia="zh-CN"/>
              </w:rPr>
            </w:pPr>
            <w:r>
              <w:rPr>
                <w:rFonts w:hint="eastAsia" w:ascii="Times New Roman" w:hAnsi="Times New Roman" w:eastAsia="宋体"/>
                <w:sz w:val="18"/>
                <w:szCs w:val="18"/>
              </w:rPr>
              <w:t>速度面积法插入式流量计</w:t>
            </w:r>
          </w:p>
        </w:tc>
        <w:tc>
          <w:tcPr>
            <w:tcW w:w="1232" w:type="pct"/>
            <w:vMerge w:val="continue"/>
            <w:vAlign w:val="center"/>
          </w:tcPr>
          <w:p w14:paraId="7B1890D2">
            <w:pPr>
              <w:spacing w:line="240" w:lineRule="auto"/>
              <w:jc w:val="center"/>
              <w:rPr>
                <w:rFonts w:hint="eastAsia" w:ascii="Times New Roman" w:hAnsi="Times New Roman" w:eastAsia="宋体"/>
                <w:sz w:val="18"/>
                <w:szCs w:val="18"/>
                <w:vertAlign w:val="baseline"/>
                <w:lang w:val="en-US" w:eastAsia="zh-CN"/>
              </w:rPr>
            </w:pPr>
          </w:p>
        </w:tc>
        <w:tc>
          <w:tcPr>
            <w:tcW w:w="1990" w:type="pct"/>
            <w:shd w:val="clear" w:color="auto" w:fill="auto"/>
            <w:vAlign w:val="center"/>
          </w:tcPr>
          <w:p w14:paraId="448684CC">
            <w:pPr>
              <w:pStyle w:val="7"/>
              <w:spacing w:line="240" w:lineRule="auto"/>
              <w:ind w:left="0" w:leftChars="0"/>
              <w:jc w:val="center"/>
              <w:rPr>
                <w:rFonts w:hint="eastAsia" w:ascii="Times New Roman" w:hAnsi="Times New Roman" w:eastAsia="宋体" w:cstheme="minorBidi"/>
                <w:kern w:val="2"/>
                <w:sz w:val="18"/>
                <w:szCs w:val="18"/>
                <w:lang w:val="en-US" w:eastAsia="zh-CN" w:bidi="ar-SA"/>
              </w:rPr>
            </w:pPr>
            <w:r>
              <w:rPr>
                <w:rFonts w:hint="eastAsia" w:ascii="Times New Roman" w:hAnsi="Times New Roman" w:eastAsia="宋体"/>
                <w:sz w:val="18"/>
                <w:szCs w:val="18"/>
              </w:rPr>
              <w:t>JJG 835 速度-面积法流量装置</w:t>
            </w:r>
          </w:p>
        </w:tc>
      </w:tr>
      <w:tr w14:paraId="31EA3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5"/>
            <w:vAlign w:val="center"/>
          </w:tcPr>
          <w:p w14:paraId="79C3A3CA">
            <w:pPr>
              <w:pStyle w:val="19"/>
              <w:spacing w:line="240" w:lineRule="auto"/>
              <w:ind w:left="0" w:leftChars="0" w:firstLine="0" w:firstLineChars="0"/>
              <w:rPr>
                <w:rFonts w:hint="eastAsia" w:ascii="Times New Roman" w:hAnsi="Times New Roman" w:eastAsia="宋体"/>
              </w:rPr>
            </w:pPr>
            <w:r>
              <w:rPr>
                <w:rFonts w:hint="eastAsia" w:ascii="Times New Roman" w:hAnsi="Times New Roman" w:eastAsia="宋体"/>
              </w:rPr>
              <w:t>注：</w:t>
            </w:r>
          </w:p>
          <w:p w14:paraId="3AB8EC07">
            <w:pPr>
              <w:pStyle w:val="19"/>
              <w:spacing w:line="240" w:lineRule="auto"/>
              <w:ind w:left="0" w:leftChars="0" w:firstLine="0" w:firstLineChars="0"/>
              <w:rPr>
                <w:rFonts w:hint="eastAsia" w:ascii="Times New Roman" w:hAnsi="Times New Roman" w:eastAsia="宋体"/>
              </w:rPr>
            </w:pPr>
            <w:r>
              <w:rPr>
                <w:rFonts w:hint="eastAsia" w:ascii="Times New Roman" w:hAnsi="Times New Roman" w:eastAsia="宋体"/>
              </w:rPr>
              <w:t>压力式液位计包括静压(投入)式液位计(变送器)、差压式液位计(变送器)；</w:t>
            </w:r>
          </w:p>
          <w:p w14:paraId="02066242">
            <w:pPr>
              <w:pStyle w:val="19"/>
              <w:spacing w:line="240" w:lineRule="auto"/>
              <w:ind w:left="0" w:leftChars="0" w:firstLine="0" w:firstLineChars="0"/>
              <w:rPr>
                <w:rFonts w:hint="eastAsia" w:ascii="Times New Roman" w:hAnsi="Times New Roman" w:eastAsia="宋体"/>
              </w:rPr>
            </w:pPr>
            <w:r>
              <w:rPr>
                <w:rFonts w:hint="eastAsia" w:ascii="Times New Roman" w:hAnsi="Times New Roman" w:eastAsia="宋体"/>
              </w:rPr>
              <w:t>联通式液位计包括(石英)玻璃管液位计、玻璃板液位计；</w:t>
            </w:r>
          </w:p>
          <w:p w14:paraId="384C3CF7">
            <w:pPr>
              <w:pStyle w:val="19"/>
              <w:spacing w:line="240" w:lineRule="auto"/>
              <w:ind w:left="0" w:leftChars="0" w:firstLine="0" w:firstLineChars="0"/>
              <w:rPr>
                <w:rFonts w:hint="eastAsia" w:ascii="Times New Roman" w:hAnsi="Times New Roman" w:eastAsia="宋体"/>
              </w:rPr>
            </w:pPr>
            <w:r>
              <w:rPr>
                <w:rFonts w:hint="eastAsia" w:ascii="Times New Roman" w:hAnsi="Times New Roman" w:eastAsia="宋体"/>
              </w:rPr>
              <w:t>浮力式液位计包括磁翻柱(板)液位计、磁致伸缩液位计、伺服液位计、钢带液位计、(电)浮筒液位计、浮球液位计；</w:t>
            </w:r>
          </w:p>
          <w:p w14:paraId="697974A3">
            <w:pPr>
              <w:pStyle w:val="7"/>
              <w:spacing w:line="240" w:lineRule="auto"/>
              <w:ind w:left="0" w:leftChars="0"/>
              <w:jc w:val="left"/>
              <w:rPr>
                <w:rFonts w:hint="eastAsia" w:ascii="Times New Roman" w:hAnsi="Times New Roman" w:eastAsia="宋体"/>
                <w:sz w:val="18"/>
                <w:szCs w:val="18"/>
              </w:rPr>
            </w:pPr>
            <w:r>
              <w:rPr>
                <w:rFonts w:hint="eastAsia" w:ascii="Times New Roman" w:hAnsi="Times New Roman" w:eastAsia="宋体"/>
                <w:sz w:val="18"/>
                <w:szCs w:val="18"/>
              </w:rPr>
              <w:t>反射式液位计包括雷达液位计、超声波液位计、导波雷达液位计。</w:t>
            </w:r>
          </w:p>
        </w:tc>
      </w:tr>
    </w:tbl>
    <w:p w14:paraId="7C18CF64">
      <w:pPr>
        <w:pStyle w:val="12"/>
        <w:ind w:firstLine="0" w:firstLineChars="0"/>
        <w:rPr>
          <w:rFonts w:hint="eastAsia"/>
          <w:lang w:val="en-US" w:eastAsia="zh-CN"/>
        </w:rPr>
      </w:pPr>
    </w:p>
    <w:p w14:paraId="7DF248B6">
      <w:pPr>
        <w:rPr>
          <w:rFonts w:hint="eastAsia"/>
          <w:lang w:val="en-US" w:eastAsia="zh-CN"/>
        </w:rPr>
      </w:pPr>
      <w:r>
        <w:rPr>
          <w:rFonts w:hint="eastAsia"/>
          <w:lang w:val="en-US" w:eastAsia="zh-CN"/>
        </w:rPr>
        <w:t xml:space="preserve">B.2 </w:t>
      </w:r>
      <w:r>
        <w:rPr>
          <w:rFonts w:hint="eastAsia"/>
        </w:rPr>
        <w:t>净购入、输出及消耗能源活动获取计量器具配备技术要求</w:t>
      </w:r>
      <w:r>
        <w:rPr>
          <w:rFonts w:hint="eastAsia"/>
          <w:lang w:val="en-US" w:eastAsia="zh-CN"/>
        </w:rPr>
        <w:t>见表B.2。</w:t>
      </w:r>
    </w:p>
    <w:p w14:paraId="0202A70A">
      <w:pPr>
        <w:pStyle w:val="8"/>
        <w:rPr>
          <w:rFonts w:hint="default"/>
          <w:lang w:val="en-US" w:eastAsia="zh-CN"/>
        </w:rPr>
      </w:pPr>
      <w:r>
        <w:rPr>
          <w:rFonts w:hint="eastAsia"/>
          <w:lang w:val="en-US" w:eastAsia="zh-CN"/>
        </w:rPr>
        <w:t>表</w:t>
      </w:r>
      <w:r>
        <w:rPr>
          <w:rFonts w:hint="eastAsia"/>
        </w:rPr>
        <w:t>B.2</w:t>
      </w:r>
      <w:r>
        <w:rPr>
          <w:rFonts w:hint="eastAsia"/>
          <w:lang w:val="en-US" w:eastAsia="zh-CN"/>
        </w:rPr>
        <w:t xml:space="preserve"> 净</w:t>
      </w:r>
      <w:r>
        <w:rPr>
          <w:rFonts w:hint="eastAsia"/>
        </w:rPr>
        <w:t>购入、输出及消耗</w:t>
      </w:r>
      <w:r>
        <w:rPr>
          <w:rFonts w:hint="eastAsia"/>
          <w:lang w:val="en-US" w:eastAsia="zh-CN"/>
        </w:rPr>
        <w:t>能源活动</w:t>
      </w:r>
      <w:r>
        <w:rPr>
          <w:rFonts w:hint="eastAsia"/>
        </w:rPr>
        <w:t>获取计量器具配备技术要求</w:t>
      </w:r>
    </w:p>
    <w:tbl>
      <w:tblPr>
        <w:tblStyle w:val="26"/>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
        <w:gridCol w:w="2344"/>
        <w:gridCol w:w="1474"/>
        <w:gridCol w:w="3685"/>
      </w:tblGrid>
      <w:tr w14:paraId="023D7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Align w:val="center"/>
          </w:tcPr>
          <w:p w14:paraId="72351996">
            <w:pPr>
              <w:spacing w:line="240" w:lineRule="auto"/>
              <w:jc w:val="center"/>
              <w:rPr>
                <w:rFonts w:hint="default" w:eastAsia="宋体"/>
                <w:sz w:val="18"/>
                <w:szCs w:val="18"/>
                <w:vertAlign w:val="baseline"/>
                <w:lang w:val="en-US" w:eastAsia="zh-CN"/>
              </w:rPr>
            </w:pPr>
            <w:r>
              <w:rPr>
                <w:rFonts w:hint="eastAsia"/>
                <w:sz w:val="18"/>
                <w:szCs w:val="18"/>
                <w:vertAlign w:val="baseline"/>
                <w:lang w:val="en-US" w:eastAsia="zh-CN"/>
              </w:rPr>
              <w:t>测量参数</w:t>
            </w:r>
          </w:p>
        </w:tc>
        <w:tc>
          <w:tcPr>
            <w:tcW w:w="1375" w:type="pct"/>
            <w:vAlign w:val="center"/>
          </w:tcPr>
          <w:p w14:paraId="214AD384">
            <w:pPr>
              <w:spacing w:line="240" w:lineRule="auto"/>
              <w:jc w:val="center"/>
              <w:rPr>
                <w:rFonts w:hint="eastAsia" w:eastAsia="宋体"/>
                <w:sz w:val="18"/>
                <w:szCs w:val="18"/>
                <w:vertAlign w:val="baseline"/>
                <w:lang w:val="en-US" w:eastAsia="zh-CN"/>
              </w:rPr>
            </w:pPr>
            <w:r>
              <w:rPr>
                <w:rFonts w:hint="eastAsia"/>
                <w:sz w:val="18"/>
                <w:szCs w:val="18"/>
                <w:vertAlign w:val="baseline"/>
                <w:lang w:val="en-US" w:eastAsia="zh-CN"/>
              </w:rPr>
              <w:t>计量器具/设备</w:t>
            </w:r>
          </w:p>
        </w:tc>
        <w:tc>
          <w:tcPr>
            <w:tcW w:w="865" w:type="pct"/>
            <w:vAlign w:val="center"/>
          </w:tcPr>
          <w:p w14:paraId="55A6B724">
            <w:pPr>
              <w:spacing w:line="240" w:lineRule="auto"/>
              <w:jc w:val="center"/>
              <w:rPr>
                <w:rFonts w:hint="default" w:eastAsia="宋体"/>
                <w:sz w:val="18"/>
                <w:szCs w:val="18"/>
                <w:vertAlign w:val="baseline"/>
                <w:lang w:val="en-US" w:eastAsia="zh-CN"/>
              </w:rPr>
            </w:pPr>
            <w:r>
              <w:rPr>
                <w:rFonts w:hint="eastAsia"/>
                <w:sz w:val="18"/>
                <w:szCs w:val="18"/>
                <w:vertAlign w:val="baseline"/>
                <w:lang w:val="en-US" w:eastAsia="zh-CN"/>
              </w:rPr>
              <w:t>准确度等级/最大允许误差</w:t>
            </w:r>
          </w:p>
        </w:tc>
        <w:tc>
          <w:tcPr>
            <w:tcW w:w="2162" w:type="pct"/>
            <w:vAlign w:val="center"/>
          </w:tcPr>
          <w:p w14:paraId="7CACD244">
            <w:pPr>
              <w:spacing w:line="240" w:lineRule="auto"/>
              <w:jc w:val="center"/>
              <w:rPr>
                <w:rFonts w:hint="default" w:eastAsia="宋体"/>
                <w:sz w:val="18"/>
                <w:szCs w:val="18"/>
                <w:vertAlign w:val="baseline"/>
                <w:lang w:val="en-US" w:eastAsia="zh-CN"/>
              </w:rPr>
            </w:pPr>
            <w:r>
              <w:rPr>
                <w:rFonts w:hint="eastAsia"/>
                <w:sz w:val="18"/>
                <w:szCs w:val="18"/>
                <w:vertAlign w:val="baseline"/>
                <w:lang w:val="en-US" w:eastAsia="zh-CN"/>
              </w:rPr>
              <w:t>检定/校准方法</w:t>
            </w:r>
          </w:p>
        </w:tc>
      </w:tr>
      <w:tr w14:paraId="4D1A7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restart"/>
            <w:vAlign w:val="center"/>
          </w:tcPr>
          <w:p w14:paraId="0E8CA49A">
            <w:pPr>
              <w:spacing w:line="240" w:lineRule="auto"/>
              <w:jc w:val="center"/>
              <w:rPr>
                <w:rFonts w:hint="default" w:eastAsia="宋体"/>
                <w:sz w:val="18"/>
                <w:szCs w:val="18"/>
                <w:vertAlign w:val="baseline"/>
                <w:lang w:val="en-US" w:eastAsia="zh-CN"/>
              </w:rPr>
            </w:pPr>
            <w:r>
              <w:rPr>
                <w:rFonts w:hint="eastAsia"/>
                <w:sz w:val="18"/>
                <w:szCs w:val="18"/>
                <w:vertAlign w:val="baseline"/>
                <w:lang w:val="en-US" w:eastAsia="zh-CN"/>
              </w:rPr>
              <w:t>电力</w:t>
            </w:r>
          </w:p>
        </w:tc>
        <w:tc>
          <w:tcPr>
            <w:tcW w:w="1375" w:type="pct"/>
            <w:vAlign w:val="center"/>
          </w:tcPr>
          <w:p w14:paraId="1E6F584A">
            <w:pPr>
              <w:spacing w:line="240" w:lineRule="auto"/>
              <w:jc w:val="center"/>
              <w:rPr>
                <w:rFonts w:hint="default" w:eastAsia="宋体"/>
                <w:sz w:val="18"/>
                <w:szCs w:val="18"/>
                <w:vertAlign w:val="baseline"/>
                <w:lang w:val="en-US" w:eastAsia="zh-CN"/>
              </w:rPr>
            </w:pPr>
            <w:r>
              <w:rPr>
                <w:rFonts w:hint="eastAsia"/>
                <w:sz w:val="18"/>
                <w:szCs w:val="18"/>
                <w:vertAlign w:val="baseline"/>
                <w:lang w:val="en-US" w:eastAsia="zh-CN"/>
              </w:rPr>
              <w:t>有功电能表</w:t>
            </w:r>
          </w:p>
        </w:tc>
        <w:tc>
          <w:tcPr>
            <w:tcW w:w="865" w:type="pct"/>
            <w:shd w:val="clear" w:color="auto" w:fill="auto"/>
            <w:vAlign w:val="center"/>
          </w:tcPr>
          <w:p w14:paraId="75AEFC78">
            <w:pPr>
              <w:spacing w:line="240" w:lineRule="auto"/>
              <w:jc w:val="center"/>
              <w:rPr>
                <w:rFonts w:hint="eastAsia" w:ascii="Times New Roman" w:hAnsi="Times New Roman" w:eastAsia="宋体" w:cstheme="minorBidi"/>
                <w:kern w:val="2"/>
                <w:sz w:val="18"/>
                <w:szCs w:val="18"/>
                <w:lang w:val="en-US" w:eastAsia="zh-CN" w:bidi="ar-SA"/>
              </w:rPr>
            </w:pPr>
            <w:r>
              <w:rPr>
                <w:sz w:val="18"/>
                <w:szCs w:val="18"/>
              </w:rPr>
              <w:t>0.5</w:t>
            </w:r>
            <w:r>
              <w:rPr>
                <w:rFonts w:hint="eastAsia"/>
                <w:sz w:val="18"/>
                <w:szCs w:val="18"/>
              </w:rPr>
              <w:t>S</w:t>
            </w:r>
          </w:p>
        </w:tc>
        <w:tc>
          <w:tcPr>
            <w:tcW w:w="2162" w:type="pct"/>
            <w:shd w:val="clear" w:color="auto" w:fill="auto"/>
            <w:vAlign w:val="center"/>
          </w:tcPr>
          <w:p w14:paraId="4664B2F2">
            <w:pPr>
              <w:spacing w:line="240" w:lineRule="atLeast"/>
              <w:jc w:val="center"/>
              <w:rPr>
                <w:rFonts w:hint="eastAsia"/>
                <w:sz w:val="18"/>
                <w:szCs w:val="18"/>
              </w:rPr>
            </w:pPr>
            <w:r>
              <w:rPr>
                <w:sz w:val="18"/>
                <w:szCs w:val="18"/>
              </w:rPr>
              <w:t>JJG 596 电子式交流电能表</w:t>
            </w:r>
          </w:p>
          <w:p w14:paraId="765F4ED7">
            <w:pPr>
              <w:spacing w:line="240" w:lineRule="atLeast"/>
              <w:jc w:val="center"/>
              <w:rPr>
                <w:rFonts w:hint="eastAsia" w:ascii="Times New Roman" w:hAnsi="Times New Roman" w:eastAsia="宋体" w:cstheme="minorBidi"/>
                <w:kern w:val="2"/>
                <w:sz w:val="18"/>
                <w:szCs w:val="18"/>
                <w:lang w:val="en-US" w:eastAsia="zh-CN" w:bidi="ar-SA"/>
              </w:rPr>
            </w:pPr>
            <w:r>
              <w:rPr>
                <w:sz w:val="18"/>
                <w:szCs w:val="18"/>
              </w:rPr>
              <w:t>JJG 842</w:t>
            </w:r>
            <w:r>
              <w:rPr>
                <w:rFonts w:hint="eastAsia"/>
                <w:sz w:val="18"/>
                <w:szCs w:val="18"/>
              </w:rPr>
              <w:t xml:space="preserve"> </w:t>
            </w:r>
            <w:r>
              <w:rPr>
                <w:sz w:val="18"/>
                <w:szCs w:val="18"/>
              </w:rPr>
              <w:t>电子式</w:t>
            </w:r>
            <w:r>
              <w:rPr>
                <w:rFonts w:hint="eastAsia"/>
                <w:sz w:val="18"/>
                <w:szCs w:val="18"/>
              </w:rPr>
              <w:t>直流</w:t>
            </w:r>
            <w:r>
              <w:rPr>
                <w:sz w:val="18"/>
                <w:szCs w:val="18"/>
              </w:rPr>
              <w:t>电能表</w:t>
            </w:r>
          </w:p>
        </w:tc>
      </w:tr>
      <w:tr w14:paraId="775A5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vAlign w:val="center"/>
          </w:tcPr>
          <w:p w14:paraId="77BB1F69">
            <w:pPr>
              <w:spacing w:line="240" w:lineRule="auto"/>
              <w:jc w:val="center"/>
              <w:rPr>
                <w:rFonts w:hint="eastAsia" w:eastAsia="宋体"/>
                <w:sz w:val="18"/>
                <w:szCs w:val="18"/>
                <w:vertAlign w:val="baseline"/>
                <w:lang w:val="en-US" w:eastAsia="zh-CN"/>
              </w:rPr>
            </w:pPr>
          </w:p>
        </w:tc>
        <w:tc>
          <w:tcPr>
            <w:tcW w:w="1375" w:type="pct"/>
            <w:shd w:val="clear" w:color="auto" w:fill="auto"/>
            <w:vAlign w:val="center"/>
          </w:tcPr>
          <w:p w14:paraId="71AD06FF">
            <w:pPr>
              <w:pStyle w:val="7"/>
              <w:spacing w:line="240" w:lineRule="auto"/>
              <w:ind w:left="0" w:leftChars="0"/>
              <w:jc w:val="center"/>
              <w:rPr>
                <w:rFonts w:hint="default" w:ascii="Times New Roman" w:hAnsi="Times New Roman" w:eastAsia="宋体" w:cstheme="minorBidi"/>
                <w:kern w:val="2"/>
                <w:sz w:val="18"/>
                <w:szCs w:val="18"/>
                <w:lang w:val="en-US" w:eastAsia="zh-CN" w:bidi="ar-SA"/>
              </w:rPr>
            </w:pPr>
            <w:r>
              <w:rPr>
                <w:rFonts w:hint="eastAsia" w:cstheme="minorBidi"/>
                <w:kern w:val="2"/>
                <w:sz w:val="18"/>
                <w:szCs w:val="18"/>
                <w:lang w:val="en-US" w:eastAsia="zh-CN" w:bidi="ar-SA"/>
              </w:rPr>
              <w:t>电压互感器</w:t>
            </w:r>
          </w:p>
        </w:tc>
        <w:tc>
          <w:tcPr>
            <w:tcW w:w="865" w:type="pct"/>
            <w:shd w:val="clear" w:color="auto" w:fill="auto"/>
            <w:vAlign w:val="center"/>
          </w:tcPr>
          <w:p w14:paraId="7629A065">
            <w:pPr>
              <w:pStyle w:val="7"/>
              <w:spacing w:line="240" w:lineRule="auto"/>
              <w:ind w:left="0" w:leftChars="0"/>
              <w:jc w:val="center"/>
              <w:rPr>
                <w:rFonts w:hint="default" w:ascii="Times New Roman" w:hAnsi="Times New Roman" w:eastAsia="宋体" w:cstheme="minorBidi"/>
                <w:kern w:val="2"/>
                <w:sz w:val="18"/>
                <w:szCs w:val="18"/>
                <w:lang w:val="en-US" w:eastAsia="zh-CN" w:bidi="ar-SA"/>
              </w:rPr>
            </w:pPr>
            <w:r>
              <w:rPr>
                <w:rFonts w:hint="eastAsia" w:cstheme="minorBidi"/>
                <w:kern w:val="2"/>
                <w:sz w:val="18"/>
                <w:szCs w:val="18"/>
                <w:lang w:val="en-US" w:eastAsia="zh-CN" w:bidi="ar-SA"/>
              </w:rPr>
              <w:t>0.5</w:t>
            </w:r>
          </w:p>
        </w:tc>
        <w:tc>
          <w:tcPr>
            <w:tcW w:w="2162" w:type="pct"/>
            <w:shd w:val="clear" w:color="auto" w:fill="auto"/>
            <w:vAlign w:val="center"/>
          </w:tcPr>
          <w:p w14:paraId="697B15D9">
            <w:pPr>
              <w:spacing w:line="240" w:lineRule="atLeast"/>
              <w:ind w:firstLine="0" w:firstLineChars="0"/>
              <w:jc w:val="center"/>
              <w:rPr>
                <w:sz w:val="18"/>
                <w:szCs w:val="18"/>
              </w:rPr>
            </w:pPr>
            <w:r>
              <w:rPr>
                <w:rFonts w:hint="eastAsia"/>
                <w:sz w:val="18"/>
                <w:szCs w:val="18"/>
              </w:rPr>
              <w:t>J</w:t>
            </w:r>
            <w:r>
              <w:rPr>
                <w:sz w:val="18"/>
                <w:szCs w:val="18"/>
              </w:rPr>
              <w:t>JG 1189.</w:t>
            </w:r>
            <w:r>
              <w:rPr>
                <w:rFonts w:hint="eastAsia"/>
                <w:sz w:val="18"/>
                <w:szCs w:val="18"/>
              </w:rPr>
              <w:t xml:space="preserve">4 </w:t>
            </w:r>
            <w:r>
              <w:rPr>
                <w:sz w:val="18"/>
                <w:szCs w:val="18"/>
              </w:rPr>
              <w:t>测量用互感器</w:t>
            </w:r>
            <w:r>
              <w:rPr>
                <w:rFonts w:hint="eastAsia"/>
                <w:sz w:val="18"/>
                <w:szCs w:val="18"/>
                <w:lang w:val="en-US" w:eastAsia="zh-CN"/>
              </w:rPr>
              <w:t xml:space="preserve"> </w:t>
            </w:r>
            <w:r>
              <w:rPr>
                <w:sz w:val="18"/>
                <w:szCs w:val="18"/>
              </w:rPr>
              <w:t>第4部分：电力电压互感器</w:t>
            </w:r>
          </w:p>
          <w:p w14:paraId="211F9444">
            <w:pPr>
              <w:spacing w:line="240" w:lineRule="atLeast"/>
              <w:ind w:firstLine="0" w:firstLineChars="0"/>
              <w:jc w:val="center"/>
              <w:rPr>
                <w:rFonts w:hint="eastAsia" w:ascii="Times New Roman" w:hAnsi="Times New Roman" w:eastAsia="宋体" w:cstheme="minorBidi"/>
                <w:kern w:val="2"/>
                <w:sz w:val="18"/>
                <w:szCs w:val="18"/>
                <w:lang w:val="en-US" w:eastAsia="zh-CN" w:bidi="ar-SA"/>
              </w:rPr>
            </w:pPr>
            <w:r>
              <w:rPr>
                <w:sz w:val="18"/>
                <w:szCs w:val="18"/>
              </w:rPr>
              <w:t>JJG 1165</w:t>
            </w:r>
            <w:r>
              <w:rPr>
                <w:rFonts w:hint="eastAsia"/>
                <w:sz w:val="18"/>
                <w:szCs w:val="18"/>
              </w:rPr>
              <w:t>三相组合互感器</w:t>
            </w:r>
          </w:p>
        </w:tc>
      </w:tr>
      <w:tr w14:paraId="38D97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vAlign w:val="center"/>
          </w:tcPr>
          <w:p w14:paraId="22912506">
            <w:pPr>
              <w:spacing w:line="240" w:lineRule="auto"/>
              <w:jc w:val="center"/>
              <w:rPr>
                <w:rFonts w:hint="eastAsia" w:eastAsia="宋体"/>
                <w:sz w:val="18"/>
                <w:szCs w:val="18"/>
                <w:vertAlign w:val="baseline"/>
                <w:lang w:val="en-US" w:eastAsia="zh-CN"/>
              </w:rPr>
            </w:pPr>
          </w:p>
        </w:tc>
        <w:tc>
          <w:tcPr>
            <w:tcW w:w="1375" w:type="pct"/>
            <w:shd w:val="clear" w:color="auto" w:fill="auto"/>
            <w:vAlign w:val="center"/>
          </w:tcPr>
          <w:p w14:paraId="4D703972">
            <w:pPr>
              <w:pStyle w:val="7"/>
              <w:spacing w:line="240" w:lineRule="auto"/>
              <w:ind w:left="0" w:leftChars="0"/>
              <w:jc w:val="center"/>
              <w:rPr>
                <w:rFonts w:hint="default" w:ascii="宋体" w:hAnsi="宋体" w:eastAsia="宋体" w:cs="宋体"/>
                <w:kern w:val="2"/>
                <w:sz w:val="18"/>
                <w:szCs w:val="18"/>
                <w:lang w:val="en-US" w:eastAsia="zh-CN" w:bidi="ar-SA"/>
              </w:rPr>
            </w:pPr>
            <w:r>
              <w:rPr>
                <w:rFonts w:hint="eastAsia" w:ascii="宋体" w:hAnsi="宋体" w:cs="宋体"/>
                <w:kern w:val="2"/>
                <w:sz w:val="18"/>
                <w:szCs w:val="18"/>
                <w:lang w:val="en-US" w:eastAsia="zh-CN" w:bidi="ar-SA"/>
              </w:rPr>
              <w:t>电流互感器</w:t>
            </w:r>
          </w:p>
        </w:tc>
        <w:tc>
          <w:tcPr>
            <w:tcW w:w="865" w:type="pct"/>
            <w:shd w:val="clear" w:color="auto" w:fill="auto"/>
            <w:vAlign w:val="center"/>
          </w:tcPr>
          <w:p w14:paraId="54488070">
            <w:pPr>
              <w:pStyle w:val="7"/>
              <w:spacing w:line="240" w:lineRule="auto"/>
              <w:ind w:left="0" w:leftChars="0"/>
              <w:jc w:val="center"/>
              <w:rPr>
                <w:rFonts w:hint="default" w:ascii="Times New Roman" w:hAnsi="Times New Roman" w:eastAsia="宋体" w:cstheme="minorBidi"/>
                <w:kern w:val="2"/>
                <w:sz w:val="18"/>
                <w:szCs w:val="18"/>
                <w:lang w:val="en-US" w:eastAsia="zh-CN" w:bidi="ar-SA"/>
              </w:rPr>
            </w:pPr>
            <w:r>
              <w:rPr>
                <w:rFonts w:hint="eastAsia" w:cstheme="minorBidi"/>
                <w:kern w:val="2"/>
                <w:sz w:val="18"/>
                <w:szCs w:val="18"/>
                <w:lang w:val="en-US" w:eastAsia="zh-CN" w:bidi="ar-SA"/>
              </w:rPr>
              <w:t>0.5S</w:t>
            </w:r>
          </w:p>
        </w:tc>
        <w:tc>
          <w:tcPr>
            <w:tcW w:w="2162" w:type="pct"/>
            <w:shd w:val="clear" w:color="auto" w:fill="auto"/>
            <w:vAlign w:val="center"/>
          </w:tcPr>
          <w:p w14:paraId="77294C68">
            <w:pPr>
              <w:spacing w:line="240" w:lineRule="atLeast"/>
              <w:jc w:val="center"/>
              <w:rPr>
                <w:rFonts w:hint="eastAsia" w:ascii="Times New Roman" w:hAnsi="Times New Roman" w:eastAsia="宋体" w:cstheme="minorBidi"/>
                <w:kern w:val="2"/>
                <w:sz w:val="18"/>
                <w:szCs w:val="18"/>
                <w:lang w:val="en-US" w:eastAsia="zh-CN" w:bidi="ar-SA"/>
              </w:rPr>
            </w:pPr>
            <w:r>
              <w:rPr>
                <w:rFonts w:hint="eastAsia"/>
                <w:sz w:val="18"/>
                <w:szCs w:val="18"/>
              </w:rPr>
              <w:t>J</w:t>
            </w:r>
            <w:r>
              <w:rPr>
                <w:sz w:val="18"/>
                <w:szCs w:val="18"/>
              </w:rPr>
              <w:t>JG 1189.3</w:t>
            </w:r>
            <w:r>
              <w:rPr>
                <w:rFonts w:hint="eastAsia"/>
                <w:sz w:val="18"/>
                <w:szCs w:val="18"/>
              </w:rPr>
              <w:t xml:space="preserve"> </w:t>
            </w:r>
            <w:r>
              <w:rPr>
                <w:sz w:val="18"/>
                <w:szCs w:val="18"/>
              </w:rPr>
              <w:t>测量用互感器</w:t>
            </w:r>
            <w:r>
              <w:rPr>
                <w:rFonts w:hint="eastAsia"/>
                <w:sz w:val="18"/>
                <w:szCs w:val="18"/>
                <w:lang w:val="en-US" w:eastAsia="zh-CN"/>
              </w:rPr>
              <w:t xml:space="preserve"> </w:t>
            </w:r>
            <w:r>
              <w:rPr>
                <w:sz w:val="18"/>
                <w:szCs w:val="18"/>
              </w:rPr>
              <w:t>第3部分：电力电流互感器</w:t>
            </w:r>
          </w:p>
        </w:tc>
      </w:tr>
      <w:tr w14:paraId="0EFC7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restart"/>
            <w:vAlign w:val="center"/>
          </w:tcPr>
          <w:p w14:paraId="2D57E053">
            <w:pPr>
              <w:spacing w:line="240" w:lineRule="auto"/>
              <w:jc w:val="center"/>
              <w:rPr>
                <w:rFonts w:hint="default" w:eastAsia="宋体"/>
                <w:sz w:val="18"/>
                <w:szCs w:val="18"/>
                <w:vertAlign w:val="baseline"/>
                <w:lang w:val="en-US" w:eastAsia="zh-CN"/>
              </w:rPr>
            </w:pPr>
            <w:r>
              <w:rPr>
                <w:rFonts w:hint="eastAsia"/>
                <w:sz w:val="18"/>
                <w:szCs w:val="18"/>
                <w:vertAlign w:val="baseline"/>
                <w:lang w:val="en-US" w:eastAsia="zh-CN"/>
              </w:rPr>
              <w:t>热力</w:t>
            </w:r>
          </w:p>
        </w:tc>
        <w:tc>
          <w:tcPr>
            <w:tcW w:w="1375" w:type="pct"/>
            <w:shd w:val="clear" w:color="auto" w:fill="auto"/>
            <w:vAlign w:val="center"/>
          </w:tcPr>
          <w:p w14:paraId="5C09D514">
            <w:pPr>
              <w:pStyle w:val="9"/>
              <w:adjustRightInd w:val="0"/>
              <w:spacing w:line="240" w:lineRule="auto"/>
              <w:jc w:val="center"/>
              <w:rPr>
                <w:rFonts w:hint="eastAsia" w:ascii="Times New Roman" w:hAnsi="Times New Roman" w:eastAsia="宋体" w:cstheme="minorBidi"/>
                <w:kern w:val="2"/>
                <w:sz w:val="18"/>
                <w:szCs w:val="18"/>
                <w:lang w:val="en-US" w:eastAsia="zh-CN" w:bidi="ar-SA"/>
              </w:rPr>
            </w:pPr>
            <w:r>
              <w:rPr>
                <w:sz w:val="18"/>
                <w:szCs w:val="18"/>
              </w:rPr>
              <w:t>热</w:t>
            </w:r>
            <w:r>
              <w:rPr>
                <w:rFonts w:hint="eastAsia"/>
                <w:sz w:val="18"/>
                <w:szCs w:val="18"/>
              </w:rPr>
              <w:t>量</w:t>
            </w:r>
            <w:r>
              <w:rPr>
                <w:sz w:val="18"/>
                <w:szCs w:val="18"/>
              </w:rPr>
              <w:t>表</w:t>
            </w:r>
          </w:p>
        </w:tc>
        <w:tc>
          <w:tcPr>
            <w:tcW w:w="865" w:type="pct"/>
            <w:shd w:val="clear" w:color="auto" w:fill="auto"/>
            <w:vAlign w:val="center"/>
          </w:tcPr>
          <w:p w14:paraId="422AAA59">
            <w:pPr>
              <w:adjustRightInd w:val="0"/>
              <w:spacing w:line="240" w:lineRule="auto"/>
              <w:jc w:val="center"/>
              <w:rPr>
                <w:rFonts w:hint="eastAsia" w:ascii="Times New Roman" w:hAnsi="Times New Roman" w:eastAsia="宋体" w:cstheme="minorBidi"/>
                <w:kern w:val="2"/>
                <w:sz w:val="18"/>
                <w:szCs w:val="18"/>
                <w:lang w:val="en-US" w:eastAsia="zh-CN" w:bidi="ar-SA"/>
              </w:rPr>
            </w:pPr>
            <w:r>
              <w:rPr>
                <w:rFonts w:hint="eastAsia"/>
                <w:sz w:val="18"/>
                <w:szCs w:val="18"/>
              </w:rPr>
              <w:t>2</w:t>
            </w:r>
            <w:r>
              <w:rPr>
                <w:sz w:val="18"/>
                <w:szCs w:val="18"/>
              </w:rPr>
              <w:t>级</w:t>
            </w:r>
          </w:p>
        </w:tc>
        <w:tc>
          <w:tcPr>
            <w:tcW w:w="2162" w:type="pct"/>
            <w:shd w:val="clear" w:color="auto" w:fill="auto"/>
            <w:vAlign w:val="center"/>
          </w:tcPr>
          <w:p w14:paraId="012E6BE3">
            <w:pPr>
              <w:adjustRightInd w:val="0"/>
              <w:spacing w:line="240" w:lineRule="auto"/>
              <w:jc w:val="center"/>
              <w:rPr>
                <w:rFonts w:hint="eastAsia" w:ascii="Times New Roman" w:hAnsi="Times New Roman" w:eastAsia="宋体" w:cstheme="minorBidi"/>
                <w:kern w:val="2"/>
                <w:sz w:val="18"/>
                <w:szCs w:val="18"/>
                <w:lang w:val="en-US" w:eastAsia="zh-CN" w:bidi="ar-SA"/>
              </w:rPr>
            </w:pPr>
            <w:r>
              <w:rPr>
                <w:sz w:val="18"/>
                <w:szCs w:val="18"/>
              </w:rPr>
              <w:t>JJG 225 热</w:t>
            </w:r>
            <w:r>
              <w:rPr>
                <w:rFonts w:hint="eastAsia"/>
                <w:sz w:val="18"/>
                <w:szCs w:val="18"/>
              </w:rPr>
              <w:t>量</w:t>
            </w:r>
            <w:r>
              <w:rPr>
                <w:sz w:val="18"/>
                <w:szCs w:val="18"/>
              </w:rPr>
              <w:t>表</w:t>
            </w:r>
          </w:p>
        </w:tc>
      </w:tr>
      <w:tr w14:paraId="36A9E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vAlign w:val="center"/>
          </w:tcPr>
          <w:p w14:paraId="5F861D78">
            <w:pPr>
              <w:spacing w:line="240" w:lineRule="auto"/>
              <w:jc w:val="center"/>
              <w:rPr>
                <w:rFonts w:hint="eastAsia"/>
                <w:sz w:val="18"/>
                <w:szCs w:val="18"/>
                <w:vertAlign w:val="baseline"/>
                <w:lang w:val="en-US" w:eastAsia="zh-CN"/>
              </w:rPr>
            </w:pPr>
          </w:p>
        </w:tc>
        <w:tc>
          <w:tcPr>
            <w:tcW w:w="1375" w:type="pct"/>
            <w:shd w:val="clear" w:color="auto" w:fill="auto"/>
            <w:vAlign w:val="center"/>
          </w:tcPr>
          <w:p w14:paraId="4EEAC371">
            <w:pPr>
              <w:pStyle w:val="9"/>
              <w:adjustRightInd w:val="0"/>
              <w:spacing w:line="240" w:lineRule="auto"/>
              <w:jc w:val="center"/>
              <w:rPr>
                <w:rFonts w:hint="eastAsia" w:ascii="Times New Roman" w:hAnsi="Times New Roman" w:eastAsia="宋体" w:cstheme="minorBidi"/>
                <w:kern w:val="2"/>
                <w:sz w:val="18"/>
                <w:szCs w:val="18"/>
                <w:lang w:val="en-US" w:eastAsia="zh-CN" w:bidi="ar-SA"/>
              </w:rPr>
            </w:pPr>
            <w:r>
              <w:rPr>
                <w:rFonts w:hint="eastAsia"/>
                <w:sz w:val="18"/>
                <w:szCs w:val="18"/>
              </w:rPr>
              <w:t>热水水表</w:t>
            </w:r>
          </w:p>
        </w:tc>
        <w:tc>
          <w:tcPr>
            <w:tcW w:w="865" w:type="pct"/>
            <w:shd w:val="clear" w:color="auto" w:fill="auto"/>
            <w:vAlign w:val="center"/>
          </w:tcPr>
          <w:p w14:paraId="2936D84F">
            <w:pPr>
              <w:adjustRightInd w:val="0"/>
              <w:spacing w:line="240" w:lineRule="auto"/>
              <w:jc w:val="center"/>
              <w:rPr>
                <w:rFonts w:hint="eastAsia" w:ascii="Calibri" w:hAnsi="Calibri" w:eastAsia="宋体" w:cstheme="minorBidi"/>
                <w:kern w:val="2"/>
                <w:sz w:val="18"/>
                <w:szCs w:val="18"/>
                <w:lang w:val="en-US" w:eastAsia="zh-CN" w:bidi="ar-SA"/>
              </w:rPr>
            </w:pPr>
            <w:r>
              <w:rPr>
                <w:rFonts w:hint="eastAsia"/>
                <w:sz w:val="18"/>
                <w:szCs w:val="18"/>
              </w:rPr>
              <w:t>2</w:t>
            </w:r>
            <w:r>
              <w:rPr>
                <w:sz w:val="18"/>
                <w:szCs w:val="18"/>
              </w:rPr>
              <w:t>级</w:t>
            </w:r>
          </w:p>
        </w:tc>
        <w:tc>
          <w:tcPr>
            <w:tcW w:w="2162" w:type="pct"/>
            <w:shd w:val="clear" w:color="auto" w:fill="auto"/>
            <w:vAlign w:val="center"/>
          </w:tcPr>
          <w:p w14:paraId="6CAFA644">
            <w:pPr>
              <w:adjustRightInd w:val="0"/>
              <w:spacing w:line="240" w:lineRule="auto"/>
              <w:jc w:val="center"/>
              <w:rPr>
                <w:rFonts w:hint="eastAsia" w:ascii="Calibri" w:hAnsi="Calibri" w:eastAsia="宋体" w:cstheme="minorBidi"/>
                <w:kern w:val="2"/>
                <w:sz w:val="18"/>
                <w:szCs w:val="18"/>
                <w:lang w:val="en-US" w:eastAsia="zh-CN" w:bidi="ar-SA"/>
              </w:rPr>
            </w:pPr>
            <w:r>
              <w:rPr>
                <w:rFonts w:hint="eastAsia"/>
                <w:sz w:val="18"/>
                <w:szCs w:val="18"/>
              </w:rPr>
              <w:t>JJG 686 热水水表</w:t>
            </w:r>
          </w:p>
        </w:tc>
      </w:tr>
      <w:tr w14:paraId="18A7B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shd w:val="clear" w:color="auto" w:fill="auto"/>
            <w:vAlign w:val="center"/>
          </w:tcPr>
          <w:p w14:paraId="27679425">
            <w:pPr>
              <w:adjustRightInd w:val="0"/>
              <w:spacing w:line="240" w:lineRule="auto"/>
              <w:jc w:val="center"/>
              <w:rPr>
                <w:rFonts w:hint="eastAsia" w:ascii="Times New Roman" w:hAnsi="Times New Roman" w:eastAsia="宋体" w:cstheme="minorBidi"/>
                <w:kern w:val="2"/>
                <w:sz w:val="18"/>
                <w:szCs w:val="18"/>
                <w:lang w:val="en-US" w:eastAsia="zh-CN" w:bidi="ar-SA"/>
              </w:rPr>
            </w:pPr>
          </w:p>
        </w:tc>
        <w:tc>
          <w:tcPr>
            <w:tcW w:w="1375" w:type="pct"/>
            <w:vMerge w:val="restart"/>
            <w:shd w:val="clear" w:color="auto" w:fill="auto"/>
            <w:vAlign w:val="center"/>
          </w:tcPr>
          <w:p w14:paraId="0F95A8BF">
            <w:pPr>
              <w:adjustRightInd w:val="0"/>
              <w:spacing w:line="240" w:lineRule="auto"/>
              <w:jc w:val="center"/>
              <w:rPr>
                <w:rFonts w:hint="eastAsia" w:ascii="Times New Roman" w:hAnsi="Times New Roman" w:eastAsia="宋体" w:cstheme="minorBidi"/>
                <w:kern w:val="2"/>
                <w:sz w:val="18"/>
                <w:szCs w:val="18"/>
                <w:lang w:val="en-US" w:eastAsia="zh-CN" w:bidi="ar-SA"/>
              </w:rPr>
            </w:pPr>
            <w:r>
              <w:rPr>
                <w:sz w:val="18"/>
                <w:szCs w:val="18"/>
              </w:rPr>
              <w:t>蒸汽流量计</w:t>
            </w:r>
          </w:p>
        </w:tc>
        <w:tc>
          <w:tcPr>
            <w:tcW w:w="865" w:type="pct"/>
            <w:vMerge w:val="restart"/>
            <w:shd w:val="clear" w:color="auto" w:fill="auto"/>
            <w:vAlign w:val="center"/>
          </w:tcPr>
          <w:p w14:paraId="2D9BDD49">
            <w:pPr>
              <w:adjustRightInd w:val="0"/>
              <w:spacing w:line="240" w:lineRule="auto"/>
              <w:jc w:val="center"/>
              <w:rPr>
                <w:rFonts w:hint="eastAsia" w:ascii="Times New Roman" w:hAnsi="Times New Roman" w:eastAsia="宋体" w:cs="Times New Roman"/>
                <w:kern w:val="2"/>
                <w:sz w:val="18"/>
                <w:szCs w:val="18"/>
                <w:lang w:val="en-US" w:eastAsia="zh-CN" w:bidi="ar-SA"/>
              </w:rPr>
            </w:pPr>
            <w:r>
              <w:rPr>
                <w:sz w:val="18"/>
                <w:szCs w:val="18"/>
              </w:rPr>
              <w:t>2.0</w:t>
            </w:r>
            <w:r>
              <w:rPr>
                <w:rFonts w:hint="eastAsia"/>
                <w:sz w:val="18"/>
                <w:szCs w:val="18"/>
              </w:rPr>
              <w:t>级</w:t>
            </w:r>
          </w:p>
        </w:tc>
        <w:tc>
          <w:tcPr>
            <w:tcW w:w="2162" w:type="pct"/>
            <w:shd w:val="clear" w:color="auto" w:fill="auto"/>
            <w:vAlign w:val="center"/>
          </w:tcPr>
          <w:p w14:paraId="79237508">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kern w:val="2"/>
                <w:sz w:val="18"/>
                <w:szCs w:val="18"/>
              </w:rPr>
              <w:t>JJG 640 差压式流量计</w:t>
            </w:r>
          </w:p>
        </w:tc>
      </w:tr>
      <w:tr w14:paraId="5D272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tcPr>
          <w:p w14:paraId="61E3A518">
            <w:pPr>
              <w:spacing w:line="240" w:lineRule="auto"/>
              <w:jc w:val="center"/>
              <w:rPr>
                <w:rFonts w:hint="eastAsia"/>
                <w:sz w:val="18"/>
                <w:szCs w:val="18"/>
                <w:vertAlign w:val="baseline"/>
                <w:lang w:val="en-US" w:eastAsia="zh-CN"/>
              </w:rPr>
            </w:pPr>
          </w:p>
        </w:tc>
        <w:tc>
          <w:tcPr>
            <w:tcW w:w="1375" w:type="pct"/>
            <w:vMerge w:val="continue"/>
            <w:vAlign w:val="top"/>
          </w:tcPr>
          <w:p w14:paraId="705E6BEC">
            <w:pPr>
              <w:spacing w:line="240" w:lineRule="auto"/>
              <w:jc w:val="center"/>
              <w:rPr>
                <w:rFonts w:hint="eastAsia" w:ascii="宋体" w:hAnsi="宋体" w:cs="宋体"/>
                <w:kern w:val="2"/>
                <w:sz w:val="18"/>
                <w:szCs w:val="18"/>
                <w:lang w:val="en-US" w:eastAsia="zh-CN" w:bidi="ar-SA"/>
              </w:rPr>
            </w:pPr>
          </w:p>
        </w:tc>
        <w:tc>
          <w:tcPr>
            <w:tcW w:w="865" w:type="pct"/>
            <w:vMerge w:val="continue"/>
            <w:shd w:val="clear" w:color="auto" w:fill="auto"/>
            <w:vAlign w:val="top"/>
          </w:tcPr>
          <w:p w14:paraId="1A6D13CF">
            <w:pPr>
              <w:pStyle w:val="7"/>
              <w:spacing w:line="240" w:lineRule="auto"/>
              <w:ind w:left="0" w:leftChars="0"/>
              <w:jc w:val="center"/>
              <w:rPr>
                <w:rFonts w:hint="eastAsia" w:ascii="Times New Roman" w:hAnsi="Times New Roman" w:eastAsia="宋体" w:cs="Times New Roman"/>
                <w:kern w:val="2"/>
                <w:sz w:val="18"/>
                <w:szCs w:val="18"/>
                <w:lang w:val="en-US" w:eastAsia="zh-CN" w:bidi="ar-SA"/>
              </w:rPr>
            </w:pPr>
          </w:p>
        </w:tc>
        <w:tc>
          <w:tcPr>
            <w:tcW w:w="0" w:type="auto"/>
            <w:shd w:val="clear" w:color="auto" w:fill="auto"/>
            <w:vAlign w:val="center"/>
          </w:tcPr>
          <w:p w14:paraId="5F900A87">
            <w:pPr>
              <w:pStyle w:val="63"/>
              <w:ind w:firstLine="0" w:firstLineChars="0"/>
              <w:jc w:val="center"/>
              <w:rPr>
                <w:rFonts w:ascii="Times New Roman"/>
                <w:kern w:val="2"/>
                <w:sz w:val="18"/>
                <w:szCs w:val="18"/>
              </w:rPr>
            </w:pPr>
            <w:r>
              <w:rPr>
                <w:rFonts w:ascii="Times New Roman"/>
                <w:kern w:val="2"/>
                <w:sz w:val="18"/>
                <w:szCs w:val="18"/>
              </w:rPr>
              <w:t>JJG 1037 涡轮流量计</w:t>
            </w:r>
          </w:p>
          <w:p w14:paraId="63A7352B">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kern w:val="2"/>
                <w:sz w:val="18"/>
                <w:szCs w:val="18"/>
              </w:rPr>
              <w:t>JJG 1038 科里奥利质量流量计</w:t>
            </w:r>
          </w:p>
        </w:tc>
      </w:tr>
      <w:tr w14:paraId="7977A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tcPr>
          <w:p w14:paraId="4DD20167">
            <w:pPr>
              <w:spacing w:line="240" w:lineRule="auto"/>
              <w:jc w:val="center"/>
              <w:rPr>
                <w:rFonts w:hint="eastAsia"/>
                <w:sz w:val="18"/>
                <w:szCs w:val="18"/>
                <w:vertAlign w:val="baseline"/>
                <w:lang w:val="en-US" w:eastAsia="zh-CN"/>
              </w:rPr>
            </w:pPr>
          </w:p>
        </w:tc>
        <w:tc>
          <w:tcPr>
            <w:tcW w:w="1375" w:type="pct"/>
            <w:vMerge w:val="continue"/>
            <w:vAlign w:val="top"/>
          </w:tcPr>
          <w:p w14:paraId="6EEF51FF">
            <w:pPr>
              <w:spacing w:line="240" w:lineRule="auto"/>
              <w:jc w:val="center"/>
              <w:rPr>
                <w:rFonts w:hint="eastAsia" w:ascii="宋体" w:hAnsi="宋体" w:cs="宋体"/>
                <w:kern w:val="2"/>
                <w:sz w:val="18"/>
                <w:szCs w:val="18"/>
                <w:lang w:val="en-US" w:eastAsia="zh-CN" w:bidi="ar-SA"/>
              </w:rPr>
            </w:pPr>
          </w:p>
        </w:tc>
        <w:tc>
          <w:tcPr>
            <w:tcW w:w="865" w:type="pct"/>
            <w:vMerge w:val="continue"/>
            <w:shd w:val="clear" w:color="auto" w:fill="auto"/>
            <w:vAlign w:val="top"/>
          </w:tcPr>
          <w:p w14:paraId="0629A3CF">
            <w:pPr>
              <w:pStyle w:val="7"/>
              <w:spacing w:line="240" w:lineRule="auto"/>
              <w:ind w:left="0" w:leftChars="0"/>
              <w:jc w:val="center"/>
              <w:rPr>
                <w:rFonts w:hint="eastAsia" w:ascii="Times New Roman" w:hAnsi="Times New Roman" w:eastAsia="宋体" w:cs="Times New Roman"/>
                <w:kern w:val="2"/>
                <w:sz w:val="18"/>
                <w:szCs w:val="18"/>
                <w:lang w:val="en-US" w:eastAsia="zh-CN" w:bidi="ar-SA"/>
              </w:rPr>
            </w:pPr>
          </w:p>
        </w:tc>
        <w:tc>
          <w:tcPr>
            <w:tcW w:w="0" w:type="auto"/>
            <w:shd w:val="clear" w:color="auto" w:fill="auto"/>
            <w:vAlign w:val="center"/>
          </w:tcPr>
          <w:p w14:paraId="6B1FDAD2">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kern w:val="2"/>
                <w:sz w:val="18"/>
                <w:szCs w:val="18"/>
              </w:rPr>
              <w:t>JJG 1029 涡街流量计</w:t>
            </w:r>
          </w:p>
        </w:tc>
      </w:tr>
      <w:tr w14:paraId="01372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tcPr>
          <w:p w14:paraId="199F016C">
            <w:pPr>
              <w:spacing w:line="240" w:lineRule="auto"/>
              <w:jc w:val="center"/>
              <w:rPr>
                <w:rFonts w:hint="eastAsia"/>
                <w:sz w:val="18"/>
                <w:szCs w:val="18"/>
                <w:vertAlign w:val="baseline"/>
                <w:lang w:val="en-US" w:eastAsia="zh-CN"/>
              </w:rPr>
            </w:pPr>
          </w:p>
        </w:tc>
        <w:tc>
          <w:tcPr>
            <w:tcW w:w="1375" w:type="pct"/>
            <w:vMerge w:val="continue"/>
            <w:vAlign w:val="top"/>
          </w:tcPr>
          <w:p w14:paraId="6656EB8D">
            <w:pPr>
              <w:spacing w:line="240" w:lineRule="auto"/>
              <w:jc w:val="center"/>
              <w:rPr>
                <w:rFonts w:hint="eastAsia" w:ascii="宋体" w:hAnsi="宋体" w:cs="宋体"/>
                <w:kern w:val="2"/>
                <w:sz w:val="18"/>
                <w:szCs w:val="18"/>
                <w:lang w:val="en-US" w:eastAsia="zh-CN" w:bidi="ar-SA"/>
              </w:rPr>
            </w:pPr>
          </w:p>
        </w:tc>
        <w:tc>
          <w:tcPr>
            <w:tcW w:w="865" w:type="pct"/>
            <w:vMerge w:val="continue"/>
            <w:shd w:val="clear" w:color="auto" w:fill="auto"/>
            <w:vAlign w:val="top"/>
          </w:tcPr>
          <w:p w14:paraId="6A0B7FAD">
            <w:pPr>
              <w:pStyle w:val="7"/>
              <w:spacing w:line="240" w:lineRule="auto"/>
              <w:ind w:left="0" w:leftChars="0"/>
              <w:jc w:val="center"/>
              <w:rPr>
                <w:rFonts w:hint="eastAsia" w:ascii="Times New Roman" w:hAnsi="Times New Roman" w:eastAsia="宋体" w:cs="Times New Roman"/>
                <w:kern w:val="2"/>
                <w:sz w:val="18"/>
                <w:szCs w:val="18"/>
                <w:lang w:val="en-US" w:eastAsia="zh-CN" w:bidi="ar-SA"/>
              </w:rPr>
            </w:pPr>
          </w:p>
        </w:tc>
        <w:tc>
          <w:tcPr>
            <w:tcW w:w="0" w:type="auto"/>
            <w:shd w:val="clear" w:color="auto" w:fill="auto"/>
            <w:vAlign w:val="center"/>
          </w:tcPr>
          <w:p w14:paraId="13C89B69">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kern w:val="2"/>
                <w:sz w:val="18"/>
                <w:szCs w:val="18"/>
              </w:rPr>
              <w:t>JJG 1030 超声流量计</w:t>
            </w:r>
          </w:p>
        </w:tc>
      </w:tr>
      <w:tr w14:paraId="0113A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tcPr>
          <w:p w14:paraId="0DD0B2CA">
            <w:pPr>
              <w:spacing w:line="240" w:lineRule="auto"/>
              <w:jc w:val="center"/>
              <w:rPr>
                <w:rFonts w:hint="eastAsia"/>
                <w:sz w:val="18"/>
                <w:szCs w:val="18"/>
                <w:vertAlign w:val="baseline"/>
                <w:lang w:val="en-US" w:eastAsia="zh-CN"/>
              </w:rPr>
            </w:pPr>
          </w:p>
        </w:tc>
        <w:tc>
          <w:tcPr>
            <w:tcW w:w="1375" w:type="pct"/>
            <w:vMerge w:val="continue"/>
            <w:vAlign w:val="top"/>
          </w:tcPr>
          <w:p w14:paraId="6AAFDA9D">
            <w:pPr>
              <w:spacing w:line="240" w:lineRule="auto"/>
              <w:jc w:val="center"/>
              <w:rPr>
                <w:rFonts w:hint="eastAsia" w:ascii="宋体" w:hAnsi="宋体" w:cs="宋体"/>
                <w:kern w:val="2"/>
                <w:sz w:val="18"/>
                <w:szCs w:val="18"/>
                <w:lang w:val="en-US" w:eastAsia="zh-CN" w:bidi="ar-SA"/>
              </w:rPr>
            </w:pPr>
          </w:p>
        </w:tc>
        <w:tc>
          <w:tcPr>
            <w:tcW w:w="865" w:type="pct"/>
            <w:vMerge w:val="continue"/>
            <w:shd w:val="clear" w:color="auto" w:fill="auto"/>
            <w:vAlign w:val="top"/>
          </w:tcPr>
          <w:p w14:paraId="73376646">
            <w:pPr>
              <w:pStyle w:val="7"/>
              <w:spacing w:line="240" w:lineRule="auto"/>
              <w:ind w:left="0" w:leftChars="0"/>
              <w:jc w:val="center"/>
              <w:rPr>
                <w:rFonts w:hint="eastAsia" w:ascii="Times New Roman" w:hAnsi="Times New Roman" w:eastAsia="宋体" w:cs="Times New Roman"/>
                <w:kern w:val="2"/>
                <w:sz w:val="18"/>
                <w:szCs w:val="18"/>
                <w:lang w:val="en-US" w:eastAsia="zh-CN" w:bidi="ar-SA"/>
              </w:rPr>
            </w:pPr>
          </w:p>
        </w:tc>
        <w:tc>
          <w:tcPr>
            <w:tcW w:w="0" w:type="auto"/>
            <w:shd w:val="clear" w:color="auto" w:fill="auto"/>
            <w:vAlign w:val="center"/>
          </w:tcPr>
          <w:p w14:paraId="6387199F">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kern w:val="2"/>
                <w:sz w:val="18"/>
                <w:szCs w:val="18"/>
              </w:rPr>
              <w:t>JJG 1121 旋进旋涡流量计</w:t>
            </w:r>
          </w:p>
        </w:tc>
      </w:tr>
      <w:tr w14:paraId="710F3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shd w:val="clear" w:color="auto" w:fill="auto"/>
            <w:vAlign w:val="center"/>
          </w:tcPr>
          <w:p w14:paraId="1A2F78C3">
            <w:pPr>
              <w:adjustRightInd w:val="0"/>
              <w:spacing w:line="240" w:lineRule="auto"/>
              <w:jc w:val="center"/>
              <w:rPr>
                <w:rFonts w:hint="eastAsia" w:ascii="Times New Roman" w:hAnsi="Times New Roman" w:eastAsia="宋体" w:cstheme="minorBidi"/>
                <w:kern w:val="2"/>
                <w:sz w:val="18"/>
                <w:szCs w:val="18"/>
                <w:lang w:val="en-US" w:eastAsia="zh-CN" w:bidi="ar-SA"/>
              </w:rPr>
            </w:pPr>
          </w:p>
        </w:tc>
        <w:tc>
          <w:tcPr>
            <w:tcW w:w="1375" w:type="pct"/>
            <w:vMerge w:val="restart"/>
            <w:shd w:val="clear" w:color="auto" w:fill="auto"/>
            <w:vAlign w:val="center"/>
          </w:tcPr>
          <w:p w14:paraId="5083E0F9">
            <w:pPr>
              <w:adjustRightInd w:val="0"/>
              <w:spacing w:line="240" w:lineRule="auto"/>
              <w:jc w:val="center"/>
              <w:rPr>
                <w:rFonts w:hint="eastAsia" w:ascii="Times New Roman" w:hAnsi="Times New Roman" w:eastAsia="宋体" w:cstheme="minorBidi"/>
                <w:kern w:val="2"/>
                <w:sz w:val="18"/>
                <w:szCs w:val="18"/>
                <w:lang w:val="en-US" w:eastAsia="zh-CN" w:bidi="ar-SA"/>
              </w:rPr>
            </w:pPr>
            <w:r>
              <w:rPr>
                <w:sz w:val="18"/>
                <w:szCs w:val="18"/>
              </w:rPr>
              <w:t>热水流量计</w:t>
            </w:r>
          </w:p>
        </w:tc>
        <w:tc>
          <w:tcPr>
            <w:tcW w:w="865" w:type="pct"/>
            <w:vMerge w:val="restart"/>
            <w:shd w:val="clear" w:color="auto" w:fill="auto"/>
            <w:vAlign w:val="center"/>
          </w:tcPr>
          <w:p w14:paraId="17238EBC">
            <w:pPr>
              <w:adjustRightInd w:val="0"/>
              <w:spacing w:line="240" w:lineRule="auto"/>
              <w:jc w:val="center"/>
              <w:rPr>
                <w:rFonts w:hint="eastAsia" w:ascii="Times New Roman" w:hAnsi="Times New Roman" w:eastAsia="宋体" w:cs="Times New Roman"/>
                <w:kern w:val="2"/>
                <w:sz w:val="18"/>
                <w:szCs w:val="18"/>
                <w:lang w:val="en-US" w:eastAsia="zh-CN" w:bidi="ar-SA"/>
              </w:rPr>
            </w:pPr>
            <w:r>
              <w:rPr>
                <w:sz w:val="18"/>
                <w:szCs w:val="18"/>
              </w:rPr>
              <w:t>2.</w:t>
            </w:r>
            <w:r>
              <w:rPr>
                <w:rFonts w:hint="eastAsia"/>
                <w:sz w:val="18"/>
                <w:szCs w:val="18"/>
              </w:rPr>
              <w:t>0级及以上</w:t>
            </w:r>
          </w:p>
        </w:tc>
        <w:tc>
          <w:tcPr>
            <w:tcW w:w="0" w:type="auto"/>
            <w:shd w:val="clear" w:color="auto" w:fill="auto"/>
            <w:vAlign w:val="center"/>
          </w:tcPr>
          <w:p w14:paraId="5AB821F8">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kern w:val="2"/>
                <w:sz w:val="18"/>
                <w:szCs w:val="18"/>
              </w:rPr>
              <w:t>JJG 1029 涡街流量计</w:t>
            </w:r>
          </w:p>
        </w:tc>
      </w:tr>
      <w:tr w14:paraId="3FF7F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tcPr>
          <w:p w14:paraId="1D3A074A">
            <w:pPr>
              <w:spacing w:line="240" w:lineRule="auto"/>
              <w:jc w:val="center"/>
              <w:rPr>
                <w:rFonts w:hint="eastAsia"/>
                <w:sz w:val="18"/>
                <w:szCs w:val="18"/>
                <w:vertAlign w:val="baseline"/>
                <w:lang w:val="en-US" w:eastAsia="zh-CN"/>
              </w:rPr>
            </w:pPr>
          </w:p>
        </w:tc>
        <w:tc>
          <w:tcPr>
            <w:tcW w:w="1375" w:type="pct"/>
            <w:vMerge w:val="continue"/>
            <w:vAlign w:val="top"/>
          </w:tcPr>
          <w:p w14:paraId="795BE15D">
            <w:pPr>
              <w:spacing w:line="240" w:lineRule="auto"/>
              <w:jc w:val="center"/>
              <w:rPr>
                <w:rFonts w:hint="eastAsia" w:ascii="宋体" w:hAnsi="宋体" w:cs="宋体"/>
                <w:kern w:val="2"/>
                <w:sz w:val="18"/>
                <w:szCs w:val="18"/>
                <w:lang w:val="en-US" w:eastAsia="zh-CN" w:bidi="ar-SA"/>
              </w:rPr>
            </w:pPr>
          </w:p>
        </w:tc>
        <w:tc>
          <w:tcPr>
            <w:tcW w:w="865" w:type="pct"/>
            <w:vMerge w:val="continue"/>
            <w:shd w:val="clear" w:color="auto" w:fill="auto"/>
            <w:vAlign w:val="top"/>
          </w:tcPr>
          <w:p w14:paraId="68FE8A7E">
            <w:pPr>
              <w:pStyle w:val="7"/>
              <w:spacing w:line="240" w:lineRule="auto"/>
              <w:ind w:left="0" w:leftChars="0"/>
              <w:jc w:val="center"/>
              <w:rPr>
                <w:rFonts w:hint="eastAsia" w:ascii="Times New Roman" w:hAnsi="Times New Roman" w:eastAsia="宋体" w:cs="Times New Roman"/>
                <w:kern w:val="2"/>
                <w:sz w:val="18"/>
                <w:szCs w:val="18"/>
                <w:lang w:val="en-US" w:eastAsia="zh-CN" w:bidi="ar-SA"/>
              </w:rPr>
            </w:pPr>
          </w:p>
        </w:tc>
        <w:tc>
          <w:tcPr>
            <w:tcW w:w="0" w:type="auto"/>
            <w:shd w:val="clear" w:color="auto" w:fill="auto"/>
            <w:vAlign w:val="center"/>
          </w:tcPr>
          <w:p w14:paraId="4018486B">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kern w:val="2"/>
                <w:sz w:val="18"/>
                <w:szCs w:val="18"/>
              </w:rPr>
              <w:t>JJG 1030 超声流量计</w:t>
            </w:r>
          </w:p>
        </w:tc>
      </w:tr>
      <w:tr w14:paraId="2B3B1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tcPr>
          <w:p w14:paraId="1CCCE951">
            <w:pPr>
              <w:spacing w:line="240" w:lineRule="auto"/>
              <w:jc w:val="center"/>
              <w:rPr>
                <w:rFonts w:hint="eastAsia"/>
                <w:sz w:val="18"/>
                <w:szCs w:val="18"/>
                <w:vertAlign w:val="baseline"/>
                <w:lang w:val="en-US" w:eastAsia="zh-CN"/>
              </w:rPr>
            </w:pPr>
          </w:p>
        </w:tc>
        <w:tc>
          <w:tcPr>
            <w:tcW w:w="1375" w:type="pct"/>
            <w:vMerge w:val="continue"/>
            <w:vAlign w:val="top"/>
          </w:tcPr>
          <w:p w14:paraId="3BAE52E9">
            <w:pPr>
              <w:spacing w:line="240" w:lineRule="auto"/>
              <w:jc w:val="center"/>
              <w:rPr>
                <w:rFonts w:hint="eastAsia" w:ascii="宋体" w:hAnsi="宋体" w:cs="宋体"/>
                <w:kern w:val="2"/>
                <w:sz w:val="18"/>
                <w:szCs w:val="18"/>
                <w:lang w:val="en-US" w:eastAsia="zh-CN" w:bidi="ar-SA"/>
              </w:rPr>
            </w:pPr>
          </w:p>
        </w:tc>
        <w:tc>
          <w:tcPr>
            <w:tcW w:w="865" w:type="pct"/>
            <w:vMerge w:val="continue"/>
            <w:shd w:val="clear" w:color="auto" w:fill="auto"/>
            <w:vAlign w:val="top"/>
          </w:tcPr>
          <w:p w14:paraId="58558B64">
            <w:pPr>
              <w:pStyle w:val="7"/>
              <w:spacing w:line="240" w:lineRule="auto"/>
              <w:ind w:left="0" w:leftChars="0"/>
              <w:jc w:val="center"/>
              <w:rPr>
                <w:rFonts w:hint="eastAsia" w:ascii="Times New Roman" w:hAnsi="Times New Roman" w:eastAsia="宋体" w:cs="Times New Roman"/>
                <w:kern w:val="2"/>
                <w:sz w:val="18"/>
                <w:szCs w:val="18"/>
                <w:lang w:val="en-US" w:eastAsia="zh-CN" w:bidi="ar-SA"/>
              </w:rPr>
            </w:pPr>
          </w:p>
        </w:tc>
        <w:tc>
          <w:tcPr>
            <w:tcW w:w="0" w:type="auto"/>
            <w:shd w:val="clear" w:color="auto" w:fill="auto"/>
            <w:vAlign w:val="center"/>
          </w:tcPr>
          <w:p w14:paraId="160B4D0D">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kern w:val="2"/>
                <w:sz w:val="18"/>
                <w:szCs w:val="18"/>
              </w:rPr>
              <w:t>JJG 1033 电磁流量计</w:t>
            </w:r>
          </w:p>
        </w:tc>
      </w:tr>
      <w:tr w14:paraId="6E590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shd w:val="clear" w:color="auto" w:fill="auto"/>
            <w:vAlign w:val="center"/>
          </w:tcPr>
          <w:p w14:paraId="3930298D">
            <w:pPr>
              <w:adjustRightInd w:val="0"/>
              <w:spacing w:line="240" w:lineRule="auto"/>
              <w:jc w:val="center"/>
              <w:rPr>
                <w:rFonts w:hint="eastAsia" w:ascii="Times New Roman" w:hAnsi="Times New Roman" w:eastAsia="宋体" w:cstheme="minorBidi"/>
                <w:kern w:val="2"/>
                <w:sz w:val="18"/>
                <w:szCs w:val="18"/>
                <w:lang w:val="en-US" w:eastAsia="zh-CN" w:bidi="ar-SA"/>
              </w:rPr>
            </w:pPr>
          </w:p>
        </w:tc>
        <w:tc>
          <w:tcPr>
            <w:tcW w:w="1375" w:type="pct"/>
            <w:shd w:val="clear" w:color="auto" w:fill="auto"/>
            <w:vAlign w:val="center"/>
          </w:tcPr>
          <w:p w14:paraId="79D831B0">
            <w:pPr>
              <w:adjustRightInd w:val="0"/>
              <w:spacing w:line="240" w:lineRule="auto"/>
              <w:jc w:val="center"/>
              <w:rPr>
                <w:rFonts w:hint="eastAsia" w:ascii="Times New Roman" w:hAnsi="Times New Roman" w:eastAsia="宋体" w:cstheme="minorBidi"/>
                <w:kern w:val="2"/>
                <w:sz w:val="18"/>
                <w:szCs w:val="18"/>
                <w:lang w:val="en-US" w:eastAsia="zh-CN" w:bidi="ar-SA"/>
              </w:rPr>
            </w:pPr>
            <w:r>
              <w:rPr>
                <w:sz w:val="18"/>
                <w:szCs w:val="18"/>
              </w:rPr>
              <w:t>流量积算仪</w:t>
            </w:r>
          </w:p>
        </w:tc>
        <w:tc>
          <w:tcPr>
            <w:tcW w:w="865" w:type="pct"/>
            <w:shd w:val="clear" w:color="auto" w:fill="auto"/>
            <w:vAlign w:val="center"/>
          </w:tcPr>
          <w:p w14:paraId="2B3A2F72">
            <w:pPr>
              <w:adjustRightInd w:val="0"/>
              <w:spacing w:line="240" w:lineRule="auto"/>
              <w:jc w:val="center"/>
              <w:rPr>
                <w:rFonts w:hint="eastAsia" w:ascii="Times New Roman" w:hAnsi="Times New Roman" w:eastAsia="宋体" w:cs="Times New Roman"/>
                <w:kern w:val="2"/>
                <w:sz w:val="18"/>
                <w:szCs w:val="18"/>
                <w:lang w:val="en-US" w:eastAsia="zh-CN" w:bidi="ar-SA"/>
              </w:rPr>
            </w:pPr>
            <w:r>
              <w:rPr>
                <w:rFonts w:hint="eastAsia"/>
                <w:sz w:val="18"/>
                <w:szCs w:val="18"/>
              </w:rPr>
              <w:t>0.5级</w:t>
            </w:r>
          </w:p>
        </w:tc>
        <w:tc>
          <w:tcPr>
            <w:tcW w:w="0" w:type="auto"/>
            <w:shd w:val="clear" w:color="auto" w:fill="auto"/>
            <w:vAlign w:val="center"/>
          </w:tcPr>
          <w:p w14:paraId="71A4BA5A">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kern w:val="2"/>
                <w:sz w:val="18"/>
                <w:szCs w:val="18"/>
              </w:rPr>
              <w:t>JJG 1003 流量积算仪</w:t>
            </w:r>
          </w:p>
        </w:tc>
      </w:tr>
      <w:tr w14:paraId="0BC8E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shd w:val="clear" w:color="auto" w:fill="auto"/>
            <w:vAlign w:val="center"/>
          </w:tcPr>
          <w:p w14:paraId="7238E035">
            <w:pPr>
              <w:adjustRightInd w:val="0"/>
              <w:spacing w:line="240" w:lineRule="auto"/>
              <w:jc w:val="center"/>
              <w:rPr>
                <w:rFonts w:hint="eastAsia" w:ascii="Times New Roman" w:hAnsi="Times New Roman" w:eastAsia="宋体" w:cstheme="minorBidi"/>
                <w:kern w:val="2"/>
                <w:sz w:val="18"/>
                <w:szCs w:val="18"/>
                <w:lang w:val="en-US" w:eastAsia="zh-CN" w:bidi="ar-SA"/>
              </w:rPr>
            </w:pPr>
          </w:p>
        </w:tc>
        <w:tc>
          <w:tcPr>
            <w:tcW w:w="1375" w:type="pct"/>
            <w:vMerge w:val="restart"/>
            <w:shd w:val="clear" w:color="auto" w:fill="auto"/>
            <w:vAlign w:val="center"/>
          </w:tcPr>
          <w:p w14:paraId="54E7D70D">
            <w:pPr>
              <w:adjustRightInd w:val="0"/>
              <w:spacing w:line="240" w:lineRule="auto"/>
              <w:jc w:val="center"/>
              <w:rPr>
                <w:rFonts w:hint="eastAsia" w:ascii="Times New Roman" w:hAnsi="Times New Roman" w:eastAsia="宋体" w:cstheme="minorBidi"/>
                <w:kern w:val="2"/>
                <w:sz w:val="18"/>
                <w:szCs w:val="18"/>
                <w:lang w:val="en-US" w:eastAsia="zh-CN" w:bidi="ar-SA"/>
              </w:rPr>
            </w:pPr>
            <w:r>
              <w:rPr>
                <w:sz w:val="18"/>
                <w:szCs w:val="18"/>
              </w:rPr>
              <w:t>温度计</w:t>
            </w:r>
          </w:p>
        </w:tc>
        <w:tc>
          <w:tcPr>
            <w:tcW w:w="865" w:type="pct"/>
            <w:vMerge w:val="restart"/>
            <w:shd w:val="clear" w:color="auto" w:fill="auto"/>
            <w:vAlign w:val="center"/>
          </w:tcPr>
          <w:p w14:paraId="0AC2B645">
            <w:pPr>
              <w:adjustRightInd w:val="0"/>
              <w:spacing w:line="240" w:lineRule="auto"/>
              <w:jc w:val="center"/>
              <w:rPr>
                <w:rFonts w:hint="eastAsia" w:ascii="Times New Roman" w:hAnsi="Times New Roman" w:eastAsia="宋体" w:cs="Times New Roman"/>
                <w:kern w:val="2"/>
                <w:sz w:val="18"/>
                <w:szCs w:val="18"/>
                <w:lang w:val="en-US" w:eastAsia="zh-CN" w:bidi="ar-SA"/>
              </w:rPr>
            </w:pPr>
            <w:r>
              <w:rPr>
                <w:rFonts w:hint="eastAsia"/>
                <w:sz w:val="18"/>
                <w:szCs w:val="18"/>
              </w:rPr>
              <w:t>1</w:t>
            </w:r>
            <w:r>
              <w:rPr>
                <w:sz w:val="18"/>
                <w:szCs w:val="18"/>
              </w:rPr>
              <w:t>.0</w:t>
            </w:r>
            <w:r>
              <w:rPr>
                <w:rFonts w:hint="eastAsia"/>
                <w:sz w:val="18"/>
                <w:szCs w:val="18"/>
              </w:rPr>
              <w:t>级</w:t>
            </w:r>
          </w:p>
        </w:tc>
        <w:tc>
          <w:tcPr>
            <w:tcW w:w="0" w:type="auto"/>
            <w:shd w:val="clear" w:color="auto" w:fill="auto"/>
            <w:vAlign w:val="center"/>
          </w:tcPr>
          <w:p w14:paraId="431DE672">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kern w:val="2"/>
                <w:sz w:val="18"/>
                <w:szCs w:val="18"/>
              </w:rPr>
              <w:t>JJG 229 工业铂、铜热电阻</w:t>
            </w:r>
          </w:p>
        </w:tc>
      </w:tr>
      <w:tr w14:paraId="36397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pct"/>
            <w:vMerge w:val="continue"/>
          </w:tcPr>
          <w:p w14:paraId="57AC0A79">
            <w:pPr>
              <w:spacing w:line="240" w:lineRule="auto"/>
              <w:jc w:val="center"/>
              <w:rPr>
                <w:rFonts w:hint="eastAsia"/>
                <w:sz w:val="18"/>
                <w:szCs w:val="18"/>
                <w:vertAlign w:val="baseline"/>
                <w:lang w:val="en-US" w:eastAsia="zh-CN"/>
              </w:rPr>
            </w:pPr>
          </w:p>
        </w:tc>
        <w:tc>
          <w:tcPr>
            <w:tcW w:w="1375" w:type="pct"/>
            <w:vMerge w:val="continue"/>
            <w:vAlign w:val="top"/>
          </w:tcPr>
          <w:p w14:paraId="5C2F6D85">
            <w:pPr>
              <w:spacing w:line="240" w:lineRule="auto"/>
              <w:jc w:val="center"/>
              <w:rPr>
                <w:rFonts w:hint="eastAsia" w:ascii="宋体" w:hAnsi="宋体" w:cs="宋体"/>
                <w:kern w:val="2"/>
                <w:sz w:val="18"/>
                <w:szCs w:val="18"/>
                <w:lang w:val="en-US" w:eastAsia="zh-CN" w:bidi="ar-SA"/>
              </w:rPr>
            </w:pPr>
          </w:p>
        </w:tc>
        <w:tc>
          <w:tcPr>
            <w:tcW w:w="865" w:type="pct"/>
            <w:vMerge w:val="continue"/>
            <w:shd w:val="clear" w:color="auto" w:fill="auto"/>
            <w:vAlign w:val="top"/>
          </w:tcPr>
          <w:p w14:paraId="6FA49FE5">
            <w:pPr>
              <w:pStyle w:val="7"/>
              <w:spacing w:line="240" w:lineRule="auto"/>
              <w:ind w:left="0" w:leftChars="0"/>
              <w:jc w:val="center"/>
              <w:rPr>
                <w:rFonts w:hint="eastAsia" w:ascii="Times New Roman" w:hAnsi="Times New Roman" w:eastAsia="宋体" w:cs="Times New Roman"/>
                <w:kern w:val="2"/>
                <w:sz w:val="18"/>
                <w:szCs w:val="18"/>
                <w:lang w:val="en-US" w:eastAsia="zh-CN" w:bidi="ar-SA"/>
              </w:rPr>
            </w:pPr>
          </w:p>
        </w:tc>
        <w:tc>
          <w:tcPr>
            <w:tcW w:w="0" w:type="auto"/>
            <w:shd w:val="clear" w:color="auto" w:fill="auto"/>
            <w:vAlign w:val="center"/>
          </w:tcPr>
          <w:p w14:paraId="55F13079">
            <w:pPr>
              <w:pStyle w:val="63"/>
              <w:ind w:firstLine="0" w:firstLineChars="0"/>
              <w:jc w:val="center"/>
              <w:rPr>
                <w:rFonts w:hint="eastAsia" w:ascii="Times New Roman" w:hAnsi="Times New Roman" w:eastAsia="宋体" w:cs="Times New Roman"/>
                <w:kern w:val="2"/>
                <w:sz w:val="18"/>
                <w:szCs w:val="18"/>
                <w:lang w:val="en-US" w:eastAsia="zh-CN" w:bidi="ar-SA"/>
              </w:rPr>
            </w:pPr>
            <w:r>
              <w:rPr>
                <w:rFonts w:ascii="Times New Roman"/>
                <w:kern w:val="2"/>
                <w:sz w:val="18"/>
                <w:szCs w:val="18"/>
              </w:rPr>
              <w:t>JJG 160 标准铂</w:t>
            </w:r>
            <w:r>
              <w:rPr>
                <w:rFonts w:hint="eastAsia" w:ascii="Times New Roman" w:hAnsi="Calibri"/>
                <w:kern w:val="2"/>
                <w:sz w:val="18"/>
                <w:szCs w:val="18"/>
              </w:rPr>
              <w:t>电阻</w:t>
            </w:r>
            <w:r>
              <w:rPr>
                <w:rFonts w:ascii="Times New Roman"/>
                <w:kern w:val="2"/>
                <w:sz w:val="18"/>
                <w:szCs w:val="18"/>
              </w:rPr>
              <w:t>温度计</w:t>
            </w:r>
          </w:p>
        </w:tc>
      </w:tr>
    </w:tbl>
    <w:p w14:paraId="63D5AB2F">
      <w:pPr>
        <w:pStyle w:val="12"/>
        <w:ind w:firstLine="0" w:firstLineChars="0"/>
        <w:rPr>
          <w:rFonts w:hint="eastAsia"/>
          <w:lang w:val="en-US" w:eastAsia="zh-CN"/>
        </w:rPr>
      </w:pPr>
    </w:p>
    <w:p w14:paraId="6D3FB476">
      <w:pPr>
        <w:rPr>
          <w:rFonts w:hint="eastAsia"/>
          <w:lang w:val="en-US" w:eastAsia="zh-CN"/>
        </w:rPr>
      </w:pPr>
      <w:r>
        <w:rPr>
          <w:rFonts w:hint="eastAsia"/>
        </w:rPr>
        <w:t>B.</w:t>
      </w:r>
      <w:r>
        <w:rPr>
          <w:rFonts w:hint="eastAsia"/>
          <w:lang w:val="en-US" w:eastAsia="zh-CN"/>
        </w:rPr>
        <w:t>3</w:t>
      </w:r>
      <w:r>
        <w:rPr>
          <w:rFonts w:hint="eastAsia"/>
        </w:rPr>
        <w:t xml:space="preserve"> 部分化石燃料采样、制样和含碳量测定方法见</w:t>
      </w:r>
      <w:r>
        <w:rPr>
          <w:rFonts w:hint="eastAsia"/>
          <w:lang w:val="en-US" w:eastAsia="zh-CN"/>
        </w:rPr>
        <w:t>表</w:t>
      </w:r>
      <w:r>
        <w:rPr>
          <w:rFonts w:hint="eastAsia"/>
        </w:rPr>
        <w:t>B.</w:t>
      </w:r>
      <w:r>
        <w:rPr>
          <w:rFonts w:hint="eastAsia"/>
          <w:lang w:val="en-US" w:eastAsia="zh-CN"/>
        </w:rPr>
        <w:t>3</w:t>
      </w:r>
      <w:r>
        <w:rPr>
          <w:rFonts w:hint="eastAsia"/>
        </w:rPr>
        <w:t>。</w:t>
      </w:r>
    </w:p>
    <w:p w14:paraId="1B25B67A">
      <w:pPr>
        <w:pStyle w:val="8"/>
        <w:rPr>
          <w:rFonts w:hint="default"/>
          <w:lang w:val="en-US" w:eastAsia="zh-CN"/>
        </w:rPr>
      </w:pPr>
      <w:r>
        <w:rPr>
          <w:rFonts w:hint="eastAsia"/>
          <w:lang w:val="en-US" w:eastAsia="zh-CN"/>
        </w:rPr>
        <w:t>表</w:t>
      </w:r>
      <w:r>
        <w:rPr>
          <w:rFonts w:hint="eastAsia"/>
        </w:rPr>
        <w:t>B.3</w:t>
      </w:r>
      <w:r>
        <w:rPr>
          <w:rFonts w:hint="eastAsia"/>
          <w:lang w:val="en-US" w:eastAsia="zh-CN"/>
        </w:rPr>
        <w:t xml:space="preserve"> 部分化石燃料含碳量测定方法及依据</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14:paraId="6CED3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center"/>
          </w:tcPr>
          <w:p w14:paraId="0F179569">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测定活动</w:t>
            </w:r>
          </w:p>
        </w:tc>
        <w:tc>
          <w:tcPr>
            <w:tcW w:w="2841" w:type="dxa"/>
            <w:vAlign w:val="center"/>
          </w:tcPr>
          <w:p w14:paraId="0A91B716">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燃料</w:t>
            </w:r>
          </w:p>
        </w:tc>
        <w:tc>
          <w:tcPr>
            <w:tcW w:w="2841" w:type="dxa"/>
            <w:vAlign w:val="center"/>
          </w:tcPr>
          <w:p w14:paraId="6BF5BF28">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测定方法依据标准</w:t>
            </w:r>
          </w:p>
        </w:tc>
      </w:tr>
      <w:tr w14:paraId="44125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restart"/>
            <w:vAlign w:val="center"/>
          </w:tcPr>
          <w:p w14:paraId="2ABC7305">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采样活动</w:t>
            </w:r>
          </w:p>
        </w:tc>
        <w:tc>
          <w:tcPr>
            <w:tcW w:w="2841" w:type="dxa"/>
            <w:vMerge w:val="restart"/>
            <w:vAlign w:val="center"/>
          </w:tcPr>
          <w:p w14:paraId="271E2062">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煤炭</w:t>
            </w:r>
          </w:p>
        </w:tc>
        <w:tc>
          <w:tcPr>
            <w:tcW w:w="2841" w:type="dxa"/>
            <w:vAlign w:val="center"/>
          </w:tcPr>
          <w:p w14:paraId="3A5CAE69">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GB/T 475</w:t>
            </w:r>
          </w:p>
        </w:tc>
      </w:tr>
      <w:tr w14:paraId="77BAA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vAlign w:val="center"/>
          </w:tcPr>
          <w:p w14:paraId="158640C3">
            <w:pPr>
              <w:pStyle w:val="12"/>
              <w:ind w:firstLine="0" w:firstLineChars="0"/>
              <w:jc w:val="center"/>
              <w:rPr>
                <w:rFonts w:hint="eastAsia" w:ascii="Times New Roman" w:hAnsi="Times New Roman" w:eastAsia="宋体"/>
                <w:sz w:val="18"/>
                <w:szCs w:val="18"/>
                <w:vertAlign w:val="baseline"/>
                <w:lang w:val="en-US" w:eastAsia="zh-CN"/>
              </w:rPr>
            </w:pPr>
          </w:p>
        </w:tc>
        <w:tc>
          <w:tcPr>
            <w:tcW w:w="2841" w:type="dxa"/>
            <w:vMerge w:val="continue"/>
            <w:vAlign w:val="center"/>
          </w:tcPr>
          <w:p w14:paraId="1ADBD15A">
            <w:pPr>
              <w:pStyle w:val="12"/>
              <w:ind w:firstLine="0" w:firstLineChars="0"/>
              <w:jc w:val="center"/>
              <w:rPr>
                <w:rFonts w:hint="eastAsia" w:ascii="Times New Roman" w:hAnsi="Times New Roman" w:eastAsia="宋体"/>
                <w:sz w:val="18"/>
                <w:szCs w:val="18"/>
                <w:vertAlign w:val="baseline"/>
                <w:lang w:val="en-US" w:eastAsia="zh-CN"/>
              </w:rPr>
            </w:pPr>
          </w:p>
        </w:tc>
        <w:tc>
          <w:tcPr>
            <w:tcW w:w="2841" w:type="dxa"/>
            <w:vAlign w:val="center"/>
          </w:tcPr>
          <w:p w14:paraId="77D6C86B">
            <w:pPr>
              <w:pStyle w:val="12"/>
              <w:ind w:firstLine="0" w:firstLineChars="0"/>
              <w:jc w:val="center"/>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GB/T19494.1</w:t>
            </w:r>
          </w:p>
        </w:tc>
      </w:tr>
      <w:tr w14:paraId="47B1D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vAlign w:val="center"/>
          </w:tcPr>
          <w:p w14:paraId="27323852">
            <w:pPr>
              <w:pStyle w:val="12"/>
              <w:ind w:firstLine="0" w:firstLineChars="0"/>
              <w:jc w:val="center"/>
              <w:rPr>
                <w:rFonts w:hint="eastAsia" w:ascii="Times New Roman" w:hAnsi="Times New Roman" w:eastAsia="宋体"/>
                <w:sz w:val="18"/>
                <w:szCs w:val="18"/>
                <w:vertAlign w:val="baseline"/>
                <w:lang w:val="en-US" w:eastAsia="zh-CN"/>
              </w:rPr>
            </w:pPr>
          </w:p>
        </w:tc>
        <w:tc>
          <w:tcPr>
            <w:tcW w:w="2841" w:type="dxa"/>
            <w:vAlign w:val="center"/>
          </w:tcPr>
          <w:p w14:paraId="0E80E8C5">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天然气</w:t>
            </w:r>
          </w:p>
        </w:tc>
        <w:tc>
          <w:tcPr>
            <w:tcW w:w="2841" w:type="dxa"/>
            <w:vAlign w:val="center"/>
          </w:tcPr>
          <w:p w14:paraId="0644615D">
            <w:pPr>
              <w:pStyle w:val="12"/>
              <w:ind w:firstLine="0" w:firstLineChars="0"/>
              <w:jc w:val="center"/>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GB/T13609</w:t>
            </w:r>
          </w:p>
        </w:tc>
      </w:tr>
      <w:tr w14:paraId="26B7B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vAlign w:val="center"/>
          </w:tcPr>
          <w:p w14:paraId="75E30A72">
            <w:pPr>
              <w:pStyle w:val="12"/>
              <w:ind w:firstLine="0" w:firstLineChars="0"/>
              <w:jc w:val="center"/>
              <w:rPr>
                <w:rFonts w:hint="eastAsia" w:ascii="Times New Roman" w:hAnsi="Times New Roman" w:eastAsia="宋体"/>
                <w:sz w:val="18"/>
                <w:szCs w:val="18"/>
                <w:vertAlign w:val="baseline"/>
                <w:lang w:val="en-US" w:eastAsia="zh-CN"/>
              </w:rPr>
            </w:pPr>
          </w:p>
        </w:tc>
        <w:tc>
          <w:tcPr>
            <w:tcW w:w="2841" w:type="dxa"/>
            <w:vMerge w:val="restart"/>
            <w:vAlign w:val="center"/>
          </w:tcPr>
          <w:p w14:paraId="7DD55392">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燃油</w:t>
            </w:r>
          </w:p>
        </w:tc>
        <w:tc>
          <w:tcPr>
            <w:tcW w:w="2841" w:type="dxa"/>
            <w:vAlign w:val="center"/>
          </w:tcPr>
          <w:p w14:paraId="023D32AB">
            <w:pPr>
              <w:pStyle w:val="12"/>
              <w:ind w:firstLine="0" w:firstLineChars="0"/>
              <w:jc w:val="center"/>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GB/T4756</w:t>
            </w:r>
          </w:p>
        </w:tc>
      </w:tr>
      <w:tr w14:paraId="6BAFD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vAlign w:val="center"/>
          </w:tcPr>
          <w:p w14:paraId="18926002">
            <w:pPr>
              <w:pStyle w:val="12"/>
              <w:ind w:firstLine="0" w:firstLineChars="0"/>
              <w:jc w:val="center"/>
              <w:rPr>
                <w:rFonts w:hint="eastAsia" w:ascii="Times New Roman" w:hAnsi="Times New Roman" w:eastAsia="宋体"/>
                <w:sz w:val="18"/>
                <w:szCs w:val="18"/>
                <w:vertAlign w:val="baseline"/>
                <w:lang w:val="en-US" w:eastAsia="zh-CN"/>
              </w:rPr>
            </w:pPr>
          </w:p>
        </w:tc>
        <w:tc>
          <w:tcPr>
            <w:tcW w:w="2841" w:type="dxa"/>
            <w:vMerge w:val="continue"/>
            <w:vAlign w:val="center"/>
          </w:tcPr>
          <w:p w14:paraId="3CF96DDE">
            <w:pPr>
              <w:pStyle w:val="12"/>
              <w:ind w:firstLine="0" w:firstLineChars="0"/>
              <w:jc w:val="center"/>
              <w:rPr>
                <w:rFonts w:hint="eastAsia" w:ascii="Times New Roman" w:hAnsi="Times New Roman" w:eastAsia="宋体"/>
                <w:sz w:val="18"/>
                <w:szCs w:val="18"/>
                <w:vertAlign w:val="baseline"/>
                <w:lang w:val="en-US" w:eastAsia="zh-CN"/>
              </w:rPr>
            </w:pPr>
          </w:p>
        </w:tc>
        <w:tc>
          <w:tcPr>
            <w:tcW w:w="2841" w:type="dxa"/>
            <w:vAlign w:val="center"/>
          </w:tcPr>
          <w:p w14:paraId="39F4C175">
            <w:pPr>
              <w:pStyle w:val="12"/>
              <w:ind w:firstLine="0" w:firstLineChars="0"/>
              <w:jc w:val="center"/>
              <w:rPr>
                <w:rFonts w:ascii="Times New Roman" w:hAnsi="Times New Roman" w:eastAsia="宋体" w:cs="宋体"/>
                <w:sz w:val="18"/>
                <w:szCs w:val="18"/>
              </w:rPr>
            </w:pPr>
            <w:r>
              <w:rPr>
                <w:rFonts w:ascii="Times New Roman" w:hAnsi="Times New Roman" w:eastAsia="宋体" w:cs="宋体"/>
                <w:sz w:val="18"/>
                <w:szCs w:val="18"/>
              </w:rPr>
              <w:t>GB/T20603</w:t>
            </w:r>
          </w:p>
        </w:tc>
      </w:tr>
      <w:tr w14:paraId="52B40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restart"/>
            <w:vAlign w:val="center"/>
          </w:tcPr>
          <w:p w14:paraId="03AD9ED1">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制样活动</w:t>
            </w:r>
          </w:p>
        </w:tc>
        <w:tc>
          <w:tcPr>
            <w:tcW w:w="2841" w:type="dxa"/>
            <w:vMerge w:val="restart"/>
            <w:vAlign w:val="center"/>
          </w:tcPr>
          <w:p w14:paraId="6BEB7432">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煤炭</w:t>
            </w:r>
          </w:p>
        </w:tc>
        <w:tc>
          <w:tcPr>
            <w:tcW w:w="2841" w:type="dxa"/>
            <w:vAlign w:val="center"/>
          </w:tcPr>
          <w:p w14:paraId="47655236">
            <w:pPr>
              <w:pStyle w:val="12"/>
              <w:ind w:firstLine="0" w:firstLineChars="0"/>
              <w:jc w:val="center"/>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GB/T474</w:t>
            </w:r>
          </w:p>
        </w:tc>
      </w:tr>
      <w:tr w14:paraId="21F23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vAlign w:val="center"/>
          </w:tcPr>
          <w:p w14:paraId="59FD6A6A">
            <w:pPr>
              <w:pStyle w:val="12"/>
              <w:ind w:firstLine="0" w:firstLineChars="0"/>
              <w:jc w:val="center"/>
              <w:rPr>
                <w:rFonts w:hint="eastAsia" w:ascii="Times New Roman" w:hAnsi="Times New Roman" w:eastAsia="宋体"/>
                <w:sz w:val="18"/>
                <w:szCs w:val="18"/>
                <w:vertAlign w:val="baseline"/>
                <w:lang w:val="en-US" w:eastAsia="zh-CN"/>
              </w:rPr>
            </w:pPr>
          </w:p>
        </w:tc>
        <w:tc>
          <w:tcPr>
            <w:tcW w:w="2841" w:type="dxa"/>
            <w:vMerge w:val="continue"/>
            <w:vAlign w:val="center"/>
          </w:tcPr>
          <w:p w14:paraId="53338C3B">
            <w:pPr>
              <w:pStyle w:val="12"/>
              <w:ind w:firstLine="0" w:firstLineChars="0"/>
              <w:jc w:val="center"/>
              <w:rPr>
                <w:rFonts w:hint="eastAsia" w:ascii="Times New Roman" w:hAnsi="Times New Roman" w:eastAsia="宋体"/>
                <w:sz w:val="18"/>
                <w:szCs w:val="18"/>
                <w:vertAlign w:val="baseline"/>
                <w:lang w:val="en-US" w:eastAsia="zh-CN"/>
              </w:rPr>
            </w:pPr>
          </w:p>
        </w:tc>
        <w:tc>
          <w:tcPr>
            <w:tcW w:w="2841" w:type="dxa"/>
            <w:vAlign w:val="center"/>
          </w:tcPr>
          <w:p w14:paraId="5BE89452">
            <w:pPr>
              <w:pStyle w:val="12"/>
              <w:ind w:firstLine="0" w:firstLineChars="0"/>
              <w:jc w:val="center"/>
              <w:rPr>
                <w:rFonts w:ascii="Times New Roman" w:hAnsi="Times New Roman" w:eastAsia="宋体" w:cs="宋体"/>
                <w:sz w:val="18"/>
                <w:szCs w:val="18"/>
              </w:rPr>
            </w:pPr>
            <w:r>
              <w:rPr>
                <w:rFonts w:ascii="Times New Roman" w:hAnsi="Times New Roman" w:eastAsia="宋体" w:cs="宋体"/>
                <w:sz w:val="18"/>
                <w:szCs w:val="18"/>
              </w:rPr>
              <w:t>GB/T19494.2</w:t>
            </w:r>
          </w:p>
        </w:tc>
      </w:tr>
      <w:tr w14:paraId="31ACC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restart"/>
            <w:vAlign w:val="center"/>
          </w:tcPr>
          <w:p w14:paraId="3414A604">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发热量分析</w:t>
            </w:r>
          </w:p>
        </w:tc>
        <w:tc>
          <w:tcPr>
            <w:tcW w:w="2841" w:type="dxa"/>
            <w:vAlign w:val="center"/>
          </w:tcPr>
          <w:p w14:paraId="2C5B9A96">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煤炭</w:t>
            </w:r>
          </w:p>
        </w:tc>
        <w:tc>
          <w:tcPr>
            <w:tcW w:w="2841" w:type="dxa"/>
            <w:vAlign w:val="center"/>
          </w:tcPr>
          <w:p w14:paraId="444C5363">
            <w:pPr>
              <w:pStyle w:val="12"/>
              <w:ind w:firstLine="0" w:firstLineChars="0"/>
              <w:jc w:val="center"/>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GB/T213</w:t>
            </w:r>
          </w:p>
        </w:tc>
      </w:tr>
      <w:tr w14:paraId="3E533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vAlign w:val="center"/>
          </w:tcPr>
          <w:p w14:paraId="447956E5">
            <w:pPr>
              <w:pStyle w:val="12"/>
              <w:ind w:firstLine="0" w:firstLineChars="0"/>
              <w:jc w:val="center"/>
              <w:rPr>
                <w:rFonts w:hint="eastAsia" w:ascii="Times New Roman" w:hAnsi="Times New Roman" w:eastAsia="宋体"/>
                <w:sz w:val="18"/>
                <w:szCs w:val="18"/>
                <w:vertAlign w:val="baseline"/>
                <w:lang w:val="en-US" w:eastAsia="zh-CN"/>
              </w:rPr>
            </w:pPr>
          </w:p>
        </w:tc>
        <w:tc>
          <w:tcPr>
            <w:tcW w:w="2841" w:type="dxa"/>
            <w:vAlign w:val="center"/>
          </w:tcPr>
          <w:p w14:paraId="512E0786">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燃油</w:t>
            </w:r>
          </w:p>
        </w:tc>
        <w:tc>
          <w:tcPr>
            <w:tcW w:w="2841" w:type="dxa"/>
            <w:vAlign w:val="center"/>
          </w:tcPr>
          <w:p w14:paraId="1E1B8F0C">
            <w:pPr>
              <w:pStyle w:val="12"/>
              <w:ind w:firstLine="0" w:firstLineChars="0"/>
              <w:jc w:val="center"/>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GB/T384</w:t>
            </w:r>
          </w:p>
        </w:tc>
      </w:tr>
      <w:tr w14:paraId="0D94B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vAlign w:val="center"/>
          </w:tcPr>
          <w:p w14:paraId="68F22BC0">
            <w:pPr>
              <w:pStyle w:val="12"/>
              <w:ind w:firstLine="0" w:firstLineChars="0"/>
              <w:jc w:val="center"/>
              <w:rPr>
                <w:rFonts w:hint="eastAsia" w:ascii="Times New Roman" w:hAnsi="Times New Roman" w:eastAsia="宋体"/>
                <w:sz w:val="18"/>
                <w:szCs w:val="18"/>
                <w:vertAlign w:val="baseline"/>
                <w:lang w:val="en-US" w:eastAsia="zh-CN"/>
              </w:rPr>
            </w:pPr>
          </w:p>
        </w:tc>
        <w:tc>
          <w:tcPr>
            <w:tcW w:w="2841" w:type="dxa"/>
            <w:vAlign w:val="center"/>
          </w:tcPr>
          <w:p w14:paraId="7A992254">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天然气</w:t>
            </w:r>
          </w:p>
        </w:tc>
        <w:tc>
          <w:tcPr>
            <w:tcW w:w="2841" w:type="dxa"/>
            <w:vAlign w:val="center"/>
          </w:tcPr>
          <w:p w14:paraId="4CE0529F">
            <w:pPr>
              <w:pStyle w:val="12"/>
              <w:ind w:firstLine="0" w:firstLineChars="0"/>
              <w:jc w:val="center"/>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GB/T11062</w:t>
            </w:r>
          </w:p>
        </w:tc>
      </w:tr>
      <w:tr w14:paraId="3B71F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restart"/>
            <w:vAlign w:val="center"/>
          </w:tcPr>
          <w:p w14:paraId="56B94912">
            <w:pPr>
              <w:pStyle w:val="12"/>
              <w:ind w:firstLine="0" w:firstLineChars="0"/>
              <w:jc w:val="center"/>
              <w:rPr>
                <w:rFonts w:hint="default" w:ascii="Times New Roman" w:hAnsi="Times New Roman" w:eastAsia="宋体"/>
                <w:sz w:val="18"/>
                <w:szCs w:val="18"/>
                <w:vertAlign w:val="baseline"/>
                <w:lang w:val="en-US" w:eastAsia="zh-CN"/>
              </w:rPr>
            </w:pPr>
            <w:r>
              <w:rPr>
                <w:rFonts w:hint="eastAsia" w:ascii="Times New Roman" w:hAnsi="Times New Roman" w:eastAsia="宋体"/>
                <w:sz w:val="18"/>
                <w:szCs w:val="18"/>
                <w:vertAlign w:val="baseline"/>
                <w:lang w:val="en-US" w:eastAsia="zh-CN"/>
              </w:rPr>
              <w:t>含碳量分析</w:t>
            </w:r>
          </w:p>
        </w:tc>
        <w:tc>
          <w:tcPr>
            <w:tcW w:w="2841" w:type="dxa"/>
            <w:shd w:val="clear" w:color="auto" w:fill="auto"/>
            <w:vAlign w:val="center"/>
          </w:tcPr>
          <w:p w14:paraId="4317ED50">
            <w:pPr>
              <w:pStyle w:val="12"/>
              <w:ind w:firstLine="0" w:firstLineChars="0"/>
              <w:jc w:val="center"/>
              <w:rPr>
                <w:rFonts w:hint="eastAsia" w:ascii="Times New Roman" w:hAnsi="Times New Roman" w:eastAsia="宋体" w:cs="Times New Roman"/>
                <w:kern w:val="0"/>
                <w:sz w:val="18"/>
                <w:szCs w:val="18"/>
                <w:vertAlign w:val="baseline"/>
                <w:lang w:val="en-US" w:eastAsia="zh-CN" w:bidi="ar-SA"/>
              </w:rPr>
            </w:pPr>
            <w:r>
              <w:rPr>
                <w:rFonts w:hint="eastAsia" w:ascii="Times New Roman" w:hAnsi="Times New Roman" w:eastAsia="宋体"/>
                <w:sz w:val="18"/>
                <w:szCs w:val="18"/>
                <w:vertAlign w:val="baseline"/>
                <w:lang w:val="en-US" w:eastAsia="zh-CN"/>
              </w:rPr>
              <w:t>煤炭</w:t>
            </w:r>
          </w:p>
        </w:tc>
        <w:tc>
          <w:tcPr>
            <w:tcW w:w="2841" w:type="dxa"/>
            <w:vAlign w:val="center"/>
          </w:tcPr>
          <w:p w14:paraId="4CF6CF31">
            <w:pPr>
              <w:pStyle w:val="12"/>
              <w:ind w:firstLine="0" w:firstLineChars="0"/>
              <w:jc w:val="center"/>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GB/T476</w:t>
            </w:r>
          </w:p>
        </w:tc>
      </w:tr>
      <w:tr w14:paraId="36310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vAlign w:val="center"/>
          </w:tcPr>
          <w:p w14:paraId="5ECF41D9">
            <w:pPr>
              <w:pStyle w:val="12"/>
              <w:ind w:firstLine="0" w:firstLineChars="0"/>
              <w:jc w:val="center"/>
              <w:rPr>
                <w:rFonts w:hint="eastAsia" w:ascii="Times New Roman" w:hAnsi="Times New Roman" w:eastAsia="宋体"/>
                <w:sz w:val="18"/>
                <w:szCs w:val="18"/>
                <w:vertAlign w:val="baseline"/>
                <w:lang w:val="en-US" w:eastAsia="zh-CN"/>
              </w:rPr>
            </w:pPr>
          </w:p>
        </w:tc>
        <w:tc>
          <w:tcPr>
            <w:tcW w:w="0" w:type="auto"/>
            <w:shd w:val="clear" w:color="auto" w:fill="auto"/>
            <w:vAlign w:val="center"/>
          </w:tcPr>
          <w:p w14:paraId="3C6395E4">
            <w:pPr>
              <w:pStyle w:val="12"/>
              <w:ind w:firstLine="0" w:firstLineChars="0"/>
              <w:jc w:val="center"/>
              <w:rPr>
                <w:rFonts w:hint="default" w:ascii="Times New Roman" w:hAnsi="Times New Roman" w:eastAsia="宋体" w:cs="Times New Roman"/>
                <w:kern w:val="0"/>
                <w:sz w:val="18"/>
                <w:szCs w:val="18"/>
                <w:vertAlign w:val="baseline"/>
                <w:lang w:val="en-US" w:eastAsia="zh-CN" w:bidi="ar-SA"/>
              </w:rPr>
            </w:pPr>
            <w:r>
              <w:rPr>
                <w:rFonts w:hint="eastAsia" w:ascii="Times New Roman" w:hAnsi="Times New Roman" w:eastAsia="宋体" w:cs="Times New Roman"/>
                <w:kern w:val="0"/>
                <w:sz w:val="18"/>
                <w:szCs w:val="18"/>
                <w:vertAlign w:val="baseline"/>
                <w:lang w:val="en-US" w:eastAsia="zh-CN" w:bidi="ar-SA"/>
              </w:rPr>
              <w:t>天然气</w:t>
            </w:r>
          </w:p>
        </w:tc>
        <w:tc>
          <w:tcPr>
            <w:tcW w:w="0" w:type="auto"/>
            <w:vAlign w:val="center"/>
          </w:tcPr>
          <w:p w14:paraId="67AA290E">
            <w:pPr>
              <w:pStyle w:val="12"/>
              <w:ind w:firstLine="0" w:firstLineChars="0"/>
              <w:jc w:val="center"/>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GB/T13610</w:t>
            </w:r>
          </w:p>
        </w:tc>
      </w:tr>
      <w:tr w14:paraId="33094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vAlign w:val="center"/>
          </w:tcPr>
          <w:p w14:paraId="7E121F70">
            <w:pPr>
              <w:pStyle w:val="12"/>
              <w:ind w:firstLine="0" w:firstLineChars="0"/>
              <w:jc w:val="center"/>
              <w:rPr>
                <w:rFonts w:hint="eastAsia" w:ascii="Times New Roman" w:hAnsi="Times New Roman" w:eastAsia="宋体"/>
                <w:sz w:val="18"/>
                <w:szCs w:val="18"/>
                <w:vertAlign w:val="baseline"/>
                <w:lang w:val="en-US" w:eastAsia="zh-CN"/>
              </w:rPr>
            </w:pPr>
          </w:p>
        </w:tc>
        <w:tc>
          <w:tcPr>
            <w:tcW w:w="0" w:type="auto"/>
            <w:shd w:val="clear" w:color="auto" w:fill="auto"/>
            <w:vAlign w:val="center"/>
          </w:tcPr>
          <w:p w14:paraId="77A79BFE">
            <w:pPr>
              <w:pStyle w:val="12"/>
              <w:ind w:firstLine="0" w:firstLineChars="0"/>
              <w:jc w:val="center"/>
              <w:rPr>
                <w:rFonts w:hint="default" w:ascii="Times New Roman" w:hAnsi="Times New Roman" w:eastAsia="宋体" w:cs="Times New Roman"/>
                <w:kern w:val="0"/>
                <w:sz w:val="18"/>
                <w:szCs w:val="18"/>
                <w:vertAlign w:val="baseline"/>
                <w:lang w:val="en-US" w:eastAsia="zh-CN" w:bidi="ar-SA"/>
              </w:rPr>
            </w:pPr>
            <w:r>
              <w:rPr>
                <w:rFonts w:hint="eastAsia" w:ascii="Times New Roman" w:hAnsi="Times New Roman" w:eastAsia="宋体" w:cs="Times New Roman"/>
                <w:kern w:val="0"/>
                <w:sz w:val="18"/>
                <w:szCs w:val="18"/>
                <w:vertAlign w:val="baseline"/>
                <w:lang w:val="en-US" w:eastAsia="zh-CN" w:bidi="ar-SA"/>
              </w:rPr>
              <w:t>燃油</w:t>
            </w:r>
          </w:p>
        </w:tc>
        <w:tc>
          <w:tcPr>
            <w:tcW w:w="0" w:type="auto"/>
            <w:vAlign w:val="center"/>
          </w:tcPr>
          <w:p w14:paraId="5216FF2E">
            <w:pPr>
              <w:pStyle w:val="12"/>
              <w:ind w:firstLine="0" w:firstLineChars="0"/>
              <w:jc w:val="center"/>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DL/T567.9</w:t>
            </w:r>
          </w:p>
        </w:tc>
      </w:tr>
      <w:tr w14:paraId="051A5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vAlign w:val="center"/>
          </w:tcPr>
          <w:p w14:paraId="07B82F54">
            <w:pPr>
              <w:pStyle w:val="12"/>
              <w:ind w:firstLine="360" w:firstLineChars="200"/>
              <w:jc w:val="both"/>
              <w:rPr>
                <w:rFonts w:hint="default" w:ascii="Times New Roman" w:hAnsi="Times New Roman" w:eastAsia="宋体" w:cs="宋体"/>
                <w:sz w:val="18"/>
                <w:szCs w:val="18"/>
                <w:lang w:val="en-US" w:eastAsia="zh-CN"/>
              </w:rPr>
            </w:pPr>
            <w:r>
              <w:rPr>
                <w:rFonts w:hint="eastAsia" w:ascii="Times New Roman" w:hAnsi="Times New Roman" w:eastAsia="宋体" w:cs="宋体"/>
                <w:sz w:val="18"/>
                <w:szCs w:val="18"/>
                <w:lang w:val="en-US" w:eastAsia="zh-CN"/>
              </w:rPr>
              <w:t>注：化石燃料发热量和含碳量测定方法包括但不限于以上内容。</w:t>
            </w:r>
          </w:p>
        </w:tc>
      </w:tr>
    </w:tbl>
    <w:p w14:paraId="2D545765">
      <w:pPr>
        <w:rPr>
          <w:rFonts w:hint="eastAsia"/>
          <w:lang w:val="en-US" w:eastAsia="zh-CN"/>
        </w:rPr>
      </w:pPr>
    </w:p>
    <w:p w14:paraId="307A73C5">
      <w:pPr>
        <w:rPr>
          <w:rFonts w:hint="default"/>
          <w:lang w:val="en-US" w:eastAsia="zh-CN"/>
        </w:rPr>
      </w:pPr>
      <w:r>
        <w:rPr>
          <w:rFonts w:hint="eastAsia"/>
          <w:lang w:val="en-US" w:eastAsia="zh-CN"/>
        </w:rPr>
        <w:t>B.4 各种能源排放因子置信度等级见表B.4。</w:t>
      </w:r>
    </w:p>
    <w:p w14:paraId="2A176802">
      <w:pPr>
        <w:pStyle w:val="8"/>
        <w:rPr>
          <w:rFonts w:hint="eastAsia"/>
          <w:lang w:val="en-US" w:eastAsia="zh-CN"/>
        </w:rPr>
      </w:pPr>
      <w:r>
        <w:rPr>
          <w:rFonts w:hint="eastAsia"/>
          <w:lang w:val="en-US" w:eastAsia="zh-CN"/>
        </w:rPr>
        <w:t>表B.4 能源</w:t>
      </w:r>
      <w:r>
        <w:rPr>
          <w:rFonts w:hint="eastAsia"/>
        </w:rPr>
        <w:t>排放因子置信度等级</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14"/>
        <w:gridCol w:w="1453"/>
        <w:gridCol w:w="5481"/>
        <w:gridCol w:w="918"/>
      </w:tblGrid>
      <w:tr w14:paraId="1315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trPr>
        <w:tc>
          <w:tcPr>
            <w:tcW w:w="307" w:type="pct"/>
            <w:shd w:val="clear" w:color="auto" w:fill="auto"/>
            <w:tcMar>
              <w:top w:w="20" w:type="dxa"/>
              <w:left w:w="30" w:type="dxa"/>
              <w:bottom w:w="20" w:type="dxa"/>
              <w:right w:w="30" w:type="dxa"/>
            </w:tcMar>
            <w:vAlign w:val="center"/>
          </w:tcPr>
          <w:p w14:paraId="4FD0AF13">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序号</w:t>
            </w:r>
          </w:p>
        </w:tc>
        <w:tc>
          <w:tcPr>
            <w:tcW w:w="868" w:type="pct"/>
            <w:shd w:val="clear" w:color="auto" w:fill="auto"/>
            <w:tcMar>
              <w:top w:w="20" w:type="dxa"/>
              <w:left w:w="30" w:type="dxa"/>
              <w:bottom w:w="20" w:type="dxa"/>
              <w:right w:w="30" w:type="dxa"/>
            </w:tcMar>
            <w:vAlign w:val="center"/>
          </w:tcPr>
          <w:p w14:paraId="2FD848C4">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排放因子名称</w:t>
            </w:r>
          </w:p>
        </w:tc>
        <w:tc>
          <w:tcPr>
            <w:tcW w:w="3274" w:type="pct"/>
            <w:shd w:val="clear" w:color="auto" w:fill="auto"/>
            <w:tcMar>
              <w:top w:w="20" w:type="dxa"/>
              <w:left w:w="30" w:type="dxa"/>
              <w:bottom w:w="20" w:type="dxa"/>
              <w:right w:w="30" w:type="dxa"/>
            </w:tcMar>
            <w:vAlign w:val="center"/>
          </w:tcPr>
          <w:p w14:paraId="26C45972">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数据来源 (按优先级由高到低列出)</w:t>
            </w:r>
          </w:p>
        </w:tc>
        <w:tc>
          <w:tcPr>
            <w:tcW w:w="548" w:type="pct"/>
            <w:shd w:val="clear" w:color="auto" w:fill="auto"/>
            <w:tcMar>
              <w:top w:w="20" w:type="dxa"/>
              <w:left w:w="30" w:type="dxa"/>
              <w:bottom w:w="20" w:type="dxa"/>
              <w:right w:w="30" w:type="dxa"/>
            </w:tcMar>
            <w:vAlign w:val="center"/>
          </w:tcPr>
          <w:p w14:paraId="4909C105">
            <w:pPr>
              <w:widowControl/>
              <w:spacing w:line="240" w:lineRule="auto"/>
              <w:jc w:val="center"/>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数据</w:t>
            </w:r>
          </w:p>
          <w:p w14:paraId="70DD169B">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优先级</w:t>
            </w:r>
          </w:p>
        </w:tc>
      </w:tr>
      <w:tr w14:paraId="7A4F8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trPr>
        <w:tc>
          <w:tcPr>
            <w:tcW w:w="307" w:type="pct"/>
            <w:shd w:val="clear" w:color="auto" w:fill="auto"/>
            <w:tcMar>
              <w:top w:w="20" w:type="dxa"/>
              <w:left w:w="30" w:type="dxa"/>
              <w:bottom w:w="20" w:type="dxa"/>
              <w:right w:w="30" w:type="dxa"/>
            </w:tcMar>
            <w:vAlign w:val="center"/>
          </w:tcPr>
          <w:p w14:paraId="7079F464">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1</w:t>
            </w:r>
          </w:p>
        </w:tc>
        <w:tc>
          <w:tcPr>
            <w:tcW w:w="868" w:type="pct"/>
            <w:shd w:val="clear" w:color="auto" w:fill="auto"/>
            <w:tcMar>
              <w:top w:w="20" w:type="dxa"/>
              <w:left w:w="30" w:type="dxa"/>
              <w:bottom w:w="20" w:type="dxa"/>
              <w:right w:w="30" w:type="dxa"/>
            </w:tcMar>
            <w:vAlign w:val="center"/>
          </w:tcPr>
          <w:p w14:paraId="7B629242">
            <w:pPr>
              <w:widowControl/>
              <w:spacing w:line="240" w:lineRule="auto"/>
              <w:jc w:val="both"/>
              <w:textAlignment w:val="auto"/>
              <w:rPr>
                <w:rFonts w:hint="eastAsia" w:ascii="Times New Roman" w:hAnsi="Times New Roman" w:eastAsia="宋体" w:cs="Times New Roman"/>
                <w:color w:val="auto"/>
                <w:kern w:val="0"/>
                <w:sz w:val="18"/>
                <w:szCs w:val="18"/>
                <w:lang w:eastAsia="zh-CN"/>
              </w:rPr>
            </w:pPr>
            <w:r>
              <w:rPr>
                <w:rFonts w:hint="default" w:ascii="Times New Roman" w:hAnsi="Times New Roman" w:cs="Times New Roman"/>
                <w:color w:val="auto"/>
                <w:kern w:val="0"/>
                <w:sz w:val="18"/>
                <w:szCs w:val="18"/>
                <w:lang w:bidi="ar"/>
              </w:rPr>
              <w:t>外购电力</w:t>
            </w:r>
            <w:r>
              <w:rPr>
                <w:rFonts w:hint="eastAsia" w:cs="Times New Roman"/>
                <w:color w:val="auto"/>
                <w:kern w:val="0"/>
                <w:sz w:val="18"/>
                <w:szCs w:val="18"/>
                <w:lang w:eastAsia="zh-CN" w:bidi="ar"/>
              </w:rPr>
              <w:t>排放因子</w:t>
            </w:r>
          </w:p>
        </w:tc>
        <w:tc>
          <w:tcPr>
            <w:tcW w:w="3274" w:type="pct"/>
            <w:shd w:val="clear" w:color="auto" w:fill="auto"/>
            <w:tcMar>
              <w:top w:w="20" w:type="dxa"/>
              <w:left w:w="30" w:type="dxa"/>
              <w:bottom w:w="20" w:type="dxa"/>
              <w:right w:w="30" w:type="dxa"/>
            </w:tcMar>
            <w:vAlign w:val="center"/>
          </w:tcPr>
          <w:p w14:paraId="65E8E25A">
            <w:pPr>
              <w:widowControl/>
              <w:numPr>
                <w:ilvl w:val="0"/>
                <w:numId w:val="1"/>
              </w:numPr>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工厂所在区域/省级电网最新年度</w:t>
            </w:r>
            <w:r>
              <w:rPr>
                <w:rFonts w:hint="eastAsia" w:cs="Times New Roman"/>
                <w:color w:val="auto"/>
                <w:kern w:val="0"/>
                <w:sz w:val="18"/>
                <w:szCs w:val="18"/>
                <w:lang w:eastAsia="zh-CN" w:bidi="ar"/>
              </w:rPr>
              <w:t>排放因子</w:t>
            </w:r>
            <w:r>
              <w:rPr>
                <w:rFonts w:hint="default" w:ascii="Times New Roman" w:hAnsi="Times New Roman" w:cs="Times New Roman"/>
                <w:color w:val="auto"/>
                <w:kern w:val="0"/>
                <w:sz w:val="18"/>
                <w:szCs w:val="18"/>
                <w:lang w:bidi="ar"/>
              </w:rPr>
              <w:t>；</w:t>
            </w:r>
          </w:p>
          <w:p w14:paraId="3C73BA07">
            <w:pPr>
              <w:widowControl/>
              <w:numPr>
                <w:ilvl w:val="0"/>
                <w:numId w:val="1"/>
              </w:numPr>
              <w:spacing w:line="240" w:lineRule="auto"/>
              <w:jc w:val="both"/>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全国电网最新年度平均</w:t>
            </w:r>
            <w:r>
              <w:rPr>
                <w:rFonts w:hint="eastAsia" w:cs="Times New Roman"/>
                <w:color w:val="auto"/>
                <w:kern w:val="0"/>
                <w:sz w:val="18"/>
                <w:szCs w:val="18"/>
                <w:lang w:eastAsia="zh-CN" w:bidi="ar"/>
              </w:rPr>
              <w:t>排放因子</w:t>
            </w:r>
            <w:r>
              <w:rPr>
                <w:rFonts w:hint="default" w:ascii="Times New Roman" w:hAnsi="Times New Roman" w:cs="Times New Roman"/>
                <w:color w:val="auto"/>
                <w:kern w:val="0"/>
                <w:sz w:val="18"/>
                <w:szCs w:val="18"/>
                <w:lang w:bidi="ar"/>
              </w:rPr>
              <w:t>；</w:t>
            </w:r>
          </w:p>
          <w:p w14:paraId="240A4281">
            <w:pPr>
              <w:widowControl/>
              <w:numPr>
                <w:ilvl w:val="0"/>
                <w:numId w:val="1"/>
              </w:numPr>
              <w:spacing w:line="240" w:lineRule="auto"/>
              <w:jc w:val="both"/>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若为特定供电商（如直供电厂）且能提供经核查的电力排放因子（需有合同等可靠性证明文件）</w:t>
            </w:r>
            <w:r>
              <w:rPr>
                <w:rFonts w:hint="default" w:ascii="Times New Roman" w:hAnsi="Times New Roman" w:cs="Times New Roman"/>
                <w:color w:val="auto"/>
                <w:kern w:val="0"/>
                <w:sz w:val="18"/>
                <w:szCs w:val="18"/>
                <w:lang w:eastAsia="zh-CN" w:bidi="ar"/>
              </w:rPr>
              <w:t>；</w:t>
            </w:r>
          </w:p>
          <w:p w14:paraId="1787F4ED">
            <w:pPr>
              <w:widowControl/>
              <w:numPr>
                <w:ilvl w:val="0"/>
                <w:numId w:val="1"/>
              </w:numPr>
              <w:spacing w:line="240" w:lineRule="auto"/>
              <w:jc w:val="both"/>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val="en-US" w:eastAsia="zh-CN" w:bidi="ar"/>
              </w:rPr>
              <w:t>国内权威机构建设基础数据库或</w:t>
            </w:r>
            <w:r>
              <w:rPr>
                <w:rFonts w:hint="eastAsia" w:cs="Times New Roman"/>
                <w:color w:val="auto"/>
                <w:kern w:val="0"/>
                <w:sz w:val="18"/>
                <w:szCs w:val="18"/>
                <w:lang w:val="en-US" w:eastAsia="zh-CN" w:bidi="ar"/>
              </w:rPr>
              <w:t>相关标准</w:t>
            </w:r>
            <w:r>
              <w:rPr>
                <w:rFonts w:hint="default" w:ascii="Times New Roman" w:hAnsi="Times New Roman" w:cs="Times New Roman"/>
                <w:color w:val="auto"/>
                <w:kern w:val="0"/>
                <w:sz w:val="18"/>
                <w:szCs w:val="18"/>
                <w:lang w:val="en-US" w:eastAsia="zh-CN" w:bidi="ar"/>
              </w:rPr>
              <w:t>。</w:t>
            </w:r>
          </w:p>
        </w:tc>
        <w:tc>
          <w:tcPr>
            <w:tcW w:w="548" w:type="pct"/>
            <w:shd w:val="clear" w:color="auto" w:fill="auto"/>
            <w:tcMar>
              <w:top w:w="20" w:type="dxa"/>
              <w:left w:w="30" w:type="dxa"/>
              <w:bottom w:w="20" w:type="dxa"/>
              <w:right w:w="30" w:type="dxa"/>
            </w:tcMar>
            <w:vAlign w:val="center"/>
          </w:tcPr>
          <w:p w14:paraId="509B14F0">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1&gt;2&gt;3&gt;</w:t>
            </w:r>
            <w:r>
              <w:rPr>
                <w:rFonts w:hint="default" w:ascii="Times New Roman" w:hAnsi="Times New Roman" w:cs="Times New Roman"/>
                <w:color w:val="auto"/>
                <w:kern w:val="0"/>
                <w:sz w:val="18"/>
                <w:szCs w:val="18"/>
                <w:lang w:val="en-US" w:eastAsia="zh-CN" w:bidi="ar"/>
              </w:rPr>
              <w:t>4</w:t>
            </w:r>
          </w:p>
        </w:tc>
      </w:tr>
      <w:tr w14:paraId="665E5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trPr>
        <w:tc>
          <w:tcPr>
            <w:tcW w:w="307" w:type="pct"/>
            <w:shd w:val="clear" w:color="auto" w:fill="auto"/>
            <w:tcMar>
              <w:top w:w="20" w:type="dxa"/>
              <w:left w:w="30" w:type="dxa"/>
              <w:bottom w:w="20" w:type="dxa"/>
              <w:right w:w="30" w:type="dxa"/>
            </w:tcMar>
            <w:vAlign w:val="center"/>
          </w:tcPr>
          <w:p w14:paraId="01B32FD1">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2</w:t>
            </w:r>
          </w:p>
        </w:tc>
        <w:tc>
          <w:tcPr>
            <w:tcW w:w="868" w:type="pct"/>
            <w:shd w:val="clear" w:color="auto" w:fill="auto"/>
            <w:tcMar>
              <w:top w:w="20" w:type="dxa"/>
              <w:left w:w="30" w:type="dxa"/>
              <w:bottom w:w="20" w:type="dxa"/>
              <w:right w:w="30" w:type="dxa"/>
            </w:tcMar>
            <w:vAlign w:val="center"/>
          </w:tcPr>
          <w:p w14:paraId="79181588">
            <w:pPr>
              <w:widowControl/>
              <w:spacing w:line="240" w:lineRule="auto"/>
              <w:jc w:val="both"/>
              <w:textAlignment w:val="auto"/>
              <w:rPr>
                <w:rFonts w:hint="eastAsia" w:ascii="Times New Roman" w:hAnsi="Times New Roman" w:eastAsia="宋体" w:cs="Times New Roman"/>
                <w:color w:val="auto"/>
                <w:kern w:val="0"/>
                <w:sz w:val="18"/>
                <w:szCs w:val="18"/>
                <w:lang w:eastAsia="zh-CN"/>
              </w:rPr>
            </w:pPr>
            <w:r>
              <w:rPr>
                <w:rFonts w:hint="default" w:ascii="Times New Roman" w:hAnsi="Times New Roman" w:cs="Times New Roman"/>
                <w:color w:val="auto"/>
                <w:kern w:val="0"/>
                <w:sz w:val="18"/>
                <w:szCs w:val="18"/>
                <w:lang w:bidi="ar"/>
              </w:rPr>
              <w:t>天然气燃烧</w:t>
            </w:r>
            <w:r>
              <w:rPr>
                <w:rFonts w:hint="eastAsia" w:cs="Times New Roman"/>
                <w:color w:val="auto"/>
                <w:kern w:val="0"/>
                <w:sz w:val="18"/>
                <w:szCs w:val="18"/>
                <w:lang w:eastAsia="zh-CN" w:bidi="ar"/>
              </w:rPr>
              <w:t>排放因子</w:t>
            </w:r>
          </w:p>
        </w:tc>
        <w:tc>
          <w:tcPr>
            <w:tcW w:w="3274" w:type="pct"/>
            <w:shd w:val="clear" w:color="auto" w:fill="auto"/>
            <w:tcMar>
              <w:top w:w="20" w:type="dxa"/>
              <w:left w:w="30" w:type="dxa"/>
              <w:bottom w:w="20" w:type="dxa"/>
              <w:right w:w="30" w:type="dxa"/>
            </w:tcMar>
            <w:vAlign w:val="center"/>
          </w:tcPr>
          <w:p w14:paraId="7B898C6F">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1.基于工厂实际使用天然气的组分分析报告和实测低位发热值（NCV），依据国家推荐方法计算所得因子；</w:t>
            </w:r>
          </w:p>
          <w:p w14:paraId="3805B5E3">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2.天然气供应商提供的可验证的燃料特性数据（如碳含量、NCV）计算所得因子；</w:t>
            </w:r>
          </w:p>
          <w:p w14:paraId="6DD5A780">
            <w:pPr>
              <w:widowControl/>
              <w:spacing w:line="240" w:lineRule="auto"/>
              <w:jc w:val="both"/>
              <w:textAlignment w:val="auto"/>
              <w:rPr>
                <w:rFonts w:hint="default" w:ascii="Times New Roman" w:hAnsi="Times New Roman" w:cs="Times New Roman"/>
                <w:color w:val="auto"/>
                <w:kern w:val="0"/>
                <w:sz w:val="18"/>
                <w:szCs w:val="18"/>
                <w:lang w:eastAsia="zh-CN" w:bidi="ar"/>
              </w:rPr>
            </w:pPr>
            <w:r>
              <w:rPr>
                <w:rFonts w:hint="default" w:ascii="Times New Roman" w:hAnsi="Times New Roman" w:cs="Times New Roman"/>
                <w:color w:val="auto"/>
                <w:kern w:val="0"/>
                <w:sz w:val="18"/>
                <w:szCs w:val="18"/>
                <w:lang w:bidi="ar"/>
              </w:rPr>
              <w:t>3.国家/行业推荐缺省值</w:t>
            </w:r>
            <w:r>
              <w:rPr>
                <w:rFonts w:hint="default" w:ascii="Times New Roman" w:hAnsi="Times New Roman" w:cs="Times New Roman"/>
                <w:color w:val="auto"/>
                <w:kern w:val="0"/>
                <w:sz w:val="18"/>
                <w:szCs w:val="18"/>
                <w:lang w:eastAsia="zh-CN" w:bidi="ar"/>
              </w:rPr>
              <w:t>；</w:t>
            </w:r>
          </w:p>
          <w:p w14:paraId="41528EC5">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val="en-US" w:eastAsia="zh-CN" w:bidi="ar"/>
              </w:rPr>
              <w:t>4.国内权威机构建设基础数据库或</w:t>
            </w:r>
            <w:r>
              <w:rPr>
                <w:rFonts w:hint="eastAsia" w:cs="Times New Roman"/>
                <w:color w:val="auto"/>
                <w:kern w:val="0"/>
                <w:sz w:val="18"/>
                <w:szCs w:val="18"/>
                <w:lang w:val="en-US" w:eastAsia="zh-CN" w:bidi="ar"/>
              </w:rPr>
              <w:t>相关标准</w:t>
            </w:r>
            <w:r>
              <w:rPr>
                <w:rFonts w:hint="default" w:ascii="Times New Roman" w:hAnsi="Times New Roman" w:cs="Times New Roman"/>
                <w:color w:val="auto"/>
                <w:kern w:val="0"/>
                <w:sz w:val="18"/>
                <w:szCs w:val="18"/>
                <w:lang w:val="en-US" w:eastAsia="zh-CN" w:bidi="ar"/>
              </w:rPr>
              <w:t>。</w:t>
            </w:r>
          </w:p>
        </w:tc>
        <w:tc>
          <w:tcPr>
            <w:tcW w:w="548" w:type="pct"/>
            <w:shd w:val="clear" w:color="auto" w:fill="auto"/>
            <w:tcMar>
              <w:top w:w="20" w:type="dxa"/>
              <w:left w:w="30" w:type="dxa"/>
              <w:bottom w:w="20" w:type="dxa"/>
              <w:right w:w="30" w:type="dxa"/>
            </w:tcMar>
            <w:vAlign w:val="center"/>
          </w:tcPr>
          <w:p w14:paraId="61CB3E00">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1&gt;2&gt;3&gt;</w:t>
            </w:r>
            <w:r>
              <w:rPr>
                <w:rFonts w:hint="default" w:ascii="Times New Roman" w:hAnsi="Times New Roman" w:cs="Times New Roman"/>
                <w:color w:val="auto"/>
                <w:kern w:val="0"/>
                <w:sz w:val="18"/>
                <w:szCs w:val="18"/>
                <w:lang w:eastAsia="zh-CN" w:bidi="ar"/>
              </w:rPr>
              <w:t>4</w:t>
            </w:r>
          </w:p>
        </w:tc>
      </w:tr>
      <w:tr w14:paraId="50A53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trPr>
        <w:tc>
          <w:tcPr>
            <w:tcW w:w="307" w:type="pct"/>
            <w:shd w:val="clear" w:color="auto" w:fill="auto"/>
            <w:tcMar>
              <w:top w:w="20" w:type="dxa"/>
              <w:left w:w="30" w:type="dxa"/>
              <w:bottom w:w="20" w:type="dxa"/>
              <w:right w:w="30" w:type="dxa"/>
            </w:tcMar>
            <w:vAlign w:val="center"/>
          </w:tcPr>
          <w:p w14:paraId="6CFCD18C">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3</w:t>
            </w:r>
          </w:p>
        </w:tc>
        <w:tc>
          <w:tcPr>
            <w:tcW w:w="868" w:type="pct"/>
            <w:shd w:val="clear" w:color="auto" w:fill="auto"/>
            <w:tcMar>
              <w:top w:w="20" w:type="dxa"/>
              <w:left w:w="30" w:type="dxa"/>
              <w:bottom w:w="20" w:type="dxa"/>
              <w:right w:w="30" w:type="dxa"/>
            </w:tcMar>
            <w:vAlign w:val="center"/>
          </w:tcPr>
          <w:p w14:paraId="59C1CC3A">
            <w:pPr>
              <w:widowControl/>
              <w:spacing w:line="240" w:lineRule="auto"/>
              <w:jc w:val="both"/>
              <w:textAlignment w:val="auto"/>
              <w:rPr>
                <w:rFonts w:hint="eastAsia" w:ascii="Times New Roman" w:hAnsi="Times New Roman" w:eastAsia="宋体" w:cs="Times New Roman"/>
                <w:color w:val="auto"/>
                <w:kern w:val="0"/>
                <w:sz w:val="18"/>
                <w:szCs w:val="18"/>
                <w:lang w:eastAsia="zh-CN"/>
              </w:rPr>
            </w:pPr>
            <w:r>
              <w:rPr>
                <w:rFonts w:hint="default" w:ascii="Times New Roman" w:hAnsi="Times New Roman" w:cs="Times New Roman"/>
                <w:color w:val="auto"/>
                <w:kern w:val="0"/>
                <w:sz w:val="18"/>
                <w:szCs w:val="18"/>
                <w:lang w:bidi="ar"/>
              </w:rPr>
              <w:t>柴油燃烧</w:t>
            </w:r>
            <w:r>
              <w:rPr>
                <w:rFonts w:hint="eastAsia" w:cs="Times New Roman"/>
                <w:color w:val="auto"/>
                <w:kern w:val="0"/>
                <w:sz w:val="18"/>
                <w:szCs w:val="18"/>
                <w:lang w:eastAsia="zh-CN" w:bidi="ar"/>
              </w:rPr>
              <w:t>排放因子</w:t>
            </w:r>
          </w:p>
        </w:tc>
        <w:tc>
          <w:tcPr>
            <w:tcW w:w="3274" w:type="pct"/>
            <w:shd w:val="clear" w:color="auto" w:fill="auto"/>
            <w:tcMar>
              <w:top w:w="20" w:type="dxa"/>
              <w:left w:w="30" w:type="dxa"/>
              <w:bottom w:w="20" w:type="dxa"/>
              <w:right w:w="30" w:type="dxa"/>
            </w:tcMar>
            <w:vAlign w:val="center"/>
          </w:tcPr>
          <w:p w14:paraId="1D8564EB">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1.基于工厂实际使用柴油的元素碳含量检测报告和实测NCV，依据国家推荐方法计算所得因子；</w:t>
            </w:r>
          </w:p>
          <w:p w14:paraId="04BC58FD">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2.柴油供应商提供的可验证的燃料特性数据计算所得因子；</w:t>
            </w:r>
          </w:p>
          <w:p w14:paraId="2AE2B105">
            <w:pPr>
              <w:widowControl/>
              <w:spacing w:line="240" w:lineRule="auto"/>
              <w:jc w:val="both"/>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3.国家/行业推荐缺省值。</w:t>
            </w:r>
          </w:p>
        </w:tc>
        <w:tc>
          <w:tcPr>
            <w:tcW w:w="548" w:type="pct"/>
            <w:shd w:val="clear" w:color="auto" w:fill="auto"/>
            <w:tcMar>
              <w:top w:w="20" w:type="dxa"/>
              <w:left w:w="30" w:type="dxa"/>
              <w:bottom w:w="20" w:type="dxa"/>
              <w:right w:w="30" w:type="dxa"/>
            </w:tcMar>
            <w:vAlign w:val="center"/>
          </w:tcPr>
          <w:p w14:paraId="396F6C95">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1&gt;2&gt;3&gt;</w:t>
            </w:r>
            <w:r>
              <w:rPr>
                <w:rFonts w:hint="default" w:ascii="Times New Roman" w:hAnsi="Times New Roman" w:cs="Times New Roman"/>
                <w:color w:val="auto"/>
                <w:kern w:val="0"/>
                <w:sz w:val="18"/>
                <w:szCs w:val="18"/>
                <w:lang w:eastAsia="zh-CN" w:bidi="ar"/>
              </w:rPr>
              <w:t>4</w:t>
            </w:r>
          </w:p>
        </w:tc>
      </w:tr>
      <w:tr w14:paraId="3C6C6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trPr>
        <w:tc>
          <w:tcPr>
            <w:tcW w:w="307" w:type="pct"/>
            <w:shd w:val="clear" w:color="auto" w:fill="auto"/>
            <w:tcMar>
              <w:top w:w="20" w:type="dxa"/>
              <w:left w:w="30" w:type="dxa"/>
              <w:bottom w:w="20" w:type="dxa"/>
              <w:right w:w="30" w:type="dxa"/>
            </w:tcMar>
            <w:vAlign w:val="center"/>
          </w:tcPr>
          <w:p w14:paraId="20933B02">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4</w:t>
            </w:r>
          </w:p>
        </w:tc>
        <w:tc>
          <w:tcPr>
            <w:tcW w:w="868" w:type="pct"/>
            <w:shd w:val="clear" w:color="auto" w:fill="auto"/>
            <w:tcMar>
              <w:top w:w="20" w:type="dxa"/>
              <w:left w:w="30" w:type="dxa"/>
              <w:bottom w:w="20" w:type="dxa"/>
              <w:right w:w="30" w:type="dxa"/>
            </w:tcMar>
            <w:vAlign w:val="center"/>
          </w:tcPr>
          <w:p w14:paraId="4824E5DA">
            <w:pPr>
              <w:widowControl/>
              <w:spacing w:line="240" w:lineRule="auto"/>
              <w:jc w:val="both"/>
              <w:textAlignment w:val="auto"/>
              <w:rPr>
                <w:rFonts w:hint="eastAsia" w:ascii="Times New Roman" w:hAnsi="Times New Roman" w:eastAsia="宋体" w:cs="Times New Roman"/>
                <w:color w:val="auto"/>
                <w:kern w:val="0"/>
                <w:sz w:val="18"/>
                <w:szCs w:val="18"/>
                <w:lang w:eastAsia="zh-CN"/>
              </w:rPr>
            </w:pPr>
            <w:r>
              <w:rPr>
                <w:rFonts w:hint="default" w:ascii="Times New Roman" w:hAnsi="Times New Roman" w:cs="Times New Roman"/>
                <w:color w:val="auto"/>
                <w:kern w:val="0"/>
                <w:sz w:val="18"/>
                <w:szCs w:val="18"/>
                <w:lang w:bidi="ar"/>
              </w:rPr>
              <w:t>液化石油气(LPG)燃烧</w:t>
            </w:r>
            <w:r>
              <w:rPr>
                <w:rFonts w:hint="eastAsia" w:cs="Times New Roman"/>
                <w:color w:val="auto"/>
                <w:kern w:val="0"/>
                <w:sz w:val="18"/>
                <w:szCs w:val="18"/>
                <w:lang w:eastAsia="zh-CN" w:bidi="ar"/>
              </w:rPr>
              <w:t>排放因子</w:t>
            </w:r>
          </w:p>
        </w:tc>
        <w:tc>
          <w:tcPr>
            <w:tcW w:w="3274" w:type="pct"/>
            <w:shd w:val="clear" w:color="auto" w:fill="auto"/>
            <w:tcMar>
              <w:top w:w="20" w:type="dxa"/>
              <w:left w:w="30" w:type="dxa"/>
              <w:bottom w:w="20" w:type="dxa"/>
              <w:right w:w="30" w:type="dxa"/>
            </w:tcMar>
            <w:vAlign w:val="center"/>
          </w:tcPr>
          <w:p w14:paraId="342FC809">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1.基于工厂实际使用LPG的组分分析和实测NCV，依据国家推荐方法计算所得因子；</w:t>
            </w:r>
          </w:p>
          <w:p w14:paraId="515EAE9E">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2.LPG供应商提供的可验证的燃料特性数据计算所得因子；</w:t>
            </w:r>
          </w:p>
          <w:p w14:paraId="306089B1">
            <w:pPr>
              <w:widowControl/>
              <w:spacing w:line="240" w:lineRule="auto"/>
              <w:jc w:val="both"/>
              <w:textAlignment w:val="auto"/>
              <w:rPr>
                <w:rFonts w:hint="default" w:ascii="Times New Roman" w:hAnsi="Times New Roman" w:cs="Times New Roman"/>
                <w:color w:val="auto"/>
                <w:kern w:val="0"/>
                <w:sz w:val="18"/>
                <w:szCs w:val="18"/>
                <w:lang w:eastAsia="zh-CN" w:bidi="ar"/>
              </w:rPr>
            </w:pPr>
            <w:r>
              <w:rPr>
                <w:rFonts w:hint="default" w:ascii="Times New Roman" w:hAnsi="Times New Roman" w:cs="Times New Roman"/>
                <w:color w:val="auto"/>
                <w:kern w:val="0"/>
                <w:sz w:val="18"/>
                <w:szCs w:val="18"/>
                <w:lang w:bidi="ar"/>
              </w:rPr>
              <w:t>3.国家/行业推荐缺省值</w:t>
            </w:r>
            <w:r>
              <w:rPr>
                <w:rFonts w:hint="default" w:ascii="Times New Roman" w:hAnsi="Times New Roman" w:cs="Times New Roman"/>
                <w:color w:val="auto"/>
                <w:kern w:val="0"/>
                <w:sz w:val="18"/>
                <w:szCs w:val="18"/>
                <w:lang w:eastAsia="zh-CN" w:bidi="ar"/>
              </w:rPr>
              <w:t>；</w:t>
            </w:r>
          </w:p>
          <w:p w14:paraId="29D54926">
            <w:pPr>
              <w:widowControl/>
              <w:spacing w:line="240" w:lineRule="auto"/>
              <w:jc w:val="both"/>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val="en-US" w:eastAsia="zh-CN" w:bidi="ar"/>
              </w:rPr>
              <w:t>4.国内权威机构建设基础数据库或</w:t>
            </w:r>
            <w:r>
              <w:rPr>
                <w:rFonts w:hint="eastAsia" w:cs="Times New Roman"/>
                <w:color w:val="auto"/>
                <w:kern w:val="0"/>
                <w:sz w:val="18"/>
                <w:szCs w:val="18"/>
                <w:lang w:val="en-US" w:eastAsia="zh-CN" w:bidi="ar"/>
              </w:rPr>
              <w:t>相关标准</w:t>
            </w:r>
            <w:r>
              <w:rPr>
                <w:rFonts w:hint="default" w:ascii="Times New Roman" w:hAnsi="Times New Roman" w:cs="Times New Roman"/>
                <w:color w:val="auto"/>
                <w:kern w:val="0"/>
                <w:sz w:val="18"/>
                <w:szCs w:val="18"/>
                <w:lang w:val="en-US" w:eastAsia="zh-CN" w:bidi="ar"/>
              </w:rPr>
              <w:t>。</w:t>
            </w:r>
          </w:p>
        </w:tc>
        <w:tc>
          <w:tcPr>
            <w:tcW w:w="548" w:type="pct"/>
            <w:shd w:val="clear" w:color="auto" w:fill="auto"/>
            <w:tcMar>
              <w:top w:w="20" w:type="dxa"/>
              <w:left w:w="30" w:type="dxa"/>
              <w:bottom w:w="20" w:type="dxa"/>
              <w:right w:w="30" w:type="dxa"/>
            </w:tcMar>
            <w:vAlign w:val="center"/>
          </w:tcPr>
          <w:p w14:paraId="4764B17C">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1&gt;2&gt;3&gt;</w:t>
            </w:r>
            <w:r>
              <w:rPr>
                <w:rFonts w:hint="default" w:ascii="Times New Roman" w:hAnsi="Times New Roman" w:cs="Times New Roman"/>
                <w:color w:val="auto"/>
                <w:kern w:val="0"/>
                <w:sz w:val="18"/>
                <w:szCs w:val="18"/>
                <w:lang w:eastAsia="zh-CN" w:bidi="ar"/>
              </w:rPr>
              <w:t>4</w:t>
            </w:r>
          </w:p>
        </w:tc>
      </w:tr>
      <w:tr w14:paraId="24CA8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trPr>
        <w:tc>
          <w:tcPr>
            <w:tcW w:w="307" w:type="pct"/>
            <w:shd w:val="clear" w:color="auto" w:fill="auto"/>
            <w:tcMar>
              <w:top w:w="20" w:type="dxa"/>
              <w:left w:w="30" w:type="dxa"/>
              <w:bottom w:w="20" w:type="dxa"/>
              <w:right w:w="30" w:type="dxa"/>
            </w:tcMar>
            <w:vAlign w:val="center"/>
          </w:tcPr>
          <w:p w14:paraId="5621528F">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5</w:t>
            </w:r>
          </w:p>
        </w:tc>
        <w:tc>
          <w:tcPr>
            <w:tcW w:w="868" w:type="pct"/>
            <w:shd w:val="clear" w:color="auto" w:fill="auto"/>
            <w:tcMar>
              <w:top w:w="20" w:type="dxa"/>
              <w:left w:w="30" w:type="dxa"/>
              <w:bottom w:w="20" w:type="dxa"/>
              <w:right w:w="30" w:type="dxa"/>
            </w:tcMar>
            <w:vAlign w:val="center"/>
          </w:tcPr>
          <w:p w14:paraId="1E699C42">
            <w:pPr>
              <w:widowControl/>
              <w:spacing w:line="240" w:lineRule="auto"/>
              <w:jc w:val="both"/>
              <w:textAlignment w:val="auto"/>
              <w:rPr>
                <w:rFonts w:hint="eastAsia" w:ascii="Times New Roman" w:hAnsi="Times New Roman" w:eastAsia="宋体" w:cs="Times New Roman"/>
                <w:color w:val="auto"/>
                <w:kern w:val="0"/>
                <w:sz w:val="18"/>
                <w:szCs w:val="18"/>
                <w:lang w:eastAsia="zh-CN"/>
              </w:rPr>
            </w:pPr>
            <w:r>
              <w:rPr>
                <w:rFonts w:hint="default" w:ascii="Times New Roman" w:hAnsi="Times New Roman" w:cs="Times New Roman"/>
                <w:color w:val="auto"/>
                <w:kern w:val="0"/>
                <w:sz w:val="18"/>
                <w:szCs w:val="18"/>
                <w:lang w:bidi="ar"/>
              </w:rPr>
              <w:t>煤炭燃烧</w:t>
            </w:r>
            <w:r>
              <w:rPr>
                <w:rFonts w:hint="eastAsia" w:cs="Times New Roman"/>
                <w:color w:val="auto"/>
                <w:kern w:val="0"/>
                <w:sz w:val="18"/>
                <w:szCs w:val="18"/>
                <w:lang w:eastAsia="zh-CN" w:bidi="ar"/>
              </w:rPr>
              <w:t>排放因子</w:t>
            </w:r>
          </w:p>
        </w:tc>
        <w:tc>
          <w:tcPr>
            <w:tcW w:w="3274" w:type="pct"/>
            <w:shd w:val="clear" w:color="auto" w:fill="auto"/>
            <w:tcMar>
              <w:top w:w="20" w:type="dxa"/>
              <w:left w:w="30" w:type="dxa"/>
              <w:bottom w:w="20" w:type="dxa"/>
              <w:right w:w="30" w:type="dxa"/>
            </w:tcMar>
            <w:vAlign w:val="center"/>
          </w:tcPr>
          <w:p w14:paraId="4E03C0F6">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1.基于工厂实际使用煤炭的元素分析报告和实测NCV，依据国家推荐方法计算所得因子；</w:t>
            </w:r>
          </w:p>
          <w:p w14:paraId="36ECB61E">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2.煤炭供应商提供的可验证的煤质分析数据计算所得因子；</w:t>
            </w:r>
          </w:p>
          <w:p w14:paraId="53E73DF5">
            <w:pPr>
              <w:widowControl/>
              <w:spacing w:line="240" w:lineRule="auto"/>
              <w:jc w:val="both"/>
              <w:textAlignment w:val="auto"/>
              <w:rPr>
                <w:rFonts w:hint="default" w:ascii="Times New Roman" w:hAnsi="Times New Roman" w:eastAsia="宋体" w:cs="Times New Roman"/>
                <w:color w:val="auto"/>
                <w:kern w:val="0"/>
                <w:sz w:val="18"/>
                <w:szCs w:val="18"/>
                <w:lang w:val="en-US" w:eastAsia="zh-CN" w:bidi="ar"/>
              </w:rPr>
            </w:pPr>
            <w:r>
              <w:rPr>
                <w:rFonts w:hint="default" w:ascii="Times New Roman" w:hAnsi="Times New Roman" w:cs="Times New Roman"/>
                <w:color w:val="auto"/>
                <w:kern w:val="0"/>
                <w:sz w:val="18"/>
                <w:szCs w:val="18"/>
                <w:lang w:bidi="ar"/>
              </w:rPr>
              <w:t>3.国家/行业推荐缺省值</w:t>
            </w:r>
            <w:r>
              <w:rPr>
                <w:rFonts w:hint="default" w:ascii="Times New Roman" w:hAnsi="Times New Roman" w:cs="Times New Roman"/>
                <w:color w:val="auto"/>
                <w:kern w:val="0"/>
                <w:sz w:val="18"/>
                <w:szCs w:val="18"/>
                <w:lang w:eastAsia="zh-CN" w:bidi="ar"/>
              </w:rPr>
              <w:t>；</w:t>
            </w:r>
          </w:p>
          <w:p w14:paraId="0B462A62">
            <w:pPr>
              <w:widowControl/>
              <w:spacing w:line="240" w:lineRule="auto"/>
              <w:jc w:val="both"/>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val="en-US" w:eastAsia="zh-CN" w:bidi="ar"/>
              </w:rPr>
              <w:t>4.国内权威机构建设基础数据库或</w:t>
            </w:r>
            <w:r>
              <w:rPr>
                <w:rFonts w:hint="eastAsia" w:cs="Times New Roman"/>
                <w:color w:val="auto"/>
                <w:kern w:val="0"/>
                <w:sz w:val="18"/>
                <w:szCs w:val="18"/>
                <w:lang w:val="en-US" w:eastAsia="zh-CN" w:bidi="ar"/>
              </w:rPr>
              <w:t>相关标准</w:t>
            </w:r>
            <w:r>
              <w:rPr>
                <w:rFonts w:hint="default" w:ascii="Times New Roman" w:hAnsi="Times New Roman" w:cs="Times New Roman"/>
                <w:color w:val="auto"/>
                <w:kern w:val="0"/>
                <w:sz w:val="18"/>
                <w:szCs w:val="18"/>
                <w:lang w:val="en-US" w:eastAsia="zh-CN" w:bidi="ar"/>
              </w:rPr>
              <w:t>。</w:t>
            </w:r>
          </w:p>
        </w:tc>
        <w:tc>
          <w:tcPr>
            <w:tcW w:w="548" w:type="pct"/>
            <w:shd w:val="clear" w:color="auto" w:fill="auto"/>
            <w:tcMar>
              <w:top w:w="20" w:type="dxa"/>
              <w:left w:w="30" w:type="dxa"/>
              <w:bottom w:w="20" w:type="dxa"/>
              <w:right w:w="30" w:type="dxa"/>
            </w:tcMar>
            <w:vAlign w:val="center"/>
          </w:tcPr>
          <w:p w14:paraId="5F71EFEF">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1&gt;2&gt;3&gt;</w:t>
            </w:r>
            <w:r>
              <w:rPr>
                <w:rFonts w:hint="default" w:ascii="Times New Roman" w:hAnsi="Times New Roman" w:cs="Times New Roman"/>
                <w:color w:val="auto"/>
                <w:kern w:val="0"/>
                <w:sz w:val="18"/>
                <w:szCs w:val="18"/>
                <w:lang w:eastAsia="zh-CN" w:bidi="ar"/>
              </w:rPr>
              <w:t>4</w:t>
            </w:r>
          </w:p>
        </w:tc>
      </w:tr>
      <w:tr w14:paraId="4993F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trPr>
        <w:tc>
          <w:tcPr>
            <w:tcW w:w="307" w:type="pct"/>
            <w:shd w:val="clear" w:color="auto" w:fill="auto"/>
            <w:tcMar>
              <w:top w:w="20" w:type="dxa"/>
              <w:left w:w="30" w:type="dxa"/>
              <w:bottom w:w="20" w:type="dxa"/>
              <w:right w:w="30" w:type="dxa"/>
            </w:tcMar>
            <w:vAlign w:val="center"/>
          </w:tcPr>
          <w:p w14:paraId="6BB6FA4F">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6</w:t>
            </w:r>
          </w:p>
        </w:tc>
        <w:tc>
          <w:tcPr>
            <w:tcW w:w="868" w:type="pct"/>
            <w:shd w:val="clear" w:color="auto" w:fill="auto"/>
            <w:tcMar>
              <w:top w:w="20" w:type="dxa"/>
              <w:left w:w="30" w:type="dxa"/>
              <w:bottom w:w="20" w:type="dxa"/>
              <w:right w:w="30" w:type="dxa"/>
            </w:tcMar>
            <w:vAlign w:val="center"/>
          </w:tcPr>
          <w:p w14:paraId="787BAE3E">
            <w:pPr>
              <w:widowControl/>
              <w:spacing w:line="240" w:lineRule="auto"/>
              <w:jc w:val="both"/>
              <w:textAlignment w:val="auto"/>
              <w:rPr>
                <w:rFonts w:hint="eastAsia" w:ascii="Times New Roman" w:hAnsi="Times New Roman" w:eastAsia="宋体" w:cs="Times New Roman"/>
                <w:color w:val="auto"/>
                <w:kern w:val="0"/>
                <w:sz w:val="18"/>
                <w:szCs w:val="18"/>
                <w:lang w:eastAsia="zh-CN"/>
              </w:rPr>
            </w:pPr>
            <w:r>
              <w:rPr>
                <w:rFonts w:hint="default" w:ascii="Times New Roman" w:hAnsi="Times New Roman" w:cs="Times New Roman"/>
                <w:color w:val="auto"/>
                <w:kern w:val="0"/>
                <w:sz w:val="18"/>
                <w:szCs w:val="18"/>
                <w:lang w:bidi="ar"/>
              </w:rPr>
              <w:t>其他化石燃料燃烧</w:t>
            </w:r>
            <w:r>
              <w:rPr>
                <w:rFonts w:hint="eastAsia" w:cs="Times New Roman"/>
                <w:color w:val="auto"/>
                <w:kern w:val="0"/>
                <w:sz w:val="18"/>
                <w:szCs w:val="18"/>
                <w:lang w:eastAsia="zh-CN" w:bidi="ar"/>
              </w:rPr>
              <w:t>排放因子</w:t>
            </w:r>
          </w:p>
        </w:tc>
        <w:tc>
          <w:tcPr>
            <w:tcW w:w="3274" w:type="pct"/>
            <w:shd w:val="clear" w:color="auto" w:fill="auto"/>
            <w:tcMar>
              <w:top w:w="20" w:type="dxa"/>
              <w:left w:w="30" w:type="dxa"/>
              <w:bottom w:w="20" w:type="dxa"/>
              <w:right w:w="30" w:type="dxa"/>
            </w:tcMar>
            <w:vAlign w:val="center"/>
          </w:tcPr>
          <w:p w14:paraId="25F95B74">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1.基于工厂实际使用该燃料的元素分析报告和实测NCV，依据国家推荐方法计算所得因子；</w:t>
            </w:r>
          </w:p>
          <w:p w14:paraId="2802E766">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2.该燃料供应商提供的可验证的燃料特性数据计算所得因子；</w:t>
            </w:r>
          </w:p>
          <w:p w14:paraId="30B90DD8">
            <w:pPr>
              <w:widowControl/>
              <w:spacing w:line="240" w:lineRule="auto"/>
              <w:jc w:val="both"/>
              <w:textAlignment w:val="auto"/>
              <w:rPr>
                <w:rFonts w:hint="default" w:ascii="Times New Roman" w:hAnsi="Times New Roman" w:cs="Times New Roman"/>
                <w:color w:val="auto"/>
                <w:kern w:val="0"/>
                <w:sz w:val="18"/>
                <w:szCs w:val="18"/>
                <w:lang w:eastAsia="zh-CN" w:bidi="ar"/>
              </w:rPr>
            </w:pPr>
            <w:r>
              <w:rPr>
                <w:rFonts w:hint="default" w:ascii="Times New Roman" w:hAnsi="Times New Roman" w:cs="Times New Roman"/>
                <w:color w:val="auto"/>
                <w:kern w:val="0"/>
                <w:sz w:val="18"/>
                <w:szCs w:val="18"/>
                <w:lang w:bidi="ar"/>
              </w:rPr>
              <w:t>3.国家/行业推荐缺省值</w:t>
            </w:r>
            <w:r>
              <w:rPr>
                <w:rFonts w:hint="default" w:ascii="Times New Roman" w:hAnsi="Times New Roman" w:cs="Times New Roman"/>
                <w:color w:val="auto"/>
                <w:kern w:val="0"/>
                <w:sz w:val="18"/>
                <w:szCs w:val="18"/>
                <w:lang w:eastAsia="zh-CN" w:bidi="ar"/>
              </w:rPr>
              <w:t>；</w:t>
            </w:r>
          </w:p>
          <w:p w14:paraId="652E6AFB">
            <w:pPr>
              <w:widowControl/>
              <w:spacing w:line="240" w:lineRule="auto"/>
              <w:jc w:val="both"/>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val="en-US" w:eastAsia="zh-CN" w:bidi="ar"/>
              </w:rPr>
              <w:t>4.国内权威机构建设基础数据库或</w:t>
            </w:r>
            <w:r>
              <w:rPr>
                <w:rFonts w:hint="eastAsia" w:cs="Times New Roman"/>
                <w:color w:val="auto"/>
                <w:kern w:val="0"/>
                <w:sz w:val="18"/>
                <w:szCs w:val="18"/>
                <w:lang w:val="en-US" w:eastAsia="zh-CN" w:bidi="ar"/>
              </w:rPr>
              <w:t>相关标准</w:t>
            </w:r>
            <w:r>
              <w:rPr>
                <w:rFonts w:hint="default" w:ascii="Times New Roman" w:hAnsi="Times New Roman" w:cs="Times New Roman"/>
                <w:color w:val="auto"/>
                <w:kern w:val="0"/>
                <w:sz w:val="18"/>
                <w:szCs w:val="18"/>
                <w:lang w:val="en-US" w:eastAsia="zh-CN" w:bidi="ar"/>
              </w:rPr>
              <w:t>。</w:t>
            </w:r>
          </w:p>
        </w:tc>
        <w:tc>
          <w:tcPr>
            <w:tcW w:w="548" w:type="pct"/>
            <w:shd w:val="clear" w:color="auto" w:fill="auto"/>
            <w:tcMar>
              <w:top w:w="20" w:type="dxa"/>
              <w:left w:w="30" w:type="dxa"/>
              <w:bottom w:w="20" w:type="dxa"/>
              <w:right w:w="30" w:type="dxa"/>
            </w:tcMar>
            <w:vAlign w:val="center"/>
          </w:tcPr>
          <w:p w14:paraId="6BEA109F">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1&gt;2&gt;3&gt;</w:t>
            </w:r>
            <w:r>
              <w:rPr>
                <w:rFonts w:hint="default" w:ascii="Times New Roman" w:hAnsi="Times New Roman" w:cs="Times New Roman"/>
                <w:color w:val="auto"/>
                <w:kern w:val="0"/>
                <w:sz w:val="18"/>
                <w:szCs w:val="18"/>
                <w:lang w:eastAsia="zh-CN" w:bidi="ar"/>
              </w:rPr>
              <w:t>4</w:t>
            </w:r>
          </w:p>
        </w:tc>
      </w:tr>
      <w:tr w14:paraId="7C942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trPr>
        <w:tc>
          <w:tcPr>
            <w:tcW w:w="307" w:type="pct"/>
            <w:shd w:val="clear" w:color="auto" w:fill="auto"/>
            <w:tcMar>
              <w:top w:w="20" w:type="dxa"/>
              <w:left w:w="30" w:type="dxa"/>
              <w:bottom w:w="20" w:type="dxa"/>
              <w:right w:w="30" w:type="dxa"/>
            </w:tcMar>
            <w:vAlign w:val="center"/>
          </w:tcPr>
          <w:p w14:paraId="43F5A5F3">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7</w:t>
            </w:r>
          </w:p>
        </w:tc>
        <w:tc>
          <w:tcPr>
            <w:tcW w:w="868" w:type="pct"/>
            <w:shd w:val="clear" w:color="auto" w:fill="auto"/>
            <w:tcMar>
              <w:top w:w="20" w:type="dxa"/>
              <w:left w:w="30" w:type="dxa"/>
              <w:bottom w:w="20" w:type="dxa"/>
              <w:right w:w="30" w:type="dxa"/>
            </w:tcMar>
            <w:vAlign w:val="center"/>
          </w:tcPr>
          <w:p w14:paraId="605BB262">
            <w:pPr>
              <w:widowControl/>
              <w:spacing w:line="240" w:lineRule="auto"/>
              <w:jc w:val="both"/>
              <w:textAlignment w:val="auto"/>
              <w:rPr>
                <w:rFonts w:hint="eastAsia" w:ascii="Times New Roman" w:hAnsi="Times New Roman" w:eastAsia="宋体" w:cs="Times New Roman"/>
                <w:color w:val="auto"/>
                <w:kern w:val="0"/>
                <w:sz w:val="18"/>
                <w:szCs w:val="18"/>
                <w:lang w:eastAsia="zh-CN"/>
              </w:rPr>
            </w:pPr>
            <w:r>
              <w:rPr>
                <w:rFonts w:hint="default" w:ascii="Times New Roman" w:hAnsi="Times New Roman" w:cs="Times New Roman"/>
                <w:color w:val="auto"/>
                <w:kern w:val="0"/>
                <w:sz w:val="18"/>
                <w:szCs w:val="18"/>
                <w:lang w:bidi="ar"/>
              </w:rPr>
              <w:t>外购</w:t>
            </w:r>
            <w:r>
              <w:rPr>
                <w:rFonts w:hint="eastAsia" w:cs="Times New Roman"/>
                <w:color w:val="auto"/>
                <w:kern w:val="0"/>
                <w:sz w:val="18"/>
                <w:szCs w:val="18"/>
                <w:lang w:eastAsia="zh-CN" w:bidi="ar"/>
              </w:rPr>
              <w:t>热</w:t>
            </w:r>
            <w:r>
              <w:rPr>
                <w:rFonts w:hint="default" w:ascii="Times New Roman" w:hAnsi="Times New Roman" w:cs="Times New Roman"/>
                <w:color w:val="auto"/>
                <w:kern w:val="0"/>
                <w:sz w:val="18"/>
                <w:szCs w:val="18"/>
                <w:lang w:bidi="ar"/>
              </w:rPr>
              <w:t>力</w:t>
            </w:r>
            <w:r>
              <w:rPr>
                <w:rFonts w:hint="eastAsia" w:cs="Times New Roman"/>
                <w:color w:val="auto"/>
                <w:kern w:val="0"/>
                <w:sz w:val="18"/>
                <w:szCs w:val="18"/>
                <w:lang w:eastAsia="zh-CN" w:bidi="ar"/>
              </w:rPr>
              <w:t>排放因子</w:t>
            </w:r>
          </w:p>
        </w:tc>
        <w:tc>
          <w:tcPr>
            <w:tcW w:w="3274" w:type="pct"/>
            <w:shd w:val="clear" w:color="auto" w:fill="auto"/>
            <w:tcMar>
              <w:top w:w="20" w:type="dxa"/>
              <w:left w:w="30" w:type="dxa"/>
              <w:bottom w:w="20" w:type="dxa"/>
              <w:right w:w="30" w:type="dxa"/>
            </w:tcMar>
            <w:vAlign w:val="center"/>
          </w:tcPr>
          <w:p w14:paraId="5266C752">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1.</w:t>
            </w:r>
            <w:r>
              <w:rPr>
                <w:rFonts w:hint="eastAsia" w:cs="Times New Roman"/>
                <w:color w:val="auto"/>
                <w:kern w:val="0"/>
                <w:sz w:val="18"/>
                <w:szCs w:val="18"/>
                <w:lang w:eastAsia="zh-CN" w:bidi="ar"/>
              </w:rPr>
              <w:t>热</w:t>
            </w:r>
            <w:r>
              <w:rPr>
                <w:rFonts w:hint="default" w:ascii="Times New Roman" w:hAnsi="Times New Roman" w:cs="Times New Roman"/>
                <w:color w:val="auto"/>
                <w:kern w:val="0"/>
                <w:sz w:val="18"/>
                <w:szCs w:val="18"/>
                <w:lang w:bidi="ar"/>
              </w:rPr>
              <w:t>力供应商提供的、基于其年度实际运营数据核算并经核查的单位热量</w:t>
            </w:r>
            <w:r>
              <w:rPr>
                <w:rFonts w:hint="eastAsia" w:cs="Times New Roman"/>
                <w:color w:val="auto"/>
                <w:kern w:val="0"/>
                <w:sz w:val="18"/>
                <w:szCs w:val="18"/>
                <w:lang w:eastAsia="zh-CN" w:bidi="ar"/>
              </w:rPr>
              <w:t>排放因子</w:t>
            </w:r>
            <w:r>
              <w:rPr>
                <w:rFonts w:hint="default" w:ascii="Times New Roman" w:hAnsi="Times New Roman" w:cs="Times New Roman"/>
                <w:color w:val="auto"/>
                <w:kern w:val="0"/>
                <w:sz w:val="18"/>
                <w:szCs w:val="18"/>
                <w:lang w:bidi="ar"/>
              </w:rPr>
              <w:t>；</w:t>
            </w:r>
          </w:p>
          <w:p w14:paraId="26CD12C1">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2.地方政府或行业主管部门发布的适用于本区域供</w:t>
            </w:r>
            <w:r>
              <w:rPr>
                <w:rFonts w:hint="eastAsia" w:cs="Times New Roman"/>
                <w:color w:val="auto"/>
                <w:kern w:val="0"/>
                <w:sz w:val="18"/>
                <w:szCs w:val="18"/>
                <w:lang w:eastAsia="zh-CN" w:bidi="ar"/>
              </w:rPr>
              <w:t>热</w:t>
            </w:r>
            <w:r>
              <w:rPr>
                <w:rFonts w:hint="default" w:ascii="Times New Roman" w:hAnsi="Times New Roman" w:cs="Times New Roman"/>
                <w:color w:val="auto"/>
                <w:kern w:val="0"/>
                <w:sz w:val="18"/>
                <w:szCs w:val="18"/>
                <w:lang w:bidi="ar"/>
              </w:rPr>
              <w:t>系统的最新年度平均</w:t>
            </w:r>
            <w:r>
              <w:rPr>
                <w:rFonts w:hint="eastAsia" w:cs="Times New Roman"/>
                <w:color w:val="auto"/>
                <w:kern w:val="0"/>
                <w:sz w:val="18"/>
                <w:szCs w:val="18"/>
                <w:lang w:eastAsia="zh-CN" w:bidi="ar"/>
              </w:rPr>
              <w:t>排放因子</w:t>
            </w:r>
            <w:r>
              <w:rPr>
                <w:rFonts w:hint="default" w:ascii="Times New Roman" w:hAnsi="Times New Roman" w:cs="Times New Roman"/>
                <w:color w:val="auto"/>
                <w:kern w:val="0"/>
                <w:sz w:val="18"/>
                <w:szCs w:val="18"/>
                <w:lang w:bidi="ar"/>
              </w:rPr>
              <w:t>；</w:t>
            </w:r>
          </w:p>
          <w:p w14:paraId="392EBA78">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bidi="ar"/>
              </w:rPr>
              <w:t>3.若能获取供应商详细燃料消耗及锅炉效率数据，依据国家推荐方法自行核算的因子（需确保数据可靠，方法合规）；</w:t>
            </w:r>
          </w:p>
          <w:p w14:paraId="607410FF">
            <w:pPr>
              <w:widowControl/>
              <w:spacing w:line="240" w:lineRule="auto"/>
              <w:jc w:val="both"/>
              <w:textAlignment w:val="auto"/>
              <w:rPr>
                <w:rFonts w:hint="default" w:ascii="Times New Roman" w:hAnsi="Times New Roman" w:cs="Times New Roman"/>
                <w:color w:val="auto"/>
                <w:kern w:val="0"/>
                <w:sz w:val="18"/>
                <w:szCs w:val="18"/>
                <w:lang w:eastAsia="zh-CN" w:bidi="ar"/>
              </w:rPr>
            </w:pPr>
            <w:r>
              <w:rPr>
                <w:rFonts w:hint="default" w:ascii="Times New Roman" w:hAnsi="Times New Roman" w:cs="Times New Roman"/>
                <w:color w:val="auto"/>
                <w:kern w:val="0"/>
                <w:sz w:val="18"/>
                <w:szCs w:val="18"/>
                <w:lang w:bidi="ar"/>
              </w:rPr>
              <w:t>4.国家相关指南中关于</w:t>
            </w:r>
            <w:r>
              <w:rPr>
                <w:rFonts w:hint="eastAsia" w:cs="Times New Roman"/>
                <w:color w:val="auto"/>
                <w:kern w:val="0"/>
                <w:sz w:val="18"/>
                <w:szCs w:val="18"/>
                <w:lang w:eastAsia="zh-CN" w:bidi="ar"/>
              </w:rPr>
              <w:t>热</w:t>
            </w:r>
            <w:r>
              <w:rPr>
                <w:rFonts w:hint="default" w:ascii="Times New Roman" w:hAnsi="Times New Roman" w:cs="Times New Roman"/>
                <w:color w:val="auto"/>
                <w:kern w:val="0"/>
                <w:sz w:val="18"/>
                <w:szCs w:val="18"/>
                <w:lang w:bidi="ar"/>
              </w:rPr>
              <w:t>力生产的缺省参数或推荐估算方法</w:t>
            </w:r>
            <w:r>
              <w:rPr>
                <w:rFonts w:hint="default" w:ascii="Times New Roman" w:hAnsi="Times New Roman" w:cs="Times New Roman"/>
                <w:color w:val="auto"/>
                <w:kern w:val="0"/>
                <w:sz w:val="18"/>
                <w:szCs w:val="18"/>
                <w:lang w:eastAsia="zh-CN" w:bidi="ar"/>
              </w:rPr>
              <w:t>；</w:t>
            </w:r>
          </w:p>
          <w:p w14:paraId="469034CF">
            <w:pPr>
              <w:widowControl/>
              <w:spacing w:line="240" w:lineRule="auto"/>
              <w:jc w:val="both"/>
              <w:textAlignment w:val="auto"/>
              <w:rPr>
                <w:rFonts w:hint="default" w:ascii="Times New Roman" w:hAnsi="Times New Roman" w:cs="Times New Roman"/>
                <w:color w:val="auto"/>
                <w:kern w:val="0"/>
                <w:sz w:val="18"/>
                <w:szCs w:val="18"/>
                <w:lang w:bidi="ar"/>
              </w:rPr>
            </w:pPr>
            <w:r>
              <w:rPr>
                <w:rFonts w:hint="default" w:ascii="Times New Roman" w:hAnsi="Times New Roman" w:cs="Times New Roman"/>
                <w:color w:val="auto"/>
                <w:kern w:val="0"/>
                <w:sz w:val="18"/>
                <w:szCs w:val="18"/>
                <w:lang w:val="en-US" w:eastAsia="zh-CN" w:bidi="ar"/>
              </w:rPr>
              <w:t>5.国内权威机构建设基础数据库或</w:t>
            </w:r>
            <w:r>
              <w:rPr>
                <w:rFonts w:hint="eastAsia" w:cs="Times New Roman"/>
                <w:color w:val="auto"/>
                <w:kern w:val="0"/>
                <w:sz w:val="18"/>
                <w:szCs w:val="18"/>
                <w:lang w:val="en-US" w:eastAsia="zh-CN" w:bidi="ar"/>
              </w:rPr>
              <w:t>相关标准</w:t>
            </w:r>
            <w:r>
              <w:rPr>
                <w:rFonts w:hint="default" w:ascii="Times New Roman" w:hAnsi="Times New Roman" w:cs="Times New Roman"/>
                <w:color w:val="auto"/>
                <w:kern w:val="0"/>
                <w:sz w:val="18"/>
                <w:szCs w:val="18"/>
                <w:lang w:val="en-US" w:eastAsia="zh-CN" w:bidi="ar"/>
              </w:rPr>
              <w:t>。</w:t>
            </w:r>
          </w:p>
        </w:tc>
        <w:tc>
          <w:tcPr>
            <w:tcW w:w="548" w:type="pct"/>
            <w:shd w:val="clear" w:color="auto" w:fill="auto"/>
            <w:tcMar>
              <w:top w:w="20" w:type="dxa"/>
              <w:left w:w="30" w:type="dxa"/>
              <w:bottom w:w="20" w:type="dxa"/>
              <w:right w:w="30" w:type="dxa"/>
            </w:tcMar>
            <w:vAlign w:val="center"/>
          </w:tcPr>
          <w:p w14:paraId="7D569A89">
            <w:pPr>
              <w:widowControl/>
              <w:spacing w:line="240" w:lineRule="auto"/>
              <w:jc w:val="center"/>
              <w:textAlignment w:val="auto"/>
              <w:rPr>
                <w:rFonts w:hint="default" w:ascii="Times New Roman" w:hAnsi="Times New Roman" w:cs="Times New Roman"/>
                <w:color w:val="auto"/>
                <w:kern w:val="0"/>
                <w:sz w:val="18"/>
                <w:szCs w:val="18"/>
              </w:rPr>
            </w:pPr>
            <w:r>
              <w:rPr>
                <w:rFonts w:hint="default" w:ascii="Times New Roman" w:hAnsi="Times New Roman" w:cs="Times New Roman"/>
                <w:color w:val="auto"/>
                <w:kern w:val="0"/>
                <w:sz w:val="18"/>
                <w:szCs w:val="18"/>
                <w:lang w:bidi="ar"/>
              </w:rPr>
              <w:t>1&gt;2&gt;3&gt;4&gt;</w:t>
            </w:r>
            <w:r>
              <w:rPr>
                <w:rFonts w:hint="default" w:ascii="Times New Roman" w:hAnsi="Times New Roman" w:cs="Times New Roman"/>
                <w:color w:val="auto"/>
                <w:kern w:val="0"/>
                <w:sz w:val="18"/>
                <w:szCs w:val="18"/>
                <w:lang w:val="en-US" w:eastAsia="zh-CN" w:bidi="ar"/>
              </w:rPr>
              <w:t>5</w:t>
            </w:r>
          </w:p>
        </w:tc>
      </w:tr>
    </w:tbl>
    <w:p w14:paraId="6727B25D">
      <w:pPr>
        <w:rPr>
          <w:rFonts w:hint="eastAsia"/>
          <w:lang w:val="en-US" w:eastAsia="zh-CN"/>
        </w:rPr>
      </w:pPr>
    </w:p>
    <w:p w14:paraId="57A0068B">
      <w:pPr>
        <w:pStyle w:val="12"/>
        <w:ind w:firstLine="0" w:firstLineChars="0"/>
        <w:rPr>
          <w:rFonts w:hint="default"/>
          <w:lang w:val="en-US" w:eastAsia="zh-CN"/>
        </w:rPr>
      </w:pPr>
    </w:p>
    <w:p w14:paraId="38FB7EB1">
      <w:pPr>
        <w:pStyle w:val="12"/>
        <w:ind w:firstLine="0" w:firstLineChars="0"/>
        <w:rPr>
          <w:rFonts w:hint="default"/>
          <w:lang w:val="en-US" w:eastAsia="zh-CN"/>
        </w:rPr>
      </w:pPr>
    </w:p>
    <w:p w14:paraId="024C1071">
      <w:pPr>
        <w:pStyle w:val="12"/>
        <w:ind w:firstLine="0" w:firstLineChars="0"/>
        <w:rPr>
          <w:rFonts w:hint="default"/>
          <w:lang w:val="en-US" w:eastAsia="zh-CN"/>
        </w:rPr>
      </w:pPr>
    </w:p>
    <w:p w14:paraId="12841B4C">
      <w:pPr>
        <w:pStyle w:val="12"/>
        <w:ind w:firstLine="0" w:firstLineChars="0"/>
        <w:rPr>
          <w:rFonts w:hint="default"/>
          <w:lang w:val="en-US" w:eastAsia="zh-CN"/>
        </w:rPr>
        <w:sectPr>
          <w:pgSz w:w="11906" w:h="16838"/>
          <w:pgMar w:top="1440" w:right="1800" w:bottom="1440" w:left="1800" w:header="851" w:footer="992" w:gutter="0"/>
          <w:cols w:space="0" w:num="1"/>
          <w:rtlGutter w:val="0"/>
          <w:docGrid w:type="lines" w:linePitch="331" w:charSpace="0"/>
        </w:sectPr>
      </w:pPr>
    </w:p>
    <w:p w14:paraId="730C197A">
      <w:pPr>
        <w:pStyle w:val="3"/>
        <w:rPr>
          <w:rFonts w:hint="default"/>
          <w:lang w:val="en-US" w:eastAsia="zh-CN"/>
        </w:rPr>
      </w:pPr>
      <w:bookmarkStart w:id="144" w:name="_Toc24645"/>
      <w:bookmarkStart w:id="145" w:name="_Toc13886"/>
      <w:r>
        <w:rPr>
          <w:rFonts w:hint="default"/>
          <w:lang w:val="en-US" w:eastAsia="zh-CN"/>
        </w:rPr>
        <w:t>附录C</w:t>
      </w:r>
      <w:bookmarkEnd w:id="144"/>
      <w:bookmarkEnd w:id="145"/>
      <w:r>
        <w:rPr>
          <w:rFonts w:hint="eastAsia"/>
          <w:lang w:val="en-US" w:eastAsia="zh-CN"/>
        </w:rPr>
        <w:t xml:space="preserve"> </w:t>
      </w:r>
    </w:p>
    <w:p w14:paraId="6696FC9B">
      <w:pPr>
        <w:bidi w:val="0"/>
        <w:jc w:val="center"/>
        <w:rPr>
          <w:rFonts w:hint="eastAsia" w:ascii="黑体" w:hAnsi="黑体" w:eastAsia="黑体" w:cs="黑体"/>
          <w:lang w:val="en-US" w:eastAsia="zh-CN"/>
        </w:rPr>
      </w:pPr>
      <w:r>
        <w:rPr>
          <w:rFonts w:hint="eastAsia" w:ascii="黑体" w:hAnsi="黑体" w:eastAsia="黑体" w:cs="黑体"/>
          <w:lang w:val="en-US" w:eastAsia="zh-CN"/>
        </w:rPr>
        <w:t>活动数据编号管理规则</w:t>
      </w:r>
    </w:p>
    <w:p w14:paraId="457D08C6">
      <w:pPr>
        <w:bidi w:val="0"/>
        <w:jc w:val="left"/>
        <w:rPr>
          <w:rFonts w:ascii="宋体" w:hAnsi="宋体" w:eastAsia="宋体" w:cs="宋体"/>
          <w:b/>
          <w:bCs/>
          <w:sz w:val="24"/>
          <w:szCs w:val="24"/>
        </w:rPr>
      </w:pPr>
      <w:r>
        <w:rPr>
          <w:rFonts w:hint="eastAsia" w:cs="宋体"/>
          <w:b/>
          <w:bCs/>
          <w:sz w:val="24"/>
          <w:szCs w:val="24"/>
          <w:lang w:val="en-US" w:eastAsia="zh-CN"/>
        </w:rPr>
        <w:t>C</w:t>
      </w:r>
      <w:r>
        <w:rPr>
          <w:rFonts w:ascii="Times New Roman" w:hAnsi="Times New Roman" w:eastAsia="宋体" w:cs="宋体"/>
          <w:b/>
          <w:bCs/>
          <w:sz w:val="24"/>
          <w:szCs w:val="24"/>
        </w:rPr>
        <w:t>.1</w:t>
      </w:r>
      <w:r>
        <w:rPr>
          <w:rFonts w:ascii="宋体" w:hAnsi="宋体" w:eastAsia="宋体" w:cs="宋体"/>
          <w:b/>
          <w:bCs/>
          <w:sz w:val="24"/>
          <w:szCs w:val="24"/>
        </w:rPr>
        <w:t xml:space="preserve"> 编号结构</w:t>
      </w:r>
    </w:p>
    <w:p w14:paraId="004215C9">
      <w:pPr>
        <w:bidi w:val="0"/>
        <w:jc w:val="left"/>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活动数据编号应采用分段式编码结构，由若干字段组合而成：</w:t>
      </w:r>
    </w:p>
    <w:p w14:paraId="3A53D11F">
      <w:pPr>
        <w:bidi w:val="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AD-【阶段】-【源类】-【采集方式】-【</w:t>
      </w:r>
      <w:r>
        <w:rPr>
          <w:rFonts w:hint="eastAsia" w:cs="Times New Roman"/>
          <w:sz w:val="24"/>
          <w:szCs w:val="24"/>
          <w:lang w:val="en-US" w:eastAsia="zh-CN"/>
        </w:rPr>
        <w:t>计量级别</w:t>
      </w:r>
      <w:r>
        <w:rPr>
          <w:rFonts w:hint="default" w:ascii="Times New Roman" w:hAnsi="Times New Roman" w:eastAsia="宋体" w:cs="Times New Roman"/>
          <w:sz w:val="24"/>
          <w:szCs w:val="24"/>
          <w:lang w:val="en-US" w:eastAsia="zh-CN"/>
        </w:rPr>
        <w:t>】-【序号】</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70"/>
        <w:gridCol w:w="5309"/>
      </w:tblGrid>
      <w:tr w14:paraId="7D6FB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4370" w:type="dxa"/>
            <w:vAlign w:val="center"/>
          </w:tcPr>
          <w:p w14:paraId="08F4446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b/>
                <w:bCs/>
                <w:sz w:val="18"/>
                <w:szCs w:val="18"/>
                <w:vertAlign w:val="baseline"/>
                <w:lang w:val="en-US" w:eastAsia="zh-CN"/>
              </w:rPr>
            </w:pPr>
            <w:r>
              <w:rPr>
                <w:rFonts w:ascii="Times New Roman" w:hAnsi="Times New Roman" w:eastAsia="宋体" w:cs="宋体"/>
                <w:b/>
                <w:bCs/>
                <w:sz w:val="18"/>
                <w:szCs w:val="18"/>
              </w:rPr>
              <w:t>字段</w:t>
            </w:r>
          </w:p>
        </w:tc>
        <w:tc>
          <w:tcPr>
            <w:tcW w:w="5309" w:type="dxa"/>
            <w:vAlign w:val="center"/>
          </w:tcPr>
          <w:p w14:paraId="1B82940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b/>
                <w:bCs/>
                <w:sz w:val="18"/>
                <w:szCs w:val="18"/>
                <w:vertAlign w:val="baseline"/>
                <w:lang w:val="en-US" w:eastAsia="zh-CN"/>
              </w:rPr>
            </w:pPr>
            <w:r>
              <w:rPr>
                <w:rFonts w:ascii="Times New Roman" w:hAnsi="Times New Roman" w:eastAsia="宋体" w:cs="宋体"/>
                <w:b/>
                <w:bCs/>
                <w:sz w:val="18"/>
                <w:szCs w:val="18"/>
              </w:rPr>
              <w:t>说明</w:t>
            </w:r>
          </w:p>
        </w:tc>
      </w:tr>
      <w:tr w14:paraId="3CF7F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4370" w:type="dxa"/>
            <w:vAlign w:val="center"/>
          </w:tcPr>
          <w:p w14:paraId="56670C3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AD</w:t>
            </w:r>
          </w:p>
        </w:tc>
        <w:tc>
          <w:tcPr>
            <w:tcW w:w="5309" w:type="dxa"/>
            <w:vAlign w:val="center"/>
          </w:tcPr>
          <w:p w14:paraId="11844654">
            <w:pPr>
              <w:keepNext w:val="0"/>
              <w:keepLines w:val="0"/>
              <w:pageBreakBefore w:val="0"/>
              <w:widowControl w:val="0"/>
              <w:kinsoku/>
              <w:wordWrap/>
              <w:overflowPunct/>
              <w:topLinePunct w:val="0"/>
              <w:autoSpaceDE/>
              <w:autoSpaceDN/>
              <w:bidi w:val="0"/>
              <w:adjustRightInd/>
              <w:snapToGrid/>
              <w:spacing w:line="340" w:lineRule="atLeast"/>
              <w:jc w:val="both"/>
              <w:textAlignment w:val="auto"/>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活动数据标识，固定前缀</w:t>
            </w:r>
          </w:p>
        </w:tc>
      </w:tr>
      <w:tr w14:paraId="7BB21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6" w:hRule="atLeast"/>
          <w:jc w:val="center"/>
        </w:trPr>
        <w:tc>
          <w:tcPr>
            <w:tcW w:w="4370" w:type="dxa"/>
            <w:vAlign w:val="center"/>
          </w:tcPr>
          <w:p w14:paraId="34F59D8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源类</w:t>
            </w:r>
          </w:p>
        </w:tc>
        <w:tc>
          <w:tcPr>
            <w:tcW w:w="5309" w:type="dxa"/>
            <w:vAlign w:val="center"/>
          </w:tcPr>
          <w:p w14:paraId="4D5D3E5F">
            <w:pPr>
              <w:keepNext w:val="0"/>
              <w:keepLines w:val="0"/>
              <w:pageBreakBefore w:val="0"/>
              <w:widowControl w:val="0"/>
              <w:kinsoku/>
              <w:wordWrap/>
              <w:overflowPunct/>
              <w:topLinePunct w:val="0"/>
              <w:autoSpaceDE/>
              <w:autoSpaceDN/>
              <w:bidi w:val="0"/>
              <w:adjustRightInd/>
              <w:snapToGrid/>
              <w:spacing w:line="340" w:lineRule="atLeast"/>
              <w:jc w:val="both"/>
              <w:textAlignment w:val="auto"/>
              <w:rPr>
                <w:rFonts w:ascii="Times New Roman" w:hAnsi="Times New Roman" w:eastAsia="宋体" w:cs="宋体"/>
                <w:sz w:val="18"/>
                <w:szCs w:val="18"/>
              </w:rPr>
            </w:pPr>
            <w:r>
              <w:rPr>
                <w:rFonts w:ascii="Times New Roman" w:hAnsi="Times New Roman" w:eastAsia="宋体" w:cs="宋体"/>
                <w:sz w:val="18"/>
                <w:szCs w:val="18"/>
              </w:rPr>
              <w:t>排放源类型（2位）</w:t>
            </w:r>
            <w:r>
              <w:rPr>
                <w:rFonts w:ascii="Times New Roman" w:hAnsi="Times New Roman" w:eastAsia="宋体" w:cs="宋体"/>
                <w:sz w:val="18"/>
                <w:szCs w:val="18"/>
              </w:rPr>
              <w:br w:type="textWrapping"/>
            </w:r>
            <w:r>
              <w:rPr>
                <w:rFonts w:ascii="Times New Roman" w:hAnsi="Times New Roman" w:eastAsia="宋体" w:cs="宋体"/>
                <w:sz w:val="18"/>
                <w:szCs w:val="18"/>
              </w:rPr>
              <w:t>EN：</w:t>
            </w:r>
            <w:r>
              <w:rPr>
                <w:rFonts w:hint="eastAsia" w:ascii="Times New Roman" w:hAnsi="Times New Roman" w:eastAsia="宋体" w:cs="宋体"/>
                <w:sz w:val="18"/>
                <w:szCs w:val="18"/>
                <w:lang w:val="en-US" w:eastAsia="zh-CN"/>
              </w:rPr>
              <w:t>化石</w:t>
            </w:r>
            <w:r>
              <w:rPr>
                <w:rFonts w:ascii="Times New Roman" w:hAnsi="Times New Roman" w:eastAsia="宋体" w:cs="宋体"/>
                <w:sz w:val="18"/>
                <w:szCs w:val="18"/>
              </w:rPr>
              <w:t>能源类</w:t>
            </w:r>
          </w:p>
          <w:p w14:paraId="22899DA5">
            <w:pPr>
              <w:keepNext w:val="0"/>
              <w:keepLines w:val="0"/>
              <w:pageBreakBefore w:val="0"/>
              <w:widowControl w:val="0"/>
              <w:kinsoku/>
              <w:wordWrap/>
              <w:overflowPunct/>
              <w:topLinePunct w:val="0"/>
              <w:autoSpaceDE/>
              <w:autoSpaceDN/>
              <w:bidi w:val="0"/>
              <w:adjustRightInd/>
              <w:snapToGrid/>
              <w:spacing w:line="340" w:lineRule="atLeast"/>
              <w:jc w:val="both"/>
              <w:textAlignment w:val="auto"/>
              <w:rPr>
                <w:rFonts w:hint="eastAsia" w:ascii="Times New Roman" w:hAnsi="Times New Roman" w:eastAsia="宋体" w:cs="宋体"/>
                <w:sz w:val="18"/>
                <w:szCs w:val="18"/>
                <w:lang w:val="en-US" w:eastAsia="zh-CN"/>
              </w:rPr>
            </w:pPr>
            <w:r>
              <w:rPr>
                <w:rFonts w:hint="eastAsia" w:ascii="Times New Roman" w:hAnsi="Times New Roman" w:eastAsia="宋体" w:cs="宋体"/>
                <w:sz w:val="18"/>
                <w:szCs w:val="18"/>
                <w:lang w:val="en-US" w:eastAsia="zh-CN"/>
              </w:rPr>
              <w:t>EL：电力类</w:t>
            </w:r>
          </w:p>
          <w:p w14:paraId="21DDC62E">
            <w:pPr>
              <w:keepNext w:val="0"/>
              <w:keepLines w:val="0"/>
              <w:pageBreakBefore w:val="0"/>
              <w:widowControl w:val="0"/>
              <w:kinsoku/>
              <w:wordWrap/>
              <w:overflowPunct/>
              <w:topLinePunct w:val="0"/>
              <w:autoSpaceDE/>
              <w:autoSpaceDN/>
              <w:bidi w:val="0"/>
              <w:adjustRightInd/>
              <w:snapToGrid/>
              <w:spacing w:line="340" w:lineRule="atLeast"/>
              <w:jc w:val="both"/>
              <w:textAlignment w:val="auto"/>
              <w:rPr>
                <w:rFonts w:hint="eastAsia" w:ascii="Times New Roman" w:hAnsi="Times New Roman" w:eastAsia="宋体"/>
                <w:sz w:val="18"/>
                <w:szCs w:val="18"/>
                <w:vertAlign w:val="baseline"/>
                <w:lang w:val="en-US" w:eastAsia="zh-CN"/>
              </w:rPr>
            </w:pPr>
            <w:r>
              <w:rPr>
                <w:rFonts w:hint="eastAsia" w:ascii="Times New Roman" w:hAnsi="Times New Roman" w:eastAsia="宋体" w:cs="宋体"/>
                <w:sz w:val="18"/>
                <w:szCs w:val="18"/>
                <w:lang w:val="en-US" w:eastAsia="zh-CN"/>
              </w:rPr>
              <w:t>TH：热力类</w:t>
            </w:r>
            <w:r>
              <w:rPr>
                <w:rFonts w:ascii="Times New Roman" w:hAnsi="Times New Roman" w:eastAsia="宋体" w:cs="宋体"/>
                <w:sz w:val="18"/>
                <w:szCs w:val="18"/>
              </w:rPr>
              <w:br w:type="textWrapping"/>
            </w:r>
            <w:r>
              <w:rPr>
                <w:rFonts w:ascii="Times New Roman" w:hAnsi="Times New Roman" w:eastAsia="宋体" w:cs="宋体"/>
                <w:sz w:val="18"/>
                <w:szCs w:val="18"/>
              </w:rPr>
              <w:t>OT：其他</w:t>
            </w:r>
          </w:p>
        </w:tc>
      </w:tr>
      <w:tr w14:paraId="7E8FC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6" w:hRule="atLeast"/>
          <w:jc w:val="center"/>
        </w:trPr>
        <w:tc>
          <w:tcPr>
            <w:tcW w:w="4370" w:type="dxa"/>
            <w:vAlign w:val="center"/>
          </w:tcPr>
          <w:p w14:paraId="7EA5D9E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采集方式</w:t>
            </w:r>
          </w:p>
        </w:tc>
        <w:tc>
          <w:tcPr>
            <w:tcW w:w="5309" w:type="dxa"/>
            <w:vAlign w:val="center"/>
          </w:tcPr>
          <w:p w14:paraId="6C2A4A2D">
            <w:pPr>
              <w:keepNext w:val="0"/>
              <w:keepLines w:val="0"/>
              <w:pageBreakBefore w:val="0"/>
              <w:widowControl w:val="0"/>
              <w:kinsoku/>
              <w:wordWrap/>
              <w:overflowPunct/>
              <w:topLinePunct w:val="0"/>
              <w:autoSpaceDE/>
              <w:autoSpaceDN/>
              <w:bidi w:val="0"/>
              <w:adjustRightInd/>
              <w:snapToGrid/>
              <w:spacing w:line="340" w:lineRule="atLeast"/>
              <w:jc w:val="both"/>
              <w:textAlignment w:val="auto"/>
              <w:rPr>
                <w:rFonts w:hint="eastAsia" w:ascii="Times New Roman" w:hAnsi="Times New Roman" w:eastAsia="宋体"/>
                <w:sz w:val="18"/>
                <w:szCs w:val="18"/>
                <w:vertAlign w:val="baseline"/>
                <w:lang w:val="en-US" w:eastAsia="zh-CN"/>
              </w:rPr>
            </w:pPr>
            <w:r>
              <w:rPr>
                <w:rFonts w:ascii="Times New Roman" w:hAnsi="Times New Roman" w:eastAsia="宋体" w:cs="宋体"/>
                <w:sz w:val="18"/>
                <w:szCs w:val="18"/>
              </w:rPr>
              <w:t>数据采集方式（2位）</w:t>
            </w:r>
            <w:r>
              <w:rPr>
                <w:rFonts w:ascii="Times New Roman" w:hAnsi="Times New Roman" w:eastAsia="宋体" w:cs="宋体"/>
                <w:sz w:val="18"/>
                <w:szCs w:val="18"/>
              </w:rPr>
              <w:br w:type="textWrapping"/>
            </w:r>
            <w:r>
              <w:rPr>
                <w:rFonts w:ascii="Times New Roman" w:hAnsi="Times New Roman" w:eastAsia="宋体" w:cs="宋体"/>
                <w:sz w:val="18"/>
                <w:szCs w:val="18"/>
              </w:rPr>
              <w:t>M1：在线计量</w:t>
            </w:r>
            <w:r>
              <w:rPr>
                <w:rFonts w:ascii="Times New Roman" w:hAnsi="Times New Roman" w:eastAsia="宋体" w:cs="宋体"/>
                <w:sz w:val="18"/>
                <w:szCs w:val="18"/>
              </w:rPr>
              <w:br w:type="textWrapping"/>
            </w:r>
            <w:r>
              <w:rPr>
                <w:rFonts w:ascii="Times New Roman" w:hAnsi="Times New Roman" w:eastAsia="宋体" w:cs="宋体"/>
                <w:sz w:val="18"/>
                <w:szCs w:val="18"/>
              </w:rPr>
              <w:t>M2：人工记录</w:t>
            </w:r>
          </w:p>
        </w:tc>
      </w:tr>
      <w:tr w14:paraId="50CA9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6" w:hRule="atLeast"/>
          <w:jc w:val="center"/>
        </w:trPr>
        <w:tc>
          <w:tcPr>
            <w:tcW w:w="4370" w:type="dxa"/>
            <w:vAlign w:val="center"/>
          </w:tcPr>
          <w:p w14:paraId="302EF92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宋体"/>
                <w:sz w:val="18"/>
                <w:szCs w:val="18"/>
                <w:lang w:val="en-US" w:eastAsia="zh-CN"/>
              </w:rPr>
            </w:pPr>
            <w:r>
              <w:rPr>
                <w:rFonts w:hint="eastAsia" w:cs="宋体"/>
                <w:sz w:val="18"/>
                <w:szCs w:val="18"/>
                <w:lang w:val="en-US" w:eastAsia="zh-CN"/>
              </w:rPr>
              <w:t>计量级别</w:t>
            </w:r>
          </w:p>
        </w:tc>
        <w:tc>
          <w:tcPr>
            <w:tcW w:w="5309" w:type="dxa"/>
            <w:vAlign w:val="center"/>
          </w:tcPr>
          <w:p w14:paraId="69FE5519">
            <w:pPr>
              <w:keepNext w:val="0"/>
              <w:keepLines w:val="0"/>
              <w:pageBreakBefore w:val="0"/>
              <w:widowControl w:val="0"/>
              <w:kinsoku/>
              <w:wordWrap/>
              <w:overflowPunct/>
              <w:topLinePunct w:val="0"/>
              <w:autoSpaceDE/>
              <w:autoSpaceDN/>
              <w:bidi w:val="0"/>
              <w:adjustRightInd/>
              <w:snapToGrid/>
              <w:spacing w:line="340" w:lineRule="atLeast"/>
              <w:jc w:val="both"/>
              <w:textAlignment w:val="auto"/>
              <w:rPr>
                <w:rFonts w:hint="default" w:ascii="Times New Roman" w:hAnsi="Times New Roman" w:eastAsia="宋体" w:cs="宋体"/>
                <w:sz w:val="18"/>
                <w:szCs w:val="18"/>
                <w:lang w:val="en-US"/>
              </w:rPr>
            </w:pPr>
            <w:r>
              <w:rPr>
                <w:rFonts w:hint="eastAsia" w:cs="宋体"/>
                <w:sz w:val="18"/>
                <w:szCs w:val="18"/>
                <w:lang w:val="en-US" w:eastAsia="zh-CN"/>
              </w:rPr>
              <w:t>计量级别</w:t>
            </w:r>
            <w:r>
              <w:rPr>
                <w:rFonts w:ascii="Times New Roman" w:hAnsi="Times New Roman" w:eastAsia="宋体" w:cs="宋体"/>
                <w:sz w:val="18"/>
                <w:szCs w:val="18"/>
              </w:rPr>
              <w:t>（2位）</w:t>
            </w:r>
            <w:r>
              <w:rPr>
                <w:rFonts w:ascii="Times New Roman" w:hAnsi="Times New Roman" w:eastAsia="宋体" w:cs="宋体"/>
                <w:sz w:val="18"/>
                <w:szCs w:val="18"/>
              </w:rPr>
              <w:br w:type="textWrapping"/>
            </w:r>
            <w:r>
              <w:rPr>
                <w:rFonts w:ascii="Times New Roman" w:hAnsi="Times New Roman" w:eastAsia="宋体" w:cs="宋体"/>
                <w:sz w:val="18"/>
                <w:szCs w:val="18"/>
              </w:rPr>
              <w:t>01：</w:t>
            </w:r>
            <w:r>
              <w:rPr>
                <w:rFonts w:hint="eastAsia" w:cs="宋体"/>
                <w:sz w:val="18"/>
                <w:szCs w:val="18"/>
                <w:lang w:val="en-US" w:eastAsia="zh-CN"/>
              </w:rPr>
              <w:t>工厂级</w:t>
            </w:r>
            <w:r>
              <w:rPr>
                <w:rFonts w:ascii="Times New Roman" w:hAnsi="Times New Roman" w:eastAsia="宋体" w:cs="宋体"/>
                <w:sz w:val="18"/>
                <w:szCs w:val="18"/>
              </w:rPr>
              <w:br w:type="textWrapping"/>
            </w:r>
            <w:r>
              <w:rPr>
                <w:rFonts w:ascii="Times New Roman" w:hAnsi="Times New Roman" w:eastAsia="宋体" w:cs="宋体"/>
                <w:sz w:val="18"/>
                <w:szCs w:val="18"/>
              </w:rPr>
              <w:t>02：</w:t>
            </w:r>
            <w:r>
              <w:rPr>
                <w:rFonts w:hint="eastAsia" w:cs="宋体"/>
                <w:sz w:val="18"/>
                <w:szCs w:val="18"/>
                <w:lang w:val="en-US" w:eastAsia="zh-CN"/>
              </w:rPr>
              <w:t>厂房级（备注厂房名称）</w:t>
            </w:r>
          </w:p>
          <w:p w14:paraId="549AE79D">
            <w:pPr>
              <w:keepNext w:val="0"/>
              <w:keepLines w:val="0"/>
              <w:pageBreakBefore w:val="0"/>
              <w:widowControl w:val="0"/>
              <w:kinsoku/>
              <w:wordWrap/>
              <w:overflowPunct/>
              <w:topLinePunct w:val="0"/>
              <w:autoSpaceDE/>
              <w:autoSpaceDN/>
              <w:bidi w:val="0"/>
              <w:adjustRightInd/>
              <w:snapToGrid/>
              <w:spacing w:line="340" w:lineRule="atLeast"/>
              <w:jc w:val="both"/>
              <w:textAlignment w:val="auto"/>
              <w:rPr>
                <w:rFonts w:hint="default" w:ascii="Times New Roman" w:hAnsi="Times New Roman" w:eastAsia="宋体" w:cs="宋体"/>
                <w:sz w:val="18"/>
                <w:szCs w:val="18"/>
                <w:lang w:val="en-US" w:eastAsia="zh-CN"/>
              </w:rPr>
            </w:pPr>
            <w:r>
              <w:rPr>
                <w:rFonts w:ascii="Times New Roman" w:hAnsi="Times New Roman" w:eastAsia="宋体" w:cs="宋体"/>
                <w:sz w:val="18"/>
                <w:szCs w:val="18"/>
              </w:rPr>
              <w:t>03：</w:t>
            </w:r>
            <w:r>
              <w:rPr>
                <w:rFonts w:hint="eastAsia" w:cs="宋体"/>
                <w:sz w:val="18"/>
                <w:szCs w:val="18"/>
                <w:lang w:val="en-US" w:eastAsia="zh-CN"/>
              </w:rPr>
              <w:t>产线级（备注产线名称）</w:t>
            </w:r>
            <w:r>
              <w:rPr>
                <w:rFonts w:ascii="Times New Roman" w:hAnsi="Times New Roman" w:eastAsia="宋体" w:cs="宋体"/>
                <w:sz w:val="18"/>
                <w:szCs w:val="18"/>
              </w:rPr>
              <w:br w:type="textWrapping"/>
            </w:r>
            <w:r>
              <w:rPr>
                <w:rFonts w:ascii="Times New Roman" w:hAnsi="Times New Roman" w:eastAsia="宋体" w:cs="宋体"/>
                <w:sz w:val="18"/>
                <w:szCs w:val="18"/>
              </w:rPr>
              <w:t>0</w:t>
            </w:r>
            <w:r>
              <w:rPr>
                <w:rFonts w:hint="eastAsia" w:cs="宋体"/>
                <w:sz w:val="18"/>
                <w:szCs w:val="18"/>
                <w:lang w:val="en-US" w:eastAsia="zh-CN"/>
              </w:rPr>
              <w:t>4</w:t>
            </w:r>
            <w:r>
              <w:rPr>
                <w:rFonts w:ascii="Times New Roman" w:hAnsi="Times New Roman" w:eastAsia="宋体" w:cs="宋体"/>
                <w:sz w:val="18"/>
                <w:szCs w:val="18"/>
              </w:rPr>
              <w:t>：</w:t>
            </w:r>
            <w:r>
              <w:rPr>
                <w:rFonts w:hint="eastAsia" w:cs="宋体"/>
                <w:sz w:val="18"/>
                <w:szCs w:val="18"/>
                <w:lang w:val="en-US" w:eastAsia="zh-CN"/>
              </w:rPr>
              <w:t>设备级（备注设备名称）</w:t>
            </w:r>
          </w:p>
        </w:tc>
      </w:tr>
      <w:tr w14:paraId="7B504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4370" w:type="dxa"/>
            <w:vAlign w:val="center"/>
          </w:tcPr>
          <w:p w14:paraId="3745737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Times New Roman" w:hAnsi="Times New Roman" w:eastAsia="宋体" w:cs="宋体"/>
                <w:sz w:val="18"/>
                <w:szCs w:val="18"/>
              </w:rPr>
            </w:pPr>
            <w:r>
              <w:rPr>
                <w:rFonts w:ascii="Times New Roman" w:hAnsi="Times New Roman" w:eastAsia="宋体" w:cs="宋体"/>
                <w:sz w:val="18"/>
                <w:szCs w:val="18"/>
              </w:rPr>
              <w:t>序号</w:t>
            </w:r>
          </w:p>
        </w:tc>
        <w:tc>
          <w:tcPr>
            <w:tcW w:w="5309" w:type="dxa"/>
            <w:vAlign w:val="center"/>
          </w:tcPr>
          <w:p w14:paraId="56EDE9FC">
            <w:pPr>
              <w:keepNext w:val="0"/>
              <w:keepLines w:val="0"/>
              <w:pageBreakBefore w:val="0"/>
              <w:widowControl w:val="0"/>
              <w:kinsoku/>
              <w:wordWrap/>
              <w:overflowPunct/>
              <w:topLinePunct w:val="0"/>
              <w:autoSpaceDE/>
              <w:autoSpaceDN/>
              <w:bidi w:val="0"/>
              <w:adjustRightInd/>
              <w:snapToGrid/>
              <w:spacing w:line="340" w:lineRule="atLeast"/>
              <w:jc w:val="both"/>
              <w:textAlignment w:val="auto"/>
              <w:rPr>
                <w:rFonts w:ascii="Times New Roman" w:hAnsi="Times New Roman" w:eastAsia="宋体" w:cs="宋体"/>
                <w:sz w:val="18"/>
                <w:szCs w:val="18"/>
              </w:rPr>
            </w:pPr>
            <w:r>
              <w:rPr>
                <w:rFonts w:ascii="Times New Roman" w:hAnsi="Times New Roman" w:eastAsia="宋体" w:cs="宋体"/>
                <w:sz w:val="18"/>
                <w:szCs w:val="18"/>
              </w:rPr>
              <w:t>同类数据顺序编号（3位）</w:t>
            </w:r>
          </w:p>
        </w:tc>
      </w:tr>
    </w:tbl>
    <w:p w14:paraId="678A00BB">
      <w:pPr>
        <w:rPr>
          <w:rFonts w:hint="eastAsia"/>
          <w:b/>
          <w:bCs/>
          <w:lang w:val="en-US" w:eastAsia="zh-CN"/>
        </w:rPr>
      </w:pPr>
      <w:r>
        <w:rPr>
          <w:rFonts w:hint="eastAsia"/>
          <w:b/>
          <w:bCs/>
          <w:lang w:val="en-US" w:eastAsia="zh-CN"/>
        </w:rPr>
        <w:t>C.2 编号规则实施要求</w:t>
      </w:r>
    </w:p>
    <w:p w14:paraId="2E7C8ECE">
      <w:pPr>
        <w:ind w:firstLine="480" w:firstLineChars="200"/>
        <w:rPr>
          <w:rFonts w:hint="eastAsia"/>
          <w:lang w:val="en-US" w:eastAsia="zh-CN"/>
        </w:rPr>
      </w:pPr>
      <w:r>
        <w:rPr>
          <w:rFonts w:hint="eastAsia"/>
          <w:lang w:val="en-US" w:eastAsia="zh-CN"/>
        </w:rPr>
        <w:t>编号应由数据归集单位统一生成，不得随意更改；</w:t>
      </w:r>
    </w:p>
    <w:p w14:paraId="6D9D4B35">
      <w:pPr>
        <w:ind w:firstLine="480" w:firstLineChars="200"/>
        <w:rPr>
          <w:rFonts w:hint="eastAsia"/>
          <w:lang w:val="en-US" w:eastAsia="zh-CN"/>
        </w:rPr>
      </w:pPr>
      <w:r>
        <w:rPr>
          <w:rFonts w:hint="eastAsia"/>
          <w:lang w:val="en-US" w:eastAsia="zh-CN"/>
        </w:rPr>
        <w:t>编号应完整反映数据来源与上下文属性，确保一对一匹配；</w:t>
      </w:r>
    </w:p>
    <w:p w14:paraId="4258D3EA">
      <w:pPr>
        <w:ind w:firstLine="480" w:firstLineChars="200"/>
        <w:rPr>
          <w:rFonts w:hint="eastAsia"/>
          <w:lang w:val="en-US" w:eastAsia="zh-CN"/>
        </w:rPr>
      </w:pPr>
      <w:r>
        <w:rPr>
          <w:rFonts w:hint="eastAsia"/>
          <w:lang w:val="en-US" w:eastAsia="zh-CN"/>
        </w:rPr>
        <w:t>若某一数据涉及多个模块或多个工段，可在台账中注明“适用模块/工段”范围，避免重复编号。</w:t>
      </w:r>
    </w:p>
    <w:p w14:paraId="70FD77E8">
      <w:pPr>
        <w:rPr>
          <w:rFonts w:hint="eastAsia"/>
          <w:b/>
          <w:bCs/>
          <w:lang w:val="en-US" w:eastAsia="zh-CN"/>
        </w:rPr>
      </w:pPr>
      <w:r>
        <w:rPr>
          <w:rFonts w:hint="eastAsia"/>
          <w:b/>
          <w:bCs/>
          <w:lang w:val="en-US" w:eastAsia="zh-CN"/>
        </w:rPr>
        <w:t>C.3 编号实例表（示例）</w:t>
      </w:r>
    </w:p>
    <w:tbl>
      <w:tblPr>
        <w:tblStyle w:val="26"/>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0"/>
        <w:gridCol w:w="2158"/>
        <w:gridCol w:w="1518"/>
        <w:gridCol w:w="1309"/>
        <w:gridCol w:w="1204"/>
        <w:gridCol w:w="1569"/>
      </w:tblGrid>
      <w:tr w14:paraId="5FEA1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1" w:type="pct"/>
            <w:vAlign w:val="center"/>
          </w:tcPr>
          <w:p w14:paraId="6541C024">
            <w:pPr>
              <w:keepNext w:val="0"/>
              <w:keepLines w:val="0"/>
              <w:pageBreakBefore w:val="0"/>
              <w:kinsoku/>
              <w:wordWrap/>
              <w:overflowPunct/>
              <w:topLinePunct w:val="0"/>
              <w:autoSpaceDE/>
              <w:autoSpaceDN/>
              <w:bidi w:val="0"/>
              <w:adjustRightInd/>
              <w:snapToGrid/>
              <w:spacing w:line="300" w:lineRule="atLeast"/>
              <w:jc w:val="center"/>
              <w:textAlignment w:val="auto"/>
              <w:rPr>
                <w:rFonts w:hint="eastAsia"/>
                <w:b/>
                <w:bCs/>
                <w:sz w:val="18"/>
                <w:szCs w:val="18"/>
                <w:vertAlign w:val="baseline"/>
                <w:lang w:val="en-US" w:eastAsia="zh-CN"/>
              </w:rPr>
            </w:pPr>
            <w:r>
              <w:rPr>
                <w:rFonts w:ascii="宋体" w:hAnsi="宋体" w:eastAsia="宋体" w:cs="宋体"/>
                <w:b/>
                <w:bCs/>
                <w:sz w:val="18"/>
                <w:szCs w:val="18"/>
              </w:rPr>
              <w:t>编号</w:t>
            </w:r>
          </w:p>
        </w:tc>
        <w:tc>
          <w:tcPr>
            <w:tcW w:w="1095" w:type="pct"/>
            <w:vAlign w:val="center"/>
          </w:tcPr>
          <w:p w14:paraId="3C688895">
            <w:pPr>
              <w:keepNext w:val="0"/>
              <w:keepLines w:val="0"/>
              <w:pageBreakBefore w:val="0"/>
              <w:kinsoku/>
              <w:wordWrap/>
              <w:overflowPunct/>
              <w:topLinePunct w:val="0"/>
              <w:autoSpaceDE/>
              <w:autoSpaceDN/>
              <w:bidi w:val="0"/>
              <w:adjustRightInd/>
              <w:snapToGrid/>
              <w:spacing w:line="300" w:lineRule="atLeast"/>
              <w:jc w:val="center"/>
              <w:textAlignment w:val="auto"/>
              <w:rPr>
                <w:rFonts w:hint="eastAsia"/>
                <w:b/>
                <w:bCs/>
                <w:sz w:val="18"/>
                <w:szCs w:val="18"/>
                <w:vertAlign w:val="baseline"/>
                <w:lang w:val="en-US" w:eastAsia="zh-CN"/>
              </w:rPr>
            </w:pPr>
            <w:r>
              <w:rPr>
                <w:rFonts w:ascii="宋体" w:hAnsi="宋体" w:eastAsia="宋体" w:cs="宋体"/>
                <w:b/>
                <w:bCs/>
                <w:sz w:val="18"/>
                <w:szCs w:val="18"/>
              </w:rPr>
              <w:t>数据说明</w:t>
            </w:r>
          </w:p>
        </w:tc>
        <w:tc>
          <w:tcPr>
            <w:tcW w:w="770" w:type="pct"/>
            <w:vAlign w:val="center"/>
          </w:tcPr>
          <w:p w14:paraId="6594EF14">
            <w:pPr>
              <w:keepNext w:val="0"/>
              <w:keepLines w:val="0"/>
              <w:pageBreakBefore w:val="0"/>
              <w:kinsoku/>
              <w:wordWrap/>
              <w:overflowPunct/>
              <w:topLinePunct w:val="0"/>
              <w:autoSpaceDE/>
              <w:autoSpaceDN/>
              <w:bidi w:val="0"/>
              <w:adjustRightInd/>
              <w:snapToGrid/>
              <w:spacing w:line="300" w:lineRule="atLeast"/>
              <w:jc w:val="center"/>
              <w:textAlignment w:val="auto"/>
              <w:rPr>
                <w:rFonts w:hint="eastAsia"/>
                <w:b/>
                <w:bCs/>
                <w:sz w:val="18"/>
                <w:szCs w:val="18"/>
                <w:vertAlign w:val="baseline"/>
                <w:lang w:val="en-US" w:eastAsia="zh-CN"/>
              </w:rPr>
            </w:pPr>
            <w:r>
              <w:rPr>
                <w:rFonts w:ascii="宋体" w:hAnsi="宋体" w:eastAsia="宋体" w:cs="宋体"/>
                <w:b/>
                <w:bCs/>
                <w:sz w:val="18"/>
                <w:szCs w:val="18"/>
              </w:rPr>
              <w:t>排放源类型</w:t>
            </w:r>
          </w:p>
        </w:tc>
        <w:tc>
          <w:tcPr>
            <w:tcW w:w="664" w:type="pct"/>
            <w:vAlign w:val="center"/>
          </w:tcPr>
          <w:p w14:paraId="13C13F0E">
            <w:pPr>
              <w:keepNext w:val="0"/>
              <w:keepLines w:val="0"/>
              <w:pageBreakBefore w:val="0"/>
              <w:kinsoku/>
              <w:wordWrap/>
              <w:overflowPunct/>
              <w:topLinePunct w:val="0"/>
              <w:autoSpaceDE/>
              <w:autoSpaceDN/>
              <w:bidi w:val="0"/>
              <w:adjustRightInd/>
              <w:snapToGrid/>
              <w:spacing w:line="300" w:lineRule="atLeast"/>
              <w:jc w:val="center"/>
              <w:textAlignment w:val="auto"/>
              <w:rPr>
                <w:rFonts w:hint="eastAsia"/>
                <w:b/>
                <w:bCs/>
                <w:sz w:val="18"/>
                <w:szCs w:val="18"/>
                <w:vertAlign w:val="baseline"/>
                <w:lang w:val="en-US" w:eastAsia="zh-CN"/>
              </w:rPr>
            </w:pPr>
            <w:r>
              <w:rPr>
                <w:rFonts w:ascii="宋体" w:hAnsi="宋体" w:eastAsia="宋体" w:cs="宋体"/>
                <w:b/>
                <w:bCs/>
                <w:sz w:val="18"/>
                <w:szCs w:val="18"/>
              </w:rPr>
              <w:t>采集方式</w:t>
            </w:r>
          </w:p>
        </w:tc>
        <w:tc>
          <w:tcPr>
            <w:tcW w:w="611" w:type="pct"/>
            <w:vAlign w:val="center"/>
          </w:tcPr>
          <w:p w14:paraId="478BFF64">
            <w:pPr>
              <w:keepNext w:val="0"/>
              <w:keepLines w:val="0"/>
              <w:pageBreakBefore w:val="0"/>
              <w:kinsoku/>
              <w:wordWrap/>
              <w:overflowPunct/>
              <w:topLinePunct w:val="0"/>
              <w:autoSpaceDE/>
              <w:autoSpaceDN/>
              <w:bidi w:val="0"/>
              <w:adjustRightInd/>
              <w:snapToGrid/>
              <w:spacing w:line="300" w:lineRule="atLeast"/>
              <w:jc w:val="center"/>
              <w:textAlignment w:val="auto"/>
              <w:rPr>
                <w:rFonts w:hint="eastAsia" w:eastAsia="宋体"/>
                <w:b/>
                <w:bCs/>
                <w:sz w:val="18"/>
                <w:szCs w:val="18"/>
                <w:vertAlign w:val="baseline"/>
                <w:lang w:val="en-US" w:eastAsia="zh-CN"/>
              </w:rPr>
            </w:pPr>
            <w:r>
              <w:rPr>
                <w:rFonts w:hint="eastAsia" w:ascii="宋体" w:hAnsi="宋体" w:cs="宋体"/>
                <w:b/>
                <w:bCs/>
                <w:sz w:val="18"/>
                <w:szCs w:val="18"/>
                <w:lang w:val="en-US" w:eastAsia="zh-CN"/>
              </w:rPr>
              <w:t>级别</w:t>
            </w:r>
          </w:p>
        </w:tc>
        <w:tc>
          <w:tcPr>
            <w:tcW w:w="796" w:type="pct"/>
            <w:vAlign w:val="center"/>
          </w:tcPr>
          <w:p w14:paraId="5C4EBA99">
            <w:pPr>
              <w:keepNext w:val="0"/>
              <w:keepLines w:val="0"/>
              <w:pageBreakBefore w:val="0"/>
              <w:kinsoku/>
              <w:wordWrap/>
              <w:overflowPunct/>
              <w:topLinePunct w:val="0"/>
              <w:autoSpaceDE/>
              <w:autoSpaceDN/>
              <w:bidi w:val="0"/>
              <w:adjustRightInd/>
              <w:snapToGrid/>
              <w:spacing w:line="300" w:lineRule="atLeast"/>
              <w:jc w:val="center"/>
              <w:textAlignment w:val="auto"/>
              <w:rPr>
                <w:rFonts w:hint="eastAsia"/>
                <w:b/>
                <w:bCs/>
                <w:sz w:val="18"/>
                <w:szCs w:val="18"/>
                <w:vertAlign w:val="baseline"/>
                <w:lang w:val="en-US" w:eastAsia="zh-CN"/>
              </w:rPr>
            </w:pPr>
            <w:r>
              <w:rPr>
                <w:rFonts w:ascii="宋体" w:hAnsi="宋体" w:eastAsia="宋体" w:cs="宋体"/>
                <w:b/>
                <w:bCs/>
                <w:sz w:val="18"/>
                <w:szCs w:val="18"/>
              </w:rPr>
              <w:t>备注</w:t>
            </w:r>
          </w:p>
        </w:tc>
      </w:tr>
      <w:tr w14:paraId="1DAAF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1" w:type="pct"/>
            <w:vAlign w:val="center"/>
          </w:tcPr>
          <w:p w14:paraId="28BA003B">
            <w:pPr>
              <w:keepNext w:val="0"/>
              <w:keepLines w:val="0"/>
              <w:pageBreakBefore w:val="0"/>
              <w:kinsoku/>
              <w:wordWrap/>
              <w:overflowPunct/>
              <w:topLinePunct w:val="0"/>
              <w:autoSpaceDE/>
              <w:autoSpaceDN/>
              <w:bidi w:val="0"/>
              <w:adjustRightInd/>
              <w:snapToGrid/>
              <w:spacing w:line="300" w:lineRule="atLeast"/>
              <w:jc w:val="center"/>
              <w:textAlignment w:val="auto"/>
              <w:rPr>
                <w:rFonts w:hint="eastAsia"/>
                <w:sz w:val="18"/>
                <w:szCs w:val="18"/>
                <w:vertAlign w:val="baseline"/>
                <w:lang w:val="en-US" w:eastAsia="zh-CN"/>
              </w:rPr>
            </w:pPr>
            <w:r>
              <w:rPr>
                <w:rFonts w:ascii="宋体" w:hAnsi="宋体" w:eastAsia="宋体" w:cs="宋体"/>
                <w:sz w:val="18"/>
                <w:szCs w:val="18"/>
              </w:rPr>
              <w:t>AD-01-EN-M1-0</w:t>
            </w:r>
            <w:r>
              <w:rPr>
                <w:rFonts w:hint="eastAsia" w:ascii="宋体" w:hAnsi="宋体" w:cs="宋体"/>
                <w:sz w:val="18"/>
                <w:szCs w:val="18"/>
                <w:lang w:val="en-US" w:eastAsia="zh-CN"/>
              </w:rPr>
              <w:t>3</w:t>
            </w:r>
            <w:r>
              <w:rPr>
                <w:rFonts w:ascii="宋体" w:hAnsi="宋体" w:eastAsia="宋体" w:cs="宋体"/>
                <w:sz w:val="18"/>
                <w:szCs w:val="18"/>
              </w:rPr>
              <w:t>-001</w:t>
            </w:r>
          </w:p>
        </w:tc>
        <w:tc>
          <w:tcPr>
            <w:tcW w:w="1095" w:type="pct"/>
            <w:vAlign w:val="center"/>
          </w:tcPr>
          <w:p w14:paraId="31CAC9C7">
            <w:pPr>
              <w:keepNext w:val="0"/>
              <w:keepLines w:val="0"/>
              <w:pageBreakBefore w:val="0"/>
              <w:kinsoku/>
              <w:wordWrap/>
              <w:overflowPunct/>
              <w:topLinePunct w:val="0"/>
              <w:autoSpaceDE/>
              <w:autoSpaceDN/>
              <w:bidi w:val="0"/>
              <w:adjustRightInd/>
              <w:snapToGrid/>
              <w:spacing w:line="300" w:lineRule="atLeast"/>
              <w:jc w:val="center"/>
              <w:textAlignment w:val="auto"/>
              <w:rPr>
                <w:rFonts w:hint="eastAsia"/>
                <w:sz w:val="18"/>
                <w:szCs w:val="18"/>
                <w:vertAlign w:val="baseline"/>
                <w:lang w:val="en-US" w:eastAsia="zh-CN"/>
              </w:rPr>
            </w:pPr>
            <w:r>
              <w:rPr>
                <w:rFonts w:ascii="宋体" w:hAnsi="宋体" w:eastAsia="宋体" w:cs="宋体"/>
                <w:sz w:val="18"/>
                <w:szCs w:val="18"/>
              </w:rPr>
              <w:t>电表读数</w:t>
            </w:r>
          </w:p>
        </w:tc>
        <w:tc>
          <w:tcPr>
            <w:tcW w:w="770" w:type="pct"/>
            <w:vAlign w:val="center"/>
          </w:tcPr>
          <w:p w14:paraId="5FE119F6">
            <w:pPr>
              <w:keepNext w:val="0"/>
              <w:keepLines w:val="0"/>
              <w:pageBreakBefore w:val="0"/>
              <w:kinsoku/>
              <w:wordWrap/>
              <w:overflowPunct/>
              <w:topLinePunct w:val="0"/>
              <w:autoSpaceDE/>
              <w:autoSpaceDN/>
              <w:bidi w:val="0"/>
              <w:adjustRightInd/>
              <w:snapToGrid/>
              <w:spacing w:line="300" w:lineRule="atLeast"/>
              <w:jc w:val="center"/>
              <w:textAlignment w:val="auto"/>
              <w:rPr>
                <w:rFonts w:hint="eastAsia" w:eastAsia="宋体"/>
                <w:sz w:val="18"/>
                <w:szCs w:val="18"/>
                <w:vertAlign w:val="baseline"/>
                <w:lang w:val="en-US" w:eastAsia="zh-CN"/>
              </w:rPr>
            </w:pPr>
            <w:r>
              <w:rPr>
                <w:rFonts w:ascii="宋体" w:hAnsi="宋体" w:eastAsia="宋体" w:cs="宋体"/>
                <w:sz w:val="18"/>
                <w:szCs w:val="18"/>
              </w:rPr>
              <w:t>电力</w:t>
            </w:r>
            <w:r>
              <w:rPr>
                <w:rFonts w:hint="eastAsia" w:ascii="宋体" w:hAnsi="宋体" w:cs="宋体"/>
                <w:sz w:val="18"/>
                <w:szCs w:val="18"/>
                <w:lang w:val="en-US" w:eastAsia="zh-CN"/>
              </w:rPr>
              <w:t>类</w:t>
            </w:r>
          </w:p>
        </w:tc>
        <w:tc>
          <w:tcPr>
            <w:tcW w:w="664" w:type="pct"/>
            <w:vAlign w:val="center"/>
          </w:tcPr>
          <w:p w14:paraId="6E6D7A89">
            <w:pPr>
              <w:keepNext w:val="0"/>
              <w:keepLines w:val="0"/>
              <w:pageBreakBefore w:val="0"/>
              <w:kinsoku/>
              <w:wordWrap/>
              <w:overflowPunct/>
              <w:topLinePunct w:val="0"/>
              <w:autoSpaceDE/>
              <w:autoSpaceDN/>
              <w:bidi w:val="0"/>
              <w:adjustRightInd/>
              <w:snapToGrid/>
              <w:spacing w:line="300" w:lineRule="atLeast"/>
              <w:jc w:val="center"/>
              <w:textAlignment w:val="auto"/>
              <w:rPr>
                <w:rFonts w:hint="eastAsia"/>
                <w:sz w:val="18"/>
                <w:szCs w:val="18"/>
                <w:vertAlign w:val="baseline"/>
                <w:lang w:val="en-US" w:eastAsia="zh-CN"/>
              </w:rPr>
            </w:pPr>
            <w:r>
              <w:rPr>
                <w:rFonts w:ascii="宋体" w:hAnsi="宋体" w:eastAsia="宋体" w:cs="宋体"/>
                <w:sz w:val="18"/>
                <w:szCs w:val="18"/>
              </w:rPr>
              <w:t>在线计量</w:t>
            </w:r>
          </w:p>
        </w:tc>
        <w:tc>
          <w:tcPr>
            <w:tcW w:w="611" w:type="pct"/>
            <w:vAlign w:val="center"/>
          </w:tcPr>
          <w:p w14:paraId="1DF95642">
            <w:pPr>
              <w:keepNext w:val="0"/>
              <w:keepLines w:val="0"/>
              <w:pageBreakBefore w:val="0"/>
              <w:kinsoku/>
              <w:wordWrap/>
              <w:overflowPunct/>
              <w:topLinePunct w:val="0"/>
              <w:autoSpaceDE/>
              <w:autoSpaceDN/>
              <w:bidi w:val="0"/>
              <w:adjustRightInd/>
              <w:snapToGrid/>
              <w:spacing w:line="300" w:lineRule="atLeast"/>
              <w:jc w:val="center"/>
              <w:textAlignment w:val="auto"/>
              <w:rPr>
                <w:rFonts w:hint="default" w:eastAsia="宋体"/>
                <w:sz w:val="18"/>
                <w:szCs w:val="18"/>
                <w:vertAlign w:val="baseline"/>
                <w:lang w:val="en-US" w:eastAsia="zh-CN"/>
              </w:rPr>
            </w:pPr>
            <w:r>
              <w:rPr>
                <w:rFonts w:hint="eastAsia" w:ascii="宋体" w:hAnsi="宋体" w:cs="宋体"/>
                <w:sz w:val="18"/>
                <w:szCs w:val="18"/>
                <w:lang w:val="en-US" w:eastAsia="zh-CN"/>
              </w:rPr>
              <w:t>产线级别</w:t>
            </w:r>
          </w:p>
        </w:tc>
        <w:tc>
          <w:tcPr>
            <w:tcW w:w="796" w:type="pct"/>
            <w:vAlign w:val="center"/>
          </w:tcPr>
          <w:p w14:paraId="1CD45997">
            <w:pPr>
              <w:keepNext w:val="0"/>
              <w:keepLines w:val="0"/>
              <w:pageBreakBefore w:val="0"/>
              <w:kinsoku/>
              <w:wordWrap/>
              <w:overflowPunct/>
              <w:topLinePunct w:val="0"/>
              <w:autoSpaceDE/>
              <w:autoSpaceDN/>
              <w:bidi w:val="0"/>
              <w:adjustRightInd/>
              <w:snapToGrid/>
              <w:spacing w:line="300" w:lineRule="atLeast"/>
              <w:jc w:val="center"/>
              <w:textAlignment w:val="auto"/>
              <w:rPr>
                <w:rFonts w:hint="eastAsia"/>
                <w:sz w:val="18"/>
                <w:szCs w:val="18"/>
                <w:vertAlign w:val="baseline"/>
                <w:lang w:val="en-US" w:eastAsia="zh-CN"/>
              </w:rPr>
            </w:pPr>
            <w:r>
              <w:rPr>
                <w:rFonts w:hint="eastAsia" w:ascii="宋体" w:hAnsi="宋体" w:cs="宋体"/>
                <w:sz w:val="18"/>
                <w:szCs w:val="18"/>
              </w:rPr>
              <w:t>水泥板生产线</w:t>
            </w:r>
          </w:p>
        </w:tc>
      </w:tr>
    </w:tbl>
    <w:p w14:paraId="4B2A4013">
      <w:pPr>
        <w:rPr>
          <w:rFonts w:hint="eastAsia"/>
          <w:lang w:val="en-US" w:eastAsia="zh-CN"/>
        </w:rPr>
      </w:pPr>
      <w:bookmarkStart w:id="146" w:name="_Toc24369"/>
      <w:r>
        <w:rPr>
          <w:rFonts w:hint="eastAsia"/>
          <w:lang w:val="en-US" w:eastAsia="zh-CN"/>
        </w:rPr>
        <w:br w:type="page"/>
      </w:r>
    </w:p>
    <w:bookmarkEnd w:id="146"/>
    <w:p w14:paraId="543467BA">
      <w:pPr>
        <w:pStyle w:val="3"/>
        <w:rPr>
          <w:rFonts w:hint="default"/>
          <w:lang w:val="en-US" w:eastAsia="zh-CN"/>
        </w:rPr>
      </w:pPr>
      <w:bookmarkStart w:id="147" w:name="_Toc24213"/>
      <w:bookmarkStart w:id="148" w:name="_Toc29865"/>
      <w:bookmarkStart w:id="149" w:name="_Toc30509"/>
      <w:bookmarkStart w:id="150" w:name="_Toc32632"/>
      <w:bookmarkStart w:id="151" w:name="_Toc29132"/>
      <w:r>
        <w:rPr>
          <w:rFonts w:hint="eastAsia"/>
          <w:lang w:val="en-US" w:eastAsia="zh-CN"/>
        </w:rPr>
        <w:t>附录D</w:t>
      </w:r>
      <w:bookmarkEnd w:id="147"/>
      <w:bookmarkEnd w:id="148"/>
    </w:p>
    <w:p w14:paraId="0837BD88">
      <w:pPr>
        <w:pStyle w:val="12"/>
        <w:ind w:firstLine="0" w:firstLineChars="0"/>
        <w:jc w:val="center"/>
        <w:rPr>
          <w:rFonts w:hint="eastAsia" w:ascii="黑体" w:hAnsi="黑体" w:eastAsia="黑体" w:cs="黑体"/>
          <w:lang w:val="en-US" w:eastAsia="zh-CN"/>
        </w:rPr>
      </w:pPr>
      <w:r>
        <w:rPr>
          <w:rFonts w:hint="eastAsia" w:ascii="黑体" w:hAnsi="黑体" w:eastAsia="黑体" w:cs="黑体"/>
          <w:lang w:val="en-US" w:eastAsia="zh-CN"/>
        </w:rPr>
        <w:t>精装修模块房碳排放计量报告模板</w:t>
      </w:r>
    </w:p>
    <w:p w14:paraId="54EACBED">
      <w:pPr>
        <w:pStyle w:val="12"/>
        <w:ind w:firstLine="0" w:firstLineChars="0"/>
        <w:rPr>
          <w:rFonts w:hint="eastAsia"/>
          <w:lang w:val="en-US" w:eastAsia="zh-CN"/>
        </w:rPr>
      </w:pPr>
    </w:p>
    <w:p w14:paraId="0D96E716">
      <w:pPr>
        <w:pStyle w:val="12"/>
        <w:ind w:firstLine="0" w:firstLineChars="0"/>
        <w:rPr>
          <w:rFonts w:hint="eastAsia"/>
          <w:lang w:val="en-US" w:eastAsia="zh-CN"/>
        </w:rPr>
      </w:pPr>
    </w:p>
    <w:p w14:paraId="44D7C6D3">
      <w:pPr>
        <w:pStyle w:val="12"/>
        <w:ind w:firstLine="0" w:firstLineChars="0"/>
        <w:rPr>
          <w:rFonts w:hint="eastAsia"/>
          <w:lang w:val="en-US" w:eastAsia="zh-CN"/>
        </w:rPr>
      </w:pPr>
    </w:p>
    <w:p w14:paraId="7BFCB3DD">
      <w:pPr>
        <w:pStyle w:val="12"/>
        <w:ind w:firstLine="0" w:firstLineChars="0"/>
        <w:rPr>
          <w:rFonts w:hint="eastAsia"/>
          <w:lang w:val="en-US" w:eastAsia="zh-CN"/>
        </w:rPr>
      </w:pPr>
    </w:p>
    <w:p w14:paraId="7B885DA2">
      <w:pPr>
        <w:pStyle w:val="12"/>
        <w:ind w:firstLine="0" w:firstLineChars="0"/>
        <w:rPr>
          <w:rFonts w:hint="eastAsia"/>
          <w:lang w:val="en-US" w:eastAsia="zh-CN"/>
        </w:rPr>
      </w:pPr>
    </w:p>
    <w:p w14:paraId="6574E02C">
      <w:pPr>
        <w:pStyle w:val="12"/>
        <w:ind w:firstLine="0" w:firstLineChars="0"/>
        <w:rPr>
          <w:rFonts w:hint="eastAsia"/>
          <w:lang w:val="en-US" w:eastAsia="zh-CN"/>
        </w:rPr>
      </w:pPr>
    </w:p>
    <w:p w14:paraId="713F5669">
      <w:pPr>
        <w:pStyle w:val="12"/>
        <w:spacing w:line="360" w:lineRule="auto"/>
        <w:ind w:firstLine="0" w:firstLineChars="0"/>
        <w:jc w:val="center"/>
        <w:rPr>
          <w:rFonts w:hint="eastAsia" w:ascii="黑体" w:hAnsi="黑体" w:eastAsia="黑体" w:cs="黑体"/>
          <w:sz w:val="32"/>
          <w:szCs w:val="24"/>
          <w:lang w:val="en-US" w:eastAsia="zh-CN"/>
        </w:rPr>
      </w:pPr>
      <w:r>
        <w:rPr>
          <w:rFonts w:hint="eastAsia" w:ascii="黑体" w:hAnsi="黑体" w:eastAsia="黑体" w:cs="黑体"/>
          <w:sz w:val="32"/>
          <w:szCs w:val="24"/>
          <w:lang w:val="en-US" w:eastAsia="zh-CN"/>
        </w:rPr>
        <w:t>精装修模块房碳排放计量报告</w:t>
      </w:r>
    </w:p>
    <w:p w14:paraId="058F9AFF">
      <w:pPr>
        <w:pStyle w:val="12"/>
        <w:spacing w:line="360" w:lineRule="auto"/>
        <w:ind w:firstLine="0" w:firstLineChars="0"/>
        <w:jc w:val="center"/>
        <w:rPr>
          <w:rFonts w:hint="eastAsia"/>
          <w:lang w:val="en-US" w:eastAsia="zh-CN"/>
        </w:rPr>
      </w:pPr>
      <w:r>
        <w:rPr>
          <w:rFonts w:hint="eastAsia"/>
          <w:lang w:val="en-US" w:eastAsia="zh-CN"/>
        </w:rPr>
        <w:t>报告编号____________</w:t>
      </w:r>
    </w:p>
    <w:p w14:paraId="420A8B99">
      <w:pPr>
        <w:pStyle w:val="12"/>
        <w:ind w:firstLine="0" w:firstLineChars="0"/>
        <w:jc w:val="center"/>
        <w:rPr>
          <w:rFonts w:hint="default"/>
          <w:lang w:val="en-US" w:eastAsia="zh-CN"/>
        </w:rPr>
      </w:pPr>
    </w:p>
    <w:p w14:paraId="6B8DACFD">
      <w:pPr>
        <w:pStyle w:val="12"/>
        <w:ind w:firstLine="0" w:firstLineChars="0"/>
        <w:rPr>
          <w:rFonts w:hint="eastAsia"/>
          <w:lang w:val="en-US" w:eastAsia="zh-CN"/>
        </w:rPr>
      </w:pPr>
    </w:p>
    <w:p w14:paraId="46B14AE7">
      <w:pPr>
        <w:jc w:val="center"/>
        <w:rPr>
          <w:rFonts w:eastAsia="黑体" w:cs="Times New Roman"/>
          <w:szCs w:val="28"/>
        </w:rPr>
      </w:pPr>
    </w:p>
    <w:p w14:paraId="1A935749">
      <w:pPr>
        <w:jc w:val="center"/>
        <w:rPr>
          <w:rFonts w:eastAsia="黑体" w:cs="Times New Roman"/>
          <w:szCs w:val="28"/>
        </w:rPr>
      </w:pPr>
    </w:p>
    <w:p w14:paraId="21885D6B">
      <w:pPr>
        <w:jc w:val="center"/>
        <w:rPr>
          <w:rFonts w:eastAsia="黑体" w:cs="Times New Roman"/>
          <w:szCs w:val="28"/>
        </w:rPr>
      </w:pPr>
    </w:p>
    <w:p w14:paraId="077499CE">
      <w:pPr>
        <w:jc w:val="center"/>
        <w:rPr>
          <w:rFonts w:eastAsia="黑体" w:cs="Times New Roman"/>
          <w:szCs w:val="28"/>
        </w:rPr>
      </w:pPr>
    </w:p>
    <w:p w14:paraId="1F3D35B3">
      <w:pPr>
        <w:jc w:val="center"/>
        <w:rPr>
          <w:rFonts w:eastAsia="黑体" w:cs="Times New Roman"/>
          <w:szCs w:val="28"/>
        </w:rPr>
      </w:pPr>
    </w:p>
    <w:p w14:paraId="0A41E0E8">
      <w:pPr>
        <w:jc w:val="center"/>
        <w:rPr>
          <w:rFonts w:eastAsia="黑体" w:cs="Times New Roman"/>
          <w:szCs w:val="28"/>
        </w:rPr>
      </w:pPr>
    </w:p>
    <w:p w14:paraId="44922F4C">
      <w:pPr>
        <w:jc w:val="center"/>
        <w:rPr>
          <w:rFonts w:hint="eastAsia" w:ascii="黑体" w:hAnsi="黑体" w:eastAsia="黑体" w:cs="Times New Roman"/>
          <w:color w:val="FFFFFF" w:themeColor="background1"/>
          <w:szCs w:val="28"/>
          <w14:textFill>
            <w14:solidFill>
              <w14:schemeClr w14:val="bg1"/>
            </w14:solidFill>
          </w14:textFill>
        </w:rPr>
      </w:pP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4394"/>
      </w:tblGrid>
      <w:tr w14:paraId="3299E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1" w:type="dxa"/>
            <w:tcBorders>
              <w:top w:val="nil"/>
              <w:left w:val="nil"/>
              <w:bottom w:val="nil"/>
              <w:right w:val="nil"/>
            </w:tcBorders>
          </w:tcPr>
          <w:p w14:paraId="6CB7BCCC">
            <w:pPr>
              <w:jc w:val="right"/>
              <w:rPr>
                <w:rFonts w:hint="eastAsia" w:ascii="黑体" w:hAnsi="黑体" w:eastAsia="黑体" w:cs="Times New Roman"/>
                <w:color w:val="FFFFFF" w:themeColor="background1"/>
                <w:szCs w:val="28"/>
                <w14:textFill>
                  <w14:solidFill>
                    <w14:schemeClr w14:val="bg1"/>
                  </w14:solidFill>
                </w14:textFill>
              </w:rPr>
            </w:pPr>
            <w:r>
              <w:rPr>
                <w:rFonts w:hint="eastAsia" w:ascii="黑体" w:hAnsi="黑体" w:eastAsia="黑体" w:cs="Times New Roman"/>
                <w:color w:val="000000" w:themeColor="text1"/>
                <w:szCs w:val="28"/>
                <w14:textFill>
                  <w14:solidFill>
                    <w14:schemeClr w14:val="tx1"/>
                  </w14:solidFill>
                </w14:textFill>
              </w:rPr>
              <w:t>单位名称：</w:t>
            </w:r>
          </w:p>
        </w:tc>
        <w:tc>
          <w:tcPr>
            <w:tcW w:w="4394" w:type="dxa"/>
            <w:tcBorders>
              <w:top w:val="nil"/>
              <w:left w:val="nil"/>
              <w:bottom w:val="single" w:color="auto" w:sz="4" w:space="0"/>
              <w:right w:val="nil"/>
            </w:tcBorders>
          </w:tcPr>
          <w:p w14:paraId="5FD2BC98">
            <w:pPr>
              <w:jc w:val="center"/>
              <w:rPr>
                <w:rFonts w:hint="eastAsia" w:ascii="黑体" w:hAnsi="黑体" w:eastAsia="黑体" w:cs="Times New Roman"/>
                <w:color w:val="000000" w:themeColor="text1"/>
                <w:szCs w:val="28"/>
                <w14:textFill>
                  <w14:solidFill>
                    <w14:schemeClr w14:val="tx1"/>
                  </w14:solidFill>
                </w14:textFill>
              </w:rPr>
            </w:pPr>
          </w:p>
        </w:tc>
      </w:tr>
      <w:tr w14:paraId="78806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1" w:type="dxa"/>
            <w:tcBorders>
              <w:top w:val="nil"/>
              <w:left w:val="nil"/>
              <w:bottom w:val="nil"/>
              <w:right w:val="nil"/>
            </w:tcBorders>
          </w:tcPr>
          <w:p w14:paraId="10890CCA">
            <w:pPr>
              <w:jc w:val="right"/>
              <w:rPr>
                <w:rFonts w:hint="eastAsia" w:ascii="黑体" w:hAnsi="黑体" w:eastAsia="黑体" w:cs="Times New Roman"/>
                <w:color w:val="FFFFFF" w:themeColor="background1"/>
                <w:szCs w:val="28"/>
                <w14:textFill>
                  <w14:solidFill>
                    <w14:schemeClr w14:val="bg1"/>
                  </w14:solidFill>
                </w14:textFill>
              </w:rPr>
            </w:pPr>
            <w:r>
              <w:rPr>
                <w:rFonts w:hint="eastAsia" w:ascii="黑体" w:hAnsi="黑体" w:eastAsia="黑体" w:cs="Times New Roman"/>
                <w:color w:val="000000" w:themeColor="text1"/>
                <w:szCs w:val="28"/>
                <w14:textFill>
                  <w14:solidFill>
                    <w14:schemeClr w14:val="tx1"/>
                  </w14:solidFill>
                </w14:textFill>
              </w:rPr>
              <w:t>计量批次：</w:t>
            </w:r>
          </w:p>
        </w:tc>
        <w:tc>
          <w:tcPr>
            <w:tcW w:w="4394" w:type="dxa"/>
            <w:tcBorders>
              <w:top w:val="single" w:color="auto" w:sz="4" w:space="0"/>
              <w:left w:val="nil"/>
              <w:bottom w:val="single" w:color="auto" w:sz="4" w:space="0"/>
              <w:right w:val="nil"/>
            </w:tcBorders>
          </w:tcPr>
          <w:p w14:paraId="74BC57C7">
            <w:pPr>
              <w:jc w:val="center"/>
              <w:rPr>
                <w:rFonts w:hint="eastAsia" w:ascii="黑体" w:hAnsi="黑体" w:eastAsia="黑体" w:cs="Times New Roman"/>
                <w:color w:val="000000" w:themeColor="text1"/>
                <w:szCs w:val="28"/>
                <w14:textFill>
                  <w14:solidFill>
                    <w14:schemeClr w14:val="tx1"/>
                  </w14:solidFill>
                </w14:textFill>
              </w:rPr>
            </w:pPr>
          </w:p>
        </w:tc>
      </w:tr>
      <w:tr w14:paraId="4E843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1" w:type="dxa"/>
            <w:tcBorders>
              <w:top w:val="nil"/>
              <w:left w:val="nil"/>
              <w:bottom w:val="nil"/>
              <w:right w:val="nil"/>
            </w:tcBorders>
          </w:tcPr>
          <w:p w14:paraId="7137BB6B">
            <w:pPr>
              <w:jc w:val="right"/>
              <w:rPr>
                <w:rFonts w:hint="eastAsia" w:ascii="黑体" w:hAnsi="黑体" w:eastAsia="黑体" w:cs="Times New Roman"/>
                <w:color w:val="FFFFFF" w:themeColor="background1"/>
                <w:szCs w:val="28"/>
                <w14:textFill>
                  <w14:solidFill>
                    <w14:schemeClr w14:val="bg1"/>
                  </w14:solidFill>
                </w14:textFill>
              </w:rPr>
            </w:pPr>
            <w:r>
              <w:rPr>
                <w:rFonts w:hint="eastAsia" w:ascii="黑体" w:hAnsi="黑体" w:eastAsia="黑体" w:cs="Times New Roman"/>
                <w:color w:val="000000" w:themeColor="text1"/>
                <w:szCs w:val="28"/>
                <w14:textFill>
                  <w14:solidFill>
                    <w14:schemeClr w14:val="tx1"/>
                  </w14:solidFill>
                </w14:textFill>
              </w:rPr>
              <w:t>报告日期：</w:t>
            </w:r>
          </w:p>
        </w:tc>
        <w:tc>
          <w:tcPr>
            <w:tcW w:w="4394" w:type="dxa"/>
            <w:tcBorders>
              <w:top w:val="single" w:color="auto" w:sz="4" w:space="0"/>
              <w:left w:val="nil"/>
              <w:bottom w:val="single" w:color="auto" w:sz="4" w:space="0"/>
              <w:right w:val="nil"/>
            </w:tcBorders>
          </w:tcPr>
          <w:p w14:paraId="021DDBC1">
            <w:pPr>
              <w:jc w:val="center"/>
              <w:rPr>
                <w:rFonts w:hint="eastAsia" w:ascii="黑体" w:hAnsi="黑体" w:eastAsia="黑体" w:cs="Times New Roman"/>
                <w:color w:val="000000" w:themeColor="text1"/>
                <w:szCs w:val="28"/>
                <w14:textFill>
                  <w14:solidFill>
                    <w14:schemeClr w14:val="tx1"/>
                  </w14:solidFill>
                </w14:textFill>
              </w:rPr>
            </w:pPr>
          </w:p>
        </w:tc>
      </w:tr>
    </w:tbl>
    <w:p w14:paraId="40B9DFFF">
      <w:pPr>
        <w:jc w:val="center"/>
        <w:rPr>
          <w:rFonts w:hint="eastAsia" w:ascii="黑体" w:hAnsi="黑体" w:eastAsia="黑体" w:cs="Times New Roman"/>
          <w:color w:val="FFFFFF" w:themeColor="background1"/>
          <w:szCs w:val="28"/>
          <w14:textFill>
            <w14:solidFill>
              <w14:schemeClr w14:val="bg1"/>
            </w14:solidFill>
          </w14:textFill>
        </w:rPr>
      </w:pPr>
    </w:p>
    <w:p w14:paraId="35D30038">
      <w:pPr>
        <w:jc w:val="center"/>
        <w:rPr>
          <w:rFonts w:hint="eastAsia" w:ascii="黑体" w:hAnsi="黑体" w:eastAsia="黑体" w:cs="Times New Roman"/>
          <w:color w:val="FFFFFF" w:themeColor="background1"/>
          <w:szCs w:val="28"/>
          <w:u w:val="single" w:color="000000" w:themeColor="text1"/>
          <w14:textFill>
            <w14:solidFill>
              <w14:schemeClr w14:val="bg1"/>
            </w14:solidFill>
          </w14:textFill>
        </w:rPr>
      </w:pPr>
    </w:p>
    <w:p w14:paraId="5791C2E1">
      <w:pPr>
        <w:jc w:val="center"/>
        <w:rPr>
          <w:rFonts w:eastAsia="黑体" w:cs="Times New Roman"/>
          <w:szCs w:val="28"/>
        </w:rPr>
      </w:pPr>
    </w:p>
    <w:p w14:paraId="2E8B9267">
      <w:pPr>
        <w:jc w:val="center"/>
        <w:rPr>
          <w:rFonts w:eastAsia="黑体" w:cs="Times New Roman"/>
          <w:szCs w:val="28"/>
        </w:rPr>
      </w:pPr>
    </w:p>
    <w:p w14:paraId="270C1BD5">
      <w:pPr>
        <w:jc w:val="left"/>
        <w:rPr>
          <w:rFonts w:eastAsia="黑体" w:cs="Times New Roman"/>
          <w:szCs w:val="28"/>
          <w:u w:val="single" w:color="000000" w:themeColor="text1"/>
        </w:rPr>
      </w:pPr>
      <w:r>
        <w:rPr>
          <w:rFonts w:eastAsia="黑体" w:cs="Times New Roman"/>
          <w:szCs w:val="28"/>
          <w:u w:val="single" w:color="000000" w:themeColor="text1"/>
        </w:rPr>
        <w:br w:type="page"/>
      </w:r>
    </w:p>
    <w:p w14:paraId="16946ED5">
      <w:pPr>
        <w:rPr>
          <w:rFonts w:eastAsia="黑体" w:cs="Times New Roman"/>
          <w:szCs w:val="28"/>
        </w:rPr>
      </w:pPr>
      <w:r>
        <w:rPr>
          <w:rFonts w:eastAsia="黑体" w:cs="Times New Roman"/>
          <w:szCs w:val="28"/>
        </w:rPr>
        <w:t>一、工厂基本信息</w:t>
      </w:r>
    </w:p>
    <w:tbl>
      <w:tblPr>
        <w:tblStyle w:val="26"/>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47"/>
        <w:gridCol w:w="7341"/>
      </w:tblGrid>
      <w:tr w14:paraId="37478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576C9A8C">
            <w:pPr>
              <w:spacing w:line="240" w:lineRule="auto"/>
              <w:jc w:val="center"/>
              <w:rPr>
                <w:rFonts w:cs="Times New Roman"/>
                <w:sz w:val="18"/>
                <w:szCs w:val="18"/>
              </w:rPr>
            </w:pPr>
            <w:r>
              <w:rPr>
                <w:rFonts w:cs="Times New Roman"/>
                <w:sz w:val="18"/>
                <w:szCs w:val="18"/>
              </w:rPr>
              <w:t>工厂名称</w:t>
            </w:r>
          </w:p>
        </w:tc>
        <w:tc>
          <w:tcPr>
            <w:tcW w:w="3788" w:type="pct"/>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7C71DD66">
            <w:pPr>
              <w:spacing w:line="240" w:lineRule="auto"/>
              <w:jc w:val="center"/>
              <w:rPr>
                <w:rFonts w:cs="Times New Roman"/>
                <w:sz w:val="18"/>
                <w:szCs w:val="18"/>
              </w:rPr>
            </w:pPr>
          </w:p>
        </w:tc>
      </w:tr>
      <w:tr w14:paraId="240B4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4FDB9524">
            <w:pPr>
              <w:spacing w:line="240" w:lineRule="auto"/>
              <w:jc w:val="center"/>
              <w:rPr>
                <w:rFonts w:cs="Times New Roman"/>
                <w:sz w:val="18"/>
                <w:szCs w:val="18"/>
              </w:rPr>
            </w:pPr>
            <w:r>
              <w:rPr>
                <w:rFonts w:cs="Times New Roman"/>
                <w:sz w:val="18"/>
                <w:szCs w:val="18"/>
              </w:rPr>
              <w:t>厂房面积</w:t>
            </w:r>
          </w:p>
        </w:tc>
        <w:tc>
          <w:tcPr>
            <w:tcW w:w="3788" w:type="pct"/>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35F57160">
            <w:pPr>
              <w:spacing w:line="240" w:lineRule="auto"/>
              <w:jc w:val="center"/>
              <w:rPr>
                <w:rFonts w:cs="Times New Roman"/>
                <w:sz w:val="18"/>
                <w:szCs w:val="18"/>
              </w:rPr>
            </w:pPr>
            <w:r>
              <w:rPr>
                <w:rFonts w:cs="Times New Roman"/>
                <w:sz w:val="18"/>
                <w:szCs w:val="18"/>
                <w:u w:val="single"/>
              </w:rPr>
              <w:t xml:space="preserve">           </w:t>
            </w:r>
            <w:r>
              <w:rPr>
                <w:rFonts w:cs="Times New Roman"/>
                <w:sz w:val="18"/>
                <w:szCs w:val="18"/>
              </w:rPr>
              <w:t>m</w:t>
            </w:r>
            <w:r>
              <w:rPr>
                <w:rFonts w:cs="Times New Roman"/>
                <w:sz w:val="18"/>
                <w:szCs w:val="18"/>
                <w:vertAlign w:val="superscript"/>
              </w:rPr>
              <w:t>2</w:t>
            </w:r>
          </w:p>
        </w:tc>
      </w:tr>
      <w:tr w14:paraId="6A832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60B8BBE9">
            <w:pPr>
              <w:spacing w:line="240" w:lineRule="auto"/>
              <w:jc w:val="center"/>
              <w:rPr>
                <w:rFonts w:cs="Times New Roman"/>
                <w:sz w:val="18"/>
                <w:szCs w:val="18"/>
              </w:rPr>
            </w:pPr>
            <w:r>
              <w:rPr>
                <w:rFonts w:cs="Times New Roman"/>
                <w:sz w:val="18"/>
                <w:szCs w:val="18"/>
              </w:rPr>
              <w:t>厂房建设年份</w:t>
            </w:r>
          </w:p>
        </w:tc>
        <w:tc>
          <w:tcPr>
            <w:tcW w:w="3788" w:type="pct"/>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2A0DB270">
            <w:pPr>
              <w:spacing w:line="240" w:lineRule="auto"/>
              <w:jc w:val="center"/>
              <w:rPr>
                <w:rFonts w:cs="Times New Roman"/>
                <w:sz w:val="18"/>
                <w:szCs w:val="18"/>
              </w:rPr>
            </w:pPr>
            <w:r>
              <w:rPr>
                <w:rFonts w:cs="Times New Roman"/>
                <w:sz w:val="18"/>
                <w:szCs w:val="18"/>
                <w:u w:val="single"/>
              </w:rPr>
              <w:t xml:space="preserve">        </w:t>
            </w:r>
            <w:r>
              <w:rPr>
                <w:rFonts w:cs="Times New Roman"/>
                <w:sz w:val="18"/>
                <w:szCs w:val="18"/>
              </w:rPr>
              <w:t>年</w:t>
            </w:r>
          </w:p>
        </w:tc>
      </w:tr>
      <w:tr w14:paraId="76DDC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086D0472">
            <w:pPr>
              <w:spacing w:line="240" w:lineRule="auto"/>
              <w:jc w:val="center"/>
              <w:rPr>
                <w:rFonts w:cs="Times New Roman"/>
                <w:sz w:val="18"/>
                <w:szCs w:val="18"/>
              </w:rPr>
            </w:pPr>
            <w:r>
              <w:rPr>
                <w:rFonts w:cs="Times New Roman"/>
                <w:sz w:val="18"/>
                <w:szCs w:val="18"/>
              </w:rPr>
              <w:t>产品类型</w:t>
            </w:r>
          </w:p>
        </w:tc>
        <w:tc>
          <w:tcPr>
            <w:tcW w:w="3788" w:type="pct"/>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59504116">
            <w:pPr>
              <w:spacing w:line="240" w:lineRule="auto"/>
              <w:rPr>
                <w:rFonts w:cs="Times New Roman"/>
                <w:sz w:val="18"/>
                <w:szCs w:val="18"/>
              </w:rPr>
            </w:pPr>
          </w:p>
        </w:tc>
      </w:tr>
      <w:tr w14:paraId="585E3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04F8D0BD">
            <w:pPr>
              <w:spacing w:line="240" w:lineRule="auto"/>
              <w:jc w:val="center"/>
              <w:rPr>
                <w:rFonts w:cs="Times New Roman"/>
                <w:sz w:val="18"/>
                <w:szCs w:val="18"/>
              </w:rPr>
            </w:pPr>
            <w:r>
              <w:rPr>
                <w:rFonts w:cs="Times New Roman"/>
                <w:sz w:val="18"/>
                <w:szCs w:val="18"/>
              </w:rPr>
              <w:t>能源使用</w:t>
            </w:r>
            <w:r>
              <w:rPr>
                <w:rFonts w:hint="eastAsia" w:cs="Times New Roman"/>
                <w:sz w:val="18"/>
                <w:szCs w:val="18"/>
                <w:lang w:val="en-US" w:eastAsia="zh-CN"/>
              </w:rPr>
              <w:t>总</w:t>
            </w:r>
            <w:r>
              <w:rPr>
                <w:rFonts w:cs="Times New Roman"/>
                <w:sz w:val="18"/>
                <w:szCs w:val="18"/>
              </w:rPr>
              <w:t>量</w:t>
            </w:r>
          </w:p>
        </w:tc>
        <w:tc>
          <w:tcPr>
            <w:tcW w:w="3788" w:type="pct"/>
            <w:tcBorders>
              <w:top w:val="single" w:color="auto" w:sz="4" w:space="0"/>
              <w:left w:val="single" w:color="auto" w:sz="4" w:space="0"/>
              <w:bottom w:val="single" w:color="auto" w:sz="4" w:space="0"/>
              <w:right w:val="single" w:color="auto" w:sz="4" w:space="0"/>
            </w:tcBorders>
            <w:tcMar>
              <w:top w:w="28" w:type="dxa"/>
              <w:left w:w="28" w:type="dxa"/>
              <w:bottom w:w="28" w:type="dxa"/>
              <w:right w:w="28" w:type="dxa"/>
            </w:tcMar>
            <w:vAlign w:val="center"/>
          </w:tcPr>
          <w:p w14:paraId="586C935D">
            <w:pPr>
              <w:spacing w:line="240" w:lineRule="auto"/>
              <w:jc w:val="center"/>
              <w:rPr>
                <w:rFonts w:cs="Times New Roman"/>
                <w:sz w:val="18"/>
                <w:szCs w:val="18"/>
              </w:rPr>
            </w:pPr>
            <w:r>
              <w:rPr>
                <w:rFonts w:cs="Times New Roman"/>
                <w:sz w:val="18"/>
                <w:szCs w:val="18"/>
              </w:rPr>
              <w:t>电力</w:t>
            </w:r>
            <w:r>
              <w:rPr>
                <w:rFonts w:cs="Times New Roman"/>
                <w:sz w:val="18"/>
                <w:szCs w:val="18"/>
                <w:u w:val="single"/>
              </w:rPr>
              <w:t xml:space="preserve">       </w:t>
            </w:r>
            <w:r>
              <w:rPr>
                <w:rFonts w:cs="Times New Roman"/>
                <w:sz w:val="18"/>
                <w:szCs w:val="18"/>
              </w:rPr>
              <w:t>、热力</w:t>
            </w:r>
            <w:r>
              <w:rPr>
                <w:rFonts w:cs="Times New Roman"/>
                <w:sz w:val="18"/>
                <w:szCs w:val="18"/>
                <w:u w:val="single"/>
              </w:rPr>
              <w:t xml:space="preserve">     、</w:t>
            </w:r>
            <w:r>
              <w:rPr>
                <w:rFonts w:cs="Times New Roman"/>
                <w:sz w:val="18"/>
                <w:szCs w:val="18"/>
              </w:rPr>
              <w:t>乙炔</w:t>
            </w:r>
            <w:r>
              <w:rPr>
                <w:rFonts w:cs="Times New Roman"/>
                <w:sz w:val="18"/>
                <w:szCs w:val="18"/>
                <w:u w:val="single"/>
              </w:rPr>
              <w:t xml:space="preserve">      </w:t>
            </w:r>
            <w:r>
              <w:rPr>
                <w:rFonts w:cs="Times New Roman"/>
                <w:sz w:val="18"/>
                <w:szCs w:val="18"/>
              </w:rPr>
              <w:t>、汽油</w:t>
            </w:r>
            <w:r>
              <w:rPr>
                <w:rFonts w:cs="Times New Roman"/>
                <w:sz w:val="18"/>
                <w:szCs w:val="18"/>
                <w:u w:val="single"/>
              </w:rPr>
              <w:t xml:space="preserve">       </w:t>
            </w:r>
            <w:r>
              <w:rPr>
                <w:rFonts w:cs="Times New Roman"/>
                <w:sz w:val="18"/>
                <w:szCs w:val="18"/>
              </w:rPr>
              <w:t>、柴油</w:t>
            </w:r>
            <w:r>
              <w:rPr>
                <w:rFonts w:cs="Times New Roman"/>
                <w:sz w:val="18"/>
                <w:szCs w:val="18"/>
                <w:u w:val="single"/>
              </w:rPr>
              <w:t xml:space="preserve">      </w:t>
            </w:r>
            <w:r>
              <w:rPr>
                <w:rFonts w:cs="Times New Roman"/>
                <w:sz w:val="18"/>
                <w:szCs w:val="18"/>
              </w:rPr>
              <w:t>（如有其他，请补充）</w:t>
            </w:r>
          </w:p>
        </w:tc>
      </w:tr>
    </w:tbl>
    <w:p w14:paraId="4AF56769">
      <w:pPr>
        <w:rPr>
          <w:rFonts w:eastAsia="黑体" w:cs="Times New Roman"/>
          <w:szCs w:val="28"/>
        </w:rPr>
      </w:pPr>
      <w:r>
        <w:rPr>
          <w:rFonts w:eastAsia="黑体" w:cs="Times New Roman"/>
          <w:szCs w:val="28"/>
        </w:rPr>
        <w:t>二、</w:t>
      </w:r>
      <w:r>
        <w:rPr>
          <w:rFonts w:hint="eastAsia" w:eastAsia="黑体" w:cs="Times New Roman"/>
          <w:szCs w:val="28"/>
        </w:rPr>
        <w:t>源流</w:t>
      </w:r>
      <w:r>
        <w:rPr>
          <w:rFonts w:eastAsia="黑体" w:cs="Times New Roman"/>
          <w:szCs w:val="28"/>
        </w:rPr>
        <w:t>清单</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16"/>
        <w:gridCol w:w="1474"/>
        <w:gridCol w:w="1542"/>
        <w:gridCol w:w="1351"/>
        <w:gridCol w:w="1484"/>
        <w:gridCol w:w="2502"/>
      </w:tblGrid>
      <w:tr w14:paraId="0E8D7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6" w:hRule="atLeast"/>
          <w:jc w:val="center"/>
        </w:trPr>
        <w:tc>
          <w:tcPr>
            <w:tcW w:w="680" w:type="pct"/>
            <w:tcMar>
              <w:top w:w="20" w:type="dxa"/>
              <w:left w:w="30" w:type="dxa"/>
              <w:bottom w:w="20" w:type="dxa"/>
              <w:right w:w="30" w:type="dxa"/>
            </w:tcMar>
            <w:vAlign w:val="center"/>
          </w:tcPr>
          <w:p w14:paraId="472EFDF0">
            <w:pPr>
              <w:widowControl/>
              <w:spacing w:line="240" w:lineRule="auto"/>
              <w:jc w:val="center"/>
              <w:rPr>
                <w:rFonts w:cs="Times New Roman"/>
                <w:kern w:val="0"/>
                <w:sz w:val="18"/>
                <w:szCs w:val="18"/>
              </w:rPr>
            </w:pPr>
            <w:r>
              <w:rPr>
                <w:rFonts w:cs="Times New Roman"/>
                <w:kern w:val="0"/>
                <w:sz w:val="18"/>
                <w:szCs w:val="18"/>
                <w:lang w:bidi="ar"/>
              </w:rPr>
              <w:t>序号</w:t>
            </w:r>
          </w:p>
        </w:tc>
        <w:tc>
          <w:tcPr>
            <w:tcW w:w="762" w:type="pct"/>
            <w:tcMar>
              <w:top w:w="20" w:type="dxa"/>
              <w:left w:w="30" w:type="dxa"/>
              <w:bottom w:w="20" w:type="dxa"/>
              <w:right w:w="30" w:type="dxa"/>
            </w:tcMar>
            <w:vAlign w:val="center"/>
          </w:tcPr>
          <w:p w14:paraId="7F83BD31">
            <w:pPr>
              <w:widowControl/>
              <w:spacing w:line="240" w:lineRule="auto"/>
              <w:jc w:val="center"/>
              <w:rPr>
                <w:rFonts w:cs="Times New Roman"/>
                <w:kern w:val="0"/>
                <w:sz w:val="18"/>
                <w:szCs w:val="18"/>
              </w:rPr>
            </w:pPr>
            <w:r>
              <w:rPr>
                <w:rFonts w:cs="Times New Roman"/>
                <w:kern w:val="0"/>
                <w:sz w:val="18"/>
                <w:szCs w:val="18"/>
                <w:lang w:bidi="ar"/>
              </w:rPr>
              <w:t>生产系统</w:t>
            </w:r>
          </w:p>
        </w:tc>
        <w:tc>
          <w:tcPr>
            <w:tcW w:w="797" w:type="pct"/>
            <w:tcMar>
              <w:top w:w="20" w:type="dxa"/>
              <w:left w:w="30" w:type="dxa"/>
              <w:bottom w:w="20" w:type="dxa"/>
              <w:right w:w="30" w:type="dxa"/>
            </w:tcMar>
            <w:vAlign w:val="center"/>
          </w:tcPr>
          <w:p w14:paraId="342576D3">
            <w:pPr>
              <w:widowControl/>
              <w:spacing w:line="240" w:lineRule="auto"/>
              <w:jc w:val="center"/>
              <w:rPr>
                <w:rFonts w:cs="Times New Roman"/>
                <w:kern w:val="0"/>
                <w:sz w:val="18"/>
                <w:szCs w:val="18"/>
              </w:rPr>
            </w:pPr>
            <w:r>
              <w:rPr>
                <w:rFonts w:cs="Times New Roman"/>
                <w:kern w:val="0"/>
                <w:sz w:val="18"/>
                <w:szCs w:val="18"/>
                <w:lang w:bidi="ar"/>
              </w:rPr>
              <w:t>工艺</w:t>
            </w:r>
            <w:r>
              <w:rPr>
                <w:rFonts w:hint="eastAsia" w:cs="Times New Roman"/>
                <w:kern w:val="0"/>
                <w:sz w:val="18"/>
                <w:szCs w:val="18"/>
                <w:lang w:bidi="ar"/>
              </w:rPr>
              <w:t>流程</w:t>
            </w:r>
          </w:p>
        </w:tc>
        <w:tc>
          <w:tcPr>
            <w:tcW w:w="698" w:type="pct"/>
            <w:tcMar>
              <w:top w:w="20" w:type="dxa"/>
              <w:left w:w="30" w:type="dxa"/>
              <w:bottom w:w="20" w:type="dxa"/>
              <w:right w:w="30" w:type="dxa"/>
            </w:tcMar>
            <w:vAlign w:val="center"/>
          </w:tcPr>
          <w:p w14:paraId="02E88D80">
            <w:pPr>
              <w:widowControl/>
              <w:spacing w:line="240" w:lineRule="auto"/>
              <w:jc w:val="center"/>
              <w:rPr>
                <w:rFonts w:cs="Times New Roman"/>
                <w:kern w:val="0"/>
                <w:sz w:val="18"/>
                <w:szCs w:val="18"/>
              </w:rPr>
            </w:pPr>
            <w:r>
              <w:rPr>
                <w:rFonts w:hint="eastAsia" w:cs="Times New Roman"/>
                <w:kern w:val="0"/>
                <w:sz w:val="18"/>
                <w:szCs w:val="18"/>
                <w:lang w:bidi="ar"/>
              </w:rPr>
              <w:t>源流</w:t>
            </w:r>
          </w:p>
        </w:tc>
        <w:tc>
          <w:tcPr>
            <w:tcW w:w="767" w:type="pct"/>
            <w:tcMar>
              <w:top w:w="20" w:type="dxa"/>
              <w:left w:w="30" w:type="dxa"/>
              <w:bottom w:w="20" w:type="dxa"/>
              <w:right w:w="30" w:type="dxa"/>
            </w:tcMar>
            <w:vAlign w:val="center"/>
          </w:tcPr>
          <w:p w14:paraId="23735D90">
            <w:pPr>
              <w:widowControl/>
              <w:spacing w:line="240" w:lineRule="auto"/>
              <w:jc w:val="center"/>
              <w:rPr>
                <w:rFonts w:cs="Times New Roman"/>
                <w:kern w:val="0"/>
                <w:sz w:val="18"/>
                <w:szCs w:val="18"/>
              </w:rPr>
            </w:pPr>
            <w:r>
              <w:rPr>
                <w:rFonts w:hint="eastAsia" w:cs="Times New Roman"/>
                <w:kern w:val="0"/>
                <w:sz w:val="18"/>
                <w:szCs w:val="18"/>
                <w:lang w:bidi="ar"/>
              </w:rPr>
              <w:t>排放源</w:t>
            </w:r>
          </w:p>
        </w:tc>
        <w:tc>
          <w:tcPr>
            <w:tcW w:w="1293" w:type="pct"/>
            <w:tcMar>
              <w:top w:w="20" w:type="dxa"/>
              <w:bottom w:w="20" w:type="dxa"/>
            </w:tcMar>
            <w:vAlign w:val="center"/>
          </w:tcPr>
          <w:p w14:paraId="265F21D1">
            <w:pPr>
              <w:widowControl/>
              <w:spacing w:line="240" w:lineRule="auto"/>
              <w:jc w:val="center"/>
              <w:rPr>
                <w:rFonts w:cs="Times New Roman"/>
                <w:kern w:val="0"/>
                <w:sz w:val="18"/>
                <w:szCs w:val="18"/>
              </w:rPr>
            </w:pPr>
            <w:r>
              <w:rPr>
                <w:rFonts w:cs="Times New Roman"/>
                <w:kern w:val="0"/>
                <w:sz w:val="18"/>
                <w:szCs w:val="18"/>
                <w:lang w:bidi="ar"/>
              </w:rPr>
              <w:t>主要的固定及移动设备</w:t>
            </w:r>
          </w:p>
        </w:tc>
      </w:tr>
      <w:tr w14:paraId="3CAEE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jc w:val="center"/>
        </w:trPr>
        <w:tc>
          <w:tcPr>
            <w:tcW w:w="680" w:type="pct"/>
            <w:tcMar>
              <w:top w:w="20" w:type="dxa"/>
              <w:left w:w="30" w:type="dxa"/>
              <w:bottom w:w="20" w:type="dxa"/>
              <w:right w:w="30" w:type="dxa"/>
            </w:tcMar>
            <w:vAlign w:val="center"/>
          </w:tcPr>
          <w:p w14:paraId="40803165">
            <w:pPr>
              <w:widowControl/>
              <w:spacing w:line="240" w:lineRule="auto"/>
              <w:jc w:val="center"/>
              <w:rPr>
                <w:rFonts w:cs="Times New Roman"/>
                <w:kern w:val="0"/>
                <w:sz w:val="18"/>
                <w:szCs w:val="18"/>
              </w:rPr>
            </w:pPr>
          </w:p>
        </w:tc>
        <w:tc>
          <w:tcPr>
            <w:tcW w:w="762" w:type="pct"/>
            <w:tcMar>
              <w:top w:w="20" w:type="dxa"/>
              <w:left w:w="30" w:type="dxa"/>
              <w:bottom w:w="20" w:type="dxa"/>
              <w:right w:w="30" w:type="dxa"/>
            </w:tcMar>
            <w:vAlign w:val="center"/>
          </w:tcPr>
          <w:p w14:paraId="1527E1B7">
            <w:pPr>
              <w:widowControl/>
              <w:spacing w:line="240" w:lineRule="auto"/>
              <w:jc w:val="center"/>
              <w:rPr>
                <w:rFonts w:cs="Times New Roman"/>
                <w:kern w:val="0"/>
                <w:sz w:val="18"/>
                <w:szCs w:val="18"/>
              </w:rPr>
            </w:pPr>
          </w:p>
        </w:tc>
        <w:tc>
          <w:tcPr>
            <w:tcW w:w="797" w:type="pct"/>
            <w:tcMar>
              <w:top w:w="20" w:type="dxa"/>
              <w:left w:w="30" w:type="dxa"/>
              <w:bottom w:w="20" w:type="dxa"/>
              <w:right w:w="30" w:type="dxa"/>
            </w:tcMar>
            <w:vAlign w:val="center"/>
          </w:tcPr>
          <w:p w14:paraId="631B6840">
            <w:pPr>
              <w:widowControl/>
              <w:spacing w:line="240" w:lineRule="auto"/>
              <w:jc w:val="center"/>
              <w:rPr>
                <w:rFonts w:cs="Times New Roman"/>
                <w:kern w:val="0"/>
                <w:sz w:val="18"/>
                <w:szCs w:val="18"/>
              </w:rPr>
            </w:pPr>
          </w:p>
        </w:tc>
        <w:tc>
          <w:tcPr>
            <w:tcW w:w="698" w:type="pct"/>
            <w:tcMar>
              <w:top w:w="20" w:type="dxa"/>
              <w:left w:w="30" w:type="dxa"/>
              <w:bottom w:w="20" w:type="dxa"/>
              <w:right w:w="30" w:type="dxa"/>
            </w:tcMar>
            <w:vAlign w:val="center"/>
          </w:tcPr>
          <w:p w14:paraId="02D8DE56">
            <w:pPr>
              <w:widowControl/>
              <w:spacing w:line="240" w:lineRule="auto"/>
              <w:jc w:val="center"/>
              <w:rPr>
                <w:rFonts w:cs="Times New Roman"/>
                <w:kern w:val="0"/>
                <w:sz w:val="18"/>
                <w:szCs w:val="18"/>
              </w:rPr>
            </w:pPr>
          </w:p>
        </w:tc>
        <w:tc>
          <w:tcPr>
            <w:tcW w:w="767" w:type="pct"/>
            <w:tcMar>
              <w:top w:w="20" w:type="dxa"/>
              <w:left w:w="30" w:type="dxa"/>
              <w:bottom w:w="20" w:type="dxa"/>
              <w:right w:w="30" w:type="dxa"/>
            </w:tcMar>
            <w:vAlign w:val="center"/>
          </w:tcPr>
          <w:p w14:paraId="4561BCE6">
            <w:pPr>
              <w:widowControl/>
              <w:spacing w:line="240" w:lineRule="auto"/>
              <w:jc w:val="center"/>
              <w:rPr>
                <w:rFonts w:cs="Times New Roman"/>
                <w:kern w:val="0"/>
                <w:sz w:val="18"/>
                <w:szCs w:val="18"/>
              </w:rPr>
            </w:pPr>
          </w:p>
        </w:tc>
        <w:tc>
          <w:tcPr>
            <w:tcW w:w="1293" w:type="pct"/>
            <w:tcMar>
              <w:top w:w="20" w:type="dxa"/>
              <w:bottom w:w="20" w:type="dxa"/>
            </w:tcMar>
            <w:vAlign w:val="center"/>
          </w:tcPr>
          <w:p w14:paraId="56AD6107">
            <w:pPr>
              <w:widowControl/>
              <w:spacing w:line="240" w:lineRule="auto"/>
              <w:jc w:val="center"/>
              <w:rPr>
                <w:rFonts w:cs="Times New Roman"/>
                <w:kern w:val="0"/>
                <w:sz w:val="18"/>
                <w:szCs w:val="18"/>
              </w:rPr>
            </w:pPr>
          </w:p>
        </w:tc>
      </w:tr>
      <w:tr w14:paraId="2F731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jc w:val="center"/>
        </w:trPr>
        <w:tc>
          <w:tcPr>
            <w:tcW w:w="680" w:type="pct"/>
            <w:tcMar>
              <w:top w:w="20" w:type="dxa"/>
              <w:left w:w="30" w:type="dxa"/>
              <w:bottom w:w="20" w:type="dxa"/>
              <w:right w:w="30" w:type="dxa"/>
            </w:tcMar>
            <w:vAlign w:val="center"/>
          </w:tcPr>
          <w:p w14:paraId="13838174">
            <w:pPr>
              <w:widowControl/>
              <w:spacing w:line="240" w:lineRule="auto"/>
              <w:jc w:val="center"/>
              <w:rPr>
                <w:rFonts w:cs="Times New Roman"/>
                <w:kern w:val="0"/>
                <w:sz w:val="18"/>
                <w:szCs w:val="18"/>
              </w:rPr>
            </w:pPr>
          </w:p>
        </w:tc>
        <w:tc>
          <w:tcPr>
            <w:tcW w:w="762" w:type="pct"/>
            <w:tcMar>
              <w:top w:w="20" w:type="dxa"/>
              <w:left w:w="30" w:type="dxa"/>
              <w:bottom w:w="20" w:type="dxa"/>
              <w:right w:w="30" w:type="dxa"/>
            </w:tcMar>
            <w:vAlign w:val="center"/>
          </w:tcPr>
          <w:p w14:paraId="5BAA0E8A">
            <w:pPr>
              <w:widowControl/>
              <w:spacing w:line="240" w:lineRule="auto"/>
              <w:jc w:val="center"/>
              <w:rPr>
                <w:rFonts w:cs="Times New Roman"/>
                <w:kern w:val="0"/>
                <w:sz w:val="18"/>
                <w:szCs w:val="18"/>
              </w:rPr>
            </w:pPr>
          </w:p>
        </w:tc>
        <w:tc>
          <w:tcPr>
            <w:tcW w:w="797" w:type="pct"/>
            <w:tcMar>
              <w:top w:w="20" w:type="dxa"/>
              <w:left w:w="30" w:type="dxa"/>
              <w:bottom w:w="20" w:type="dxa"/>
              <w:right w:w="30" w:type="dxa"/>
            </w:tcMar>
            <w:vAlign w:val="center"/>
          </w:tcPr>
          <w:p w14:paraId="3AAD25CA">
            <w:pPr>
              <w:widowControl/>
              <w:spacing w:line="240" w:lineRule="auto"/>
              <w:jc w:val="center"/>
              <w:rPr>
                <w:rFonts w:cs="Times New Roman"/>
                <w:kern w:val="0"/>
                <w:sz w:val="18"/>
                <w:szCs w:val="18"/>
              </w:rPr>
            </w:pPr>
          </w:p>
        </w:tc>
        <w:tc>
          <w:tcPr>
            <w:tcW w:w="698" w:type="pct"/>
            <w:tcMar>
              <w:top w:w="20" w:type="dxa"/>
              <w:left w:w="30" w:type="dxa"/>
              <w:bottom w:w="20" w:type="dxa"/>
              <w:right w:w="30" w:type="dxa"/>
            </w:tcMar>
            <w:vAlign w:val="center"/>
          </w:tcPr>
          <w:p w14:paraId="25321DD3">
            <w:pPr>
              <w:widowControl/>
              <w:spacing w:line="240" w:lineRule="auto"/>
              <w:jc w:val="center"/>
              <w:rPr>
                <w:rFonts w:cs="Times New Roman"/>
                <w:kern w:val="0"/>
                <w:sz w:val="18"/>
                <w:szCs w:val="18"/>
              </w:rPr>
            </w:pPr>
          </w:p>
        </w:tc>
        <w:tc>
          <w:tcPr>
            <w:tcW w:w="767" w:type="pct"/>
            <w:tcMar>
              <w:top w:w="20" w:type="dxa"/>
              <w:left w:w="30" w:type="dxa"/>
              <w:bottom w:w="20" w:type="dxa"/>
              <w:right w:w="30" w:type="dxa"/>
            </w:tcMar>
            <w:vAlign w:val="center"/>
          </w:tcPr>
          <w:p w14:paraId="72267349">
            <w:pPr>
              <w:widowControl/>
              <w:spacing w:line="240" w:lineRule="auto"/>
              <w:jc w:val="center"/>
              <w:rPr>
                <w:rFonts w:cs="Times New Roman"/>
                <w:kern w:val="0"/>
                <w:sz w:val="18"/>
                <w:szCs w:val="18"/>
              </w:rPr>
            </w:pPr>
          </w:p>
        </w:tc>
        <w:tc>
          <w:tcPr>
            <w:tcW w:w="1293" w:type="pct"/>
            <w:tcMar>
              <w:top w:w="20" w:type="dxa"/>
              <w:bottom w:w="20" w:type="dxa"/>
            </w:tcMar>
            <w:vAlign w:val="center"/>
          </w:tcPr>
          <w:p w14:paraId="61A25EA1">
            <w:pPr>
              <w:widowControl/>
              <w:spacing w:line="240" w:lineRule="auto"/>
              <w:jc w:val="center"/>
              <w:rPr>
                <w:rFonts w:cs="Times New Roman"/>
                <w:kern w:val="0"/>
                <w:sz w:val="18"/>
                <w:szCs w:val="18"/>
              </w:rPr>
            </w:pPr>
          </w:p>
        </w:tc>
      </w:tr>
      <w:tr w14:paraId="1A45E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jc w:val="center"/>
        </w:trPr>
        <w:tc>
          <w:tcPr>
            <w:tcW w:w="680" w:type="pct"/>
            <w:tcMar>
              <w:top w:w="20" w:type="dxa"/>
              <w:left w:w="30" w:type="dxa"/>
              <w:bottom w:w="20" w:type="dxa"/>
              <w:right w:w="30" w:type="dxa"/>
            </w:tcMar>
            <w:vAlign w:val="center"/>
          </w:tcPr>
          <w:p w14:paraId="214A44F1">
            <w:pPr>
              <w:widowControl/>
              <w:spacing w:line="240" w:lineRule="auto"/>
              <w:jc w:val="center"/>
              <w:rPr>
                <w:rFonts w:cs="Times New Roman"/>
                <w:kern w:val="0"/>
                <w:sz w:val="18"/>
                <w:szCs w:val="18"/>
              </w:rPr>
            </w:pPr>
          </w:p>
        </w:tc>
        <w:tc>
          <w:tcPr>
            <w:tcW w:w="762" w:type="pct"/>
            <w:tcMar>
              <w:top w:w="20" w:type="dxa"/>
              <w:left w:w="30" w:type="dxa"/>
              <w:bottom w:w="20" w:type="dxa"/>
              <w:right w:w="30" w:type="dxa"/>
            </w:tcMar>
            <w:vAlign w:val="center"/>
          </w:tcPr>
          <w:p w14:paraId="329C780E">
            <w:pPr>
              <w:widowControl/>
              <w:spacing w:line="240" w:lineRule="auto"/>
              <w:jc w:val="center"/>
              <w:rPr>
                <w:rFonts w:cs="Times New Roman"/>
                <w:kern w:val="0"/>
                <w:sz w:val="18"/>
                <w:szCs w:val="18"/>
              </w:rPr>
            </w:pPr>
          </w:p>
        </w:tc>
        <w:tc>
          <w:tcPr>
            <w:tcW w:w="797" w:type="pct"/>
            <w:tcMar>
              <w:top w:w="20" w:type="dxa"/>
              <w:left w:w="30" w:type="dxa"/>
              <w:bottom w:w="20" w:type="dxa"/>
              <w:right w:w="30" w:type="dxa"/>
            </w:tcMar>
            <w:vAlign w:val="center"/>
          </w:tcPr>
          <w:p w14:paraId="0D37E5F8">
            <w:pPr>
              <w:widowControl/>
              <w:spacing w:line="240" w:lineRule="auto"/>
              <w:jc w:val="center"/>
              <w:rPr>
                <w:rFonts w:cs="Times New Roman"/>
                <w:kern w:val="0"/>
                <w:sz w:val="18"/>
                <w:szCs w:val="18"/>
              </w:rPr>
            </w:pPr>
          </w:p>
        </w:tc>
        <w:tc>
          <w:tcPr>
            <w:tcW w:w="698" w:type="pct"/>
            <w:tcMar>
              <w:top w:w="20" w:type="dxa"/>
              <w:left w:w="30" w:type="dxa"/>
              <w:bottom w:w="20" w:type="dxa"/>
              <w:right w:w="30" w:type="dxa"/>
            </w:tcMar>
            <w:vAlign w:val="center"/>
          </w:tcPr>
          <w:p w14:paraId="474453FD">
            <w:pPr>
              <w:widowControl/>
              <w:spacing w:line="240" w:lineRule="auto"/>
              <w:jc w:val="center"/>
              <w:rPr>
                <w:rFonts w:cs="Times New Roman"/>
                <w:kern w:val="0"/>
                <w:sz w:val="18"/>
                <w:szCs w:val="18"/>
              </w:rPr>
            </w:pPr>
          </w:p>
        </w:tc>
        <w:tc>
          <w:tcPr>
            <w:tcW w:w="767" w:type="pct"/>
            <w:tcMar>
              <w:top w:w="20" w:type="dxa"/>
              <w:left w:w="30" w:type="dxa"/>
              <w:bottom w:w="20" w:type="dxa"/>
              <w:right w:w="30" w:type="dxa"/>
            </w:tcMar>
            <w:vAlign w:val="center"/>
          </w:tcPr>
          <w:p w14:paraId="46351B34">
            <w:pPr>
              <w:widowControl/>
              <w:spacing w:line="240" w:lineRule="auto"/>
              <w:jc w:val="center"/>
              <w:rPr>
                <w:rFonts w:cs="Times New Roman"/>
                <w:kern w:val="0"/>
                <w:sz w:val="18"/>
                <w:szCs w:val="18"/>
              </w:rPr>
            </w:pPr>
          </w:p>
        </w:tc>
        <w:tc>
          <w:tcPr>
            <w:tcW w:w="1293" w:type="pct"/>
            <w:tcMar>
              <w:top w:w="20" w:type="dxa"/>
              <w:bottom w:w="20" w:type="dxa"/>
            </w:tcMar>
            <w:vAlign w:val="center"/>
          </w:tcPr>
          <w:p w14:paraId="214BBD63">
            <w:pPr>
              <w:widowControl/>
              <w:spacing w:line="240" w:lineRule="auto"/>
              <w:jc w:val="center"/>
              <w:rPr>
                <w:rFonts w:cs="Times New Roman"/>
                <w:kern w:val="0"/>
                <w:sz w:val="18"/>
                <w:szCs w:val="18"/>
              </w:rPr>
            </w:pPr>
          </w:p>
        </w:tc>
      </w:tr>
      <w:tr w14:paraId="2C156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jc w:val="center"/>
        </w:trPr>
        <w:tc>
          <w:tcPr>
            <w:tcW w:w="680" w:type="pct"/>
            <w:tcMar>
              <w:top w:w="20" w:type="dxa"/>
              <w:left w:w="30" w:type="dxa"/>
              <w:bottom w:w="20" w:type="dxa"/>
              <w:right w:w="30" w:type="dxa"/>
            </w:tcMar>
            <w:vAlign w:val="center"/>
          </w:tcPr>
          <w:p w14:paraId="00D228DA">
            <w:pPr>
              <w:widowControl/>
              <w:spacing w:line="240" w:lineRule="auto"/>
              <w:jc w:val="center"/>
              <w:rPr>
                <w:rFonts w:cs="Times New Roman"/>
                <w:kern w:val="0"/>
                <w:sz w:val="18"/>
                <w:szCs w:val="18"/>
              </w:rPr>
            </w:pPr>
          </w:p>
        </w:tc>
        <w:tc>
          <w:tcPr>
            <w:tcW w:w="762" w:type="pct"/>
            <w:tcMar>
              <w:top w:w="20" w:type="dxa"/>
              <w:left w:w="30" w:type="dxa"/>
              <w:bottom w:w="20" w:type="dxa"/>
              <w:right w:w="30" w:type="dxa"/>
            </w:tcMar>
            <w:vAlign w:val="center"/>
          </w:tcPr>
          <w:p w14:paraId="39DE0C24">
            <w:pPr>
              <w:widowControl/>
              <w:spacing w:line="240" w:lineRule="auto"/>
              <w:jc w:val="center"/>
              <w:rPr>
                <w:rFonts w:cs="Times New Roman"/>
                <w:kern w:val="0"/>
                <w:sz w:val="18"/>
                <w:szCs w:val="18"/>
              </w:rPr>
            </w:pPr>
          </w:p>
        </w:tc>
        <w:tc>
          <w:tcPr>
            <w:tcW w:w="797" w:type="pct"/>
            <w:tcMar>
              <w:top w:w="20" w:type="dxa"/>
              <w:left w:w="30" w:type="dxa"/>
              <w:bottom w:w="20" w:type="dxa"/>
              <w:right w:w="30" w:type="dxa"/>
            </w:tcMar>
            <w:vAlign w:val="center"/>
          </w:tcPr>
          <w:p w14:paraId="3CDE2567">
            <w:pPr>
              <w:widowControl/>
              <w:spacing w:line="240" w:lineRule="auto"/>
              <w:jc w:val="center"/>
              <w:rPr>
                <w:rFonts w:cs="Times New Roman"/>
                <w:kern w:val="0"/>
                <w:sz w:val="18"/>
                <w:szCs w:val="18"/>
              </w:rPr>
            </w:pPr>
          </w:p>
        </w:tc>
        <w:tc>
          <w:tcPr>
            <w:tcW w:w="698" w:type="pct"/>
            <w:tcMar>
              <w:top w:w="20" w:type="dxa"/>
              <w:left w:w="30" w:type="dxa"/>
              <w:bottom w:w="20" w:type="dxa"/>
              <w:right w:w="30" w:type="dxa"/>
            </w:tcMar>
            <w:vAlign w:val="center"/>
          </w:tcPr>
          <w:p w14:paraId="253F911F">
            <w:pPr>
              <w:widowControl/>
              <w:spacing w:line="240" w:lineRule="auto"/>
              <w:jc w:val="center"/>
              <w:rPr>
                <w:rFonts w:cs="Times New Roman"/>
                <w:kern w:val="0"/>
                <w:sz w:val="18"/>
                <w:szCs w:val="18"/>
              </w:rPr>
            </w:pPr>
          </w:p>
        </w:tc>
        <w:tc>
          <w:tcPr>
            <w:tcW w:w="767" w:type="pct"/>
            <w:tcMar>
              <w:top w:w="20" w:type="dxa"/>
              <w:left w:w="30" w:type="dxa"/>
              <w:bottom w:w="20" w:type="dxa"/>
              <w:right w:w="30" w:type="dxa"/>
            </w:tcMar>
            <w:vAlign w:val="center"/>
          </w:tcPr>
          <w:p w14:paraId="5336CFBE">
            <w:pPr>
              <w:widowControl/>
              <w:spacing w:line="240" w:lineRule="auto"/>
              <w:jc w:val="center"/>
              <w:rPr>
                <w:rFonts w:cs="Times New Roman"/>
                <w:kern w:val="0"/>
                <w:sz w:val="18"/>
                <w:szCs w:val="18"/>
              </w:rPr>
            </w:pPr>
          </w:p>
        </w:tc>
        <w:tc>
          <w:tcPr>
            <w:tcW w:w="1293" w:type="pct"/>
            <w:tcMar>
              <w:top w:w="20" w:type="dxa"/>
              <w:bottom w:w="20" w:type="dxa"/>
            </w:tcMar>
            <w:vAlign w:val="center"/>
          </w:tcPr>
          <w:p w14:paraId="0A4704F1">
            <w:pPr>
              <w:widowControl/>
              <w:spacing w:line="240" w:lineRule="auto"/>
              <w:jc w:val="center"/>
              <w:rPr>
                <w:rFonts w:cs="Times New Roman"/>
                <w:kern w:val="0"/>
                <w:sz w:val="18"/>
                <w:szCs w:val="18"/>
              </w:rPr>
            </w:pPr>
          </w:p>
        </w:tc>
      </w:tr>
      <w:tr w14:paraId="4FB0C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jc w:val="center"/>
        </w:trPr>
        <w:tc>
          <w:tcPr>
            <w:tcW w:w="680" w:type="pct"/>
            <w:tcMar>
              <w:top w:w="20" w:type="dxa"/>
              <w:left w:w="30" w:type="dxa"/>
              <w:bottom w:w="20" w:type="dxa"/>
              <w:right w:w="30" w:type="dxa"/>
            </w:tcMar>
            <w:vAlign w:val="center"/>
          </w:tcPr>
          <w:p w14:paraId="3FE5819D">
            <w:pPr>
              <w:widowControl/>
              <w:spacing w:line="240" w:lineRule="auto"/>
              <w:jc w:val="center"/>
              <w:rPr>
                <w:rFonts w:cs="Times New Roman"/>
                <w:kern w:val="0"/>
                <w:sz w:val="18"/>
                <w:szCs w:val="18"/>
              </w:rPr>
            </w:pPr>
          </w:p>
        </w:tc>
        <w:tc>
          <w:tcPr>
            <w:tcW w:w="762" w:type="pct"/>
            <w:tcMar>
              <w:top w:w="20" w:type="dxa"/>
              <w:left w:w="30" w:type="dxa"/>
              <w:bottom w:w="20" w:type="dxa"/>
              <w:right w:w="30" w:type="dxa"/>
            </w:tcMar>
            <w:vAlign w:val="center"/>
          </w:tcPr>
          <w:p w14:paraId="2D4912C1">
            <w:pPr>
              <w:widowControl/>
              <w:spacing w:line="240" w:lineRule="auto"/>
              <w:jc w:val="center"/>
              <w:rPr>
                <w:rFonts w:cs="Times New Roman"/>
                <w:kern w:val="0"/>
                <w:sz w:val="18"/>
                <w:szCs w:val="18"/>
              </w:rPr>
            </w:pPr>
          </w:p>
        </w:tc>
        <w:tc>
          <w:tcPr>
            <w:tcW w:w="797" w:type="pct"/>
            <w:tcMar>
              <w:top w:w="20" w:type="dxa"/>
              <w:left w:w="30" w:type="dxa"/>
              <w:bottom w:w="20" w:type="dxa"/>
              <w:right w:w="30" w:type="dxa"/>
            </w:tcMar>
            <w:vAlign w:val="center"/>
          </w:tcPr>
          <w:p w14:paraId="03F766A2">
            <w:pPr>
              <w:widowControl/>
              <w:spacing w:line="240" w:lineRule="auto"/>
              <w:jc w:val="center"/>
              <w:rPr>
                <w:rFonts w:cs="Times New Roman"/>
                <w:kern w:val="0"/>
                <w:sz w:val="18"/>
                <w:szCs w:val="18"/>
              </w:rPr>
            </w:pPr>
          </w:p>
        </w:tc>
        <w:tc>
          <w:tcPr>
            <w:tcW w:w="698" w:type="pct"/>
            <w:tcMar>
              <w:top w:w="20" w:type="dxa"/>
              <w:left w:w="30" w:type="dxa"/>
              <w:bottom w:w="20" w:type="dxa"/>
              <w:right w:w="30" w:type="dxa"/>
            </w:tcMar>
            <w:vAlign w:val="center"/>
          </w:tcPr>
          <w:p w14:paraId="740D5B1D">
            <w:pPr>
              <w:widowControl/>
              <w:spacing w:line="240" w:lineRule="auto"/>
              <w:jc w:val="center"/>
              <w:rPr>
                <w:rFonts w:cs="Times New Roman"/>
                <w:kern w:val="0"/>
                <w:sz w:val="18"/>
                <w:szCs w:val="18"/>
              </w:rPr>
            </w:pPr>
          </w:p>
        </w:tc>
        <w:tc>
          <w:tcPr>
            <w:tcW w:w="767" w:type="pct"/>
            <w:tcMar>
              <w:top w:w="20" w:type="dxa"/>
              <w:left w:w="30" w:type="dxa"/>
              <w:bottom w:w="20" w:type="dxa"/>
              <w:right w:w="30" w:type="dxa"/>
            </w:tcMar>
            <w:vAlign w:val="center"/>
          </w:tcPr>
          <w:p w14:paraId="5E273FDC">
            <w:pPr>
              <w:widowControl/>
              <w:spacing w:line="240" w:lineRule="auto"/>
              <w:jc w:val="center"/>
              <w:rPr>
                <w:rFonts w:cs="Times New Roman"/>
                <w:kern w:val="0"/>
                <w:sz w:val="18"/>
                <w:szCs w:val="18"/>
              </w:rPr>
            </w:pPr>
          </w:p>
        </w:tc>
        <w:tc>
          <w:tcPr>
            <w:tcW w:w="1293" w:type="pct"/>
            <w:tcMar>
              <w:top w:w="20" w:type="dxa"/>
              <w:bottom w:w="20" w:type="dxa"/>
            </w:tcMar>
            <w:vAlign w:val="center"/>
          </w:tcPr>
          <w:p w14:paraId="6A4921CF">
            <w:pPr>
              <w:widowControl/>
              <w:spacing w:line="240" w:lineRule="auto"/>
              <w:jc w:val="center"/>
              <w:rPr>
                <w:rFonts w:cs="Times New Roman"/>
                <w:kern w:val="0"/>
                <w:sz w:val="18"/>
                <w:szCs w:val="18"/>
              </w:rPr>
            </w:pPr>
          </w:p>
        </w:tc>
      </w:tr>
      <w:tr w14:paraId="359F7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jc w:val="center"/>
        </w:trPr>
        <w:tc>
          <w:tcPr>
            <w:tcW w:w="680" w:type="pct"/>
            <w:tcMar>
              <w:top w:w="20" w:type="dxa"/>
              <w:left w:w="30" w:type="dxa"/>
              <w:bottom w:w="20" w:type="dxa"/>
              <w:right w:w="30" w:type="dxa"/>
            </w:tcMar>
            <w:vAlign w:val="center"/>
          </w:tcPr>
          <w:p w14:paraId="207B65AB">
            <w:pPr>
              <w:widowControl/>
              <w:spacing w:line="240" w:lineRule="auto"/>
              <w:jc w:val="center"/>
              <w:rPr>
                <w:rFonts w:cs="Times New Roman"/>
                <w:kern w:val="0"/>
                <w:sz w:val="18"/>
                <w:szCs w:val="18"/>
              </w:rPr>
            </w:pPr>
          </w:p>
        </w:tc>
        <w:tc>
          <w:tcPr>
            <w:tcW w:w="762" w:type="pct"/>
            <w:tcMar>
              <w:top w:w="20" w:type="dxa"/>
              <w:left w:w="30" w:type="dxa"/>
              <w:bottom w:w="20" w:type="dxa"/>
              <w:right w:w="30" w:type="dxa"/>
            </w:tcMar>
            <w:vAlign w:val="center"/>
          </w:tcPr>
          <w:p w14:paraId="7BB7A850">
            <w:pPr>
              <w:widowControl/>
              <w:spacing w:line="240" w:lineRule="auto"/>
              <w:jc w:val="center"/>
              <w:rPr>
                <w:rFonts w:cs="Times New Roman"/>
                <w:kern w:val="0"/>
                <w:sz w:val="18"/>
                <w:szCs w:val="18"/>
              </w:rPr>
            </w:pPr>
          </w:p>
        </w:tc>
        <w:tc>
          <w:tcPr>
            <w:tcW w:w="797" w:type="pct"/>
            <w:tcMar>
              <w:top w:w="20" w:type="dxa"/>
              <w:left w:w="30" w:type="dxa"/>
              <w:bottom w:w="20" w:type="dxa"/>
              <w:right w:w="30" w:type="dxa"/>
            </w:tcMar>
            <w:vAlign w:val="center"/>
          </w:tcPr>
          <w:p w14:paraId="3A05CFCD">
            <w:pPr>
              <w:widowControl/>
              <w:spacing w:line="240" w:lineRule="auto"/>
              <w:jc w:val="center"/>
              <w:rPr>
                <w:rFonts w:cs="Times New Roman"/>
                <w:kern w:val="0"/>
                <w:sz w:val="18"/>
                <w:szCs w:val="18"/>
              </w:rPr>
            </w:pPr>
          </w:p>
        </w:tc>
        <w:tc>
          <w:tcPr>
            <w:tcW w:w="698" w:type="pct"/>
            <w:tcMar>
              <w:top w:w="20" w:type="dxa"/>
              <w:left w:w="30" w:type="dxa"/>
              <w:bottom w:w="20" w:type="dxa"/>
              <w:right w:w="30" w:type="dxa"/>
            </w:tcMar>
            <w:vAlign w:val="center"/>
          </w:tcPr>
          <w:p w14:paraId="5D09D2A0">
            <w:pPr>
              <w:widowControl/>
              <w:spacing w:line="240" w:lineRule="auto"/>
              <w:jc w:val="center"/>
              <w:rPr>
                <w:rFonts w:cs="Times New Roman"/>
                <w:kern w:val="0"/>
                <w:sz w:val="18"/>
                <w:szCs w:val="18"/>
              </w:rPr>
            </w:pPr>
          </w:p>
        </w:tc>
        <w:tc>
          <w:tcPr>
            <w:tcW w:w="767" w:type="pct"/>
            <w:tcMar>
              <w:top w:w="20" w:type="dxa"/>
              <w:left w:w="30" w:type="dxa"/>
              <w:bottom w:w="20" w:type="dxa"/>
              <w:right w:w="30" w:type="dxa"/>
            </w:tcMar>
            <w:vAlign w:val="center"/>
          </w:tcPr>
          <w:p w14:paraId="485821CF">
            <w:pPr>
              <w:widowControl/>
              <w:spacing w:line="240" w:lineRule="auto"/>
              <w:jc w:val="center"/>
              <w:rPr>
                <w:rFonts w:cs="Times New Roman"/>
                <w:kern w:val="0"/>
                <w:sz w:val="18"/>
                <w:szCs w:val="18"/>
              </w:rPr>
            </w:pPr>
          </w:p>
        </w:tc>
        <w:tc>
          <w:tcPr>
            <w:tcW w:w="1293" w:type="pct"/>
            <w:tcMar>
              <w:top w:w="20" w:type="dxa"/>
              <w:bottom w:w="20" w:type="dxa"/>
            </w:tcMar>
            <w:vAlign w:val="center"/>
          </w:tcPr>
          <w:p w14:paraId="0135CEE2">
            <w:pPr>
              <w:widowControl/>
              <w:spacing w:line="240" w:lineRule="auto"/>
              <w:jc w:val="center"/>
              <w:rPr>
                <w:rFonts w:cs="Times New Roman"/>
                <w:kern w:val="0"/>
                <w:sz w:val="18"/>
                <w:szCs w:val="18"/>
              </w:rPr>
            </w:pPr>
          </w:p>
        </w:tc>
      </w:tr>
      <w:tr w14:paraId="3A45F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0" w:hRule="atLeast"/>
          <w:jc w:val="center"/>
        </w:trPr>
        <w:tc>
          <w:tcPr>
            <w:tcW w:w="680" w:type="pct"/>
            <w:tcMar>
              <w:top w:w="20" w:type="dxa"/>
              <w:left w:w="30" w:type="dxa"/>
              <w:bottom w:w="20" w:type="dxa"/>
              <w:right w:w="30" w:type="dxa"/>
            </w:tcMar>
            <w:vAlign w:val="center"/>
          </w:tcPr>
          <w:p w14:paraId="2DBCCA1E">
            <w:pPr>
              <w:widowControl/>
              <w:spacing w:line="240" w:lineRule="auto"/>
              <w:jc w:val="center"/>
              <w:rPr>
                <w:rFonts w:cs="Times New Roman"/>
                <w:kern w:val="0"/>
                <w:sz w:val="18"/>
                <w:szCs w:val="18"/>
              </w:rPr>
            </w:pPr>
          </w:p>
        </w:tc>
        <w:tc>
          <w:tcPr>
            <w:tcW w:w="762" w:type="pct"/>
            <w:tcMar>
              <w:top w:w="20" w:type="dxa"/>
              <w:left w:w="30" w:type="dxa"/>
              <w:bottom w:w="20" w:type="dxa"/>
              <w:right w:w="30" w:type="dxa"/>
            </w:tcMar>
            <w:vAlign w:val="center"/>
          </w:tcPr>
          <w:p w14:paraId="589096B8">
            <w:pPr>
              <w:widowControl/>
              <w:spacing w:line="240" w:lineRule="auto"/>
              <w:jc w:val="center"/>
              <w:rPr>
                <w:rFonts w:cs="Times New Roman"/>
                <w:kern w:val="0"/>
                <w:sz w:val="18"/>
                <w:szCs w:val="18"/>
              </w:rPr>
            </w:pPr>
          </w:p>
        </w:tc>
        <w:tc>
          <w:tcPr>
            <w:tcW w:w="797" w:type="pct"/>
            <w:tcMar>
              <w:top w:w="20" w:type="dxa"/>
              <w:left w:w="30" w:type="dxa"/>
              <w:bottom w:w="20" w:type="dxa"/>
              <w:right w:w="30" w:type="dxa"/>
            </w:tcMar>
            <w:vAlign w:val="center"/>
          </w:tcPr>
          <w:p w14:paraId="047F3681">
            <w:pPr>
              <w:widowControl/>
              <w:spacing w:line="240" w:lineRule="auto"/>
              <w:jc w:val="center"/>
              <w:rPr>
                <w:rFonts w:cs="Times New Roman"/>
                <w:kern w:val="0"/>
                <w:sz w:val="18"/>
                <w:szCs w:val="18"/>
              </w:rPr>
            </w:pPr>
          </w:p>
        </w:tc>
        <w:tc>
          <w:tcPr>
            <w:tcW w:w="698" w:type="pct"/>
            <w:tcMar>
              <w:top w:w="20" w:type="dxa"/>
              <w:left w:w="30" w:type="dxa"/>
              <w:bottom w:w="20" w:type="dxa"/>
              <w:right w:w="30" w:type="dxa"/>
            </w:tcMar>
            <w:vAlign w:val="center"/>
          </w:tcPr>
          <w:p w14:paraId="70201579">
            <w:pPr>
              <w:widowControl/>
              <w:spacing w:line="240" w:lineRule="auto"/>
              <w:jc w:val="center"/>
              <w:rPr>
                <w:rFonts w:cs="Times New Roman"/>
                <w:kern w:val="0"/>
                <w:sz w:val="18"/>
                <w:szCs w:val="18"/>
              </w:rPr>
            </w:pPr>
          </w:p>
        </w:tc>
        <w:tc>
          <w:tcPr>
            <w:tcW w:w="767" w:type="pct"/>
            <w:tcMar>
              <w:top w:w="20" w:type="dxa"/>
              <w:left w:w="30" w:type="dxa"/>
              <w:bottom w:w="20" w:type="dxa"/>
              <w:right w:w="30" w:type="dxa"/>
            </w:tcMar>
            <w:vAlign w:val="center"/>
          </w:tcPr>
          <w:p w14:paraId="7A388694">
            <w:pPr>
              <w:widowControl/>
              <w:spacing w:line="240" w:lineRule="auto"/>
              <w:jc w:val="center"/>
              <w:rPr>
                <w:rFonts w:cs="Times New Roman"/>
                <w:kern w:val="0"/>
                <w:sz w:val="18"/>
                <w:szCs w:val="18"/>
              </w:rPr>
            </w:pPr>
          </w:p>
        </w:tc>
        <w:tc>
          <w:tcPr>
            <w:tcW w:w="1293" w:type="pct"/>
            <w:tcMar>
              <w:top w:w="20" w:type="dxa"/>
              <w:bottom w:w="20" w:type="dxa"/>
            </w:tcMar>
            <w:vAlign w:val="center"/>
          </w:tcPr>
          <w:p w14:paraId="795FB96D">
            <w:pPr>
              <w:widowControl/>
              <w:spacing w:line="240" w:lineRule="auto"/>
              <w:jc w:val="center"/>
              <w:rPr>
                <w:rFonts w:cs="Times New Roman"/>
                <w:kern w:val="0"/>
                <w:sz w:val="18"/>
                <w:szCs w:val="18"/>
              </w:rPr>
            </w:pPr>
          </w:p>
        </w:tc>
      </w:tr>
    </w:tbl>
    <w:p w14:paraId="24247D1F">
      <w:pPr>
        <w:rPr>
          <w:rFonts w:hint="default" w:eastAsia="黑体" w:cs="Times New Roman"/>
          <w:szCs w:val="28"/>
          <w:lang w:val="en-US" w:eastAsia="zh-CN"/>
        </w:rPr>
      </w:pPr>
      <w:r>
        <w:rPr>
          <w:rFonts w:hint="eastAsia" w:eastAsia="黑体" w:cs="Times New Roman"/>
          <w:szCs w:val="28"/>
          <w:lang w:val="en-US" w:eastAsia="zh-CN"/>
        </w:rPr>
        <w:t>三、计量仪表清单</w:t>
      </w:r>
    </w:p>
    <w:tbl>
      <w:tblPr>
        <w:tblStyle w:val="26"/>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8"/>
        <w:gridCol w:w="640"/>
        <w:gridCol w:w="641"/>
        <w:gridCol w:w="641"/>
        <w:gridCol w:w="641"/>
        <w:gridCol w:w="641"/>
        <w:gridCol w:w="641"/>
        <w:gridCol w:w="641"/>
        <w:gridCol w:w="641"/>
        <w:gridCol w:w="641"/>
        <w:gridCol w:w="641"/>
        <w:gridCol w:w="641"/>
        <w:gridCol w:w="876"/>
        <w:gridCol w:w="641"/>
        <w:gridCol w:w="641"/>
      </w:tblGrid>
      <w:tr w14:paraId="3F9E5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324" w:type="pct"/>
            <w:vAlign w:val="center"/>
          </w:tcPr>
          <w:p w14:paraId="5C2F4168">
            <w:pPr>
              <w:bidi w:val="0"/>
              <w:spacing w:line="240" w:lineRule="auto"/>
              <w:jc w:val="center"/>
              <w:rPr>
                <w:rFonts w:hint="eastAsia"/>
                <w:vertAlign w:val="baseline"/>
                <w:lang w:val="en-US" w:eastAsia="zh-CN"/>
              </w:rPr>
            </w:pPr>
            <w:r>
              <w:rPr>
                <w:rFonts w:hint="eastAsia"/>
                <w:b w:val="0"/>
                <w:bCs w:val="0"/>
                <w:sz w:val="18"/>
                <w:szCs w:val="18"/>
              </w:rPr>
              <w:t>序号</w:t>
            </w:r>
          </w:p>
        </w:tc>
        <w:tc>
          <w:tcPr>
            <w:tcW w:w="325" w:type="pct"/>
            <w:vAlign w:val="center"/>
          </w:tcPr>
          <w:p w14:paraId="0D3A3763">
            <w:pPr>
              <w:bidi w:val="0"/>
              <w:spacing w:line="240" w:lineRule="auto"/>
              <w:jc w:val="center"/>
              <w:rPr>
                <w:rFonts w:hint="eastAsia"/>
                <w:vertAlign w:val="baseline"/>
                <w:lang w:val="en-US" w:eastAsia="zh-CN"/>
              </w:rPr>
            </w:pPr>
            <w:r>
              <w:rPr>
                <w:rFonts w:hint="eastAsia"/>
                <w:b w:val="0"/>
                <w:bCs w:val="0"/>
                <w:sz w:val="18"/>
                <w:szCs w:val="18"/>
                <w:lang w:val="en-US" w:eastAsia="zh-CN"/>
              </w:rPr>
              <w:t>仪表编号</w:t>
            </w:r>
          </w:p>
        </w:tc>
        <w:tc>
          <w:tcPr>
            <w:tcW w:w="325" w:type="pct"/>
            <w:vAlign w:val="center"/>
          </w:tcPr>
          <w:p w14:paraId="76017F76">
            <w:pPr>
              <w:bidi w:val="0"/>
              <w:spacing w:line="240" w:lineRule="auto"/>
              <w:jc w:val="center"/>
              <w:rPr>
                <w:rFonts w:hint="eastAsia"/>
                <w:vertAlign w:val="baseline"/>
                <w:lang w:val="en-US" w:eastAsia="zh-CN"/>
              </w:rPr>
            </w:pPr>
            <w:r>
              <w:rPr>
                <w:rFonts w:hint="eastAsia"/>
                <w:b w:val="0"/>
                <w:bCs w:val="0"/>
                <w:sz w:val="18"/>
                <w:szCs w:val="18"/>
                <w:lang w:val="en-US" w:eastAsia="zh-CN"/>
              </w:rPr>
              <w:t>仪表</w:t>
            </w:r>
            <w:r>
              <w:rPr>
                <w:rFonts w:hint="eastAsia"/>
                <w:b w:val="0"/>
                <w:bCs w:val="0"/>
                <w:sz w:val="18"/>
                <w:szCs w:val="18"/>
              </w:rPr>
              <w:t>名称</w:t>
            </w:r>
          </w:p>
        </w:tc>
        <w:tc>
          <w:tcPr>
            <w:tcW w:w="325" w:type="pct"/>
            <w:vAlign w:val="center"/>
          </w:tcPr>
          <w:p w14:paraId="214EA8E0">
            <w:pPr>
              <w:bidi w:val="0"/>
              <w:spacing w:line="240" w:lineRule="auto"/>
              <w:jc w:val="center"/>
              <w:rPr>
                <w:rFonts w:hint="eastAsia"/>
                <w:b w:val="0"/>
                <w:bCs w:val="0"/>
                <w:sz w:val="18"/>
                <w:szCs w:val="18"/>
              </w:rPr>
            </w:pPr>
            <w:r>
              <w:rPr>
                <w:rFonts w:hint="eastAsia"/>
                <w:b w:val="0"/>
                <w:bCs w:val="0"/>
                <w:sz w:val="18"/>
                <w:szCs w:val="18"/>
              </w:rPr>
              <w:t>型号</w:t>
            </w:r>
          </w:p>
          <w:p w14:paraId="51F758BF">
            <w:pPr>
              <w:bidi w:val="0"/>
              <w:spacing w:line="240" w:lineRule="auto"/>
              <w:jc w:val="center"/>
              <w:rPr>
                <w:rFonts w:hint="eastAsia"/>
                <w:vertAlign w:val="baseline"/>
                <w:lang w:val="en-US" w:eastAsia="zh-CN"/>
              </w:rPr>
            </w:pPr>
            <w:r>
              <w:rPr>
                <w:rFonts w:hint="eastAsia"/>
                <w:b w:val="0"/>
                <w:bCs w:val="0"/>
                <w:sz w:val="18"/>
                <w:szCs w:val="18"/>
              </w:rPr>
              <w:t>规格</w:t>
            </w:r>
          </w:p>
        </w:tc>
        <w:tc>
          <w:tcPr>
            <w:tcW w:w="325" w:type="pct"/>
            <w:vAlign w:val="center"/>
          </w:tcPr>
          <w:p w14:paraId="194771D6">
            <w:pPr>
              <w:bidi w:val="0"/>
              <w:spacing w:line="240" w:lineRule="auto"/>
              <w:jc w:val="center"/>
              <w:rPr>
                <w:rFonts w:hint="eastAsia"/>
                <w:b w:val="0"/>
                <w:bCs w:val="0"/>
                <w:sz w:val="18"/>
                <w:szCs w:val="18"/>
              </w:rPr>
            </w:pPr>
            <w:r>
              <w:rPr>
                <w:rFonts w:hint="eastAsia"/>
                <w:b w:val="0"/>
                <w:bCs w:val="0"/>
                <w:sz w:val="18"/>
                <w:szCs w:val="18"/>
              </w:rPr>
              <w:t>计量</w:t>
            </w:r>
          </w:p>
          <w:p w14:paraId="1706699C">
            <w:pPr>
              <w:bidi w:val="0"/>
              <w:spacing w:line="240" w:lineRule="auto"/>
              <w:jc w:val="center"/>
              <w:rPr>
                <w:rFonts w:hint="eastAsia"/>
                <w:vertAlign w:val="baseline"/>
                <w:lang w:val="en-US" w:eastAsia="zh-CN"/>
              </w:rPr>
            </w:pPr>
            <w:r>
              <w:rPr>
                <w:rFonts w:hint="eastAsia"/>
                <w:b w:val="0"/>
                <w:bCs w:val="0"/>
                <w:sz w:val="18"/>
                <w:szCs w:val="18"/>
              </w:rPr>
              <w:t>参数</w:t>
            </w:r>
          </w:p>
        </w:tc>
        <w:tc>
          <w:tcPr>
            <w:tcW w:w="325" w:type="pct"/>
            <w:vAlign w:val="center"/>
          </w:tcPr>
          <w:p w14:paraId="7CA48E93">
            <w:pPr>
              <w:bidi w:val="0"/>
              <w:spacing w:line="240" w:lineRule="auto"/>
              <w:jc w:val="center"/>
              <w:rPr>
                <w:rFonts w:hint="eastAsia"/>
                <w:b w:val="0"/>
                <w:bCs w:val="0"/>
                <w:sz w:val="18"/>
                <w:szCs w:val="18"/>
              </w:rPr>
            </w:pPr>
            <w:r>
              <w:rPr>
                <w:rFonts w:hint="eastAsia"/>
                <w:b w:val="0"/>
                <w:bCs w:val="0"/>
                <w:sz w:val="18"/>
                <w:szCs w:val="18"/>
              </w:rPr>
              <w:t>使用</w:t>
            </w:r>
          </w:p>
          <w:p w14:paraId="38422A9C">
            <w:pPr>
              <w:bidi w:val="0"/>
              <w:spacing w:line="240" w:lineRule="auto"/>
              <w:jc w:val="center"/>
              <w:rPr>
                <w:rFonts w:hint="eastAsia"/>
                <w:vertAlign w:val="baseline"/>
                <w:lang w:val="en-US" w:eastAsia="zh-CN"/>
              </w:rPr>
            </w:pPr>
            <w:r>
              <w:rPr>
                <w:rFonts w:hint="eastAsia"/>
                <w:b w:val="0"/>
                <w:bCs w:val="0"/>
                <w:sz w:val="18"/>
                <w:szCs w:val="18"/>
              </w:rPr>
              <w:t>位置</w:t>
            </w:r>
          </w:p>
        </w:tc>
        <w:tc>
          <w:tcPr>
            <w:tcW w:w="325" w:type="pct"/>
            <w:vAlign w:val="center"/>
          </w:tcPr>
          <w:p w14:paraId="1CF63FED">
            <w:pPr>
              <w:bidi w:val="0"/>
              <w:spacing w:line="240" w:lineRule="auto"/>
              <w:jc w:val="center"/>
              <w:rPr>
                <w:rFonts w:hint="eastAsia"/>
                <w:b w:val="0"/>
                <w:bCs w:val="0"/>
                <w:sz w:val="18"/>
                <w:szCs w:val="18"/>
              </w:rPr>
            </w:pPr>
            <w:r>
              <w:rPr>
                <w:rFonts w:hint="eastAsia"/>
                <w:b w:val="0"/>
                <w:bCs w:val="0"/>
                <w:sz w:val="18"/>
                <w:szCs w:val="18"/>
              </w:rPr>
              <w:t>适用</w:t>
            </w:r>
          </w:p>
          <w:p w14:paraId="7EE894C8">
            <w:pPr>
              <w:bidi w:val="0"/>
              <w:spacing w:line="240" w:lineRule="auto"/>
              <w:jc w:val="center"/>
              <w:rPr>
                <w:rFonts w:hint="eastAsia"/>
                <w:vertAlign w:val="baseline"/>
                <w:lang w:val="en-US" w:eastAsia="zh-CN"/>
              </w:rPr>
            </w:pPr>
            <w:r>
              <w:rPr>
                <w:rFonts w:hint="eastAsia"/>
                <w:b w:val="0"/>
                <w:bCs w:val="0"/>
                <w:sz w:val="18"/>
                <w:szCs w:val="18"/>
              </w:rPr>
              <w:t>环节</w:t>
            </w:r>
          </w:p>
        </w:tc>
        <w:tc>
          <w:tcPr>
            <w:tcW w:w="325" w:type="pct"/>
            <w:vAlign w:val="center"/>
          </w:tcPr>
          <w:p w14:paraId="63A8FBAF">
            <w:pPr>
              <w:bidi w:val="0"/>
              <w:spacing w:line="240" w:lineRule="auto"/>
              <w:jc w:val="center"/>
              <w:rPr>
                <w:rFonts w:hint="eastAsia"/>
                <w:b w:val="0"/>
                <w:bCs w:val="0"/>
                <w:sz w:val="18"/>
                <w:szCs w:val="18"/>
              </w:rPr>
            </w:pPr>
            <w:r>
              <w:rPr>
                <w:rFonts w:hint="eastAsia"/>
                <w:b w:val="0"/>
                <w:bCs w:val="0"/>
                <w:sz w:val="18"/>
                <w:szCs w:val="18"/>
              </w:rPr>
              <w:t>量程</w:t>
            </w:r>
          </w:p>
          <w:p w14:paraId="333339B0">
            <w:pPr>
              <w:bidi w:val="0"/>
              <w:spacing w:line="240" w:lineRule="auto"/>
              <w:jc w:val="center"/>
              <w:rPr>
                <w:rFonts w:hint="eastAsia"/>
                <w:vertAlign w:val="baseline"/>
                <w:lang w:val="en-US" w:eastAsia="zh-CN"/>
              </w:rPr>
            </w:pPr>
            <w:r>
              <w:rPr>
                <w:rFonts w:hint="eastAsia"/>
                <w:b w:val="0"/>
                <w:bCs w:val="0"/>
                <w:sz w:val="18"/>
                <w:szCs w:val="18"/>
              </w:rPr>
              <w:t>范围</w:t>
            </w:r>
          </w:p>
        </w:tc>
        <w:tc>
          <w:tcPr>
            <w:tcW w:w="325" w:type="pct"/>
            <w:vAlign w:val="center"/>
          </w:tcPr>
          <w:p w14:paraId="6804E18D">
            <w:pPr>
              <w:bidi w:val="0"/>
              <w:spacing w:line="240" w:lineRule="auto"/>
              <w:jc w:val="center"/>
              <w:rPr>
                <w:rFonts w:hint="eastAsia"/>
                <w:vertAlign w:val="baseline"/>
                <w:lang w:val="en-US" w:eastAsia="zh-CN"/>
              </w:rPr>
            </w:pPr>
            <w:r>
              <w:rPr>
                <w:rFonts w:hint="eastAsia"/>
                <w:b w:val="0"/>
                <w:bCs w:val="0"/>
                <w:sz w:val="18"/>
                <w:szCs w:val="18"/>
                <w:lang w:val="en-US" w:eastAsia="zh-CN"/>
              </w:rPr>
              <w:t>准确度</w:t>
            </w:r>
            <w:r>
              <w:rPr>
                <w:rFonts w:hint="eastAsia"/>
                <w:b w:val="0"/>
                <w:bCs w:val="0"/>
                <w:sz w:val="18"/>
                <w:szCs w:val="18"/>
              </w:rPr>
              <w:t>等级</w:t>
            </w:r>
          </w:p>
        </w:tc>
        <w:tc>
          <w:tcPr>
            <w:tcW w:w="325" w:type="pct"/>
            <w:vAlign w:val="center"/>
          </w:tcPr>
          <w:p w14:paraId="1239AE40">
            <w:pPr>
              <w:bidi w:val="0"/>
              <w:spacing w:line="240" w:lineRule="auto"/>
              <w:jc w:val="center"/>
              <w:rPr>
                <w:rFonts w:hint="default" w:eastAsia="宋体"/>
                <w:b w:val="0"/>
                <w:bCs w:val="0"/>
                <w:sz w:val="18"/>
                <w:szCs w:val="18"/>
                <w:lang w:val="en-US" w:eastAsia="zh-CN"/>
              </w:rPr>
            </w:pPr>
            <w:r>
              <w:rPr>
                <w:rFonts w:hint="eastAsia"/>
                <w:b w:val="0"/>
                <w:bCs w:val="0"/>
                <w:sz w:val="18"/>
                <w:szCs w:val="18"/>
                <w:lang w:val="en-US" w:eastAsia="zh-CN"/>
              </w:rPr>
              <w:t>不确定度</w:t>
            </w:r>
          </w:p>
        </w:tc>
        <w:tc>
          <w:tcPr>
            <w:tcW w:w="325" w:type="pct"/>
            <w:vAlign w:val="center"/>
          </w:tcPr>
          <w:p w14:paraId="5E3D1384">
            <w:pPr>
              <w:bidi w:val="0"/>
              <w:spacing w:line="240" w:lineRule="auto"/>
              <w:jc w:val="center"/>
              <w:rPr>
                <w:rFonts w:hint="eastAsia"/>
                <w:vertAlign w:val="baseline"/>
                <w:lang w:val="en-US" w:eastAsia="zh-CN"/>
              </w:rPr>
            </w:pPr>
            <w:r>
              <w:rPr>
                <w:rFonts w:hint="eastAsia"/>
                <w:b w:val="0"/>
                <w:bCs w:val="0"/>
                <w:sz w:val="18"/>
                <w:szCs w:val="18"/>
              </w:rPr>
              <w:t>责任人</w:t>
            </w:r>
          </w:p>
        </w:tc>
        <w:tc>
          <w:tcPr>
            <w:tcW w:w="325" w:type="pct"/>
            <w:vAlign w:val="center"/>
          </w:tcPr>
          <w:p w14:paraId="5F97192A">
            <w:pPr>
              <w:bidi w:val="0"/>
              <w:spacing w:line="240" w:lineRule="auto"/>
              <w:jc w:val="center"/>
              <w:rPr>
                <w:rFonts w:hint="eastAsia"/>
                <w:vertAlign w:val="baseline"/>
                <w:lang w:val="en-US" w:eastAsia="zh-CN"/>
              </w:rPr>
            </w:pPr>
            <w:r>
              <w:rPr>
                <w:rFonts w:hint="eastAsia"/>
                <w:b w:val="0"/>
                <w:bCs w:val="0"/>
                <w:sz w:val="18"/>
                <w:szCs w:val="18"/>
              </w:rPr>
              <w:t>上次检定日期</w:t>
            </w:r>
          </w:p>
        </w:tc>
        <w:tc>
          <w:tcPr>
            <w:tcW w:w="444" w:type="pct"/>
            <w:vAlign w:val="center"/>
          </w:tcPr>
          <w:p w14:paraId="6C4524F0">
            <w:pPr>
              <w:bidi w:val="0"/>
              <w:spacing w:line="240" w:lineRule="auto"/>
              <w:jc w:val="center"/>
              <w:rPr>
                <w:rFonts w:hint="eastAsia"/>
                <w:vertAlign w:val="baseline"/>
                <w:lang w:val="en-US" w:eastAsia="zh-CN"/>
              </w:rPr>
            </w:pPr>
            <w:r>
              <w:rPr>
                <w:rFonts w:hint="eastAsia"/>
                <w:b w:val="0"/>
                <w:bCs w:val="0"/>
                <w:sz w:val="18"/>
                <w:szCs w:val="18"/>
              </w:rPr>
              <w:t>检定</w:t>
            </w:r>
            <w:r>
              <w:rPr>
                <w:rFonts w:hint="eastAsia"/>
                <w:b w:val="0"/>
                <w:bCs w:val="0"/>
                <w:sz w:val="18"/>
                <w:szCs w:val="18"/>
                <w:lang w:val="en-US" w:eastAsia="zh-CN"/>
              </w:rPr>
              <w:t>周期</w:t>
            </w:r>
            <w:r>
              <w:rPr>
                <w:rFonts w:hint="eastAsia"/>
                <w:b w:val="0"/>
                <w:bCs w:val="0"/>
                <w:sz w:val="18"/>
                <w:szCs w:val="18"/>
              </w:rPr>
              <w:t>（月）</w:t>
            </w:r>
          </w:p>
        </w:tc>
        <w:tc>
          <w:tcPr>
            <w:tcW w:w="325" w:type="pct"/>
            <w:vAlign w:val="center"/>
          </w:tcPr>
          <w:p w14:paraId="6E6A413C">
            <w:pPr>
              <w:bidi w:val="0"/>
              <w:spacing w:line="240" w:lineRule="auto"/>
              <w:jc w:val="center"/>
              <w:rPr>
                <w:rFonts w:hint="eastAsia" w:eastAsia="宋体"/>
                <w:vertAlign w:val="baseline"/>
                <w:lang w:val="en-US" w:eastAsia="zh-CN"/>
              </w:rPr>
            </w:pPr>
            <w:r>
              <w:rPr>
                <w:rFonts w:hint="eastAsia"/>
                <w:b w:val="0"/>
                <w:bCs w:val="0"/>
                <w:sz w:val="18"/>
                <w:szCs w:val="18"/>
                <w:lang w:val="en-US" w:eastAsia="zh-CN"/>
              </w:rPr>
              <w:t>检定/校准证书编号</w:t>
            </w:r>
          </w:p>
        </w:tc>
        <w:tc>
          <w:tcPr>
            <w:tcW w:w="325" w:type="pct"/>
            <w:vAlign w:val="center"/>
          </w:tcPr>
          <w:p w14:paraId="297B4F2C">
            <w:pPr>
              <w:bidi w:val="0"/>
              <w:spacing w:line="240" w:lineRule="auto"/>
              <w:jc w:val="center"/>
              <w:rPr>
                <w:rFonts w:hint="eastAsia" w:eastAsia="宋体"/>
                <w:vertAlign w:val="baseline"/>
                <w:lang w:val="en-US" w:eastAsia="zh-CN"/>
              </w:rPr>
            </w:pPr>
            <w:r>
              <w:rPr>
                <w:rFonts w:hint="eastAsia"/>
                <w:b w:val="0"/>
                <w:bCs w:val="0"/>
                <w:sz w:val="18"/>
                <w:szCs w:val="18"/>
                <w:lang w:val="en-US" w:eastAsia="zh-CN"/>
              </w:rPr>
              <w:t>备注</w:t>
            </w:r>
          </w:p>
        </w:tc>
      </w:tr>
      <w:tr w14:paraId="1C35B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 w:type="pct"/>
          </w:tcPr>
          <w:p w14:paraId="0606B0D3">
            <w:pPr>
              <w:bidi w:val="0"/>
              <w:spacing w:line="240" w:lineRule="auto"/>
              <w:rPr>
                <w:rFonts w:hint="eastAsia"/>
                <w:vertAlign w:val="baseline"/>
                <w:lang w:val="en-US" w:eastAsia="zh-CN"/>
              </w:rPr>
            </w:pPr>
          </w:p>
        </w:tc>
        <w:tc>
          <w:tcPr>
            <w:tcW w:w="325" w:type="pct"/>
          </w:tcPr>
          <w:p w14:paraId="39A4F93E">
            <w:pPr>
              <w:bidi w:val="0"/>
              <w:spacing w:line="240" w:lineRule="auto"/>
              <w:rPr>
                <w:rFonts w:hint="eastAsia"/>
                <w:vertAlign w:val="baseline"/>
                <w:lang w:val="en-US" w:eastAsia="zh-CN"/>
              </w:rPr>
            </w:pPr>
          </w:p>
        </w:tc>
        <w:tc>
          <w:tcPr>
            <w:tcW w:w="325" w:type="pct"/>
          </w:tcPr>
          <w:p w14:paraId="5325E5A0">
            <w:pPr>
              <w:bidi w:val="0"/>
              <w:spacing w:line="240" w:lineRule="auto"/>
              <w:rPr>
                <w:rFonts w:hint="eastAsia"/>
                <w:vertAlign w:val="baseline"/>
                <w:lang w:val="en-US" w:eastAsia="zh-CN"/>
              </w:rPr>
            </w:pPr>
          </w:p>
        </w:tc>
        <w:tc>
          <w:tcPr>
            <w:tcW w:w="325" w:type="pct"/>
          </w:tcPr>
          <w:p w14:paraId="65F04362">
            <w:pPr>
              <w:bidi w:val="0"/>
              <w:spacing w:line="240" w:lineRule="auto"/>
              <w:rPr>
                <w:rFonts w:hint="eastAsia"/>
                <w:vertAlign w:val="baseline"/>
                <w:lang w:val="en-US" w:eastAsia="zh-CN"/>
              </w:rPr>
            </w:pPr>
          </w:p>
        </w:tc>
        <w:tc>
          <w:tcPr>
            <w:tcW w:w="325" w:type="pct"/>
          </w:tcPr>
          <w:p w14:paraId="3A06698C">
            <w:pPr>
              <w:bidi w:val="0"/>
              <w:spacing w:line="240" w:lineRule="auto"/>
              <w:rPr>
                <w:rFonts w:hint="eastAsia"/>
                <w:vertAlign w:val="baseline"/>
                <w:lang w:val="en-US" w:eastAsia="zh-CN"/>
              </w:rPr>
            </w:pPr>
          </w:p>
        </w:tc>
        <w:tc>
          <w:tcPr>
            <w:tcW w:w="325" w:type="pct"/>
          </w:tcPr>
          <w:p w14:paraId="59C331E8">
            <w:pPr>
              <w:bidi w:val="0"/>
              <w:spacing w:line="240" w:lineRule="auto"/>
              <w:rPr>
                <w:rFonts w:hint="eastAsia"/>
                <w:vertAlign w:val="baseline"/>
                <w:lang w:val="en-US" w:eastAsia="zh-CN"/>
              </w:rPr>
            </w:pPr>
          </w:p>
        </w:tc>
        <w:tc>
          <w:tcPr>
            <w:tcW w:w="325" w:type="pct"/>
          </w:tcPr>
          <w:p w14:paraId="4E9296B0">
            <w:pPr>
              <w:bidi w:val="0"/>
              <w:spacing w:line="240" w:lineRule="auto"/>
              <w:rPr>
                <w:rFonts w:hint="eastAsia"/>
                <w:vertAlign w:val="baseline"/>
                <w:lang w:val="en-US" w:eastAsia="zh-CN"/>
              </w:rPr>
            </w:pPr>
          </w:p>
        </w:tc>
        <w:tc>
          <w:tcPr>
            <w:tcW w:w="325" w:type="pct"/>
          </w:tcPr>
          <w:p w14:paraId="4CC64110">
            <w:pPr>
              <w:bidi w:val="0"/>
              <w:spacing w:line="240" w:lineRule="auto"/>
              <w:rPr>
                <w:rFonts w:hint="eastAsia"/>
                <w:vertAlign w:val="baseline"/>
                <w:lang w:val="en-US" w:eastAsia="zh-CN"/>
              </w:rPr>
            </w:pPr>
          </w:p>
        </w:tc>
        <w:tc>
          <w:tcPr>
            <w:tcW w:w="325" w:type="pct"/>
          </w:tcPr>
          <w:p w14:paraId="0558361F">
            <w:pPr>
              <w:bidi w:val="0"/>
              <w:spacing w:line="240" w:lineRule="auto"/>
              <w:rPr>
                <w:rFonts w:hint="eastAsia"/>
                <w:vertAlign w:val="baseline"/>
                <w:lang w:val="en-US" w:eastAsia="zh-CN"/>
              </w:rPr>
            </w:pPr>
          </w:p>
        </w:tc>
        <w:tc>
          <w:tcPr>
            <w:tcW w:w="325" w:type="pct"/>
          </w:tcPr>
          <w:p w14:paraId="103AC16F">
            <w:pPr>
              <w:bidi w:val="0"/>
              <w:spacing w:line="240" w:lineRule="auto"/>
              <w:rPr>
                <w:rFonts w:hint="eastAsia"/>
                <w:vertAlign w:val="baseline"/>
                <w:lang w:val="en-US" w:eastAsia="zh-CN"/>
              </w:rPr>
            </w:pPr>
          </w:p>
        </w:tc>
        <w:tc>
          <w:tcPr>
            <w:tcW w:w="325" w:type="pct"/>
          </w:tcPr>
          <w:p w14:paraId="721BFE58">
            <w:pPr>
              <w:bidi w:val="0"/>
              <w:spacing w:line="240" w:lineRule="auto"/>
              <w:rPr>
                <w:rFonts w:hint="eastAsia"/>
                <w:vertAlign w:val="baseline"/>
                <w:lang w:val="en-US" w:eastAsia="zh-CN"/>
              </w:rPr>
            </w:pPr>
          </w:p>
        </w:tc>
        <w:tc>
          <w:tcPr>
            <w:tcW w:w="325" w:type="pct"/>
          </w:tcPr>
          <w:p w14:paraId="29B21CA1">
            <w:pPr>
              <w:bidi w:val="0"/>
              <w:spacing w:line="240" w:lineRule="auto"/>
              <w:rPr>
                <w:rFonts w:hint="eastAsia"/>
                <w:vertAlign w:val="baseline"/>
                <w:lang w:val="en-US" w:eastAsia="zh-CN"/>
              </w:rPr>
            </w:pPr>
          </w:p>
        </w:tc>
        <w:tc>
          <w:tcPr>
            <w:tcW w:w="444" w:type="pct"/>
          </w:tcPr>
          <w:p w14:paraId="3D16C926">
            <w:pPr>
              <w:bidi w:val="0"/>
              <w:spacing w:line="240" w:lineRule="auto"/>
              <w:rPr>
                <w:rFonts w:hint="eastAsia"/>
                <w:vertAlign w:val="baseline"/>
                <w:lang w:val="en-US" w:eastAsia="zh-CN"/>
              </w:rPr>
            </w:pPr>
          </w:p>
        </w:tc>
        <w:tc>
          <w:tcPr>
            <w:tcW w:w="325" w:type="pct"/>
          </w:tcPr>
          <w:p w14:paraId="48240C2A">
            <w:pPr>
              <w:bidi w:val="0"/>
              <w:spacing w:line="240" w:lineRule="auto"/>
              <w:rPr>
                <w:rFonts w:hint="eastAsia"/>
                <w:vertAlign w:val="baseline"/>
                <w:lang w:val="en-US" w:eastAsia="zh-CN"/>
              </w:rPr>
            </w:pPr>
          </w:p>
        </w:tc>
        <w:tc>
          <w:tcPr>
            <w:tcW w:w="325" w:type="pct"/>
          </w:tcPr>
          <w:p w14:paraId="1B4AA64D">
            <w:pPr>
              <w:bidi w:val="0"/>
              <w:spacing w:line="240" w:lineRule="auto"/>
              <w:rPr>
                <w:rFonts w:hint="eastAsia"/>
                <w:vertAlign w:val="baseline"/>
                <w:lang w:val="en-US" w:eastAsia="zh-CN"/>
              </w:rPr>
            </w:pPr>
          </w:p>
        </w:tc>
      </w:tr>
      <w:tr w14:paraId="6EF18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 w:type="pct"/>
          </w:tcPr>
          <w:p w14:paraId="2C88DABF">
            <w:pPr>
              <w:bidi w:val="0"/>
              <w:spacing w:line="240" w:lineRule="auto"/>
              <w:rPr>
                <w:rFonts w:hint="eastAsia"/>
                <w:vertAlign w:val="baseline"/>
                <w:lang w:val="en-US" w:eastAsia="zh-CN"/>
              </w:rPr>
            </w:pPr>
          </w:p>
        </w:tc>
        <w:tc>
          <w:tcPr>
            <w:tcW w:w="325" w:type="pct"/>
          </w:tcPr>
          <w:p w14:paraId="162FBF26">
            <w:pPr>
              <w:bidi w:val="0"/>
              <w:spacing w:line="240" w:lineRule="auto"/>
              <w:rPr>
                <w:rFonts w:hint="eastAsia"/>
                <w:vertAlign w:val="baseline"/>
                <w:lang w:val="en-US" w:eastAsia="zh-CN"/>
              </w:rPr>
            </w:pPr>
          </w:p>
        </w:tc>
        <w:tc>
          <w:tcPr>
            <w:tcW w:w="325" w:type="pct"/>
          </w:tcPr>
          <w:p w14:paraId="6D8B1BB8">
            <w:pPr>
              <w:bidi w:val="0"/>
              <w:spacing w:line="240" w:lineRule="auto"/>
              <w:rPr>
                <w:rFonts w:hint="eastAsia"/>
                <w:vertAlign w:val="baseline"/>
                <w:lang w:val="en-US" w:eastAsia="zh-CN"/>
              </w:rPr>
            </w:pPr>
          </w:p>
        </w:tc>
        <w:tc>
          <w:tcPr>
            <w:tcW w:w="325" w:type="pct"/>
          </w:tcPr>
          <w:p w14:paraId="52961F3C">
            <w:pPr>
              <w:bidi w:val="0"/>
              <w:spacing w:line="240" w:lineRule="auto"/>
              <w:rPr>
                <w:rFonts w:hint="eastAsia"/>
                <w:vertAlign w:val="baseline"/>
                <w:lang w:val="en-US" w:eastAsia="zh-CN"/>
              </w:rPr>
            </w:pPr>
          </w:p>
        </w:tc>
        <w:tc>
          <w:tcPr>
            <w:tcW w:w="325" w:type="pct"/>
          </w:tcPr>
          <w:p w14:paraId="6D3D657B">
            <w:pPr>
              <w:bidi w:val="0"/>
              <w:spacing w:line="240" w:lineRule="auto"/>
              <w:rPr>
                <w:rFonts w:hint="eastAsia"/>
                <w:vertAlign w:val="baseline"/>
                <w:lang w:val="en-US" w:eastAsia="zh-CN"/>
              </w:rPr>
            </w:pPr>
          </w:p>
        </w:tc>
        <w:tc>
          <w:tcPr>
            <w:tcW w:w="325" w:type="pct"/>
          </w:tcPr>
          <w:p w14:paraId="1CECF824">
            <w:pPr>
              <w:bidi w:val="0"/>
              <w:spacing w:line="240" w:lineRule="auto"/>
              <w:rPr>
                <w:rFonts w:hint="eastAsia"/>
                <w:vertAlign w:val="baseline"/>
                <w:lang w:val="en-US" w:eastAsia="zh-CN"/>
              </w:rPr>
            </w:pPr>
          </w:p>
        </w:tc>
        <w:tc>
          <w:tcPr>
            <w:tcW w:w="325" w:type="pct"/>
          </w:tcPr>
          <w:p w14:paraId="7AA9F566">
            <w:pPr>
              <w:bidi w:val="0"/>
              <w:spacing w:line="240" w:lineRule="auto"/>
              <w:rPr>
                <w:rFonts w:hint="eastAsia"/>
                <w:vertAlign w:val="baseline"/>
                <w:lang w:val="en-US" w:eastAsia="zh-CN"/>
              </w:rPr>
            </w:pPr>
          </w:p>
        </w:tc>
        <w:tc>
          <w:tcPr>
            <w:tcW w:w="325" w:type="pct"/>
          </w:tcPr>
          <w:p w14:paraId="38B04733">
            <w:pPr>
              <w:bidi w:val="0"/>
              <w:spacing w:line="240" w:lineRule="auto"/>
              <w:rPr>
                <w:rFonts w:hint="eastAsia"/>
                <w:vertAlign w:val="baseline"/>
                <w:lang w:val="en-US" w:eastAsia="zh-CN"/>
              </w:rPr>
            </w:pPr>
          </w:p>
        </w:tc>
        <w:tc>
          <w:tcPr>
            <w:tcW w:w="325" w:type="pct"/>
          </w:tcPr>
          <w:p w14:paraId="28510E12">
            <w:pPr>
              <w:bidi w:val="0"/>
              <w:spacing w:line="240" w:lineRule="auto"/>
              <w:rPr>
                <w:rFonts w:hint="eastAsia"/>
                <w:vertAlign w:val="baseline"/>
                <w:lang w:val="en-US" w:eastAsia="zh-CN"/>
              </w:rPr>
            </w:pPr>
          </w:p>
        </w:tc>
        <w:tc>
          <w:tcPr>
            <w:tcW w:w="325" w:type="pct"/>
          </w:tcPr>
          <w:p w14:paraId="11F0C115">
            <w:pPr>
              <w:bidi w:val="0"/>
              <w:spacing w:line="240" w:lineRule="auto"/>
              <w:rPr>
                <w:rFonts w:hint="eastAsia"/>
                <w:vertAlign w:val="baseline"/>
                <w:lang w:val="en-US" w:eastAsia="zh-CN"/>
              </w:rPr>
            </w:pPr>
          </w:p>
        </w:tc>
        <w:tc>
          <w:tcPr>
            <w:tcW w:w="325" w:type="pct"/>
          </w:tcPr>
          <w:p w14:paraId="3E193D63">
            <w:pPr>
              <w:bidi w:val="0"/>
              <w:spacing w:line="240" w:lineRule="auto"/>
              <w:rPr>
                <w:rFonts w:hint="eastAsia"/>
                <w:vertAlign w:val="baseline"/>
                <w:lang w:val="en-US" w:eastAsia="zh-CN"/>
              </w:rPr>
            </w:pPr>
          </w:p>
        </w:tc>
        <w:tc>
          <w:tcPr>
            <w:tcW w:w="325" w:type="pct"/>
          </w:tcPr>
          <w:p w14:paraId="229D3BD1">
            <w:pPr>
              <w:bidi w:val="0"/>
              <w:spacing w:line="240" w:lineRule="auto"/>
              <w:rPr>
                <w:rFonts w:hint="eastAsia"/>
                <w:vertAlign w:val="baseline"/>
                <w:lang w:val="en-US" w:eastAsia="zh-CN"/>
              </w:rPr>
            </w:pPr>
          </w:p>
        </w:tc>
        <w:tc>
          <w:tcPr>
            <w:tcW w:w="444" w:type="pct"/>
          </w:tcPr>
          <w:p w14:paraId="0B763E64">
            <w:pPr>
              <w:bidi w:val="0"/>
              <w:spacing w:line="240" w:lineRule="auto"/>
              <w:rPr>
                <w:rFonts w:hint="eastAsia"/>
                <w:vertAlign w:val="baseline"/>
                <w:lang w:val="en-US" w:eastAsia="zh-CN"/>
              </w:rPr>
            </w:pPr>
          </w:p>
        </w:tc>
        <w:tc>
          <w:tcPr>
            <w:tcW w:w="325" w:type="pct"/>
          </w:tcPr>
          <w:p w14:paraId="3922BBDB">
            <w:pPr>
              <w:bidi w:val="0"/>
              <w:spacing w:line="240" w:lineRule="auto"/>
              <w:rPr>
                <w:rFonts w:hint="eastAsia"/>
                <w:vertAlign w:val="baseline"/>
                <w:lang w:val="en-US" w:eastAsia="zh-CN"/>
              </w:rPr>
            </w:pPr>
          </w:p>
        </w:tc>
        <w:tc>
          <w:tcPr>
            <w:tcW w:w="325" w:type="pct"/>
          </w:tcPr>
          <w:p w14:paraId="3BDA0B66">
            <w:pPr>
              <w:bidi w:val="0"/>
              <w:spacing w:line="240" w:lineRule="auto"/>
              <w:rPr>
                <w:rFonts w:hint="eastAsia"/>
                <w:vertAlign w:val="baseline"/>
                <w:lang w:val="en-US" w:eastAsia="zh-CN"/>
              </w:rPr>
            </w:pPr>
          </w:p>
        </w:tc>
      </w:tr>
      <w:tr w14:paraId="2A042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 w:type="pct"/>
          </w:tcPr>
          <w:p w14:paraId="46564FD7">
            <w:pPr>
              <w:bidi w:val="0"/>
              <w:spacing w:line="240" w:lineRule="auto"/>
              <w:rPr>
                <w:rFonts w:hint="eastAsia"/>
                <w:vertAlign w:val="baseline"/>
                <w:lang w:val="en-US" w:eastAsia="zh-CN"/>
              </w:rPr>
            </w:pPr>
          </w:p>
        </w:tc>
        <w:tc>
          <w:tcPr>
            <w:tcW w:w="325" w:type="pct"/>
          </w:tcPr>
          <w:p w14:paraId="55D612FF">
            <w:pPr>
              <w:bidi w:val="0"/>
              <w:spacing w:line="240" w:lineRule="auto"/>
              <w:rPr>
                <w:rFonts w:hint="eastAsia"/>
                <w:vertAlign w:val="baseline"/>
                <w:lang w:val="en-US" w:eastAsia="zh-CN"/>
              </w:rPr>
            </w:pPr>
          </w:p>
        </w:tc>
        <w:tc>
          <w:tcPr>
            <w:tcW w:w="325" w:type="pct"/>
          </w:tcPr>
          <w:p w14:paraId="0D0392DE">
            <w:pPr>
              <w:bidi w:val="0"/>
              <w:spacing w:line="240" w:lineRule="auto"/>
              <w:rPr>
                <w:rFonts w:hint="eastAsia"/>
                <w:vertAlign w:val="baseline"/>
                <w:lang w:val="en-US" w:eastAsia="zh-CN"/>
              </w:rPr>
            </w:pPr>
          </w:p>
        </w:tc>
        <w:tc>
          <w:tcPr>
            <w:tcW w:w="325" w:type="pct"/>
          </w:tcPr>
          <w:p w14:paraId="441A2DB7">
            <w:pPr>
              <w:bidi w:val="0"/>
              <w:spacing w:line="240" w:lineRule="auto"/>
              <w:rPr>
                <w:rFonts w:hint="eastAsia"/>
                <w:vertAlign w:val="baseline"/>
                <w:lang w:val="en-US" w:eastAsia="zh-CN"/>
              </w:rPr>
            </w:pPr>
          </w:p>
        </w:tc>
        <w:tc>
          <w:tcPr>
            <w:tcW w:w="325" w:type="pct"/>
          </w:tcPr>
          <w:p w14:paraId="41C7933B">
            <w:pPr>
              <w:bidi w:val="0"/>
              <w:spacing w:line="240" w:lineRule="auto"/>
              <w:rPr>
                <w:rFonts w:hint="eastAsia"/>
                <w:vertAlign w:val="baseline"/>
                <w:lang w:val="en-US" w:eastAsia="zh-CN"/>
              </w:rPr>
            </w:pPr>
          </w:p>
        </w:tc>
        <w:tc>
          <w:tcPr>
            <w:tcW w:w="325" w:type="pct"/>
          </w:tcPr>
          <w:p w14:paraId="561CC397">
            <w:pPr>
              <w:bidi w:val="0"/>
              <w:spacing w:line="240" w:lineRule="auto"/>
              <w:rPr>
                <w:rFonts w:hint="eastAsia"/>
                <w:vertAlign w:val="baseline"/>
                <w:lang w:val="en-US" w:eastAsia="zh-CN"/>
              </w:rPr>
            </w:pPr>
          </w:p>
        </w:tc>
        <w:tc>
          <w:tcPr>
            <w:tcW w:w="325" w:type="pct"/>
          </w:tcPr>
          <w:p w14:paraId="0F9EC0E0">
            <w:pPr>
              <w:bidi w:val="0"/>
              <w:spacing w:line="240" w:lineRule="auto"/>
              <w:rPr>
                <w:rFonts w:hint="eastAsia"/>
                <w:vertAlign w:val="baseline"/>
                <w:lang w:val="en-US" w:eastAsia="zh-CN"/>
              </w:rPr>
            </w:pPr>
          </w:p>
        </w:tc>
        <w:tc>
          <w:tcPr>
            <w:tcW w:w="325" w:type="pct"/>
          </w:tcPr>
          <w:p w14:paraId="3C3E4F76">
            <w:pPr>
              <w:bidi w:val="0"/>
              <w:spacing w:line="240" w:lineRule="auto"/>
              <w:rPr>
                <w:rFonts w:hint="eastAsia"/>
                <w:vertAlign w:val="baseline"/>
                <w:lang w:val="en-US" w:eastAsia="zh-CN"/>
              </w:rPr>
            </w:pPr>
          </w:p>
        </w:tc>
        <w:tc>
          <w:tcPr>
            <w:tcW w:w="325" w:type="pct"/>
          </w:tcPr>
          <w:p w14:paraId="5B468528">
            <w:pPr>
              <w:bidi w:val="0"/>
              <w:spacing w:line="240" w:lineRule="auto"/>
              <w:rPr>
                <w:rFonts w:hint="eastAsia"/>
                <w:vertAlign w:val="baseline"/>
                <w:lang w:val="en-US" w:eastAsia="zh-CN"/>
              </w:rPr>
            </w:pPr>
          </w:p>
        </w:tc>
        <w:tc>
          <w:tcPr>
            <w:tcW w:w="325" w:type="pct"/>
          </w:tcPr>
          <w:p w14:paraId="54D88418">
            <w:pPr>
              <w:bidi w:val="0"/>
              <w:spacing w:line="240" w:lineRule="auto"/>
              <w:rPr>
                <w:rFonts w:hint="eastAsia"/>
                <w:vertAlign w:val="baseline"/>
                <w:lang w:val="en-US" w:eastAsia="zh-CN"/>
              </w:rPr>
            </w:pPr>
          </w:p>
        </w:tc>
        <w:tc>
          <w:tcPr>
            <w:tcW w:w="325" w:type="pct"/>
          </w:tcPr>
          <w:p w14:paraId="1FE5851F">
            <w:pPr>
              <w:bidi w:val="0"/>
              <w:spacing w:line="240" w:lineRule="auto"/>
              <w:rPr>
                <w:rFonts w:hint="eastAsia"/>
                <w:vertAlign w:val="baseline"/>
                <w:lang w:val="en-US" w:eastAsia="zh-CN"/>
              </w:rPr>
            </w:pPr>
          </w:p>
        </w:tc>
        <w:tc>
          <w:tcPr>
            <w:tcW w:w="325" w:type="pct"/>
          </w:tcPr>
          <w:p w14:paraId="68457A9A">
            <w:pPr>
              <w:bidi w:val="0"/>
              <w:spacing w:line="240" w:lineRule="auto"/>
              <w:rPr>
                <w:rFonts w:hint="eastAsia"/>
                <w:vertAlign w:val="baseline"/>
                <w:lang w:val="en-US" w:eastAsia="zh-CN"/>
              </w:rPr>
            </w:pPr>
          </w:p>
        </w:tc>
        <w:tc>
          <w:tcPr>
            <w:tcW w:w="444" w:type="pct"/>
          </w:tcPr>
          <w:p w14:paraId="721941DD">
            <w:pPr>
              <w:bidi w:val="0"/>
              <w:spacing w:line="240" w:lineRule="auto"/>
              <w:rPr>
                <w:rFonts w:hint="eastAsia"/>
                <w:vertAlign w:val="baseline"/>
                <w:lang w:val="en-US" w:eastAsia="zh-CN"/>
              </w:rPr>
            </w:pPr>
          </w:p>
        </w:tc>
        <w:tc>
          <w:tcPr>
            <w:tcW w:w="325" w:type="pct"/>
          </w:tcPr>
          <w:p w14:paraId="1EA71B78">
            <w:pPr>
              <w:bidi w:val="0"/>
              <w:spacing w:line="240" w:lineRule="auto"/>
              <w:rPr>
                <w:rFonts w:hint="eastAsia"/>
                <w:vertAlign w:val="baseline"/>
                <w:lang w:val="en-US" w:eastAsia="zh-CN"/>
              </w:rPr>
            </w:pPr>
          </w:p>
        </w:tc>
        <w:tc>
          <w:tcPr>
            <w:tcW w:w="325" w:type="pct"/>
          </w:tcPr>
          <w:p w14:paraId="6A0443A4">
            <w:pPr>
              <w:bidi w:val="0"/>
              <w:spacing w:line="240" w:lineRule="auto"/>
              <w:rPr>
                <w:rFonts w:hint="eastAsia"/>
                <w:vertAlign w:val="baseline"/>
                <w:lang w:val="en-US" w:eastAsia="zh-CN"/>
              </w:rPr>
            </w:pPr>
          </w:p>
        </w:tc>
      </w:tr>
      <w:tr w14:paraId="67D60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 w:type="pct"/>
          </w:tcPr>
          <w:p w14:paraId="14BD7675">
            <w:pPr>
              <w:bidi w:val="0"/>
              <w:spacing w:line="240" w:lineRule="auto"/>
              <w:rPr>
                <w:rFonts w:hint="eastAsia"/>
                <w:vertAlign w:val="baseline"/>
                <w:lang w:val="en-US" w:eastAsia="zh-CN"/>
              </w:rPr>
            </w:pPr>
          </w:p>
        </w:tc>
        <w:tc>
          <w:tcPr>
            <w:tcW w:w="325" w:type="pct"/>
          </w:tcPr>
          <w:p w14:paraId="7DF1725E">
            <w:pPr>
              <w:bidi w:val="0"/>
              <w:spacing w:line="240" w:lineRule="auto"/>
              <w:rPr>
                <w:rFonts w:hint="eastAsia"/>
                <w:vertAlign w:val="baseline"/>
                <w:lang w:val="en-US" w:eastAsia="zh-CN"/>
              </w:rPr>
            </w:pPr>
          </w:p>
        </w:tc>
        <w:tc>
          <w:tcPr>
            <w:tcW w:w="325" w:type="pct"/>
          </w:tcPr>
          <w:p w14:paraId="1ACF73AB">
            <w:pPr>
              <w:bidi w:val="0"/>
              <w:spacing w:line="240" w:lineRule="auto"/>
              <w:rPr>
                <w:rFonts w:hint="eastAsia"/>
                <w:vertAlign w:val="baseline"/>
                <w:lang w:val="en-US" w:eastAsia="zh-CN"/>
              </w:rPr>
            </w:pPr>
          </w:p>
        </w:tc>
        <w:tc>
          <w:tcPr>
            <w:tcW w:w="325" w:type="pct"/>
          </w:tcPr>
          <w:p w14:paraId="3758A017">
            <w:pPr>
              <w:bidi w:val="0"/>
              <w:spacing w:line="240" w:lineRule="auto"/>
              <w:rPr>
                <w:rFonts w:hint="eastAsia"/>
                <w:vertAlign w:val="baseline"/>
                <w:lang w:val="en-US" w:eastAsia="zh-CN"/>
              </w:rPr>
            </w:pPr>
          </w:p>
        </w:tc>
        <w:tc>
          <w:tcPr>
            <w:tcW w:w="325" w:type="pct"/>
          </w:tcPr>
          <w:p w14:paraId="03265A34">
            <w:pPr>
              <w:bidi w:val="0"/>
              <w:spacing w:line="240" w:lineRule="auto"/>
              <w:rPr>
                <w:rFonts w:hint="eastAsia"/>
                <w:vertAlign w:val="baseline"/>
                <w:lang w:val="en-US" w:eastAsia="zh-CN"/>
              </w:rPr>
            </w:pPr>
          </w:p>
        </w:tc>
        <w:tc>
          <w:tcPr>
            <w:tcW w:w="325" w:type="pct"/>
          </w:tcPr>
          <w:p w14:paraId="45D392F6">
            <w:pPr>
              <w:bidi w:val="0"/>
              <w:spacing w:line="240" w:lineRule="auto"/>
              <w:rPr>
                <w:rFonts w:hint="eastAsia"/>
                <w:vertAlign w:val="baseline"/>
                <w:lang w:val="en-US" w:eastAsia="zh-CN"/>
              </w:rPr>
            </w:pPr>
          </w:p>
        </w:tc>
        <w:tc>
          <w:tcPr>
            <w:tcW w:w="325" w:type="pct"/>
          </w:tcPr>
          <w:p w14:paraId="1CA9A16A">
            <w:pPr>
              <w:bidi w:val="0"/>
              <w:spacing w:line="240" w:lineRule="auto"/>
              <w:rPr>
                <w:rFonts w:hint="eastAsia"/>
                <w:vertAlign w:val="baseline"/>
                <w:lang w:val="en-US" w:eastAsia="zh-CN"/>
              </w:rPr>
            </w:pPr>
          </w:p>
        </w:tc>
        <w:tc>
          <w:tcPr>
            <w:tcW w:w="325" w:type="pct"/>
          </w:tcPr>
          <w:p w14:paraId="339459AE">
            <w:pPr>
              <w:bidi w:val="0"/>
              <w:spacing w:line="240" w:lineRule="auto"/>
              <w:rPr>
                <w:rFonts w:hint="eastAsia"/>
                <w:vertAlign w:val="baseline"/>
                <w:lang w:val="en-US" w:eastAsia="zh-CN"/>
              </w:rPr>
            </w:pPr>
          </w:p>
        </w:tc>
        <w:tc>
          <w:tcPr>
            <w:tcW w:w="325" w:type="pct"/>
          </w:tcPr>
          <w:p w14:paraId="25FBBF0A">
            <w:pPr>
              <w:bidi w:val="0"/>
              <w:spacing w:line="240" w:lineRule="auto"/>
              <w:rPr>
                <w:rFonts w:hint="eastAsia"/>
                <w:vertAlign w:val="baseline"/>
                <w:lang w:val="en-US" w:eastAsia="zh-CN"/>
              </w:rPr>
            </w:pPr>
          </w:p>
        </w:tc>
        <w:tc>
          <w:tcPr>
            <w:tcW w:w="325" w:type="pct"/>
          </w:tcPr>
          <w:p w14:paraId="1812B5F7">
            <w:pPr>
              <w:bidi w:val="0"/>
              <w:spacing w:line="240" w:lineRule="auto"/>
              <w:rPr>
                <w:rFonts w:hint="eastAsia"/>
                <w:vertAlign w:val="baseline"/>
                <w:lang w:val="en-US" w:eastAsia="zh-CN"/>
              </w:rPr>
            </w:pPr>
          </w:p>
        </w:tc>
        <w:tc>
          <w:tcPr>
            <w:tcW w:w="325" w:type="pct"/>
          </w:tcPr>
          <w:p w14:paraId="762FF61D">
            <w:pPr>
              <w:bidi w:val="0"/>
              <w:spacing w:line="240" w:lineRule="auto"/>
              <w:rPr>
                <w:rFonts w:hint="eastAsia"/>
                <w:vertAlign w:val="baseline"/>
                <w:lang w:val="en-US" w:eastAsia="zh-CN"/>
              </w:rPr>
            </w:pPr>
          </w:p>
        </w:tc>
        <w:tc>
          <w:tcPr>
            <w:tcW w:w="325" w:type="pct"/>
          </w:tcPr>
          <w:p w14:paraId="3A137F3B">
            <w:pPr>
              <w:bidi w:val="0"/>
              <w:spacing w:line="240" w:lineRule="auto"/>
              <w:rPr>
                <w:rFonts w:hint="eastAsia"/>
                <w:vertAlign w:val="baseline"/>
                <w:lang w:val="en-US" w:eastAsia="zh-CN"/>
              </w:rPr>
            </w:pPr>
          </w:p>
        </w:tc>
        <w:tc>
          <w:tcPr>
            <w:tcW w:w="444" w:type="pct"/>
          </w:tcPr>
          <w:p w14:paraId="01547DFA">
            <w:pPr>
              <w:bidi w:val="0"/>
              <w:spacing w:line="240" w:lineRule="auto"/>
              <w:rPr>
                <w:rFonts w:hint="eastAsia"/>
                <w:vertAlign w:val="baseline"/>
                <w:lang w:val="en-US" w:eastAsia="zh-CN"/>
              </w:rPr>
            </w:pPr>
          </w:p>
        </w:tc>
        <w:tc>
          <w:tcPr>
            <w:tcW w:w="325" w:type="pct"/>
          </w:tcPr>
          <w:p w14:paraId="2E8C1E27">
            <w:pPr>
              <w:bidi w:val="0"/>
              <w:spacing w:line="240" w:lineRule="auto"/>
              <w:rPr>
                <w:rFonts w:hint="eastAsia"/>
                <w:vertAlign w:val="baseline"/>
                <w:lang w:val="en-US" w:eastAsia="zh-CN"/>
              </w:rPr>
            </w:pPr>
          </w:p>
        </w:tc>
        <w:tc>
          <w:tcPr>
            <w:tcW w:w="325" w:type="pct"/>
          </w:tcPr>
          <w:p w14:paraId="1E38C28F">
            <w:pPr>
              <w:bidi w:val="0"/>
              <w:spacing w:line="240" w:lineRule="auto"/>
              <w:rPr>
                <w:rFonts w:hint="eastAsia"/>
                <w:vertAlign w:val="baseline"/>
                <w:lang w:val="en-US" w:eastAsia="zh-CN"/>
              </w:rPr>
            </w:pPr>
          </w:p>
        </w:tc>
      </w:tr>
      <w:tr w14:paraId="39C99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 w:type="pct"/>
          </w:tcPr>
          <w:p w14:paraId="779C6EF2">
            <w:pPr>
              <w:bidi w:val="0"/>
              <w:spacing w:line="240" w:lineRule="auto"/>
              <w:rPr>
                <w:rFonts w:hint="eastAsia"/>
                <w:vertAlign w:val="baseline"/>
                <w:lang w:val="en-US" w:eastAsia="zh-CN"/>
              </w:rPr>
            </w:pPr>
          </w:p>
        </w:tc>
        <w:tc>
          <w:tcPr>
            <w:tcW w:w="325" w:type="pct"/>
          </w:tcPr>
          <w:p w14:paraId="09B21E92">
            <w:pPr>
              <w:bidi w:val="0"/>
              <w:spacing w:line="240" w:lineRule="auto"/>
              <w:rPr>
                <w:rFonts w:hint="eastAsia"/>
                <w:vertAlign w:val="baseline"/>
                <w:lang w:val="en-US" w:eastAsia="zh-CN"/>
              </w:rPr>
            </w:pPr>
          </w:p>
        </w:tc>
        <w:tc>
          <w:tcPr>
            <w:tcW w:w="325" w:type="pct"/>
          </w:tcPr>
          <w:p w14:paraId="2AE36845">
            <w:pPr>
              <w:bidi w:val="0"/>
              <w:spacing w:line="240" w:lineRule="auto"/>
              <w:rPr>
                <w:rFonts w:hint="eastAsia"/>
                <w:vertAlign w:val="baseline"/>
                <w:lang w:val="en-US" w:eastAsia="zh-CN"/>
              </w:rPr>
            </w:pPr>
          </w:p>
        </w:tc>
        <w:tc>
          <w:tcPr>
            <w:tcW w:w="325" w:type="pct"/>
          </w:tcPr>
          <w:p w14:paraId="5FF7FCBB">
            <w:pPr>
              <w:bidi w:val="0"/>
              <w:spacing w:line="240" w:lineRule="auto"/>
              <w:rPr>
                <w:rFonts w:hint="eastAsia"/>
                <w:vertAlign w:val="baseline"/>
                <w:lang w:val="en-US" w:eastAsia="zh-CN"/>
              </w:rPr>
            </w:pPr>
          </w:p>
        </w:tc>
        <w:tc>
          <w:tcPr>
            <w:tcW w:w="325" w:type="pct"/>
          </w:tcPr>
          <w:p w14:paraId="1B989957">
            <w:pPr>
              <w:bidi w:val="0"/>
              <w:spacing w:line="240" w:lineRule="auto"/>
              <w:rPr>
                <w:rFonts w:hint="eastAsia"/>
                <w:vertAlign w:val="baseline"/>
                <w:lang w:val="en-US" w:eastAsia="zh-CN"/>
              </w:rPr>
            </w:pPr>
          </w:p>
        </w:tc>
        <w:tc>
          <w:tcPr>
            <w:tcW w:w="325" w:type="pct"/>
          </w:tcPr>
          <w:p w14:paraId="198EC062">
            <w:pPr>
              <w:bidi w:val="0"/>
              <w:spacing w:line="240" w:lineRule="auto"/>
              <w:rPr>
                <w:rFonts w:hint="eastAsia"/>
                <w:vertAlign w:val="baseline"/>
                <w:lang w:val="en-US" w:eastAsia="zh-CN"/>
              </w:rPr>
            </w:pPr>
          </w:p>
        </w:tc>
        <w:tc>
          <w:tcPr>
            <w:tcW w:w="325" w:type="pct"/>
          </w:tcPr>
          <w:p w14:paraId="154D8615">
            <w:pPr>
              <w:bidi w:val="0"/>
              <w:spacing w:line="240" w:lineRule="auto"/>
              <w:rPr>
                <w:rFonts w:hint="eastAsia"/>
                <w:vertAlign w:val="baseline"/>
                <w:lang w:val="en-US" w:eastAsia="zh-CN"/>
              </w:rPr>
            </w:pPr>
          </w:p>
        </w:tc>
        <w:tc>
          <w:tcPr>
            <w:tcW w:w="325" w:type="pct"/>
          </w:tcPr>
          <w:p w14:paraId="3EF4E94A">
            <w:pPr>
              <w:bidi w:val="0"/>
              <w:spacing w:line="240" w:lineRule="auto"/>
              <w:rPr>
                <w:rFonts w:hint="eastAsia"/>
                <w:vertAlign w:val="baseline"/>
                <w:lang w:val="en-US" w:eastAsia="zh-CN"/>
              </w:rPr>
            </w:pPr>
          </w:p>
        </w:tc>
        <w:tc>
          <w:tcPr>
            <w:tcW w:w="325" w:type="pct"/>
          </w:tcPr>
          <w:p w14:paraId="00B1C373">
            <w:pPr>
              <w:bidi w:val="0"/>
              <w:spacing w:line="240" w:lineRule="auto"/>
              <w:rPr>
                <w:rFonts w:hint="eastAsia"/>
                <w:vertAlign w:val="baseline"/>
                <w:lang w:val="en-US" w:eastAsia="zh-CN"/>
              </w:rPr>
            </w:pPr>
          </w:p>
        </w:tc>
        <w:tc>
          <w:tcPr>
            <w:tcW w:w="325" w:type="pct"/>
          </w:tcPr>
          <w:p w14:paraId="1A8A0CEF">
            <w:pPr>
              <w:bidi w:val="0"/>
              <w:spacing w:line="240" w:lineRule="auto"/>
              <w:rPr>
                <w:rFonts w:hint="eastAsia"/>
                <w:vertAlign w:val="baseline"/>
                <w:lang w:val="en-US" w:eastAsia="zh-CN"/>
              </w:rPr>
            </w:pPr>
          </w:p>
        </w:tc>
        <w:tc>
          <w:tcPr>
            <w:tcW w:w="325" w:type="pct"/>
          </w:tcPr>
          <w:p w14:paraId="0E1A6D5A">
            <w:pPr>
              <w:bidi w:val="0"/>
              <w:spacing w:line="240" w:lineRule="auto"/>
              <w:rPr>
                <w:rFonts w:hint="eastAsia"/>
                <w:vertAlign w:val="baseline"/>
                <w:lang w:val="en-US" w:eastAsia="zh-CN"/>
              </w:rPr>
            </w:pPr>
          </w:p>
        </w:tc>
        <w:tc>
          <w:tcPr>
            <w:tcW w:w="325" w:type="pct"/>
          </w:tcPr>
          <w:p w14:paraId="6B3BD652">
            <w:pPr>
              <w:bidi w:val="0"/>
              <w:spacing w:line="240" w:lineRule="auto"/>
              <w:rPr>
                <w:rFonts w:hint="eastAsia"/>
                <w:vertAlign w:val="baseline"/>
                <w:lang w:val="en-US" w:eastAsia="zh-CN"/>
              </w:rPr>
            </w:pPr>
          </w:p>
        </w:tc>
        <w:tc>
          <w:tcPr>
            <w:tcW w:w="444" w:type="pct"/>
          </w:tcPr>
          <w:p w14:paraId="3C5010D9">
            <w:pPr>
              <w:bidi w:val="0"/>
              <w:spacing w:line="240" w:lineRule="auto"/>
              <w:rPr>
                <w:rFonts w:hint="eastAsia"/>
                <w:vertAlign w:val="baseline"/>
                <w:lang w:val="en-US" w:eastAsia="zh-CN"/>
              </w:rPr>
            </w:pPr>
          </w:p>
        </w:tc>
        <w:tc>
          <w:tcPr>
            <w:tcW w:w="325" w:type="pct"/>
          </w:tcPr>
          <w:p w14:paraId="7BD1ACBD">
            <w:pPr>
              <w:bidi w:val="0"/>
              <w:spacing w:line="240" w:lineRule="auto"/>
              <w:rPr>
                <w:rFonts w:hint="eastAsia"/>
                <w:vertAlign w:val="baseline"/>
                <w:lang w:val="en-US" w:eastAsia="zh-CN"/>
              </w:rPr>
            </w:pPr>
          </w:p>
        </w:tc>
        <w:tc>
          <w:tcPr>
            <w:tcW w:w="325" w:type="pct"/>
          </w:tcPr>
          <w:p w14:paraId="037E6B97">
            <w:pPr>
              <w:bidi w:val="0"/>
              <w:spacing w:line="240" w:lineRule="auto"/>
              <w:rPr>
                <w:rFonts w:hint="eastAsia"/>
                <w:vertAlign w:val="baseline"/>
                <w:lang w:val="en-US" w:eastAsia="zh-CN"/>
              </w:rPr>
            </w:pPr>
          </w:p>
        </w:tc>
      </w:tr>
    </w:tbl>
    <w:p w14:paraId="7F5FA723">
      <w:pPr>
        <w:rPr>
          <w:rFonts w:eastAsia="黑体" w:cs="Times New Roman"/>
          <w:szCs w:val="28"/>
        </w:rPr>
      </w:pPr>
      <w:r>
        <w:rPr>
          <w:rFonts w:hint="eastAsia" w:eastAsia="黑体" w:cs="Times New Roman"/>
          <w:szCs w:val="28"/>
          <w:lang w:val="en-US" w:eastAsia="zh-CN"/>
        </w:rPr>
        <w:t>四</w:t>
      </w:r>
      <w:r>
        <w:rPr>
          <w:rFonts w:hint="eastAsia" w:eastAsia="黑体" w:cs="Times New Roman"/>
          <w:szCs w:val="28"/>
          <w:lang w:eastAsia="zh-CN"/>
        </w:rPr>
        <w:t>、</w:t>
      </w:r>
      <w:r>
        <w:rPr>
          <w:rFonts w:eastAsia="黑体" w:cs="Times New Roman"/>
          <w:szCs w:val="28"/>
        </w:rPr>
        <w:t>计量数据</w:t>
      </w:r>
    </w:p>
    <w:p w14:paraId="5B7FB976">
      <w:pPr>
        <w:rPr>
          <w:rFonts w:eastAsia="黑体" w:cs="Times New Roman"/>
          <w:szCs w:val="28"/>
        </w:rPr>
      </w:pPr>
      <w:r>
        <w:rPr>
          <w:rFonts w:eastAsia="黑体" w:cs="Times New Roman"/>
          <w:szCs w:val="28"/>
        </w:rPr>
        <w:t>1.</w:t>
      </w:r>
      <w:r>
        <w:rPr>
          <w:rFonts w:hint="eastAsia" w:eastAsia="黑体" w:cs="Times New Roman"/>
          <w:szCs w:val="28"/>
        </w:rPr>
        <w:t>物质和能量流数据</w:t>
      </w:r>
      <w:r>
        <w:rPr>
          <w:rFonts w:eastAsia="黑体" w:cs="Times New Roman"/>
          <w:szCs w:val="28"/>
        </w:rPr>
        <w:t>汇总</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5"/>
        <w:gridCol w:w="775"/>
        <w:gridCol w:w="1017"/>
        <w:gridCol w:w="1259"/>
        <w:gridCol w:w="2469"/>
        <w:gridCol w:w="1259"/>
        <w:gridCol w:w="2296"/>
      </w:tblGrid>
      <w:tr w14:paraId="00C11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3" w:type="pct"/>
            <w:vAlign w:val="center"/>
          </w:tcPr>
          <w:p w14:paraId="1D9DAAA0">
            <w:pPr>
              <w:spacing w:line="240" w:lineRule="auto"/>
              <w:jc w:val="center"/>
              <w:rPr>
                <w:rFonts w:cs="Times New Roman"/>
                <w:sz w:val="18"/>
                <w:szCs w:val="18"/>
              </w:rPr>
            </w:pPr>
            <w:r>
              <w:rPr>
                <w:rFonts w:cs="Times New Roman"/>
                <w:sz w:val="18"/>
                <w:szCs w:val="18"/>
              </w:rPr>
              <w:t>序号</w:t>
            </w:r>
          </w:p>
        </w:tc>
        <w:tc>
          <w:tcPr>
            <w:tcW w:w="393" w:type="pct"/>
            <w:vAlign w:val="center"/>
          </w:tcPr>
          <w:p w14:paraId="7C835843">
            <w:pPr>
              <w:spacing w:line="240" w:lineRule="auto"/>
              <w:jc w:val="center"/>
              <w:rPr>
                <w:rFonts w:cs="Times New Roman"/>
                <w:sz w:val="18"/>
                <w:szCs w:val="18"/>
              </w:rPr>
            </w:pPr>
            <w:r>
              <w:rPr>
                <w:rFonts w:hint="eastAsia" w:cs="Times New Roman"/>
                <w:sz w:val="18"/>
                <w:szCs w:val="18"/>
              </w:rPr>
              <w:t>源流</w:t>
            </w:r>
          </w:p>
        </w:tc>
        <w:tc>
          <w:tcPr>
            <w:tcW w:w="516" w:type="pct"/>
            <w:vAlign w:val="center"/>
          </w:tcPr>
          <w:p w14:paraId="18C2F59E">
            <w:pPr>
              <w:spacing w:line="240" w:lineRule="auto"/>
              <w:jc w:val="center"/>
              <w:rPr>
                <w:rFonts w:cs="Times New Roman"/>
                <w:sz w:val="18"/>
                <w:szCs w:val="18"/>
              </w:rPr>
            </w:pPr>
            <w:r>
              <w:rPr>
                <w:rFonts w:cs="Times New Roman"/>
                <w:sz w:val="18"/>
                <w:szCs w:val="18"/>
              </w:rPr>
              <w:t>消耗量</w:t>
            </w:r>
          </w:p>
        </w:tc>
        <w:tc>
          <w:tcPr>
            <w:tcW w:w="639" w:type="pct"/>
            <w:vAlign w:val="center"/>
          </w:tcPr>
          <w:p w14:paraId="6950EC2D">
            <w:pPr>
              <w:spacing w:line="240" w:lineRule="auto"/>
              <w:jc w:val="center"/>
              <w:rPr>
                <w:rFonts w:cs="Times New Roman"/>
                <w:sz w:val="18"/>
                <w:szCs w:val="18"/>
              </w:rPr>
            </w:pPr>
            <w:r>
              <w:rPr>
                <w:rFonts w:cs="Times New Roman"/>
                <w:sz w:val="18"/>
                <w:szCs w:val="18"/>
              </w:rPr>
              <w:t>计量器具</w:t>
            </w:r>
          </w:p>
        </w:tc>
        <w:tc>
          <w:tcPr>
            <w:tcW w:w="1253" w:type="pct"/>
            <w:vAlign w:val="center"/>
          </w:tcPr>
          <w:p w14:paraId="78690F7F">
            <w:pPr>
              <w:spacing w:line="240" w:lineRule="auto"/>
              <w:jc w:val="center"/>
              <w:rPr>
                <w:rFonts w:cs="Times New Roman"/>
                <w:sz w:val="18"/>
                <w:szCs w:val="18"/>
              </w:rPr>
            </w:pPr>
            <w:r>
              <w:rPr>
                <w:rFonts w:cs="Times New Roman"/>
                <w:sz w:val="18"/>
                <w:szCs w:val="18"/>
              </w:rPr>
              <w:t>器具安装位置及用途</w:t>
            </w:r>
          </w:p>
        </w:tc>
        <w:tc>
          <w:tcPr>
            <w:tcW w:w="639" w:type="pct"/>
            <w:vAlign w:val="center"/>
          </w:tcPr>
          <w:p w14:paraId="51B06E87">
            <w:pPr>
              <w:spacing w:line="240" w:lineRule="auto"/>
              <w:jc w:val="center"/>
              <w:rPr>
                <w:rFonts w:cs="Times New Roman"/>
                <w:sz w:val="18"/>
                <w:szCs w:val="18"/>
              </w:rPr>
            </w:pPr>
            <w:r>
              <w:rPr>
                <w:rFonts w:cs="Times New Roman"/>
                <w:sz w:val="18"/>
                <w:szCs w:val="18"/>
              </w:rPr>
              <w:t>不确定度</w:t>
            </w:r>
          </w:p>
        </w:tc>
        <w:tc>
          <w:tcPr>
            <w:tcW w:w="1165" w:type="pct"/>
          </w:tcPr>
          <w:p w14:paraId="2BF3427E">
            <w:pPr>
              <w:spacing w:line="240" w:lineRule="auto"/>
              <w:jc w:val="center"/>
              <w:rPr>
                <w:rFonts w:cs="Times New Roman"/>
                <w:sz w:val="18"/>
                <w:szCs w:val="18"/>
              </w:rPr>
            </w:pPr>
            <w:r>
              <w:rPr>
                <w:rFonts w:cs="Times New Roman"/>
                <w:sz w:val="18"/>
                <w:szCs w:val="18"/>
              </w:rPr>
              <w:t>检定/校准证书编号</w:t>
            </w:r>
          </w:p>
        </w:tc>
      </w:tr>
      <w:tr w14:paraId="62AE6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3" w:type="pct"/>
            <w:vAlign w:val="center"/>
          </w:tcPr>
          <w:p w14:paraId="1C045651">
            <w:pPr>
              <w:spacing w:line="240" w:lineRule="auto"/>
              <w:jc w:val="center"/>
              <w:rPr>
                <w:rFonts w:cs="Times New Roman"/>
                <w:sz w:val="18"/>
                <w:szCs w:val="18"/>
              </w:rPr>
            </w:pPr>
            <w:r>
              <w:rPr>
                <w:rFonts w:cs="Times New Roman"/>
                <w:sz w:val="18"/>
                <w:szCs w:val="18"/>
              </w:rPr>
              <w:t>1</w:t>
            </w:r>
          </w:p>
        </w:tc>
        <w:tc>
          <w:tcPr>
            <w:tcW w:w="393" w:type="pct"/>
            <w:vAlign w:val="center"/>
          </w:tcPr>
          <w:p w14:paraId="498DBE2D">
            <w:pPr>
              <w:spacing w:line="240" w:lineRule="auto"/>
              <w:jc w:val="center"/>
              <w:rPr>
                <w:rFonts w:cs="Times New Roman"/>
                <w:sz w:val="18"/>
                <w:szCs w:val="18"/>
              </w:rPr>
            </w:pPr>
          </w:p>
        </w:tc>
        <w:tc>
          <w:tcPr>
            <w:tcW w:w="516" w:type="pct"/>
          </w:tcPr>
          <w:p w14:paraId="4728A386">
            <w:pPr>
              <w:spacing w:line="240" w:lineRule="auto"/>
              <w:jc w:val="center"/>
              <w:rPr>
                <w:rFonts w:cs="Times New Roman"/>
                <w:sz w:val="18"/>
                <w:szCs w:val="18"/>
              </w:rPr>
            </w:pPr>
          </w:p>
        </w:tc>
        <w:tc>
          <w:tcPr>
            <w:tcW w:w="639" w:type="pct"/>
          </w:tcPr>
          <w:p w14:paraId="366DE16C">
            <w:pPr>
              <w:spacing w:line="240" w:lineRule="auto"/>
              <w:jc w:val="center"/>
              <w:rPr>
                <w:rFonts w:cs="Times New Roman"/>
                <w:sz w:val="18"/>
                <w:szCs w:val="18"/>
              </w:rPr>
            </w:pPr>
          </w:p>
        </w:tc>
        <w:tc>
          <w:tcPr>
            <w:tcW w:w="1253" w:type="pct"/>
          </w:tcPr>
          <w:p w14:paraId="0EACFA1A">
            <w:pPr>
              <w:spacing w:line="240" w:lineRule="auto"/>
              <w:jc w:val="center"/>
              <w:rPr>
                <w:rFonts w:cs="Times New Roman"/>
                <w:sz w:val="18"/>
                <w:szCs w:val="18"/>
              </w:rPr>
            </w:pPr>
          </w:p>
        </w:tc>
        <w:tc>
          <w:tcPr>
            <w:tcW w:w="639" w:type="pct"/>
            <w:vAlign w:val="center"/>
          </w:tcPr>
          <w:p w14:paraId="2CB13FDF">
            <w:pPr>
              <w:spacing w:line="240" w:lineRule="auto"/>
              <w:jc w:val="center"/>
              <w:rPr>
                <w:rFonts w:cs="Times New Roman"/>
                <w:sz w:val="18"/>
                <w:szCs w:val="18"/>
              </w:rPr>
            </w:pPr>
          </w:p>
        </w:tc>
        <w:tc>
          <w:tcPr>
            <w:tcW w:w="1165" w:type="pct"/>
          </w:tcPr>
          <w:p w14:paraId="04573316">
            <w:pPr>
              <w:spacing w:line="240" w:lineRule="auto"/>
              <w:jc w:val="center"/>
              <w:rPr>
                <w:rFonts w:cs="Times New Roman"/>
                <w:sz w:val="18"/>
                <w:szCs w:val="18"/>
              </w:rPr>
            </w:pPr>
          </w:p>
        </w:tc>
      </w:tr>
      <w:tr w14:paraId="3BD74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3" w:type="pct"/>
            <w:vAlign w:val="center"/>
          </w:tcPr>
          <w:p w14:paraId="53C5AE19">
            <w:pPr>
              <w:spacing w:line="240" w:lineRule="auto"/>
              <w:jc w:val="center"/>
              <w:rPr>
                <w:rFonts w:cs="Times New Roman"/>
                <w:sz w:val="18"/>
                <w:szCs w:val="18"/>
              </w:rPr>
            </w:pPr>
            <w:r>
              <w:rPr>
                <w:rFonts w:cs="Times New Roman"/>
                <w:sz w:val="18"/>
                <w:szCs w:val="18"/>
              </w:rPr>
              <w:t>2</w:t>
            </w:r>
          </w:p>
        </w:tc>
        <w:tc>
          <w:tcPr>
            <w:tcW w:w="393" w:type="pct"/>
            <w:vAlign w:val="center"/>
          </w:tcPr>
          <w:p w14:paraId="761C1B7C">
            <w:pPr>
              <w:spacing w:line="240" w:lineRule="auto"/>
              <w:jc w:val="center"/>
              <w:rPr>
                <w:rFonts w:cs="Times New Roman"/>
                <w:sz w:val="18"/>
                <w:szCs w:val="18"/>
              </w:rPr>
            </w:pPr>
          </w:p>
        </w:tc>
        <w:tc>
          <w:tcPr>
            <w:tcW w:w="516" w:type="pct"/>
          </w:tcPr>
          <w:p w14:paraId="0CED778A">
            <w:pPr>
              <w:spacing w:line="240" w:lineRule="auto"/>
              <w:jc w:val="center"/>
              <w:rPr>
                <w:rFonts w:cs="Times New Roman"/>
                <w:sz w:val="18"/>
                <w:szCs w:val="18"/>
              </w:rPr>
            </w:pPr>
          </w:p>
        </w:tc>
        <w:tc>
          <w:tcPr>
            <w:tcW w:w="639" w:type="pct"/>
          </w:tcPr>
          <w:p w14:paraId="7C7249A6">
            <w:pPr>
              <w:spacing w:line="240" w:lineRule="auto"/>
              <w:jc w:val="center"/>
              <w:rPr>
                <w:rFonts w:cs="Times New Roman"/>
                <w:sz w:val="18"/>
                <w:szCs w:val="18"/>
              </w:rPr>
            </w:pPr>
          </w:p>
        </w:tc>
        <w:tc>
          <w:tcPr>
            <w:tcW w:w="1253" w:type="pct"/>
          </w:tcPr>
          <w:p w14:paraId="51A03737">
            <w:pPr>
              <w:spacing w:line="240" w:lineRule="auto"/>
              <w:jc w:val="center"/>
              <w:rPr>
                <w:rFonts w:cs="Times New Roman"/>
                <w:sz w:val="18"/>
                <w:szCs w:val="18"/>
              </w:rPr>
            </w:pPr>
          </w:p>
        </w:tc>
        <w:tc>
          <w:tcPr>
            <w:tcW w:w="639" w:type="pct"/>
            <w:vAlign w:val="center"/>
          </w:tcPr>
          <w:p w14:paraId="323E62AD">
            <w:pPr>
              <w:spacing w:line="240" w:lineRule="auto"/>
              <w:jc w:val="center"/>
              <w:rPr>
                <w:rFonts w:cs="Times New Roman"/>
                <w:sz w:val="18"/>
                <w:szCs w:val="18"/>
              </w:rPr>
            </w:pPr>
          </w:p>
        </w:tc>
        <w:tc>
          <w:tcPr>
            <w:tcW w:w="1165" w:type="pct"/>
          </w:tcPr>
          <w:p w14:paraId="45FD05C9">
            <w:pPr>
              <w:spacing w:line="240" w:lineRule="auto"/>
              <w:jc w:val="center"/>
              <w:rPr>
                <w:rFonts w:cs="Times New Roman"/>
                <w:sz w:val="18"/>
                <w:szCs w:val="18"/>
              </w:rPr>
            </w:pPr>
          </w:p>
        </w:tc>
      </w:tr>
      <w:tr w14:paraId="46838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3" w:type="pct"/>
            <w:vAlign w:val="center"/>
          </w:tcPr>
          <w:p w14:paraId="00FE9AC8">
            <w:pPr>
              <w:spacing w:line="240" w:lineRule="auto"/>
              <w:jc w:val="center"/>
              <w:rPr>
                <w:rFonts w:cs="Times New Roman"/>
                <w:sz w:val="18"/>
                <w:szCs w:val="18"/>
              </w:rPr>
            </w:pPr>
            <w:r>
              <w:rPr>
                <w:rFonts w:cs="Times New Roman"/>
                <w:sz w:val="18"/>
                <w:szCs w:val="18"/>
              </w:rPr>
              <w:t>3</w:t>
            </w:r>
          </w:p>
        </w:tc>
        <w:tc>
          <w:tcPr>
            <w:tcW w:w="393" w:type="pct"/>
            <w:vAlign w:val="center"/>
          </w:tcPr>
          <w:p w14:paraId="2799EF82">
            <w:pPr>
              <w:spacing w:line="240" w:lineRule="auto"/>
              <w:jc w:val="center"/>
              <w:rPr>
                <w:rFonts w:cs="Times New Roman"/>
                <w:sz w:val="18"/>
                <w:szCs w:val="18"/>
              </w:rPr>
            </w:pPr>
          </w:p>
        </w:tc>
        <w:tc>
          <w:tcPr>
            <w:tcW w:w="516" w:type="pct"/>
          </w:tcPr>
          <w:p w14:paraId="5C2DD0D3">
            <w:pPr>
              <w:spacing w:line="240" w:lineRule="auto"/>
              <w:jc w:val="center"/>
              <w:rPr>
                <w:rFonts w:cs="Times New Roman"/>
                <w:sz w:val="18"/>
                <w:szCs w:val="18"/>
              </w:rPr>
            </w:pPr>
          </w:p>
        </w:tc>
        <w:tc>
          <w:tcPr>
            <w:tcW w:w="639" w:type="pct"/>
          </w:tcPr>
          <w:p w14:paraId="496B1C01">
            <w:pPr>
              <w:spacing w:line="240" w:lineRule="auto"/>
              <w:jc w:val="center"/>
              <w:rPr>
                <w:rFonts w:cs="Times New Roman"/>
                <w:sz w:val="18"/>
                <w:szCs w:val="18"/>
              </w:rPr>
            </w:pPr>
          </w:p>
        </w:tc>
        <w:tc>
          <w:tcPr>
            <w:tcW w:w="1253" w:type="pct"/>
          </w:tcPr>
          <w:p w14:paraId="53AC4D52">
            <w:pPr>
              <w:spacing w:line="240" w:lineRule="auto"/>
              <w:jc w:val="center"/>
              <w:rPr>
                <w:rFonts w:cs="Times New Roman"/>
                <w:sz w:val="18"/>
                <w:szCs w:val="18"/>
              </w:rPr>
            </w:pPr>
          </w:p>
        </w:tc>
        <w:tc>
          <w:tcPr>
            <w:tcW w:w="639" w:type="pct"/>
            <w:vAlign w:val="center"/>
          </w:tcPr>
          <w:p w14:paraId="356A3F11">
            <w:pPr>
              <w:spacing w:line="240" w:lineRule="auto"/>
              <w:jc w:val="center"/>
              <w:rPr>
                <w:rFonts w:cs="Times New Roman"/>
                <w:sz w:val="18"/>
                <w:szCs w:val="18"/>
              </w:rPr>
            </w:pPr>
          </w:p>
        </w:tc>
        <w:tc>
          <w:tcPr>
            <w:tcW w:w="1165" w:type="pct"/>
          </w:tcPr>
          <w:p w14:paraId="2D38E1E0">
            <w:pPr>
              <w:spacing w:line="240" w:lineRule="auto"/>
              <w:jc w:val="center"/>
              <w:rPr>
                <w:rFonts w:cs="Times New Roman"/>
                <w:sz w:val="18"/>
                <w:szCs w:val="18"/>
              </w:rPr>
            </w:pPr>
          </w:p>
        </w:tc>
      </w:tr>
      <w:tr w14:paraId="533DD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3" w:type="pct"/>
            <w:vAlign w:val="center"/>
          </w:tcPr>
          <w:p w14:paraId="2EFE5C81">
            <w:pPr>
              <w:spacing w:line="240" w:lineRule="auto"/>
              <w:jc w:val="center"/>
              <w:rPr>
                <w:rFonts w:cs="Times New Roman"/>
                <w:sz w:val="18"/>
                <w:szCs w:val="18"/>
              </w:rPr>
            </w:pPr>
            <w:r>
              <w:rPr>
                <w:rFonts w:cs="Times New Roman"/>
                <w:sz w:val="18"/>
                <w:szCs w:val="18"/>
              </w:rPr>
              <w:t>4</w:t>
            </w:r>
          </w:p>
        </w:tc>
        <w:tc>
          <w:tcPr>
            <w:tcW w:w="393" w:type="pct"/>
            <w:vAlign w:val="center"/>
          </w:tcPr>
          <w:p w14:paraId="275E1265">
            <w:pPr>
              <w:spacing w:line="240" w:lineRule="auto"/>
              <w:jc w:val="center"/>
              <w:rPr>
                <w:rFonts w:cs="Times New Roman"/>
                <w:sz w:val="18"/>
                <w:szCs w:val="18"/>
              </w:rPr>
            </w:pPr>
          </w:p>
        </w:tc>
        <w:tc>
          <w:tcPr>
            <w:tcW w:w="516" w:type="pct"/>
          </w:tcPr>
          <w:p w14:paraId="7A3D2BC0">
            <w:pPr>
              <w:spacing w:line="240" w:lineRule="auto"/>
              <w:jc w:val="center"/>
              <w:rPr>
                <w:rFonts w:cs="Times New Roman"/>
                <w:sz w:val="18"/>
                <w:szCs w:val="18"/>
              </w:rPr>
            </w:pPr>
          </w:p>
        </w:tc>
        <w:tc>
          <w:tcPr>
            <w:tcW w:w="639" w:type="pct"/>
          </w:tcPr>
          <w:p w14:paraId="295D181F">
            <w:pPr>
              <w:spacing w:line="240" w:lineRule="auto"/>
              <w:jc w:val="center"/>
              <w:rPr>
                <w:rFonts w:cs="Times New Roman"/>
                <w:sz w:val="18"/>
                <w:szCs w:val="18"/>
              </w:rPr>
            </w:pPr>
          </w:p>
        </w:tc>
        <w:tc>
          <w:tcPr>
            <w:tcW w:w="1253" w:type="pct"/>
          </w:tcPr>
          <w:p w14:paraId="4DBF67C9">
            <w:pPr>
              <w:spacing w:line="240" w:lineRule="auto"/>
              <w:jc w:val="center"/>
              <w:rPr>
                <w:rFonts w:cs="Times New Roman"/>
                <w:sz w:val="18"/>
                <w:szCs w:val="18"/>
              </w:rPr>
            </w:pPr>
          </w:p>
        </w:tc>
        <w:tc>
          <w:tcPr>
            <w:tcW w:w="639" w:type="pct"/>
            <w:vAlign w:val="center"/>
          </w:tcPr>
          <w:p w14:paraId="16DB8EE9">
            <w:pPr>
              <w:spacing w:line="240" w:lineRule="auto"/>
              <w:jc w:val="center"/>
              <w:rPr>
                <w:rFonts w:cs="Times New Roman"/>
                <w:sz w:val="18"/>
                <w:szCs w:val="18"/>
              </w:rPr>
            </w:pPr>
          </w:p>
        </w:tc>
        <w:tc>
          <w:tcPr>
            <w:tcW w:w="1165" w:type="pct"/>
          </w:tcPr>
          <w:p w14:paraId="0D6F6CCA">
            <w:pPr>
              <w:spacing w:line="240" w:lineRule="auto"/>
              <w:jc w:val="center"/>
              <w:rPr>
                <w:rFonts w:cs="Times New Roman"/>
                <w:sz w:val="18"/>
                <w:szCs w:val="18"/>
              </w:rPr>
            </w:pPr>
          </w:p>
        </w:tc>
      </w:tr>
      <w:tr w14:paraId="0BCDC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3" w:type="pct"/>
            <w:vAlign w:val="center"/>
          </w:tcPr>
          <w:p w14:paraId="40511993">
            <w:pPr>
              <w:spacing w:line="240" w:lineRule="auto"/>
              <w:jc w:val="center"/>
              <w:rPr>
                <w:rFonts w:cs="Times New Roman"/>
                <w:sz w:val="18"/>
                <w:szCs w:val="18"/>
              </w:rPr>
            </w:pPr>
            <w:r>
              <w:rPr>
                <w:rFonts w:cs="Times New Roman"/>
                <w:sz w:val="18"/>
                <w:szCs w:val="18"/>
              </w:rPr>
              <w:t>5</w:t>
            </w:r>
          </w:p>
        </w:tc>
        <w:tc>
          <w:tcPr>
            <w:tcW w:w="393" w:type="pct"/>
            <w:vAlign w:val="center"/>
          </w:tcPr>
          <w:p w14:paraId="39C5A939">
            <w:pPr>
              <w:spacing w:line="240" w:lineRule="auto"/>
              <w:jc w:val="center"/>
              <w:rPr>
                <w:rFonts w:cs="Times New Roman"/>
                <w:sz w:val="18"/>
                <w:szCs w:val="18"/>
              </w:rPr>
            </w:pPr>
          </w:p>
        </w:tc>
        <w:tc>
          <w:tcPr>
            <w:tcW w:w="516" w:type="pct"/>
          </w:tcPr>
          <w:p w14:paraId="7912BD35">
            <w:pPr>
              <w:spacing w:line="240" w:lineRule="auto"/>
              <w:jc w:val="center"/>
              <w:rPr>
                <w:rFonts w:cs="Times New Roman"/>
                <w:sz w:val="18"/>
                <w:szCs w:val="18"/>
              </w:rPr>
            </w:pPr>
          </w:p>
        </w:tc>
        <w:tc>
          <w:tcPr>
            <w:tcW w:w="639" w:type="pct"/>
          </w:tcPr>
          <w:p w14:paraId="091D683E">
            <w:pPr>
              <w:spacing w:line="240" w:lineRule="auto"/>
              <w:jc w:val="center"/>
              <w:rPr>
                <w:rFonts w:cs="Times New Roman"/>
                <w:sz w:val="18"/>
                <w:szCs w:val="18"/>
              </w:rPr>
            </w:pPr>
          </w:p>
        </w:tc>
        <w:tc>
          <w:tcPr>
            <w:tcW w:w="1253" w:type="pct"/>
          </w:tcPr>
          <w:p w14:paraId="4D40DCF3">
            <w:pPr>
              <w:spacing w:line="240" w:lineRule="auto"/>
              <w:jc w:val="center"/>
              <w:rPr>
                <w:rFonts w:cs="Times New Roman"/>
                <w:sz w:val="18"/>
                <w:szCs w:val="18"/>
              </w:rPr>
            </w:pPr>
          </w:p>
        </w:tc>
        <w:tc>
          <w:tcPr>
            <w:tcW w:w="639" w:type="pct"/>
            <w:vAlign w:val="center"/>
          </w:tcPr>
          <w:p w14:paraId="1C851EFE">
            <w:pPr>
              <w:spacing w:line="240" w:lineRule="auto"/>
              <w:jc w:val="center"/>
              <w:rPr>
                <w:rFonts w:cs="Times New Roman"/>
                <w:sz w:val="18"/>
                <w:szCs w:val="18"/>
              </w:rPr>
            </w:pPr>
          </w:p>
        </w:tc>
        <w:tc>
          <w:tcPr>
            <w:tcW w:w="1165" w:type="pct"/>
          </w:tcPr>
          <w:p w14:paraId="20FC4310">
            <w:pPr>
              <w:spacing w:line="240" w:lineRule="auto"/>
              <w:jc w:val="center"/>
              <w:rPr>
                <w:rFonts w:cs="Times New Roman"/>
                <w:sz w:val="18"/>
                <w:szCs w:val="18"/>
              </w:rPr>
            </w:pPr>
          </w:p>
        </w:tc>
      </w:tr>
      <w:tr w14:paraId="3A1E9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3" w:type="pct"/>
            <w:vAlign w:val="center"/>
          </w:tcPr>
          <w:p w14:paraId="6850BA4D">
            <w:pPr>
              <w:spacing w:line="240" w:lineRule="auto"/>
              <w:jc w:val="center"/>
              <w:rPr>
                <w:rFonts w:cs="Times New Roman"/>
                <w:sz w:val="18"/>
                <w:szCs w:val="18"/>
              </w:rPr>
            </w:pPr>
            <w:r>
              <w:rPr>
                <w:rFonts w:cs="Times New Roman"/>
                <w:sz w:val="18"/>
                <w:szCs w:val="18"/>
              </w:rPr>
              <w:t>6</w:t>
            </w:r>
          </w:p>
        </w:tc>
        <w:tc>
          <w:tcPr>
            <w:tcW w:w="393" w:type="pct"/>
            <w:vAlign w:val="center"/>
          </w:tcPr>
          <w:p w14:paraId="68D9FA2E">
            <w:pPr>
              <w:spacing w:line="240" w:lineRule="auto"/>
              <w:jc w:val="center"/>
              <w:rPr>
                <w:rFonts w:cs="Times New Roman"/>
                <w:sz w:val="18"/>
                <w:szCs w:val="18"/>
              </w:rPr>
            </w:pPr>
          </w:p>
        </w:tc>
        <w:tc>
          <w:tcPr>
            <w:tcW w:w="516" w:type="pct"/>
          </w:tcPr>
          <w:p w14:paraId="461E8411">
            <w:pPr>
              <w:spacing w:line="240" w:lineRule="auto"/>
              <w:jc w:val="center"/>
              <w:rPr>
                <w:rFonts w:cs="Times New Roman"/>
                <w:sz w:val="18"/>
                <w:szCs w:val="18"/>
              </w:rPr>
            </w:pPr>
          </w:p>
        </w:tc>
        <w:tc>
          <w:tcPr>
            <w:tcW w:w="639" w:type="pct"/>
          </w:tcPr>
          <w:p w14:paraId="44E8F0F1">
            <w:pPr>
              <w:spacing w:line="240" w:lineRule="auto"/>
              <w:jc w:val="center"/>
              <w:rPr>
                <w:rFonts w:cs="Times New Roman"/>
                <w:sz w:val="18"/>
                <w:szCs w:val="18"/>
              </w:rPr>
            </w:pPr>
          </w:p>
        </w:tc>
        <w:tc>
          <w:tcPr>
            <w:tcW w:w="1253" w:type="pct"/>
          </w:tcPr>
          <w:p w14:paraId="6423FBC2">
            <w:pPr>
              <w:spacing w:line="240" w:lineRule="auto"/>
              <w:jc w:val="center"/>
              <w:rPr>
                <w:rFonts w:cs="Times New Roman"/>
                <w:sz w:val="18"/>
                <w:szCs w:val="18"/>
              </w:rPr>
            </w:pPr>
          </w:p>
        </w:tc>
        <w:tc>
          <w:tcPr>
            <w:tcW w:w="639" w:type="pct"/>
            <w:vAlign w:val="center"/>
          </w:tcPr>
          <w:p w14:paraId="483E289F">
            <w:pPr>
              <w:spacing w:line="240" w:lineRule="auto"/>
              <w:jc w:val="center"/>
              <w:rPr>
                <w:rFonts w:cs="Times New Roman"/>
                <w:sz w:val="18"/>
                <w:szCs w:val="18"/>
              </w:rPr>
            </w:pPr>
          </w:p>
        </w:tc>
        <w:tc>
          <w:tcPr>
            <w:tcW w:w="1165" w:type="pct"/>
          </w:tcPr>
          <w:p w14:paraId="47D85440">
            <w:pPr>
              <w:spacing w:line="240" w:lineRule="auto"/>
              <w:jc w:val="center"/>
              <w:rPr>
                <w:rFonts w:cs="Times New Roman"/>
                <w:sz w:val="18"/>
                <w:szCs w:val="18"/>
              </w:rPr>
            </w:pPr>
          </w:p>
        </w:tc>
      </w:tr>
      <w:tr w14:paraId="1FF5B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3" w:type="pct"/>
            <w:vAlign w:val="center"/>
          </w:tcPr>
          <w:p w14:paraId="36FDC89F">
            <w:pPr>
              <w:spacing w:line="240" w:lineRule="auto"/>
              <w:jc w:val="center"/>
              <w:rPr>
                <w:rFonts w:cs="Times New Roman"/>
                <w:sz w:val="18"/>
                <w:szCs w:val="18"/>
              </w:rPr>
            </w:pPr>
            <w:r>
              <w:rPr>
                <w:rFonts w:cs="Times New Roman"/>
                <w:sz w:val="18"/>
                <w:szCs w:val="18"/>
              </w:rPr>
              <w:t>……</w:t>
            </w:r>
          </w:p>
        </w:tc>
        <w:tc>
          <w:tcPr>
            <w:tcW w:w="393" w:type="pct"/>
            <w:vAlign w:val="center"/>
          </w:tcPr>
          <w:p w14:paraId="794D2DC6">
            <w:pPr>
              <w:spacing w:line="240" w:lineRule="auto"/>
              <w:jc w:val="center"/>
              <w:rPr>
                <w:rFonts w:cs="Times New Roman"/>
                <w:sz w:val="18"/>
                <w:szCs w:val="18"/>
              </w:rPr>
            </w:pPr>
          </w:p>
        </w:tc>
        <w:tc>
          <w:tcPr>
            <w:tcW w:w="516" w:type="pct"/>
          </w:tcPr>
          <w:p w14:paraId="05AF0BF7">
            <w:pPr>
              <w:spacing w:line="240" w:lineRule="auto"/>
              <w:jc w:val="center"/>
              <w:rPr>
                <w:rFonts w:cs="Times New Roman"/>
                <w:sz w:val="18"/>
                <w:szCs w:val="18"/>
              </w:rPr>
            </w:pPr>
          </w:p>
        </w:tc>
        <w:tc>
          <w:tcPr>
            <w:tcW w:w="639" w:type="pct"/>
          </w:tcPr>
          <w:p w14:paraId="61411A8C">
            <w:pPr>
              <w:spacing w:line="240" w:lineRule="auto"/>
              <w:jc w:val="center"/>
              <w:rPr>
                <w:rFonts w:cs="Times New Roman"/>
                <w:sz w:val="18"/>
                <w:szCs w:val="18"/>
              </w:rPr>
            </w:pPr>
          </w:p>
        </w:tc>
        <w:tc>
          <w:tcPr>
            <w:tcW w:w="1253" w:type="pct"/>
          </w:tcPr>
          <w:p w14:paraId="73FB2934">
            <w:pPr>
              <w:spacing w:line="240" w:lineRule="auto"/>
              <w:jc w:val="center"/>
              <w:rPr>
                <w:rFonts w:cs="Times New Roman"/>
                <w:sz w:val="18"/>
                <w:szCs w:val="18"/>
              </w:rPr>
            </w:pPr>
          </w:p>
        </w:tc>
        <w:tc>
          <w:tcPr>
            <w:tcW w:w="639" w:type="pct"/>
            <w:vAlign w:val="center"/>
          </w:tcPr>
          <w:p w14:paraId="4D6322B9">
            <w:pPr>
              <w:spacing w:line="240" w:lineRule="auto"/>
              <w:jc w:val="center"/>
              <w:rPr>
                <w:rFonts w:cs="Times New Roman"/>
                <w:sz w:val="18"/>
                <w:szCs w:val="18"/>
              </w:rPr>
            </w:pPr>
          </w:p>
        </w:tc>
        <w:tc>
          <w:tcPr>
            <w:tcW w:w="1165" w:type="pct"/>
          </w:tcPr>
          <w:p w14:paraId="7EAC9091">
            <w:pPr>
              <w:spacing w:line="240" w:lineRule="auto"/>
              <w:jc w:val="center"/>
              <w:rPr>
                <w:rFonts w:cs="Times New Roman"/>
                <w:sz w:val="18"/>
                <w:szCs w:val="18"/>
              </w:rPr>
            </w:pPr>
          </w:p>
        </w:tc>
      </w:tr>
    </w:tbl>
    <w:p w14:paraId="4BBFE010">
      <w:pPr>
        <w:rPr>
          <w:rFonts w:eastAsia="黑体" w:cs="Times New Roman"/>
          <w:szCs w:val="28"/>
        </w:rPr>
      </w:pPr>
      <w:r>
        <w:rPr>
          <w:rFonts w:eastAsia="黑体" w:cs="Times New Roman"/>
          <w:szCs w:val="28"/>
        </w:rPr>
        <w:t>2.</w:t>
      </w:r>
      <w:r>
        <w:rPr>
          <w:rFonts w:hint="eastAsia" w:eastAsia="黑体" w:cs="Times New Roman"/>
          <w:szCs w:val="28"/>
        </w:rPr>
        <w:t>排放因子</w:t>
      </w:r>
      <w:r>
        <w:rPr>
          <w:rFonts w:eastAsia="黑体" w:cs="Times New Roman"/>
          <w:szCs w:val="28"/>
        </w:rPr>
        <w:t>数据汇总</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2"/>
        <w:gridCol w:w="2048"/>
        <w:gridCol w:w="2048"/>
        <w:gridCol w:w="2443"/>
        <w:gridCol w:w="2049"/>
      </w:tblGrid>
      <w:tr w14:paraId="5D4F1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pct"/>
            <w:vAlign w:val="center"/>
          </w:tcPr>
          <w:p w14:paraId="1B039983">
            <w:pPr>
              <w:spacing w:line="240" w:lineRule="auto"/>
              <w:jc w:val="center"/>
              <w:rPr>
                <w:rFonts w:cs="Times New Roman"/>
                <w:sz w:val="18"/>
                <w:szCs w:val="18"/>
              </w:rPr>
            </w:pPr>
            <w:r>
              <w:rPr>
                <w:rFonts w:cs="Times New Roman"/>
                <w:sz w:val="18"/>
                <w:szCs w:val="18"/>
              </w:rPr>
              <w:t>序号</w:t>
            </w:r>
          </w:p>
        </w:tc>
        <w:tc>
          <w:tcPr>
            <w:tcW w:w="1039" w:type="pct"/>
            <w:vAlign w:val="center"/>
          </w:tcPr>
          <w:p w14:paraId="7424E5F1">
            <w:pPr>
              <w:spacing w:line="240" w:lineRule="auto"/>
              <w:jc w:val="center"/>
              <w:rPr>
                <w:rFonts w:cs="Times New Roman"/>
                <w:sz w:val="18"/>
                <w:szCs w:val="18"/>
              </w:rPr>
            </w:pPr>
            <w:r>
              <w:rPr>
                <w:rFonts w:cs="Times New Roman"/>
                <w:sz w:val="18"/>
                <w:szCs w:val="18"/>
              </w:rPr>
              <w:t>碳排放源</w:t>
            </w:r>
          </w:p>
        </w:tc>
        <w:tc>
          <w:tcPr>
            <w:tcW w:w="1039" w:type="pct"/>
            <w:vAlign w:val="center"/>
          </w:tcPr>
          <w:p w14:paraId="469646F6">
            <w:pPr>
              <w:spacing w:line="240" w:lineRule="auto"/>
              <w:jc w:val="center"/>
              <w:rPr>
                <w:rFonts w:cs="Times New Roman"/>
                <w:sz w:val="18"/>
                <w:szCs w:val="18"/>
              </w:rPr>
            </w:pPr>
            <w:r>
              <w:rPr>
                <w:rFonts w:cs="Times New Roman"/>
                <w:sz w:val="18"/>
                <w:szCs w:val="18"/>
              </w:rPr>
              <w:t>碳氧化率</w:t>
            </w:r>
          </w:p>
        </w:tc>
        <w:tc>
          <w:tcPr>
            <w:tcW w:w="1239" w:type="pct"/>
            <w:vAlign w:val="center"/>
          </w:tcPr>
          <w:p w14:paraId="0E2D2150">
            <w:pPr>
              <w:spacing w:line="240" w:lineRule="auto"/>
              <w:jc w:val="center"/>
              <w:rPr>
                <w:rFonts w:cs="Times New Roman"/>
                <w:sz w:val="18"/>
                <w:szCs w:val="18"/>
              </w:rPr>
            </w:pPr>
            <w:r>
              <w:rPr>
                <w:rFonts w:hint="eastAsia" w:cs="Times New Roman"/>
                <w:sz w:val="18"/>
                <w:szCs w:val="18"/>
              </w:rPr>
              <w:t>排放因子</w:t>
            </w:r>
          </w:p>
        </w:tc>
        <w:tc>
          <w:tcPr>
            <w:tcW w:w="1039" w:type="pct"/>
            <w:vAlign w:val="center"/>
          </w:tcPr>
          <w:p w14:paraId="7463BAA6">
            <w:pPr>
              <w:spacing w:line="240" w:lineRule="auto"/>
              <w:jc w:val="center"/>
              <w:rPr>
                <w:rFonts w:cs="Times New Roman"/>
                <w:sz w:val="18"/>
                <w:szCs w:val="18"/>
              </w:rPr>
            </w:pPr>
            <w:r>
              <w:rPr>
                <w:rFonts w:cs="Times New Roman"/>
                <w:sz w:val="18"/>
                <w:szCs w:val="18"/>
              </w:rPr>
              <w:t>不确定度</w:t>
            </w:r>
          </w:p>
        </w:tc>
      </w:tr>
      <w:tr w14:paraId="56927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pct"/>
            <w:vAlign w:val="center"/>
          </w:tcPr>
          <w:p w14:paraId="3D9F22A7">
            <w:pPr>
              <w:spacing w:line="240" w:lineRule="auto"/>
              <w:jc w:val="center"/>
              <w:rPr>
                <w:rFonts w:cs="Times New Roman"/>
                <w:sz w:val="18"/>
                <w:szCs w:val="18"/>
              </w:rPr>
            </w:pPr>
            <w:r>
              <w:rPr>
                <w:rFonts w:cs="Times New Roman"/>
                <w:sz w:val="18"/>
                <w:szCs w:val="18"/>
              </w:rPr>
              <w:t>1</w:t>
            </w:r>
          </w:p>
        </w:tc>
        <w:tc>
          <w:tcPr>
            <w:tcW w:w="1039" w:type="pct"/>
            <w:vAlign w:val="center"/>
          </w:tcPr>
          <w:p w14:paraId="1D0125D4">
            <w:pPr>
              <w:spacing w:line="240" w:lineRule="auto"/>
              <w:jc w:val="center"/>
              <w:rPr>
                <w:rFonts w:cs="Times New Roman"/>
                <w:sz w:val="18"/>
                <w:szCs w:val="18"/>
              </w:rPr>
            </w:pPr>
          </w:p>
        </w:tc>
        <w:tc>
          <w:tcPr>
            <w:tcW w:w="1039" w:type="pct"/>
          </w:tcPr>
          <w:p w14:paraId="50150297">
            <w:pPr>
              <w:spacing w:line="240" w:lineRule="auto"/>
              <w:jc w:val="center"/>
              <w:rPr>
                <w:rFonts w:cs="Times New Roman"/>
                <w:sz w:val="18"/>
                <w:szCs w:val="18"/>
              </w:rPr>
            </w:pPr>
          </w:p>
        </w:tc>
        <w:tc>
          <w:tcPr>
            <w:tcW w:w="1239" w:type="pct"/>
          </w:tcPr>
          <w:p w14:paraId="51114D1F">
            <w:pPr>
              <w:spacing w:line="240" w:lineRule="auto"/>
              <w:jc w:val="center"/>
              <w:rPr>
                <w:rFonts w:cs="Times New Roman"/>
                <w:sz w:val="18"/>
                <w:szCs w:val="18"/>
              </w:rPr>
            </w:pPr>
          </w:p>
        </w:tc>
        <w:tc>
          <w:tcPr>
            <w:tcW w:w="1039" w:type="pct"/>
            <w:vAlign w:val="center"/>
          </w:tcPr>
          <w:p w14:paraId="1FC8782E">
            <w:pPr>
              <w:spacing w:line="240" w:lineRule="auto"/>
              <w:jc w:val="center"/>
              <w:rPr>
                <w:rFonts w:cs="Times New Roman"/>
                <w:sz w:val="18"/>
                <w:szCs w:val="18"/>
              </w:rPr>
            </w:pPr>
          </w:p>
        </w:tc>
      </w:tr>
      <w:tr w14:paraId="64CA3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pct"/>
            <w:vAlign w:val="center"/>
          </w:tcPr>
          <w:p w14:paraId="4BA6344F">
            <w:pPr>
              <w:spacing w:line="240" w:lineRule="auto"/>
              <w:jc w:val="center"/>
              <w:rPr>
                <w:rFonts w:cs="Times New Roman"/>
                <w:sz w:val="18"/>
                <w:szCs w:val="18"/>
              </w:rPr>
            </w:pPr>
            <w:r>
              <w:rPr>
                <w:rFonts w:cs="Times New Roman"/>
                <w:sz w:val="18"/>
                <w:szCs w:val="18"/>
              </w:rPr>
              <w:t>2</w:t>
            </w:r>
          </w:p>
        </w:tc>
        <w:tc>
          <w:tcPr>
            <w:tcW w:w="1039" w:type="pct"/>
            <w:vAlign w:val="center"/>
          </w:tcPr>
          <w:p w14:paraId="4231A94B">
            <w:pPr>
              <w:spacing w:line="240" w:lineRule="auto"/>
              <w:jc w:val="center"/>
              <w:rPr>
                <w:rFonts w:cs="Times New Roman"/>
                <w:sz w:val="18"/>
                <w:szCs w:val="18"/>
              </w:rPr>
            </w:pPr>
          </w:p>
        </w:tc>
        <w:tc>
          <w:tcPr>
            <w:tcW w:w="1039" w:type="pct"/>
          </w:tcPr>
          <w:p w14:paraId="06387FFC">
            <w:pPr>
              <w:spacing w:line="240" w:lineRule="auto"/>
              <w:jc w:val="center"/>
              <w:rPr>
                <w:rFonts w:cs="Times New Roman"/>
                <w:sz w:val="18"/>
                <w:szCs w:val="18"/>
              </w:rPr>
            </w:pPr>
          </w:p>
        </w:tc>
        <w:tc>
          <w:tcPr>
            <w:tcW w:w="1239" w:type="pct"/>
          </w:tcPr>
          <w:p w14:paraId="4092A2F0">
            <w:pPr>
              <w:spacing w:line="240" w:lineRule="auto"/>
              <w:jc w:val="center"/>
              <w:rPr>
                <w:rFonts w:cs="Times New Roman"/>
                <w:sz w:val="18"/>
                <w:szCs w:val="18"/>
              </w:rPr>
            </w:pPr>
          </w:p>
        </w:tc>
        <w:tc>
          <w:tcPr>
            <w:tcW w:w="1039" w:type="pct"/>
            <w:vAlign w:val="center"/>
          </w:tcPr>
          <w:p w14:paraId="5481BA76">
            <w:pPr>
              <w:spacing w:line="240" w:lineRule="auto"/>
              <w:jc w:val="center"/>
              <w:rPr>
                <w:rFonts w:cs="Times New Roman"/>
                <w:sz w:val="18"/>
                <w:szCs w:val="18"/>
              </w:rPr>
            </w:pPr>
          </w:p>
        </w:tc>
      </w:tr>
      <w:tr w14:paraId="77668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pct"/>
            <w:vAlign w:val="center"/>
          </w:tcPr>
          <w:p w14:paraId="3C809482">
            <w:pPr>
              <w:spacing w:line="240" w:lineRule="auto"/>
              <w:jc w:val="center"/>
              <w:rPr>
                <w:rFonts w:cs="Times New Roman"/>
                <w:sz w:val="18"/>
                <w:szCs w:val="18"/>
              </w:rPr>
            </w:pPr>
            <w:r>
              <w:rPr>
                <w:rFonts w:cs="Times New Roman"/>
                <w:sz w:val="18"/>
                <w:szCs w:val="18"/>
              </w:rPr>
              <w:t>3</w:t>
            </w:r>
          </w:p>
        </w:tc>
        <w:tc>
          <w:tcPr>
            <w:tcW w:w="1039" w:type="pct"/>
            <w:vAlign w:val="center"/>
          </w:tcPr>
          <w:p w14:paraId="2BCE0E6D">
            <w:pPr>
              <w:spacing w:line="240" w:lineRule="auto"/>
              <w:jc w:val="center"/>
              <w:rPr>
                <w:rFonts w:cs="Times New Roman"/>
                <w:sz w:val="18"/>
                <w:szCs w:val="18"/>
              </w:rPr>
            </w:pPr>
          </w:p>
        </w:tc>
        <w:tc>
          <w:tcPr>
            <w:tcW w:w="1039" w:type="pct"/>
          </w:tcPr>
          <w:p w14:paraId="1B0C4537">
            <w:pPr>
              <w:spacing w:line="240" w:lineRule="auto"/>
              <w:jc w:val="center"/>
              <w:rPr>
                <w:rFonts w:cs="Times New Roman"/>
                <w:sz w:val="18"/>
                <w:szCs w:val="18"/>
              </w:rPr>
            </w:pPr>
          </w:p>
        </w:tc>
        <w:tc>
          <w:tcPr>
            <w:tcW w:w="1239" w:type="pct"/>
          </w:tcPr>
          <w:p w14:paraId="40C80BBF">
            <w:pPr>
              <w:spacing w:line="240" w:lineRule="auto"/>
              <w:jc w:val="center"/>
              <w:rPr>
                <w:rFonts w:cs="Times New Roman"/>
                <w:sz w:val="18"/>
                <w:szCs w:val="18"/>
              </w:rPr>
            </w:pPr>
          </w:p>
        </w:tc>
        <w:tc>
          <w:tcPr>
            <w:tcW w:w="1039" w:type="pct"/>
            <w:vAlign w:val="center"/>
          </w:tcPr>
          <w:p w14:paraId="55778423">
            <w:pPr>
              <w:spacing w:line="240" w:lineRule="auto"/>
              <w:jc w:val="center"/>
              <w:rPr>
                <w:rFonts w:cs="Times New Roman"/>
                <w:sz w:val="18"/>
                <w:szCs w:val="18"/>
              </w:rPr>
            </w:pPr>
          </w:p>
        </w:tc>
      </w:tr>
      <w:tr w14:paraId="26BEB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pct"/>
            <w:vAlign w:val="center"/>
          </w:tcPr>
          <w:p w14:paraId="33A3B4F9">
            <w:pPr>
              <w:spacing w:line="240" w:lineRule="auto"/>
              <w:jc w:val="center"/>
              <w:rPr>
                <w:rFonts w:cs="Times New Roman"/>
                <w:sz w:val="18"/>
                <w:szCs w:val="18"/>
              </w:rPr>
            </w:pPr>
            <w:r>
              <w:rPr>
                <w:rFonts w:cs="Times New Roman"/>
                <w:sz w:val="18"/>
                <w:szCs w:val="18"/>
              </w:rPr>
              <w:t>4</w:t>
            </w:r>
          </w:p>
        </w:tc>
        <w:tc>
          <w:tcPr>
            <w:tcW w:w="1039" w:type="pct"/>
            <w:vAlign w:val="center"/>
          </w:tcPr>
          <w:p w14:paraId="2A628FCC">
            <w:pPr>
              <w:spacing w:line="240" w:lineRule="auto"/>
              <w:jc w:val="center"/>
              <w:rPr>
                <w:rFonts w:cs="Times New Roman"/>
                <w:sz w:val="18"/>
                <w:szCs w:val="18"/>
              </w:rPr>
            </w:pPr>
          </w:p>
        </w:tc>
        <w:tc>
          <w:tcPr>
            <w:tcW w:w="1039" w:type="pct"/>
          </w:tcPr>
          <w:p w14:paraId="223348B2">
            <w:pPr>
              <w:spacing w:line="240" w:lineRule="auto"/>
              <w:jc w:val="center"/>
              <w:rPr>
                <w:rFonts w:cs="Times New Roman"/>
                <w:sz w:val="18"/>
                <w:szCs w:val="18"/>
              </w:rPr>
            </w:pPr>
          </w:p>
        </w:tc>
        <w:tc>
          <w:tcPr>
            <w:tcW w:w="1239" w:type="pct"/>
          </w:tcPr>
          <w:p w14:paraId="2478A85C">
            <w:pPr>
              <w:spacing w:line="240" w:lineRule="auto"/>
              <w:jc w:val="center"/>
              <w:rPr>
                <w:rFonts w:cs="Times New Roman"/>
                <w:sz w:val="18"/>
                <w:szCs w:val="18"/>
              </w:rPr>
            </w:pPr>
          </w:p>
        </w:tc>
        <w:tc>
          <w:tcPr>
            <w:tcW w:w="1039" w:type="pct"/>
            <w:vAlign w:val="center"/>
          </w:tcPr>
          <w:p w14:paraId="43DFA724">
            <w:pPr>
              <w:spacing w:line="240" w:lineRule="auto"/>
              <w:jc w:val="center"/>
              <w:rPr>
                <w:rFonts w:cs="Times New Roman"/>
                <w:sz w:val="18"/>
                <w:szCs w:val="18"/>
              </w:rPr>
            </w:pPr>
          </w:p>
        </w:tc>
      </w:tr>
      <w:tr w14:paraId="2BAA0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pct"/>
            <w:vAlign w:val="center"/>
          </w:tcPr>
          <w:p w14:paraId="7E2BB0E7">
            <w:pPr>
              <w:spacing w:line="240" w:lineRule="auto"/>
              <w:jc w:val="center"/>
              <w:rPr>
                <w:rFonts w:cs="Times New Roman"/>
                <w:sz w:val="18"/>
                <w:szCs w:val="18"/>
              </w:rPr>
            </w:pPr>
            <w:r>
              <w:rPr>
                <w:rFonts w:cs="Times New Roman"/>
                <w:sz w:val="18"/>
                <w:szCs w:val="18"/>
              </w:rPr>
              <w:t>5</w:t>
            </w:r>
          </w:p>
        </w:tc>
        <w:tc>
          <w:tcPr>
            <w:tcW w:w="1039" w:type="pct"/>
            <w:vAlign w:val="center"/>
          </w:tcPr>
          <w:p w14:paraId="6D2E8FD7">
            <w:pPr>
              <w:spacing w:line="240" w:lineRule="auto"/>
              <w:jc w:val="center"/>
              <w:rPr>
                <w:rFonts w:cs="Times New Roman"/>
                <w:sz w:val="18"/>
                <w:szCs w:val="18"/>
              </w:rPr>
            </w:pPr>
          </w:p>
        </w:tc>
        <w:tc>
          <w:tcPr>
            <w:tcW w:w="1039" w:type="pct"/>
          </w:tcPr>
          <w:p w14:paraId="2E512A1C">
            <w:pPr>
              <w:spacing w:line="240" w:lineRule="auto"/>
              <w:jc w:val="center"/>
              <w:rPr>
                <w:rFonts w:cs="Times New Roman"/>
                <w:sz w:val="18"/>
                <w:szCs w:val="18"/>
              </w:rPr>
            </w:pPr>
          </w:p>
        </w:tc>
        <w:tc>
          <w:tcPr>
            <w:tcW w:w="1239" w:type="pct"/>
          </w:tcPr>
          <w:p w14:paraId="7AC94983">
            <w:pPr>
              <w:spacing w:line="240" w:lineRule="auto"/>
              <w:jc w:val="center"/>
              <w:rPr>
                <w:rFonts w:cs="Times New Roman"/>
                <w:sz w:val="18"/>
                <w:szCs w:val="18"/>
              </w:rPr>
            </w:pPr>
          </w:p>
        </w:tc>
        <w:tc>
          <w:tcPr>
            <w:tcW w:w="1039" w:type="pct"/>
            <w:vAlign w:val="center"/>
          </w:tcPr>
          <w:p w14:paraId="17162286">
            <w:pPr>
              <w:spacing w:line="240" w:lineRule="auto"/>
              <w:jc w:val="center"/>
              <w:rPr>
                <w:rFonts w:cs="Times New Roman"/>
                <w:sz w:val="18"/>
                <w:szCs w:val="18"/>
              </w:rPr>
            </w:pPr>
          </w:p>
        </w:tc>
      </w:tr>
      <w:tr w14:paraId="45BA1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pct"/>
            <w:vAlign w:val="center"/>
          </w:tcPr>
          <w:p w14:paraId="35CA8DCA">
            <w:pPr>
              <w:spacing w:line="240" w:lineRule="auto"/>
              <w:jc w:val="center"/>
              <w:rPr>
                <w:rFonts w:cs="Times New Roman"/>
                <w:sz w:val="18"/>
                <w:szCs w:val="18"/>
              </w:rPr>
            </w:pPr>
            <w:r>
              <w:rPr>
                <w:rFonts w:cs="Times New Roman"/>
                <w:sz w:val="18"/>
                <w:szCs w:val="18"/>
              </w:rPr>
              <w:t>……</w:t>
            </w:r>
          </w:p>
        </w:tc>
        <w:tc>
          <w:tcPr>
            <w:tcW w:w="1039" w:type="pct"/>
            <w:vAlign w:val="center"/>
          </w:tcPr>
          <w:p w14:paraId="36AE53CD">
            <w:pPr>
              <w:spacing w:line="240" w:lineRule="auto"/>
              <w:jc w:val="center"/>
              <w:rPr>
                <w:rFonts w:cs="Times New Roman"/>
                <w:sz w:val="18"/>
                <w:szCs w:val="18"/>
              </w:rPr>
            </w:pPr>
          </w:p>
        </w:tc>
        <w:tc>
          <w:tcPr>
            <w:tcW w:w="1039" w:type="pct"/>
          </w:tcPr>
          <w:p w14:paraId="58D1BC02">
            <w:pPr>
              <w:spacing w:line="240" w:lineRule="auto"/>
              <w:jc w:val="center"/>
              <w:rPr>
                <w:rFonts w:cs="Times New Roman"/>
                <w:sz w:val="18"/>
                <w:szCs w:val="18"/>
              </w:rPr>
            </w:pPr>
          </w:p>
        </w:tc>
        <w:tc>
          <w:tcPr>
            <w:tcW w:w="1239" w:type="pct"/>
          </w:tcPr>
          <w:p w14:paraId="01267F15">
            <w:pPr>
              <w:spacing w:line="240" w:lineRule="auto"/>
              <w:jc w:val="center"/>
              <w:rPr>
                <w:rFonts w:cs="Times New Roman"/>
                <w:sz w:val="18"/>
                <w:szCs w:val="18"/>
              </w:rPr>
            </w:pPr>
          </w:p>
        </w:tc>
        <w:tc>
          <w:tcPr>
            <w:tcW w:w="1039" w:type="pct"/>
            <w:vAlign w:val="center"/>
          </w:tcPr>
          <w:p w14:paraId="3CE600C0">
            <w:pPr>
              <w:spacing w:line="240" w:lineRule="auto"/>
              <w:jc w:val="center"/>
              <w:rPr>
                <w:rFonts w:cs="Times New Roman"/>
                <w:sz w:val="18"/>
                <w:szCs w:val="18"/>
              </w:rPr>
            </w:pPr>
          </w:p>
        </w:tc>
      </w:tr>
    </w:tbl>
    <w:p w14:paraId="101478EA">
      <w:pPr>
        <w:rPr>
          <w:rFonts w:eastAsia="黑体" w:cs="Times New Roman"/>
          <w:szCs w:val="28"/>
        </w:rPr>
      </w:pPr>
      <w:r>
        <w:rPr>
          <w:rFonts w:hint="eastAsia" w:eastAsia="黑体" w:cs="Times New Roman"/>
          <w:szCs w:val="28"/>
          <w:lang w:val="en-US" w:eastAsia="zh-CN"/>
        </w:rPr>
        <w:t>五</w:t>
      </w:r>
      <w:r>
        <w:rPr>
          <w:rFonts w:eastAsia="黑体" w:cs="Times New Roman"/>
          <w:szCs w:val="28"/>
        </w:rPr>
        <w:t>、碳排放数据</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18"/>
        <w:gridCol w:w="1898"/>
        <w:gridCol w:w="1126"/>
        <w:gridCol w:w="2415"/>
        <w:gridCol w:w="1593"/>
      </w:tblGrid>
      <w:tr w14:paraId="36E30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0" w:type="pct"/>
            <w:vAlign w:val="center"/>
          </w:tcPr>
          <w:p w14:paraId="7C6F6FE3">
            <w:pPr>
              <w:spacing w:line="240" w:lineRule="auto"/>
              <w:jc w:val="center"/>
              <w:rPr>
                <w:rFonts w:cs="Times New Roman"/>
                <w:sz w:val="18"/>
                <w:szCs w:val="18"/>
              </w:rPr>
            </w:pPr>
            <w:r>
              <w:rPr>
                <w:rFonts w:cs="Times New Roman"/>
                <w:sz w:val="18"/>
                <w:szCs w:val="18"/>
              </w:rPr>
              <w:t>排放活动</w:t>
            </w:r>
          </w:p>
        </w:tc>
        <w:tc>
          <w:tcPr>
            <w:tcW w:w="963" w:type="pct"/>
          </w:tcPr>
          <w:p w14:paraId="3099A4FB">
            <w:pPr>
              <w:spacing w:line="240" w:lineRule="auto"/>
              <w:jc w:val="center"/>
              <w:rPr>
                <w:rFonts w:cs="Times New Roman"/>
                <w:sz w:val="18"/>
                <w:szCs w:val="18"/>
              </w:rPr>
            </w:pPr>
            <w:r>
              <w:rPr>
                <w:rFonts w:hint="eastAsia" w:cs="Times New Roman"/>
                <w:sz w:val="18"/>
                <w:szCs w:val="18"/>
              </w:rPr>
              <w:t>源流</w:t>
            </w:r>
            <w:r>
              <w:rPr>
                <w:rFonts w:cs="Times New Roman"/>
                <w:sz w:val="18"/>
                <w:szCs w:val="18"/>
              </w:rPr>
              <w:t>类型</w:t>
            </w:r>
          </w:p>
        </w:tc>
        <w:tc>
          <w:tcPr>
            <w:tcW w:w="571" w:type="pct"/>
          </w:tcPr>
          <w:p w14:paraId="0F780C71">
            <w:pPr>
              <w:spacing w:line="240" w:lineRule="auto"/>
              <w:jc w:val="center"/>
              <w:rPr>
                <w:rFonts w:cs="Times New Roman"/>
                <w:sz w:val="18"/>
                <w:szCs w:val="18"/>
              </w:rPr>
            </w:pPr>
            <w:r>
              <w:rPr>
                <w:rFonts w:cs="Times New Roman"/>
                <w:sz w:val="18"/>
                <w:szCs w:val="18"/>
              </w:rPr>
              <w:t>编码</w:t>
            </w:r>
          </w:p>
        </w:tc>
        <w:tc>
          <w:tcPr>
            <w:tcW w:w="1225" w:type="pct"/>
            <w:vAlign w:val="center"/>
          </w:tcPr>
          <w:p w14:paraId="15F50265">
            <w:pPr>
              <w:spacing w:line="240" w:lineRule="auto"/>
              <w:jc w:val="center"/>
              <w:rPr>
                <w:rFonts w:cs="Times New Roman"/>
                <w:sz w:val="18"/>
                <w:szCs w:val="18"/>
              </w:rPr>
            </w:pPr>
            <w:r>
              <w:rPr>
                <w:rFonts w:cs="Times New Roman"/>
                <w:sz w:val="18"/>
                <w:szCs w:val="18"/>
              </w:rPr>
              <w:t>碳排放量tCO</w:t>
            </w:r>
            <w:r>
              <w:rPr>
                <w:rFonts w:cs="Times New Roman"/>
                <w:sz w:val="18"/>
                <w:szCs w:val="18"/>
                <w:vertAlign w:val="subscript"/>
              </w:rPr>
              <w:t>2</w:t>
            </w:r>
            <w:r>
              <w:rPr>
                <w:rFonts w:hint="eastAsia" w:cs="Times New Roman"/>
                <w:sz w:val="18"/>
                <w:szCs w:val="18"/>
              </w:rPr>
              <w:t>e</w:t>
            </w:r>
          </w:p>
        </w:tc>
        <w:tc>
          <w:tcPr>
            <w:tcW w:w="808" w:type="pct"/>
          </w:tcPr>
          <w:p w14:paraId="7369A4C5">
            <w:pPr>
              <w:spacing w:line="240" w:lineRule="auto"/>
              <w:jc w:val="center"/>
              <w:rPr>
                <w:rFonts w:cs="Times New Roman"/>
                <w:sz w:val="18"/>
                <w:szCs w:val="18"/>
              </w:rPr>
            </w:pPr>
            <w:r>
              <w:rPr>
                <w:rFonts w:cs="Times New Roman"/>
                <w:sz w:val="18"/>
                <w:szCs w:val="18"/>
              </w:rPr>
              <w:t>不确定度</w:t>
            </w:r>
          </w:p>
        </w:tc>
      </w:tr>
      <w:tr w14:paraId="16A6F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0" w:type="pct"/>
            <w:vMerge w:val="restart"/>
            <w:vAlign w:val="center"/>
          </w:tcPr>
          <w:p w14:paraId="3FDF3DA5">
            <w:pPr>
              <w:spacing w:line="240" w:lineRule="auto"/>
              <w:jc w:val="center"/>
              <w:rPr>
                <w:rFonts w:cs="Times New Roman"/>
                <w:sz w:val="18"/>
                <w:szCs w:val="18"/>
              </w:rPr>
            </w:pPr>
            <w:r>
              <w:rPr>
                <w:rFonts w:cs="Times New Roman"/>
                <w:sz w:val="18"/>
                <w:szCs w:val="18"/>
              </w:rPr>
              <w:t>化石能源消耗排放</w:t>
            </w:r>
          </w:p>
        </w:tc>
        <w:tc>
          <w:tcPr>
            <w:tcW w:w="963" w:type="pct"/>
          </w:tcPr>
          <w:p w14:paraId="686D28C5">
            <w:pPr>
              <w:spacing w:line="240" w:lineRule="auto"/>
              <w:jc w:val="center"/>
              <w:rPr>
                <w:rFonts w:cs="Times New Roman"/>
                <w:sz w:val="18"/>
                <w:szCs w:val="18"/>
              </w:rPr>
            </w:pPr>
            <w:r>
              <w:rPr>
                <w:rFonts w:cs="Times New Roman"/>
                <w:sz w:val="18"/>
                <w:szCs w:val="18"/>
              </w:rPr>
              <w:t>煤炭燃烧</w:t>
            </w:r>
          </w:p>
        </w:tc>
        <w:tc>
          <w:tcPr>
            <w:tcW w:w="571" w:type="pct"/>
          </w:tcPr>
          <w:p w14:paraId="180DD030">
            <w:pPr>
              <w:spacing w:line="240" w:lineRule="auto"/>
              <w:jc w:val="center"/>
              <w:rPr>
                <w:rFonts w:cs="Times New Roman"/>
                <w:sz w:val="18"/>
                <w:szCs w:val="18"/>
              </w:rPr>
            </w:pPr>
            <w:r>
              <w:rPr>
                <w:rFonts w:cs="Times New Roman"/>
                <w:sz w:val="18"/>
                <w:szCs w:val="18"/>
              </w:rPr>
              <w:t>D01.1</w:t>
            </w:r>
          </w:p>
        </w:tc>
        <w:tc>
          <w:tcPr>
            <w:tcW w:w="1225" w:type="pct"/>
            <w:vAlign w:val="center"/>
          </w:tcPr>
          <w:p w14:paraId="1E8A2E2A">
            <w:pPr>
              <w:spacing w:line="240" w:lineRule="auto"/>
              <w:jc w:val="center"/>
              <w:rPr>
                <w:rFonts w:cs="Times New Roman"/>
                <w:sz w:val="18"/>
                <w:szCs w:val="18"/>
              </w:rPr>
            </w:pPr>
          </w:p>
        </w:tc>
        <w:tc>
          <w:tcPr>
            <w:tcW w:w="808" w:type="pct"/>
          </w:tcPr>
          <w:p w14:paraId="3619CBAA">
            <w:pPr>
              <w:spacing w:line="240" w:lineRule="auto"/>
              <w:jc w:val="center"/>
              <w:rPr>
                <w:rFonts w:cs="Times New Roman"/>
                <w:sz w:val="18"/>
                <w:szCs w:val="18"/>
              </w:rPr>
            </w:pPr>
          </w:p>
        </w:tc>
      </w:tr>
      <w:tr w14:paraId="5D1D9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0" w:type="pct"/>
            <w:vMerge w:val="continue"/>
            <w:vAlign w:val="center"/>
          </w:tcPr>
          <w:p w14:paraId="1EE0D307">
            <w:pPr>
              <w:spacing w:line="240" w:lineRule="auto"/>
              <w:jc w:val="center"/>
              <w:rPr>
                <w:rFonts w:cs="Times New Roman"/>
                <w:sz w:val="18"/>
                <w:szCs w:val="18"/>
              </w:rPr>
            </w:pPr>
          </w:p>
        </w:tc>
        <w:tc>
          <w:tcPr>
            <w:tcW w:w="963" w:type="pct"/>
          </w:tcPr>
          <w:p w14:paraId="32723473">
            <w:pPr>
              <w:spacing w:line="240" w:lineRule="auto"/>
              <w:jc w:val="center"/>
              <w:rPr>
                <w:rFonts w:cs="Times New Roman"/>
                <w:sz w:val="18"/>
                <w:szCs w:val="18"/>
              </w:rPr>
            </w:pPr>
            <w:r>
              <w:rPr>
                <w:rFonts w:cs="Times New Roman"/>
                <w:sz w:val="18"/>
                <w:szCs w:val="18"/>
              </w:rPr>
              <w:t>天然气消耗</w:t>
            </w:r>
          </w:p>
        </w:tc>
        <w:tc>
          <w:tcPr>
            <w:tcW w:w="571" w:type="pct"/>
          </w:tcPr>
          <w:p w14:paraId="2C6D5261">
            <w:pPr>
              <w:spacing w:line="240" w:lineRule="auto"/>
              <w:jc w:val="center"/>
              <w:rPr>
                <w:rFonts w:cs="Times New Roman"/>
                <w:sz w:val="18"/>
                <w:szCs w:val="18"/>
              </w:rPr>
            </w:pPr>
            <w:r>
              <w:rPr>
                <w:rFonts w:cs="Times New Roman"/>
                <w:sz w:val="18"/>
                <w:szCs w:val="18"/>
              </w:rPr>
              <w:t>D01.2</w:t>
            </w:r>
          </w:p>
        </w:tc>
        <w:tc>
          <w:tcPr>
            <w:tcW w:w="1225" w:type="pct"/>
            <w:vAlign w:val="center"/>
          </w:tcPr>
          <w:p w14:paraId="2BA81DDF">
            <w:pPr>
              <w:spacing w:line="240" w:lineRule="auto"/>
              <w:jc w:val="center"/>
              <w:rPr>
                <w:rFonts w:cs="Times New Roman"/>
                <w:sz w:val="18"/>
                <w:szCs w:val="18"/>
              </w:rPr>
            </w:pPr>
          </w:p>
        </w:tc>
        <w:tc>
          <w:tcPr>
            <w:tcW w:w="808" w:type="pct"/>
          </w:tcPr>
          <w:p w14:paraId="6B8EB75F">
            <w:pPr>
              <w:spacing w:line="240" w:lineRule="auto"/>
              <w:jc w:val="center"/>
              <w:rPr>
                <w:rFonts w:cs="Times New Roman"/>
                <w:sz w:val="18"/>
                <w:szCs w:val="18"/>
              </w:rPr>
            </w:pPr>
          </w:p>
        </w:tc>
      </w:tr>
      <w:tr w14:paraId="70A05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0" w:type="pct"/>
            <w:vAlign w:val="center"/>
          </w:tcPr>
          <w:p w14:paraId="541007FD">
            <w:pPr>
              <w:spacing w:line="240" w:lineRule="auto"/>
              <w:jc w:val="center"/>
              <w:rPr>
                <w:rFonts w:cs="Times New Roman"/>
                <w:sz w:val="18"/>
                <w:szCs w:val="18"/>
              </w:rPr>
            </w:pPr>
            <w:r>
              <w:rPr>
                <w:rFonts w:cs="Times New Roman"/>
                <w:sz w:val="18"/>
                <w:szCs w:val="18"/>
              </w:rPr>
              <w:t>非能源过程排放</w:t>
            </w:r>
          </w:p>
        </w:tc>
        <w:tc>
          <w:tcPr>
            <w:tcW w:w="963" w:type="pct"/>
          </w:tcPr>
          <w:p w14:paraId="24A0AFAD">
            <w:pPr>
              <w:spacing w:line="240" w:lineRule="auto"/>
              <w:jc w:val="center"/>
              <w:rPr>
                <w:rFonts w:cs="Times New Roman"/>
                <w:sz w:val="18"/>
                <w:szCs w:val="18"/>
              </w:rPr>
            </w:pPr>
            <w:r>
              <w:rPr>
                <w:rFonts w:cs="Times New Roman"/>
                <w:sz w:val="18"/>
                <w:szCs w:val="18"/>
              </w:rPr>
              <w:t>制冷剂</w:t>
            </w:r>
          </w:p>
        </w:tc>
        <w:tc>
          <w:tcPr>
            <w:tcW w:w="571" w:type="pct"/>
          </w:tcPr>
          <w:p w14:paraId="45098401">
            <w:pPr>
              <w:spacing w:line="240" w:lineRule="auto"/>
              <w:jc w:val="center"/>
              <w:rPr>
                <w:rFonts w:cs="Times New Roman"/>
                <w:sz w:val="18"/>
                <w:szCs w:val="18"/>
              </w:rPr>
            </w:pPr>
            <w:r>
              <w:rPr>
                <w:rFonts w:cs="Times New Roman"/>
                <w:sz w:val="18"/>
                <w:szCs w:val="18"/>
              </w:rPr>
              <w:t>D02.1</w:t>
            </w:r>
          </w:p>
        </w:tc>
        <w:tc>
          <w:tcPr>
            <w:tcW w:w="1225" w:type="pct"/>
            <w:vAlign w:val="center"/>
          </w:tcPr>
          <w:p w14:paraId="2F38C2F0">
            <w:pPr>
              <w:spacing w:line="240" w:lineRule="auto"/>
              <w:jc w:val="center"/>
              <w:rPr>
                <w:rFonts w:cs="Times New Roman"/>
                <w:sz w:val="18"/>
                <w:szCs w:val="18"/>
              </w:rPr>
            </w:pPr>
          </w:p>
        </w:tc>
        <w:tc>
          <w:tcPr>
            <w:tcW w:w="808" w:type="pct"/>
          </w:tcPr>
          <w:p w14:paraId="2F9B372C">
            <w:pPr>
              <w:spacing w:line="240" w:lineRule="auto"/>
              <w:jc w:val="center"/>
              <w:rPr>
                <w:rFonts w:cs="Times New Roman"/>
                <w:sz w:val="18"/>
                <w:szCs w:val="18"/>
              </w:rPr>
            </w:pPr>
          </w:p>
        </w:tc>
      </w:tr>
      <w:tr w14:paraId="1C47F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0" w:type="pct"/>
            <w:vMerge w:val="restart"/>
            <w:vAlign w:val="center"/>
          </w:tcPr>
          <w:p w14:paraId="537C0358">
            <w:pPr>
              <w:spacing w:line="240" w:lineRule="auto"/>
              <w:jc w:val="center"/>
              <w:rPr>
                <w:rFonts w:cs="Times New Roman"/>
                <w:sz w:val="18"/>
                <w:szCs w:val="18"/>
              </w:rPr>
            </w:pPr>
            <w:r>
              <w:rPr>
                <w:rFonts w:cs="Times New Roman"/>
                <w:sz w:val="18"/>
                <w:szCs w:val="18"/>
              </w:rPr>
              <w:t>特殊物质过程排放</w:t>
            </w:r>
          </w:p>
        </w:tc>
        <w:tc>
          <w:tcPr>
            <w:tcW w:w="963" w:type="pct"/>
          </w:tcPr>
          <w:p w14:paraId="2A2C3295">
            <w:pPr>
              <w:spacing w:line="240" w:lineRule="auto"/>
              <w:jc w:val="center"/>
              <w:rPr>
                <w:rFonts w:cs="Times New Roman"/>
                <w:sz w:val="18"/>
                <w:szCs w:val="18"/>
              </w:rPr>
            </w:pPr>
            <w:r>
              <w:rPr>
                <w:rFonts w:hint="eastAsia" w:cs="Times New Roman"/>
                <w:sz w:val="18"/>
                <w:szCs w:val="18"/>
              </w:rPr>
              <w:t>绝缘气体</w:t>
            </w:r>
          </w:p>
        </w:tc>
        <w:tc>
          <w:tcPr>
            <w:tcW w:w="571" w:type="pct"/>
          </w:tcPr>
          <w:p w14:paraId="1501F1D2">
            <w:pPr>
              <w:spacing w:line="240" w:lineRule="auto"/>
              <w:jc w:val="center"/>
              <w:rPr>
                <w:rFonts w:cs="Times New Roman"/>
                <w:sz w:val="18"/>
                <w:szCs w:val="18"/>
              </w:rPr>
            </w:pPr>
            <w:r>
              <w:rPr>
                <w:rFonts w:cs="Times New Roman"/>
                <w:sz w:val="18"/>
                <w:szCs w:val="18"/>
              </w:rPr>
              <w:t>D03.1</w:t>
            </w:r>
          </w:p>
        </w:tc>
        <w:tc>
          <w:tcPr>
            <w:tcW w:w="1225" w:type="pct"/>
            <w:vAlign w:val="center"/>
          </w:tcPr>
          <w:p w14:paraId="251B2300">
            <w:pPr>
              <w:spacing w:line="240" w:lineRule="auto"/>
              <w:jc w:val="center"/>
              <w:rPr>
                <w:rFonts w:cs="Times New Roman"/>
                <w:sz w:val="18"/>
                <w:szCs w:val="18"/>
              </w:rPr>
            </w:pPr>
          </w:p>
        </w:tc>
        <w:tc>
          <w:tcPr>
            <w:tcW w:w="808" w:type="pct"/>
          </w:tcPr>
          <w:p w14:paraId="1D1A7D5C">
            <w:pPr>
              <w:spacing w:line="240" w:lineRule="auto"/>
              <w:jc w:val="center"/>
              <w:rPr>
                <w:rFonts w:cs="Times New Roman"/>
                <w:sz w:val="18"/>
                <w:szCs w:val="18"/>
              </w:rPr>
            </w:pPr>
          </w:p>
        </w:tc>
      </w:tr>
      <w:tr w14:paraId="4B5AE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0" w:type="pct"/>
            <w:vMerge w:val="continue"/>
            <w:vAlign w:val="center"/>
          </w:tcPr>
          <w:p w14:paraId="1084751D">
            <w:pPr>
              <w:spacing w:line="240" w:lineRule="auto"/>
              <w:jc w:val="center"/>
              <w:rPr>
                <w:rFonts w:cs="Times New Roman"/>
                <w:sz w:val="18"/>
                <w:szCs w:val="18"/>
              </w:rPr>
            </w:pPr>
          </w:p>
        </w:tc>
        <w:tc>
          <w:tcPr>
            <w:tcW w:w="963" w:type="pct"/>
          </w:tcPr>
          <w:p w14:paraId="3875F719">
            <w:pPr>
              <w:spacing w:line="240" w:lineRule="auto"/>
              <w:jc w:val="center"/>
              <w:rPr>
                <w:rFonts w:cs="Times New Roman"/>
                <w:sz w:val="18"/>
                <w:szCs w:val="18"/>
              </w:rPr>
            </w:pPr>
            <w:r>
              <w:rPr>
                <w:rFonts w:cs="Times New Roman"/>
                <w:sz w:val="18"/>
                <w:szCs w:val="18"/>
              </w:rPr>
              <w:t>含碳物质</w:t>
            </w:r>
          </w:p>
        </w:tc>
        <w:tc>
          <w:tcPr>
            <w:tcW w:w="571" w:type="pct"/>
          </w:tcPr>
          <w:p w14:paraId="494F57BB">
            <w:pPr>
              <w:spacing w:line="240" w:lineRule="auto"/>
              <w:jc w:val="center"/>
              <w:rPr>
                <w:rFonts w:cs="Times New Roman"/>
                <w:sz w:val="18"/>
                <w:szCs w:val="18"/>
              </w:rPr>
            </w:pPr>
            <w:r>
              <w:rPr>
                <w:rFonts w:cs="Times New Roman"/>
                <w:sz w:val="18"/>
                <w:szCs w:val="18"/>
              </w:rPr>
              <w:t>D03.2</w:t>
            </w:r>
          </w:p>
        </w:tc>
        <w:tc>
          <w:tcPr>
            <w:tcW w:w="1225" w:type="pct"/>
            <w:vAlign w:val="center"/>
          </w:tcPr>
          <w:p w14:paraId="2BB9B516">
            <w:pPr>
              <w:spacing w:line="240" w:lineRule="auto"/>
              <w:jc w:val="center"/>
              <w:rPr>
                <w:rFonts w:cs="Times New Roman"/>
                <w:sz w:val="18"/>
                <w:szCs w:val="18"/>
              </w:rPr>
            </w:pPr>
          </w:p>
        </w:tc>
        <w:tc>
          <w:tcPr>
            <w:tcW w:w="808" w:type="pct"/>
          </w:tcPr>
          <w:p w14:paraId="0E64C80A">
            <w:pPr>
              <w:spacing w:line="240" w:lineRule="auto"/>
              <w:jc w:val="center"/>
              <w:rPr>
                <w:rFonts w:cs="Times New Roman"/>
                <w:sz w:val="18"/>
                <w:szCs w:val="18"/>
              </w:rPr>
            </w:pPr>
          </w:p>
        </w:tc>
      </w:tr>
      <w:tr w14:paraId="094F3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0" w:type="pct"/>
            <w:vMerge w:val="restart"/>
            <w:vAlign w:val="center"/>
          </w:tcPr>
          <w:p w14:paraId="4CDD7E31">
            <w:pPr>
              <w:spacing w:line="240" w:lineRule="auto"/>
              <w:jc w:val="center"/>
              <w:rPr>
                <w:rFonts w:cs="Times New Roman"/>
                <w:sz w:val="18"/>
                <w:szCs w:val="18"/>
              </w:rPr>
            </w:pPr>
            <w:r>
              <w:rPr>
                <w:rFonts w:cs="Times New Roman"/>
                <w:sz w:val="18"/>
                <w:szCs w:val="18"/>
              </w:rPr>
              <w:t>净购入能源排放</w:t>
            </w:r>
          </w:p>
        </w:tc>
        <w:tc>
          <w:tcPr>
            <w:tcW w:w="963" w:type="pct"/>
          </w:tcPr>
          <w:p w14:paraId="56532EFD">
            <w:pPr>
              <w:spacing w:line="240" w:lineRule="auto"/>
              <w:jc w:val="center"/>
              <w:rPr>
                <w:rFonts w:cs="Times New Roman"/>
                <w:sz w:val="18"/>
                <w:szCs w:val="18"/>
              </w:rPr>
            </w:pPr>
            <w:r>
              <w:rPr>
                <w:rFonts w:cs="Times New Roman"/>
                <w:sz w:val="18"/>
                <w:szCs w:val="18"/>
              </w:rPr>
              <w:t>净购入电力</w:t>
            </w:r>
          </w:p>
        </w:tc>
        <w:tc>
          <w:tcPr>
            <w:tcW w:w="571" w:type="pct"/>
          </w:tcPr>
          <w:p w14:paraId="466842E8">
            <w:pPr>
              <w:spacing w:line="240" w:lineRule="auto"/>
              <w:jc w:val="center"/>
              <w:rPr>
                <w:rFonts w:cs="Times New Roman"/>
                <w:sz w:val="18"/>
                <w:szCs w:val="18"/>
              </w:rPr>
            </w:pPr>
            <w:r>
              <w:rPr>
                <w:rFonts w:cs="Times New Roman"/>
                <w:sz w:val="18"/>
                <w:szCs w:val="18"/>
              </w:rPr>
              <w:t>I11</w:t>
            </w:r>
          </w:p>
        </w:tc>
        <w:tc>
          <w:tcPr>
            <w:tcW w:w="1225" w:type="pct"/>
            <w:vAlign w:val="center"/>
          </w:tcPr>
          <w:p w14:paraId="1D96CD62">
            <w:pPr>
              <w:spacing w:line="240" w:lineRule="auto"/>
              <w:jc w:val="center"/>
              <w:rPr>
                <w:rFonts w:cs="Times New Roman"/>
                <w:sz w:val="18"/>
                <w:szCs w:val="18"/>
              </w:rPr>
            </w:pPr>
          </w:p>
        </w:tc>
        <w:tc>
          <w:tcPr>
            <w:tcW w:w="808" w:type="pct"/>
          </w:tcPr>
          <w:p w14:paraId="3D51E1C6">
            <w:pPr>
              <w:spacing w:line="240" w:lineRule="auto"/>
              <w:jc w:val="center"/>
              <w:rPr>
                <w:rFonts w:cs="Times New Roman"/>
                <w:sz w:val="18"/>
                <w:szCs w:val="18"/>
              </w:rPr>
            </w:pPr>
          </w:p>
        </w:tc>
      </w:tr>
      <w:tr w14:paraId="3ABF4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0" w:type="pct"/>
            <w:vMerge w:val="continue"/>
            <w:vAlign w:val="center"/>
          </w:tcPr>
          <w:p w14:paraId="3E688C45">
            <w:pPr>
              <w:spacing w:line="240" w:lineRule="auto"/>
              <w:jc w:val="center"/>
              <w:rPr>
                <w:rFonts w:cs="Times New Roman"/>
                <w:sz w:val="18"/>
                <w:szCs w:val="18"/>
              </w:rPr>
            </w:pPr>
          </w:p>
        </w:tc>
        <w:tc>
          <w:tcPr>
            <w:tcW w:w="963" w:type="pct"/>
          </w:tcPr>
          <w:p w14:paraId="07AF0DFA">
            <w:pPr>
              <w:spacing w:line="240" w:lineRule="auto"/>
              <w:jc w:val="center"/>
              <w:rPr>
                <w:rFonts w:cs="Times New Roman"/>
                <w:sz w:val="18"/>
                <w:szCs w:val="18"/>
              </w:rPr>
            </w:pPr>
            <w:r>
              <w:rPr>
                <w:rFonts w:cs="Times New Roman"/>
                <w:sz w:val="18"/>
                <w:szCs w:val="18"/>
              </w:rPr>
              <w:t>净购入热力</w:t>
            </w:r>
          </w:p>
        </w:tc>
        <w:tc>
          <w:tcPr>
            <w:tcW w:w="571" w:type="pct"/>
          </w:tcPr>
          <w:p w14:paraId="09E68044">
            <w:pPr>
              <w:spacing w:line="240" w:lineRule="auto"/>
              <w:jc w:val="center"/>
              <w:rPr>
                <w:rFonts w:cs="Times New Roman"/>
                <w:sz w:val="18"/>
                <w:szCs w:val="18"/>
              </w:rPr>
            </w:pPr>
            <w:r>
              <w:rPr>
                <w:rFonts w:cs="Times New Roman"/>
                <w:sz w:val="18"/>
                <w:szCs w:val="18"/>
              </w:rPr>
              <w:t>I12</w:t>
            </w:r>
          </w:p>
        </w:tc>
        <w:tc>
          <w:tcPr>
            <w:tcW w:w="1225" w:type="pct"/>
            <w:vAlign w:val="center"/>
          </w:tcPr>
          <w:p w14:paraId="7C2ED1EF">
            <w:pPr>
              <w:spacing w:line="240" w:lineRule="auto"/>
              <w:jc w:val="center"/>
              <w:rPr>
                <w:rFonts w:cs="Times New Roman"/>
                <w:sz w:val="18"/>
                <w:szCs w:val="18"/>
              </w:rPr>
            </w:pPr>
          </w:p>
        </w:tc>
        <w:tc>
          <w:tcPr>
            <w:tcW w:w="808" w:type="pct"/>
          </w:tcPr>
          <w:p w14:paraId="2B38BD34">
            <w:pPr>
              <w:spacing w:line="240" w:lineRule="auto"/>
              <w:jc w:val="center"/>
              <w:rPr>
                <w:rFonts w:cs="Times New Roman"/>
                <w:sz w:val="18"/>
                <w:szCs w:val="18"/>
              </w:rPr>
            </w:pPr>
          </w:p>
        </w:tc>
      </w:tr>
      <w:tr w14:paraId="5A814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0" w:type="pct"/>
            <w:vAlign w:val="center"/>
          </w:tcPr>
          <w:p w14:paraId="56DF5E92">
            <w:pPr>
              <w:spacing w:line="240" w:lineRule="auto"/>
              <w:jc w:val="center"/>
              <w:rPr>
                <w:rFonts w:cs="Times New Roman"/>
                <w:sz w:val="18"/>
                <w:szCs w:val="18"/>
              </w:rPr>
            </w:pPr>
            <w:r>
              <w:rPr>
                <w:rFonts w:cs="Times New Roman"/>
                <w:sz w:val="18"/>
                <w:szCs w:val="18"/>
              </w:rPr>
              <w:t>……</w:t>
            </w:r>
          </w:p>
        </w:tc>
        <w:tc>
          <w:tcPr>
            <w:tcW w:w="963" w:type="pct"/>
          </w:tcPr>
          <w:p w14:paraId="682FD9EA">
            <w:pPr>
              <w:spacing w:line="240" w:lineRule="auto"/>
              <w:jc w:val="center"/>
              <w:rPr>
                <w:rFonts w:cs="Times New Roman"/>
                <w:sz w:val="18"/>
                <w:szCs w:val="18"/>
              </w:rPr>
            </w:pPr>
          </w:p>
        </w:tc>
        <w:tc>
          <w:tcPr>
            <w:tcW w:w="571" w:type="pct"/>
          </w:tcPr>
          <w:p w14:paraId="4CEA7109">
            <w:pPr>
              <w:spacing w:line="240" w:lineRule="auto"/>
              <w:jc w:val="center"/>
              <w:rPr>
                <w:rFonts w:cs="Times New Roman"/>
                <w:sz w:val="18"/>
                <w:szCs w:val="18"/>
              </w:rPr>
            </w:pPr>
          </w:p>
        </w:tc>
        <w:tc>
          <w:tcPr>
            <w:tcW w:w="1225" w:type="pct"/>
            <w:vAlign w:val="center"/>
          </w:tcPr>
          <w:p w14:paraId="0282053C">
            <w:pPr>
              <w:spacing w:line="240" w:lineRule="auto"/>
              <w:jc w:val="center"/>
              <w:rPr>
                <w:rFonts w:cs="Times New Roman"/>
                <w:sz w:val="18"/>
                <w:szCs w:val="18"/>
              </w:rPr>
            </w:pPr>
          </w:p>
        </w:tc>
        <w:tc>
          <w:tcPr>
            <w:tcW w:w="808" w:type="pct"/>
          </w:tcPr>
          <w:p w14:paraId="510F7ED3">
            <w:pPr>
              <w:spacing w:line="240" w:lineRule="auto"/>
              <w:jc w:val="center"/>
              <w:rPr>
                <w:rFonts w:cs="Times New Roman"/>
                <w:sz w:val="18"/>
                <w:szCs w:val="18"/>
              </w:rPr>
            </w:pPr>
          </w:p>
        </w:tc>
      </w:tr>
    </w:tbl>
    <w:p w14:paraId="6DDD0253">
      <w:pPr>
        <w:rPr>
          <w:rFonts w:eastAsia="黑体" w:cs="Times New Roman"/>
          <w:szCs w:val="28"/>
        </w:rPr>
      </w:pPr>
      <w:r>
        <w:rPr>
          <w:rFonts w:eastAsia="黑体" w:cs="Times New Roman"/>
          <w:szCs w:val="28"/>
        </w:rPr>
        <w:t>五、结果</w:t>
      </w:r>
    </w:p>
    <w:p w14:paraId="52AF0B09">
      <w:pPr>
        <w:ind w:firstLine="480" w:firstLineChars="200"/>
        <w:rPr>
          <w:rFonts w:cs="Times New Roman"/>
          <w:szCs w:val="28"/>
        </w:rPr>
      </w:pPr>
      <w:r>
        <w:rPr>
          <w:rFonts w:cs="Times New Roman"/>
          <w:szCs w:val="28"/>
        </w:rPr>
        <w:t>本批次</w:t>
      </w:r>
      <w:r>
        <w:rPr>
          <w:rFonts w:hint="eastAsia" w:cs="Times New Roman"/>
          <w:szCs w:val="28"/>
          <w:lang w:val="en-US" w:eastAsia="zh-CN"/>
        </w:rPr>
        <w:t>精装修模块房生产</w:t>
      </w:r>
      <w:r>
        <w:rPr>
          <w:rFonts w:hint="eastAsia" w:cs="Times New Roman"/>
          <w:szCs w:val="28"/>
        </w:rPr>
        <w:t>阶段</w:t>
      </w:r>
      <w:r>
        <w:rPr>
          <w:rFonts w:cs="Times New Roman"/>
          <w:szCs w:val="28"/>
        </w:rPr>
        <w:t>碳排放量及不确定度：</w:t>
      </w:r>
    </w:p>
    <w:p w14:paraId="20472CDE">
      <w:pPr>
        <w:ind w:firstLine="480" w:firstLineChars="200"/>
        <w:rPr>
          <w:rFonts w:cs="Times New Roman"/>
          <w:szCs w:val="28"/>
        </w:rPr>
      </w:pPr>
      <w:r>
        <w:rPr>
          <w:rFonts w:cs="Times New Roman"/>
          <w:szCs w:val="28"/>
        </w:rPr>
        <w:t>（注明所用</w:t>
      </w:r>
      <w:r>
        <w:rPr>
          <w:rFonts w:hint="eastAsia" w:cs="Times New Roman"/>
          <w:szCs w:val="28"/>
        </w:rPr>
        <w:t>排放因子</w:t>
      </w:r>
      <w:r>
        <w:rPr>
          <w:rFonts w:cs="Times New Roman"/>
          <w:szCs w:val="28"/>
        </w:rPr>
        <w:t>为实测值或采信值）</w:t>
      </w:r>
    </w:p>
    <w:p w14:paraId="6590F6E5">
      <w:pPr>
        <w:ind w:firstLine="480" w:firstLineChars="200"/>
        <w:rPr>
          <w:rFonts w:cs="Times New Roman"/>
          <w:szCs w:val="28"/>
        </w:rPr>
      </w:pPr>
      <w:r>
        <w:rPr>
          <w:rFonts w:hint="eastAsia" w:cs="Times New Roman"/>
          <w:szCs w:val="28"/>
          <w:lang w:val="en-US" w:eastAsia="zh-CN"/>
        </w:rPr>
        <w:t>精装修模块房生产</w:t>
      </w:r>
      <w:r>
        <w:rPr>
          <w:rFonts w:hint="eastAsia" w:cs="Times New Roman"/>
          <w:szCs w:val="28"/>
        </w:rPr>
        <w:t>阶段</w:t>
      </w:r>
      <w:r>
        <w:rPr>
          <w:rFonts w:hint="eastAsia" w:cs="Times New Roman"/>
          <w:szCs w:val="28"/>
          <w:lang w:val="en-US" w:eastAsia="zh-CN"/>
        </w:rPr>
        <w:t>产品碳排放强度</w:t>
      </w:r>
      <w:r>
        <w:rPr>
          <w:rFonts w:cs="Times New Roman"/>
          <w:szCs w:val="28"/>
        </w:rPr>
        <w:t>：</w:t>
      </w:r>
    </w:p>
    <w:p w14:paraId="055C9C84">
      <w:pPr>
        <w:ind w:firstLine="480" w:firstLineChars="200"/>
        <w:rPr>
          <w:rFonts w:cs="Times New Roman"/>
          <w:szCs w:val="28"/>
        </w:rPr>
      </w:pPr>
    </w:p>
    <w:p w14:paraId="4CED27F4">
      <w:pPr>
        <w:ind w:firstLine="480" w:firstLineChars="200"/>
        <w:rPr>
          <w:rFonts w:cs="Times New Roman"/>
          <w:szCs w:val="28"/>
        </w:rPr>
      </w:pPr>
    </w:p>
    <w:p w14:paraId="412297BA">
      <w:pPr>
        <w:ind w:firstLine="480" w:firstLineChars="200"/>
        <w:rPr>
          <w:rFonts w:cs="Times New Roman"/>
          <w:szCs w:val="28"/>
        </w:rPr>
      </w:pPr>
    </w:p>
    <w:p w14:paraId="67239D79">
      <w:pPr>
        <w:ind w:firstLine="480" w:firstLineChars="200"/>
        <w:rPr>
          <w:rFonts w:cs="Times New Roman"/>
          <w:szCs w:val="28"/>
        </w:rPr>
      </w:pPr>
    </w:p>
    <w:p w14:paraId="5C5D222B">
      <w:pPr>
        <w:ind w:firstLine="480" w:firstLineChars="200"/>
        <w:rPr>
          <w:rFonts w:cs="Times New Roman"/>
          <w:szCs w:val="28"/>
        </w:rPr>
      </w:pPr>
    </w:p>
    <w:p w14:paraId="7BF4A515">
      <w:pPr>
        <w:ind w:firstLine="480" w:firstLineChars="200"/>
        <w:rPr>
          <w:rFonts w:cs="Times New Roman"/>
          <w:szCs w:val="28"/>
        </w:rPr>
      </w:pPr>
    </w:p>
    <w:p w14:paraId="736E122F">
      <w:pPr>
        <w:ind w:firstLine="480" w:firstLineChars="200"/>
        <w:rPr>
          <w:rFonts w:cs="Times New Roman"/>
          <w:szCs w:val="28"/>
        </w:rPr>
      </w:pPr>
    </w:p>
    <w:p w14:paraId="60BC8324">
      <w:pPr>
        <w:ind w:firstLine="480" w:firstLineChars="200"/>
        <w:rPr>
          <w:rFonts w:cs="Times New Roman"/>
          <w:szCs w:val="28"/>
        </w:rPr>
      </w:pPr>
    </w:p>
    <w:p w14:paraId="3AFFF5D6">
      <w:pPr>
        <w:ind w:firstLine="1680" w:firstLineChars="700"/>
        <w:rPr>
          <w:rFonts w:eastAsia="黑体" w:cs="Times New Roman"/>
          <w:szCs w:val="28"/>
        </w:rPr>
      </w:pPr>
      <w:r>
        <w:rPr>
          <w:rFonts w:eastAsia="黑体" w:cs="Times New Roman"/>
          <w:szCs w:val="28"/>
        </w:rPr>
        <w:t xml:space="preserve">                                                      </w:t>
      </w:r>
      <w:r>
        <w:rPr>
          <w:rFonts w:hint="eastAsia" w:eastAsia="黑体" w:cs="Times New Roman"/>
          <w:szCs w:val="28"/>
        </w:rPr>
        <w:t xml:space="preserve"> </w:t>
      </w:r>
      <w:r>
        <w:rPr>
          <w:rFonts w:eastAsia="黑体" w:cs="Times New Roman"/>
          <w:szCs w:val="28"/>
        </w:rPr>
        <w:t xml:space="preserve">  </w:t>
      </w:r>
      <w:r>
        <w:rPr>
          <w:rFonts w:hint="eastAsia" w:eastAsia="黑体" w:cs="Times New Roman"/>
          <w:szCs w:val="28"/>
        </w:rPr>
        <w:t>报告</w:t>
      </w:r>
      <w:r>
        <w:rPr>
          <w:rFonts w:eastAsia="黑体" w:cs="Times New Roman"/>
          <w:szCs w:val="28"/>
        </w:rPr>
        <w:t>人员：</w:t>
      </w:r>
    </w:p>
    <w:p w14:paraId="0886F2F4">
      <w:pPr>
        <w:jc w:val="center"/>
        <w:rPr>
          <w:rFonts w:eastAsia="黑体" w:cs="Times New Roman"/>
          <w:szCs w:val="28"/>
        </w:rPr>
      </w:pPr>
      <w:r>
        <w:rPr>
          <w:rFonts w:hint="eastAsia" w:eastAsia="黑体" w:cs="Times New Roman"/>
          <w:szCs w:val="28"/>
        </w:rPr>
        <w:t>报告专用章</w:t>
      </w:r>
      <w:r>
        <w:rPr>
          <w:rFonts w:eastAsia="黑体" w:cs="Times New Roman"/>
          <w:szCs w:val="28"/>
        </w:rPr>
        <w:t xml:space="preserve">：    </w:t>
      </w:r>
      <w:r>
        <w:rPr>
          <w:rFonts w:hint="eastAsia" w:eastAsia="黑体" w:cs="Times New Roman"/>
          <w:szCs w:val="28"/>
        </w:rPr>
        <w:t xml:space="preserve">            </w:t>
      </w:r>
      <w:r>
        <w:rPr>
          <w:rFonts w:eastAsia="黑体" w:cs="Times New Roman"/>
          <w:szCs w:val="28"/>
        </w:rPr>
        <w:t xml:space="preserve">           </w:t>
      </w:r>
      <w:r>
        <w:rPr>
          <w:rFonts w:hint="eastAsia" w:eastAsia="黑体" w:cs="Times New Roman"/>
          <w:szCs w:val="28"/>
        </w:rPr>
        <w:t>校审</w:t>
      </w:r>
      <w:r>
        <w:rPr>
          <w:rFonts w:eastAsia="黑体" w:cs="Times New Roman"/>
          <w:szCs w:val="28"/>
        </w:rPr>
        <w:t>人员：</w:t>
      </w:r>
    </w:p>
    <w:p w14:paraId="3C2336CF">
      <w:pPr>
        <w:jc w:val="center"/>
        <w:rPr>
          <w:rFonts w:eastAsia="黑体" w:cs="Times New Roman"/>
          <w:szCs w:val="28"/>
        </w:rPr>
      </w:pPr>
      <w:r>
        <w:rPr>
          <w:rFonts w:eastAsia="黑体" w:cs="Times New Roman"/>
          <w:szCs w:val="28"/>
        </w:rPr>
        <w:t xml:space="preserve">                                                   </w:t>
      </w:r>
      <w:r>
        <w:rPr>
          <w:rFonts w:hint="eastAsia" w:eastAsia="黑体" w:cs="Times New Roman"/>
          <w:color w:val="000000" w:themeColor="text1"/>
          <w:szCs w:val="28"/>
          <w:lang w:val="en-US" w:eastAsia="zh-CN"/>
          <w14:textFill>
            <w14:solidFill>
              <w14:schemeClr w14:val="tx1"/>
            </w14:solidFill>
          </w14:textFill>
        </w:rPr>
        <w:t>批准</w:t>
      </w:r>
      <w:r>
        <w:rPr>
          <w:rFonts w:eastAsia="黑体" w:cs="Times New Roman"/>
          <w:szCs w:val="28"/>
        </w:rPr>
        <w:t>人员：</w:t>
      </w:r>
    </w:p>
    <w:p w14:paraId="4E70D8BF">
      <w:pPr>
        <w:pStyle w:val="12"/>
        <w:ind w:firstLine="0" w:firstLineChars="0"/>
        <w:rPr>
          <w:rFonts w:hint="default"/>
          <w:lang w:val="en-US" w:eastAsia="zh-CN"/>
        </w:rPr>
        <w:sectPr>
          <w:pgSz w:w="11906" w:h="16838"/>
          <w:pgMar w:top="1134" w:right="1134" w:bottom="1134" w:left="1134" w:header="851" w:footer="992" w:gutter="0"/>
          <w:cols w:space="0" w:num="1"/>
          <w:rtlGutter w:val="0"/>
          <w:docGrid w:type="lines" w:linePitch="331" w:charSpace="0"/>
        </w:sectPr>
      </w:pPr>
    </w:p>
    <w:p w14:paraId="7AD5E5DF">
      <w:pPr>
        <w:pStyle w:val="3"/>
        <w:bidi w:val="0"/>
        <w:rPr>
          <w:rFonts w:hint="eastAsia"/>
          <w:lang w:val="en-US" w:eastAsia="zh-CN"/>
        </w:rPr>
      </w:pPr>
      <w:bookmarkStart w:id="152" w:name="_Toc6062"/>
      <w:r>
        <w:rPr>
          <w:rFonts w:hint="eastAsia"/>
          <w:lang w:val="en-US" w:eastAsia="zh-CN"/>
        </w:rPr>
        <w:t>附录E</w:t>
      </w:r>
      <w:bookmarkEnd w:id="152"/>
    </w:p>
    <w:p w14:paraId="08DC85E2">
      <w:pPr>
        <w:jc w:val="center"/>
        <w:rPr>
          <w:rFonts w:hint="eastAsia" w:ascii="黑体" w:hAnsi="黑体" w:eastAsia="黑体"/>
          <w:sz w:val="24"/>
          <w:szCs w:val="24"/>
          <w:lang w:val="en-US" w:eastAsia="zh-CN"/>
        </w:rPr>
      </w:pPr>
      <w:r>
        <w:rPr>
          <w:rFonts w:hint="eastAsia" w:ascii="黑体" w:hAnsi="黑体" w:eastAsia="黑体"/>
          <w:sz w:val="24"/>
          <w:szCs w:val="24"/>
          <w:lang w:val="en-US" w:eastAsia="zh-CN"/>
        </w:rPr>
        <w:t>模块房生产阶段碳排放不确定度评估方法及示例</w:t>
      </w:r>
    </w:p>
    <w:p w14:paraId="7375F842">
      <w:pPr>
        <w:ind w:firstLine="480" w:firstLineChars="200"/>
        <w:jc w:val="left"/>
        <w:rPr>
          <w:rFonts w:cs="Times New Roman"/>
          <w:color w:val="000000" w:themeColor="text1"/>
          <w:szCs w:val="28"/>
          <w14:textFill>
            <w14:solidFill>
              <w14:schemeClr w14:val="tx1"/>
            </w14:solidFill>
          </w14:textFill>
        </w:rPr>
      </w:pPr>
      <w:r>
        <w:rPr>
          <w:rFonts w:hint="eastAsia" w:cs="Times New Roman"/>
          <w:color w:val="000000" w:themeColor="text1"/>
          <w:szCs w:val="28"/>
          <w:lang w:val="en-US" w:eastAsia="zh-CN"/>
          <w14:textFill>
            <w14:solidFill>
              <w14:schemeClr w14:val="tx1"/>
            </w14:solidFill>
          </w14:textFill>
        </w:rPr>
        <w:t>精装修模块房生产</w:t>
      </w:r>
      <w:r>
        <w:rPr>
          <w:rFonts w:hint="eastAsia" w:cs="Times New Roman"/>
          <w:color w:val="000000" w:themeColor="text1"/>
          <w:szCs w:val="28"/>
          <w14:textFill>
            <w14:solidFill>
              <w14:schemeClr w14:val="tx1"/>
            </w14:solidFill>
          </w14:textFill>
        </w:rPr>
        <w:t>阶段应按</w:t>
      </w:r>
      <w:r>
        <w:rPr>
          <w:rFonts w:cs="Times New Roman"/>
          <w:color w:val="000000" w:themeColor="text1"/>
          <w:szCs w:val="28"/>
          <w14:textFill>
            <w14:solidFill>
              <w14:schemeClr w14:val="tx1"/>
            </w14:solidFill>
          </w14:textFill>
        </w:rPr>
        <w:t>JJF 1059.1要求对</w:t>
      </w:r>
      <w:r>
        <w:rPr>
          <w:rFonts w:hint="eastAsia" w:cs="Times New Roman"/>
          <w:color w:val="000000" w:themeColor="text1"/>
          <w:szCs w:val="28"/>
          <w14:textFill>
            <w14:solidFill>
              <w14:schemeClr w14:val="tx1"/>
            </w14:solidFill>
          </w14:textFill>
        </w:rPr>
        <w:t>相关活动</w:t>
      </w:r>
      <w:r>
        <w:rPr>
          <w:rFonts w:cs="Times New Roman"/>
          <w:color w:val="000000" w:themeColor="text1"/>
          <w:szCs w:val="28"/>
          <w14:textFill>
            <w14:solidFill>
              <w14:schemeClr w14:val="tx1"/>
            </w14:solidFill>
          </w14:textFill>
        </w:rPr>
        <w:t>数据和</w:t>
      </w:r>
      <w:r>
        <w:rPr>
          <w:rFonts w:hint="eastAsia" w:cs="Times New Roman"/>
          <w:color w:val="000000" w:themeColor="text1"/>
          <w:szCs w:val="28"/>
          <w14:textFill>
            <w14:solidFill>
              <w14:schemeClr w14:val="tx1"/>
            </w14:solidFill>
          </w14:textFill>
        </w:rPr>
        <w:t>碳</w:t>
      </w:r>
      <w:r>
        <w:rPr>
          <w:rFonts w:cs="Times New Roman"/>
          <w:color w:val="000000" w:themeColor="text1"/>
          <w:szCs w:val="28"/>
          <w14:textFill>
            <w14:solidFill>
              <w14:schemeClr w14:val="tx1"/>
            </w14:solidFill>
          </w14:textFill>
        </w:rPr>
        <w:t>排放因子进行不确定度</w:t>
      </w:r>
      <w:r>
        <w:rPr>
          <w:rFonts w:hint="eastAsia" w:cs="Times New Roman"/>
          <w:color w:val="000000" w:themeColor="text1"/>
          <w:szCs w:val="28"/>
          <w14:textFill>
            <w14:solidFill>
              <w14:schemeClr w14:val="tx1"/>
            </w14:solidFill>
          </w14:textFill>
        </w:rPr>
        <w:t>分析</w:t>
      </w:r>
      <w:r>
        <w:rPr>
          <w:rFonts w:cs="Times New Roman"/>
          <w:color w:val="000000" w:themeColor="text1"/>
          <w:szCs w:val="28"/>
          <w14:textFill>
            <w14:solidFill>
              <w14:schemeClr w14:val="tx1"/>
            </w14:solidFill>
          </w14:textFill>
        </w:rPr>
        <w:t>。</w:t>
      </w:r>
    </w:p>
    <w:p w14:paraId="31257054">
      <w:pPr>
        <w:ind w:firstLine="482" w:firstLineChars="200"/>
        <w:jc w:val="left"/>
        <w:rPr>
          <w:b/>
          <w:bCs/>
          <w:color w:val="000000" w:themeColor="text1"/>
          <w:kern w:val="0"/>
          <w14:textFill>
            <w14:solidFill>
              <w14:schemeClr w14:val="tx1"/>
            </w14:solidFill>
          </w14:textFill>
        </w:rPr>
      </w:pPr>
      <w:r>
        <w:rPr>
          <w:rFonts w:hint="eastAsia"/>
          <w:b/>
          <w:bCs/>
          <w:color w:val="000000" w:themeColor="text1"/>
          <w:kern w:val="0"/>
          <w14:textFill>
            <w14:solidFill>
              <w14:schemeClr w14:val="tx1"/>
            </w14:solidFill>
          </w14:textFill>
        </w:rPr>
        <w:t>D.</w:t>
      </w:r>
      <w:r>
        <w:rPr>
          <w:b/>
          <w:bCs/>
          <w:color w:val="000000" w:themeColor="text1"/>
          <w:kern w:val="0"/>
          <w14:textFill>
            <w14:solidFill>
              <w14:schemeClr w14:val="tx1"/>
            </w14:solidFill>
          </w14:textFill>
        </w:rPr>
        <w:t xml:space="preserve">1 </w:t>
      </w:r>
      <w:r>
        <w:rPr>
          <w:rFonts w:hint="eastAsia"/>
          <w:b/>
          <w:bCs/>
          <w:color w:val="000000" w:themeColor="text1"/>
          <w:kern w:val="0"/>
          <w14:textFill>
            <w14:solidFill>
              <w14:schemeClr w14:val="tx1"/>
            </w14:solidFill>
          </w14:textFill>
        </w:rPr>
        <w:t>测量模型</w:t>
      </w:r>
    </w:p>
    <w:p w14:paraId="0453272D">
      <w:pPr>
        <w:ind w:firstLine="480" w:firstLineChars="200"/>
        <w:jc w:val="left"/>
        <w:rPr>
          <w:color w:val="000000" w:themeColor="text1"/>
          <w:kern w:val="0"/>
          <w14:textFill>
            <w14:solidFill>
              <w14:schemeClr w14:val="tx1"/>
            </w14:solidFill>
          </w14:textFill>
        </w:rPr>
      </w:pPr>
      <w:r>
        <w:rPr>
          <w:rFonts w:hint="eastAsia" w:cs="Times New Roman"/>
          <w:color w:val="000000" w:themeColor="text1"/>
          <w:szCs w:val="28"/>
          <w:lang w:val="en-US" w:eastAsia="zh-CN"/>
          <w14:textFill>
            <w14:solidFill>
              <w14:schemeClr w14:val="tx1"/>
            </w14:solidFill>
          </w14:textFill>
        </w:rPr>
        <w:t>精装修模块房生产</w:t>
      </w:r>
      <w:r>
        <w:rPr>
          <w:rFonts w:hint="eastAsia" w:cs="Times New Roman"/>
          <w:color w:val="000000" w:themeColor="text1"/>
          <w14:textFill>
            <w14:solidFill>
              <w14:schemeClr w14:val="tx1"/>
            </w14:solidFill>
          </w14:textFill>
        </w:rPr>
        <w:t>阶段</w:t>
      </w:r>
      <w:r>
        <w:rPr>
          <w:rFonts w:cs="Times New Roman"/>
          <w:color w:val="000000" w:themeColor="text1"/>
          <w14:textFill>
            <w14:solidFill>
              <w14:schemeClr w14:val="tx1"/>
            </w14:solidFill>
          </w14:textFill>
        </w:rPr>
        <w:t>碳排放总量</w:t>
      </w:r>
      <w:r>
        <w:rPr>
          <w:rFonts w:hint="eastAsia"/>
          <w:color w:val="000000" w:themeColor="text1"/>
          <w:kern w:val="0"/>
          <w14:textFill>
            <w14:solidFill>
              <w14:schemeClr w14:val="tx1"/>
            </w14:solidFill>
          </w14:textFill>
        </w:rPr>
        <w:t>按公式1计算：</w:t>
      </w:r>
    </w:p>
    <w:p w14:paraId="5558BE26">
      <w:pPr>
        <w:pStyle w:val="64"/>
        <w:bidi w:val="0"/>
        <w:jc w:val="both"/>
        <w:rPr>
          <w:rFonts w:hint="eastAsia" w:eastAsia="宋体"/>
          <w:lang w:eastAsia="zh-CN"/>
        </w:rPr>
      </w:pPr>
      <w:r>
        <w:rPr>
          <w:rFonts w:hint="eastAsia" w:hAnsi="Cambria Math" w:cs="Times New Roman"/>
          <w:i w:val="0"/>
          <w:kern w:val="2"/>
          <w:sz w:val="24"/>
          <w:szCs w:val="21"/>
          <w:lang w:val="en-US" w:eastAsia="zh-CN" w:bidi="ar-SA"/>
        </w:rPr>
        <w:tab/>
      </w:r>
      <m:oMath>
        <m:r>
          <m:rPr/>
          <w:rPr>
            <w:rFonts w:hint="default" w:ascii="Cambria Math" w:hAnsi="Cambria Math" w:cs="Times New Roman"/>
            <w:kern w:val="2"/>
            <w:sz w:val="24"/>
            <w:szCs w:val="21"/>
            <w:lang w:val="en-US" w:eastAsia="zh-CN" w:bidi="ar-SA"/>
          </w:rPr>
          <m:t>E=</m:t>
        </m:r>
        <m:sSub>
          <m:sSubPr>
            <m:ctrlPr>
              <w:rPr>
                <w:rFonts w:hint="default" w:ascii="Cambria Math" w:hAnsi="Cambria Math" w:cs="Times New Roman"/>
                <w:i/>
                <w:kern w:val="2"/>
                <w:sz w:val="24"/>
                <w:szCs w:val="21"/>
                <w:lang w:val="en-US" w:eastAsia="zh-CN" w:bidi="ar-SA"/>
              </w:rPr>
            </m:ctrlPr>
          </m:sSubPr>
          <m:e>
            <m:r>
              <m:rPr/>
              <w:rPr>
                <w:rFonts w:hint="default" w:ascii="Cambria Math" w:hAnsi="Cambria Math" w:cs="Times New Roman"/>
                <w:kern w:val="2"/>
                <w:sz w:val="24"/>
                <w:szCs w:val="21"/>
                <w:lang w:val="en-US" w:eastAsia="zh-CN" w:bidi="ar-SA"/>
              </w:rPr>
              <m:t>E</m:t>
            </m:r>
            <m:ctrlPr>
              <w:rPr>
                <w:rFonts w:hint="default" w:ascii="Cambria Math" w:hAnsi="Cambria Math" w:cs="Times New Roman"/>
                <w:i/>
                <w:kern w:val="2"/>
                <w:sz w:val="24"/>
                <w:szCs w:val="21"/>
                <w:lang w:val="en-US" w:eastAsia="zh-CN" w:bidi="ar-SA"/>
              </w:rPr>
            </m:ctrlPr>
          </m:e>
          <m:sub>
            <m:r>
              <m:rPr>
                <m:sty m:val="p"/>
              </m:rPr>
              <w:rPr>
                <w:rFonts w:hint="default" w:ascii="Cambria Math" w:hAnsi="Cambria Math" w:cs="Times New Roman"/>
                <w:kern w:val="2"/>
                <w:sz w:val="24"/>
                <w:szCs w:val="21"/>
                <w:lang w:val="en-US" w:eastAsia="zh-CN" w:bidi="ar-SA"/>
              </w:rPr>
              <m:t>hs</m:t>
            </m:r>
            <m:ctrlPr>
              <w:rPr>
                <w:rFonts w:hint="default" w:ascii="Cambria Math" w:hAnsi="Cambria Math" w:cs="Times New Roman"/>
                <w:i/>
                <w:kern w:val="2"/>
                <w:sz w:val="24"/>
                <w:szCs w:val="21"/>
                <w:lang w:val="en-US" w:eastAsia="zh-CN" w:bidi="ar-SA"/>
              </w:rPr>
            </m:ctrlPr>
          </m:sub>
        </m:sSub>
        <m:r>
          <m:rPr/>
          <w:rPr>
            <w:rFonts w:hint="default" w:ascii="Cambria Math" w:hAnsi="Cambria Math" w:cs="Times New Roman"/>
            <w:kern w:val="2"/>
            <w:sz w:val="24"/>
            <w:szCs w:val="21"/>
            <w:lang w:val="en-US" w:eastAsia="zh-CN" w:bidi="ar-SA"/>
          </w:rPr>
          <m:t>+</m:t>
        </m:r>
        <m:sSub>
          <m:sSubPr>
            <m:ctrlPr>
              <w:rPr>
                <w:rFonts w:hint="default" w:ascii="Cambria Math" w:hAnsi="Cambria Math" w:cs="Times New Roman"/>
                <w:i/>
                <w:kern w:val="2"/>
                <w:sz w:val="24"/>
                <w:szCs w:val="21"/>
                <w:lang w:val="en-US" w:eastAsia="zh-CN" w:bidi="ar-SA"/>
              </w:rPr>
            </m:ctrlPr>
          </m:sSubPr>
          <m:e>
            <m:r>
              <m:rPr/>
              <w:rPr>
                <w:rFonts w:hint="default" w:ascii="Cambria Math" w:hAnsi="Cambria Math" w:cs="Times New Roman"/>
                <w:kern w:val="2"/>
                <w:sz w:val="24"/>
                <w:szCs w:val="21"/>
                <w:lang w:val="en-US" w:eastAsia="zh-CN" w:bidi="ar-SA"/>
              </w:rPr>
              <m:t>E</m:t>
            </m:r>
            <m:ctrlPr>
              <w:rPr>
                <w:rFonts w:hint="default" w:ascii="Cambria Math" w:hAnsi="Cambria Math" w:cs="Times New Roman"/>
                <w:i/>
                <w:kern w:val="2"/>
                <w:sz w:val="24"/>
                <w:szCs w:val="21"/>
                <w:lang w:val="en-US" w:eastAsia="zh-CN" w:bidi="ar-SA"/>
              </w:rPr>
            </m:ctrlPr>
          </m:e>
          <m:sub>
            <m:r>
              <m:rPr>
                <m:sty m:val="p"/>
              </m:rPr>
              <w:rPr>
                <w:rFonts w:hint="default" w:ascii="Cambria Math" w:hAnsi="Cambria Math" w:cs="Times New Roman"/>
                <w:kern w:val="2"/>
                <w:sz w:val="24"/>
                <w:szCs w:val="21"/>
                <w:lang w:val="en-US" w:eastAsia="zh-CN" w:bidi="ar-SA"/>
              </w:rPr>
              <m:t>gc</m:t>
            </m:r>
            <m:ctrlPr>
              <w:rPr>
                <w:rFonts w:hint="default" w:ascii="Cambria Math" w:hAnsi="Cambria Math" w:cs="Times New Roman"/>
                <w:i/>
                <w:kern w:val="2"/>
                <w:sz w:val="24"/>
                <w:szCs w:val="21"/>
                <w:lang w:val="en-US" w:eastAsia="zh-CN" w:bidi="ar-SA"/>
              </w:rPr>
            </m:ctrlPr>
          </m:sub>
        </m:sSub>
        <m:r>
          <m:rPr/>
          <w:rPr>
            <w:rFonts w:hint="default" w:ascii="Cambria Math" w:hAnsi="Cambria Math" w:cs="Times New Roman"/>
            <w:kern w:val="2"/>
            <w:sz w:val="24"/>
            <w:szCs w:val="21"/>
            <w:lang w:val="en-US" w:eastAsia="zh-CN" w:bidi="ar-SA"/>
          </w:rPr>
          <m:t>+</m:t>
        </m:r>
        <m:sSub>
          <m:sSubPr>
            <m:ctrlPr>
              <w:rPr>
                <w:rFonts w:hint="default" w:ascii="Cambria Math" w:hAnsi="Cambria Math" w:cs="Times New Roman"/>
                <w:i/>
                <w:kern w:val="2"/>
                <w:sz w:val="24"/>
                <w:szCs w:val="21"/>
                <w:lang w:val="en-US" w:eastAsia="zh-CN" w:bidi="ar-SA"/>
              </w:rPr>
            </m:ctrlPr>
          </m:sSubPr>
          <m:e>
            <m:r>
              <m:rPr/>
              <w:rPr>
                <w:rFonts w:hint="default" w:ascii="Cambria Math" w:hAnsi="Cambria Math" w:cs="Times New Roman"/>
                <w:kern w:val="2"/>
                <w:sz w:val="24"/>
                <w:szCs w:val="21"/>
                <w:lang w:val="en-US" w:eastAsia="zh-CN" w:bidi="ar-SA"/>
              </w:rPr>
              <m:t>E</m:t>
            </m:r>
            <m:ctrlPr>
              <w:rPr>
                <w:rFonts w:hint="default" w:ascii="Cambria Math" w:hAnsi="Cambria Math" w:cs="Times New Roman"/>
                <w:i/>
                <w:kern w:val="2"/>
                <w:sz w:val="24"/>
                <w:szCs w:val="21"/>
                <w:lang w:val="en-US" w:eastAsia="zh-CN" w:bidi="ar-SA"/>
              </w:rPr>
            </m:ctrlPr>
          </m:e>
          <m:sub>
            <m:r>
              <m:rPr>
                <m:sty m:val="p"/>
              </m:rPr>
              <w:rPr>
                <w:rFonts w:hint="default" w:ascii="Cambria Math" w:hAnsi="Cambria Math" w:cs="Times New Roman"/>
                <w:kern w:val="2"/>
                <w:sz w:val="24"/>
                <w:szCs w:val="21"/>
                <w:lang w:val="en-US" w:eastAsia="zh-CN" w:bidi="ar-SA"/>
              </w:rPr>
              <m:t>dr</m:t>
            </m:r>
            <m:ctrlPr>
              <w:rPr>
                <w:rFonts w:hint="default" w:ascii="Cambria Math" w:hAnsi="Cambria Math" w:cs="Times New Roman"/>
                <w:i/>
                <w:kern w:val="2"/>
                <w:sz w:val="24"/>
                <w:szCs w:val="21"/>
                <w:lang w:val="en-US" w:eastAsia="zh-CN" w:bidi="ar-SA"/>
              </w:rPr>
            </m:ctrlPr>
          </m:sub>
        </m:sSub>
      </m:oMath>
      <w:r>
        <w:rPr>
          <w:rFonts w:hint="eastAsia" w:hAnsi="Cambria Math" w:cs="Times New Roman"/>
          <w:i w:val="0"/>
          <w:kern w:val="2"/>
          <w:sz w:val="24"/>
          <w:szCs w:val="21"/>
          <w:lang w:val="en-US" w:eastAsia="zh-CN" w:bidi="ar-SA"/>
        </w:rPr>
        <w:tab/>
      </w:r>
      <w:r>
        <w:rPr>
          <w:rFonts w:hint="eastAsia" w:hAnsi="Cambria Math" w:cs="Times New Roman"/>
          <w:i w:val="0"/>
          <w:kern w:val="2"/>
          <w:sz w:val="24"/>
          <w:szCs w:val="21"/>
          <w:lang w:val="en-US" w:eastAsia="zh-CN" w:bidi="ar-SA"/>
        </w:rPr>
        <w:tab/>
      </w:r>
      <w:r>
        <w:rPr>
          <w:rFonts w:hint="eastAsia"/>
          <w:lang w:eastAsia="zh-CN"/>
        </w:rPr>
        <w:t>（</w:t>
      </w:r>
      <w:r>
        <w:rPr>
          <w:rFonts w:hint="eastAsia"/>
          <w:lang w:val="en-US" w:eastAsia="zh-CN"/>
        </w:rPr>
        <w:t>D.</w:t>
      </w:r>
      <w:r>
        <w:rPr>
          <w:rFonts w:hint="eastAsia"/>
        </w:rPr>
        <w:t>1</w:t>
      </w:r>
      <w:r>
        <w:rPr>
          <w:rFonts w:hint="eastAsia"/>
          <w:lang w:eastAsia="zh-CN"/>
        </w:rPr>
        <w:t>）</w:t>
      </w:r>
    </w:p>
    <w:p w14:paraId="101DB5DD">
      <w:pPr>
        <w:ind w:left="1920" w:leftChars="200" w:hanging="1440" w:hangingChars="600"/>
        <w:rPr>
          <w:rFonts w:cs="Times New Roman"/>
        </w:rPr>
      </w:pPr>
      <w:r>
        <w:rPr>
          <w:rFonts w:cs="Times New Roman"/>
        </w:rPr>
        <w:t>式中：</w:t>
      </w:r>
      <w:r>
        <w:rPr>
          <w:rFonts w:hint="eastAsia" w:cs="Times New Roman"/>
          <w:i/>
          <w:iCs/>
          <w:lang w:val="en-US" w:eastAsia="zh-CN"/>
        </w:rPr>
        <w:t>E</w:t>
      </w:r>
      <w:r>
        <w:rPr>
          <w:rFonts w:cs="Times New Roman"/>
          <w:i/>
          <w:iCs/>
        </w:rPr>
        <w:t xml:space="preserve">  </w:t>
      </w:r>
      <w:r>
        <w:rPr>
          <w:rFonts w:cs="Times New Roman"/>
        </w:rPr>
        <w:t>——</w:t>
      </w:r>
      <w:r>
        <w:rPr>
          <w:rFonts w:hint="eastAsia" w:cs="Times New Roman"/>
          <w:color w:val="000000" w:themeColor="text1"/>
          <w:szCs w:val="28"/>
          <w:lang w:val="en-US" w:eastAsia="zh-CN"/>
          <w14:textFill>
            <w14:solidFill>
              <w14:schemeClr w14:val="tx1"/>
            </w14:solidFill>
          </w14:textFill>
        </w:rPr>
        <w:t>精装修模块房生产</w:t>
      </w:r>
      <w:r>
        <w:rPr>
          <w:rFonts w:hint="eastAsia" w:cs="Times New Roman"/>
        </w:rPr>
        <w:t>阶段</w:t>
      </w:r>
      <w:r>
        <w:rPr>
          <w:rFonts w:cs="Times New Roman"/>
        </w:rPr>
        <w:t>的碳排放总量，tCO</w:t>
      </w:r>
      <w:r>
        <w:rPr>
          <w:rFonts w:cs="Times New Roman"/>
          <w:vertAlign w:val="subscript"/>
        </w:rPr>
        <w:t>2</w:t>
      </w:r>
      <w:r>
        <w:rPr>
          <w:rFonts w:hint="eastAsia" w:cs="Times New Roman"/>
        </w:rPr>
        <w:t>e</w:t>
      </w:r>
      <w:r>
        <w:rPr>
          <w:rFonts w:cs="Times New Roman"/>
        </w:rPr>
        <w:t>；</w:t>
      </w:r>
    </w:p>
    <w:p w14:paraId="7B276B1C">
      <w:pPr>
        <w:ind w:left="1920" w:leftChars="500" w:hanging="720" w:hangingChars="300"/>
        <w:rPr>
          <w:rFonts w:cs="Times New Roman"/>
          <w:vertAlign w:val="subscript"/>
        </w:rPr>
      </w:pPr>
      <w:r>
        <w:rPr>
          <w:rFonts w:hint="eastAsia" w:cs="Times New Roman"/>
          <w:i/>
          <w:iCs/>
          <w:lang w:val="en-US" w:eastAsia="zh-CN"/>
        </w:rPr>
        <w:t>E</w:t>
      </w:r>
      <w:r>
        <w:rPr>
          <w:rFonts w:cs="Times New Roman"/>
          <w:i w:val="0"/>
          <w:iCs w:val="0"/>
          <w:vertAlign w:val="subscript"/>
        </w:rPr>
        <w:t>hs</w:t>
      </w:r>
      <w:r>
        <w:rPr>
          <w:rFonts w:cs="Times New Roman"/>
        </w:rPr>
        <w:t>——化石燃料燃烧产生的</w:t>
      </w:r>
      <w:r>
        <w:rPr>
          <w:rFonts w:hint="eastAsia" w:cs="Times New Roman"/>
          <w:lang w:eastAsia="zh-CN"/>
        </w:rPr>
        <w:t>碳</w:t>
      </w:r>
      <w:r>
        <w:rPr>
          <w:rFonts w:cs="Times New Roman"/>
        </w:rPr>
        <w:t>排放量，tCO</w:t>
      </w:r>
      <w:r>
        <w:rPr>
          <w:rFonts w:cs="Times New Roman"/>
          <w:vertAlign w:val="subscript"/>
        </w:rPr>
        <w:t>2</w:t>
      </w:r>
      <w:r>
        <w:rPr>
          <w:rFonts w:hint="eastAsia" w:cs="Times New Roman"/>
        </w:rPr>
        <w:t>e</w:t>
      </w:r>
      <w:r>
        <w:rPr>
          <w:rFonts w:cs="Times New Roman"/>
        </w:rPr>
        <w:t>；</w:t>
      </w:r>
    </w:p>
    <w:p w14:paraId="55D88CE5">
      <w:pPr>
        <w:ind w:left="1920" w:leftChars="500" w:hanging="720" w:hangingChars="300"/>
        <w:rPr>
          <w:rFonts w:cs="Times New Roman"/>
          <w:vertAlign w:val="subscript"/>
        </w:rPr>
      </w:pPr>
      <w:r>
        <w:rPr>
          <w:rFonts w:hint="eastAsia" w:cs="Times New Roman"/>
          <w:i/>
          <w:iCs/>
          <w:lang w:val="en-US" w:eastAsia="zh-CN"/>
        </w:rPr>
        <w:t>E</w:t>
      </w:r>
      <w:r>
        <w:rPr>
          <w:rFonts w:hint="eastAsia" w:cs="Times New Roman"/>
          <w:i w:val="0"/>
          <w:iCs w:val="0"/>
          <w:vertAlign w:val="subscript"/>
          <w:lang w:val="en-US" w:eastAsia="zh-CN"/>
        </w:rPr>
        <w:t>gc</w:t>
      </w:r>
      <w:r>
        <w:rPr>
          <w:rFonts w:cs="Times New Roman"/>
        </w:rPr>
        <w:t>——非能源过程排放产生的</w:t>
      </w:r>
      <w:r>
        <w:rPr>
          <w:rFonts w:hint="eastAsia" w:cs="Times New Roman"/>
          <w:lang w:eastAsia="zh-CN"/>
        </w:rPr>
        <w:t>碳</w:t>
      </w:r>
      <w:r>
        <w:rPr>
          <w:rFonts w:cs="Times New Roman"/>
        </w:rPr>
        <w:t>排放量，tCO</w:t>
      </w:r>
      <w:r>
        <w:rPr>
          <w:rFonts w:cs="Times New Roman"/>
          <w:vertAlign w:val="subscript"/>
        </w:rPr>
        <w:t>2</w:t>
      </w:r>
      <w:r>
        <w:rPr>
          <w:rFonts w:hint="eastAsia" w:cs="Times New Roman"/>
        </w:rPr>
        <w:t>e</w:t>
      </w:r>
      <w:r>
        <w:rPr>
          <w:rFonts w:cs="Times New Roman"/>
        </w:rPr>
        <w:t>；</w:t>
      </w:r>
    </w:p>
    <w:p w14:paraId="3713C184">
      <w:pPr>
        <w:ind w:left="1920" w:leftChars="500" w:hanging="720" w:hangingChars="300"/>
        <w:rPr>
          <w:rFonts w:hint="eastAsia" w:cs="Times New Roman"/>
          <w:lang w:eastAsia="zh-CN"/>
        </w:rPr>
      </w:pPr>
      <w:r>
        <w:rPr>
          <w:rFonts w:hint="eastAsia" w:cs="Times New Roman"/>
          <w:i/>
          <w:iCs/>
          <w:lang w:val="en-US" w:eastAsia="zh-CN"/>
        </w:rPr>
        <w:t>E</w:t>
      </w:r>
      <w:r>
        <w:rPr>
          <w:rFonts w:cs="Times New Roman"/>
          <w:i w:val="0"/>
          <w:iCs w:val="0"/>
          <w:vertAlign w:val="subscript"/>
        </w:rPr>
        <w:t>dr</w:t>
      </w:r>
      <w:r>
        <w:rPr>
          <w:rFonts w:cs="Times New Roman"/>
        </w:rPr>
        <w:t>——净购入电力、</w:t>
      </w:r>
      <w:r>
        <w:rPr>
          <w:rFonts w:hint="eastAsia" w:cs="Times New Roman"/>
        </w:rPr>
        <w:t>热</w:t>
      </w:r>
      <w:r>
        <w:rPr>
          <w:rFonts w:cs="Times New Roman"/>
        </w:rPr>
        <w:t>力产生的</w:t>
      </w:r>
      <w:r>
        <w:rPr>
          <w:rFonts w:hint="eastAsia" w:cs="Times New Roman"/>
          <w:lang w:eastAsia="zh-CN"/>
        </w:rPr>
        <w:t>碳</w:t>
      </w:r>
      <w:r>
        <w:rPr>
          <w:rFonts w:cs="Times New Roman"/>
        </w:rPr>
        <w:t>排放，tCO</w:t>
      </w:r>
      <w:r>
        <w:rPr>
          <w:rFonts w:cs="Times New Roman"/>
          <w:vertAlign w:val="subscript"/>
        </w:rPr>
        <w:t>2</w:t>
      </w:r>
      <w:r>
        <w:rPr>
          <w:rFonts w:hint="eastAsia" w:cs="Times New Roman"/>
        </w:rPr>
        <w:t>e</w:t>
      </w:r>
      <w:r>
        <w:rPr>
          <w:rFonts w:hint="eastAsia" w:cs="Times New Roman"/>
          <w:lang w:eastAsia="zh-CN"/>
        </w:rPr>
        <w:t>；</w:t>
      </w:r>
    </w:p>
    <w:p w14:paraId="5D77871C">
      <w:pPr>
        <w:ind w:firstLine="482" w:firstLineChars="200"/>
        <w:jc w:val="left"/>
        <w:rPr>
          <w:b/>
          <w:bCs/>
          <w:color w:val="000000" w:themeColor="text1"/>
          <w:kern w:val="0"/>
          <w14:textFill>
            <w14:solidFill>
              <w14:schemeClr w14:val="tx1"/>
            </w14:solidFill>
          </w14:textFill>
        </w:rPr>
      </w:pPr>
      <w:r>
        <w:rPr>
          <w:rFonts w:hint="eastAsia"/>
          <w:b/>
          <w:bCs/>
          <w:color w:val="000000" w:themeColor="text1"/>
          <w:kern w:val="0"/>
          <w14:textFill>
            <w14:solidFill>
              <w14:schemeClr w14:val="tx1"/>
            </w14:solidFill>
          </w14:textFill>
        </w:rPr>
        <w:t>D</w:t>
      </w:r>
      <w:r>
        <w:rPr>
          <w:b/>
          <w:bCs/>
          <w:color w:val="000000" w:themeColor="text1"/>
          <w:kern w:val="0"/>
          <w14:textFill>
            <w14:solidFill>
              <w14:schemeClr w14:val="tx1"/>
            </w14:solidFill>
          </w14:textFill>
        </w:rPr>
        <w:t xml:space="preserve">.2 </w:t>
      </w:r>
      <w:r>
        <w:rPr>
          <w:rFonts w:hint="eastAsia"/>
          <w:b/>
          <w:bCs/>
          <w:color w:val="000000" w:themeColor="text1"/>
          <w:kern w:val="0"/>
          <w14:textFill>
            <w14:solidFill>
              <w14:schemeClr w14:val="tx1"/>
            </w14:solidFill>
          </w14:textFill>
        </w:rPr>
        <w:t>不确定度评估</w:t>
      </w:r>
    </w:p>
    <w:p w14:paraId="4D871A88">
      <w:pPr>
        <w:ind w:firstLine="480" w:firstLineChars="20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由测量模型可知，基于计算的</w:t>
      </w:r>
      <w:r>
        <w:rPr>
          <w:rFonts w:hint="eastAsia"/>
          <w:color w:val="000000" w:themeColor="text1"/>
          <w:kern w:val="0"/>
          <w:lang w:eastAsia="zh-CN"/>
          <w14:textFill>
            <w14:solidFill>
              <w14:schemeClr w14:val="tx1"/>
            </w14:solidFill>
          </w14:textFill>
        </w:rPr>
        <w:t>碳</w:t>
      </w:r>
      <w:r>
        <w:rPr>
          <w:rFonts w:hint="eastAsia"/>
          <w:color w:val="000000" w:themeColor="text1"/>
          <w:kern w:val="0"/>
          <w14:textFill>
            <w14:solidFill>
              <w14:schemeClr w14:val="tx1"/>
            </w14:solidFill>
          </w14:textFill>
        </w:rPr>
        <w:t>排放量计算不确定度主要由燃烧产生的</w:t>
      </w:r>
      <w:r>
        <w:rPr>
          <w:color w:val="000000" w:themeColor="text1"/>
          <w:kern w:val="0"/>
          <w14:textFill>
            <w14:solidFill>
              <w14:schemeClr w14:val="tx1"/>
            </w14:solidFill>
          </w14:textFill>
        </w:rPr>
        <w:t>CO</w:t>
      </w:r>
      <w:r>
        <w:rPr>
          <w:color w:val="000000" w:themeColor="text1"/>
          <w:kern w:val="0"/>
          <w:vertAlign w:val="subscript"/>
          <w14:textFill>
            <w14:solidFill>
              <w14:schemeClr w14:val="tx1"/>
            </w14:solidFill>
          </w14:textFill>
        </w:rPr>
        <w:t>2</w:t>
      </w:r>
      <w:r>
        <w:rPr>
          <w:rFonts w:hint="eastAsia"/>
          <w:color w:val="000000" w:themeColor="text1"/>
          <w:kern w:val="0"/>
          <w14:textFill>
            <w14:solidFill>
              <w14:schemeClr w14:val="tx1"/>
            </w14:solidFill>
          </w14:textFill>
        </w:rPr>
        <w:t>排放量计算、过程中产生的</w:t>
      </w:r>
      <w:r>
        <w:rPr>
          <w:color w:val="000000" w:themeColor="text1"/>
          <w:kern w:val="0"/>
          <w14:textFill>
            <w14:solidFill>
              <w14:schemeClr w14:val="tx1"/>
            </w14:solidFill>
          </w14:textFill>
        </w:rPr>
        <w:t>CO</w:t>
      </w:r>
      <w:r>
        <w:rPr>
          <w:color w:val="000000" w:themeColor="text1"/>
          <w:kern w:val="0"/>
          <w:vertAlign w:val="subscript"/>
          <w14:textFill>
            <w14:solidFill>
              <w14:schemeClr w14:val="tx1"/>
            </w14:solidFill>
          </w14:textFill>
        </w:rPr>
        <w:t>2</w:t>
      </w:r>
      <w:r>
        <w:rPr>
          <w:rFonts w:hint="eastAsia"/>
          <w:color w:val="000000" w:themeColor="text1"/>
          <w:kern w:val="0"/>
          <w14:textFill>
            <w14:solidFill>
              <w14:schemeClr w14:val="tx1"/>
            </w14:solidFill>
          </w14:textFill>
        </w:rPr>
        <w:t>排放量计算、购入电力热力</w:t>
      </w:r>
      <w:r>
        <w:rPr>
          <w:color w:val="000000" w:themeColor="text1"/>
          <w:kern w:val="0"/>
          <w14:textFill>
            <w14:solidFill>
              <w14:schemeClr w14:val="tx1"/>
            </w14:solidFill>
          </w14:textFill>
        </w:rPr>
        <w:t>CO</w:t>
      </w:r>
      <w:r>
        <w:rPr>
          <w:color w:val="000000" w:themeColor="text1"/>
          <w:kern w:val="0"/>
          <w:vertAlign w:val="subscript"/>
          <w14:textFill>
            <w14:solidFill>
              <w14:schemeClr w14:val="tx1"/>
            </w14:solidFill>
          </w14:textFill>
        </w:rPr>
        <w:t>2</w:t>
      </w:r>
      <w:r>
        <w:rPr>
          <w:rFonts w:hint="eastAsia"/>
          <w:color w:val="000000" w:themeColor="text1"/>
          <w:kern w:val="0"/>
          <w14:textFill>
            <w14:solidFill>
              <w14:schemeClr w14:val="tx1"/>
            </w14:solidFill>
          </w14:textFill>
        </w:rPr>
        <w:t>排放量计算几部分引入。</w:t>
      </w:r>
    </w:p>
    <w:p w14:paraId="5311B9AF">
      <w:pPr>
        <w:pStyle w:val="64"/>
        <w:bidi w:val="0"/>
        <w:jc w:val="both"/>
        <w:rPr>
          <w:color w:val="000000" w:themeColor="text1"/>
          <w:kern w:val="0"/>
          <w14:textFill>
            <w14:solidFill>
              <w14:schemeClr w14:val="tx1"/>
            </w14:solidFill>
          </w14:textFill>
        </w:rPr>
      </w:pPr>
      <w:r>
        <w:rPr>
          <w:rFonts w:hint="eastAsia"/>
          <w:i w:val="0"/>
          <w:color w:val="000000" w:themeColor="text1"/>
          <w:kern w:val="0"/>
          <w:szCs w:val="20"/>
          <w:lang w:val="en-US" w:eastAsia="zh-CN"/>
          <w14:textFill>
            <w14:solidFill>
              <w14:schemeClr w14:val="tx1"/>
            </w14:solidFill>
          </w14:textFill>
        </w:rPr>
        <w:tab/>
      </w:r>
      <m:oMath>
        <m:r>
          <m:rPr/>
          <w:rPr>
            <w:rFonts w:ascii="Cambria Math"/>
            <w:color w:val="000000" w:themeColor="text1"/>
            <w:kern w:val="0"/>
            <w:szCs w:val="20"/>
            <w14:textFill>
              <w14:solidFill>
                <w14:schemeClr w14:val="tx1"/>
              </w14:solidFill>
            </w14:textFill>
          </w:rPr>
          <m:t>u</m:t>
        </m:r>
        <m:d>
          <m:dPr>
            <m:ctrlPr>
              <w:rPr>
                <w:rFonts w:ascii="Cambria Math" w:hAnsi="Cambria Math"/>
                <w:i/>
                <w:color w:val="000000" w:themeColor="text1"/>
                <w:kern w:val="0"/>
                <w:szCs w:val="20"/>
                <w14:textFill>
                  <w14:solidFill>
                    <w14:schemeClr w14:val="tx1"/>
                  </w14:solidFill>
                </w14:textFill>
              </w:rPr>
            </m:ctrlPr>
          </m:dPr>
          <m:e>
            <m:r>
              <m:rPr/>
              <w:rPr>
                <w:rFonts w:hint="default" w:ascii="Cambria Math" w:hAnsi="Cambria Math"/>
                <w:color w:val="000000" w:themeColor="text1"/>
                <w:kern w:val="0"/>
                <w:szCs w:val="20"/>
                <w:lang w:val="en-US" w:eastAsia="zh-CN"/>
                <w14:textFill>
                  <w14:solidFill>
                    <w14:schemeClr w14:val="tx1"/>
                  </w14:solidFill>
                </w14:textFill>
              </w:rPr>
              <m:t>E</m:t>
            </m:r>
            <m:ctrlPr>
              <w:rPr>
                <w:rFonts w:ascii="Cambria Math" w:hAnsi="Cambria Math"/>
                <w:i/>
                <w:color w:val="000000" w:themeColor="text1"/>
                <w:kern w:val="0"/>
                <w:szCs w:val="20"/>
                <w14:textFill>
                  <w14:solidFill>
                    <w14:schemeClr w14:val="tx1"/>
                  </w14:solidFill>
                </w14:textFill>
              </w:rPr>
            </m:ctrlPr>
          </m:e>
        </m:d>
        <m:r>
          <m:rPr/>
          <w:rPr>
            <w:rFonts w:ascii="Cambria Math"/>
            <w:color w:val="000000" w:themeColor="text1"/>
            <w:kern w:val="0"/>
            <w:szCs w:val="20"/>
            <w14:textFill>
              <w14:solidFill>
                <w14:schemeClr w14:val="tx1"/>
              </w14:solidFill>
            </w14:textFill>
          </w:rPr>
          <m:t>=</m:t>
        </m:r>
        <m:rad>
          <m:radPr>
            <m:degHide m:val="1"/>
            <m:ctrlPr>
              <w:rPr>
                <w:rFonts w:ascii="Cambria Math" w:hAnsi="Cambria Math"/>
                <w:i/>
                <w:color w:val="000000" w:themeColor="text1"/>
                <w:kern w:val="0"/>
                <w:szCs w:val="20"/>
                <w14:textFill>
                  <w14:solidFill>
                    <w14:schemeClr w14:val="tx1"/>
                  </w14:solidFill>
                </w14:textFill>
              </w:rPr>
            </m:ctrlPr>
          </m:radPr>
          <m:deg>
            <m:ctrlPr>
              <w:rPr>
                <w:rFonts w:ascii="Cambria Math" w:hAnsi="Cambria Math"/>
                <w:i/>
                <w:color w:val="000000" w:themeColor="text1"/>
                <w:kern w:val="0"/>
                <w:szCs w:val="20"/>
                <w14:textFill>
                  <w14:solidFill>
                    <w14:schemeClr w14:val="tx1"/>
                  </w14:solidFill>
                </w14:textFill>
              </w:rPr>
            </m:ctrlPr>
          </m:deg>
          <m:e>
            <m:sSup>
              <m:sSupPr>
                <m:ctrlPr>
                  <w:rPr>
                    <w:rFonts w:ascii="Cambria Math" w:hAnsi="Cambria Math"/>
                    <w:i/>
                    <w:color w:val="000000" w:themeColor="text1"/>
                    <w:kern w:val="0"/>
                    <w:szCs w:val="20"/>
                    <w14:textFill>
                      <w14:solidFill>
                        <w14:schemeClr w14:val="tx1"/>
                      </w14:solidFill>
                    </w14:textFill>
                  </w:rPr>
                </m:ctrlPr>
              </m:sSupPr>
              <m:e>
                <m:r>
                  <m:rPr/>
                  <w:rPr>
                    <w:rFonts w:ascii="Cambria Math"/>
                    <w:color w:val="000000" w:themeColor="text1"/>
                    <w:kern w:val="0"/>
                    <w:szCs w:val="20"/>
                    <w14:textFill>
                      <w14:solidFill>
                        <w14:schemeClr w14:val="tx1"/>
                      </w14:solidFill>
                    </w14:textFill>
                  </w:rPr>
                  <m:t>u</m:t>
                </m:r>
                <m:ctrlPr>
                  <w:rPr>
                    <w:rFonts w:ascii="Cambria Math" w:hAnsi="Cambria Math"/>
                    <w:i/>
                    <w:color w:val="000000" w:themeColor="text1"/>
                    <w:kern w:val="0"/>
                    <w:szCs w:val="20"/>
                    <w14:textFill>
                      <w14:solidFill>
                        <w14:schemeClr w14:val="tx1"/>
                      </w14:solidFill>
                    </w14:textFill>
                  </w:rPr>
                </m:ctrlPr>
              </m:e>
              <m:sup>
                <m:r>
                  <m:rPr/>
                  <w:rPr>
                    <w:rFonts w:ascii="Cambria Math"/>
                    <w:color w:val="000000" w:themeColor="text1"/>
                    <w:kern w:val="0"/>
                    <w:szCs w:val="20"/>
                    <w14:textFill>
                      <w14:solidFill>
                        <w14:schemeClr w14:val="tx1"/>
                      </w14:solidFill>
                    </w14:textFill>
                  </w:rPr>
                  <m:t>2</m:t>
                </m:r>
                <m:ctrlPr>
                  <w:rPr>
                    <w:rFonts w:ascii="Cambria Math" w:hAnsi="Cambria Math"/>
                    <w:i/>
                    <w:color w:val="000000" w:themeColor="text1"/>
                    <w:kern w:val="0"/>
                    <w:szCs w:val="20"/>
                    <w14:textFill>
                      <w14:solidFill>
                        <w14:schemeClr w14:val="tx1"/>
                      </w14:solidFill>
                    </w14:textFill>
                  </w:rPr>
                </m:ctrlPr>
              </m:sup>
            </m:sSup>
            <m:d>
              <m:dPr>
                <m:ctrlPr>
                  <w:rPr>
                    <w:rFonts w:ascii="Cambria Math" w:hAnsi="Cambria Math"/>
                    <w:i/>
                    <w:color w:val="000000" w:themeColor="text1"/>
                    <w:kern w:val="0"/>
                    <w:szCs w:val="20"/>
                    <w14:textFill>
                      <w14:solidFill>
                        <w14:schemeClr w14:val="tx1"/>
                      </w14:solidFill>
                    </w14:textFill>
                  </w:rPr>
                </m:ctrlPr>
              </m:dPr>
              <m:e>
                <m:sSub>
                  <m:sSubPr>
                    <m:ctrlPr>
                      <w:rPr>
                        <w:rFonts w:ascii="Cambria Math" w:hAnsi="Cambria Math"/>
                        <w:i/>
                        <w:color w:val="000000" w:themeColor="text1"/>
                        <w:kern w:val="0"/>
                        <w:szCs w:val="20"/>
                        <w14:textFill>
                          <w14:solidFill>
                            <w14:schemeClr w14:val="tx1"/>
                          </w14:solidFill>
                        </w14:textFill>
                      </w:rPr>
                    </m:ctrlPr>
                  </m:sSubPr>
                  <m:e>
                    <m:r>
                      <m:rPr/>
                      <w:rPr>
                        <w:rFonts w:hint="default" w:ascii="Cambria Math" w:hAnsi="Cambria Math"/>
                        <w:color w:val="000000" w:themeColor="text1"/>
                        <w:kern w:val="0"/>
                        <w:szCs w:val="20"/>
                        <w:lang w:val="en-US" w:eastAsia="zh-CN"/>
                        <w14:textFill>
                          <w14:solidFill>
                            <w14:schemeClr w14:val="tx1"/>
                          </w14:solidFill>
                        </w14:textFill>
                      </w:rPr>
                      <m:t>E</m:t>
                    </m:r>
                    <m:ctrlPr>
                      <w:rPr>
                        <w:rFonts w:ascii="Cambria Math" w:hAnsi="Cambria Math"/>
                        <w:i/>
                        <w:color w:val="000000" w:themeColor="text1"/>
                        <w:kern w:val="0"/>
                        <w:szCs w:val="20"/>
                        <w14:textFill>
                          <w14:solidFill>
                            <w14:schemeClr w14:val="tx1"/>
                          </w14:solidFill>
                        </w14:textFill>
                      </w:rPr>
                    </m:ctrlPr>
                  </m:e>
                  <m:sub>
                    <m:r>
                      <m:rPr/>
                      <w:rPr>
                        <w:rFonts w:ascii="Cambria Math" w:hAnsi="Cambria Math"/>
                        <w:color w:val="000000" w:themeColor="text1"/>
                        <w:kern w:val="0"/>
                        <w:szCs w:val="20"/>
                        <w14:textFill>
                          <w14:solidFill>
                            <w14:schemeClr w14:val="tx1"/>
                          </w14:solidFill>
                        </w14:textFill>
                      </w:rPr>
                      <m:t>hs</m:t>
                    </m:r>
                    <m:ctrlPr>
                      <w:rPr>
                        <w:rFonts w:ascii="Cambria Math" w:hAnsi="Cambria Math"/>
                        <w:i/>
                        <w:color w:val="000000" w:themeColor="text1"/>
                        <w:kern w:val="0"/>
                        <w:szCs w:val="20"/>
                        <w14:textFill>
                          <w14:solidFill>
                            <w14:schemeClr w14:val="tx1"/>
                          </w14:solidFill>
                        </w14:textFill>
                      </w:rPr>
                    </m:ctrlPr>
                  </m:sub>
                </m:sSub>
                <m:ctrlPr>
                  <w:rPr>
                    <w:rFonts w:ascii="Cambria Math" w:hAnsi="Cambria Math"/>
                    <w:i/>
                    <w:color w:val="000000" w:themeColor="text1"/>
                    <w:kern w:val="0"/>
                    <w:szCs w:val="20"/>
                    <w14:textFill>
                      <w14:solidFill>
                        <w14:schemeClr w14:val="tx1"/>
                      </w14:solidFill>
                    </w14:textFill>
                  </w:rPr>
                </m:ctrlPr>
              </m:e>
            </m:d>
            <m:r>
              <m:rPr/>
              <w:rPr>
                <w:rFonts w:ascii="Cambria Math"/>
                <w:color w:val="000000" w:themeColor="text1"/>
                <w:kern w:val="0"/>
                <w:szCs w:val="20"/>
                <w14:textFill>
                  <w14:solidFill>
                    <w14:schemeClr w14:val="tx1"/>
                  </w14:solidFill>
                </w14:textFill>
              </w:rPr>
              <m:t>+</m:t>
            </m:r>
            <m:sSup>
              <m:sSupPr>
                <m:ctrlPr>
                  <w:rPr>
                    <w:rFonts w:ascii="Cambria Math" w:hAnsi="Cambria Math"/>
                    <w:i/>
                    <w:color w:val="000000" w:themeColor="text1"/>
                    <w:kern w:val="0"/>
                    <w:szCs w:val="20"/>
                    <w14:textFill>
                      <w14:solidFill>
                        <w14:schemeClr w14:val="tx1"/>
                      </w14:solidFill>
                    </w14:textFill>
                  </w:rPr>
                </m:ctrlPr>
              </m:sSupPr>
              <m:e>
                <m:r>
                  <m:rPr/>
                  <w:rPr>
                    <w:rFonts w:ascii="Cambria Math"/>
                    <w:color w:val="000000" w:themeColor="text1"/>
                    <w:kern w:val="0"/>
                    <w:szCs w:val="20"/>
                    <w14:textFill>
                      <w14:solidFill>
                        <w14:schemeClr w14:val="tx1"/>
                      </w14:solidFill>
                    </w14:textFill>
                  </w:rPr>
                  <m:t>u</m:t>
                </m:r>
                <m:ctrlPr>
                  <w:rPr>
                    <w:rFonts w:ascii="Cambria Math" w:hAnsi="Cambria Math"/>
                    <w:i/>
                    <w:color w:val="000000" w:themeColor="text1"/>
                    <w:kern w:val="0"/>
                    <w:szCs w:val="20"/>
                    <w14:textFill>
                      <w14:solidFill>
                        <w14:schemeClr w14:val="tx1"/>
                      </w14:solidFill>
                    </w14:textFill>
                  </w:rPr>
                </m:ctrlPr>
              </m:e>
              <m:sup>
                <m:r>
                  <m:rPr/>
                  <w:rPr>
                    <w:rFonts w:ascii="Cambria Math"/>
                    <w:color w:val="000000" w:themeColor="text1"/>
                    <w:kern w:val="0"/>
                    <w:szCs w:val="20"/>
                    <w14:textFill>
                      <w14:solidFill>
                        <w14:schemeClr w14:val="tx1"/>
                      </w14:solidFill>
                    </w14:textFill>
                  </w:rPr>
                  <m:t>2</m:t>
                </m:r>
                <m:ctrlPr>
                  <w:rPr>
                    <w:rFonts w:ascii="Cambria Math" w:hAnsi="Cambria Math"/>
                    <w:i/>
                    <w:color w:val="000000" w:themeColor="text1"/>
                    <w:kern w:val="0"/>
                    <w:szCs w:val="20"/>
                    <w14:textFill>
                      <w14:solidFill>
                        <w14:schemeClr w14:val="tx1"/>
                      </w14:solidFill>
                    </w14:textFill>
                  </w:rPr>
                </m:ctrlPr>
              </m:sup>
            </m:sSup>
            <m:d>
              <m:dPr>
                <m:ctrlPr>
                  <w:rPr>
                    <w:rFonts w:ascii="Cambria Math" w:hAnsi="Cambria Math"/>
                    <w:i/>
                    <w:color w:val="000000" w:themeColor="text1"/>
                    <w:kern w:val="0"/>
                    <w:szCs w:val="20"/>
                    <w14:textFill>
                      <w14:solidFill>
                        <w14:schemeClr w14:val="tx1"/>
                      </w14:solidFill>
                    </w14:textFill>
                  </w:rPr>
                </m:ctrlPr>
              </m:dPr>
              <m:e>
                <m:sSub>
                  <m:sSubPr>
                    <m:ctrlPr>
                      <w:rPr>
                        <w:rFonts w:ascii="Cambria Math" w:hAnsi="Cambria Math"/>
                        <w:i/>
                        <w:color w:val="000000" w:themeColor="text1"/>
                        <w:kern w:val="0"/>
                        <w:szCs w:val="20"/>
                        <w14:textFill>
                          <w14:solidFill>
                            <w14:schemeClr w14:val="tx1"/>
                          </w14:solidFill>
                        </w14:textFill>
                      </w:rPr>
                    </m:ctrlPr>
                  </m:sSubPr>
                  <m:e>
                    <m:r>
                      <m:rPr/>
                      <w:rPr>
                        <w:rFonts w:hint="default" w:ascii="Cambria Math" w:hAnsi="Cambria Math"/>
                        <w:color w:val="000000" w:themeColor="text1"/>
                        <w:kern w:val="0"/>
                        <w:szCs w:val="20"/>
                        <w:lang w:val="en-US" w:eastAsia="zh-CN"/>
                        <w14:textFill>
                          <w14:solidFill>
                            <w14:schemeClr w14:val="tx1"/>
                          </w14:solidFill>
                        </w14:textFill>
                      </w:rPr>
                      <m:t>E</m:t>
                    </m:r>
                    <m:ctrlPr>
                      <w:rPr>
                        <w:rFonts w:ascii="Cambria Math" w:hAnsi="Cambria Math"/>
                        <w:i/>
                        <w:color w:val="000000" w:themeColor="text1"/>
                        <w:kern w:val="0"/>
                        <w:szCs w:val="20"/>
                        <w14:textFill>
                          <w14:solidFill>
                            <w14:schemeClr w14:val="tx1"/>
                          </w14:solidFill>
                        </w14:textFill>
                      </w:rPr>
                    </m:ctrlPr>
                  </m:e>
                  <m:sub>
                    <m:r>
                      <m:rPr/>
                      <w:rPr>
                        <w:rFonts w:hint="default" w:ascii="Cambria Math" w:hAnsi="Cambria Math"/>
                        <w:color w:val="000000" w:themeColor="text1"/>
                        <w:kern w:val="0"/>
                        <w:szCs w:val="20"/>
                        <w:lang w:val="en-US" w:eastAsia="zh-CN"/>
                        <w14:textFill>
                          <w14:solidFill>
                            <w14:schemeClr w14:val="tx1"/>
                          </w14:solidFill>
                        </w14:textFill>
                      </w:rPr>
                      <m:t>gc</m:t>
                    </m:r>
                    <m:ctrlPr>
                      <w:rPr>
                        <w:rFonts w:ascii="Cambria Math" w:hAnsi="Cambria Math"/>
                        <w:i/>
                        <w:color w:val="000000" w:themeColor="text1"/>
                        <w:kern w:val="0"/>
                        <w:szCs w:val="20"/>
                        <w14:textFill>
                          <w14:solidFill>
                            <w14:schemeClr w14:val="tx1"/>
                          </w14:solidFill>
                        </w14:textFill>
                      </w:rPr>
                    </m:ctrlPr>
                  </m:sub>
                </m:sSub>
                <m:ctrlPr>
                  <w:rPr>
                    <w:rFonts w:ascii="Cambria Math" w:hAnsi="Cambria Math"/>
                    <w:i/>
                    <w:color w:val="000000" w:themeColor="text1"/>
                    <w:kern w:val="0"/>
                    <w:szCs w:val="20"/>
                    <w14:textFill>
                      <w14:solidFill>
                        <w14:schemeClr w14:val="tx1"/>
                      </w14:solidFill>
                    </w14:textFill>
                  </w:rPr>
                </m:ctrlPr>
              </m:e>
            </m:d>
            <m:r>
              <m:rPr/>
              <w:rPr>
                <w:rFonts w:ascii="Cambria Math"/>
                <w:color w:val="000000" w:themeColor="text1"/>
                <w:kern w:val="0"/>
                <w:szCs w:val="20"/>
                <w14:textFill>
                  <w14:solidFill>
                    <w14:schemeClr w14:val="tx1"/>
                  </w14:solidFill>
                </w14:textFill>
              </w:rPr>
              <m:t>+</m:t>
            </m:r>
            <m:sSup>
              <m:sSupPr>
                <m:ctrlPr>
                  <w:rPr>
                    <w:rFonts w:ascii="Cambria Math" w:hAnsi="Cambria Math"/>
                    <w:i/>
                    <w:color w:val="000000" w:themeColor="text1"/>
                    <w:kern w:val="0"/>
                    <w:szCs w:val="20"/>
                    <w14:textFill>
                      <w14:solidFill>
                        <w14:schemeClr w14:val="tx1"/>
                      </w14:solidFill>
                    </w14:textFill>
                  </w:rPr>
                </m:ctrlPr>
              </m:sSupPr>
              <m:e>
                <m:r>
                  <m:rPr/>
                  <w:rPr>
                    <w:rFonts w:ascii="Cambria Math"/>
                    <w:color w:val="000000" w:themeColor="text1"/>
                    <w:kern w:val="0"/>
                    <w:szCs w:val="20"/>
                    <w14:textFill>
                      <w14:solidFill>
                        <w14:schemeClr w14:val="tx1"/>
                      </w14:solidFill>
                    </w14:textFill>
                  </w:rPr>
                  <m:t>u</m:t>
                </m:r>
                <m:ctrlPr>
                  <w:rPr>
                    <w:rFonts w:ascii="Cambria Math" w:hAnsi="Cambria Math"/>
                    <w:i/>
                    <w:color w:val="000000" w:themeColor="text1"/>
                    <w:kern w:val="0"/>
                    <w:szCs w:val="20"/>
                    <w14:textFill>
                      <w14:solidFill>
                        <w14:schemeClr w14:val="tx1"/>
                      </w14:solidFill>
                    </w14:textFill>
                  </w:rPr>
                </m:ctrlPr>
              </m:e>
              <m:sup>
                <m:r>
                  <m:rPr/>
                  <w:rPr>
                    <w:rFonts w:ascii="Cambria Math"/>
                    <w:color w:val="000000" w:themeColor="text1"/>
                    <w:kern w:val="0"/>
                    <w:szCs w:val="20"/>
                    <w14:textFill>
                      <w14:solidFill>
                        <w14:schemeClr w14:val="tx1"/>
                      </w14:solidFill>
                    </w14:textFill>
                  </w:rPr>
                  <m:t>2</m:t>
                </m:r>
                <m:ctrlPr>
                  <w:rPr>
                    <w:rFonts w:ascii="Cambria Math" w:hAnsi="Cambria Math"/>
                    <w:i/>
                    <w:color w:val="000000" w:themeColor="text1"/>
                    <w:kern w:val="0"/>
                    <w:szCs w:val="20"/>
                    <w14:textFill>
                      <w14:solidFill>
                        <w14:schemeClr w14:val="tx1"/>
                      </w14:solidFill>
                    </w14:textFill>
                  </w:rPr>
                </m:ctrlPr>
              </m:sup>
            </m:sSup>
            <m:d>
              <m:dPr>
                <m:ctrlPr>
                  <w:rPr>
                    <w:rFonts w:ascii="Cambria Math" w:hAnsi="Cambria Math"/>
                    <w:i/>
                    <w:color w:val="000000" w:themeColor="text1"/>
                    <w:kern w:val="0"/>
                    <w:szCs w:val="20"/>
                    <w14:textFill>
                      <w14:solidFill>
                        <w14:schemeClr w14:val="tx1"/>
                      </w14:solidFill>
                    </w14:textFill>
                  </w:rPr>
                </m:ctrlPr>
              </m:dPr>
              <m:e>
                <m:sSub>
                  <m:sSubPr>
                    <m:ctrlPr>
                      <w:rPr>
                        <w:rFonts w:ascii="Cambria Math" w:hAnsi="Cambria Math"/>
                        <w:i/>
                        <w:color w:val="000000" w:themeColor="text1"/>
                        <w:kern w:val="0"/>
                        <w:szCs w:val="20"/>
                        <w14:textFill>
                          <w14:solidFill>
                            <w14:schemeClr w14:val="tx1"/>
                          </w14:solidFill>
                        </w14:textFill>
                      </w:rPr>
                    </m:ctrlPr>
                  </m:sSubPr>
                  <m:e>
                    <m:r>
                      <m:rPr/>
                      <w:rPr>
                        <w:rFonts w:hint="default" w:ascii="Cambria Math" w:hAnsi="Cambria Math"/>
                        <w:color w:val="000000" w:themeColor="text1"/>
                        <w:kern w:val="0"/>
                        <w:szCs w:val="20"/>
                        <w:lang w:val="en-US" w:eastAsia="zh-CN"/>
                        <w14:textFill>
                          <w14:solidFill>
                            <w14:schemeClr w14:val="tx1"/>
                          </w14:solidFill>
                        </w14:textFill>
                      </w:rPr>
                      <m:t>E</m:t>
                    </m:r>
                    <m:ctrlPr>
                      <w:rPr>
                        <w:rFonts w:ascii="Cambria Math" w:hAnsi="Cambria Math"/>
                        <w:i/>
                        <w:color w:val="000000" w:themeColor="text1"/>
                        <w:kern w:val="0"/>
                        <w:szCs w:val="20"/>
                        <w14:textFill>
                          <w14:solidFill>
                            <w14:schemeClr w14:val="tx1"/>
                          </w14:solidFill>
                        </w14:textFill>
                      </w:rPr>
                    </m:ctrlPr>
                  </m:e>
                  <m:sub>
                    <m:r>
                      <m:rPr/>
                      <w:rPr>
                        <w:rFonts w:hint="default" w:ascii="Cambria Math" w:hAnsi="Cambria Math"/>
                        <w:color w:val="000000" w:themeColor="text1"/>
                        <w:kern w:val="0"/>
                        <w:szCs w:val="20"/>
                        <w:lang w:val="en-US" w:eastAsia="zh-CN"/>
                        <w14:textFill>
                          <w14:solidFill>
                            <w14:schemeClr w14:val="tx1"/>
                          </w14:solidFill>
                        </w14:textFill>
                      </w:rPr>
                      <m:t>dr</m:t>
                    </m:r>
                    <m:ctrlPr>
                      <w:rPr>
                        <w:rFonts w:ascii="Cambria Math" w:hAnsi="Cambria Math"/>
                        <w:i/>
                        <w:color w:val="000000" w:themeColor="text1"/>
                        <w:kern w:val="0"/>
                        <w:szCs w:val="20"/>
                        <w14:textFill>
                          <w14:solidFill>
                            <w14:schemeClr w14:val="tx1"/>
                          </w14:solidFill>
                        </w14:textFill>
                      </w:rPr>
                    </m:ctrlPr>
                  </m:sub>
                </m:sSub>
                <m:ctrlPr>
                  <w:rPr>
                    <w:rFonts w:ascii="Cambria Math" w:hAnsi="Cambria Math"/>
                    <w:i/>
                    <w:color w:val="000000" w:themeColor="text1"/>
                    <w:kern w:val="0"/>
                    <w:szCs w:val="20"/>
                    <w14:textFill>
                      <w14:solidFill>
                        <w14:schemeClr w14:val="tx1"/>
                      </w14:solidFill>
                    </w14:textFill>
                  </w:rPr>
                </m:ctrlPr>
              </m:e>
            </m:d>
            <m:r>
              <m:rPr/>
              <w:rPr>
                <w:rFonts w:ascii="Cambria Math"/>
                <w:color w:val="000000" w:themeColor="text1"/>
                <w:kern w:val="0"/>
                <w:szCs w:val="20"/>
                <w14:textFill>
                  <w14:solidFill>
                    <w14:schemeClr w14:val="tx1"/>
                  </w14:solidFill>
                </w14:textFill>
              </w:rPr>
              <m:t xml:space="preserve"> </m:t>
            </m:r>
            <m:ctrlPr>
              <w:rPr>
                <w:rFonts w:ascii="Cambria Math" w:hAnsi="Cambria Math"/>
                <w:i/>
                <w:color w:val="000000" w:themeColor="text1"/>
                <w:kern w:val="0"/>
                <w:szCs w:val="20"/>
                <w14:textFill>
                  <w14:solidFill>
                    <w14:schemeClr w14:val="tx1"/>
                  </w14:solidFill>
                </w14:textFill>
              </w:rPr>
            </m:ctrlPr>
          </m:e>
        </m:rad>
      </m:oMath>
      <w:r>
        <w:rPr>
          <w:rFonts w:hint="eastAsia" w:hAnsi="Cambria Math"/>
          <w:i w:val="0"/>
          <w:color w:val="000000" w:themeColor="text1"/>
          <w:kern w:val="0"/>
          <w:szCs w:val="20"/>
          <w:lang w:val="en-US" w:eastAsia="zh-CN"/>
          <w14:textFill>
            <w14:solidFill>
              <w14:schemeClr w14:val="tx1"/>
            </w14:solidFill>
          </w14:textFill>
        </w:rPr>
        <w:tab/>
      </w:r>
      <w:r>
        <w:rPr>
          <w:rFonts w:hint="eastAsia" w:hAnsi="Cambria Math"/>
          <w:i w:val="0"/>
          <w:color w:val="000000" w:themeColor="text1"/>
          <w:kern w:val="0"/>
          <w:szCs w:val="20"/>
          <w:lang w:val="en-US" w:eastAsia="zh-CN"/>
          <w14:textFill>
            <w14:solidFill>
              <w14:schemeClr w14:val="tx1"/>
            </w14:solidFill>
          </w14:textFill>
        </w:rPr>
        <w:tab/>
      </w:r>
      <w:r>
        <w:rPr>
          <w:rFonts w:hint="eastAsia"/>
          <w:color w:val="000000" w:themeColor="text1"/>
          <w:kern w:val="0"/>
          <w14:textFill>
            <w14:solidFill>
              <w14:schemeClr w14:val="tx1"/>
            </w14:solidFill>
          </w14:textFill>
        </w:rPr>
        <w:t>（D.2）</w:t>
      </w:r>
    </w:p>
    <w:p w14:paraId="6A0D4617">
      <w:pPr>
        <w:ind w:firstLine="480" w:firstLineChars="20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其中：</w:t>
      </w:r>
    </w:p>
    <w:p w14:paraId="1A46C031">
      <w:pPr>
        <w:ind w:firstLine="480" w:firstLineChars="200"/>
        <w:jc w:val="left"/>
        <w:rPr>
          <w:color w:val="000000" w:themeColor="text1"/>
          <w:kern w:val="0"/>
          <w14:textFill>
            <w14:solidFill>
              <w14:schemeClr w14:val="tx1"/>
            </w14:solidFill>
          </w14:textFill>
        </w:rPr>
      </w:pPr>
      <m:oMath>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r>
              <m:rPr/>
              <w:rPr>
                <w:rFonts w:hint="default" w:ascii="Cambria Math" w:hAnsi="Cambria Math"/>
                <w:color w:val="000000" w:themeColor="text1"/>
                <w:kern w:val="0"/>
                <w:lang w:val="en-US" w:eastAsia="zh-CN"/>
                <w14:textFill>
                  <w14:solidFill>
                    <w14:schemeClr w14:val="tx1"/>
                  </w14:solidFill>
                </w14:textFill>
              </w:rPr>
              <m:t>E</m:t>
            </m:r>
            <m:ctrlPr>
              <w:rPr>
                <w:rFonts w:ascii="Cambria Math" w:hAnsi="Cambria Math"/>
                <w:i/>
                <w:color w:val="000000" w:themeColor="text1"/>
                <w:kern w:val="0"/>
                <w14:textFill>
                  <w14:solidFill>
                    <w14:schemeClr w14:val="tx1"/>
                  </w14:solidFill>
                </w14:textFill>
              </w:rPr>
            </m:ctrlPr>
          </m:e>
        </m:d>
      </m:oMath>
      <w:r>
        <w:rPr>
          <w:rFonts w:hint="eastAsia"/>
          <w:color w:val="000000" w:themeColor="text1"/>
          <w:kern w:val="0"/>
          <w14:textFill>
            <w14:solidFill>
              <w14:schemeClr w14:val="tx1"/>
            </w14:solidFill>
          </w14:textFill>
        </w:rPr>
        <w:t>——</w:t>
      </w:r>
      <w:r>
        <w:rPr>
          <w:color w:val="000000" w:themeColor="text1"/>
          <w:kern w:val="0"/>
          <w14:textFill>
            <w14:solidFill>
              <w14:schemeClr w14:val="tx1"/>
            </w14:solidFill>
          </w14:textFill>
        </w:rPr>
        <w:t>CO</w:t>
      </w:r>
      <w:r>
        <w:rPr>
          <w:color w:val="000000" w:themeColor="text1"/>
          <w:kern w:val="0"/>
          <w:vertAlign w:val="subscript"/>
          <w14:textFill>
            <w14:solidFill>
              <w14:schemeClr w14:val="tx1"/>
            </w14:solidFill>
          </w14:textFill>
        </w:rPr>
        <w:t>2</w:t>
      </w:r>
      <w:r>
        <w:rPr>
          <w:rFonts w:hint="eastAsia"/>
          <w:color w:val="000000" w:themeColor="text1"/>
          <w:kern w:val="0"/>
          <w14:textFill>
            <w14:solidFill>
              <w14:schemeClr w14:val="tx1"/>
            </w14:solidFill>
          </w14:textFill>
        </w:rPr>
        <w:t>排放总量的标准不确定度；</w:t>
      </w:r>
    </w:p>
    <w:p w14:paraId="2747D77E">
      <w:pPr>
        <w:ind w:firstLine="480" w:firstLineChars="200"/>
        <w:jc w:val="left"/>
        <w:rPr>
          <w:color w:val="000000" w:themeColor="text1"/>
          <w:kern w:val="0"/>
          <w14:textFill>
            <w14:solidFill>
              <w14:schemeClr w14:val="tx1"/>
            </w14:solidFill>
          </w14:textFill>
        </w:rPr>
      </w:pPr>
      <m:oMath>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sSub>
              <m:sSubPr>
                <m:ctrlPr>
                  <w:rPr>
                    <w:rFonts w:ascii="Cambria Math" w:hAnsi="Cambria Math"/>
                    <w:i/>
                    <w:color w:val="000000" w:themeColor="text1"/>
                    <w:kern w:val="0"/>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E</m:t>
                </m:r>
                <m:ctrlPr>
                  <w:rPr>
                    <w:rFonts w:ascii="Cambria Math" w:hAnsi="Cambria Math"/>
                    <w:i/>
                    <w:color w:val="000000" w:themeColor="text1"/>
                    <w:kern w:val="0"/>
                    <w14:textFill>
                      <w14:solidFill>
                        <w14:schemeClr w14:val="tx1"/>
                      </w14:solidFill>
                    </w14:textFill>
                  </w:rPr>
                </m:ctrlPr>
              </m:e>
              <m:sub>
                <m:r>
                  <m:rPr>
                    <m:sty m:val="p"/>
                  </m:rPr>
                  <w:rPr>
                    <w:rFonts w:ascii="Cambria Math"/>
                    <w:color w:val="000000" w:themeColor="text1"/>
                    <w:kern w:val="0"/>
                    <w14:textFill>
                      <w14:solidFill>
                        <w14:schemeClr w14:val="tx1"/>
                      </w14:solidFill>
                    </w14:textFill>
                  </w:rPr>
                  <m:t>hs</m:t>
                </m:r>
                <m:ctrlPr>
                  <w:rPr>
                    <w:rFonts w:ascii="Cambria Math" w:hAnsi="Cambria Math"/>
                    <w:i/>
                    <w:color w:val="000000" w:themeColor="text1"/>
                    <w:kern w:val="0"/>
                    <w14:textFill>
                      <w14:solidFill>
                        <w14:schemeClr w14:val="tx1"/>
                      </w14:solidFill>
                    </w14:textFill>
                  </w:rPr>
                </m:ctrlPr>
              </m:sub>
            </m:sSub>
            <m:ctrlPr>
              <w:rPr>
                <w:rFonts w:ascii="Cambria Math" w:hAnsi="Cambria Math"/>
                <w:i/>
                <w:color w:val="000000" w:themeColor="text1"/>
                <w:kern w:val="0"/>
                <w14:textFill>
                  <w14:solidFill>
                    <w14:schemeClr w14:val="tx1"/>
                  </w14:solidFill>
                </w14:textFill>
              </w:rPr>
            </m:ctrlPr>
          </m:e>
        </m:d>
      </m:oMath>
      <w:r>
        <w:rPr>
          <w:rFonts w:hint="eastAsia"/>
          <w:color w:val="000000" w:themeColor="text1"/>
          <w:kern w:val="0"/>
          <w14:textFill>
            <w14:solidFill>
              <w14:schemeClr w14:val="tx1"/>
            </w14:solidFill>
          </w14:textFill>
        </w:rPr>
        <w:t>——燃料燃烧排放量的标准不确定度；</w:t>
      </w:r>
    </w:p>
    <w:p w14:paraId="0A22BF63">
      <w:pPr>
        <w:ind w:firstLine="480" w:firstLineChars="200"/>
        <w:jc w:val="left"/>
        <w:rPr>
          <w:color w:val="000000" w:themeColor="text1"/>
          <w:kern w:val="0"/>
          <w14:textFill>
            <w14:solidFill>
              <w14:schemeClr w14:val="tx1"/>
            </w14:solidFill>
          </w14:textFill>
        </w:rPr>
      </w:pPr>
      <m:oMath>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sSub>
              <m:sSubPr>
                <m:ctrlPr>
                  <w:rPr>
                    <w:rFonts w:ascii="Cambria Math" w:hAnsi="Cambria Math"/>
                    <w:i/>
                    <w:color w:val="000000" w:themeColor="text1"/>
                    <w:kern w:val="0"/>
                    <w14:textFill>
                      <w14:solidFill>
                        <w14:schemeClr w14:val="tx1"/>
                      </w14:solidFill>
                    </w14:textFill>
                  </w:rPr>
                </m:ctrlPr>
              </m:sSubPr>
              <m:e>
                <m:r>
                  <m:rPr/>
                  <w:rPr>
                    <w:rFonts w:hint="default" w:ascii="Cambria Math" w:hAnsi="Cambria Math"/>
                    <w:color w:val="000000" w:themeColor="text1"/>
                    <w:kern w:val="0"/>
                    <w:lang w:val="en-US" w:eastAsia="zh-CN"/>
                    <w14:textFill>
                      <w14:solidFill>
                        <w14:schemeClr w14:val="tx1"/>
                      </w14:solidFill>
                    </w14:textFill>
                  </w:rPr>
                  <m:t>E</m:t>
                </m:r>
                <m:ctrlPr>
                  <w:rPr>
                    <w:rFonts w:ascii="Cambria Math" w:hAnsi="Cambria Math"/>
                    <w:i/>
                    <w:color w:val="000000" w:themeColor="text1"/>
                    <w:kern w:val="0"/>
                    <w14:textFill>
                      <w14:solidFill>
                        <w14:schemeClr w14:val="tx1"/>
                      </w14:solidFill>
                    </w14:textFill>
                  </w:rPr>
                </m:ctrlPr>
              </m:e>
              <m:sub>
                <m:r>
                  <m:rPr>
                    <m:sty m:val="p"/>
                  </m:rPr>
                  <w:rPr>
                    <w:rFonts w:hint="default" w:ascii="Cambria Math"/>
                    <w:color w:val="000000" w:themeColor="text1"/>
                    <w:kern w:val="0"/>
                    <w:lang w:val="en-US" w:eastAsia="zh-CN"/>
                    <w14:textFill>
                      <w14:solidFill>
                        <w14:schemeClr w14:val="tx1"/>
                      </w14:solidFill>
                    </w14:textFill>
                  </w:rPr>
                  <m:t>gc</m:t>
                </m:r>
                <m:ctrlPr>
                  <w:rPr>
                    <w:rFonts w:ascii="Cambria Math" w:hAnsi="Cambria Math"/>
                    <w:i/>
                    <w:color w:val="000000" w:themeColor="text1"/>
                    <w:kern w:val="0"/>
                    <w14:textFill>
                      <w14:solidFill>
                        <w14:schemeClr w14:val="tx1"/>
                      </w14:solidFill>
                    </w14:textFill>
                  </w:rPr>
                </m:ctrlPr>
              </m:sub>
            </m:sSub>
            <m:ctrlPr>
              <w:rPr>
                <w:rFonts w:ascii="Cambria Math" w:hAnsi="Cambria Math"/>
                <w:i/>
                <w:color w:val="000000" w:themeColor="text1"/>
                <w:kern w:val="0"/>
                <w14:textFill>
                  <w14:solidFill>
                    <w14:schemeClr w14:val="tx1"/>
                  </w14:solidFill>
                </w14:textFill>
              </w:rPr>
            </m:ctrlPr>
          </m:e>
        </m:d>
      </m:oMath>
      <w:r>
        <w:rPr>
          <w:rFonts w:hint="eastAsia"/>
          <w:color w:val="000000" w:themeColor="text1"/>
          <w:kern w:val="0"/>
          <w14:textFill>
            <w14:solidFill>
              <w14:schemeClr w14:val="tx1"/>
            </w14:solidFill>
          </w14:textFill>
        </w:rPr>
        <w:t>——非能源过程排放量的标准不确定度；</w:t>
      </w:r>
    </w:p>
    <w:p w14:paraId="7214FECC">
      <w:pPr>
        <w:ind w:firstLine="480" w:firstLineChars="200"/>
        <w:jc w:val="left"/>
        <w:rPr>
          <w:color w:val="000000" w:themeColor="text1"/>
          <w:kern w:val="0"/>
          <w14:textFill>
            <w14:solidFill>
              <w14:schemeClr w14:val="tx1"/>
            </w14:solidFill>
          </w14:textFill>
        </w:rPr>
      </w:pPr>
      <m:oMath>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sSub>
              <m:sSubPr>
                <m:ctrlPr>
                  <w:rPr>
                    <w:rFonts w:ascii="Cambria Math" w:hAnsi="Cambria Math"/>
                    <w:i/>
                    <w:color w:val="000000" w:themeColor="text1"/>
                    <w:kern w:val="0"/>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E</m:t>
                </m:r>
                <m:ctrlPr>
                  <w:rPr>
                    <w:rFonts w:ascii="Cambria Math" w:hAnsi="Cambria Math"/>
                    <w:i/>
                    <w:color w:val="000000" w:themeColor="text1"/>
                    <w:kern w:val="0"/>
                    <w14:textFill>
                      <w14:solidFill>
                        <w14:schemeClr w14:val="tx1"/>
                      </w14:solidFill>
                    </w14:textFill>
                  </w:rPr>
                </m:ctrlPr>
              </m:e>
              <m:sub>
                <m:r>
                  <m:rPr/>
                  <w:rPr>
                    <w:rFonts w:hint="default" w:ascii="Cambria Math" w:hAnsi="Cambria Math"/>
                    <w:color w:val="000000" w:themeColor="text1"/>
                    <w:kern w:val="0"/>
                    <w:lang w:val="en-US" w:eastAsia="zh-CN"/>
                    <w14:textFill>
                      <w14:solidFill>
                        <w14:schemeClr w14:val="tx1"/>
                      </w14:solidFill>
                    </w14:textFill>
                  </w:rPr>
                  <m:t>dr</m:t>
                </m:r>
                <m:ctrlPr>
                  <w:rPr>
                    <w:rFonts w:ascii="Cambria Math" w:hAnsi="Cambria Math"/>
                    <w:i/>
                    <w:color w:val="000000" w:themeColor="text1"/>
                    <w:kern w:val="0"/>
                    <w14:textFill>
                      <w14:solidFill>
                        <w14:schemeClr w14:val="tx1"/>
                      </w14:solidFill>
                    </w14:textFill>
                  </w:rPr>
                </m:ctrlPr>
              </m:sub>
            </m:sSub>
            <m:ctrlPr>
              <w:rPr>
                <w:rFonts w:ascii="Cambria Math" w:hAnsi="Cambria Math"/>
                <w:i/>
                <w:color w:val="000000" w:themeColor="text1"/>
                <w:kern w:val="0"/>
                <w14:textFill>
                  <w14:solidFill>
                    <w14:schemeClr w14:val="tx1"/>
                  </w14:solidFill>
                </w14:textFill>
              </w:rPr>
            </m:ctrlPr>
          </m:e>
        </m:d>
      </m:oMath>
      <w:r>
        <w:rPr>
          <w:rFonts w:hint="eastAsia"/>
          <w:color w:val="000000" w:themeColor="text1"/>
          <w:kern w:val="0"/>
          <w14:textFill>
            <w14:solidFill>
              <w14:schemeClr w14:val="tx1"/>
            </w14:solidFill>
          </w14:textFill>
        </w:rPr>
        <w:t>——购入电力热力排放量的标准不确定度；</w:t>
      </w:r>
    </w:p>
    <w:p w14:paraId="535F553F">
      <w:pPr>
        <w:ind w:firstLine="482" w:firstLineChars="200"/>
        <w:jc w:val="left"/>
        <w:rPr>
          <w:b/>
          <w:bCs/>
          <w:color w:val="000000" w:themeColor="text1"/>
          <w:kern w:val="0"/>
          <w14:textFill>
            <w14:solidFill>
              <w14:schemeClr w14:val="tx1"/>
            </w14:solidFill>
          </w14:textFill>
        </w:rPr>
      </w:pPr>
      <w:r>
        <w:rPr>
          <w:rFonts w:hint="eastAsia"/>
          <w:b/>
          <w:bCs/>
          <w:color w:val="000000" w:themeColor="text1"/>
          <w:kern w:val="0"/>
          <w14:textFill>
            <w14:solidFill>
              <w14:schemeClr w14:val="tx1"/>
            </w14:solidFill>
          </w14:textFill>
        </w:rPr>
        <w:t>D.3 不确定度分量</w:t>
      </w:r>
    </w:p>
    <w:p w14:paraId="01750FD1">
      <w:pPr>
        <w:ind w:firstLine="482" w:firstLineChars="200"/>
        <w:jc w:val="left"/>
        <w:rPr>
          <w:b/>
          <w:bCs/>
          <w:color w:val="000000" w:themeColor="text1"/>
          <w:kern w:val="0"/>
          <w14:textFill>
            <w14:solidFill>
              <w14:schemeClr w14:val="tx1"/>
            </w14:solidFill>
          </w14:textFill>
        </w:rPr>
      </w:pPr>
      <w:r>
        <w:rPr>
          <w:rFonts w:hint="eastAsia"/>
          <w:b/>
          <w:bCs/>
          <w:color w:val="000000" w:themeColor="text1"/>
          <w:kern w:val="0"/>
          <w14:textFill>
            <w14:solidFill>
              <w14:schemeClr w14:val="tx1"/>
            </w14:solidFill>
          </w14:textFill>
        </w:rPr>
        <w:t>D.3.1 化石燃料燃烧的不确定度分量</w:t>
      </w:r>
    </w:p>
    <w:p w14:paraId="5CBA19F1">
      <w:pPr>
        <w:ind w:firstLine="48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当使用煤等固体燃料和原料时，各参数测量所引入的不确定度需要考虑采样不均匀引起的不确定度分量；均匀性较好的液体和气体燃料不需考虑采样引入的不确定度分量。</w:t>
      </w:r>
    </w:p>
    <w:p w14:paraId="0B56395E">
      <w:pPr>
        <w:ind w:firstLine="48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以计量边界内某种类型化石燃料燃烧产生的</w:t>
      </w:r>
      <w:r>
        <w:rPr>
          <w:rFonts w:hint="eastAsia"/>
          <w:color w:val="000000" w:themeColor="text1"/>
          <w:kern w:val="0"/>
          <w:lang w:eastAsia="zh-CN"/>
          <w14:textFill>
            <w14:solidFill>
              <w14:schemeClr w14:val="tx1"/>
            </w14:solidFill>
          </w14:textFill>
        </w:rPr>
        <w:t>碳</w:t>
      </w:r>
      <w:r>
        <w:rPr>
          <w:rFonts w:hint="eastAsia"/>
          <w:color w:val="000000" w:themeColor="text1"/>
          <w:kern w:val="0"/>
          <w14:textFill>
            <w14:solidFill>
              <w14:schemeClr w14:val="tx1"/>
            </w14:solidFill>
          </w14:textFill>
        </w:rPr>
        <w:t>排放引入的不确定度分量为例。燃料燃烧产生的</w:t>
      </w:r>
      <w:r>
        <w:rPr>
          <w:rFonts w:hint="eastAsia"/>
          <w:color w:val="000000" w:themeColor="text1"/>
          <w:kern w:val="0"/>
          <w:lang w:eastAsia="zh-CN"/>
          <w14:textFill>
            <w14:solidFill>
              <w14:schemeClr w14:val="tx1"/>
            </w14:solidFill>
          </w14:textFill>
        </w:rPr>
        <w:t>碳</w:t>
      </w:r>
      <w:r>
        <w:rPr>
          <w:rFonts w:hint="eastAsia"/>
          <w:color w:val="000000" w:themeColor="text1"/>
          <w:kern w:val="0"/>
          <w14:textFill>
            <w14:solidFill>
              <w14:schemeClr w14:val="tx1"/>
            </w14:solidFill>
          </w14:textFill>
        </w:rPr>
        <w:t>排放量按式公式3计算。</w:t>
      </w:r>
    </w:p>
    <w:p w14:paraId="05E378B5">
      <w:pPr>
        <w:pStyle w:val="64"/>
        <w:bidi w:val="0"/>
        <w:jc w:val="both"/>
        <w:rPr>
          <w:color w:val="000000" w:themeColor="text1"/>
          <w:kern w:val="0"/>
          <w14:textFill>
            <w14:solidFill>
              <w14:schemeClr w14:val="tx1"/>
            </w14:solidFill>
          </w14:textFill>
        </w:rPr>
      </w:pPr>
      <w:r>
        <w:rPr>
          <w:rFonts w:hint="eastAsia" w:hAnsi="Cambria Math"/>
          <w:i w:val="0"/>
          <w:color w:val="000000" w:themeColor="text1"/>
          <w:kern w:val="0"/>
          <w:lang w:val="en-US" w:eastAsia="zh-CN"/>
          <w14:textFill>
            <w14:solidFill>
              <w14:schemeClr w14:val="tx1"/>
            </w14:solidFill>
          </w14:textFill>
        </w:rPr>
        <w:tab/>
      </w:r>
      <m:oMath>
        <m:sSub>
          <m:sSubPr>
            <m:ctrlPr>
              <w:rPr>
                <w:rFonts w:ascii="Cambria Math" w:hAnsi="Cambria Math"/>
                <w:i/>
                <w:color w:val="000000" w:themeColor="text1"/>
                <w:kern w:val="0"/>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E</m:t>
            </m:r>
            <m:ctrlPr>
              <w:rPr>
                <w:rFonts w:ascii="Cambria Math" w:hAnsi="Cambria Math"/>
                <w:i/>
                <w:color w:val="000000" w:themeColor="text1"/>
                <w:kern w:val="0"/>
                <w14:textFill>
                  <w14:solidFill>
                    <w14:schemeClr w14:val="tx1"/>
                  </w14:solidFill>
                </w14:textFill>
              </w:rPr>
            </m:ctrlPr>
          </m:e>
          <m:sub>
            <m:r>
              <m:rPr>
                <m:sty m:val="p"/>
              </m:rPr>
              <w:rPr>
                <w:rFonts w:ascii="Cambria Math"/>
                <w:color w:val="000000" w:themeColor="text1"/>
                <w:kern w:val="0"/>
                <w14:textFill>
                  <w14:solidFill>
                    <w14:schemeClr w14:val="tx1"/>
                  </w14:solidFill>
                </w14:textFill>
              </w:rPr>
              <m:t>hs</m:t>
            </m:r>
            <m:ctrlPr>
              <w:rPr>
                <w:rFonts w:ascii="Cambria Math" w:hAnsi="Cambria Math"/>
                <w:i/>
                <w:color w:val="000000" w:themeColor="text1"/>
                <w:kern w:val="0"/>
                <w14:textFill>
                  <w14:solidFill>
                    <w14:schemeClr w14:val="tx1"/>
                  </w14:solidFill>
                </w14:textFill>
              </w:rPr>
            </m:ctrlPr>
          </m:sub>
        </m:sSub>
        <m:r>
          <m:rPr/>
          <w:rPr>
            <w:rFonts w:ascii="Cambria Math"/>
            <w:color w:val="000000" w:themeColor="text1"/>
            <w:kern w:val="0"/>
            <w14:textFill>
              <w14:solidFill>
                <w14:schemeClr w14:val="tx1"/>
              </w14:solidFill>
            </w14:textFill>
          </w:rPr>
          <m:t>=</m:t>
        </m:r>
        <m:sSub>
          <m:sSubPr>
            <m:ctrlPr>
              <w:rPr>
                <w:rFonts w:hint="default" w:ascii="Cambria Math"/>
                <w:i/>
                <w:color w:val="000000" w:themeColor="text1"/>
                <w:kern w:val="0"/>
                <w:lang w:val="en-US"/>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Q</m:t>
            </m:r>
            <m:ctrlPr>
              <w:rPr>
                <w:rFonts w:hint="default" w:ascii="Cambria Math"/>
                <w:i/>
                <w:color w:val="000000" w:themeColor="text1"/>
                <w:kern w:val="0"/>
                <w:lang w:val="en-US"/>
                <w14:textFill>
                  <w14:solidFill>
                    <w14:schemeClr w14:val="tx1"/>
                  </w14:solidFill>
                </w14:textFill>
              </w:rPr>
            </m:ctrlPr>
          </m:e>
          <m:sub>
            <m:r>
              <m:rPr>
                <m:sty m:val="p"/>
              </m:rPr>
              <w:rPr>
                <w:rFonts w:hint="default" w:ascii="Cambria Math" w:hAnsi="Cambria Math"/>
                <w:color w:val="000000" w:themeColor="text1"/>
                <w:kern w:val="0"/>
                <w:lang w:val="en-US" w:eastAsia="zh-CN"/>
                <w14:textFill>
                  <w14:solidFill>
                    <w14:schemeClr w14:val="tx1"/>
                  </w14:solidFill>
                </w14:textFill>
              </w:rPr>
              <m:t>hs</m:t>
            </m:r>
            <m:ctrlPr>
              <w:rPr>
                <w:rFonts w:hint="default" w:ascii="Cambria Math"/>
                <w:i/>
                <w:color w:val="000000" w:themeColor="text1"/>
                <w:kern w:val="0"/>
                <w:lang w:val="en-US"/>
                <w14:textFill>
                  <w14:solidFill>
                    <w14:schemeClr w14:val="tx1"/>
                  </w14:solidFill>
                </w14:textFill>
              </w:rPr>
            </m:ctrlPr>
          </m:sub>
        </m:sSub>
        <m:r>
          <m:rPr/>
          <w:rPr>
            <w:rFonts w:ascii="Cambria Math"/>
            <w:color w:val="000000" w:themeColor="text1"/>
            <w:kern w:val="0"/>
            <w14:textFill>
              <w14:solidFill>
                <w14:schemeClr w14:val="tx1"/>
              </w14:solidFill>
            </w14:textFill>
          </w:rPr>
          <m:t>×</m:t>
        </m:r>
        <m:sSub>
          <m:sSubPr>
            <m:ctrlPr>
              <w:rPr>
                <w:rFonts w:hint="default" w:ascii="Cambria Math" w:hAnsi="Cambria Math"/>
                <w:i/>
              </w:rPr>
            </m:ctrlPr>
          </m:sSubPr>
          <m:e>
            <m:r>
              <m:rPr/>
              <w:rPr>
                <w:rFonts w:hint="default" w:ascii="Cambria Math" w:hAnsi="Cambria Math"/>
                <w:lang w:val="en-US" w:eastAsia="zh-CN"/>
              </w:rPr>
              <m:t>C</m:t>
            </m:r>
            <m:ctrlPr>
              <w:rPr>
                <w:rFonts w:hint="default" w:ascii="Cambria Math" w:hAnsi="Cambria Math"/>
                <w:i/>
              </w:rPr>
            </m:ctrlPr>
          </m:e>
          <m:sub>
            <m:r>
              <m:rPr>
                <m:sty m:val="p"/>
              </m:rPr>
              <w:rPr>
                <w:rFonts w:hint="default" w:ascii="Cambria Math" w:hAnsi="Cambria Math"/>
                <w:lang w:val="en-US" w:eastAsia="zh-CN"/>
              </w:rPr>
              <m:t>ar</m:t>
            </m:r>
            <m:ctrlPr>
              <w:rPr>
                <w:rFonts w:hint="default" w:ascii="Cambria Math" w:hAnsi="Cambria Math"/>
                <w:i/>
              </w:rPr>
            </m:ctrlPr>
          </m:sub>
        </m:sSub>
        <m:r>
          <m:rPr/>
          <w:rPr>
            <w:rFonts w:ascii="Cambria Math"/>
            <w:color w:val="000000" w:themeColor="text1"/>
            <w:kern w:val="0"/>
            <w14:textFill>
              <w14:solidFill>
                <w14:schemeClr w14:val="tx1"/>
              </w14:solidFill>
            </w14:textFill>
          </w:rPr>
          <m:t>×OF×44/12</m:t>
        </m:r>
      </m:oMath>
      <w:r>
        <w:rPr>
          <w:rFonts w:hint="eastAsia"/>
          <w:i w:val="0"/>
          <w:color w:val="000000" w:themeColor="text1"/>
          <w:kern w:val="0"/>
          <w:lang w:val="en-US" w:eastAsia="zh-CN"/>
          <w14:textFill>
            <w14:solidFill>
              <w14:schemeClr w14:val="tx1"/>
            </w14:solidFill>
          </w14:textFill>
        </w:rPr>
        <w:tab/>
      </w:r>
      <w:r>
        <w:rPr>
          <w:rFonts w:hint="eastAsia"/>
          <w:i w:val="0"/>
          <w:color w:val="000000" w:themeColor="text1"/>
          <w:kern w:val="0"/>
          <w:lang w:val="en-US" w:eastAsia="zh-CN"/>
          <w14:textFill>
            <w14:solidFill>
              <w14:schemeClr w14:val="tx1"/>
            </w14:solidFill>
          </w14:textFill>
        </w:rPr>
        <w:tab/>
      </w:r>
      <w:r>
        <w:rPr>
          <w:rFonts w:hint="eastAsia"/>
          <w:color w:val="000000" w:themeColor="text1"/>
          <w:kern w:val="0"/>
          <w14:textFill>
            <w14:solidFill>
              <w14:schemeClr w14:val="tx1"/>
            </w14:solidFill>
          </w14:textFill>
        </w:rPr>
        <w:t>（D.3）</w:t>
      </w:r>
    </w:p>
    <w:p w14:paraId="029A7C05">
      <w:pPr>
        <w:ind w:firstLine="48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式中：</w:t>
      </w:r>
    </w:p>
    <w:p w14:paraId="7B946B22">
      <w:pPr>
        <w:ind w:firstLine="480"/>
        <w:jc w:val="left"/>
        <w:rPr>
          <w:color w:val="000000" w:themeColor="text1"/>
          <w:kern w:val="0"/>
          <w14:textFill>
            <w14:solidFill>
              <w14:schemeClr w14:val="tx1"/>
            </w14:solidFill>
          </w14:textFill>
        </w:rPr>
      </w:pPr>
      <m:oMath>
        <m:sSub>
          <m:sSubPr>
            <m:ctrlPr>
              <w:rPr>
                <w:rFonts w:ascii="Cambria Math" w:hAnsi="Cambria Math"/>
                <w:i/>
                <w:color w:val="000000" w:themeColor="text1"/>
                <w:kern w:val="0"/>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E</m:t>
            </m:r>
            <m:ctrlPr>
              <w:rPr>
                <w:rFonts w:ascii="Cambria Math" w:hAnsi="Cambria Math"/>
                <w:i/>
                <w:color w:val="000000" w:themeColor="text1"/>
                <w:kern w:val="0"/>
                <w14:textFill>
                  <w14:solidFill>
                    <w14:schemeClr w14:val="tx1"/>
                  </w14:solidFill>
                </w14:textFill>
              </w:rPr>
            </m:ctrlPr>
          </m:e>
          <m:sub>
            <m:r>
              <m:rPr>
                <m:sty m:val="p"/>
              </m:rPr>
              <w:rPr>
                <w:rFonts w:ascii="Cambria Math"/>
                <w:color w:val="000000" w:themeColor="text1"/>
                <w:kern w:val="0"/>
                <w14:textFill>
                  <w14:solidFill>
                    <w14:schemeClr w14:val="tx1"/>
                  </w14:solidFill>
                </w14:textFill>
              </w:rPr>
              <m:t>hs</m:t>
            </m:r>
            <m:ctrlPr>
              <w:rPr>
                <w:rFonts w:ascii="Cambria Math" w:hAnsi="Cambria Math"/>
                <w:i/>
                <w:color w:val="000000" w:themeColor="text1"/>
                <w:kern w:val="0"/>
                <w14:textFill>
                  <w14:solidFill>
                    <w14:schemeClr w14:val="tx1"/>
                  </w14:solidFill>
                </w14:textFill>
              </w:rPr>
            </m:ctrlPr>
          </m:sub>
        </m:sSub>
      </m:oMath>
      <w:r>
        <w:rPr>
          <w:color w:val="000000" w:themeColor="text1"/>
          <w:kern w:val="0"/>
          <w14:textFill>
            <w14:solidFill>
              <w14:schemeClr w14:val="tx1"/>
            </w14:solidFill>
          </w14:textFill>
        </w:rPr>
        <w:t>——</w:t>
      </w:r>
      <w:r>
        <w:rPr>
          <w:rFonts w:hint="eastAsia"/>
          <w:color w:val="000000" w:themeColor="text1"/>
          <w:kern w:val="0"/>
          <w14:textFill>
            <w14:solidFill>
              <w14:schemeClr w14:val="tx1"/>
            </w14:solidFill>
          </w14:textFill>
        </w:rPr>
        <w:t>化石燃料燃烧产生的</w:t>
      </w:r>
      <w:r>
        <w:rPr>
          <w:rFonts w:hint="eastAsia"/>
          <w:color w:val="000000" w:themeColor="text1"/>
          <w:kern w:val="0"/>
          <w:lang w:eastAsia="zh-CN"/>
          <w14:textFill>
            <w14:solidFill>
              <w14:schemeClr w14:val="tx1"/>
            </w14:solidFill>
          </w14:textFill>
        </w:rPr>
        <w:t>碳</w:t>
      </w:r>
      <w:r>
        <w:rPr>
          <w:rFonts w:hint="eastAsia"/>
          <w:color w:val="000000" w:themeColor="text1"/>
          <w:kern w:val="0"/>
          <w14:textFill>
            <w14:solidFill>
              <w14:schemeClr w14:val="tx1"/>
            </w14:solidFill>
          </w14:textFill>
        </w:rPr>
        <w:t>排放量，单位为吨二氧化碳当量（</w:t>
      </w:r>
      <w:r>
        <w:rPr>
          <w:color w:val="000000" w:themeColor="text1"/>
          <w:kern w:val="0"/>
          <w14:textFill>
            <w14:solidFill>
              <w14:schemeClr w14:val="tx1"/>
            </w14:solidFill>
          </w14:textFill>
        </w:rPr>
        <w:t>tCO2e</w:t>
      </w:r>
      <w:r>
        <w:rPr>
          <w:rFonts w:hint="eastAsia"/>
          <w:color w:val="000000" w:themeColor="text1"/>
          <w:kern w:val="0"/>
          <w14:textFill>
            <w14:solidFill>
              <w14:schemeClr w14:val="tx1"/>
            </w14:solidFill>
          </w14:textFill>
        </w:rPr>
        <w:t>）；</w:t>
      </w:r>
    </w:p>
    <w:p w14:paraId="07DEF4B6">
      <w:pPr>
        <w:ind w:firstLine="480"/>
        <w:jc w:val="left"/>
        <w:rPr>
          <w:color w:val="000000" w:themeColor="text1"/>
          <w:kern w:val="0"/>
          <w14:textFill>
            <w14:solidFill>
              <w14:schemeClr w14:val="tx1"/>
            </w14:solidFill>
          </w14:textFill>
        </w:rPr>
      </w:pPr>
      <m:oMath>
        <m:sSub>
          <m:sSubPr>
            <m:ctrlPr>
              <w:rPr>
                <w:rFonts w:hint="default" w:ascii="Cambria Math"/>
                <w:i/>
                <w:color w:val="000000" w:themeColor="text1"/>
                <w:kern w:val="0"/>
                <w:lang w:val="en-US"/>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Q</m:t>
            </m:r>
            <m:ctrlPr>
              <w:rPr>
                <w:rFonts w:hint="default" w:ascii="Cambria Math"/>
                <w:i/>
                <w:color w:val="000000" w:themeColor="text1"/>
                <w:kern w:val="0"/>
                <w:lang w:val="en-US"/>
                <w14:textFill>
                  <w14:solidFill>
                    <w14:schemeClr w14:val="tx1"/>
                  </w14:solidFill>
                </w14:textFill>
              </w:rPr>
            </m:ctrlPr>
          </m:e>
          <m:sub>
            <m:r>
              <m:rPr>
                <m:sty m:val="p"/>
              </m:rPr>
              <w:rPr>
                <w:rFonts w:hint="default" w:ascii="Cambria Math" w:hAnsi="Cambria Math"/>
                <w:color w:val="000000" w:themeColor="text1"/>
                <w:kern w:val="0"/>
                <w:lang w:val="en-US" w:eastAsia="zh-CN"/>
                <w14:textFill>
                  <w14:solidFill>
                    <w14:schemeClr w14:val="tx1"/>
                  </w14:solidFill>
                </w14:textFill>
              </w:rPr>
              <m:t>hs</m:t>
            </m:r>
            <m:ctrlPr>
              <w:rPr>
                <w:rFonts w:hint="default" w:ascii="Cambria Math"/>
                <w:i/>
                <w:color w:val="000000" w:themeColor="text1"/>
                <w:kern w:val="0"/>
                <w:lang w:val="en-US"/>
                <w14:textFill>
                  <w14:solidFill>
                    <w14:schemeClr w14:val="tx1"/>
                  </w14:solidFill>
                </w14:textFill>
              </w:rPr>
            </m:ctrlPr>
          </m:sub>
        </m:sSub>
      </m:oMath>
      <w:r>
        <w:rPr>
          <w:color w:val="000000" w:themeColor="text1"/>
          <w:kern w:val="0"/>
          <w14:textFill>
            <w14:solidFill>
              <w14:schemeClr w14:val="tx1"/>
            </w14:solidFill>
          </w14:textFill>
        </w:rPr>
        <w:t xml:space="preserve"> ——</w:t>
      </w:r>
      <w:r>
        <w:rPr>
          <w:rFonts w:hint="eastAsia"/>
          <w:color w:val="000000" w:themeColor="text1"/>
          <w:kern w:val="0"/>
          <w14:textFill>
            <w14:solidFill>
              <w14:schemeClr w14:val="tx1"/>
            </w14:solidFill>
          </w14:textFill>
        </w:rPr>
        <w:t>化石燃料的活动数据</w:t>
      </w:r>
      <w:r>
        <w:rPr>
          <w:color w:val="000000" w:themeColor="text1"/>
          <w:kern w:val="0"/>
          <w14:textFill>
            <w14:solidFill>
              <w14:schemeClr w14:val="tx1"/>
            </w14:solidFill>
          </w14:textFill>
        </w:rPr>
        <w:t xml:space="preserve">, </w:t>
      </w:r>
      <w:r>
        <w:rPr>
          <w:rFonts w:hint="eastAsia"/>
          <w:color w:val="000000" w:themeColor="text1"/>
          <w:kern w:val="0"/>
          <w14:textFill>
            <w14:solidFill>
              <w14:schemeClr w14:val="tx1"/>
            </w14:solidFill>
          </w14:textFill>
        </w:rPr>
        <w:t>对固体和液体燃料，单位为吨（</w:t>
      </w:r>
      <w:r>
        <w:rPr>
          <w:color w:val="000000" w:themeColor="text1"/>
          <w:kern w:val="0"/>
          <w14:textFill>
            <w14:solidFill>
              <w14:schemeClr w14:val="tx1"/>
            </w14:solidFill>
          </w14:textFill>
        </w:rPr>
        <w:t>t</w:t>
      </w:r>
      <w:r>
        <w:rPr>
          <w:rFonts w:hint="eastAsia"/>
          <w:color w:val="000000" w:themeColor="text1"/>
          <w:kern w:val="0"/>
          <w14:textFill>
            <w14:solidFill>
              <w14:schemeClr w14:val="tx1"/>
            </w14:solidFill>
          </w14:textFill>
        </w:rPr>
        <w:t>）；对气体燃料，单位为万标立方米（</w:t>
      </w:r>
      <w:r>
        <w:rPr>
          <w:color w:val="000000" w:themeColor="text1"/>
          <w:kern w:val="0"/>
          <w14:textFill>
            <w14:solidFill>
              <w14:schemeClr w14:val="tx1"/>
            </w14:solidFill>
          </w14:textFill>
        </w:rPr>
        <w:t>10</w:t>
      </w:r>
      <w:r>
        <w:rPr>
          <w:color w:val="000000" w:themeColor="text1"/>
          <w:kern w:val="0"/>
          <w:vertAlign w:val="superscript"/>
          <w14:textFill>
            <w14:solidFill>
              <w14:schemeClr w14:val="tx1"/>
            </w14:solidFill>
          </w14:textFill>
        </w:rPr>
        <w:t>4</w:t>
      </w:r>
      <w:r>
        <w:rPr>
          <w:color w:val="000000" w:themeColor="text1"/>
          <w:kern w:val="0"/>
          <w14:textFill>
            <w14:solidFill>
              <w14:schemeClr w14:val="tx1"/>
            </w14:solidFill>
          </w14:textFill>
        </w:rPr>
        <w:t>Nm</w:t>
      </w:r>
      <w:r>
        <w:rPr>
          <w:color w:val="000000" w:themeColor="text1"/>
          <w:kern w:val="0"/>
          <w:vertAlign w:val="superscript"/>
          <w14:textFill>
            <w14:solidFill>
              <w14:schemeClr w14:val="tx1"/>
            </w14:solidFill>
          </w14:textFill>
        </w:rPr>
        <w:t>3</w:t>
      </w:r>
      <w:r>
        <w:rPr>
          <w:rFonts w:hint="eastAsia"/>
          <w:color w:val="000000" w:themeColor="text1"/>
          <w:kern w:val="0"/>
          <w14:textFill>
            <w14:solidFill>
              <w14:schemeClr w14:val="tx1"/>
            </w14:solidFill>
          </w14:textFill>
        </w:rPr>
        <w:t>）；</w:t>
      </w:r>
    </w:p>
    <w:p w14:paraId="0F5EB02E">
      <w:pPr>
        <w:ind w:firstLine="480"/>
        <w:jc w:val="left"/>
        <w:rPr>
          <w:color w:val="000000" w:themeColor="text1"/>
          <w:kern w:val="0"/>
          <w14:textFill>
            <w14:solidFill>
              <w14:schemeClr w14:val="tx1"/>
            </w14:solidFill>
          </w14:textFill>
        </w:rPr>
      </w:pPr>
      <m:oMath>
        <m:sSub>
          <m:sSubPr>
            <m:ctrlPr>
              <w:rPr>
                <w:rFonts w:hint="default" w:ascii="Cambria Math" w:hAnsi="Cambria Math"/>
                <w:i/>
              </w:rPr>
            </m:ctrlPr>
          </m:sSubPr>
          <m:e>
            <m:r>
              <m:rPr/>
              <w:rPr>
                <w:rFonts w:hint="default" w:ascii="Cambria Math" w:hAnsi="Cambria Math"/>
                <w:lang w:val="en-US" w:eastAsia="zh-CN"/>
              </w:rPr>
              <m:t>C</m:t>
            </m:r>
            <m:ctrlPr>
              <w:rPr>
                <w:rFonts w:hint="default" w:ascii="Cambria Math" w:hAnsi="Cambria Math"/>
                <w:i/>
              </w:rPr>
            </m:ctrlPr>
          </m:e>
          <m:sub>
            <m:r>
              <m:rPr>
                <m:sty m:val="p"/>
              </m:rPr>
              <w:rPr>
                <w:rFonts w:hint="default" w:ascii="Cambria Math" w:hAnsi="Cambria Math"/>
                <w:lang w:val="en-US" w:eastAsia="zh-CN"/>
              </w:rPr>
              <m:t>ar</m:t>
            </m:r>
            <m:ctrlPr>
              <w:rPr>
                <w:rFonts w:hint="default" w:ascii="Cambria Math" w:hAnsi="Cambria Math"/>
                <w:i/>
              </w:rPr>
            </m:ctrlPr>
          </m:sub>
        </m:sSub>
      </m:oMath>
      <w:r>
        <w:rPr>
          <w:color w:val="000000" w:themeColor="text1"/>
          <w:kern w:val="0"/>
          <w14:textFill>
            <w14:solidFill>
              <w14:schemeClr w14:val="tx1"/>
            </w14:solidFill>
          </w14:textFill>
        </w:rPr>
        <w:t>——</w:t>
      </w:r>
      <w:r>
        <w:rPr>
          <w:rFonts w:hint="eastAsia"/>
          <w:color w:val="000000" w:themeColor="text1"/>
          <w:kern w:val="0"/>
          <w14:textFill>
            <w14:solidFill>
              <w14:schemeClr w14:val="tx1"/>
            </w14:solidFill>
          </w14:textFill>
        </w:rPr>
        <w:t>化石燃料的含碳量，对固体和液体燃料，单位为吨碳每吨（</w:t>
      </w:r>
      <w:r>
        <w:rPr>
          <w:color w:val="000000" w:themeColor="text1"/>
          <w:kern w:val="0"/>
          <w14:textFill>
            <w14:solidFill>
              <w14:schemeClr w14:val="tx1"/>
            </w14:solidFill>
          </w14:textFill>
        </w:rPr>
        <w:t>tC/t</w:t>
      </w:r>
      <w:r>
        <w:rPr>
          <w:rFonts w:hint="eastAsia"/>
          <w:color w:val="000000" w:themeColor="text1"/>
          <w:kern w:val="0"/>
          <w14:textFill>
            <w14:solidFill>
              <w14:schemeClr w14:val="tx1"/>
            </w14:solidFill>
          </w14:textFill>
        </w:rPr>
        <w:t>）；对气体燃料，单位为吨碳每万标立方米（</w:t>
      </w:r>
      <w:r>
        <w:rPr>
          <w:color w:val="000000" w:themeColor="text1"/>
          <w:kern w:val="0"/>
          <w14:textFill>
            <w14:solidFill>
              <w14:schemeClr w14:val="tx1"/>
            </w14:solidFill>
          </w14:textFill>
        </w:rPr>
        <w:t>tC/10</w:t>
      </w:r>
      <w:r>
        <w:rPr>
          <w:color w:val="000000" w:themeColor="text1"/>
          <w:kern w:val="0"/>
          <w:vertAlign w:val="superscript"/>
          <w14:textFill>
            <w14:solidFill>
              <w14:schemeClr w14:val="tx1"/>
            </w14:solidFill>
          </w14:textFill>
        </w:rPr>
        <w:t>4</w:t>
      </w:r>
      <w:r>
        <w:rPr>
          <w:color w:val="000000" w:themeColor="text1"/>
          <w:kern w:val="0"/>
          <w14:textFill>
            <w14:solidFill>
              <w14:schemeClr w14:val="tx1"/>
            </w14:solidFill>
          </w14:textFill>
        </w:rPr>
        <w:t>Nm</w:t>
      </w:r>
      <w:r>
        <w:rPr>
          <w:color w:val="000000" w:themeColor="text1"/>
          <w:kern w:val="0"/>
          <w:vertAlign w:val="superscript"/>
          <w14:textFill>
            <w14:solidFill>
              <w14:schemeClr w14:val="tx1"/>
            </w14:solidFill>
          </w14:textFill>
        </w:rPr>
        <w:t>3</w:t>
      </w:r>
      <w:r>
        <w:rPr>
          <w:rFonts w:hint="eastAsia"/>
          <w:color w:val="000000" w:themeColor="text1"/>
          <w:kern w:val="0"/>
          <w14:textFill>
            <w14:solidFill>
              <w14:schemeClr w14:val="tx1"/>
            </w14:solidFill>
          </w14:textFill>
        </w:rPr>
        <w:t>）；</w:t>
      </w:r>
    </w:p>
    <w:p w14:paraId="3E9981D1">
      <w:pPr>
        <w:ind w:firstLine="480"/>
        <w:jc w:val="left"/>
        <w:rPr>
          <w:color w:val="000000" w:themeColor="text1"/>
          <w:kern w:val="0"/>
          <w14:textFill>
            <w14:solidFill>
              <w14:schemeClr w14:val="tx1"/>
            </w14:solidFill>
          </w14:textFill>
        </w:rPr>
      </w:pPr>
      <w:r>
        <w:rPr>
          <w:color w:val="000000" w:themeColor="text1"/>
          <w:kern w:val="0"/>
          <w14:textFill>
            <w14:solidFill>
              <w14:schemeClr w14:val="tx1"/>
            </w14:solidFill>
          </w14:textFill>
        </w:rPr>
        <w:t>OF——</w:t>
      </w:r>
      <w:r>
        <w:rPr>
          <w:rFonts w:hint="eastAsia"/>
          <w:color w:val="000000" w:themeColor="text1"/>
          <w:kern w:val="0"/>
          <w14:textFill>
            <w14:solidFill>
              <w14:schemeClr w14:val="tx1"/>
            </w14:solidFill>
          </w14:textFill>
        </w:rPr>
        <w:t>核算和报告年度内化石燃料的碳氧化率；</w:t>
      </w:r>
    </w:p>
    <w:p w14:paraId="445AC1DB">
      <w:pPr>
        <w:ind w:firstLine="480"/>
        <w:jc w:val="left"/>
        <w:rPr>
          <w:color w:val="000000" w:themeColor="text1"/>
          <w:kern w:val="0"/>
          <w14:textFill>
            <w14:solidFill>
              <w14:schemeClr w14:val="tx1"/>
            </w14:solidFill>
          </w14:textFill>
        </w:rPr>
      </w:pPr>
      <w:r>
        <w:rPr>
          <w:color w:val="000000" w:themeColor="text1"/>
          <w:kern w:val="0"/>
          <w14:textFill>
            <w14:solidFill>
              <w14:schemeClr w14:val="tx1"/>
            </w14:solidFill>
          </w14:textFill>
        </w:rPr>
        <w:t>44/12——</w:t>
      </w:r>
      <w:r>
        <w:rPr>
          <w:rFonts w:hint="eastAsia"/>
          <w:color w:val="000000" w:themeColor="text1"/>
          <w:kern w:val="0"/>
          <w14:textFill>
            <w14:solidFill>
              <w14:schemeClr w14:val="tx1"/>
            </w14:solidFill>
          </w14:textFill>
        </w:rPr>
        <w:t>二氧化碳与碳的相对分子质量之比；</w:t>
      </w:r>
    </w:p>
    <w:p w14:paraId="68CBC34D">
      <w:pPr>
        <w:ind w:firstLine="48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由公式</w:t>
      </w:r>
      <w:r>
        <w:rPr>
          <w:rFonts w:hint="eastAsia"/>
          <w:color w:val="000000" w:themeColor="text1"/>
          <w:kern w:val="0"/>
          <w:lang w:val="en-US" w:eastAsia="zh-CN"/>
          <w14:textFill>
            <w14:solidFill>
              <w14:schemeClr w14:val="tx1"/>
            </w14:solidFill>
          </w14:textFill>
        </w:rPr>
        <w:t>D.</w:t>
      </w:r>
      <w:r>
        <w:rPr>
          <w:rFonts w:hint="eastAsia"/>
          <w:color w:val="000000" w:themeColor="text1"/>
          <w:kern w:val="0"/>
          <w14:textFill>
            <w14:solidFill>
              <w14:schemeClr w14:val="tx1"/>
            </w14:solidFill>
          </w14:textFill>
        </w:rPr>
        <w:t>3可知，燃料燃烧产生的</w:t>
      </w:r>
      <w:r>
        <w:rPr>
          <w:rFonts w:hint="eastAsia"/>
          <w:color w:val="000000" w:themeColor="text1"/>
          <w:kern w:val="0"/>
          <w:lang w:eastAsia="zh-CN"/>
          <w14:textFill>
            <w14:solidFill>
              <w14:schemeClr w14:val="tx1"/>
            </w14:solidFill>
          </w14:textFill>
        </w:rPr>
        <w:t>碳</w:t>
      </w:r>
      <w:r>
        <w:rPr>
          <w:rFonts w:hint="eastAsia"/>
          <w:color w:val="000000" w:themeColor="text1"/>
          <w:kern w:val="0"/>
          <w14:textFill>
            <w14:solidFill>
              <w14:schemeClr w14:val="tx1"/>
            </w14:solidFill>
          </w14:textFill>
        </w:rPr>
        <w:t>的不确定度分量主要来源于活动数据测量、化石燃料含碳量测量、化石燃料的碳氧化率测量三部分。</w:t>
      </w:r>
    </w:p>
    <w:p w14:paraId="6C104B85">
      <w:pPr>
        <w:pStyle w:val="64"/>
        <w:bidi w:val="0"/>
        <w:jc w:val="both"/>
        <w:rPr>
          <w:color w:val="000000" w:themeColor="text1"/>
          <w:kern w:val="0"/>
          <w14:textFill>
            <w14:solidFill>
              <w14:schemeClr w14:val="tx1"/>
            </w14:solidFill>
          </w14:textFill>
        </w:rPr>
      </w:pPr>
      <w:r>
        <w:rPr>
          <w:rFonts w:hint="eastAsia" w:hAnsi="Cambria Math"/>
          <w:i w:val="0"/>
          <w:color w:val="000000" w:themeColor="text1"/>
          <w:kern w:val="0"/>
          <w:lang w:val="en-US" w:eastAsia="zh-CN"/>
          <w14:textFill>
            <w14:solidFill>
              <w14:schemeClr w14:val="tx1"/>
            </w14:solidFill>
          </w14:textFill>
        </w:rPr>
        <w:tab/>
      </w:r>
      <m:oMath>
        <m:f>
          <m:fPr>
            <m:ctrlPr>
              <w:rPr>
                <w:rFonts w:ascii="Cambria Math" w:hAnsi="Cambria Math"/>
                <w:i/>
                <w:color w:val="000000" w:themeColor="text1"/>
                <w:kern w:val="0"/>
                <w14:textFill>
                  <w14:solidFill>
                    <w14:schemeClr w14:val="tx1"/>
                  </w14:solidFill>
                </w14:textFill>
              </w:rPr>
            </m:ctrlPr>
          </m:fPr>
          <m:num>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sSub>
                  <m:sSubPr>
                    <m:ctrlPr>
                      <w:rPr>
                        <w:rFonts w:ascii="Cambria Math" w:hAnsi="Cambria Math"/>
                        <w:i/>
                        <w:color w:val="000000" w:themeColor="text1"/>
                        <w:kern w:val="0"/>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E</m:t>
                    </m:r>
                    <m:ctrlPr>
                      <w:rPr>
                        <w:rFonts w:ascii="Cambria Math" w:hAnsi="Cambria Math"/>
                        <w:i/>
                        <w:color w:val="000000" w:themeColor="text1"/>
                        <w:kern w:val="0"/>
                        <w14:textFill>
                          <w14:solidFill>
                            <w14:schemeClr w14:val="tx1"/>
                          </w14:solidFill>
                        </w14:textFill>
                      </w:rPr>
                    </m:ctrlPr>
                  </m:e>
                  <m:sub>
                    <m:r>
                      <m:rPr>
                        <m:sty m:val="p"/>
                      </m:rPr>
                      <w:rPr>
                        <w:rFonts w:hint="eastAsia" w:ascii="Cambria Math" w:hAnsi="Cambria Math"/>
                        <w:color w:val="000000" w:themeColor="text1"/>
                        <w:kern w:val="0"/>
                        <w14:textFill>
                          <w14:solidFill>
                            <w14:schemeClr w14:val="tx1"/>
                          </w14:solidFill>
                        </w14:textFill>
                      </w:rPr>
                      <m:t>hs</m:t>
                    </m:r>
                    <m:ctrlPr>
                      <w:rPr>
                        <w:rFonts w:ascii="Cambria Math" w:hAnsi="Cambria Math"/>
                        <w:i/>
                        <w:color w:val="000000" w:themeColor="text1"/>
                        <w:kern w:val="0"/>
                        <w14:textFill>
                          <w14:solidFill>
                            <w14:schemeClr w14:val="tx1"/>
                          </w14:solidFill>
                        </w14:textFill>
                      </w:rPr>
                    </m:ctrlPr>
                  </m:sub>
                </m:sSub>
                <m:ctrlPr>
                  <w:rPr>
                    <w:rFonts w:ascii="Cambria Math" w:hAnsi="Cambria Math"/>
                    <w:i/>
                    <w:color w:val="000000" w:themeColor="text1"/>
                    <w:kern w:val="0"/>
                    <w14:textFill>
                      <w14:solidFill>
                        <w14:schemeClr w14:val="tx1"/>
                      </w14:solidFill>
                    </w14:textFill>
                  </w:rPr>
                </m:ctrlPr>
              </m:e>
            </m:d>
            <m:ctrlPr>
              <w:rPr>
                <w:rFonts w:ascii="Cambria Math" w:hAnsi="Cambria Math"/>
                <w:i/>
                <w:color w:val="000000" w:themeColor="text1"/>
                <w:kern w:val="0"/>
                <w14:textFill>
                  <w14:solidFill>
                    <w14:schemeClr w14:val="tx1"/>
                  </w14:solidFill>
                </w14:textFill>
              </w:rPr>
            </m:ctrlPr>
          </m:num>
          <m:den>
            <m:sSub>
              <m:sSubPr>
                <m:ctrlPr>
                  <w:rPr>
                    <w:rFonts w:ascii="Cambria Math" w:hAnsi="Cambria Math"/>
                    <w:i/>
                    <w:color w:val="000000" w:themeColor="text1"/>
                    <w:kern w:val="0"/>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E</m:t>
                </m:r>
                <m:ctrlPr>
                  <w:rPr>
                    <w:rFonts w:ascii="Cambria Math" w:hAnsi="Cambria Math"/>
                    <w:i/>
                    <w:color w:val="000000" w:themeColor="text1"/>
                    <w:kern w:val="0"/>
                    <w14:textFill>
                      <w14:solidFill>
                        <w14:schemeClr w14:val="tx1"/>
                      </w14:solidFill>
                    </w14:textFill>
                  </w:rPr>
                </m:ctrlPr>
              </m:e>
              <m:sub>
                <m:r>
                  <m:rPr>
                    <m:sty m:val="p"/>
                  </m:rPr>
                  <w:rPr>
                    <w:rFonts w:ascii="Cambria Math"/>
                    <w:color w:val="000000" w:themeColor="text1"/>
                    <w:kern w:val="0"/>
                    <w14:textFill>
                      <w14:solidFill>
                        <w14:schemeClr w14:val="tx1"/>
                      </w14:solidFill>
                    </w14:textFill>
                  </w:rPr>
                  <m:t>hs</m:t>
                </m:r>
                <m:ctrlPr>
                  <w:rPr>
                    <w:rFonts w:ascii="Cambria Math" w:hAnsi="Cambria Math"/>
                    <w:i/>
                    <w:color w:val="000000" w:themeColor="text1"/>
                    <w:kern w:val="0"/>
                    <w14:textFill>
                      <w14:solidFill>
                        <w14:schemeClr w14:val="tx1"/>
                      </w14:solidFill>
                    </w14:textFill>
                  </w:rPr>
                </m:ctrlPr>
              </m:sub>
            </m:sSub>
            <m:ctrlPr>
              <w:rPr>
                <w:rFonts w:ascii="Cambria Math" w:hAnsi="Cambria Math"/>
                <w:i/>
                <w:color w:val="000000" w:themeColor="text1"/>
                <w:kern w:val="0"/>
                <w14:textFill>
                  <w14:solidFill>
                    <w14:schemeClr w14:val="tx1"/>
                  </w14:solidFill>
                </w14:textFill>
              </w:rPr>
            </m:ctrlPr>
          </m:den>
        </m:f>
        <m:r>
          <m:rPr/>
          <w:rPr>
            <w:rFonts w:ascii="Cambria Math"/>
            <w:color w:val="000000" w:themeColor="text1"/>
            <w:kern w:val="0"/>
            <w14:textFill>
              <w14:solidFill>
                <w14:schemeClr w14:val="tx1"/>
              </w14:solidFill>
            </w14:textFill>
          </w:rPr>
          <m:t>=</m:t>
        </m:r>
        <m:rad>
          <m:radPr>
            <m:degHide m:val="1"/>
            <m:ctrlPr>
              <w:rPr>
                <w:rFonts w:ascii="Cambria Math" w:hAnsi="Cambria Math"/>
                <w:i/>
                <w:color w:val="000000" w:themeColor="text1"/>
                <w:kern w:val="0"/>
                <w14:textFill>
                  <w14:solidFill>
                    <w14:schemeClr w14:val="tx1"/>
                  </w14:solidFill>
                </w14:textFill>
              </w:rPr>
            </m:ctrlPr>
          </m:radPr>
          <m:deg>
            <m:ctrlPr>
              <w:rPr>
                <w:rFonts w:ascii="Cambria Math" w:hAnsi="Cambria Math"/>
                <w:i/>
                <w:color w:val="000000" w:themeColor="text1"/>
                <w:kern w:val="0"/>
                <w14:textFill>
                  <w14:solidFill>
                    <w14:schemeClr w14:val="tx1"/>
                  </w14:solidFill>
                </w14:textFill>
              </w:rPr>
            </m:ctrlPr>
          </m:deg>
          <m:e>
            <m:sSup>
              <m:sSupPr>
                <m:ctrlPr>
                  <w:rPr>
                    <w:rFonts w:ascii="Cambria Math" w:hAnsi="Cambria Math"/>
                    <w:i/>
                    <w:color w:val="000000" w:themeColor="text1"/>
                    <w:kern w:val="0"/>
                    <w14:textFill>
                      <w14:solidFill>
                        <w14:schemeClr w14:val="tx1"/>
                      </w14:solidFill>
                    </w14:textFill>
                  </w:rPr>
                </m:ctrlPr>
              </m:sSupPr>
              <m:e>
                <m:d>
                  <m:dPr>
                    <m:ctrlPr>
                      <w:rPr>
                        <w:rFonts w:ascii="Cambria Math" w:hAnsi="Cambria Math"/>
                        <w:i/>
                        <w:color w:val="000000" w:themeColor="text1"/>
                        <w:kern w:val="0"/>
                        <w14:textFill>
                          <w14:solidFill>
                            <w14:schemeClr w14:val="tx1"/>
                          </w14:solidFill>
                        </w14:textFill>
                      </w:rPr>
                    </m:ctrlPr>
                  </m:dPr>
                  <m:e>
                    <m:f>
                      <m:fPr>
                        <m:ctrlPr>
                          <w:rPr>
                            <w:rFonts w:ascii="Cambria Math" w:hAnsi="Cambria Math"/>
                            <w:i/>
                            <w:color w:val="000000" w:themeColor="text1"/>
                            <w:kern w:val="0"/>
                            <w14:textFill>
                              <w14:solidFill>
                                <w14:schemeClr w14:val="tx1"/>
                              </w14:solidFill>
                            </w14:textFill>
                          </w:rPr>
                        </m:ctrlPr>
                      </m:fPr>
                      <m:num>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sSub>
                              <m:sSubPr>
                                <m:ctrlPr>
                                  <w:rPr>
                                    <w:rFonts w:hint="default" w:ascii="Cambria Math"/>
                                    <w:i/>
                                    <w:color w:val="000000" w:themeColor="text1"/>
                                    <w:kern w:val="0"/>
                                    <w:lang w:val="en-US"/>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Q</m:t>
                                </m:r>
                                <m:ctrlPr>
                                  <w:rPr>
                                    <w:rFonts w:hint="default" w:ascii="Cambria Math"/>
                                    <w:i/>
                                    <w:color w:val="000000" w:themeColor="text1"/>
                                    <w:kern w:val="0"/>
                                    <w:lang w:val="en-US"/>
                                    <w14:textFill>
                                      <w14:solidFill>
                                        <w14:schemeClr w14:val="tx1"/>
                                      </w14:solidFill>
                                    </w14:textFill>
                                  </w:rPr>
                                </m:ctrlPr>
                              </m:e>
                              <m:sub>
                                <m:r>
                                  <m:rPr>
                                    <m:sty m:val="p"/>
                                  </m:rPr>
                                  <w:rPr>
                                    <w:rFonts w:hint="default" w:ascii="Cambria Math" w:hAnsi="Cambria Math"/>
                                    <w:color w:val="000000" w:themeColor="text1"/>
                                    <w:kern w:val="0"/>
                                    <w:lang w:val="en-US" w:eastAsia="zh-CN"/>
                                    <w14:textFill>
                                      <w14:solidFill>
                                        <w14:schemeClr w14:val="tx1"/>
                                      </w14:solidFill>
                                    </w14:textFill>
                                  </w:rPr>
                                  <m:t>hs</m:t>
                                </m:r>
                                <m:ctrlPr>
                                  <w:rPr>
                                    <w:rFonts w:hint="default" w:ascii="Cambria Math"/>
                                    <w:i/>
                                    <w:color w:val="000000" w:themeColor="text1"/>
                                    <w:kern w:val="0"/>
                                    <w:lang w:val="en-US"/>
                                    <w14:textFill>
                                      <w14:solidFill>
                                        <w14:schemeClr w14:val="tx1"/>
                                      </w14:solidFill>
                                    </w14:textFill>
                                  </w:rPr>
                                </m:ctrlPr>
                              </m:sub>
                            </m:sSub>
                            <m:ctrlPr>
                              <w:rPr>
                                <w:rFonts w:ascii="Cambria Math" w:hAnsi="Cambria Math"/>
                                <w:i/>
                                <w:color w:val="000000" w:themeColor="text1"/>
                                <w:kern w:val="0"/>
                                <w14:textFill>
                                  <w14:solidFill>
                                    <w14:schemeClr w14:val="tx1"/>
                                  </w14:solidFill>
                                </w14:textFill>
                              </w:rPr>
                            </m:ctrlPr>
                          </m:e>
                        </m:d>
                        <m:ctrlPr>
                          <w:rPr>
                            <w:rFonts w:ascii="Cambria Math" w:hAnsi="Cambria Math"/>
                            <w:i/>
                            <w:color w:val="000000" w:themeColor="text1"/>
                            <w:kern w:val="0"/>
                            <w14:textFill>
                              <w14:solidFill>
                                <w14:schemeClr w14:val="tx1"/>
                              </w14:solidFill>
                            </w14:textFill>
                          </w:rPr>
                        </m:ctrlPr>
                      </m:num>
                      <m:den>
                        <m:sSub>
                          <m:sSubPr>
                            <m:ctrlPr>
                              <w:rPr>
                                <w:rFonts w:hint="default" w:ascii="Cambria Math"/>
                                <w:i/>
                                <w:color w:val="000000" w:themeColor="text1"/>
                                <w:kern w:val="0"/>
                                <w:lang w:val="en-US"/>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Q</m:t>
                            </m:r>
                            <m:ctrlPr>
                              <w:rPr>
                                <w:rFonts w:hint="default" w:ascii="Cambria Math"/>
                                <w:i/>
                                <w:color w:val="000000" w:themeColor="text1"/>
                                <w:kern w:val="0"/>
                                <w:lang w:val="en-US"/>
                                <w14:textFill>
                                  <w14:solidFill>
                                    <w14:schemeClr w14:val="tx1"/>
                                  </w14:solidFill>
                                </w14:textFill>
                              </w:rPr>
                            </m:ctrlPr>
                          </m:e>
                          <m:sub>
                            <m:r>
                              <m:rPr>
                                <m:sty m:val="p"/>
                              </m:rPr>
                              <w:rPr>
                                <w:rFonts w:hint="default" w:ascii="Cambria Math" w:hAnsi="Cambria Math"/>
                                <w:color w:val="000000" w:themeColor="text1"/>
                                <w:kern w:val="0"/>
                                <w:lang w:val="en-US" w:eastAsia="zh-CN"/>
                                <w14:textFill>
                                  <w14:solidFill>
                                    <w14:schemeClr w14:val="tx1"/>
                                  </w14:solidFill>
                                </w14:textFill>
                              </w:rPr>
                              <m:t>hs</m:t>
                            </m:r>
                            <m:ctrlPr>
                              <w:rPr>
                                <w:rFonts w:hint="default" w:ascii="Cambria Math"/>
                                <w:i/>
                                <w:color w:val="000000" w:themeColor="text1"/>
                                <w:kern w:val="0"/>
                                <w:lang w:val="en-US"/>
                                <w14:textFill>
                                  <w14:solidFill>
                                    <w14:schemeClr w14:val="tx1"/>
                                  </w14:solidFill>
                                </w14:textFill>
                              </w:rPr>
                            </m:ctrlPr>
                          </m:sub>
                        </m:sSub>
                        <m:ctrlPr>
                          <w:rPr>
                            <w:rFonts w:ascii="Cambria Math" w:hAnsi="Cambria Math"/>
                            <w:i/>
                            <w:color w:val="000000" w:themeColor="text1"/>
                            <w:kern w:val="0"/>
                            <w14:textFill>
                              <w14:solidFill>
                                <w14:schemeClr w14:val="tx1"/>
                              </w14:solidFill>
                            </w14:textFill>
                          </w:rPr>
                        </m:ctrlPr>
                      </m:den>
                    </m:f>
                    <m:ctrlPr>
                      <w:rPr>
                        <w:rFonts w:ascii="Cambria Math" w:hAnsi="Cambria Math"/>
                        <w:i/>
                        <w:color w:val="000000" w:themeColor="text1"/>
                        <w:kern w:val="0"/>
                        <w14:textFill>
                          <w14:solidFill>
                            <w14:schemeClr w14:val="tx1"/>
                          </w14:solidFill>
                        </w14:textFill>
                      </w:rPr>
                    </m:ctrlPr>
                  </m:e>
                </m:d>
                <m:ctrlPr>
                  <w:rPr>
                    <w:rFonts w:ascii="Cambria Math" w:hAnsi="Cambria Math"/>
                    <w:i/>
                    <w:color w:val="000000" w:themeColor="text1"/>
                    <w:kern w:val="0"/>
                    <w14:textFill>
                      <w14:solidFill>
                        <w14:schemeClr w14:val="tx1"/>
                      </w14:solidFill>
                    </w14:textFill>
                  </w:rPr>
                </m:ctrlPr>
              </m:e>
              <m:sup>
                <m:r>
                  <m:rPr/>
                  <w:rPr>
                    <w:rFonts w:ascii="Cambria Math"/>
                    <w:color w:val="000000" w:themeColor="text1"/>
                    <w:kern w:val="0"/>
                    <w14:textFill>
                      <w14:solidFill>
                        <w14:schemeClr w14:val="tx1"/>
                      </w14:solidFill>
                    </w14:textFill>
                  </w:rPr>
                  <m:t>2</m:t>
                </m:r>
                <m:ctrlPr>
                  <w:rPr>
                    <w:rFonts w:ascii="Cambria Math" w:hAnsi="Cambria Math"/>
                    <w:i/>
                    <w:color w:val="000000" w:themeColor="text1"/>
                    <w:kern w:val="0"/>
                    <w14:textFill>
                      <w14:solidFill>
                        <w14:schemeClr w14:val="tx1"/>
                      </w14:solidFill>
                    </w14:textFill>
                  </w:rPr>
                </m:ctrlPr>
              </m:sup>
            </m:sSup>
            <m:r>
              <m:rPr/>
              <w:rPr>
                <w:rFonts w:ascii="Cambria Math"/>
                <w:color w:val="000000" w:themeColor="text1"/>
                <w:kern w:val="0"/>
                <w14:textFill>
                  <w14:solidFill>
                    <w14:schemeClr w14:val="tx1"/>
                  </w14:solidFill>
                </w14:textFill>
              </w:rPr>
              <m:t>+</m:t>
            </m:r>
            <m:sSup>
              <m:sSupPr>
                <m:ctrlPr>
                  <w:rPr>
                    <w:rFonts w:ascii="Cambria Math" w:hAnsi="Cambria Math"/>
                    <w:i/>
                    <w:color w:val="000000" w:themeColor="text1"/>
                    <w:kern w:val="0"/>
                    <w14:textFill>
                      <w14:solidFill>
                        <w14:schemeClr w14:val="tx1"/>
                      </w14:solidFill>
                    </w14:textFill>
                  </w:rPr>
                </m:ctrlPr>
              </m:sSupPr>
              <m:e>
                <m:d>
                  <m:dPr>
                    <m:ctrlPr>
                      <w:rPr>
                        <w:rFonts w:ascii="Cambria Math" w:hAnsi="Cambria Math"/>
                        <w:i/>
                        <w:color w:val="000000" w:themeColor="text1"/>
                        <w:kern w:val="0"/>
                        <w14:textFill>
                          <w14:solidFill>
                            <w14:schemeClr w14:val="tx1"/>
                          </w14:solidFill>
                        </w14:textFill>
                      </w:rPr>
                    </m:ctrlPr>
                  </m:dPr>
                  <m:e>
                    <m:f>
                      <m:fPr>
                        <m:ctrlPr>
                          <w:rPr>
                            <w:rFonts w:ascii="Cambria Math" w:hAnsi="Cambria Math"/>
                            <w:i/>
                            <w:color w:val="000000" w:themeColor="text1"/>
                            <w:kern w:val="0"/>
                            <w14:textFill>
                              <w14:solidFill>
                                <w14:schemeClr w14:val="tx1"/>
                              </w14:solidFill>
                            </w14:textFill>
                          </w:rPr>
                        </m:ctrlPr>
                      </m:fPr>
                      <m:num>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sSub>
                              <m:sSubPr>
                                <m:ctrlPr>
                                  <w:rPr>
                                    <w:rFonts w:hint="default" w:ascii="Cambria Math" w:hAnsi="Cambria Math"/>
                                    <w:i/>
                                  </w:rPr>
                                </m:ctrlPr>
                              </m:sSubPr>
                              <m:e>
                                <m:r>
                                  <m:rPr/>
                                  <w:rPr>
                                    <w:rFonts w:hint="default" w:ascii="Cambria Math" w:hAnsi="Cambria Math"/>
                                    <w:lang w:val="en-US" w:eastAsia="zh-CN"/>
                                  </w:rPr>
                                  <m:t>C</m:t>
                                </m:r>
                                <m:ctrlPr>
                                  <w:rPr>
                                    <w:rFonts w:hint="default" w:ascii="Cambria Math" w:hAnsi="Cambria Math"/>
                                    <w:i/>
                                  </w:rPr>
                                </m:ctrlPr>
                              </m:e>
                              <m:sub>
                                <m:r>
                                  <m:rPr>
                                    <m:sty m:val="p"/>
                                  </m:rPr>
                                  <w:rPr>
                                    <w:rFonts w:hint="default" w:ascii="Cambria Math" w:hAnsi="Cambria Math"/>
                                    <w:lang w:val="en-US" w:eastAsia="zh-CN"/>
                                  </w:rPr>
                                  <m:t>ar</m:t>
                                </m:r>
                                <m:ctrlPr>
                                  <w:rPr>
                                    <w:rFonts w:hint="default" w:ascii="Cambria Math" w:hAnsi="Cambria Math"/>
                                    <w:i/>
                                  </w:rPr>
                                </m:ctrlPr>
                              </m:sub>
                            </m:sSub>
                            <m:ctrlPr>
                              <w:rPr>
                                <w:rFonts w:ascii="Cambria Math" w:hAnsi="Cambria Math"/>
                                <w:i/>
                                <w:color w:val="000000" w:themeColor="text1"/>
                                <w:kern w:val="0"/>
                                <w14:textFill>
                                  <w14:solidFill>
                                    <w14:schemeClr w14:val="tx1"/>
                                  </w14:solidFill>
                                </w14:textFill>
                              </w:rPr>
                            </m:ctrlPr>
                          </m:e>
                        </m:d>
                        <m:ctrlPr>
                          <w:rPr>
                            <w:rFonts w:ascii="Cambria Math" w:hAnsi="Cambria Math"/>
                            <w:i/>
                            <w:color w:val="000000" w:themeColor="text1"/>
                            <w:kern w:val="0"/>
                            <w14:textFill>
                              <w14:solidFill>
                                <w14:schemeClr w14:val="tx1"/>
                              </w14:solidFill>
                            </w14:textFill>
                          </w:rPr>
                        </m:ctrlPr>
                      </m:num>
                      <m:den>
                        <m:sSub>
                          <m:sSubPr>
                            <m:ctrlPr>
                              <w:rPr>
                                <w:rFonts w:hint="default" w:ascii="Cambria Math" w:hAnsi="Cambria Math"/>
                                <w:i/>
                              </w:rPr>
                            </m:ctrlPr>
                          </m:sSubPr>
                          <m:e>
                            <m:r>
                              <m:rPr/>
                              <w:rPr>
                                <w:rFonts w:hint="default" w:ascii="Cambria Math" w:hAnsi="Cambria Math"/>
                                <w:lang w:val="en-US" w:eastAsia="zh-CN"/>
                              </w:rPr>
                              <m:t>C</m:t>
                            </m:r>
                            <m:ctrlPr>
                              <w:rPr>
                                <w:rFonts w:hint="default" w:ascii="Cambria Math" w:hAnsi="Cambria Math"/>
                                <w:i/>
                              </w:rPr>
                            </m:ctrlPr>
                          </m:e>
                          <m:sub>
                            <m:r>
                              <m:rPr>
                                <m:sty m:val="p"/>
                              </m:rPr>
                              <w:rPr>
                                <w:rFonts w:hint="default" w:ascii="Cambria Math" w:hAnsi="Cambria Math"/>
                                <w:lang w:val="en-US" w:eastAsia="zh-CN"/>
                              </w:rPr>
                              <m:t>ar</m:t>
                            </m:r>
                            <m:ctrlPr>
                              <w:rPr>
                                <w:rFonts w:hint="default" w:ascii="Cambria Math" w:hAnsi="Cambria Math"/>
                                <w:i/>
                              </w:rPr>
                            </m:ctrlPr>
                          </m:sub>
                        </m:sSub>
                        <m:ctrlPr>
                          <w:rPr>
                            <w:rFonts w:ascii="Cambria Math" w:hAnsi="Cambria Math"/>
                            <w:i/>
                            <w:color w:val="000000" w:themeColor="text1"/>
                            <w:kern w:val="0"/>
                            <w14:textFill>
                              <w14:solidFill>
                                <w14:schemeClr w14:val="tx1"/>
                              </w14:solidFill>
                            </w14:textFill>
                          </w:rPr>
                        </m:ctrlPr>
                      </m:den>
                    </m:f>
                    <m:ctrlPr>
                      <w:rPr>
                        <w:rFonts w:ascii="Cambria Math" w:hAnsi="Cambria Math"/>
                        <w:i/>
                        <w:color w:val="000000" w:themeColor="text1"/>
                        <w:kern w:val="0"/>
                        <w14:textFill>
                          <w14:solidFill>
                            <w14:schemeClr w14:val="tx1"/>
                          </w14:solidFill>
                        </w14:textFill>
                      </w:rPr>
                    </m:ctrlPr>
                  </m:e>
                </m:d>
                <m:ctrlPr>
                  <w:rPr>
                    <w:rFonts w:ascii="Cambria Math" w:hAnsi="Cambria Math"/>
                    <w:i/>
                    <w:color w:val="000000" w:themeColor="text1"/>
                    <w:kern w:val="0"/>
                    <w14:textFill>
                      <w14:solidFill>
                        <w14:schemeClr w14:val="tx1"/>
                      </w14:solidFill>
                    </w14:textFill>
                  </w:rPr>
                </m:ctrlPr>
              </m:e>
              <m:sup>
                <m:r>
                  <m:rPr/>
                  <w:rPr>
                    <w:rFonts w:ascii="Cambria Math"/>
                    <w:color w:val="000000" w:themeColor="text1"/>
                    <w:kern w:val="0"/>
                    <w14:textFill>
                      <w14:solidFill>
                        <w14:schemeClr w14:val="tx1"/>
                      </w14:solidFill>
                    </w14:textFill>
                  </w:rPr>
                  <m:t>2</m:t>
                </m:r>
                <m:ctrlPr>
                  <w:rPr>
                    <w:rFonts w:ascii="Cambria Math" w:hAnsi="Cambria Math"/>
                    <w:i/>
                    <w:color w:val="000000" w:themeColor="text1"/>
                    <w:kern w:val="0"/>
                    <w14:textFill>
                      <w14:solidFill>
                        <w14:schemeClr w14:val="tx1"/>
                      </w14:solidFill>
                    </w14:textFill>
                  </w:rPr>
                </m:ctrlPr>
              </m:sup>
            </m:sSup>
            <m:r>
              <m:rPr/>
              <w:rPr>
                <w:rFonts w:ascii="Cambria Math"/>
                <w:color w:val="000000" w:themeColor="text1"/>
                <w:kern w:val="0"/>
                <w14:textFill>
                  <w14:solidFill>
                    <w14:schemeClr w14:val="tx1"/>
                  </w14:solidFill>
                </w14:textFill>
              </w:rPr>
              <m:t>+</m:t>
            </m:r>
            <m:sSup>
              <m:sSupPr>
                <m:ctrlPr>
                  <w:rPr>
                    <w:rFonts w:ascii="Cambria Math" w:hAnsi="Cambria Math"/>
                    <w:i/>
                    <w:color w:val="000000" w:themeColor="text1"/>
                    <w:kern w:val="0"/>
                    <w14:textFill>
                      <w14:solidFill>
                        <w14:schemeClr w14:val="tx1"/>
                      </w14:solidFill>
                    </w14:textFill>
                  </w:rPr>
                </m:ctrlPr>
              </m:sSupPr>
              <m:e>
                <m:d>
                  <m:dPr>
                    <m:ctrlPr>
                      <w:rPr>
                        <w:rFonts w:ascii="Cambria Math" w:hAnsi="Cambria Math"/>
                        <w:i/>
                        <w:color w:val="000000" w:themeColor="text1"/>
                        <w:kern w:val="0"/>
                        <w14:textFill>
                          <w14:solidFill>
                            <w14:schemeClr w14:val="tx1"/>
                          </w14:solidFill>
                        </w14:textFill>
                      </w:rPr>
                    </m:ctrlPr>
                  </m:dPr>
                  <m:e>
                    <m:f>
                      <m:fPr>
                        <m:ctrlPr>
                          <w:rPr>
                            <w:rFonts w:ascii="Cambria Math" w:hAnsi="Cambria Math"/>
                            <w:i/>
                            <w:color w:val="000000" w:themeColor="text1"/>
                            <w:kern w:val="0"/>
                            <w14:textFill>
                              <w14:solidFill>
                                <w14:schemeClr w14:val="tx1"/>
                              </w14:solidFill>
                            </w14:textFill>
                          </w:rPr>
                        </m:ctrlPr>
                      </m:fPr>
                      <m:num>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r>
                              <m:rPr/>
                              <w:rPr>
                                <w:rFonts w:ascii="Cambria Math"/>
                                <w:color w:val="000000" w:themeColor="text1"/>
                                <w:kern w:val="0"/>
                                <w14:textFill>
                                  <w14:solidFill>
                                    <w14:schemeClr w14:val="tx1"/>
                                  </w14:solidFill>
                                </w14:textFill>
                              </w:rPr>
                              <m:t>OF</m:t>
                            </m:r>
                            <m:ctrlPr>
                              <w:rPr>
                                <w:rFonts w:ascii="Cambria Math" w:hAnsi="Cambria Math"/>
                                <w:i/>
                                <w:color w:val="000000" w:themeColor="text1"/>
                                <w:kern w:val="0"/>
                                <w14:textFill>
                                  <w14:solidFill>
                                    <w14:schemeClr w14:val="tx1"/>
                                  </w14:solidFill>
                                </w14:textFill>
                              </w:rPr>
                            </m:ctrlPr>
                          </m:e>
                        </m:d>
                        <m:ctrlPr>
                          <w:rPr>
                            <w:rFonts w:ascii="Cambria Math" w:hAnsi="Cambria Math"/>
                            <w:i/>
                            <w:color w:val="000000" w:themeColor="text1"/>
                            <w:kern w:val="0"/>
                            <w14:textFill>
                              <w14:solidFill>
                                <w14:schemeClr w14:val="tx1"/>
                              </w14:solidFill>
                            </w14:textFill>
                          </w:rPr>
                        </m:ctrlPr>
                      </m:num>
                      <m:den>
                        <m:r>
                          <m:rPr/>
                          <w:rPr>
                            <w:rFonts w:ascii="Cambria Math"/>
                            <w:color w:val="000000" w:themeColor="text1"/>
                            <w:kern w:val="0"/>
                            <w14:textFill>
                              <w14:solidFill>
                                <w14:schemeClr w14:val="tx1"/>
                              </w14:solidFill>
                            </w14:textFill>
                          </w:rPr>
                          <m:t>OF</m:t>
                        </m:r>
                        <m:ctrlPr>
                          <w:rPr>
                            <w:rFonts w:ascii="Cambria Math" w:hAnsi="Cambria Math"/>
                            <w:i/>
                            <w:color w:val="000000" w:themeColor="text1"/>
                            <w:kern w:val="0"/>
                            <w14:textFill>
                              <w14:solidFill>
                                <w14:schemeClr w14:val="tx1"/>
                              </w14:solidFill>
                            </w14:textFill>
                          </w:rPr>
                        </m:ctrlPr>
                      </m:den>
                    </m:f>
                    <m:ctrlPr>
                      <w:rPr>
                        <w:rFonts w:ascii="Cambria Math" w:hAnsi="Cambria Math"/>
                        <w:i/>
                        <w:color w:val="000000" w:themeColor="text1"/>
                        <w:kern w:val="0"/>
                        <w14:textFill>
                          <w14:solidFill>
                            <w14:schemeClr w14:val="tx1"/>
                          </w14:solidFill>
                        </w14:textFill>
                      </w:rPr>
                    </m:ctrlPr>
                  </m:e>
                </m:d>
                <m:ctrlPr>
                  <w:rPr>
                    <w:rFonts w:ascii="Cambria Math" w:hAnsi="Cambria Math"/>
                    <w:i/>
                    <w:color w:val="000000" w:themeColor="text1"/>
                    <w:kern w:val="0"/>
                    <w14:textFill>
                      <w14:solidFill>
                        <w14:schemeClr w14:val="tx1"/>
                      </w14:solidFill>
                    </w14:textFill>
                  </w:rPr>
                </m:ctrlPr>
              </m:e>
              <m:sup>
                <m:r>
                  <m:rPr/>
                  <w:rPr>
                    <w:rFonts w:ascii="Cambria Math"/>
                    <w:color w:val="000000" w:themeColor="text1"/>
                    <w:kern w:val="0"/>
                    <w14:textFill>
                      <w14:solidFill>
                        <w14:schemeClr w14:val="tx1"/>
                      </w14:solidFill>
                    </w14:textFill>
                  </w:rPr>
                  <m:t>2</m:t>
                </m:r>
                <m:ctrlPr>
                  <w:rPr>
                    <w:rFonts w:ascii="Cambria Math" w:hAnsi="Cambria Math"/>
                    <w:i/>
                    <w:color w:val="000000" w:themeColor="text1"/>
                    <w:kern w:val="0"/>
                    <w14:textFill>
                      <w14:solidFill>
                        <w14:schemeClr w14:val="tx1"/>
                      </w14:solidFill>
                    </w14:textFill>
                  </w:rPr>
                </m:ctrlPr>
              </m:sup>
            </m:sSup>
            <m:ctrlPr>
              <w:rPr>
                <w:rFonts w:ascii="Cambria Math" w:hAnsi="Cambria Math"/>
                <w:i/>
                <w:color w:val="000000" w:themeColor="text1"/>
                <w:kern w:val="0"/>
                <w14:textFill>
                  <w14:solidFill>
                    <w14:schemeClr w14:val="tx1"/>
                  </w14:solidFill>
                </w14:textFill>
              </w:rPr>
            </m:ctrlPr>
          </m:e>
        </m:rad>
      </m:oMath>
      <w:r>
        <w:rPr>
          <w:rFonts w:hint="eastAsia" w:hAnsi="Cambria Math"/>
          <w:i w:val="0"/>
          <w:color w:val="000000" w:themeColor="text1"/>
          <w:kern w:val="0"/>
          <w:lang w:val="en-US" w:eastAsia="zh-CN"/>
          <w14:textFill>
            <w14:solidFill>
              <w14:schemeClr w14:val="tx1"/>
            </w14:solidFill>
          </w14:textFill>
        </w:rPr>
        <w:tab/>
      </w:r>
      <w:r>
        <w:rPr>
          <w:rFonts w:hint="eastAsia" w:hAnsi="Cambria Math"/>
          <w:i w:val="0"/>
          <w:color w:val="000000" w:themeColor="text1"/>
          <w:kern w:val="0"/>
          <w:lang w:val="en-US" w:eastAsia="zh-CN"/>
          <w14:textFill>
            <w14:solidFill>
              <w14:schemeClr w14:val="tx1"/>
            </w14:solidFill>
          </w14:textFill>
        </w:rPr>
        <w:tab/>
      </w:r>
      <w:r>
        <w:rPr>
          <w:rFonts w:hint="eastAsia"/>
          <w:color w:val="000000" w:themeColor="text1"/>
          <w:kern w:val="0"/>
          <w14:textFill>
            <w14:solidFill>
              <w14:schemeClr w14:val="tx1"/>
            </w14:solidFill>
          </w14:textFill>
        </w:rPr>
        <w:t>（D.</w:t>
      </w:r>
      <w:r>
        <w:rPr>
          <w:color w:val="000000" w:themeColor="text1"/>
          <w:kern w:val="0"/>
          <w14:textFill>
            <w14:solidFill>
              <w14:schemeClr w14:val="tx1"/>
            </w14:solidFill>
          </w14:textFill>
        </w:rPr>
        <w:t>4</w:t>
      </w:r>
      <w:r>
        <w:rPr>
          <w:rFonts w:hint="eastAsia"/>
          <w:color w:val="000000" w:themeColor="text1"/>
          <w:kern w:val="0"/>
          <w14:textFill>
            <w14:solidFill>
              <w14:schemeClr w14:val="tx1"/>
            </w14:solidFill>
          </w14:textFill>
        </w:rPr>
        <w:t>）</w:t>
      </w:r>
    </w:p>
    <w:p w14:paraId="482E1265">
      <w:pPr>
        <w:ind w:firstLine="48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其中：</w:t>
      </w:r>
    </w:p>
    <w:p w14:paraId="50721146">
      <w:pPr>
        <w:ind w:firstLine="480"/>
        <w:jc w:val="left"/>
        <w:rPr>
          <w:color w:val="000000" w:themeColor="text1"/>
          <w:kern w:val="0"/>
          <w14:textFill>
            <w14:solidFill>
              <w14:schemeClr w14:val="tx1"/>
            </w14:solidFill>
          </w14:textFill>
        </w:rPr>
      </w:pPr>
      <m:oMath>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sSub>
              <m:sSubPr>
                <m:ctrlPr>
                  <w:rPr>
                    <w:rFonts w:hint="default" w:ascii="Cambria Math"/>
                    <w:i/>
                    <w:color w:val="000000" w:themeColor="text1"/>
                    <w:kern w:val="0"/>
                    <w:lang w:val="en-US"/>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Q</m:t>
                </m:r>
                <m:ctrlPr>
                  <w:rPr>
                    <w:rFonts w:hint="default" w:ascii="Cambria Math"/>
                    <w:i/>
                    <w:color w:val="000000" w:themeColor="text1"/>
                    <w:kern w:val="0"/>
                    <w:lang w:val="en-US"/>
                    <w14:textFill>
                      <w14:solidFill>
                        <w14:schemeClr w14:val="tx1"/>
                      </w14:solidFill>
                    </w14:textFill>
                  </w:rPr>
                </m:ctrlPr>
              </m:e>
              <m:sub>
                <m:r>
                  <m:rPr>
                    <m:sty m:val="p"/>
                  </m:rPr>
                  <w:rPr>
                    <w:rFonts w:hint="default" w:ascii="Cambria Math" w:hAnsi="Cambria Math"/>
                    <w:color w:val="000000" w:themeColor="text1"/>
                    <w:kern w:val="0"/>
                    <w:lang w:val="en-US" w:eastAsia="zh-CN"/>
                    <w14:textFill>
                      <w14:solidFill>
                        <w14:schemeClr w14:val="tx1"/>
                      </w14:solidFill>
                    </w14:textFill>
                  </w:rPr>
                  <m:t>hs</m:t>
                </m:r>
                <m:ctrlPr>
                  <w:rPr>
                    <w:rFonts w:hint="default" w:ascii="Cambria Math"/>
                    <w:i/>
                    <w:color w:val="000000" w:themeColor="text1"/>
                    <w:kern w:val="0"/>
                    <w:lang w:val="en-US"/>
                    <w14:textFill>
                      <w14:solidFill>
                        <w14:schemeClr w14:val="tx1"/>
                      </w14:solidFill>
                    </w14:textFill>
                  </w:rPr>
                </m:ctrlPr>
              </m:sub>
            </m:sSub>
            <m:r>
              <m:rPr>
                <m:sty m:val="p"/>
              </m:rPr>
              <m:t xml:space="preserve"> </m:t>
            </m:r>
            <m:ctrlPr>
              <w:rPr>
                <w:rFonts w:ascii="Cambria Math" w:hAnsi="Cambria Math"/>
                <w:i/>
                <w:color w:val="000000" w:themeColor="text1"/>
                <w:kern w:val="0"/>
                <w14:textFill>
                  <w14:solidFill>
                    <w14:schemeClr w14:val="tx1"/>
                  </w14:solidFill>
                </w14:textFill>
              </w:rPr>
            </m:ctrlPr>
          </m:e>
        </m:d>
      </m:oMath>
      <w:r>
        <w:rPr>
          <w:rFonts w:hint="eastAsia"/>
          <w:color w:val="000000" w:themeColor="text1"/>
          <w:kern w:val="0"/>
          <w14:textFill>
            <w14:solidFill>
              <w14:schemeClr w14:val="tx1"/>
            </w14:solidFill>
          </w14:textFill>
        </w:rPr>
        <w:t>——化石燃料的活动数据测量的标准不确定度，一般由计量仪器的溯源证书和测量重复性两部分合成得到；但</w:t>
      </w:r>
      <w:r>
        <w:rPr>
          <w:rFonts w:hint="eastAsia" w:hAnsi="宋体"/>
          <w:color w:val="000000" w:themeColor="text1"/>
          <w14:textFill>
            <w14:solidFill>
              <w14:schemeClr w14:val="tx1"/>
            </w14:solidFill>
          </w14:textFill>
        </w:rPr>
        <w:t>当</w:t>
      </w:r>
      <w:r>
        <w:rPr>
          <w:rFonts w:cs="Times New Roman"/>
          <w:color w:val="000000" w:themeColor="text1"/>
          <w:szCs w:val="24"/>
          <w14:textFill>
            <w14:solidFill>
              <w14:schemeClr w14:val="tx1"/>
            </w14:solidFill>
          </w14:textFill>
        </w:rPr>
        <w:t>基于物料变化量确定活动数据</w:t>
      </w:r>
      <w:r>
        <w:rPr>
          <w:rFonts w:hint="eastAsia" w:cs="Times New Roman"/>
          <w:color w:val="000000" w:themeColor="text1"/>
          <w:szCs w:val="24"/>
          <w14:textFill>
            <w14:solidFill>
              <w14:schemeClr w14:val="tx1"/>
            </w14:solidFill>
          </w14:textFill>
        </w:rPr>
        <w:t>时，</w:t>
      </w:r>
      <w:r>
        <w:rPr>
          <w:rFonts w:cs="Times New Roman"/>
          <w:color w:val="000000" w:themeColor="text1"/>
          <w:szCs w:val="24"/>
          <w14:textFill>
            <w14:solidFill>
              <w14:schemeClr w14:val="tx1"/>
            </w14:solidFill>
          </w14:textFill>
        </w:rPr>
        <w:t>针对单独购入的数量及相关库存变化折算获得二次数据，折算值按式（</w:t>
      </w:r>
      <w:r>
        <w:rPr>
          <w:rFonts w:hint="eastAsia" w:cs="Times New Roman"/>
          <w:color w:val="000000" w:themeColor="text1"/>
          <w:szCs w:val="24"/>
          <w14:textFill>
            <w14:solidFill>
              <w14:schemeClr w14:val="tx1"/>
            </w14:solidFill>
          </w14:textFill>
        </w:rPr>
        <w:t>D.5</w:t>
      </w:r>
      <w:r>
        <w:rPr>
          <w:rFonts w:cs="Times New Roman"/>
          <w:color w:val="000000" w:themeColor="text1"/>
          <w:szCs w:val="24"/>
          <w14:textFill>
            <w14:solidFill>
              <w14:schemeClr w14:val="tx1"/>
            </w14:solidFill>
          </w14:textFill>
        </w:rPr>
        <w:t>）计算：</w:t>
      </w:r>
    </w:p>
    <w:p w14:paraId="2D186863">
      <w:pPr>
        <w:pStyle w:val="64"/>
        <w:bidi w:val="0"/>
        <w:jc w:val="both"/>
        <w:rPr>
          <w:color w:val="000000" w:themeColor="text1"/>
          <w:kern w:val="0"/>
          <w14:textFill>
            <w14:solidFill>
              <w14:schemeClr w14:val="tx1"/>
            </w14:solidFill>
          </w14:textFill>
        </w:rPr>
      </w:pPr>
      <w:r>
        <w:rPr>
          <w:rFonts w:hint="eastAsia"/>
          <w:i w:val="0"/>
          <w:color w:val="000000" w:themeColor="text1"/>
          <w:kern w:val="0"/>
          <w:lang w:val="en-US" w:eastAsia="zh-CN"/>
          <w14:textFill>
            <w14:solidFill>
              <w14:schemeClr w14:val="tx1"/>
            </w14:solidFill>
          </w14:textFill>
        </w:rPr>
        <w:tab/>
      </w:r>
      <m:oMath>
        <m:sSub>
          <m:sSubPr>
            <m:ctrlPr>
              <w:rPr>
                <w:rFonts w:hint="default" w:ascii="Cambria Math"/>
                <w:i/>
                <w:color w:val="000000" w:themeColor="text1"/>
                <w:kern w:val="0"/>
                <w:lang w:val="en-US"/>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Q</m:t>
            </m:r>
            <m:ctrlPr>
              <w:rPr>
                <w:rFonts w:hint="default" w:ascii="Cambria Math"/>
                <w:i/>
                <w:color w:val="000000" w:themeColor="text1"/>
                <w:kern w:val="0"/>
                <w:lang w:val="en-US"/>
                <w14:textFill>
                  <w14:solidFill>
                    <w14:schemeClr w14:val="tx1"/>
                  </w14:solidFill>
                </w14:textFill>
              </w:rPr>
            </m:ctrlPr>
          </m:e>
          <m:sub>
            <m:r>
              <m:rPr>
                <m:sty m:val="p"/>
              </m:rPr>
              <w:rPr>
                <w:rFonts w:hint="default" w:ascii="Cambria Math" w:hAnsi="Cambria Math"/>
                <w:color w:val="000000" w:themeColor="text1"/>
                <w:kern w:val="0"/>
                <w:lang w:val="en-US" w:eastAsia="zh-CN"/>
                <w14:textFill>
                  <w14:solidFill>
                    <w14:schemeClr w14:val="tx1"/>
                  </w14:solidFill>
                </w14:textFill>
              </w:rPr>
              <m:t>hs</m:t>
            </m:r>
            <m:ctrlPr>
              <w:rPr>
                <w:rFonts w:hint="default" w:ascii="Cambria Math"/>
                <w:i/>
                <w:color w:val="000000" w:themeColor="text1"/>
                <w:kern w:val="0"/>
                <w:lang w:val="en-US"/>
                <w14:textFill>
                  <w14:solidFill>
                    <w14:schemeClr w14:val="tx1"/>
                  </w14:solidFill>
                </w14:textFill>
              </w:rPr>
            </m:ctrlPr>
          </m:sub>
        </m:sSub>
        <m:r>
          <m:rPr/>
          <w:rPr>
            <w:rFonts w:ascii="Cambria Math"/>
            <w:color w:val="000000" w:themeColor="text1"/>
            <w14:textFill>
              <w14:solidFill>
                <w14:schemeClr w14:val="tx1"/>
              </w14:solidFill>
            </w14:textFill>
          </w:rPr>
          <m:t>=</m:t>
        </m:r>
        <m:nary>
          <m:naryPr>
            <m:chr m:val="∑"/>
            <m:ctrlPr>
              <w:rPr>
                <w:rFonts w:ascii="Cambria Math" w:hAnsi="Cambria Math"/>
                <w:i/>
                <w:color w:val="000000" w:themeColor="text1"/>
                <w14:textFill>
                  <w14:solidFill>
                    <w14:schemeClr w14:val="tx1"/>
                  </w14:solidFill>
                </w14:textFill>
              </w:rPr>
            </m:ctrlPr>
          </m:naryPr>
          <m:sub>
            <m:r>
              <m:rPr/>
              <w:rPr>
                <w:rFonts w:ascii="Cambria Math"/>
                <w:color w:val="000000" w:themeColor="text1"/>
                <w14:textFill>
                  <w14:solidFill>
                    <w14:schemeClr w14:val="tx1"/>
                  </w14:solidFill>
                </w14:textFill>
              </w:rPr>
              <m:t>i=1</m:t>
            </m:r>
            <m:ctrlPr>
              <w:rPr>
                <w:rFonts w:ascii="Cambria Math" w:hAnsi="Cambria Math"/>
                <w:i/>
                <w:color w:val="000000" w:themeColor="text1"/>
                <w14:textFill>
                  <w14:solidFill>
                    <w14:schemeClr w14:val="tx1"/>
                  </w14:solidFill>
                </w14:textFill>
              </w:rPr>
            </m:ctrlPr>
          </m:sub>
          <m:sup>
            <m:r>
              <m:rPr/>
              <w:rPr>
                <w:rFonts w:asci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p>
          <m:e>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i</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e>
        </m:nary>
        <m:r>
          <m:rPr/>
          <w:rPr>
            <w:rFonts w:ascii="Cambria Math"/>
            <w:color w:val="000000" w:themeColor="text1"/>
            <w14:textFill>
              <w14:solidFill>
                <w14:schemeClr w14:val="tx1"/>
              </w14:solidFill>
            </w14:textFill>
          </w:rPr>
          <m:t>−</m:t>
        </m:r>
        <m:nary>
          <m:naryPr>
            <m:chr m:val="∑"/>
            <m:ctrlPr>
              <w:rPr>
                <w:rFonts w:ascii="Cambria Math" w:hAnsi="Cambria Math"/>
                <w:i/>
                <w:color w:val="000000" w:themeColor="text1"/>
                <w14:textFill>
                  <w14:solidFill>
                    <w14:schemeClr w14:val="tx1"/>
                  </w14:solidFill>
                </w14:textFill>
              </w:rPr>
            </m:ctrlPr>
          </m:naryPr>
          <m:sub>
            <m:r>
              <m:rPr/>
              <w:rPr>
                <w:rFonts w:ascii="Cambria Math"/>
                <w:color w:val="000000" w:themeColor="text1"/>
                <w14:textFill>
                  <w14:solidFill>
                    <w14:schemeClr w14:val="tx1"/>
                  </w14:solidFill>
                </w14:textFill>
              </w:rPr>
              <m:t>i=1</m:t>
            </m:r>
            <m:ctrlPr>
              <w:rPr>
                <w:rFonts w:ascii="Cambria Math" w:hAnsi="Cambria Math"/>
                <w:i/>
                <w:color w:val="000000" w:themeColor="text1"/>
                <w14:textFill>
                  <w14:solidFill>
                    <w14:schemeClr w14:val="tx1"/>
                  </w14:solidFill>
                </w14:textFill>
              </w:rPr>
            </m:ctrlPr>
          </m:sub>
          <m:sup>
            <m:r>
              <m:rPr/>
              <w:rPr>
                <w:rFonts w:asci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p>
          <m:e>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E</m:t>
                </m:r>
                <m:r>
                  <m:rPr/>
                  <w:rPr>
                    <w:rFonts w:hint="default" w:ascii="Cambria Math"/>
                    <w:color w:val="000000" w:themeColor="text1"/>
                    <w:lang w:val="en-US" w:eastAsia="zh-CN"/>
                    <w14:textFill>
                      <w14:solidFill>
                        <w14:schemeClr w14:val="tx1"/>
                      </w14:solidFill>
                    </w14:textFill>
                  </w:rPr>
                  <m:t>x</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i</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e>
        </m:nary>
        <m:r>
          <m:rPr/>
          <w:rPr>
            <w:rFonts w:ascii="Cambria Math"/>
            <w:color w:val="000000" w:themeColor="text1"/>
            <w14:textFill>
              <w14:solidFill>
                <w14:schemeClr w14:val="tx1"/>
              </w14:solidFill>
            </w14:textFill>
          </w:rPr>
          <m:t>+(</m:t>
        </m:r>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begin</m:t>
            </m:r>
            <m:ctrlPr>
              <w:rPr>
                <w:rFonts w:ascii="Cambria Math" w:hAnsi="Cambria Math"/>
                <w:i/>
                <w:color w:val="000000" w:themeColor="text1"/>
                <w14:textFill>
                  <w14:solidFill>
                    <w14:schemeClr w14:val="tx1"/>
                  </w14:solidFill>
                </w14:textFill>
              </w:rPr>
            </m:ctrlPr>
          </m:sub>
        </m:sSub>
        <m:r>
          <m:rPr/>
          <w:rPr>
            <w:rFonts w:ascii="Cambria Math"/>
            <w:color w:val="000000" w:themeColor="text1"/>
            <w14:textFill>
              <w14:solidFill>
                <w14:schemeClr w14:val="tx1"/>
              </w14:solidFill>
            </w14:textFill>
          </w:rPr>
          <m:t>−</m:t>
        </m:r>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end</m:t>
            </m:r>
            <m:ctrlPr>
              <w:rPr>
                <w:rFonts w:ascii="Cambria Math" w:hAnsi="Cambria Math"/>
                <w:i/>
                <w:color w:val="000000" w:themeColor="text1"/>
                <w14:textFill>
                  <w14:solidFill>
                    <w14:schemeClr w14:val="tx1"/>
                  </w14:solidFill>
                </w14:textFill>
              </w:rPr>
            </m:ctrlPr>
          </m:sub>
        </m:sSub>
        <m:r>
          <m:rPr/>
          <w:rPr>
            <w:rFonts w:ascii="Cambria Math"/>
            <w:color w:val="000000" w:themeColor="text1"/>
            <w14:textFill>
              <w14:solidFill>
                <w14:schemeClr w14:val="tx1"/>
              </w14:solidFill>
            </w14:textFill>
          </w:rPr>
          <m:t>)</m:t>
        </m:r>
      </m:oMath>
      <w:r>
        <w:rPr>
          <w:rFonts w:hint="eastAsia"/>
          <w:i w:val="0"/>
          <w:color w:val="000000" w:themeColor="text1"/>
          <w:lang w:val="en-US" w:eastAsia="zh-CN"/>
          <w14:textFill>
            <w14:solidFill>
              <w14:schemeClr w14:val="tx1"/>
            </w14:solidFill>
          </w14:textFill>
        </w:rPr>
        <w:tab/>
      </w:r>
      <w:r>
        <w:rPr>
          <w:rFonts w:hint="eastAsia"/>
          <w:i w:val="0"/>
          <w:color w:val="000000" w:themeColor="text1"/>
          <w:lang w:val="en-US" w:eastAsia="zh-CN"/>
          <w14:textFill>
            <w14:solidFill>
              <w14:schemeClr w14:val="tx1"/>
            </w14:solidFill>
          </w14:textFill>
        </w:rPr>
        <w:tab/>
      </w:r>
      <w:r>
        <w:rPr>
          <w:rFonts w:hint="eastAsia"/>
          <w:color w:val="000000" w:themeColor="text1"/>
          <w:kern w:val="0"/>
          <w14:textFill>
            <w14:solidFill>
              <w14:schemeClr w14:val="tx1"/>
            </w14:solidFill>
          </w14:textFill>
        </w:rPr>
        <w:t>（D</w:t>
      </w:r>
      <w:r>
        <w:rPr>
          <w:color w:val="000000" w:themeColor="text1"/>
          <w:kern w:val="0"/>
          <w14:textFill>
            <w14:solidFill>
              <w14:schemeClr w14:val="tx1"/>
            </w14:solidFill>
          </w14:textFill>
        </w:rPr>
        <w:t>.</w:t>
      </w:r>
      <w:r>
        <w:rPr>
          <w:rFonts w:hint="eastAsia"/>
          <w:color w:val="000000" w:themeColor="text1"/>
          <w:kern w:val="0"/>
          <w14:textFill>
            <w14:solidFill>
              <w14:schemeClr w14:val="tx1"/>
            </w14:solidFill>
          </w14:textFill>
        </w:rPr>
        <w:t>5）</w:t>
      </w:r>
    </w:p>
    <w:p w14:paraId="364FA6E2">
      <w:pPr>
        <w:ind w:firstLine="48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式中：</w:t>
      </w:r>
    </w:p>
    <w:p w14:paraId="5BC97D6D">
      <w:pPr>
        <w:ind w:firstLine="480"/>
        <w:jc w:val="left"/>
        <w:rPr>
          <w:color w:val="000000" w:themeColor="text1"/>
          <w:kern w:val="0"/>
          <w14:textFill>
            <w14:solidFill>
              <w14:schemeClr w14:val="tx1"/>
            </w14:solidFill>
          </w14:textFill>
        </w:rPr>
      </w:pPr>
      <m:oMath>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i</m:t>
            </m:r>
            <m:ctrlPr>
              <w:rPr>
                <w:rFonts w:ascii="Cambria Math" w:hAnsi="Cambria Math"/>
                <w:i/>
                <w:color w:val="000000" w:themeColor="text1"/>
                <w14:textFill>
                  <w14:solidFill>
                    <w14:schemeClr w14:val="tx1"/>
                  </w14:solidFill>
                </w14:textFill>
              </w:rPr>
            </m:ctrlPr>
          </m:sub>
        </m:sSub>
      </m:oMath>
      <w:r>
        <w:rPr>
          <w:rFonts w:hint="eastAsia"/>
          <w:color w:val="000000" w:themeColor="text1"/>
          <w:kern w:val="0"/>
          <w14:textFill>
            <w14:solidFill>
              <w14:schemeClr w14:val="tx1"/>
            </w14:solidFill>
          </w14:textFill>
        </w:rPr>
        <w:t>——第i批次燃料购买数量；</w:t>
      </w:r>
    </w:p>
    <w:p w14:paraId="2253ECFA">
      <w:pPr>
        <w:ind w:firstLine="480"/>
        <w:jc w:val="left"/>
        <w:rPr>
          <w:color w:val="000000" w:themeColor="text1"/>
          <w:kern w:val="0"/>
          <w14:textFill>
            <w14:solidFill>
              <w14:schemeClr w14:val="tx1"/>
            </w14:solidFill>
          </w14:textFill>
        </w:rPr>
      </w:pPr>
      <m:oMath>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E</m:t>
            </m:r>
            <m:r>
              <m:rPr/>
              <w:rPr>
                <w:rFonts w:hint="default" w:ascii="Cambria Math"/>
                <w:color w:val="000000" w:themeColor="text1"/>
                <w:lang w:val="en-US" w:eastAsia="zh-CN"/>
                <w14:textFill>
                  <w14:solidFill>
                    <w14:schemeClr w14:val="tx1"/>
                  </w14:solidFill>
                </w14:textFill>
              </w:rPr>
              <m:t>x</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i</m:t>
            </m:r>
            <m:ctrlPr>
              <w:rPr>
                <w:rFonts w:ascii="Cambria Math" w:hAnsi="Cambria Math"/>
                <w:i/>
                <w:color w:val="000000" w:themeColor="text1"/>
                <w14:textFill>
                  <w14:solidFill>
                    <w14:schemeClr w14:val="tx1"/>
                  </w14:solidFill>
                </w14:textFill>
              </w:rPr>
            </m:ctrlPr>
          </m:sub>
        </m:sSub>
      </m:oMath>
      <w:r>
        <w:rPr>
          <w:rFonts w:hint="eastAsia"/>
          <w:color w:val="000000" w:themeColor="text1"/>
          <w:kern w:val="0"/>
          <w14:textFill>
            <w14:solidFill>
              <w14:schemeClr w14:val="tx1"/>
            </w14:solidFill>
          </w14:textFill>
        </w:rPr>
        <w:t>——第i批次燃料输出数量（例如输送到不包含在碳交易的设施中）；</w:t>
      </w:r>
    </w:p>
    <w:p w14:paraId="402B9008">
      <w:pPr>
        <w:ind w:firstLine="480"/>
        <w:jc w:val="left"/>
        <w:rPr>
          <w:color w:val="000000" w:themeColor="text1"/>
          <w:kern w:val="0"/>
          <w14:textFill>
            <w14:solidFill>
              <w14:schemeClr w14:val="tx1"/>
            </w14:solidFill>
          </w14:textFill>
        </w:rPr>
      </w:pPr>
      <m:oMath>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begin</m:t>
            </m:r>
            <m:ctrlPr>
              <w:rPr>
                <w:rFonts w:ascii="Cambria Math" w:hAnsi="Cambria Math"/>
                <w:i/>
                <w:color w:val="000000" w:themeColor="text1"/>
                <w14:textFill>
                  <w14:solidFill>
                    <w14:schemeClr w14:val="tx1"/>
                  </w14:solidFill>
                </w14:textFill>
              </w:rPr>
            </m:ctrlPr>
          </m:sub>
        </m:sSub>
      </m:oMath>
      <w:r>
        <w:rPr>
          <w:rFonts w:hint="eastAsia"/>
          <w:color w:val="000000" w:themeColor="text1"/>
          <w:kern w:val="0"/>
          <w14:textFill>
            <w14:solidFill>
              <w14:schemeClr w14:val="tx1"/>
            </w14:solidFill>
          </w14:textFill>
        </w:rPr>
        <w:t>——年初的库存；</w:t>
      </w:r>
    </w:p>
    <w:p w14:paraId="1C2CBD6A">
      <w:pPr>
        <w:ind w:firstLine="480"/>
        <w:jc w:val="left"/>
        <w:rPr>
          <w:color w:val="000000" w:themeColor="text1"/>
          <w:kern w:val="0"/>
          <w14:textFill>
            <w14:solidFill>
              <w14:schemeClr w14:val="tx1"/>
            </w14:solidFill>
          </w14:textFill>
        </w:rPr>
      </w:pPr>
      <m:oMath>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end</m:t>
            </m:r>
            <m:ctrlPr>
              <w:rPr>
                <w:rFonts w:ascii="Cambria Math" w:hAnsi="Cambria Math"/>
                <w:i/>
                <w:color w:val="000000" w:themeColor="text1"/>
                <w14:textFill>
                  <w14:solidFill>
                    <w14:schemeClr w14:val="tx1"/>
                  </w14:solidFill>
                </w14:textFill>
              </w:rPr>
            </m:ctrlPr>
          </m:sub>
        </m:sSub>
      </m:oMath>
      <w:r>
        <w:rPr>
          <w:rFonts w:hint="eastAsia"/>
          <w:color w:val="000000" w:themeColor="text1"/>
          <w:kern w:val="0"/>
          <w14:textFill>
            <w14:solidFill>
              <w14:schemeClr w14:val="tx1"/>
            </w14:solidFill>
          </w14:textFill>
        </w:rPr>
        <w:t>——年末的库存；</w:t>
      </w:r>
    </w:p>
    <w:p w14:paraId="05E09DD6">
      <w:pPr>
        <w:ind w:firstLine="48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由式（D</w:t>
      </w:r>
      <w:r>
        <w:rPr>
          <w:color w:val="000000" w:themeColor="text1"/>
          <w:kern w:val="0"/>
          <w14:textFill>
            <w14:solidFill>
              <w14:schemeClr w14:val="tx1"/>
            </w14:solidFill>
          </w14:textFill>
        </w:rPr>
        <w:t>.</w:t>
      </w:r>
      <w:r>
        <w:rPr>
          <w:rFonts w:hint="eastAsia"/>
          <w:color w:val="000000" w:themeColor="text1"/>
          <w:kern w:val="0"/>
          <w14:textFill>
            <w14:solidFill>
              <w14:schemeClr w14:val="tx1"/>
            </w14:solidFill>
          </w14:textFill>
        </w:rPr>
        <w:t>5）可知，由燃料活动数据测量引入的不确定度分量按下式计算。</w:t>
      </w:r>
    </w:p>
    <w:p w14:paraId="0A7AFE79">
      <w:pPr>
        <w:pStyle w:val="64"/>
        <w:bidi w:val="0"/>
        <w:jc w:val="both"/>
        <w:rPr>
          <w:color w:val="000000" w:themeColor="text1"/>
          <w:szCs w:val="32"/>
          <w14:textFill>
            <w14:solidFill>
              <w14:schemeClr w14:val="tx1"/>
            </w14:solidFill>
          </w14:textFill>
        </w:rPr>
      </w:pPr>
      <w:r>
        <w:rPr>
          <w:rFonts w:hint="eastAsia"/>
          <w:i w:val="0"/>
          <w:color w:val="000000" w:themeColor="text1"/>
          <w:szCs w:val="32"/>
          <w:lang w:val="en-US" w:eastAsia="zh-CN"/>
          <w14:textFill>
            <w14:solidFill>
              <w14:schemeClr w14:val="tx1"/>
            </w14:solidFill>
          </w14:textFill>
        </w:rPr>
        <w:tab/>
      </w:r>
      <m:oMath>
        <m:r>
          <m:rPr/>
          <w:rPr>
            <w:rFonts w:ascii="Cambria Math"/>
            <w:color w:val="000000" w:themeColor="text1"/>
            <w:szCs w:val="32"/>
            <w14:textFill>
              <w14:solidFill>
                <w14:schemeClr w14:val="tx1"/>
              </w14:solidFill>
            </w14:textFill>
          </w:rPr>
          <m:t>u(</m:t>
        </m:r>
        <m:sSub>
          <m:sSubPr>
            <m:ctrlPr>
              <w:rPr>
                <w:rFonts w:hint="default" w:ascii="Cambria Math"/>
                <w:i/>
                <w:color w:val="000000" w:themeColor="text1"/>
                <w:kern w:val="0"/>
                <w:lang w:val="en-US"/>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Q</m:t>
            </m:r>
            <m:ctrlPr>
              <w:rPr>
                <w:rFonts w:hint="default" w:ascii="Cambria Math"/>
                <w:i/>
                <w:color w:val="000000" w:themeColor="text1"/>
                <w:kern w:val="0"/>
                <w:lang w:val="en-US"/>
                <w14:textFill>
                  <w14:solidFill>
                    <w14:schemeClr w14:val="tx1"/>
                  </w14:solidFill>
                </w14:textFill>
              </w:rPr>
            </m:ctrlPr>
          </m:e>
          <m:sub>
            <m:r>
              <m:rPr>
                <m:sty m:val="p"/>
              </m:rPr>
              <w:rPr>
                <w:rFonts w:hint="default" w:ascii="Cambria Math" w:hAnsi="Cambria Math"/>
                <w:color w:val="000000" w:themeColor="text1"/>
                <w:kern w:val="0"/>
                <w:lang w:val="en-US" w:eastAsia="zh-CN"/>
                <w14:textFill>
                  <w14:solidFill>
                    <w14:schemeClr w14:val="tx1"/>
                  </w14:solidFill>
                </w14:textFill>
              </w:rPr>
              <m:t>hs</m:t>
            </m:r>
            <m:ctrlPr>
              <w:rPr>
                <w:rFonts w:hint="default" w:ascii="Cambria Math"/>
                <w:i/>
                <w:color w:val="000000" w:themeColor="text1"/>
                <w:kern w:val="0"/>
                <w:lang w:val="en-US"/>
                <w14:textFill>
                  <w14:solidFill>
                    <w14:schemeClr w14:val="tx1"/>
                  </w14:solidFill>
                </w14:textFill>
              </w:rPr>
            </m:ctrlPr>
          </m:sub>
        </m:sSub>
        <m:r>
          <m:rPr/>
          <w:rPr>
            <w:rFonts w:ascii="Cambria Math"/>
            <w:color w:val="000000" w:themeColor="text1"/>
            <w:szCs w:val="32"/>
            <w14:textFill>
              <w14:solidFill>
                <w14:schemeClr w14:val="tx1"/>
              </w14:solidFill>
            </w14:textFill>
          </w:rPr>
          <m:t>)=</m:t>
        </m:r>
        <m:rad>
          <m:radPr>
            <m:degHide m:val="1"/>
            <m:ctrlPr>
              <w:rPr>
                <w:rFonts w:ascii="Cambria Math" w:hAnsi="Cambria Math"/>
                <w:i/>
                <w:color w:val="000000" w:themeColor="text1"/>
                <w:szCs w:val="32"/>
                <w14:textFill>
                  <w14:solidFill>
                    <w14:schemeClr w14:val="tx1"/>
                  </w14:solidFill>
                </w14:textFill>
              </w:rPr>
            </m:ctrlPr>
          </m:radPr>
          <m:deg>
            <m:ctrlPr>
              <w:rPr>
                <w:rFonts w:ascii="Cambria Math" w:hAnsi="Cambria Math"/>
                <w:i/>
                <w:color w:val="000000" w:themeColor="text1"/>
                <w:szCs w:val="32"/>
                <w14:textFill>
                  <w14:solidFill>
                    <w14:schemeClr w14:val="tx1"/>
                  </w14:solidFill>
                </w14:textFill>
              </w:rPr>
            </m:ctrlPr>
          </m:deg>
          <m:e>
            <m:sSup>
              <m:sSupPr>
                <m:ctrlPr>
                  <w:rPr>
                    <w:rFonts w:ascii="Cambria Math" w:hAnsi="Cambria Math"/>
                    <w:i/>
                    <w:color w:val="000000" w:themeColor="text1"/>
                    <w:szCs w:val="32"/>
                    <w14:textFill>
                      <w14:solidFill>
                        <w14:schemeClr w14:val="tx1"/>
                      </w14:solidFill>
                    </w14:textFill>
                  </w:rPr>
                </m:ctrlPr>
              </m:sSupPr>
              <m:e>
                <m:r>
                  <m:rPr/>
                  <w:rPr>
                    <w:rFonts w:ascii="Cambria Math"/>
                    <w:color w:val="000000" w:themeColor="text1"/>
                    <w:szCs w:val="32"/>
                    <w14:textFill>
                      <w14:solidFill>
                        <w14:schemeClr w14:val="tx1"/>
                      </w14:solidFill>
                    </w14:textFill>
                  </w:rPr>
                  <m:t>u</m:t>
                </m:r>
                <m:ctrlPr>
                  <w:rPr>
                    <w:rFonts w:ascii="Cambria Math" w:hAnsi="Cambria Math"/>
                    <w:i/>
                    <w:color w:val="000000" w:themeColor="text1"/>
                    <w:szCs w:val="32"/>
                    <w14:textFill>
                      <w14:solidFill>
                        <w14:schemeClr w14:val="tx1"/>
                      </w14:solidFill>
                    </w14:textFill>
                  </w:rPr>
                </m:ctrlPr>
              </m:e>
              <m:sup>
                <m:r>
                  <m:rPr/>
                  <w:rPr>
                    <w:rFonts w:ascii="Cambria Math"/>
                    <w:color w:val="000000" w:themeColor="text1"/>
                    <w:szCs w:val="32"/>
                    <w14:textFill>
                      <w14:solidFill>
                        <w14:schemeClr w14:val="tx1"/>
                      </w14:solidFill>
                    </w14:textFill>
                  </w:rPr>
                  <m:t>2</m:t>
                </m:r>
                <m:ctrlPr>
                  <w:rPr>
                    <w:rFonts w:ascii="Cambria Math" w:hAnsi="Cambria Math"/>
                    <w:i/>
                    <w:color w:val="000000" w:themeColor="text1"/>
                    <w:szCs w:val="32"/>
                    <w14:textFill>
                      <w14:solidFill>
                        <w14:schemeClr w14:val="tx1"/>
                      </w14:solidFill>
                    </w14:textFill>
                  </w:rPr>
                </m:ctrlPr>
              </m:sup>
            </m:sSup>
            <m:r>
              <m:rPr/>
              <w:rPr>
                <w:rFonts w:ascii="Cambria Math"/>
                <w:color w:val="000000" w:themeColor="text1"/>
                <w:szCs w:val="32"/>
                <w14:textFill>
                  <w14:solidFill>
                    <w14:schemeClr w14:val="tx1"/>
                  </w14:solidFill>
                </w14:textFill>
              </w:rPr>
              <m:t>(</m:t>
            </m:r>
            <m:sSub>
              <m:sSubPr>
                <m:ctrlPr>
                  <w:rPr>
                    <w:rFonts w:ascii="Cambria Math" w:hAnsi="Cambria Math"/>
                    <w:i/>
                    <w:color w:val="000000" w:themeColor="text1"/>
                    <w:szCs w:val="32"/>
                    <w14:textFill>
                      <w14:solidFill>
                        <w14:schemeClr w14:val="tx1"/>
                      </w14:solidFill>
                    </w14:textFill>
                  </w:rPr>
                </m:ctrlPr>
              </m:sSubPr>
              <m:e>
                <m:r>
                  <m:rPr/>
                  <w:rPr>
                    <w:rFonts w:ascii="Cambria Math"/>
                    <w:color w:val="000000" w:themeColor="text1"/>
                    <w:szCs w:val="32"/>
                    <w14:textFill>
                      <w14:solidFill>
                        <w14:schemeClr w14:val="tx1"/>
                      </w14:solidFill>
                    </w14:textFill>
                  </w:rPr>
                  <m:t>S</m:t>
                </m:r>
                <m:ctrlPr>
                  <w:rPr>
                    <w:rFonts w:ascii="Cambria Math" w:hAnsi="Cambria Math"/>
                    <w:i/>
                    <w:color w:val="000000" w:themeColor="text1"/>
                    <w:szCs w:val="32"/>
                    <w14:textFill>
                      <w14:solidFill>
                        <w14:schemeClr w14:val="tx1"/>
                      </w14:solidFill>
                    </w14:textFill>
                  </w:rPr>
                </m:ctrlPr>
              </m:e>
              <m:sub>
                <m:r>
                  <m:rPr/>
                  <w:rPr>
                    <w:rFonts w:ascii="Cambria Math"/>
                    <w:color w:val="000000" w:themeColor="text1"/>
                    <w:szCs w:val="32"/>
                    <w14:textFill>
                      <w14:solidFill>
                        <w14:schemeClr w14:val="tx1"/>
                      </w14:solidFill>
                    </w14:textFill>
                  </w:rPr>
                  <m:t>begin</m:t>
                </m:r>
                <m:ctrlPr>
                  <w:rPr>
                    <w:rFonts w:ascii="Cambria Math" w:hAnsi="Cambria Math"/>
                    <w:i/>
                    <w:color w:val="000000" w:themeColor="text1"/>
                    <w:szCs w:val="32"/>
                    <w14:textFill>
                      <w14:solidFill>
                        <w14:schemeClr w14:val="tx1"/>
                      </w14:solidFill>
                    </w14:textFill>
                  </w:rPr>
                </m:ctrlPr>
              </m:sub>
            </m:sSub>
            <m:r>
              <m:rPr/>
              <w:rPr>
                <w:rFonts w:ascii="Cambria Math"/>
                <w:color w:val="000000" w:themeColor="text1"/>
                <w:szCs w:val="32"/>
                <w14:textFill>
                  <w14:solidFill>
                    <w14:schemeClr w14:val="tx1"/>
                  </w14:solidFill>
                </w14:textFill>
              </w:rPr>
              <m:t>)+</m:t>
            </m:r>
            <m:sSup>
              <m:sSupPr>
                <m:ctrlPr>
                  <w:rPr>
                    <w:rFonts w:ascii="Cambria Math" w:hAnsi="Cambria Math"/>
                    <w:i/>
                    <w:color w:val="000000" w:themeColor="text1"/>
                    <w:szCs w:val="32"/>
                    <w14:textFill>
                      <w14:solidFill>
                        <w14:schemeClr w14:val="tx1"/>
                      </w14:solidFill>
                    </w14:textFill>
                  </w:rPr>
                </m:ctrlPr>
              </m:sSupPr>
              <m:e>
                <m:r>
                  <m:rPr/>
                  <w:rPr>
                    <w:rFonts w:ascii="Cambria Math"/>
                    <w:color w:val="000000" w:themeColor="text1"/>
                    <w:szCs w:val="32"/>
                    <w14:textFill>
                      <w14:solidFill>
                        <w14:schemeClr w14:val="tx1"/>
                      </w14:solidFill>
                    </w14:textFill>
                  </w:rPr>
                  <m:t>u</m:t>
                </m:r>
                <m:ctrlPr>
                  <w:rPr>
                    <w:rFonts w:ascii="Cambria Math" w:hAnsi="Cambria Math"/>
                    <w:i/>
                    <w:color w:val="000000" w:themeColor="text1"/>
                    <w:szCs w:val="32"/>
                    <w14:textFill>
                      <w14:solidFill>
                        <w14:schemeClr w14:val="tx1"/>
                      </w14:solidFill>
                    </w14:textFill>
                  </w:rPr>
                </m:ctrlPr>
              </m:e>
              <m:sup>
                <m:r>
                  <m:rPr/>
                  <w:rPr>
                    <w:rFonts w:ascii="Cambria Math"/>
                    <w:color w:val="000000" w:themeColor="text1"/>
                    <w:szCs w:val="32"/>
                    <w14:textFill>
                      <w14:solidFill>
                        <w14:schemeClr w14:val="tx1"/>
                      </w14:solidFill>
                    </w14:textFill>
                  </w:rPr>
                  <m:t>2</m:t>
                </m:r>
                <m:ctrlPr>
                  <w:rPr>
                    <w:rFonts w:ascii="Cambria Math" w:hAnsi="Cambria Math"/>
                    <w:i/>
                    <w:color w:val="000000" w:themeColor="text1"/>
                    <w:szCs w:val="32"/>
                    <w14:textFill>
                      <w14:solidFill>
                        <w14:schemeClr w14:val="tx1"/>
                      </w14:solidFill>
                    </w14:textFill>
                  </w:rPr>
                </m:ctrlPr>
              </m:sup>
            </m:sSup>
            <m:r>
              <m:rPr/>
              <w:rPr>
                <w:rFonts w:ascii="Cambria Math"/>
                <w:color w:val="000000" w:themeColor="text1"/>
                <w:szCs w:val="32"/>
                <w14:textFill>
                  <w14:solidFill>
                    <w14:schemeClr w14:val="tx1"/>
                  </w14:solidFill>
                </w14:textFill>
              </w:rPr>
              <m:t>(</m:t>
            </m:r>
            <m:sSub>
              <m:sSubPr>
                <m:ctrlPr>
                  <w:rPr>
                    <w:rFonts w:ascii="Cambria Math" w:hAnsi="Cambria Math"/>
                    <w:i/>
                    <w:color w:val="000000" w:themeColor="text1"/>
                    <w:szCs w:val="32"/>
                    <w14:textFill>
                      <w14:solidFill>
                        <w14:schemeClr w14:val="tx1"/>
                      </w14:solidFill>
                    </w14:textFill>
                  </w:rPr>
                </m:ctrlPr>
              </m:sSubPr>
              <m:e>
                <m:r>
                  <m:rPr/>
                  <w:rPr>
                    <w:rFonts w:ascii="Cambria Math"/>
                    <w:color w:val="000000" w:themeColor="text1"/>
                    <w:szCs w:val="32"/>
                    <w14:textFill>
                      <w14:solidFill>
                        <w14:schemeClr w14:val="tx1"/>
                      </w14:solidFill>
                    </w14:textFill>
                  </w:rPr>
                  <m:t>S</m:t>
                </m:r>
                <m:ctrlPr>
                  <w:rPr>
                    <w:rFonts w:ascii="Cambria Math" w:hAnsi="Cambria Math"/>
                    <w:i/>
                    <w:color w:val="000000" w:themeColor="text1"/>
                    <w:szCs w:val="32"/>
                    <w14:textFill>
                      <w14:solidFill>
                        <w14:schemeClr w14:val="tx1"/>
                      </w14:solidFill>
                    </w14:textFill>
                  </w:rPr>
                </m:ctrlPr>
              </m:e>
              <m:sub>
                <m:r>
                  <m:rPr/>
                  <w:rPr>
                    <w:rFonts w:ascii="Cambria Math"/>
                    <w:color w:val="000000" w:themeColor="text1"/>
                    <w:szCs w:val="32"/>
                    <w14:textFill>
                      <w14:solidFill>
                        <w14:schemeClr w14:val="tx1"/>
                      </w14:solidFill>
                    </w14:textFill>
                  </w:rPr>
                  <m:t>end</m:t>
                </m:r>
                <m:ctrlPr>
                  <w:rPr>
                    <w:rFonts w:ascii="Cambria Math" w:hAnsi="Cambria Math"/>
                    <w:i/>
                    <w:color w:val="000000" w:themeColor="text1"/>
                    <w:szCs w:val="32"/>
                    <w14:textFill>
                      <w14:solidFill>
                        <w14:schemeClr w14:val="tx1"/>
                      </w14:solidFill>
                    </w14:textFill>
                  </w:rPr>
                </m:ctrlPr>
              </m:sub>
            </m:sSub>
            <m:r>
              <m:rPr/>
              <w:rPr>
                <w:rFonts w:ascii="Cambria Math"/>
                <w:color w:val="000000" w:themeColor="text1"/>
                <w:szCs w:val="32"/>
                <w14:textFill>
                  <w14:solidFill>
                    <w14:schemeClr w14:val="tx1"/>
                  </w14:solidFill>
                </w14:textFill>
              </w:rPr>
              <m:t>)+</m:t>
            </m:r>
            <m:nary>
              <m:naryPr>
                <m:chr m:val="∑"/>
                <m:ctrlPr>
                  <w:rPr>
                    <w:rFonts w:ascii="Cambria Math" w:hAnsi="Cambria Math"/>
                    <w:i/>
                    <w:color w:val="000000" w:themeColor="text1"/>
                    <w:szCs w:val="32"/>
                    <w14:textFill>
                      <w14:solidFill>
                        <w14:schemeClr w14:val="tx1"/>
                      </w14:solidFill>
                    </w14:textFill>
                  </w:rPr>
                </m:ctrlPr>
              </m:naryPr>
              <m:sub>
                <m:r>
                  <m:rPr/>
                  <w:rPr>
                    <w:rFonts w:ascii="Cambria Math"/>
                    <w:color w:val="000000" w:themeColor="text1"/>
                    <w:szCs w:val="32"/>
                    <w14:textFill>
                      <w14:solidFill>
                        <w14:schemeClr w14:val="tx1"/>
                      </w14:solidFill>
                    </w14:textFill>
                  </w:rPr>
                  <m:t>i=1</m:t>
                </m:r>
                <m:ctrlPr>
                  <w:rPr>
                    <w:rFonts w:ascii="Cambria Math" w:hAnsi="Cambria Math"/>
                    <w:i/>
                    <w:color w:val="000000" w:themeColor="text1"/>
                    <w:szCs w:val="32"/>
                    <w14:textFill>
                      <w14:solidFill>
                        <w14:schemeClr w14:val="tx1"/>
                      </w14:solidFill>
                    </w14:textFill>
                  </w:rPr>
                </m:ctrlPr>
              </m:sub>
              <m:sup>
                <m:r>
                  <m:rPr/>
                  <w:rPr>
                    <w:rFonts w:ascii="Cambria Math"/>
                    <w:color w:val="000000" w:themeColor="text1"/>
                    <w:szCs w:val="32"/>
                    <w14:textFill>
                      <w14:solidFill>
                        <w14:schemeClr w14:val="tx1"/>
                      </w14:solidFill>
                    </w14:textFill>
                  </w:rPr>
                  <m:t>m</m:t>
                </m:r>
                <m:ctrlPr>
                  <w:rPr>
                    <w:rFonts w:ascii="Cambria Math" w:hAnsi="Cambria Math"/>
                    <w:i/>
                    <w:color w:val="000000" w:themeColor="text1"/>
                    <w:szCs w:val="32"/>
                    <w14:textFill>
                      <w14:solidFill>
                        <w14:schemeClr w14:val="tx1"/>
                      </w14:solidFill>
                    </w14:textFill>
                  </w:rPr>
                </m:ctrlPr>
              </m:sup>
              <m:e>
                <m:sSup>
                  <m:sSupPr>
                    <m:ctrlPr>
                      <w:rPr>
                        <w:rFonts w:ascii="Cambria Math" w:hAnsi="Cambria Math"/>
                        <w:i/>
                        <w:color w:val="000000" w:themeColor="text1"/>
                        <w:szCs w:val="32"/>
                        <w14:textFill>
                          <w14:solidFill>
                            <w14:schemeClr w14:val="tx1"/>
                          </w14:solidFill>
                        </w14:textFill>
                      </w:rPr>
                    </m:ctrlPr>
                  </m:sSupPr>
                  <m:e>
                    <m:r>
                      <m:rPr/>
                      <w:rPr>
                        <w:rFonts w:ascii="Cambria Math"/>
                        <w:color w:val="000000" w:themeColor="text1"/>
                        <w:szCs w:val="32"/>
                        <w14:textFill>
                          <w14:solidFill>
                            <w14:schemeClr w14:val="tx1"/>
                          </w14:solidFill>
                        </w14:textFill>
                      </w:rPr>
                      <m:t>u</m:t>
                    </m:r>
                    <m:ctrlPr>
                      <w:rPr>
                        <w:rFonts w:ascii="Cambria Math" w:hAnsi="Cambria Math"/>
                        <w:i/>
                        <w:color w:val="000000" w:themeColor="text1"/>
                        <w:szCs w:val="32"/>
                        <w14:textFill>
                          <w14:solidFill>
                            <w14:schemeClr w14:val="tx1"/>
                          </w14:solidFill>
                        </w14:textFill>
                      </w:rPr>
                    </m:ctrlPr>
                  </m:e>
                  <m:sup>
                    <m:r>
                      <m:rPr/>
                      <w:rPr>
                        <w:rFonts w:ascii="Cambria Math"/>
                        <w:color w:val="000000" w:themeColor="text1"/>
                        <w:szCs w:val="32"/>
                        <w14:textFill>
                          <w14:solidFill>
                            <w14:schemeClr w14:val="tx1"/>
                          </w14:solidFill>
                        </w14:textFill>
                      </w:rPr>
                      <m:t>2</m:t>
                    </m:r>
                    <m:ctrlPr>
                      <w:rPr>
                        <w:rFonts w:ascii="Cambria Math" w:hAnsi="Cambria Math"/>
                        <w:i/>
                        <w:color w:val="000000" w:themeColor="text1"/>
                        <w:szCs w:val="32"/>
                        <w14:textFill>
                          <w14:solidFill>
                            <w14:schemeClr w14:val="tx1"/>
                          </w14:solidFill>
                        </w14:textFill>
                      </w:rPr>
                    </m:ctrlPr>
                  </m:sup>
                </m:sSup>
                <m:r>
                  <m:rPr/>
                  <w:rPr>
                    <w:rFonts w:ascii="Cambria Math"/>
                    <w:color w:val="000000" w:themeColor="text1"/>
                    <w:szCs w:val="32"/>
                    <w14:textFill>
                      <w14:solidFill>
                        <w14:schemeClr w14:val="tx1"/>
                      </w14:solidFill>
                    </w14:textFill>
                  </w:rPr>
                  <m:t>(</m:t>
                </m:r>
                <m:sSub>
                  <m:sSubPr>
                    <m:ctrlPr>
                      <w:rPr>
                        <w:rFonts w:ascii="Cambria Math" w:hAnsi="Cambria Math"/>
                        <w:i/>
                        <w:color w:val="000000" w:themeColor="text1"/>
                        <w:szCs w:val="32"/>
                        <w14:textFill>
                          <w14:solidFill>
                            <w14:schemeClr w14:val="tx1"/>
                          </w14:solidFill>
                        </w14:textFill>
                      </w:rPr>
                    </m:ctrlPr>
                  </m:sSubPr>
                  <m:e>
                    <m:r>
                      <m:rPr/>
                      <w:rPr>
                        <w:rFonts w:ascii="Cambria Math"/>
                        <w:color w:val="000000" w:themeColor="text1"/>
                        <w:szCs w:val="32"/>
                        <w14:textFill>
                          <w14:solidFill>
                            <w14:schemeClr w14:val="tx1"/>
                          </w14:solidFill>
                        </w14:textFill>
                      </w:rPr>
                      <m:t>P</m:t>
                    </m:r>
                    <m:ctrlPr>
                      <w:rPr>
                        <w:rFonts w:ascii="Cambria Math" w:hAnsi="Cambria Math"/>
                        <w:i/>
                        <w:color w:val="000000" w:themeColor="text1"/>
                        <w:szCs w:val="32"/>
                        <w14:textFill>
                          <w14:solidFill>
                            <w14:schemeClr w14:val="tx1"/>
                          </w14:solidFill>
                        </w14:textFill>
                      </w:rPr>
                    </m:ctrlPr>
                  </m:e>
                  <m:sub>
                    <m:r>
                      <m:rPr/>
                      <w:rPr>
                        <w:rFonts w:ascii="Cambria Math"/>
                        <w:color w:val="000000" w:themeColor="text1"/>
                        <w:szCs w:val="32"/>
                        <w14:textFill>
                          <w14:solidFill>
                            <w14:schemeClr w14:val="tx1"/>
                          </w14:solidFill>
                        </w14:textFill>
                      </w:rPr>
                      <m:t>i</m:t>
                    </m:r>
                    <m:ctrlPr>
                      <w:rPr>
                        <w:rFonts w:ascii="Cambria Math" w:hAnsi="Cambria Math"/>
                        <w:i/>
                        <w:color w:val="000000" w:themeColor="text1"/>
                        <w:szCs w:val="32"/>
                        <w14:textFill>
                          <w14:solidFill>
                            <w14:schemeClr w14:val="tx1"/>
                          </w14:solidFill>
                        </w14:textFill>
                      </w:rPr>
                    </m:ctrlPr>
                  </m:sub>
                </m:sSub>
                <m:r>
                  <m:rPr/>
                  <w:rPr>
                    <w:rFonts w:ascii="Cambria Math"/>
                    <w:color w:val="000000" w:themeColor="text1"/>
                    <w:szCs w:val="32"/>
                    <w14:textFill>
                      <w14:solidFill>
                        <w14:schemeClr w14:val="tx1"/>
                      </w14:solidFill>
                    </w14:textFill>
                  </w:rPr>
                  <m:t>)+</m:t>
                </m:r>
                <m:nary>
                  <m:naryPr>
                    <m:chr m:val="∑"/>
                    <m:ctrlPr>
                      <w:rPr>
                        <w:rFonts w:ascii="Cambria Math" w:hAnsi="Cambria Math"/>
                        <w:i/>
                        <w:color w:val="000000" w:themeColor="text1"/>
                        <w:szCs w:val="32"/>
                        <w14:textFill>
                          <w14:solidFill>
                            <w14:schemeClr w14:val="tx1"/>
                          </w14:solidFill>
                        </w14:textFill>
                      </w:rPr>
                    </m:ctrlPr>
                  </m:naryPr>
                  <m:sub>
                    <m:r>
                      <m:rPr/>
                      <w:rPr>
                        <w:rFonts w:ascii="Cambria Math"/>
                        <w:color w:val="000000" w:themeColor="text1"/>
                        <w:szCs w:val="32"/>
                        <w14:textFill>
                          <w14:solidFill>
                            <w14:schemeClr w14:val="tx1"/>
                          </w14:solidFill>
                        </w14:textFill>
                      </w:rPr>
                      <m:t>i=1</m:t>
                    </m:r>
                    <m:ctrlPr>
                      <w:rPr>
                        <w:rFonts w:ascii="Cambria Math" w:hAnsi="Cambria Math"/>
                        <w:i/>
                        <w:color w:val="000000" w:themeColor="text1"/>
                        <w:szCs w:val="32"/>
                        <w14:textFill>
                          <w14:solidFill>
                            <w14:schemeClr w14:val="tx1"/>
                          </w14:solidFill>
                        </w14:textFill>
                      </w:rPr>
                    </m:ctrlPr>
                  </m:sub>
                  <m:sup>
                    <m:r>
                      <m:rPr/>
                      <w:rPr>
                        <w:rFonts w:ascii="Cambria Math"/>
                        <w:color w:val="000000" w:themeColor="text1"/>
                        <w:szCs w:val="32"/>
                        <w14:textFill>
                          <w14:solidFill>
                            <w14:schemeClr w14:val="tx1"/>
                          </w14:solidFill>
                        </w14:textFill>
                      </w:rPr>
                      <m:t>n</m:t>
                    </m:r>
                    <m:ctrlPr>
                      <w:rPr>
                        <w:rFonts w:ascii="Cambria Math" w:hAnsi="Cambria Math"/>
                        <w:i/>
                        <w:color w:val="000000" w:themeColor="text1"/>
                        <w:szCs w:val="32"/>
                        <w14:textFill>
                          <w14:solidFill>
                            <w14:schemeClr w14:val="tx1"/>
                          </w14:solidFill>
                        </w14:textFill>
                      </w:rPr>
                    </m:ctrlPr>
                  </m:sup>
                  <m:e>
                    <m:sSup>
                      <m:sSupPr>
                        <m:ctrlPr>
                          <w:rPr>
                            <w:rFonts w:ascii="Cambria Math" w:hAnsi="Cambria Math"/>
                            <w:i/>
                            <w:color w:val="000000" w:themeColor="text1"/>
                            <w:szCs w:val="32"/>
                            <w14:textFill>
                              <w14:solidFill>
                                <w14:schemeClr w14:val="tx1"/>
                              </w14:solidFill>
                            </w14:textFill>
                          </w:rPr>
                        </m:ctrlPr>
                      </m:sSupPr>
                      <m:e>
                        <m:r>
                          <m:rPr/>
                          <w:rPr>
                            <w:rFonts w:ascii="Cambria Math"/>
                            <w:color w:val="000000" w:themeColor="text1"/>
                            <w:szCs w:val="32"/>
                            <w14:textFill>
                              <w14:solidFill>
                                <w14:schemeClr w14:val="tx1"/>
                              </w14:solidFill>
                            </w14:textFill>
                          </w:rPr>
                          <m:t>u</m:t>
                        </m:r>
                        <m:ctrlPr>
                          <w:rPr>
                            <w:rFonts w:ascii="Cambria Math" w:hAnsi="Cambria Math"/>
                            <w:i/>
                            <w:color w:val="000000" w:themeColor="text1"/>
                            <w:szCs w:val="32"/>
                            <w14:textFill>
                              <w14:solidFill>
                                <w14:schemeClr w14:val="tx1"/>
                              </w14:solidFill>
                            </w14:textFill>
                          </w:rPr>
                        </m:ctrlPr>
                      </m:e>
                      <m:sup>
                        <m:r>
                          <m:rPr/>
                          <w:rPr>
                            <w:rFonts w:ascii="Cambria Math"/>
                            <w:color w:val="000000" w:themeColor="text1"/>
                            <w:szCs w:val="32"/>
                            <w14:textFill>
                              <w14:solidFill>
                                <w14:schemeClr w14:val="tx1"/>
                              </w14:solidFill>
                            </w14:textFill>
                          </w:rPr>
                          <m:t>2</m:t>
                        </m:r>
                        <m:ctrlPr>
                          <w:rPr>
                            <w:rFonts w:ascii="Cambria Math" w:hAnsi="Cambria Math"/>
                            <w:i/>
                            <w:color w:val="000000" w:themeColor="text1"/>
                            <w:szCs w:val="32"/>
                            <w14:textFill>
                              <w14:solidFill>
                                <w14:schemeClr w14:val="tx1"/>
                              </w14:solidFill>
                            </w14:textFill>
                          </w:rPr>
                        </m:ctrlPr>
                      </m:sup>
                    </m:sSup>
                    <m:r>
                      <m:rPr/>
                      <w:rPr>
                        <w:rFonts w:ascii="Cambria Math"/>
                        <w:color w:val="000000" w:themeColor="text1"/>
                        <w:szCs w:val="32"/>
                        <w14:textFill>
                          <w14:solidFill>
                            <w14:schemeClr w14:val="tx1"/>
                          </w14:solidFill>
                        </w14:textFill>
                      </w:rPr>
                      <m:t>(</m:t>
                    </m:r>
                    <m:sSub>
                      <m:sSubPr>
                        <m:ctrlPr>
                          <w:rPr>
                            <w:rFonts w:ascii="Cambria Math" w:hAnsi="Cambria Math"/>
                            <w:i/>
                            <w:color w:val="000000" w:themeColor="text1"/>
                            <w:szCs w:val="32"/>
                            <w14:textFill>
                              <w14:solidFill>
                                <w14:schemeClr w14:val="tx1"/>
                              </w14:solidFill>
                            </w14:textFill>
                          </w:rPr>
                        </m:ctrlPr>
                      </m:sSubPr>
                      <m:e>
                        <m:r>
                          <m:rPr/>
                          <w:rPr>
                            <w:rFonts w:ascii="Cambria Math"/>
                            <w:color w:val="000000" w:themeColor="text1"/>
                            <w:szCs w:val="32"/>
                            <w14:textFill>
                              <w14:solidFill>
                                <w14:schemeClr w14:val="tx1"/>
                              </w14:solidFill>
                            </w14:textFill>
                          </w:rPr>
                          <m:t>E</m:t>
                        </m:r>
                        <m:r>
                          <m:rPr/>
                          <w:rPr>
                            <w:rFonts w:hint="default" w:ascii="Cambria Math"/>
                            <w:color w:val="000000" w:themeColor="text1"/>
                            <w:szCs w:val="32"/>
                            <w:lang w:val="en-US" w:eastAsia="zh-CN"/>
                            <w14:textFill>
                              <w14:solidFill>
                                <w14:schemeClr w14:val="tx1"/>
                              </w14:solidFill>
                            </w14:textFill>
                          </w:rPr>
                          <m:t>x</m:t>
                        </m:r>
                        <m:ctrlPr>
                          <w:rPr>
                            <w:rFonts w:ascii="Cambria Math" w:hAnsi="Cambria Math"/>
                            <w:i/>
                            <w:color w:val="000000" w:themeColor="text1"/>
                            <w:szCs w:val="32"/>
                            <w14:textFill>
                              <w14:solidFill>
                                <w14:schemeClr w14:val="tx1"/>
                              </w14:solidFill>
                            </w14:textFill>
                          </w:rPr>
                        </m:ctrlPr>
                      </m:e>
                      <m:sub>
                        <m:r>
                          <m:rPr/>
                          <w:rPr>
                            <w:rFonts w:ascii="Cambria Math"/>
                            <w:color w:val="000000" w:themeColor="text1"/>
                            <w:szCs w:val="32"/>
                            <w14:textFill>
                              <w14:solidFill>
                                <w14:schemeClr w14:val="tx1"/>
                              </w14:solidFill>
                            </w14:textFill>
                          </w:rPr>
                          <m:t>i</m:t>
                        </m:r>
                        <m:ctrlPr>
                          <w:rPr>
                            <w:rFonts w:ascii="Cambria Math" w:hAnsi="Cambria Math"/>
                            <w:i/>
                            <w:color w:val="000000" w:themeColor="text1"/>
                            <w:szCs w:val="32"/>
                            <w14:textFill>
                              <w14:solidFill>
                                <w14:schemeClr w14:val="tx1"/>
                              </w14:solidFill>
                            </w14:textFill>
                          </w:rPr>
                        </m:ctrlPr>
                      </m:sub>
                    </m:sSub>
                    <m:r>
                      <m:rPr/>
                      <w:rPr>
                        <w:rFonts w:ascii="Cambria Math"/>
                        <w:color w:val="000000" w:themeColor="text1"/>
                        <w:szCs w:val="32"/>
                        <w14:textFill>
                          <w14:solidFill>
                            <w14:schemeClr w14:val="tx1"/>
                          </w14:solidFill>
                        </w14:textFill>
                      </w:rPr>
                      <m:t>)</m:t>
                    </m:r>
                    <m:ctrlPr>
                      <w:rPr>
                        <w:rFonts w:ascii="Cambria Math" w:hAnsi="Cambria Math"/>
                        <w:i/>
                        <w:color w:val="000000" w:themeColor="text1"/>
                        <w:szCs w:val="32"/>
                        <w14:textFill>
                          <w14:solidFill>
                            <w14:schemeClr w14:val="tx1"/>
                          </w14:solidFill>
                        </w14:textFill>
                      </w:rPr>
                    </m:ctrlPr>
                  </m:e>
                </m:nary>
                <m:ctrlPr>
                  <w:rPr>
                    <w:rFonts w:ascii="Cambria Math" w:hAnsi="Cambria Math"/>
                    <w:i/>
                    <w:color w:val="000000" w:themeColor="text1"/>
                    <w:szCs w:val="32"/>
                    <w14:textFill>
                      <w14:solidFill>
                        <w14:schemeClr w14:val="tx1"/>
                      </w14:solidFill>
                    </w14:textFill>
                  </w:rPr>
                </m:ctrlPr>
              </m:e>
            </m:nary>
            <m:ctrlPr>
              <w:rPr>
                <w:rFonts w:ascii="Cambria Math" w:hAnsi="Cambria Math"/>
                <w:i/>
                <w:color w:val="000000" w:themeColor="text1"/>
                <w:szCs w:val="32"/>
                <w14:textFill>
                  <w14:solidFill>
                    <w14:schemeClr w14:val="tx1"/>
                  </w14:solidFill>
                </w14:textFill>
              </w:rPr>
            </m:ctrlPr>
          </m:e>
        </m:rad>
      </m:oMath>
      <w:r>
        <w:rPr>
          <w:rFonts w:hint="eastAsia" w:hAnsi="Cambria Math"/>
          <w:i w:val="0"/>
          <w:color w:val="000000" w:themeColor="text1"/>
          <w:szCs w:val="32"/>
          <w:lang w:val="en-US" w:eastAsia="zh-CN"/>
          <w14:textFill>
            <w14:solidFill>
              <w14:schemeClr w14:val="tx1"/>
            </w14:solidFill>
          </w14:textFill>
        </w:rPr>
        <w:tab/>
      </w:r>
      <w:r>
        <w:rPr>
          <w:rFonts w:hint="eastAsia" w:hAnsi="Cambria Math"/>
          <w:i w:val="0"/>
          <w:color w:val="000000" w:themeColor="text1"/>
          <w:szCs w:val="32"/>
          <w:lang w:val="en-US" w:eastAsia="zh-CN"/>
          <w14:textFill>
            <w14:solidFill>
              <w14:schemeClr w14:val="tx1"/>
            </w14:solidFill>
          </w14:textFill>
        </w:rPr>
        <w:tab/>
      </w:r>
      <w:r>
        <w:rPr>
          <w:rFonts w:hint="eastAsia"/>
          <w:color w:val="000000" w:themeColor="text1"/>
          <w:szCs w:val="32"/>
          <w14:textFill>
            <w14:solidFill>
              <w14:schemeClr w14:val="tx1"/>
            </w14:solidFill>
          </w14:textFill>
        </w:rPr>
        <w:t>（D</w:t>
      </w:r>
      <w:r>
        <w:rPr>
          <w:color w:val="000000" w:themeColor="text1"/>
          <w:szCs w:val="32"/>
          <w14:textFill>
            <w14:solidFill>
              <w14:schemeClr w14:val="tx1"/>
            </w14:solidFill>
          </w14:textFill>
        </w:rPr>
        <w:t>.</w:t>
      </w:r>
      <w:r>
        <w:rPr>
          <w:rFonts w:hint="eastAsia"/>
          <w:color w:val="000000" w:themeColor="text1"/>
          <w:szCs w:val="32"/>
          <w14:textFill>
            <w14:solidFill>
              <w14:schemeClr w14:val="tx1"/>
            </w14:solidFill>
          </w14:textFill>
        </w:rPr>
        <w:t>6）</w:t>
      </w:r>
    </w:p>
    <w:p w14:paraId="46EB08FF">
      <w:pPr>
        <w:ind w:firstLine="48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式中：</w:t>
      </w:r>
    </w:p>
    <w:p w14:paraId="52FFA88A">
      <w:pPr>
        <w:ind w:firstLine="480"/>
        <w:jc w:val="left"/>
        <w:rPr>
          <w:color w:val="000000" w:themeColor="text1"/>
          <w:kern w:val="0"/>
          <w14:textFill>
            <w14:solidFill>
              <w14:schemeClr w14:val="tx1"/>
            </w14:solidFill>
          </w14:textFill>
        </w:rPr>
      </w:pPr>
      <m:oMath>
        <m:r>
          <m:rPr/>
          <w:rPr>
            <w:rFonts w:ascii="Cambria Math"/>
            <w:color w:val="000000" w:themeColor="text1"/>
            <w14:textFill>
              <w14:solidFill>
                <w14:schemeClr w14:val="tx1"/>
              </w14:solidFill>
            </w14:textFill>
          </w:rPr>
          <m:t>u(</m:t>
        </m:r>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i</m:t>
            </m:r>
            <m:ctrlPr>
              <w:rPr>
                <w:rFonts w:ascii="Cambria Math" w:hAnsi="Cambria Math"/>
                <w:i/>
                <w:color w:val="000000" w:themeColor="text1"/>
                <w14:textFill>
                  <w14:solidFill>
                    <w14:schemeClr w14:val="tx1"/>
                  </w14:solidFill>
                </w14:textFill>
              </w:rPr>
            </m:ctrlPr>
          </m:sub>
        </m:sSub>
        <m:r>
          <m:rPr/>
          <w:rPr>
            <w:rFonts w:ascii="Cambria Math"/>
            <w:color w:val="000000" w:themeColor="text1"/>
            <w14:textFill>
              <w14:solidFill>
                <w14:schemeClr w14:val="tx1"/>
              </w14:solidFill>
            </w14:textFill>
          </w:rPr>
          <m:t>)</m:t>
        </m:r>
      </m:oMath>
      <w:r>
        <w:rPr>
          <w:rFonts w:hint="eastAsia"/>
          <w:color w:val="000000" w:themeColor="text1"/>
          <w:kern w:val="0"/>
          <w14:textFill>
            <w14:solidFill>
              <w14:schemeClr w14:val="tx1"/>
            </w14:solidFill>
          </w14:textFill>
        </w:rPr>
        <w:t>——第i批次燃料购买数量的不确定度；</w:t>
      </w:r>
    </w:p>
    <w:p w14:paraId="5DF5147C">
      <w:pPr>
        <w:ind w:firstLine="480"/>
        <w:jc w:val="left"/>
        <w:rPr>
          <w:color w:val="000000" w:themeColor="text1"/>
          <w:kern w:val="0"/>
          <w14:textFill>
            <w14:solidFill>
              <w14:schemeClr w14:val="tx1"/>
            </w14:solidFill>
          </w14:textFill>
        </w:rPr>
      </w:pPr>
      <m:oMath>
        <m:r>
          <m:rPr/>
          <w:rPr>
            <w:rFonts w:ascii="Cambria Math"/>
            <w:color w:val="000000" w:themeColor="text1"/>
            <w14:textFill>
              <w14:solidFill>
                <w14:schemeClr w14:val="tx1"/>
              </w14:solidFill>
            </w14:textFill>
          </w:rPr>
          <m:t>u(</m:t>
        </m:r>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E</m:t>
            </m:r>
            <m:r>
              <m:rPr/>
              <w:rPr>
                <w:rFonts w:hint="default" w:ascii="Cambria Math"/>
                <w:color w:val="000000" w:themeColor="text1"/>
                <w:lang w:val="en-US" w:eastAsia="zh-CN"/>
                <w14:textFill>
                  <w14:solidFill>
                    <w14:schemeClr w14:val="tx1"/>
                  </w14:solidFill>
                </w14:textFill>
              </w:rPr>
              <m:t>x</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i</m:t>
            </m:r>
            <m:ctrlPr>
              <w:rPr>
                <w:rFonts w:ascii="Cambria Math" w:hAnsi="Cambria Math"/>
                <w:i/>
                <w:color w:val="000000" w:themeColor="text1"/>
                <w14:textFill>
                  <w14:solidFill>
                    <w14:schemeClr w14:val="tx1"/>
                  </w14:solidFill>
                </w14:textFill>
              </w:rPr>
            </m:ctrlPr>
          </m:sub>
        </m:sSub>
        <m:r>
          <m:rPr/>
          <w:rPr>
            <w:rFonts w:ascii="Cambria Math"/>
            <w:color w:val="000000" w:themeColor="text1"/>
            <w14:textFill>
              <w14:solidFill>
                <w14:schemeClr w14:val="tx1"/>
              </w14:solidFill>
            </w14:textFill>
          </w:rPr>
          <m:t>)</m:t>
        </m:r>
      </m:oMath>
      <w:r>
        <w:rPr>
          <w:rFonts w:hint="eastAsia"/>
          <w:color w:val="000000" w:themeColor="text1"/>
          <w:kern w:val="0"/>
          <w14:textFill>
            <w14:solidFill>
              <w14:schemeClr w14:val="tx1"/>
            </w14:solidFill>
          </w14:textFill>
        </w:rPr>
        <w:t>——第i批次燃料输出数量的不确定度；</w:t>
      </w:r>
    </w:p>
    <w:p w14:paraId="0E5C1322">
      <w:pPr>
        <w:ind w:firstLine="480"/>
        <w:jc w:val="left"/>
        <w:rPr>
          <w:color w:val="000000" w:themeColor="text1"/>
          <w:kern w:val="0"/>
          <w14:textFill>
            <w14:solidFill>
              <w14:schemeClr w14:val="tx1"/>
            </w14:solidFill>
          </w14:textFill>
        </w:rPr>
      </w:pPr>
      <m:oMath>
        <m:r>
          <m:rPr/>
          <w:rPr>
            <w:rFonts w:ascii="Cambria Math"/>
            <w:color w:val="000000" w:themeColor="text1"/>
            <w14:textFill>
              <w14:solidFill>
                <w14:schemeClr w14:val="tx1"/>
              </w14:solidFill>
            </w14:textFill>
          </w:rPr>
          <m:t>u(</m:t>
        </m:r>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begin</m:t>
            </m:r>
            <m:ctrlPr>
              <w:rPr>
                <w:rFonts w:ascii="Cambria Math" w:hAnsi="Cambria Math"/>
                <w:i/>
                <w:color w:val="000000" w:themeColor="text1"/>
                <w14:textFill>
                  <w14:solidFill>
                    <w14:schemeClr w14:val="tx1"/>
                  </w14:solidFill>
                </w14:textFill>
              </w:rPr>
            </m:ctrlPr>
          </m:sub>
        </m:sSub>
        <m:r>
          <m:rPr/>
          <w:rPr>
            <w:rFonts w:ascii="Cambria Math"/>
            <w:color w:val="000000" w:themeColor="text1"/>
            <w14:textFill>
              <w14:solidFill>
                <w14:schemeClr w14:val="tx1"/>
              </w14:solidFill>
            </w14:textFill>
          </w:rPr>
          <m:t>)</m:t>
        </m:r>
      </m:oMath>
      <w:r>
        <w:rPr>
          <w:rFonts w:hint="eastAsia"/>
          <w:color w:val="000000" w:themeColor="text1"/>
          <w:kern w:val="0"/>
          <w14:textFill>
            <w14:solidFill>
              <w14:schemeClr w14:val="tx1"/>
            </w14:solidFill>
          </w14:textFill>
        </w:rPr>
        <w:t>——年初燃料库存量的不确定度；</w:t>
      </w:r>
    </w:p>
    <w:p w14:paraId="38873A0C">
      <w:pPr>
        <w:ind w:firstLine="480"/>
        <w:jc w:val="left"/>
        <w:rPr>
          <w:color w:val="000000" w:themeColor="text1"/>
          <w:kern w:val="0"/>
          <w14:textFill>
            <w14:solidFill>
              <w14:schemeClr w14:val="tx1"/>
            </w14:solidFill>
          </w14:textFill>
        </w:rPr>
      </w:pPr>
      <m:oMath>
        <m:r>
          <m:rPr/>
          <w:rPr>
            <w:rFonts w:ascii="Cambria Math"/>
            <w:color w:val="000000" w:themeColor="text1"/>
            <w14:textFill>
              <w14:solidFill>
                <w14:schemeClr w14:val="tx1"/>
              </w14:solidFill>
            </w14:textFill>
          </w:rPr>
          <m:t>u(</m:t>
        </m:r>
        <m:sSub>
          <m:sSubPr>
            <m:ctrlPr>
              <w:rPr>
                <w:rFonts w:ascii="Cambria Math" w:hAnsi="Cambria Math"/>
                <w:i/>
                <w:color w:val="000000" w:themeColor="text1"/>
                <w14:textFill>
                  <w14:solidFill>
                    <w14:schemeClr w14:val="tx1"/>
                  </w14:solidFill>
                </w14:textFill>
              </w:rPr>
            </m:ctrlPr>
          </m:sSubPr>
          <m:e>
            <m:r>
              <m:rPr/>
              <w:rPr>
                <w:rFonts w:asci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color w:val="000000" w:themeColor="text1"/>
                <w14:textFill>
                  <w14:solidFill>
                    <w14:schemeClr w14:val="tx1"/>
                  </w14:solidFill>
                </w14:textFill>
              </w:rPr>
              <m:t>end</m:t>
            </m:r>
            <m:ctrlPr>
              <w:rPr>
                <w:rFonts w:ascii="Cambria Math" w:hAnsi="Cambria Math"/>
                <w:i/>
                <w:color w:val="000000" w:themeColor="text1"/>
                <w14:textFill>
                  <w14:solidFill>
                    <w14:schemeClr w14:val="tx1"/>
                  </w14:solidFill>
                </w14:textFill>
              </w:rPr>
            </m:ctrlPr>
          </m:sub>
        </m:sSub>
        <m:r>
          <m:rPr/>
          <w:rPr>
            <w:rFonts w:ascii="Cambria Math"/>
            <w:color w:val="000000" w:themeColor="text1"/>
            <w14:textFill>
              <w14:solidFill>
                <w14:schemeClr w14:val="tx1"/>
              </w14:solidFill>
            </w14:textFill>
          </w:rPr>
          <m:t>)</m:t>
        </m:r>
      </m:oMath>
      <w:r>
        <w:rPr>
          <w:rFonts w:hint="eastAsia"/>
          <w:color w:val="000000" w:themeColor="text1"/>
          <w:kern w:val="0"/>
          <w14:textFill>
            <w14:solidFill>
              <w14:schemeClr w14:val="tx1"/>
            </w14:solidFill>
          </w14:textFill>
        </w:rPr>
        <w:t>——年末燃料库存量的不确定度；</w:t>
      </w:r>
    </w:p>
    <w:p w14:paraId="413A1999">
      <w:pPr>
        <w:ind w:firstLine="480"/>
        <w:jc w:val="left"/>
        <w:rPr>
          <w:color w:val="000000" w:themeColor="text1"/>
          <w:kern w:val="0"/>
          <w14:textFill>
            <w14:solidFill>
              <w14:schemeClr w14:val="tx1"/>
            </w14:solidFill>
          </w14:textFill>
        </w:rPr>
      </w:pPr>
      <m:oMath>
        <m:r>
          <m:rPr/>
          <w:rPr>
            <w:rFonts w:ascii="Cambria Math"/>
            <w:color w:val="000000" w:themeColor="text1"/>
            <w14:textFill>
              <w14:solidFill>
                <w14:schemeClr w14:val="tx1"/>
              </w14:solidFill>
            </w14:textFill>
          </w:rPr>
          <m:t>m,n</m:t>
        </m:r>
      </m:oMath>
      <w:r>
        <w:rPr>
          <w:rFonts w:hint="eastAsia"/>
          <w:color w:val="000000" w:themeColor="text1"/>
          <w14:textFill>
            <w14:solidFill>
              <w14:schemeClr w14:val="tx1"/>
            </w14:solidFill>
          </w14:textFill>
        </w:rPr>
        <w:t>——分别为燃料购买和输出的批次。</w:t>
      </w:r>
    </w:p>
    <w:p w14:paraId="0F8BCC3C">
      <w:pPr>
        <w:ind w:firstLine="48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如果用于衡量燃料库存的计量器具和用于测量各批次燃料购买与输出数量的计量器具均保持不变或具有相同的计量不确定度水平，则式（D</w:t>
      </w:r>
      <w:r>
        <w:rPr>
          <w:color w:val="000000" w:themeColor="text1"/>
          <w:kern w:val="0"/>
          <w14:textFill>
            <w14:solidFill>
              <w14:schemeClr w14:val="tx1"/>
            </w14:solidFill>
          </w14:textFill>
        </w:rPr>
        <w:t>.</w:t>
      </w:r>
      <w:r>
        <w:rPr>
          <w:rFonts w:hint="eastAsia"/>
          <w:color w:val="000000" w:themeColor="text1"/>
          <w:kern w:val="0"/>
          <w14:textFill>
            <w14:solidFill>
              <w14:schemeClr w14:val="tx1"/>
            </w14:solidFill>
          </w14:textFill>
        </w:rPr>
        <w:t>6）可作以下简化。</w:t>
      </w:r>
    </w:p>
    <w:p w14:paraId="6E8DFC94">
      <w:pPr>
        <w:pStyle w:val="64"/>
        <w:bidi w:val="0"/>
        <w:jc w:val="both"/>
        <w:rPr>
          <w:color w:val="000000" w:themeColor="text1"/>
          <w14:textFill>
            <w14:solidFill>
              <w14:schemeClr w14:val="tx1"/>
            </w14:solidFill>
          </w14:textFill>
        </w:rPr>
      </w:pPr>
      <w:r>
        <w:rPr>
          <w:rFonts w:hint="eastAsia"/>
          <w:i w:val="0"/>
          <w:color w:val="000000" w:themeColor="text1"/>
          <w:szCs w:val="32"/>
          <w:lang w:val="en-US" w:eastAsia="zh-CN"/>
          <w14:textFill>
            <w14:solidFill>
              <w14:schemeClr w14:val="tx1"/>
            </w14:solidFill>
          </w14:textFill>
        </w:rPr>
        <w:tab/>
      </w:r>
      <m:oMath>
        <m:r>
          <m:rPr/>
          <w:rPr>
            <w:rFonts w:ascii="Cambria Math"/>
            <w:color w:val="000000" w:themeColor="text1"/>
            <w:szCs w:val="32"/>
            <w14:textFill>
              <w14:solidFill>
                <w14:schemeClr w14:val="tx1"/>
              </w14:solidFill>
            </w14:textFill>
          </w:rPr>
          <m:t>u(</m:t>
        </m:r>
        <m:sSub>
          <m:sSubPr>
            <m:ctrlPr>
              <w:rPr>
                <w:rFonts w:hint="default" w:ascii="Cambria Math"/>
                <w:i/>
                <w:color w:val="000000" w:themeColor="text1"/>
                <w:kern w:val="0"/>
                <w:lang w:val="en-US"/>
                <w14:textFill>
                  <w14:solidFill>
                    <w14:schemeClr w14:val="tx1"/>
                  </w14:solidFill>
                </w14:textFill>
              </w:rPr>
            </m:ctrlPr>
          </m:sSubPr>
          <m:e>
            <m:r>
              <m:rPr/>
              <w:rPr>
                <w:rFonts w:hint="default" w:ascii="Cambria Math"/>
                <w:color w:val="000000" w:themeColor="text1"/>
                <w:kern w:val="0"/>
                <w:lang w:val="en-US" w:eastAsia="zh-CN"/>
                <w14:textFill>
                  <w14:solidFill>
                    <w14:schemeClr w14:val="tx1"/>
                  </w14:solidFill>
                </w14:textFill>
              </w:rPr>
              <m:t>Q</m:t>
            </m:r>
            <m:ctrlPr>
              <w:rPr>
                <w:rFonts w:hint="default" w:ascii="Cambria Math"/>
                <w:i/>
                <w:color w:val="000000" w:themeColor="text1"/>
                <w:kern w:val="0"/>
                <w:lang w:val="en-US"/>
                <w14:textFill>
                  <w14:solidFill>
                    <w14:schemeClr w14:val="tx1"/>
                  </w14:solidFill>
                </w14:textFill>
              </w:rPr>
            </m:ctrlPr>
          </m:e>
          <m:sub>
            <m:r>
              <m:rPr>
                <m:sty m:val="p"/>
              </m:rPr>
              <w:rPr>
                <w:rFonts w:hint="default" w:ascii="Cambria Math" w:hAnsi="Cambria Math"/>
                <w:color w:val="000000" w:themeColor="text1"/>
                <w:kern w:val="0"/>
                <w:lang w:val="en-US" w:eastAsia="zh-CN"/>
                <w14:textFill>
                  <w14:solidFill>
                    <w14:schemeClr w14:val="tx1"/>
                  </w14:solidFill>
                </w14:textFill>
              </w:rPr>
              <m:t>hs</m:t>
            </m:r>
            <m:ctrlPr>
              <w:rPr>
                <w:rFonts w:hint="default" w:ascii="Cambria Math"/>
                <w:i/>
                <w:color w:val="000000" w:themeColor="text1"/>
                <w:kern w:val="0"/>
                <w:lang w:val="en-US"/>
                <w14:textFill>
                  <w14:solidFill>
                    <w14:schemeClr w14:val="tx1"/>
                  </w14:solidFill>
                </w14:textFill>
              </w:rPr>
            </m:ctrlPr>
          </m:sub>
        </m:sSub>
        <m:r>
          <m:rPr/>
          <w:rPr>
            <w:rFonts w:ascii="Cambria Math"/>
            <w:color w:val="000000" w:themeColor="text1"/>
            <w:szCs w:val="32"/>
            <w14:textFill>
              <w14:solidFill>
                <w14:schemeClr w14:val="tx1"/>
              </w14:solidFill>
            </w14:textFill>
          </w:rPr>
          <m:t>)=</m:t>
        </m:r>
        <m:rad>
          <m:radPr>
            <m:degHide m:val="1"/>
            <m:ctrlPr>
              <w:rPr>
                <w:rFonts w:ascii="Cambria Math" w:hAnsi="Cambria Math"/>
                <w:i/>
                <w:color w:val="000000" w:themeColor="text1"/>
                <w:szCs w:val="32"/>
                <w14:textFill>
                  <w14:solidFill>
                    <w14:schemeClr w14:val="tx1"/>
                  </w14:solidFill>
                </w14:textFill>
              </w:rPr>
            </m:ctrlPr>
          </m:radPr>
          <m:deg>
            <m:ctrlPr>
              <w:rPr>
                <w:rFonts w:ascii="Cambria Math" w:hAnsi="Cambria Math"/>
                <w:i/>
                <w:color w:val="000000" w:themeColor="text1"/>
                <w:szCs w:val="32"/>
                <w14:textFill>
                  <w14:solidFill>
                    <w14:schemeClr w14:val="tx1"/>
                  </w14:solidFill>
                </w14:textFill>
              </w:rPr>
            </m:ctrlPr>
          </m:deg>
          <m:e>
            <m:r>
              <m:rPr/>
              <w:rPr>
                <w:rFonts w:ascii="Cambria Math"/>
                <w:color w:val="000000" w:themeColor="text1"/>
                <w:szCs w:val="32"/>
                <w14:textFill>
                  <w14:solidFill>
                    <w14:schemeClr w14:val="tx1"/>
                  </w14:solidFill>
                </w14:textFill>
              </w:rPr>
              <m:t>2</m:t>
            </m:r>
            <m:sSup>
              <m:sSupPr>
                <m:ctrlPr>
                  <w:rPr>
                    <w:rFonts w:ascii="Cambria Math" w:hAnsi="Cambria Math"/>
                    <w:i/>
                    <w:color w:val="000000" w:themeColor="text1"/>
                    <w:szCs w:val="32"/>
                    <w14:textFill>
                      <w14:solidFill>
                        <w14:schemeClr w14:val="tx1"/>
                      </w14:solidFill>
                    </w14:textFill>
                  </w:rPr>
                </m:ctrlPr>
              </m:sSupPr>
              <m:e>
                <m:r>
                  <m:rPr/>
                  <w:rPr>
                    <w:rFonts w:ascii="Cambria Math"/>
                    <w:color w:val="000000" w:themeColor="text1"/>
                    <w:szCs w:val="32"/>
                    <w14:textFill>
                      <w14:solidFill>
                        <w14:schemeClr w14:val="tx1"/>
                      </w14:solidFill>
                    </w14:textFill>
                  </w:rPr>
                  <m:t>u</m:t>
                </m:r>
                <m:ctrlPr>
                  <w:rPr>
                    <w:rFonts w:ascii="Cambria Math" w:hAnsi="Cambria Math"/>
                    <w:i/>
                    <w:color w:val="000000" w:themeColor="text1"/>
                    <w:szCs w:val="32"/>
                    <w14:textFill>
                      <w14:solidFill>
                        <w14:schemeClr w14:val="tx1"/>
                      </w14:solidFill>
                    </w14:textFill>
                  </w:rPr>
                </m:ctrlPr>
              </m:e>
              <m:sup>
                <m:r>
                  <m:rPr/>
                  <w:rPr>
                    <w:rFonts w:ascii="Cambria Math"/>
                    <w:color w:val="000000" w:themeColor="text1"/>
                    <w:szCs w:val="32"/>
                    <w14:textFill>
                      <w14:solidFill>
                        <w14:schemeClr w14:val="tx1"/>
                      </w14:solidFill>
                    </w14:textFill>
                  </w:rPr>
                  <m:t>2</m:t>
                </m:r>
                <m:ctrlPr>
                  <w:rPr>
                    <w:rFonts w:ascii="Cambria Math" w:hAnsi="Cambria Math"/>
                    <w:i/>
                    <w:color w:val="000000" w:themeColor="text1"/>
                    <w:szCs w:val="32"/>
                    <w14:textFill>
                      <w14:solidFill>
                        <w14:schemeClr w14:val="tx1"/>
                      </w14:solidFill>
                    </w14:textFill>
                  </w:rPr>
                </m:ctrlPr>
              </m:sup>
            </m:sSup>
            <m:r>
              <m:rPr/>
              <w:rPr>
                <w:rFonts w:ascii="Cambria Math"/>
                <w:color w:val="000000" w:themeColor="text1"/>
                <w:szCs w:val="32"/>
                <w14:textFill>
                  <w14:solidFill>
                    <w14:schemeClr w14:val="tx1"/>
                  </w14:solidFill>
                </w14:textFill>
              </w:rPr>
              <m:t>(S)+m</m:t>
            </m:r>
            <m:r>
              <m:rPr/>
              <w:rPr>
                <w:rFonts w:hint="eastAsia" w:ascii="MS Mincho" w:hAnsi="MS Mincho" w:eastAsia="MS Mincho" w:cs="MS Mincho"/>
                <w:color w:val="000000" w:themeColor="text1"/>
                <w:szCs w:val="32"/>
                <w14:textFill>
                  <w14:solidFill>
                    <w14:schemeClr w14:val="tx1"/>
                  </w14:solidFill>
                </w14:textFill>
              </w:rPr>
              <m:t>⋅</m:t>
            </m:r>
            <m:sSup>
              <m:sSupPr>
                <m:ctrlPr>
                  <w:rPr>
                    <w:rFonts w:ascii="Cambria Math" w:hAnsi="Cambria Math"/>
                    <w:i/>
                    <w:color w:val="000000" w:themeColor="text1"/>
                    <w:szCs w:val="32"/>
                    <w14:textFill>
                      <w14:solidFill>
                        <w14:schemeClr w14:val="tx1"/>
                      </w14:solidFill>
                    </w14:textFill>
                  </w:rPr>
                </m:ctrlPr>
              </m:sSupPr>
              <m:e>
                <m:r>
                  <m:rPr/>
                  <w:rPr>
                    <w:rFonts w:ascii="Cambria Math"/>
                    <w:color w:val="000000" w:themeColor="text1"/>
                    <w:szCs w:val="32"/>
                    <w14:textFill>
                      <w14:solidFill>
                        <w14:schemeClr w14:val="tx1"/>
                      </w14:solidFill>
                    </w14:textFill>
                  </w:rPr>
                  <m:t>u</m:t>
                </m:r>
                <m:ctrlPr>
                  <w:rPr>
                    <w:rFonts w:ascii="Cambria Math" w:hAnsi="Cambria Math"/>
                    <w:i/>
                    <w:color w:val="000000" w:themeColor="text1"/>
                    <w:szCs w:val="32"/>
                    <w14:textFill>
                      <w14:solidFill>
                        <w14:schemeClr w14:val="tx1"/>
                      </w14:solidFill>
                    </w14:textFill>
                  </w:rPr>
                </m:ctrlPr>
              </m:e>
              <m:sup>
                <m:r>
                  <m:rPr/>
                  <w:rPr>
                    <w:rFonts w:ascii="Cambria Math"/>
                    <w:color w:val="000000" w:themeColor="text1"/>
                    <w:szCs w:val="32"/>
                    <w14:textFill>
                      <w14:solidFill>
                        <w14:schemeClr w14:val="tx1"/>
                      </w14:solidFill>
                    </w14:textFill>
                  </w:rPr>
                  <m:t>2</m:t>
                </m:r>
                <m:ctrlPr>
                  <w:rPr>
                    <w:rFonts w:ascii="Cambria Math" w:hAnsi="Cambria Math"/>
                    <w:i/>
                    <w:color w:val="000000" w:themeColor="text1"/>
                    <w:szCs w:val="32"/>
                    <w14:textFill>
                      <w14:solidFill>
                        <w14:schemeClr w14:val="tx1"/>
                      </w14:solidFill>
                    </w14:textFill>
                  </w:rPr>
                </m:ctrlPr>
              </m:sup>
            </m:sSup>
            <m:r>
              <m:rPr/>
              <w:rPr>
                <w:rFonts w:ascii="Cambria Math"/>
                <w:color w:val="000000" w:themeColor="text1"/>
                <w:szCs w:val="32"/>
                <w14:textFill>
                  <w14:solidFill>
                    <w14:schemeClr w14:val="tx1"/>
                  </w14:solidFill>
                </w14:textFill>
              </w:rPr>
              <m:t>(P)+n</m:t>
            </m:r>
            <m:r>
              <m:rPr/>
              <w:rPr>
                <w:rFonts w:hint="eastAsia" w:ascii="MS Mincho" w:hAnsi="MS Mincho" w:eastAsia="MS Mincho" w:cs="MS Mincho"/>
                <w:color w:val="000000" w:themeColor="text1"/>
                <w:szCs w:val="32"/>
                <w14:textFill>
                  <w14:solidFill>
                    <w14:schemeClr w14:val="tx1"/>
                  </w14:solidFill>
                </w14:textFill>
              </w:rPr>
              <m:t>⋅</m:t>
            </m:r>
            <m:sSup>
              <m:sSupPr>
                <m:ctrlPr>
                  <w:rPr>
                    <w:rFonts w:ascii="Cambria Math" w:hAnsi="Cambria Math"/>
                    <w:i/>
                    <w:color w:val="000000" w:themeColor="text1"/>
                    <w:szCs w:val="32"/>
                    <w14:textFill>
                      <w14:solidFill>
                        <w14:schemeClr w14:val="tx1"/>
                      </w14:solidFill>
                    </w14:textFill>
                  </w:rPr>
                </m:ctrlPr>
              </m:sSupPr>
              <m:e>
                <m:r>
                  <m:rPr/>
                  <w:rPr>
                    <w:rFonts w:ascii="Cambria Math"/>
                    <w:color w:val="000000" w:themeColor="text1"/>
                    <w:szCs w:val="32"/>
                    <w14:textFill>
                      <w14:solidFill>
                        <w14:schemeClr w14:val="tx1"/>
                      </w14:solidFill>
                    </w14:textFill>
                  </w:rPr>
                  <m:t>u</m:t>
                </m:r>
                <m:ctrlPr>
                  <w:rPr>
                    <w:rFonts w:ascii="Cambria Math" w:hAnsi="Cambria Math"/>
                    <w:i/>
                    <w:color w:val="000000" w:themeColor="text1"/>
                    <w:szCs w:val="32"/>
                    <w14:textFill>
                      <w14:solidFill>
                        <w14:schemeClr w14:val="tx1"/>
                      </w14:solidFill>
                    </w14:textFill>
                  </w:rPr>
                </m:ctrlPr>
              </m:e>
              <m:sup>
                <m:r>
                  <m:rPr/>
                  <w:rPr>
                    <w:rFonts w:ascii="Cambria Math"/>
                    <w:color w:val="000000" w:themeColor="text1"/>
                    <w:szCs w:val="32"/>
                    <w14:textFill>
                      <w14:solidFill>
                        <w14:schemeClr w14:val="tx1"/>
                      </w14:solidFill>
                    </w14:textFill>
                  </w:rPr>
                  <m:t>2</m:t>
                </m:r>
                <m:ctrlPr>
                  <w:rPr>
                    <w:rFonts w:ascii="Cambria Math" w:hAnsi="Cambria Math"/>
                    <w:i/>
                    <w:color w:val="000000" w:themeColor="text1"/>
                    <w:szCs w:val="32"/>
                    <w14:textFill>
                      <w14:solidFill>
                        <w14:schemeClr w14:val="tx1"/>
                      </w14:solidFill>
                    </w14:textFill>
                  </w:rPr>
                </m:ctrlPr>
              </m:sup>
            </m:sSup>
            <m:r>
              <m:rPr/>
              <w:rPr>
                <w:rFonts w:ascii="Cambria Math"/>
                <w:color w:val="000000" w:themeColor="text1"/>
                <w:szCs w:val="32"/>
                <w14:textFill>
                  <w14:solidFill>
                    <w14:schemeClr w14:val="tx1"/>
                  </w14:solidFill>
                </w14:textFill>
              </w:rPr>
              <m:t>(E</m:t>
            </m:r>
            <m:r>
              <m:rPr/>
              <w:rPr>
                <w:rFonts w:hint="default" w:ascii="Cambria Math"/>
                <w:color w:val="000000" w:themeColor="text1"/>
                <w:szCs w:val="32"/>
                <w:lang w:val="en-US" w:eastAsia="zh-CN"/>
                <w14:textFill>
                  <w14:solidFill>
                    <w14:schemeClr w14:val="tx1"/>
                  </w14:solidFill>
                </w14:textFill>
              </w:rPr>
              <m:t>x</m:t>
            </m:r>
            <m:r>
              <m:rPr/>
              <w:rPr>
                <w:rFonts w:ascii="Cambria Math"/>
                <w:color w:val="000000" w:themeColor="text1"/>
                <w:szCs w:val="32"/>
                <w14:textFill>
                  <w14:solidFill>
                    <w14:schemeClr w14:val="tx1"/>
                  </w14:solidFill>
                </w14:textFill>
              </w:rPr>
              <m:t>)</m:t>
            </m:r>
            <m:ctrlPr>
              <w:rPr>
                <w:rFonts w:ascii="Cambria Math" w:hAnsi="Cambria Math"/>
                <w:i/>
                <w:color w:val="000000" w:themeColor="text1"/>
                <w:szCs w:val="32"/>
                <w14:textFill>
                  <w14:solidFill>
                    <w14:schemeClr w14:val="tx1"/>
                  </w14:solidFill>
                </w14:textFill>
              </w:rPr>
            </m:ctrlPr>
          </m:e>
        </m:rad>
      </m:oMath>
      <w:r>
        <w:rPr>
          <w:rFonts w:hint="eastAsia" w:hAnsi="Cambria Math"/>
          <w:i w:val="0"/>
          <w:color w:val="000000" w:themeColor="text1"/>
          <w:szCs w:val="32"/>
          <w:lang w:val="en-US" w:eastAsia="zh-CN"/>
          <w14:textFill>
            <w14:solidFill>
              <w14:schemeClr w14:val="tx1"/>
            </w14:solidFill>
          </w14:textFill>
        </w:rPr>
        <w:tab/>
      </w:r>
      <w:r>
        <w:rPr>
          <w:rFonts w:hint="eastAsia" w:hAnsi="Cambria Math"/>
          <w:i w:val="0"/>
          <w:color w:val="000000" w:themeColor="text1"/>
          <w:szCs w:val="32"/>
          <w:lang w:val="en-US" w:eastAsia="zh-CN"/>
          <w14:textFill>
            <w14:solidFill>
              <w14:schemeClr w14:val="tx1"/>
            </w14:solidFill>
          </w14:textFill>
        </w:rPr>
        <w:tab/>
      </w:r>
      <w:r>
        <w:rPr>
          <w:rFonts w:hint="eastAsia"/>
          <w:color w:val="000000" w:themeColor="text1"/>
          <w14:textFill>
            <w14:solidFill>
              <w14:schemeClr w14:val="tx1"/>
            </w14:solidFill>
          </w14:textFill>
        </w:rPr>
        <w:t>（D</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7）</w:t>
      </w:r>
    </w:p>
    <w:p w14:paraId="0886FCFA">
      <w:pPr>
        <w:ind w:firstLine="480"/>
        <w:jc w:val="left"/>
        <w:rPr>
          <w:color w:val="000000" w:themeColor="text1"/>
          <w:kern w:val="0"/>
          <w14:textFill>
            <w14:solidFill>
              <w14:schemeClr w14:val="tx1"/>
            </w14:solidFill>
          </w14:textFill>
        </w:rPr>
      </w:pPr>
      <w:r>
        <w:rPr>
          <w:rFonts w:hint="eastAsia"/>
          <w:color w:val="000000" w:themeColor="text1"/>
          <w:kern w:val="0"/>
          <w14:textFill>
            <w14:solidFill>
              <w14:schemeClr w14:val="tx1"/>
            </w14:solidFill>
          </w14:textFill>
        </w:rPr>
        <w:t>式中：</w:t>
      </w:r>
    </w:p>
    <w:p w14:paraId="1314F65D">
      <w:pPr>
        <w:ind w:firstLine="480"/>
        <w:jc w:val="left"/>
        <w:rPr>
          <w:color w:val="000000" w:themeColor="text1"/>
          <w:kern w:val="0"/>
          <w14:textFill>
            <w14:solidFill>
              <w14:schemeClr w14:val="tx1"/>
            </w14:solidFill>
          </w14:textFill>
        </w:rPr>
      </w:pPr>
      <m:oMath>
        <m:r>
          <m:rPr/>
          <w:rPr>
            <w:rFonts w:ascii="Cambria Math"/>
            <w:color w:val="000000" w:themeColor="text1"/>
            <w14:textFill>
              <w14:solidFill>
                <w14:schemeClr w14:val="tx1"/>
              </w14:solidFill>
            </w14:textFill>
          </w:rPr>
          <m:t>u(P)</m:t>
        </m:r>
      </m:oMath>
      <w:r>
        <w:rPr>
          <w:rFonts w:hint="eastAsia"/>
          <w:color w:val="000000" w:themeColor="text1"/>
          <w:kern w:val="0"/>
          <w14:textFill>
            <w14:solidFill>
              <w14:schemeClr w14:val="tx1"/>
            </w14:solidFill>
          </w14:textFill>
        </w:rPr>
        <w:t>——燃料购买量计量引入的不确定度；</w:t>
      </w:r>
    </w:p>
    <w:p w14:paraId="79D33537">
      <w:pPr>
        <w:ind w:firstLine="480"/>
        <w:jc w:val="left"/>
        <w:rPr>
          <w:color w:val="000000" w:themeColor="text1"/>
          <w:kern w:val="0"/>
          <w14:textFill>
            <w14:solidFill>
              <w14:schemeClr w14:val="tx1"/>
            </w14:solidFill>
          </w14:textFill>
        </w:rPr>
      </w:pPr>
      <m:oMath>
        <m:r>
          <m:rPr/>
          <w:rPr>
            <w:rFonts w:ascii="Cambria Math"/>
            <w:color w:val="000000" w:themeColor="text1"/>
            <w14:textFill>
              <w14:solidFill>
                <w14:schemeClr w14:val="tx1"/>
              </w14:solidFill>
            </w14:textFill>
          </w:rPr>
          <m:t>u(E</m:t>
        </m:r>
        <m:r>
          <m:rPr/>
          <w:rPr>
            <w:rFonts w:hint="default" w:ascii="Cambria Math"/>
            <w:color w:val="000000" w:themeColor="text1"/>
            <w:lang w:val="en-US" w:eastAsia="zh-CN"/>
            <w14:textFill>
              <w14:solidFill>
                <w14:schemeClr w14:val="tx1"/>
              </w14:solidFill>
            </w14:textFill>
          </w:rPr>
          <m:t>x</m:t>
        </m:r>
        <m:r>
          <m:rPr/>
          <w:rPr>
            <w:rFonts w:ascii="Cambria Math"/>
            <w:color w:val="000000" w:themeColor="text1"/>
            <w14:textFill>
              <w14:solidFill>
                <w14:schemeClr w14:val="tx1"/>
              </w14:solidFill>
            </w14:textFill>
          </w:rPr>
          <m:t>)</m:t>
        </m:r>
      </m:oMath>
      <w:r>
        <w:rPr>
          <w:rFonts w:hint="eastAsia"/>
          <w:color w:val="000000" w:themeColor="text1"/>
          <w:kern w:val="0"/>
          <w14:textFill>
            <w14:solidFill>
              <w14:schemeClr w14:val="tx1"/>
            </w14:solidFill>
          </w14:textFill>
        </w:rPr>
        <w:t>——燃料输出量计量引入的不确定度；</w:t>
      </w:r>
    </w:p>
    <w:p w14:paraId="1BF93BAE">
      <w:pPr>
        <w:ind w:firstLine="480" w:firstLineChars="200"/>
        <w:jc w:val="left"/>
        <w:rPr>
          <w:color w:val="000000" w:themeColor="text1"/>
          <w:kern w:val="0"/>
          <w14:textFill>
            <w14:solidFill>
              <w14:schemeClr w14:val="tx1"/>
            </w14:solidFill>
          </w14:textFill>
        </w:rPr>
      </w:pPr>
      <m:oMath>
        <m:r>
          <m:rPr/>
          <w:rPr>
            <w:rFonts w:ascii="Cambria Math"/>
            <w:color w:val="000000" w:themeColor="text1"/>
            <w14:textFill>
              <w14:solidFill>
                <w14:schemeClr w14:val="tx1"/>
              </w14:solidFill>
            </w14:textFill>
          </w:rPr>
          <m:t>u(S)</m:t>
        </m:r>
      </m:oMath>
      <w:r>
        <w:rPr>
          <w:rFonts w:hint="eastAsia"/>
          <w:color w:val="000000" w:themeColor="text1"/>
          <w:kern w:val="0"/>
          <w14:textFill>
            <w14:solidFill>
              <w14:schemeClr w14:val="tx1"/>
            </w14:solidFill>
          </w14:textFill>
        </w:rPr>
        <w:t>——燃料库存量计量引入的不确定度。</w:t>
      </w:r>
    </w:p>
    <w:p w14:paraId="395D9EC0">
      <w:pPr>
        <w:ind w:firstLine="480"/>
        <w:jc w:val="left"/>
        <w:rPr>
          <w:color w:val="000000" w:themeColor="text1"/>
          <w:kern w:val="0"/>
          <w14:textFill>
            <w14:solidFill>
              <w14:schemeClr w14:val="tx1"/>
            </w14:solidFill>
          </w14:textFill>
        </w:rPr>
      </w:pPr>
      <m:oMath>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sSub>
              <m:sSubPr>
                <m:ctrlPr>
                  <w:rPr>
                    <w:rFonts w:hint="default" w:ascii="Cambria Math" w:hAnsi="Cambria Math"/>
                    <w:i/>
                  </w:rPr>
                </m:ctrlPr>
              </m:sSubPr>
              <m:e>
                <m:r>
                  <m:rPr/>
                  <w:rPr>
                    <w:rFonts w:hint="default" w:ascii="Cambria Math" w:hAnsi="Cambria Math"/>
                    <w:lang w:val="en-US" w:eastAsia="zh-CN"/>
                  </w:rPr>
                  <m:t>C</m:t>
                </m:r>
                <m:ctrlPr>
                  <w:rPr>
                    <w:rFonts w:hint="default" w:ascii="Cambria Math" w:hAnsi="Cambria Math"/>
                    <w:i/>
                  </w:rPr>
                </m:ctrlPr>
              </m:e>
              <m:sub>
                <m:r>
                  <m:rPr>
                    <m:sty m:val="p"/>
                  </m:rPr>
                  <w:rPr>
                    <w:rFonts w:hint="default" w:ascii="Cambria Math" w:hAnsi="Cambria Math"/>
                    <w:lang w:val="en-US" w:eastAsia="zh-CN"/>
                  </w:rPr>
                  <m:t>ar</m:t>
                </m:r>
                <m:ctrlPr>
                  <w:rPr>
                    <w:rFonts w:hint="default" w:ascii="Cambria Math" w:hAnsi="Cambria Math"/>
                    <w:i/>
                  </w:rPr>
                </m:ctrlPr>
              </m:sub>
            </m:sSub>
            <m:r>
              <m:rPr>
                <m:sty m:val="p"/>
              </m:rPr>
              <m:t xml:space="preserve"> </m:t>
            </m:r>
            <m:ctrlPr>
              <w:rPr>
                <w:rFonts w:ascii="Cambria Math" w:hAnsi="Cambria Math"/>
                <w:i/>
                <w:color w:val="000000" w:themeColor="text1"/>
                <w:kern w:val="0"/>
                <w14:textFill>
                  <w14:solidFill>
                    <w14:schemeClr w14:val="tx1"/>
                  </w14:solidFill>
                </w14:textFill>
              </w:rPr>
            </m:ctrlPr>
          </m:e>
        </m:d>
      </m:oMath>
      <w:r>
        <w:rPr>
          <w:rFonts w:hint="eastAsia"/>
          <w:color w:val="000000" w:themeColor="text1"/>
          <w:kern w:val="0"/>
          <w14:textFill>
            <w14:solidFill>
              <w14:schemeClr w14:val="tx1"/>
            </w14:solidFill>
          </w14:textFill>
        </w:rPr>
        <w:t>——化石燃料的含碳量测量的标准不确定度；</w:t>
      </w:r>
    </w:p>
    <w:p w14:paraId="0885B5F8">
      <w:pPr>
        <w:ind w:firstLine="480"/>
        <w:jc w:val="left"/>
        <w:rPr>
          <w:color w:val="000000" w:themeColor="text1"/>
          <w:kern w:val="0"/>
          <w14:textFill>
            <w14:solidFill>
              <w14:schemeClr w14:val="tx1"/>
            </w14:solidFill>
          </w14:textFill>
        </w:rPr>
      </w:pPr>
      <m:oMath>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sSub>
              <m:sSubPr>
                <m:ctrlPr>
                  <w:rPr>
                    <w:rFonts w:hint="default" w:ascii="Cambria Math" w:hAnsi="Cambria Math"/>
                    <w:i/>
                  </w:rPr>
                </m:ctrlPr>
              </m:sSubPr>
              <m:e>
                <m:r>
                  <m:rPr/>
                  <w:rPr>
                    <w:rFonts w:hint="default" w:ascii="Cambria Math" w:hAnsi="Cambria Math"/>
                    <w:lang w:val="en-US" w:eastAsia="zh-CN"/>
                  </w:rPr>
                  <m:t>C</m:t>
                </m:r>
                <m:ctrlPr>
                  <w:rPr>
                    <w:rFonts w:hint="default" w:ascii="Cambria Math" w:hAnsi="Cambria Math"/>
                    <w:i/>
                  </w:rPr>
                </m:ctrlPr>
              </m:e>
              <m:sub>
                <m:r>
                  <m:rPr>
                    <m:sty m:val="p"/>
                  </m:rPr>
                  <w:rPr>
                    <w:rFonts w:hint="default" w:ascii="Cambria Math" w:hAnsi="Cambria Math"/>
                    <w:lang w:val="en-US" w:eastAsia="zh-CN"/>
                  </w:rPr>
                  <m:t>ar</m:t>
                </m:r>
                <m:ctrlPr>
                  <w:rPr>
                    <w:rFonts w:hint="default" w:ascii="Cambria Math" w:hAnsi="Cambria Math"/>
                    <w:i/>
                  </w:rPr>
                </m:ctrlPr>
              </m:sub>
            </m:sSub>
            <m:r>
              <m:rPr>
                <m:sty m:val="p"/>
              </m:rPr>
              <m:t xml:space="preserve"> </m:t>
            </m:r>
            <m:ctrlPr>
              <w:rPr>
                <w:rFonts w:ascii="Cambria Math" w:hAnsi="Cambria Math"/>
                <w:i/>
                <w:color w:val="000000" w:themeColor="text1"/>
                <w:kern w:val="0"/>
                <w14:textFill>
                  <w14:solidFill>
                    <w14:schemeClr w14:val="tx1"/>
                  </w14:solidFill>
                </w14:textFill>
              </w:rPr>
            </m:ctrlPr>
          </m:e>
        </m:d>
      </m:oMath>
      <w:r>
        <w:rPr>
          <w:rFonts w:hint="eastAsia"/>
          <w:color w:val="000000" w:themeColor="text1"/>
          <w:kern w:val="0"/>
          <w14:textFill>
            <w14:solidFill>
              <w14:schemeClr w14:val="tx1"/>
            </w14:solidFill>
          </w14:textFill>
        </w:rPr>
        <w:t>由采样不均匀性和含碳量测量两部分引入，其中含碳量测量引入的不确定度由仪器校准或检定证书以及测量重复性（可根据重复测量次数采用贝塞尔公式或极差法计算得到）合成得到：</w:t>
      </w:r>
    </w:p>
    <w:p w14:paraId="095A622D">
      <w:pPr>
        <w:pStyle w:val="64"/>
        <w:bidi w:val="0"/>
        <w:jc w:val="both"/>
        <w:rPr>
          <w:rFonts w:hAnsi="Cambria Math"/>
          <w:color w:val="000000" w:themeColor="text1"/>
          <w:kern w:val="0"/>
          <w14:textFill>
            <w14:solidFill>
              <w14:schemeClr w14:val="tx1"/>
            </w14:solidFill>
          </w14:textFill>
        </w:rPr>
      </w:pPr>
      <w:r>
        <w:rPr>
          <w:rFonts w:hint="eastAsia" w:hAnsi="Cambria Math"/>
          <w:i w:val="0"/>
          <w:color w:val="000000" w:themeColor="text1"/>
          <w:kern w:val="0"/>
          <w:lang w:val="en-US" w:eastAsia="zh-CN"/>
          <w14:textFill>
            <w14:solidFill>
              <w14:schemeClr w14:val="tx1"/>
            </w14:solidFill>
          </w14:textFill>
        </w:rPr>
        <w:tab/>
      </w:r>
      <m:oMath>
        <m:sSub>
          <m:sSubPr>
            <m:ctrlPr>
              <w:rPr>
                <w:rFonts w:ascii="Cambria Math" w:hAnsi="Cambria Math"/>
                <w:i/>
                <w:color w:val="000000" w:themeColor="text1"/>
                <w:kern w:val="0"/>
                <w14:textFill>
                  <w14:solidFill>
                    <w14:schemeClr w14:val="tx1"/>
                  </w14:solidFill>
                </w14:textFill>
              </w:rPr>
            </m:ctrlPr>
          </m:sSubPr>
          <m:e>
            <m:r>
              <m:rPr/>
              <w:rPr>
                <w:rFonts w:ascii="Cambria Math" w:hAnsi="Cambria Math"/>
                <w:color w:val="000000" w:themeColor="text1"/>
                <w:kern w:val="0"/>
                <w14:textFill>
                  <w14:solidFill>
                    <w14:schemeClr w14:val="tx1"/>
                  </w14:solidFill>
                </w14:textFill>
              </w:rPr>
              <m:t>u</m:t>
            </m:r>
            <m:ctrlPr>
              <w:rPr>
                <w:rFonts w:ascii="Cambria Math" w:hAnsi="Cambria Math"/>
                <w:i/>
                <w:color w:val="000000" w:themeColor="text1"/>
                <w:kern w:val="0"/>
                <w14:textFill>
                  <w14:solidFill>
                    <w14:schemeClr w14:val="tx1"/>
                  </w14:solidFill>
                </w14:textFill>
              </w:rPr>
            </m:ctrlPr>
          </m:e>
          <m:sub>
            <m:r>
              <m:rPr/>
              <w:rPr>
                <w:rFonts w:hint="eastAsia" w:ascii="Cambria Math" w:hAnsi="Cambria Math"/>
                <w:color w:val="000000" w:themeColor="text1"/>
                <w:kern w:val="0"/>
                <w14:textFill>
                  <w14:solidFill>
                    <w14:schemeClr w14:val="tx1"/>
                  </w14:solidFill>
                </w14:textFill>
              </w:rPr>
              <m:t>测量</m:t>
            </m:r>
            <m:ctrlPr>
              <w:rPr>
                <w:rFonts w:ascii="Cambria Math" w:hAnsi="Cambria Math"/>
                <w:i/>
                <w:color w:val="000000" w:themeColor="text1"/>
                <w:kern w:val="0"/>
                <w14:textFill>
                  <w14:solidFill>
                    <w14:schemeClr w14:val="tx1"/>
                  </w14:solidFill>
                </w14:textFill>
              </w:rPr>
            </m:ctrlPr>
          </m:sub>
        </m:sSub>
        <m:r>
          <m:rPr/>
          <w:rPr>
            <w:rFonts w:ascii="Cambria Math" w:hAnsi="Cambria Math"/>
            <w:color w:val="000000" w:themeColor="text1"/>
            <w:kern w:val="0"/>
            <w14:textFill>
              <w14:solidFill>
                <w14:schemeClr w14:val="tx1"/>
              </w14:solidFill>
            </w14:textFill>
          </w:rPr>
          <m:t>=</m:t>
        </m:r>
        <m:rad>
          <m:radPr>
            <m:degHide m:val="1"/>
            <m:ctrlPr>
              <w:rPr>
                <w:rFonts w:ascii="Cambria Math" w:hAnsi="Cambria Math"/>
                <w:i/>
                <w:color w:val="000000" w:themeColor="text1"/>
                <w:kern w:val="0"/>
                <w14:textFill>
                  <w14:solidFill>
                    <w14:schemeClr w14:val="tx1"/>
                  </w14:solidFill>
                </w14:textFill>
              </w:rPr>
            </m:ctrlPr>
          </m:radPr>
          <m:deg>
            <m:ctrlPr>
              <w:rPr>
                <w:rFonts w:ascii="Cambria Math" w:hAnsi="Cambria Math"/>
                <w:i/>
                <w:color w:val="000000" w:themeColor="text1"/>
                <w:kern w:val="0"/>
                <w14:textFill>
                  <w14:solidFill>
                    <w14:schemeClr w14:val="tx1"/>
                  </w14:solidFill>
                </w14:textFill>
              </w:rPr>
            </m:ctrlPr>
          </m:deg>
          <m:e>
            <m:sSup>
              <m:sSupPr>
                <m:ctrlPr>
                  <w:rPr>
                    <w:rFonts w:ascii="Cambria Math" w:hAnsi="Cambria Math"/>
                    <w:i/>
                    <w:color w:val="000000" w:themeColor="text1"/>
                    <w:kern w:val="0"/>
                    <w14:textFill>
                      <w14:solidFill>
                        <w14:schemeClr w14:val="tx1"/>
                      </w14:solidFill>
                    </w14:textFill>
                  </w:rPr>
                </m:ctrlPr>
              </m:sSupPr>
              <m:e>
                <m:d>
                  <m:dPr>
                    <m:ctrlPr>
                      <w:rPr>
                        <w:rFonts w:ascii="Cambria Math" w:hAnsi="Cambria Math"/>
                        <w:i/>
                        <w:color w:val="000000" w:themeColor="text1"/>
                        <w:kern w:val="0"/>
                        <w14:textFill>
                          <w14:solidFill>
                            <w14:schemeClr w14:val="tx1"/>
                          </w14:solidFill>
                        </w14:textFill>
                      </w:rPr>
                    </m:ctrlPr>
                  </m:dPr>
                  <m:e>
                    <m:sSub>
                      <m:sSubPr>
                        <m:ctrlPr>
                          <w:rPr>
                            <w:rFonts w:ascii="Cambria Math" w:hAnsi="Cambria Math"/>
                            <w:i/>
                            <w:color w:val="000000" w:themeColor="text1"/>
                            <w:kern w:val="0"/>
                            <w14:textFill>
                              <w14:solidFill>
                                <w14:schemeClr w14:val="tx1"/>
                              </w14:solidFill>
                            </w14:textFill>
                          </w:rPr>
                        </m:ctrlPr>
                      </m:sSubPr>
                      <m:e>
                        <m:r>
                          <m:rPr/>
                          <w:rPr>
                            <w:rFonts w:ascii="Cambria Math" w:hAnsi="Cambria Math"/>
                            <w:color w:val="000000" w:themeColor="text1"/>
                            <w:kern w:val="0"/>
                            <w14:textFill>
                              <w14:solidFill>
                                <w14:schemeClr w14:val="tx1"/>
                              </w14:solidFill>
                            </w14:textFill>
                          </w:rPr>
                          <m:t>u</m:t>
                        </m:r>
                        <m:ctrlPr>
                          <w:rPr>
                            <w:rFonts w:ascii="Cambria Math" w:hAnsi="Cambria Math"/>
                            <w:i/>
                            <w:color w:val="000000" w:themeColor="text1"/>
                            <w:kern w:val="0"/>
                            <w14:textFill>
                              <w14:solidFill>
                                <w14:schemeClr w14:val="tx1"/>
                              </w14:solidFill>
                            </w14:textFill>
                          </w:rPr>
                        </m:ctrlPr>
                      </m:e>
                      <m:sub>
                        <m:r>
                          <m:rPr/>
                          <w:rPr>
                            <w:rFonts w:hint="eastAsia" w:ascii="Cambria Math" w:hAnsi="Cambria Math"/>
                            <w:color w:val="000000" w:themeColor="text1"/>
                            <w:kern w:val="0"/>
                            <w14:textFill>
                              <w14:solidFill>
                                <w14:schemeClr w14:val="tx1"/>
                              </w14:solidFill>
                            </w14:textFill>
                          </w:rPr>
                          <m:t>仪器</m:t>
                        </m:r>
                        <m:ctrlPr>
                          <w:rPr>
                            <w:rFonts w:ascii="Cambria Math" w:hAnsi="Cambria Math"/>
                            <w:i/>
                            <w:color w:val="000000" w:themeColor="text1"/>
                            <w:kern w:val="0"/>
                            <w14:textFill>
                              <w14:solidFill>
                                <w14:schemeClr w14:val="tx1"/>
                              </w14:solidFill>
                            </w14:textFill>
                          </w:rPr>
                        </m:ctrlPr>
                      </m:sub>
                    </m:sSub>
                    <m:ctrlPr>
                      <w:rPr>
                        <w:rFonts w:ascii="Cambria Math" w:hAnsi="Cambria Math"/>
                        <w:i/>
                        <w:color w:val="000000" w:themeColor="text1"/>
                        <w:kern w:val="0"/>
                        <w14:textFill>
                          <w14:solidFill>
                            <w14:schemeClr w14:val="tx1"/>
                          </w14:solidFill>
                        </w14:textFill>
                      </w:rPr>
                    </m:ctrlPr>
                  </m:e>
                </m:d>
                <m:ctrlPr>
                  <w:rPr>
                    <w:rFonts w:ascii="Cambria Math" w:hAnsi="Cambria Math"/>
                    <w:i/>
                    <w:color w:val="000000" w:themeColor="text1"/>
                    <w:kern w:val="0"/>
                    <w14:textFill>
                      <w14:solidFill>
                        <w14:schemeClr w14:val="tx1"/>
                      </w14:solidFill>
                    </w14:textFill>
                  </w:rPr>
                </m:ctrlPr>
              </m:e>
              <m:sup>
                <m:r>
                  <m:rPr/>
                  <w:rPr>
                    <w:rFonts w:ascii="Cambria Math" w:hAnsi="Cambria Math"/>
                    <w:color w:val="000000" w:themeColor="text1"/>
                    <w:kern w:val="0"/>
                    <w14:textFill>
                      <w14:solidFill>
                        <w14:schemeClr w14:val="tx1"/>
                      </w14:solidFill>
                    </w14:textFill>
                  </w:rPr>
                  <m:t>2</m:t>
                </m:r>
                <m:ctrlPr>
                  <w:rPr>
                    <w:rFonts w:ascii="Cambria Math" w:hAnsi="Cambria Math"/>
                    <w:i/>
                    <w:color w:val="000000" w:themeColor="text1"/>
                    <w:kern w:val="0"/>
                    <w14:textFill>
                      <w14:solidFill>
                        <w14:schemeClr w14:val="tx1"/>
                      </w14:solidFill>
                    </w14:textFill>
                  </w:rPr>
                </m:ctrlPr>
              </m:sup>
            </m:sSup>
            <m:r>
              <m:rPr/>
              <w:rPr>
                <w:rFonts w:ascii="Cambria Math" w:hAnsi="Cambria Math"/>
                <w:color w:val="000000" w:themeColor="text1"/>
                <w:kern w:val="0"/>
                <w14:textFill>
                  <w14:solidFill>
                    <w14:schemeClr w14:val="tx1"/>
                  </w14:solidFill>
                </w14:textFill>
              </w:rPr>
              <m:t>+</m:t>
            </m:r>
            <m:sSup>
              <m:sSupPr>
                <m:ctrlPr>
                  <w:rPr>
                    <w:rFonts w:ascii="Cambria Math" w:hAnsi="Cambria Math"/>
                    <w:i/>
                    <w:color w:val="000000" w:themeColor="text1"/>
                    <w:kern w:val="0"/>
                    <w14:textFill>
                      <w14:solidFill>
                        <w14:schemeClr w14:val="tx1"/>
                      </w14:solidFill>
                    </w14:textFill>
                  </w:rPr>
                </m:ctrlPr>
              </m:sSupPr>
              <m:e>
                <m:d>
                  <m:dPr>
                    <m:ctrlPr>
                      <w:rPr>
                        <w:rFonts w:ascii="Cambria Math" w:hAnsi="Cambria Math"/>
                        <w:i/>
                        <w:color w:val="000000" w:themeColor="text1"/>
                        <w:kern w:val="0"/>
                        <w14:textFill>
                          <w14:solidFill>
                            <w14:schemeClr w14:val="tx1"/>
                          </w14:solidFill>
                        </w14:textFill>
                      </w:rPr>
                    </m:ctrlPr>
                  </m:dPr>
                  <m:e>
                    <m:sSub>
                      <m:sSubPr>
                        <m:ctrlPr>
                          <w:rPr>
                            <w:rFonts w:ascii="Cambria Math" w:hAnsi="Cambria Math"/>
                            <w:i/>
                            <w:color w:val="000000" w:themeColor="text1"/>
                            <w:kern w:val="0"/>
                            <w14:textFill>
                              <w14:solidFill>
                                <w14:schemeClr w14:val="tx1"/>
                              </w14:solidFill>
                            </w14:textFill>
                          </w:rPr>
                        </m:ctrlPr>
                      </m:sSubPr>
                      <m:e>
                        <m:r>
                          <m:rPr/>
                          <w:rPr>
                            <w:rFonts w:ascii="Cambria Math" w:hAnsi="Cambria Math"/>
                            <w:color w:val="000000" w:themeColor="text1"/>
                            <w:kern w:val="0"/>
                            <w14:textFill>
                              <w14:solidFill>
                                <w14:schemeClr w14:val="tx1"/>
                              </w14:solidFill>
                            </w14:textFill>
                          </w:rPr>
                          <m:t>u</m:t>
                        </m:r>
                        <m:ctrlPr>
                          <w:rPr>
                            <w:rFonts w:ascii="Cambria Math" w:hAnsi="Cambria Math"/>
                            <w:i/>
                            <w:color w:val="000000" w:themeColor="text1"/>
                            <w:kern w:val="0"/>
                            <w14:textFill>
                              <w14:solidFill>
                                <w14:schemeClr w14:val="tx1"/>
                              </w14:solidFill>
                            </w14:textFill>
                          </w:rPr>
                        </m:ctrlPr>
                      </m:e>
                      <m:sub>
                        <m:r>
                          <m:rPr/>
                          <w:rPr>
                            <w:rFonts w:hint="eastAsia" w:ascii="Cambria Math" w:hAnsi="Cambria Math"/>
                            <w:color w:val="000000" w:themeColor="text1"/>
                            <w:kern w:val="0"/>
                            <w14:textFill>
                              <w14:solidFill>
                                <w14:schemeClr w14:val="tx1"/>
                              </w14:solidFill>
                            </w14:textFill>
                          </w:rPr>
                          <m:t>重复性</m:t>
                        </m:r>
                        <m:ctrlPr>
                          <w:rPr>
                            <w:rFonts w:ascii="Cambria Math" w:hAnsi="Cambria Math"/>
                            <w:i/>
                            <w:color w:val="000000" w:themeColor="text1"/>
                            <w:kern w:val="0"/>
                            <w14:textFill>
                              <w14:solidFill>
                                <w14:schemeClr w14:val="tx1"/>
                              </w14:solidFill>
                            </w14:textFill>
                          </w:rPr>
                        </m:ctrlPr>
                      </m:sub>
                    </m:sSub>
                    <m:ctrlPr>
                      <w:rPr>
                        <w:rFonts w:ascii="Cambria Math" w:hAnsi="Cambria Math"/>
                        <w:i/>
                        <w:color w:val="000000" w:themeColor="text1"/>
                        <w:kern w:val="0"/>
                        <w14:textFill>
                          <w14:solidFill>
                            <w14:schemeClr w14:val="tx1"/>
                          </w14:solidFill>
                        </w14:textFill>
                      </w:rPr>
                    </m:ctrlPr>
                  </m:e>
                </m:d>
                <m:ctrlPr>
                  <w:rPr>
                    <w:rFonts w:ascii="Cambria Math" w:hAnsi="Cambria Math"/>
                    <w:i/>
                    <w:color w:val="000000" w:themeColor="text1"/>
                    <w:kern w:val="0"/>
                    <w14:textFill>
                      <w14:solidFill>
                        <w14:schemeClr w14:val="tx1"/>
                      </w14:solidFill>
                    </w14:textFill>
                  </w:rPr>
                </m:ctrlPr>
              </m:e>
              <m:sup>
                <m:r>
                  <m:rPr/>
                  <w:rPr>
                    <w:rFonts w:ascii="Cambria Math" w:hAnsi="Cambria Math"/>
                    <w:color w:val="000000" w:themeColor="text1"/>
                    <w:kern w:val="0"/>
                    <w14:textFill>
                      <w14:solidFill>
                        <w14:schemeClr w14:val="tx1"/>
                      </w14:solidFill>
                    </w14:textFill>
                  </w:rPr>
                  <m:t>2</m:t>
                </m:r>
                <m:ctrlPr>
                  <w:rPr>
                    <w:rFonts w:ascii="Cambria Math" w:hAnsi="Cambria Math"/>
                    <w:i/>
                    <w:color w:val="000000" w:themeColor="text1"/>
                    <w:kern w:val="0"/>
                    <w14:textFill>
                      <w14:solidFill>
                        <w14:schemeClr w14:val="tx1"/>
                      </w14:solidFill>
                    </w14:textFill>
                  </w:rPr>
                </m:ctrlPr>
              </m:sup>
            </m:sSup>
            <m:ctrlPr>
              <w:rPr>
                <w:rFonts w:ascii="Cambria Math" w:hAnsi="Cambria Math"/>
                <w:i/>
                <w:color w:val="000000" w:themeColor="text1"/>
                <w:kern w:val="0"/>
                <w14:textFill>
                  <w14:solidFill>
                    <w14:schemeClr w14:val="tx1"/>
                  </w14:solidFill>
                </w14:textFill>
              </w:rPr>
            </m:ctrlPr>
          </m:e>
        </m:rad>
      </m:oMath>
      <w:r>
        <w:rPr>
          <w:rFonts w:hint="eastAsia" w:hAnsi="Cambria Math"/>
          <w:i w:val="0"/>
          <w:color w:val="000000" w:themeColor="text1"/>
          <w:kern w:val="0"/>
          <w:lang w:val="en-US" w:eastAsia="zh-CN"/>
          <w14:textFill>
            <w14:solidFill>
              <w14:schemeClr w14:val="tx1"/>
            </w14:solidFill>
          </w14:textFill>
        </w:rPr>
        <w:tab/>
      </w:r>
      <w:r>
        <w:rPr>
          <w:rFonts w:hint="eastAsia" w:hAnsi="Cambria Math"/>
          <w:i w:val="0"/>
          <w:color w:val="000000" w:themeColor="text1"/>
          <w:kern w:val="0"/>
          <w:lang w:val="en-US" w:eastAsia="zh-CN"/>
          <w14:textFill>
            <w14:solidFill>
              <w14:schemeClr w14:val="tx1"/>
            </w14:solidFill>
          </w14:textFill>
        </w:rPr>
        <w:tab/>
      </w:r>
      <w:r>
        <w:rPr>
          <w:rFonts w:hint="eastAsia"/>
          <w:color w:val="000000" w:themeColor="text1"/>
          <w:kern w:val="0"/>
          <w14:textFill>
            <w14:solidFill>
              <w14:schemeClr w14:val="tx1"/>
            </w14:solidFill>
          </w14:textFill>
        </w:rPr>
        <w:t>（D.8）</w:t>
      </w:r>
    </w:p>
    <w:p w14:paraId="422908F6">
      <w:pPr>
        <w:ind w:firstLine="480"/>
        <w:jc w:val="left"/>
        <w:rPr>
          <w:rFonts w:hAnsi="Cambria Math"/>
          <w:color w:val="000000" w:themeColor="text1"/>
          <w:kern w:val="0"/>
          <w14:textFill>
            <w14:solidFill>
              <w14:schemeClr w14:val="tx1"/>
            </w14:solidFill>
          </w14:textFill>
        </w:rPr>
      </w:pPr>
      <w:r>
        <w:rPr>
          <w:rFonts w:cs="Times New Roman"/>
          <w:color w:val="000000" w:themeColor="text1"/>
          <w:kern w:val="0"/>
          <w14:textFill>
            <w14:solidFill>
              <w14:schemeClr w14:val="tx1"/>
            </w14:solidFill>
          </w14:textFill>
        </w:rPr>
        <w:t>采样不均匀引起的</w:t>
      </w:r>
      <w:r>
        <w:rPr>
          <w:rFonts w:hint="eastAsia" w:cs="Times New Roman"/>
          <w:color w:val="000000" w:themeColor="text1"/>
          <w:kern w:val="0"/>
          <w14:textFill>
            <w14:solidFill>
              <w14:schemeClr w14:val="tx1"/>
            </w14:solidFill>
          </w14:textFill>
        </w:rPr>
        <w:t>化石燃料的含碳量测量</w:t>
      </w:r>
      <w:r>
        <w:rPr>
          <w:rFonts w:cs="Times New Roman"/>
          <w:color w:val="000000" w:themeColor="text1"/>
          <w:kern w:val="0"/>
          <w14:textFill>
            <w14:solidFill>
              <w14:schemeClr w14:val="tx1"/>
            </w14:solidFill>
          </w14:textFill>
        </w:rPr>
        <w:t>不确定度时，需在同一批次煤进行多次采样，</w:t>
      </w:r>
      <w:r>
        <w:rPr>
          <w:rFonts w:hint="eastAsia" w:cs="Times New Roman"/>
          <w:color w:val="000000" w:themeColor="text1"/>
          <w:kern w:val="0"/>
          <w14:textFill>
            <w14:solidFill>
              <w14:schemeClr w14:val="tx1"/>
            </w14:solidFill>
          </w14:textFill>
        </w:rPr>
        <w:t>按</w:t>
      </w:r>
      <w:r>
        <w:rPr>
          <w:rFonts w:cs="Times New Roman"/>
          <w:color w:val="000000" w:themeColor="text1"/>
          <w:kern w:val="0"/>
          <w14:textFill>
            <w14:solidFill>
              <w14:schemeClr w14:val="tx1"/>
            </w14:solidFill>
          </w14:textFill>
        </w:rPr>
        <w:t>采样次数</w:t>
      </w:r>
      <w:r>
        <w:rPr>
          <w:rFonts w:hint="eastAsia"/>
          <w:color w:val="000000" w:themeColor="text1"/>
          <w:kern w:val="0"/>
          <w14:textFill>
            <w14:solidFill>
              <w14:schemeClr w14:val="tx1"/>
            </w14:solidFill>
          </w14:textFill>
        </w:rPr>
        <w:t>采用贝塞尔公式或极差法计算得到，则化石燃料的含碳量测量的标准不确定度：</w:t>
      </w:r>
    </w:p>
    <w:p w14:paraId="39E7940E">
      <w:pPr>
        <w:pStyle w:val="64"/>
        <w:bidi w:val="0"/>
        <w:jc w:val="both"/>
        <w:rPr>
          <w:rFonts w:hAnsi="Cambria Math"/>
          <w:color w:val="000000" w:themeColor="text1"/>
          <w:kern w:val="0"/>
          <w14:textFill>
            <w14:solidFill>
              <w14:schemeClr w14:val="tx1"/>
            </w14:solidFill>
          </w14:textFill>
        </w:rPr>
      </w:pPr>
      <w:r>
        <w:rPr>
          <w:rFonts w:hint="eastAsia"/>
          <w:i w:val="0"/>
          <w:color w:val="000000" w:themeColor="text1"/>
          <w:kern w:val="0"/>
          <w:lang w:val="en-US" w:eastAsia="zh-CN"/>
          <w14:textFill>
            <w14:solidFill>
              <w14:schemeClr w14:val="tx1"/>
            </w14:solidFill>
          </w14:textFill>
        </w:rPr>
        <w:tab/>
      </w:r>
      <m:oMath>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sSub>
              <m:sSubPr>
                <m:ctrlPr>
                  <w:rPr>
                    <w:rFonts w:hint="default" w:ascii="Cambria Math" w:hAnsi="Cambria Math"/>
                    <w:i/>
                  </w:rPr>
                </m:ctrlPr>
              </m:sSubPr>
              <m:e>
                <m:r>
                  <m:rPr/>
                  <w:rPr>
                    <w:rFonts w:hint="default" w:ascii="Cambria Math" w:hAnsi="Cambria Math"/>
                    <w:lang w:val="en-US" w:eastAsia="zh-CN"/>
                  </w:rPr>
                  <m:t>C</m:t>
                </m:r>
                <m:ctrlPr>
                  <w:rPr>
                    <w:rFonts w:hint="default" w:ascii="Cambria Math" w:hAnsi="Cambria Math"/>
                    <w:i/>
                  </w:rPr>
                </m:ctrlPr>
              </m:e>
              <m:sub>
                <m:r>
                  <m:rPr>
                    <m:sty m:val="p"/>
                  </m:rPr>
                  <w:rPr>
                    <w:rFonts w:hint="default" w:ascii="Cambria Math" w:hAnsi="Cambria Math"/>
                    <w:lang w:val="en-US" w:eastAsia="zh-CN"/>
                  </w:rPr>
                  <m:t>ar</m:t>
                </m:r>
                <m:ctrlPr>
                  <w:rPr>
                    <w:rFonts w:hint="default" w:ascii="Cambria Math" w:hAnsi="Cambria Math"/>
                    <w:i/>
                  </w:rPr>
                </m:ctrlPr>
              </m:sub>
            </m:sSub>
            <m:r>
              <m:rPr>
                <m:sty m:val="p"/>
              </m:rPr>
              <m:t xml:space="preserve"> </m:t>
            </m:r>
            <m:ctrlPr>
              <w:rPr>
                <w:rFonts w:ascii="Cambria Math" w:hAnsi="Cambria Math"/>
                <w:i/>
                <w:color w:val="000000" w:themeColor="text1"/>
                <w:kern w:val="0"/>
                <w14:textFill>
                  <w14:solidFill>
                    <w14:schemeClr w14:val="tx1"/>
                  </w14:solidFill>
                </w14:textFill>
              </w:rPr>
            </m:ctrlPr>
          </m:e>
        </m:d>
        <m:r>
          <m:rPr/>
          <w:rPr>
            <w:rFonts w:ascii="Cambria Math" w:hAnsi="Cambria Math"/>
            <w:color w:val="000000" w:themeColor="text1"/>
            <w:kern w:val="0"/>
            <w14:textFill>
              <w14:solidFill>
                <w14:schemeClr w14:val="tx1"/>
              </w14:solidFill>
            </w14:textFill>
          </w:rPr>
          <m:t>=</m:t>
        </m:r>
        <m:rad>
          <m:radPr>
            <m:degHide m:val="1"/>
            <m:ctrlPr>
              <w:rPr>
                <w:rFonts w:ascii="Cambria Math" w:hAnsi="Cambria Math"/>
                <w:i/>
                <w:color w:val="000000" w:themeColor="text1"/>
                <w:kern w:val="0"/>
                <w14:textFill>
                  <w14:solidFill>
                    <w14:schemeClr w14:val="tx1"/>
                  </w14:solidFill>
                </w14:textFill>
              </w:rPr>
            </m:ctrlPr>
          </m:radPr>
          <m:deg>
            <m:ctrlPr>
              <w:rPr>
                <w:rFonts w:ascii="Cambria Math" w:hAnsi="Cambria Math"/>
                <w:i/>
                <w:color w:val="000000" w:themeColor="text1"/>
                <w:kern w:val="0"/>
                <w14:textFill>
                  <w14:solidFill>
                    <w14:schemeClr w14:val="tx1"/>
                  </w14:solidFill>
                </w14:textFill>
              </w:rPr>
            </m:ctrlPr>
          </m:deg>
          <m:e>
            <m:sSup>
              <m:sSupPr>
                <m:ctrlPr>
                  <w:rPr>
                    <w:rFonts w:ascii="Cambria Math" w:hAnsi="Cambria Math"/>
                    <w:i/>
                    <w:color w:val="000000" w:themeColor="text1"/>
                    <w:kern w:val="0"/>
                    <w14:textFill>
                      <w14:solidFill>
                        <w14:schemeClr w14:val="tx1"/>
                      </w14:solidFill>
                    </w14:textFill>
                  </w:rPr>
                </m:ctrlPr>
              </m:sSupPr>
              <m:e>
                <m:d>
                  <m:dPr>
                    <m:ctrlPr>
                      <w:rPr>
                        <w:rFonts w:ascii="Cambria Math" w:hAnsi="Cambria Math"/>
                        <w:i/>
                        <w:color w:val="000000" w:themeColor="text1"/>
                        <w:kern w:val="0"/>
                        <w14:textFill>
                          <w14:solidFill>
                            <w14:schemeClr w14:val="tx1"/>
                          </w14:solidFill>
                        </w14:textFill>
                      </w:rPr>
                    </m:ctrlPr>
                  </m:dPr>
                  <m:e>
                    <m:sSub>
                      <m:sSubPr>
                        <m:ctrlPr>
                          <w:rPr>
                            <w:rFonts w:ascii="Cambria Math" w:hAnsi="Cambria Math"/>
                            <w:i/>
                            <w:color w:val="000000" w:themeColor="text1"/>
                            <w:kern w:val="0"/>
                            <w14:textFill>
                              <w14:solidFill>
                                <w14:schemeClr w14:val="tx1"/>
                              </w14:solidFill>
                            </w14:textFill>
                          </w:rPr>
                        </m:ctrlPr>
                      </m:sSubPr>
                      <m:e>
                        <m:r>
                          <m:rPr/>
                          <w:rPr>
                            <w:rFonts w:ascii="Cambria Math" w:hAnsi="Cambria Math"/>
                            <w:color w:val="000000" w:themeColor="text1"/>
                            <w:kern w:val="0"/>
                            <w14:textFill>
                              <w14:solidFill>
                                <w14:schemeClr w14:val="tx1"/>
                              </w14:solidFill>
                            </w14:textFill>
                          </w:rPr>
                          <m:t>u</m:t>
                        </m:r>
                        <m:ctrlPr>
                          <w:rPr>
                            <w:rFonts w:ascii="Cambria Math" w:hAnsi="Cambria Math"/>
                            <w:i/>
                            <w:color w:val="000000" w:themeColor="text1"/>
                            <w:kern w:val="0"/>
                            <w14:textFill>
                              <w14:solidFill>
                                <w14:schemeClr w14:val="tx1"/>
                              </w14:solidFill>
                            </w14:textFill>
                          </w:rPr>
                        </m:ctrlPr>
                      </m:e>
                      <m:sub>
                        <m:r>
                          <m:rPr/>
                          <w:rPr>
                            <w:rFonts w:hint="eastAsia" w:ascii="Cambria Math" w:hAnsi="Cambria Math"/>
                            <w:color w:val="000000" w:themeColor="text1"/>
                            <w:kern w:val="0"/>
                            <w14:textFill>
                              <w14:solidFill>
                                <w14:schemeClr w14:val="tx1"/>
                              </w14:solidFill>
                            </w14:textFill>
                          </w:rPr>
                          <m:t>采样</m:t>
                        </m:r>
                        <m:ctrlPr>
                          <w:rPr>
                            <w:rFonts w:ascii="Cambria Math" w:hAnsi="Cambria Math"/>
                            <w:i/>
                            <w:color w:val="000000" w:themeColor="text1"/>
                            <w:kern w:val="0"/>
                            <w14:textFill>
                              <w14:solidFill>
                                <w14:schemeClr w14:val="tx1"/>
                              </w14:solidFill>
                            </w14:textFill>
                          </w:rPr>
                        </m:ctrlPr>
                      </m:sub>
                    </m:sSub>
                    <m:ctrlPr>
                      <w:rPr>
                        <w:rFonts w:ascii="Cambria Math" w:hAnsi="Cambria Math"/>
                        <w:i/>
                        <w:color w:val="000000" w:themeColor="text1"/>
                        <w:kern w:val="0"/>
                        <w14:textFill>
                          <w14:solidFill>
                            <w14:schemeClr w14:val="tx1"/>
                          </w14:solidFill>
                        </w14:textFill>
                      </w:rPr>
                    </m:ctrlPr>
                  </m:e>
                </m:d>
                <m:ctrlPr>
                  <w:rPr>
                    <w:rFonts w:ascii="Cambria Math" w:hAnsi="Cambria Math"/>
                    <w:i/>
                    <w:color w:val="000000" w:themeColor="text1"/>
                    <w:kern w:val="0"/>
                    <w14:textFill>
                      <w14:solidFill>
                        <w14:schemeClr w14:val="tx1"/>
                      </w14:solidFill>
                    </w14:textFill>
                  </w:rPr>
                </m:ctrlPr>
              </m:e>
              <m:sup>
                <m:r>
                  <m:rPr/>
                  <w:rPr>
                    <w:rFonts w:ascii="Cambria Math" w:hAnsi="Cambria Math"/>
                    <w:color w:val="000000" w:themeColor="text1"/>
                    <w:kern w:val="0"/>
                    <w14:textFill>
                      <w14:solidFill>
                        <w14:schemeClr w14:val="tx1"/>
                      </w14:solidFill>
                    </w14:textFill>
                  </w:rPr>
                  <m:t>2</m:t>
                </m:r>
                <m:ctrlPr>
                  <w:rPr>
                    <w:rFonts w:ascii="Cambria Math" w:hAnsi="Cambria Math"/>
                    <w:i/>
                    <w:color w:val="000000" w:themeColor="text1"/>
                    <w:kern w:val="0"/>
                    <w14:textFill>
                      <w14:solidFill>
                        <w14:schemeClr w14:val="tx1"/>
                      </w14:solidFill>
                    </w14:textFill>
                  </w:rPr>
                </m:ctrlPr>
              </m:sup>
            </m:sSup>
            <m:r>
              <m:rPr/>
              <w:rPr>
                <w:rFonts w:ascii="Cambria Math" w:hAnsi="Cambria Math"/>
                <w:color w:val="000000" w:themeColor="text1"/>
                <w:kern w:val="0"/>
                <w14:textFill>
                  <w14:solidFill>
                    <w14:schemeClr w14:val="tx1"/>
                  </w14:solidFill>
                </w14:textFill>
              </w:rPr>
              <m:t>+</m:t>
            </m:r>
            <m:sSup>
              <m:sSupPr>
                <m:ctrlPr>
                  <w:rPr>
                    <w:rFonts w:ascii="Cambria Math" w:hAnsi="Cambria Math"/>
                    <w:i/>
                    <w:color w:val="000000" w:themeColor="text1"/>
                    <w:kern w:val="0"/>
                    <w14:textFill>
                      <w14:solidFill>
                        <w14:schemeClr w14:val="tx1"/>
                      </w14:solidFill>
                    </w14:textFill>
                  </w:rPr>
                </m:ctrlPr>
              </m:sSupPr>
              <m:e>
                <m:d>
                  <m:dPr>
                    <m:ctrlPr>
                      <w:rPr>
                        <w:rFonts w:ascii="Cambria Math" w:hAnsi="Cambria Math"/>
                        <w:i/>
                        <w:color w:val="000000" w:themeColor="text1"/>
                        <w:kern w:val="0"/>
                        <w14:textFill>
                          <w14:solidFill>
                            <w14:schemeClr w14:val="tx1"/>
                          </w14:solidFill>
                        </w14:textFill>
                      </w:rPr>
                    </m:ctrlPr>
                  </m:dPr>
                  <m:e>
                    <m:sSub>
                      <m:sSubPr>
                        <m:ctrlPr>
                          <w:rPr>
                            <w:rFonts w:ascii="Cambria Math" w:hAnsi="Cambria Math"/>
                            <w:i/>
                            <w:color w:val="000000" w:themeColor="text1"/>
                            <w:kern w:val="0"/>
                            <w14:textFill>
                              <w14:solidFill>
                                <w14:schemeClr w14:val="tx1"/>
                              </w14:solidFill>
                            </w14:textFill>
                          </w:rPr>
                        </m:ctrlPr>
                      </m:sSubPr>
                      <m:e>
                        <m:r>
                          <m:rPr/>
                          <w:rPr>
                            <w:rFonts w:ascii="Cambria Math" w:hAnsi="Cambria Math"/>
                            <w:color w:val="000000" w:themeColor="text1"/>
                            <w:kern w:val="0"/>
                            <w14:textFill>
                              <w14:solidFill>
                                <w14:schemeClr w14:val="tx1"/>
                              </w14:solidFill>
                            </w14:textFill>
                          </w:rPr>
                          <m:t>u</m:t>
                        </m:r>
                        <m:ctrlPr>
                          <w:rPr>
                            <w:rFonts w:ascii="Cambria Math" w:hAnsi="Cambria Math"/>
                            <w:i/>
                            <w:color w:val="000000" w:themeColor="text1"/>
                            <w:kern w:val="0"/>
                            <w14:textFill>
                              <w14:solidFill>
                                <w14:schemeClr w14:val="tx1"/>
                              </w14:solidFill>
                            </w14:textFill>
                          </w:rPr>
                        </m:ctrlPr>
                      </m:e>
                      <m:sub>
                        <m:r>
                          <m:rPr/>
                          <w:rPr>
                            <w:rFonts w:hint="eastAsia" w:ascii="Cambria Math" w:hAnsi="Cambria Math"/>
                            <w:color w:val="000000" w:themeColor="text1"/>
                            <w:kern w:val="0"/>
                            <w14:textFill>
                              <w14:solidFill>
                                <w14:schemeClr w14:val="tx1"/>
                              </w14:solidFill>
                            </w14:textFill>
                          </w:rPr>
                          <m:t>测量</m:t>
                        </m:r>
                        <m:ctrlPr>
                          <w:rPr>
                            <w:rFonts w:ascii="Cambria Math" w:hAnsi="Cambria Math"/>
                            <w:i/>
                            <w:color w:val="000000" w:themeColor="text1"/>
                            <w:kern w:val="0"/>
                            <w14:textFill>
                              <w14:solidFill>
                                <w14:schemeClr w14:val="tx1"/>
                              </w14:solidFill>
                            </w14:textFill>
                          </w:rPr>
                        </m:ctrlPr>
                      </m:sub>
                    </m:sSub>
                    <m:ctrlPr>
                      <w:rPr>
                        <w:rFonts w:ascii="Cambria Math" w:hAnsi="Cambria Math"/>
                        <w:i/>
                        <w:color w:val="000000" w:themeColor="text1"/>
                        <w:kern w:val="0"/>
                        <w14:textFill>
                          <w14:solidFill>
                            <w14:schemeClr w14:val="tx1"/>
                          </w14:solidFill>
                        </w14:textFill>
                      </w:rPr>
                    </m:ctrlPr>
                  </m:e>
                </m:d>
                <m:ctrlPr>
                  <w:rPr>
                    <w:rFonts w:ascii="Cambria Math" w:hAnsi="Cambria Math"/>
                    <w:i/>
                    <w:color w:val="000000" w:themeColor="text1"/>
                    <w:kern w:val="0"/>
                    <w14:textFill>
                      <w14:solidFill>
                        <w14:schemeClr w14:val="tx1"/>
                      </w14:solidFill>
                    </w14:textFill>
                  </w:rPr>
                </m:ctrlPr>
              </m:e>
              <m:sup>
                <m:r>
                  <m:rPr/>
                  <w:rPr>
                    <w:rFonts w:ascii="Cambria Math" w:hAnsi="Cambria Math"/>
                    <w:color w:val="000000" w:themeColor="text1"/>
                    <w:kern w:val="0"/>
                    <w14:textFill>
                      <w14:solidFill>
                        <w14:schemeClr w14:val="tx1"/>
                      </w14:solidFill>
                    </w14:textFill>
                  </w:rPr>
                  <m:t>2</m:t>
                </m:r>
                <m:ctrlPr>
                  <w:rPr>
                    <w:rFonts w:ascii="Cambria Math" w:hAnsi="Cambria Math"/>
                    <w:i/>
                    <w:color w:val="000000" w:themeColor="text1"/>
                    <w:kern w:val="0"/>
                    <w14:textFill>
                      <w14:solidFill>
                        <w14:schemeClr w14:val="tx1"/>
                      </w14:solidFill>
                    </w14:textFill>
                  </w:rPr>
                </m:ctrlPr>
              </m:sup>
            </m:sSup>
            <m:ctrlPr>
              <w:rPr>
                <w:rFonts w:ascii="Cambria Math" w:hAnsi="Cambria Math"/>
                <w:i/>
                <w:color w:val="000000" w:themeColor="text1"/>
                <w:kern w:val="0"/>
                <w14:textFill>
                  <w14:solidFill>
                    <w14:schemeClr w14:val="tx1"/>
                  </w14:solidFill>
                </w14:textFill>
              </w:rPr>
            </m:ctrlPr>
          </m:e>
        </m:rad>
      </m:oMath>
      <w:r>
        <w:rPr>
          <w:rFonts w:hint="eastAsia" w:hAnsi="Cambria Math"/>
          <w:i w:val="0"/>
          <w:color w:val="000000" w:themeColor="text1"/>
          <w:kern w:val="0"/>
          <w:lang w:val="en-US" w:eastAsia="zh-CN"/>
          <w14:textFill>
            <w14:solidFill>
              <w14:schemeClr w14:val="tx1"/>
            </w14:solidFill>
          </w14:textFill>
        </w:rPr>
        <w:tab/>
      </w:r>
      <w:r>
        <w:rPr>
          <w:rFonts w:hint="eastAsia" w:hAnsi="Cambria Math"/>
          <w:i w:val="0"/>
          <w:color w:val="000000" w:themeColor="text1"/>
          <w:kern w:val="0"/>
          <w:lang w:val="en-US" w:eastAsia="zh-CN"/>
          <w14:textFill>
            <w14:solidFill>
              <w14:schemeClr w14:val="tx1"/>
            </w14:solidFill>
          </w14:textFill>
        </w:rPr>
        <w:tab/>
      </w:r>
      <w:r>
        <w:rPr>
          <w:rFonts w:hint="eastAsia"/>
          <w:color w:val="000000" w:themeColor="text1"/>
          <w:kern w:val="0"/>
          <w14:textFill>
            <w14:solidFill>
              <w14:schemeClr w14:val="tx1"/>
            </w14:solidFill>
          </w14:textFill>
        </w:rPr>
        <w:t>（D.9）</w:t>
      </w:r>
    </w:p>
    <w:p w14:paraId="4A4A3C64">
      <w:pPr>
        <w:ind w:firstLine="480"/>
        <w:jc w:val="left"/>
        <w:rPr>
          <w:color w:val="000000" w:themeColor="text1"/>
          <w:kern w:val="0"/>
          <w14:textFill>
            <w14:solidFill>
              <w14:schemeClr w14:val="tx1"/>
            </w14:solidFill>
          </w14:textFill>
        </w:rPr>
      </w:pPr>
      <m:oMath>
        <m:r>
          <m:rPr/>
          <w:rPr>
            <w:rFonts w:ascii="Cambria Math"/>
            <w:color w:val="000000" w:themeColor="text1"/>
            <w:kern w:val="0"/>
            <w14:textFill>
              <w14:solidFill>
                <w14:schemeClr w14:val="tx1"/>
              </w14:solidFill>
            </w14:textFill>
          </w:rPr>
          <m:t>u</m:t>
        </m:r>
        <m:d>
          <m:dPr>
            <m:ctrlPr>
              <w:rPr>
                <w:rFonts w:ascii="Cambria Math" w:hAnsi="Cambria Math"/>
                <w:i/>
                <w:color w:val="000000" w:themeColor="text1"/>
                <w:kern w:val="0"/>
                <w14:textFill>
                  <w14:solidFill>
                    <w14:schemeClr w14:val="tx1"/>
                  </w14:solidFill>
                </w14:textFill>
              </w:rPr>
            </m:ctrlPr>
          </m:dPr>
          <m:e>
            <m:sSub>
              <m:sSubPr>
                <m:ctrlPr>
                  <w:rPr>
                    <w:rFonts w:hint="default" w:ascii="Cambria Math" w:hAnsi="Cambria Math"/>
                    <w:i/>
                  </w:rPr>
                </m:ctrlPr>
              </m:sSubPr>
              <m:e>
                <m:r>
                  <m:rPr/>
                  <w:rPr>
                    <w:rFonts w:hint="default" w:ascii="Cambria Math" w:hAnsi="Cambria Math"/>
                    <w:lang w:val="en-US" w:eastAsia="zh-CN"/>
                  </w:rPr>
                  <m:t>C</m:t>
                </m:r>
                <m:ctrlPr>
                  <w:rPr>
                    <w:rFonts w:hint="default" w:ascii="Cambria Math" w:hAnsi="Cambria Math"/>
                    <w:i/>
                  </w:rPr>
                </m:ctrlPr>
              </m:e>
              <m:sub>
                <m:r>
                  <m:rPr>
                    <m:sty m:val="p"/>
                  </m:rPr>
                  <w:rPr>
                    <w:rFonts w:hint="default" w:ascii="Cambria Math" w:hAnsi="Cambria Math"/>
                    <w:lang w:val="en-US" w:eastAsia="zh-CN"/>
                  </w:rPr>
                  <m:t>ar</m:t>
                </m:r>
                <m:ctrlPr>
                  <w:rPr>
                    <w:rFonts w:hint="default" w:ascii="Cambria Math" w:hAnsi="Cambria Math"/>
                    <w:i/>
                  </w:rPr>
                </m:ctrlPr>
              </m:sub>
            </m:sSub>
            <m:r>
              <m:rPr>
                <m:sty m:val="p"/>
              </m:rPr>
              <m:t xml:space="preserve"> </m:t>
            </m:r>
            <m:ctrlPr>
              <w:rPr>
                <w:rFonts w:ascii="Cambria Math" w:hAnsi="Cambria Math"/>
                <w:i/>
                <w:color w:val="000000" w:themeColor="text1"/>
                <w:kern w:val="0"/>
                <w14:textFill>
                  <w14:solidFill>
                    <w14:schemeClr w14:val="tx1"/>
                  </w14:solidFill>
                </w14:textFill>
              </w:rPr>
            </m:ctrlPr>
          </m:e>
        </m:d>
      </m:oMath>
      <w:r>
        <w:rPr>
          <w:rFonts w:hint="eastAsia"/>
          <w:color w:val="000000" w:themeColor="text1"/>
          <w:kern w:val="0"/>
          <w14:textFill>
            <w14:solidFill>
              <w14:schemeClr w14:val="tx1"/>
            </w14:solidFill>
          </w14:textFill>
        </w:rPr>
        <w:t>——化石燃料的</w:t>
      </w:r>
      <w:r>
        <w:rPr>
          <w:rFonts w:hint="eastAsia"/>
          <w:color w:val="000000" w:themeColor="text1"/>
          <w:kern w:val="0"/>
          <w:lang w:val="en-US" w:eastAsia="zh-CN"/>
          <w14:textFill>
            <w14:solidFill>
              <w14:schemeClr w14:val="tx1"/>
            </w14:solidFill>
          </w14:textFill>
        </w:rPr>
        <w:t>碳含量</w:t>
      </w:r>
      <w:r>
        <w:rPr>
          <w:rFonts w:hint="eastAsia"/>
          <w:color w:val="000000" w:themeColor="text1"/>
          <w:kern w:val="0"/>
          <w14:textFill>
            <w14:solidFill>
              <w14:schemeClr w14:val="tx1"/>
            </w14:solidFill>
          </w14:textFill>
        </w:rPr>
        <w:t>测量的标准不确定度，由仪器校准证书和测量重复性两部分合成得到。</w:t>
      </w:r>
    </w:p>
    <w:p w14:paraId="384FDBA8">
      <w:pPr>
        <w:ind w:firstLine="482" w:firstLineChars="200"/>
        <w:jc w:val="left"/>
        <w:rPr>
          <w:b/>
          <w:bCs/>
          <w:color w:val="000000" w:themeColor="text1"/>
          <w:kern w:val="0"/>
          <w14:textFill>
            <w14:solidFill>
              <w14:schemeClr w14:val="tx1"/>
            </w14:solidFill>
          </w14:textFill>
        </w:rPr>
      </w:pPr>
      <w:r>
        <w:rPr>
          <w:rFonts w:hint="eastAsia"/>
          <w:b/>
          <w:bCs/>
          <w:color w:val="000000" w:themeColor="text1"/>
          <w:kern w:val="0"/>
          <w14:textFill>
            <w14:solidFill>
              <w14:schemeClr w14:val="tx1"/>
            </w14:solidFill>
          </w14:textFill>
        </w:rPr>
        <w:t>D.3.2 过程排放的不确定度分量</w:t>
      </w:r>
    </w:p>
    <w:p w14:paraId="751CDA58">
      <w:pPr>
        <w:ind w:firstLine="480" w:firstLineChars="200"/>
        <w:rPr>
          <w:color w:val="000000" w:themeColor="text1"/>
          <w:kern w:val="0"/>
          <w14:textFill>
            <w14:solidFill>
              <w14:schemeClr w14:val="tx1"/>
            </w14:solidFill>
          </w14:textFill>
        </w:rPr>
      </w:pPr>
      <w:r>
        <w:rPr>
          <w:rFonts w:hint="eastAsia" w:cs="Times New Roman"/>
          <w:color w:val="000000" w:themeColor="text1"/>
          <w:szCs w:val="28"/>
          <w14:textFill>
            <w14:solidFill>
              <w14:schemeClr w14:val="tx1"/>
            </w14:solidFill>
          </w14:textFill>
        </w:rPr>
        <w:t>对</w:t>
      </w:r>
      <w:r>
        <w:rPr>
          <w:rFonts w:hint="eastAsia"/>
          <w:color w:val="000000" w:themeColor="text1"/>
          <w:kern w:val="0"/>
          <w14:textFill>
            <w14:solidFill>
              <w14:schemeClr w14:val="tx1"/>
            </w14:solidFill>
          </w14:textFill>
        </w:rPr>
        <w:t>非能源</w:t>
      </w:r>
      <w:r>
        <w:rPr>
          <w:rFonts w:hint="eastAsia" w:cs="Times New Roman"/>
          <w:color w:val="000000" w:themeColor="text1"/>
          <w:szCs w:val="28"/>
          <w14:textFill>
            <w14:solidFill>
              <w14:schemeClr w14:val="tx1"/>
            </w14:solidFill>
          </w14:textFill>
        </w:rPr>
        <w:t>过程排放不确定度分量，一般以其消耗的活动数据计量引入的不确定度和其物质中碳含量的测量不确定度两部分合成得到，具体计算可参考D.1.3.1中有关评定方法。</w:t>
      </w:r>
    </w:p>
    <w:p w14:paraId="79B46B78">
      <w:pPr>
        <w:ind w:firstLine="482" w:firstLineChars="200"/>
        <w:jc w:val="left"/>
        <w:rPr>
          <w:b/>
          <w:bCs/>
          <w:color w:val="000000" w:themeColor="text1"/>
          <w:kern w:val="0"/>
          <w14:textFill>
            <w14:solidFill>
              <w14:schemeClr w14:val="tx1"/>
            </w14:solidFill>
          </w14:textFill>
        </w:rPr>
      </w:pPr>
      <w:r>
        <w:rPr>
          <w:rFonts w:hint="eastAsia"/>
          <w:b/>
          <w:bCs/>
          <w:color w:val="000000" w:themeColor="text1"/>
          <w:kern w:val="0"/>
          <w14:textFill>
            <w14:solidFill>
              <w14:schemeClr w14:val="tx1"/>
            </w14:solidFill>
          </w14:textFill>
        </w:rPr>
        <w:t>D.3.3净购入能源活动数据</w:t>
      </w:r>
    </w:p>
    <w:p w14:paraId="5DCB3A6B">
      <w:pPr>
        <w:ind w:firstLine="480" w:firstLineChars="200"/>
        <w:rPr>
          <w:rFonts w:cs="Times New Roman"/>
          <w:color w:val="000000" w:themeColor="text1"/>
          <w:szCs w:val="28"/>
          <w14:textFill>
            <w14:solidFill>
              <w14:schemeClr w14:val="tx1"/>
            </w14:solidFill>
          </w14:textFill>
        </w:rPr>
      </w:pPr>
      <w:r>
        <w:rPr>
          <w:rFonts w:hint="eastAsia" w:cs="Times New Roman"/>
          <w:color w:val="000000" w:themeColor="text1"/>
          <w:szCs w:val="28"/>
          <w14:textFill>
            <w14:solidFill>
              <w14:schemeClr w14:val="tx1"/>
            </w14:solidFill>
          </w14:textFill>
        </w:rPr>
        <w:t>净购入能源如电力、热力等活动数据的不确定度为相关计量仪表的不确定度。</w:t>
      </w:r>
    </w:p>
    <w:p w14:paraId="1E677816">
      <w:pPr>
        <w:ind w:firstLine="482" w:firstLineChars="200"/>
        <w:jc w:val="left"/>
        <w:rPr>
          <w:rFonts w:hint="eastAsia"/>
          <w:b/>
          <w:bCs/>
          <w:color w:val="auto"/>
          <w:lang w:val="en-US" w:eastAsia="zh-CN"/>
        </w:rPr>
      </w:pPr>
      <w:r>
        <w:rPr>
          <w:rFonts w:hint="eastAsia"/>
          <w:b/>
          <w:bCs/>
          <w:color w:val="000000" w:themeColor="text1"/>
          <w:kern w:val="0"/>
          <w14:textFill>
            <w14:solidFill>
              <w14:schemeClr w14:val="tx1"/>
            </w14:solidFill>
          </w14:textFill>
        </w:rPr>
        <w:t>D.4不确定度评估示例</w:t>
      </w:r>
    </w:p>
    <w:p w14:paraId="2574FC5D">
      <w:pPr>
        <w:ind w:firstLine="480" w:firstLineChars="200"/>
        <w:jc w:val="left"/>
        <w:rPr>
          <w:rFonts w:hint="eastAsia"/>
          <w:color w:val="auto"/>
          <w:lang w:val="en-US" w:eastAsia="zh-CN"/>
        </w:rPr>
      </w:pPr>
      <w:r>
        <w:rPr>
          <w:rFonts w:hint="eastAsia"/>
          <w:color w:val="auto"/>
          <w:lang w:val="en-US" w:eastAsia="zh-CN"/>
        </w:rPr>
        <w:t>在本项目中主要使用的能源为电力和柴油，其中电力活动数据的采集方式为电表自动采集，柴油活动数据的采集方式为油流量表采集。</w:t>
      </w:r>
    </w:p>
    <w:p w14:paraId="226CC47B">
      <w:pPr>
        <w:spacing w:line="360" w:lineRule="auto"/>
        <w:ind w:firstLine="480" w:firstLineChars="200"/>
        <w:rPr>
          <w:rFonts w:ascii="Times New Roman" w:hAnsi="Times New Roman" w:eastAsia="宋体" w:cs="Times New Roman"/>
          <w:color w:val="auto"/>
          <w:sz w:val="24"/>
          <w:szCs w:val="28"/>
        </w:rPr>
      </w:pPr>
      <w:r>
        <w:rPr>
          <w:rFonts w:hint="eastAsia" w:ascii="Times New Roman" w:hAnsi="Times New Roman" w:eastAsia="宋体" w:cs="Times New Roman"/>
          <w:color w:val="auto"/>
          <w:sz w:val="24"/>
          <w:szCs w:val="28"/>
        </w:rPr>
        <w:t>采用电能表对购入电力进行计量，</w:t>
      </w:r>
      <w:r>
        <w:rPr>
          <w:rFonts w:hint="eastAsia" w:cs="Times New Roman"/>
          <w:color w:val="auto"/>
          <w:sz w:val="24"/>
          <w:szCs w:val="28"/>
          <w:lang w:eastAsia="zh-CN"/>
        </w:rPr>
        <w:t>批次</w:t>
      </w:r>
      <w:r>
        <w:rPr>
          <w:rFonts w:hint="eastAsia" w:ascii="Times New Roman" w:hAnsi="Times New Roman" w:eastAsia="宋体" w:cs="Times New Roman"/>
          <w:color w:val="auto"/>
          <w:sz w:val="24"/>
          <w:szCs w:val="28"/>
        </w:rPr>
        <w:t>耗电量为</w:t>
      </w:r>
      <w:r>
        <w:rPr>
          <w:rFonts w:hint="eastAsia" w:ascii="Times New Roman" w:hAnsi="Times New Roman" w:eastAsia="宋体" w:cs="Times New Roman"/>
          <w:color w:val="auto"/>
          <w:sz w:val="24"/>
          <w:szCs w:val="28"/>
          <w:lang w:val="en-US" w:eastAsia="zh-CN"/>
        </w:rPr>
        <w:t>37.27</w:t>
      </w:r>
      <w:r>
        <w:rPr>
          <w:rFonts w:hint="eastAsia" w:cs="Times New Roman"/>
          <w:color w:val="auto"/>
          <w:sz w:val="24"/>
          <w:szCs w:val="28"/>
          <w:lang w:val="en-US" w:eastAsia="zh-CN"/>
        </w:rPr>
        <w:t>M</w:t>
      </w:r>
      <w:r>
        <w:rPr>
          <w:rFonts w:hint="eastAsia" w:ascii="Times New Roman" w:hAnsi="Times New Roman" w:eastAsia="宋体" w:cs="Times New Roman"/>
          <w:color w:val="auto"/>
          <w:sz w:val="24"/>
          <w:szCs w:val="28"/>
        </w:rPr>
        <w:t>Wh，电网因子采用国家电网最新公布的0.5366</w:t>
      </w:r>
      <w:r>
        <w:rPr>
          <w:rFonts w:hint="eastAsia" w:cs="Times New Roman"/>
          <w:color w:val="auto"/>
          <w:sz w:val="24"/>
          <w:szCs w:val="28"/>
          <w:lang w:val="en-US" w:eastAsia="zh-CN"/>
        </w:rPr>
        <w:t>t</w:t>
      </w:r>
      <w:r>
        <w:rPr>
          <w:rFonts w:hint="eastAsia" w:ascii="Times New Roman" w:hAnsi="Times New Roman" w:eastAsia="宋体" w:cs="Times New Roman"/>
          <w:color w:val="auto"/>
          <w:sz w:val="24"/>
          <w:szCs w:val="28"/>
        </w:rPr>
        <w:t>CO</w:t>
      </w:r>
      <w:r>
        <w:rPr>
          <w:rFonts w:hint="eastAsia" w:ascii="Times New Roman" w:hAnsi="Times New Roman" w:eastAsia="宋体" w:cs="Times New Roman"/>
          <w:color w:val="auto"/>
          <w:sz w:val="24"/>
          <w:szCs w:val="28"/>
          <w:vertAlign w:val="subscript"/>
        </w:rPr>
        <w:t>2</w:t>
      </w:r>
      <w:r>
        <w:rPr>
          <w:rFonts w:hint="eastAsia" w:ascii="Times New Roman" w:hAnsi="Times New Roman" w:eastAsia="宋体" w:cs="Times New Roman"/>
          <w:color w:val="auto"/>
          <w:sz w:val="24"/>
          <w:szCs w:val="28"/>
        </w:rPr>
        <w:t>/</w:t>
      </w:r>
      <w:r>
        <w:rPr>
          <w:rFonts w:hint="eastAsia" w:cs="Times New Roman"/>
          <w:color w:val="auto"/>
          <w:sz w:val="24"/>
          <w:szCs w:val="28"/>
          <w:lang w:val="en-US" w:eastAsia="zh-CN"/>
        </w:rPr>
        <w:t>M</w:t>
      </w:r>
      <w:r>
        <w:rPr>
          <w:rFonts w:hint="eastAsia" w:ascii="Times New Roman" w:hAnsi="Times New Roman" w:eastAsia="宋体" w:cs="Times New Roman"/>
          <w:color w:val="auto"/>
          <w:sz w:val="24"/>
          <w:szCs w:val="28"/>
        </w:rPr>
        <w:t>Wh，净购入电力产生的碳排放量为</w:t>
      </w:r>
      <w:r>
        <w:rPr>
          <w:rFonts w:hint="eastAsia" w:ascii="Times New Roman" w:hAnsi="Times New Roman" w:eastAsia="宋体" w:cs="Times New Roman"/>
          <w:color w:val="auto"/>
          <w:sz w:val="24"/>
          <w:szCs w:val="28"/>
          <w:lang w:val="en-US" w:eastAsia="zh-CN"/>
        </w:rPr>
        <w:t>37.27</w:t>
      </w:r>
      <w:r>
        <w:rPr>
          <w:rFonts w:hint="eastAsia" w:cs="Times New Roman"/>
          <w:color w:val="auto"/>
          <w:sz w:val="24"/>
          <w:szCs w:val="28"/>
          <w:lang w:val="en-US" w:eastAsia="zh-CN"/>
        </w:rPr>
        <w:t>M</w:t>
      </w:r>
      <w:r>
        <w:rPr>
          <w:rFonts w:hint="eastAsia" w:ascii="Times New Roman" w:hAnsi="Times New Roman" w:eastAsia="宋体" w:cs="Times New Roman"/>
          <w:color w:val="auto"/>
          <w:sz w:val="24"/>
          <w:szCs w:val="28"/>
        </w:rPr>
        <w:t xml:space="preserve">Wh×0.5366 </w:t>
      </w:r>
      <w:r>
        <w:rPr>
          <w:rFonts w:hint="eastAsia" w:cs="Times New Roman"/>
          <w:color w:val="auto"/>
          <w:sz w:val="24"/>
          <w:szCs w:val="28"/>
          <w:lang w:val="en-US" w:eastAsia="zh-CN"/>
        </w:rPr>
        <w:t>t</w:t>
      </w:r>
      <w:r>
        <w:rPr>
          <w:rFonts w:hint="eastAsia" w:ascii="Times New Roman" w:hAnsi="Times New Roman" w:eastAsia="宋体" w:cs="Times New Roman"/>
          <w:color w:val="auto"/>
          <w:sz w:val="24"/>
          <w:szCs w:val="28"/>
        </w:rPr>
        <w:t>CO</w:t>
      </w:r>
      <w:r>
        <w:rPr>
          <w:rFonts w:hint="eastAsia" w:ascii="Times New Roman" w:hAnsi="Times New Roman" w:eastAsia="宋体" w:cs="Times New Roman"/>
          <w:color w:val="auto"/>
          <w:sz w:val="24"/>
          <w:szCs w:val="28"/>
          <w:vertAlign w:val="subscript"/>
        </w:rPr>
        <w:t>2</w:t>
      </w:r>
      <w:r>
        <w:rPr>
          <w:rFonts w:hint="eastAsia" w:ascii="Times New Roman" w:hAnsi="Times New Roman" w:eastAsia="宋体" w:cs="Times New Roman"/>
          <w:color w:val="auto"/>
          <w:sz w:val="24"/>
          <w:szCs w:val="28"/>
        </w:rPr>
        <w:t>/</w:t>
      </w:r>
      <w:r>
        <w:rPr>
          <w:rFonts w:hint="eastAsia" w:cs="Times New Roman"/>
          <w:color w:val="auto"/>
          <w:sz w:val="24"/>
          <w:szCs w:val="28"/>
          <w:lang w:val="en-US" w:eastAsia="zh-CN"/>
        </w:rPr>
        <w:t>M</w:t>
      </w:r>
      <w:r>
        <w:rPr>
          <w:rFonts w:hint="eastAsia" w:ascii="Times New Roman" w:hAnsi="Times New Roman" w:eastAsia="宋体" w:cs="Times New Roman"/>
          <w:color w:val="auto"/>
          <w:sz w:val="24"/>
          <w:szCs w:val="28"/>
        </w:rPr>
        <w:t>Wh</w:t>
      </w:r>
      <w:r>
        <w:rPr>
          <w:rFonts w:ascii="Times New Roman" w:hAnsi="Times New Roman" w:eastAsia="宋体" w:cs="Times New Roman"/>
          <w:color w:val="auto"/>
          <w:sz w:val="24"/>
          <w:szCs w:val="28"/>
        </w:rPr>
        <w:t>=</w:t>
      </w:r>
      <w:r>
        <w:rPr>
          <w:rFonts w:hint="eastAsia" w:cs="Times New Roman"/>
          <w:color w:val="auto"/>
          <w:sz w:val="24"/>
          <w:szCs w:val="28"/>
          <w:lang w:val="en-US" w:eastAsia="zh-CN"/>
        </w:rPr>
        <w:t>20t</w:t>
      </w:r>
      <w:r>
        <w:rPr>
          <w:rFonts w:ascii="Times New Roman" w:hAnsi="Times New Roman" w:eastAsia="宋体" w:cs="Times New Roman"/>
          <w:color w:val="auto"/>
          <w:sz w:val="24"/>
          <w:szCs w:val="28"/>
        </w:rPr>
        <w:t>。</w:t>
      </w:r>
      <w:r>
        <w:rPr>
          <w:rFonts w:hint="eastAsia" w:ascii="Times New Roman" w:hAnsi="Times New Roman" w:eastAsia="宋体" w:cs="Times New Roman"/>
          <w:color w:val="auto"/>
          <w:sz w:val="24"/>
          <w:szCs w:val="28"/>
        </w:rPr>
        <w:t>电能表的相对标准测量不确定度为0.2%，则其净购入电力活动数据的相对不确定度为0.2%，标准不确定度为</w:t>
      </w:r>
      <w:r>
        <w:rPr>
          <w:rFonts w:hint="eastAsia" w:cs="Times New Roman"/>
          <w:color w:val="auto"/>
          <w:sz w:val="24"/>
          <w:szCs w:val="28"/>
          <w:lang w:val="en-US" w:eastAsia="zh-CN"/>
        </w:rPr>
        <w:t>20t</w:t>
      </w:r>
      <w:r>
        <w:rPr>
          <w:rFonts w:ascii="Times New Roman" w:hAnsi="Times New Roman" w:eastAsia="宋体" w:cs="Times New Roman"/>
          <w:color w:val="auto"/>
          <w:sz w:val="24"/>
          <w:szCs w:val="28"/>
        </w:rPr>
        <w:t>CO</w:t>
      </w:r>
      <w:r>
        <w:rPr>
          <w:rFonts w:ascii="Times New Roman" w:hAnsi="Times New Roman" w:eastAsia="宋体" w:cs="Times New Roman"/>
          <w:color w:val="auto"/>
          <w:sz w:val="24"/>
          <w:szCs w:val="28"/>
          <w:vertAlign w:val="subscript"/>
        </w:rPr>
        <w:t>2</w:t>
      </w:r>
      <w:r>
        <w:rPr>
          <w:rFonts w:hint="eastAsia" w:ascii="Times New Roman" w:hAnsi="Times New Roman" w:eastAsia="宋体" w:cs="Times New Roman"/>
          <w:color w:val="auto"/>
          <w:sz w:val="24"/>
          <w:szCs w:val="28"/>
        </w:rPr>
        <w:t>×</w:t>
      </w:r>
      <w:r>
        <w:rPr>
          <w:rFonts w:ascii="Times New Roman" w:hAnsi="Times New Roman" w:eastAsia="宋体" w:cs="Times New Roman"/>
          <w:color w:val="auto"/>
          <w:sz w:val="24"/>
          <w:szCs w:val="28"/>
        </w:rPr>
        <w:t>0.2%=</w:t>
      </w:r>
      <w:r>
        <w:rPr>
          <w:rFonts w:hint="eastAsia" w:cs="Times New Roman"/>
          <w:color w:val="auto"/>
          <w:sz w:val="24"/>
          <w:szCs w:val="28"/>
          <w:lang w:val="en-US" w:eastAsia="zh-CN"/>
        </w:rPr>
        <w:t>0.04t</w:t>
      </w:r>
      <w:r>
        <w:rPr>
          <w:rFonts w:ascii="Times New Roman" w:hAnsi="Times New Roman" w:eastAsia="宋体" w:cs="Times New Roman"/>
          <w:color w:val="auto"/>
          <w:sz w:val="24"/>
          <w:szCs w:val="28"/>
        </w:rPr>
        <w:t>CO</w:t>
      </w:r>
      <w:r>
        <w:rPr>
          <w:rFonts w:ascii="Times New Roman" w:hAnsi="Times New Roman" w:eastAsia="宋体" w:cs="Times New Roman"/>
          <w:color w:val="auto"/>
          <w:sz w:val="24"/>
          <w:szCs w:val="28"/>
          <w:vertAlign w:val="subscript"/>
        </w:rPr>
        <w:t>2</w:t>
      </w:r>
      <w:r>
        <w:rPr>
          <w:rFonts w:ascii="Times New Roman" w:hAnsi="Times New Roman" w:eastAsia="宋体" w:cs="Times New Roman"/>
          <w:color w:val="auto"/>
          <w:sz w:val="24"/>
          <w:szCs w:val="28"/>
        </w:rPr>
        <w:t>。</w:t>
      </w:r>
    </w:p>
    <w:p w14:paraId="5BE5910A">
      <w:pPr>
        <w:spacing w:line="360" w:lineRule="auto"/>
        <w:ind w:firstLine="480" w:firstLineChars="200"/>
        <w:rPr>
          <w:rFonts w:ascii="Times New Roman" w:hAnsi="Times New Roman" w:eastAsia="宋体" w:cs="Times New Roman"/>
          <w:sz w:val="24"/>
          <w:szCs w:val="28"/>
        </w:rPr>
      </w:pPr>
      <w:r>
        <w:rPr>
          <w:rFonts w:hint="eastAsia" w:ascii="Times New Roman" w:hAnsi="Times New Roman" w:eastAsia="宋体" w:cs="Times New Roman"/>
          <w:sz w:val="24"/>
          <w:szCs w:val="28"/>
        </w:rPr>
        <w:t>该</w:t>
      </w:r>
      <w:r>
        <w:rPr>
          <w:rFonts w:hint="eastAsia" w:cs="Times New Roman"/>
          <w:color w:val="auto"/>
          <w:sz w:val="24"/>
          <w:szCs w:val="28"/>
          <w:lang w:val="en-US" w:eastAsia="zh-CN"/>
        </w:rPr>
        <w:t>构件工厂</w:t>
      </w:r>
      <w:r>
        <w:rPr>
          <w:rFonts w:hint="eastAsia" w:ascii="Times New Roman" w:hAnsi="Times New Roman" w:eastAsia="宋体" w:cs="Times New Roman"/>
          <w:color w:val="auto"/>
          <w:sz w:val="24"/>
          <w:szCs w:val="28"/>
        </w:rPr>
        <w:t>配备了柴油</w:t>
      </w:r>
      <w:r>
        <w:rPr>
          <w:rFonts w:hint="eastAsia" w:cs="Times New Roman"/>
          <w:color w:val="auto"/>
          <w:sz w:val="24"/>
          <w:szCs w:val="28"/>
          <w:lang w:val="en-US" w:eastAsia="zh-CN"/>
        </w:rPr>
        <w:t>叉车</w:t>
      </w:r>
      <w:r>
        <w:rPr>
          <w:rFonts w:hint="eastAsia" w:ascii="Times New Roman" w:hAnsi="Times New Roman" w:eastAsia="宋体" w:cs="Times New Roman"/>
          <w:color w:val="auto"/>
          <w:sz w:val="24"/>
          <w:szCs w:val="28"/>
        </w:rPr>
        <w:t>，</w:t>
      </w:r>
      <w:r>
        <w:rPr>
          <w:rFonts w:hint="eastAsia" w:cs="Times New Roman"/>
          <w:color w:val="auto"/>
          <w:sz w:val="24"/>
          <w:szCs w:val="28"/>
          <w:lang w:eastAsia="zh-CN"/>
        </w:rPr>
        <w:t>批次</w:t>
      </w:r>
      <w:r>
        <w:rPr>
          <w:rFonts w:hint="eastAsia" w:ascii="Times New Roman" w:hAnsi="Times New Roman" w:eastAsia="宋体" w:cs="Times New Roman"/>
          <w:color w:val="auto"/>
          <w:sz w:val="24"/>
          <w:szCs w:val="28"/>
        </w:rPr>
        <w:t>消耗柴油</w:t>
      </w:r>
      <w:r>
        <w:rPr>
          <w:rFonts w:hint="eastAsia" w:cs="Times New Roman"/>
          <w:color w:val="auto"/>
          <w:sz w:val="24"/>
          <w:szCs w:val="28"/>
          <w:lang w:val="en-US" w:eastAsia="zh-CN"/>
        </w:rPr>
        <w:t>58t</w:t>
      </w:r>
      <w:r>
        <w:rPr>
          <w:rFonts w:hint="eastAsia" w:ascii="Times New Roman" w:hAnsi="Times New Roman" w:eastAsia="宋体" w:cs="Times New Roman"/>
          <w:color w:val="auto"/>
          <w:sz w:val="24"/>
          <w:szCs w:val="28"/>
        </w:rPr>
        <w:t>，柴油的碳排放因子为</w:t>
      </w:r>
      <w:r>
        <w:rPr>
          <w:rFonts w:hint="eastAsia" w:cs="Times New Roman"/>
          <w:color w:val="auto"/>
          <w:sz w:val="24"/>
          <w:szCs w:val="28"/>
          <w:lang w:val="en-US" w:eastAsia="zh-CN"/>
        </w:rPr>
        <w:t xml:space="preserve">74.1 </w:t>
      </w:r>
      <w:r>
        <w:rPr>
          <w:rFonts w:ascii="Times New Roman" w:hAnsi="Times New Roman" w:eastAsia="宋体" w:cs="Times New Roman"/>
          <w:color w:val="auto"/>
          <w:sz w:val="24"/>
          <w:szCs w:val="28"/>
        </w:rPr>
        <w:t>tCO</w:t>
      </w:r>
      <w:r>
        <w:rPr>
          <w:rFonts w:ascii="Times New Roman" w:hAnsi="Times New Roman" w:eastAsia="宋体" w:cs="Times New Roman"/>
          <w:color w:val="auto"/>
          <w:sz w:val="24"/>
          <w:szCs w:val="28"/>
          <w:vertAlign w:val="subscript"/>
        </w:rPr>
        <w:t>2</w:t>
      </w:r>
      <w:r>
        <w:rPr>
          <w:rFonts w:ascii="Times New Roman" w:hAnsi="Times New Roman" w:eastAsia="宋体" w:cs="Times New Roman"/>
          <w:color w:val="auto"/>
          <w:sz w:val="24"/>
          <w:szCs w:val="28"/>
        </w:rPr>
        <w:t>/</w:t>
      </w:r>
      <w:r>
        <w:rPr>
          <w:rFonts w:hint="eastAsia" w:cs="Times New Roman"/>
          <w:color w:val="auto"/>
          <w:sz w:val="24"/>
          <w:szCs w:val="28"/>
          <w:lang w:val="en-US" w:eastAsia="zh-CN"/>
        </w:rPr>
        <w:t>T</w:t>
      </w:r>
      <w:r>
        <w:rPr>
          <w:rFonts w:ascii="Times New Roman" w:hAnsi="Times New Roman" w:eastAsia="宋体" w:cs="Times New Roman"/>
          <w:color w:val="auto"/>
          <w:sz w:val="24"/>
          <w:szCs w:val="28"/>
        </w:rPr>
        <w:t>J</w:t>
      </w:r>
      <w:r>
        <w:rPr>
          <w:rFonts w:hint="eastAsia" w:ascii="Times New Roman" w:hAnsi="Times New Roman" w:eastAsia="宋体" w:cs="Times New Roman"/>
          <w:color w:val="auto"/>
          <w:sz w:val="24"/>
          <w:szCs w:val="28"/>
        </w:rPr>
        <w:t>，热值为</w:t>
      </w:r>
      <w:r>
        <w:rPr>
          <w:rFonts w:hint="eastAsia" w:cs="Times New Roman"/>
          <w:color w:val="auto"/>
          <w:sz w:val="24"/>
          <w:szCs w:val="28"/>
          <w:lang w:val="en-US" w:eastAsia="zh-CN"/>
        </w:rPr>
        <w:t>3.3</w:t>
      </w:r>
      <w:r>
        <w:rPr>
          <w:rFonts w:hint="eastAsia" w:ascii="Times New Roman" w:hAnsi="Times New Roman" w:eastAsia="宋体" w:cs="Times New Roman"/>
          <w:color w:val="auto"/>
          <w:sz w:val="24"/>
          <w:szCs w:val="28"/>
        </w:rPr>
        <w:t>×</w:t>
      </w:r>
      <w:r>
        <w:rPr>
          <w:rFonts w:hint="eastAsia" w:cs="Times New Roman"/>
          <w:color w:val="auto"/>
          <w:sz w:val="24"/>
          <w:szCs w:val="28"/>
          <w:lang w:val="en-US" w:eastAsia="zh-CN"/>
        </w:rPr>
        <w:t>10</w:t>
      </w:r>
      <w:r>
        <w:rPr>
          <w:rFonts w:hint="eastAsia" w:cs="Times New Roman"/>
          <w:color w:val="auto"/>
          <w:sz w:val="24"/>
          <w:szCs w:val="28"/>
          <w:vertAlign w:val="superscript"/>
          <w:lang w:val="en-US" w:eastAsia="zh-CN"/>
        </w:rPr>
        <w:t>-5</w:t>
      </w:r>
      <w:r>
        <w:rPr>
          <w:rFonts w:hint="eastAsia" w:cs="Times New Roman"/>
          <w:color w:val="auto"/>
          <w:sz w:val="24"/>
          <w:szCs w:val="28"/>
          <w:lang w:val="en-US" w:eastAsia="zh-CN"/>
        </w:rPr>
        <w:t>TJ</w:t>
      </w:r>
      <w:r>
        <w:rPr>
          <w:rFonts w:ascii="Times New Roman" w:hAnsi="Times New Roman" w:eastAsia="宋体" w:cs="Times New Roman"/>
          <w:color w:val="auto"/>
          <w:sz w:val="24"/>
          <w:szCs w:val="28"/>
        </w:rPr>
        <w:t>/L</w:t>
      </w:r>
      <w:r>
        <w:rPr>
          <w:rFonts w:hint="eastAsia" w:ascii="Times New Roman" w:hAnsi="Times New Roman" w:eastAsia="宋体" w:cs="Times New Roman"/>
          <w:color w:val="auto"/>
          <w:sz w:val="24"/>
          <w:szCs w:val="28"/>
        </w:rPr>
        <w:t>，柴油</w:t>
      </w:r>
      <w:r>
        <w:rPr>
          <w:rFonts w:hint="eastAsia" w:cs="Times New Roman"/>
          <w:color w:val="auto"/>
          <w:sz w:val="24"/>
          <w:szCs w:val="28"/>
          <w:lang w:val="en-US" w:eastAsia="zh-CN"/>
        </w:rPr>
        <w:t>叉车</w:t>
      </w:r>
      <w:r>
        <w:rPr>
          <w:rFonts w:hint="eastAsia" w:ascii="Times New Roman" w:hAnsi="Times New Roman" w:eastAsia="宋体" w:cs="Times New Roman"/>
          <w:color w:val="auto"/>
          <w:sz w:val="24"/>
          <w:szCs w:val="28"/>
        </w:rPr>
        <w:t>产生的排放量为</w:t>
      </w:r>
      <w:r>
        <w:rPr>
          <w:rFonts w:hint="eastAsia" w:cs="Times New Roman"/>
          <w:color w:val="auto"/>
          <w:sz w:val="24"/>
          <w:szCs w:val="28"/>
          <w:lang w:val="en-US" w:eastAsia="zh-CN"/>
        </w:rPr>
        <w:t>58t</w:t>
      </w:r>
      <w:r>
        <w:rPr>
          <w:rFonts w:hint="eastAsia" w:ascii="Times New Roman" w:hAnsi="Times New Roman" w:eastAsia="宋体" w:cs="Times New Roman"/>
          <w:color w:val="auto"/>
          <w:sz w:val="24"/>
          <w:szCs w:val="28"/>
        </w:rPr>
        <w:t>×</w:t>
      </w:r>
      <w:r>
        <w:rPr>
          <w:rFonts w:hint="eastAsia" w:cs="Times New Roman"/>
          <w:color w:val="auto"/>
          <w:sz w:val="24"/>
          <w:szCs w:val="28"/>
          <w:lang w:val="en-US" w:eastAsia="zh-CN"/>
        </w:rPr>
        <w:t>3.3</w:t>
      </w:r>
      <w:r>
        <w:rPr>
          <w:rFonts w:hint="eastAsia" w:ascii="Times New Roman" w:hAnsi="Times New Roman" w:eastAsia="宋体" w:cs="Times New Roman"/>
          <w:color w:val="auto"/>
          <w:sz w:val="24"/>
          <w:szCs w:val="28"/>
        </w:rPr>
        <w:t>×</w:t>
      </w:r>
      <w:r>
        <w:rPr>
          <w:rFonts w:hint="eastAsia" w:cs="Times New Roman"/>
          <w:color w:val="auto"/>
          <w:sz w:val="24"/>
          <w:szCs w:val="28"/>
          <w:lang w:val="en-US" w:eastAsia="zh-CN"/>
        </w:rPr>
        <w:t>10</w:t>
      </w:r>
      <w:r>
        <w:rPr>
          <w:rFonts w:hint="eastAsia" w:cs="Times New Roman"/>
          <w:color w:val="auto"/>
          <w:sz w:val="24"/>
          <w:szCs w:val="28"/>
          <w:vertAlign w:val="superscript"/>
          <w:lang w:val="en-US" w:eastAsia="zh-CN"/>
        </w:rPr>
        <w:t>-5</w:t>
      </w:r>
      <w:r>
        <w:rPr>
          <w:rFonts w:hint="eastAsia" w:cs="Times New Roman"/>
          <w:color w:val="auto"/>
          <w:sz w:val="24"/>
          <w:szCs w:val="28"/>
          <w:lang w:val="en-US" w:eastAsia="zh-CN"/>
        </w:rPr>
        <w:t>TJ</w:t>
      </w:r>
      <w:r>
        <w:rPr>
          <w:rFonts w:ascii="Times New Roman" w:hAnsi="Times New Roman" w:eastAsia="宋体" w:cs="Times New Roman"/>
          <w:color w:val="auto"/>
          <w:sz w:val="24"/>
          <w:szCs w:val="28"/>
        </w:rPr>
        <w:t>/L</w:t>
      </w:r>
      <w:r>
        <w:rPr>
          <w:rFonts w:hint="eastAsia" w:ascii="Times New Roman" w:hAnsi="Times New Roman" w:eastAsia="宋体" w:cs="Times New Roman"/>
          <w:color w:val="auto"/>
          <w:sz w:val="24"/>
          <w:szCs w:val="28"/>
        </w:rPr>
        <w:t>×</w:t>
      </w:r>
      <w:r>
        <w:rPr>
          <w:rFonts w:hint="eastAsia" w:cs="Times New Roman"/>
          <w:color w:val="auto"/>
          <w:sz w:val="24"/>
          <w:szCs w:val="28"/>
          <w:lang w:val="en-US" w:eastAsia="zh-CN"/>
        </w:rPr>
        <w:t>74.1</w:t>
      </w:r>
      <w:r>
        <w:rPr>
          <w:rFonts w:ascii="Times New Roman" w:hAnsi="Times New Roman" w:eastAsia="宋体" w:cs="Times New Roman"/>
          <w:color w:val="auto"/>
          <w:sz w:val="24"/>
          <w:szCs w:val="28"/>
        </w:rPr>
        <w:t xml:space="preserve"> tCO</w:t>
      </w:r>
      <w:r>
        <w:rPr>
          <w:rFonts w:ascii="Times New Roman" w:hAnsi="Times New Roman" w:eastAsia="宋体" w:cs="Times New Roman"/>
          <w:color w:val="auto"/>
          <w:sz w:val="24"/>
          <w:szCs w:val="28"/>
          <w:vertAlign w:val="subscript"/>
        </w:rPr>
        <w:t>2</w:t>
      </w:r>
      <w:r>
        <w:rPr>
          <w:rFonts w:ascii="Times New Roman" w:hAnsi="Times New Roman" w:eastAsia="宋体" w:cs="Times New Roman"/>
          <w:color w:val="auto"/>
          <w:sz w:val="24"/>
          <w:szCs w:val="28"/>
        </w:rPr>
        <w:t>/</w:t>
      </w:r>
      <w:r>
        <w:rPr>
          <w:rFonts w:hint="eastAsia" w:cs="Times New Roman"/>
          <w:color w:val="auto"/>
          <w:sz w:val="24"/>
          <w:szCs w:val="28"/>
          <w:lang w:val="en-US" w:eastAsia="zh-CN"/>
        </w:rPr>
        <w:t>T</w:t>
      </w:r>
      <w:r>
        <w:rPr>
          <w:rFonts w:ascii="Times New Roman" w:hAnsi="Times New Roman" w:eastAsia="宋体" w:cs="Times New Roman"/>
          <w:color w:val="auto"/>
          <w:sz w:val="24"/>
          <w:szCs w:val="28"/>
        </w:rPr>
        <w:t>J=</w:t>
      </w:r>
      <w:r>
        <w:rPr>
          <w:rFonts w:hint="eastAsia" w:cs="Times New Roman"/>
          <w:color w:val="auto"/>
          <w:sz w:val="24"/>
          <w:szCs w:val="28"/>
          <w:lang w:val="en-US" w:eastAsia="zh-CN"/>
        </w:rPr>
        <w:t>0.14t</w:t>
      </w:r>
      <w:r>
        <w:rPr>
          <w:rFonts w:ascii="Times New Roman" w:hAnsi="Times New Roman" w:eastAsia="宋体" w:cs="Times New Roman"/>
          <w:color w:val="auto"/>
          <w:sz w:val="24"/>
          <w:szCs w:val="28"/>
        </w:rPr>
        <w:t>。</w:t>
      </w:r>
      <w:r>
        <w:rPr>
          <w:rFonts w:hint="eastAsia" w:ascii="Times New Roman" w:hAnsi="Times New Roman" w:eastAsia="宋体" w:cs="Times New Roman"/>
          <w:color w:val="auto"/>
          <w:sz w:val="24"/>
          <w:szCs w:val="28"/>
        </w:rPr>
        <w:t>柴油消耗量</w:t>
      </w:r>
      <w:r>
        <w:rPr>
          <w:rFonts w:hint="eastAsia" w:ascii="Times New Roman" w:hAnsi="Times New Roman" w:eastAsia="宋体" w:cs="Times New Roman"/>
          <w:sz w:val="24"/>
          <w:szCs w:val="28"/>
        </w:rPr>
        <w:t>是</w:t>
      </w:r>
      <w:r>
        <w:rPr>
          <w:rFonts w:hint="eastAsia" w:ascii="Times New Roman" w:hAnsi="Times New Roman" w:eastAsia="宋体" w:cs="Times New Roman"/>
          <w:sz w:val="24"/>
          <w:szCs w:val="28"/>
          <w:lang w:val="en-US" w:eastAsia="zh-CN"/>
        </w:rPr>
        <w:t>油流量计进行计量</w:t>
      </w:r>
      <w:r>
        <w:rPr>
          <w:rFonts w:hint="eastAsia" w:ascii="Times New Roman" w:hAnsi="Times New Roman" w:eastAsia="宋体" w:cs="Times New Roman"/>
          <w:sz w:val="24"/>
          <w:szCs w:val="28"/>
        </w:rPr>
        <w:t>，</w:t>
      </w:r>
      <w:r>
        <w:rPr>
          <w:rFonts w:hint="eastAsia" w:ascii="Times New Roman" w:hAnsi="Times New Roman" w:eastAsia="宋体" w:cs="Times New Roman"/>
          <w:sz w:val="24"/>
          <w:szCs w:val="28"/>
          <w:lang w:val="en-US" w:eastAsia="zh-CN"/>
        </w:rPr>
        <w:t>油流量计</w:t>
      </w:r>
      <w:r>
        <w:rPr>
          <w:rFonts w:hint="eastAsia" w:ascii="Times New Roman" w:hAnsi="Times New Roman" w:eastAsia="宋体" w:cs="Times New Roman"/>
          <w:sz w:val="24"/>
          <w:szCs w:val="28"/>
        </w:rPr>
        <w:t>的相对标准测量不确定度为</w:t>
      </w:r>
      <w:r>
        <w:rPr>
          <w:rFonts w:ascii="Times New Roman" w:hAnsi="Times New Roman" w:eastAsia="宋体" w:cs="Times New Roman"/>
          <w:sz w:val="24"/>
          <w:szCs w:val="28"/>
        </w:rPr>
        <w:t>0.21%，</w:t>
      </w:r>
      <w:r>
        <w:rPr>
          <w:rFonts w:hint="eastAsia" w:ascii="Times New Roman" w:hAnsi="Times New Roman" w:eastAsia="宋体" w:cs="Times New Roman"/>
          <w:sz w:val="24"/>
          <w:szCs w:val="28"/>
        </w:rPr>
        <w:t>柴油</w:t>
      </w:r>
      <w:r>
        <w:rPr>
          <w:rFonts w:ascii="Times New Roman" w:hAnsi="Times New Roman" w:eastAsia="宋体" w:cs="Times New Roman"/>
          <w:sz w:val="24"/>
          <w:szCs w:val="28"/>
        </w:rPr>
        <w:t>的低位发热量使用量热仪进行测量，量热</w:t>
      </w:r>
      <w:r>
        <w:rPr>
          <w:rFonts w:hint="eastAsia" w:ascii="Times New Roman" w:hAnsi="Times New Roman" w:eastAsia="宋体" w:cs="Times New Roman"/>
          <w:sz w:val="24"/>
          <w:szCs w:val="28"/>
        </w:rPr>
        <w:t>仪相对标准测量不确定度为</w:t>
      </w:r>
      <w:r>
        <w:rPr>
          <w:rFonts w:ascii="Times New Roman" w:hAnsi="Times New Roman" w:eastAsia="宋体" w:cs="Times New Roman"/>
          <w:sz w:val="24"/>
          <w:szCs w:val="28"/>
        </w:rPr>
        <w:t>1.52%</w:t>
      </w:r>
      <w:r>
        <w:rPr>
          <w:rFonts w:hint="eastAsia" w:ascii="Times New Roman" w:hAnsi="Times New Roman" w:eastAsia="宋体" w:cs="Times New Roman"/>
          <w:sz w:val="24"/>
          <w:szCs w:val="28"/>
        </w:rPr>
        <w:t>。</w:t>
      </w:r>
    </w:p>
    <w:p w14:paraId="7E537B7E">
      <w:pPr>
        <w:spacing w:line="360" w:lineRule="auto"/>
        <w:ind w:firstLine="480" w:firstLineChars="200"/>
        <w:rPr>
          <w:rFonts w:ascii="Times New Roman" w:hAnsi="Times New Roman" w:eastAsia="宋体" w:cs="Times New Roman"/>
          <w:sz w:val="24"/>
          <w:szCs w:val="28"/>
        </w:rPr>
      </w:pPr>
      <w:r>
        <w:rPr>
          <w:rFonts w:ascii="Times New Roman" w:hAnsi="Times New Roman" w:eastAsia="宋体" w:cs="Times New Roman"/>
          <w:sz w:val="24"/>
          <w:szCs w:val="28"/>
        </w:rPr>
        <w:t>为评估采样不确定度，对同批次</w:t>
      </w:r>
      <w:r>
        <w:rPr>
          <w:rFonts w:hint="eastAsia" w:ascii="Times New Roman" w:hAnsi="Times New Roman" w:eastAsia="宋体" w:cs="Times New Roman"/>
          <w:sz w:val="24"/>
          <w:szCs w:val="28"/>
        </w:rPr>
        <w:t>柴油</w:t>
      </w:r>
      <w:r>
        <w:rPr>
          <w:rFonts w:ascii="Times New Roman" w:hAnsi="Times New Roman" w:eastAsia="宋体" w:cs="Times New Roman"/>
          <w:sz w:val="24"/>
          <w:szCs w:val="28"/>
        </w:rPr>
        <w:t>进行了10次采样测量，</w:t>
      </w:r>
      <w:r>
        <w:rPr>
          <w:rFonts w:hint="eastAsia" w:ascii="Times New Roman" w:hAnsi="Times New Roman" w:eastAsia="宋体" w:cs="Times New Roman"/>
          <w:sz w:val="24"/>
          <w:szCs w:val="28"/>
        </w:rPr>
        <w:t>低位发热量结果为：</w:t>
      </w:r>
      <w:r>
        <w:rPr>
          <w:rFonts w:ascii="Times New Roman" w:hAnsi="Times New Roman" w:eastAsia="宋体" w:cs="Times New Roman"/>
          <w:sz w:val="24"/>
          <w:szCs w:val="28"/>
        </w:rPr>
        <w:t>41.498GJ/t、41.515GJ/t、41.523GJ/t、41.507 GJ/t、41.483GJ/t</w:t>
      </w:r>
      <w:r>
        <w:rPr>
          <w:rFonts w:hint="eastAsia" w:ascii="Times New Roman" w:hAnsi="Times New Roman" w:eastAsia="宋体" w:cs="Times New Roman"/>
          <w:sz w:val="24"/>
          <w:szCs w:val="28"/>
        </w:rPr>
        <w:t>、4</w:t>
      </w:r>
      <w:r>
        <w:rPr>
          <w:rFonts w:ascii="Times New Roman" w:hAnsi="Times New Roman" w:eastAsia="宋体" w:cs="Times New Roman"/>
          <w:sz w:val="24"/>
          <w:szCs w:val="28"/>
        </w:rPr>
        <w:t>1.535GJ/t</w:t>
      </w:r>
      <w:r>
        <w:rPr>
          <w:rFonts w:hint="eastAsia" w:ascii="Times New Roman" w:hAnsi="Times New Roman" w:eastAsia="宋体" w:cs="Times New Roman"/>
          <w:sz w:val="24"/>
          <w:szCs w:val="28"/>
        </w:rPr>
        <w:t>、4</w:t>
      </w:r>
      <w:r>
        <w:rPr>
          <w:rFonts w:ascii="Times New Roman" w:hAnsi="Times New Roman" w:eastAsia="宋体" w:cs="Times New Roman"/>
          <w:sz w:val="24"/>
          <w:szCs w:val="28"/>
        </w:rPr>
        <w:t>1.479GJ/t</w:t>
      </w:r>
      <w:r>
        <w:rPr>
          <w:rFonts w:hint="eastAsia" w:ascii="Times New Roman" w:hAnsi="Times New Roman" w:eastAsia="宋体" w:cs="Times New Roman"/>
          <w:sz w:val="24"/>
          <w:szCs w:val="28"/>
        </w:rPr>
        <w:t>、4</w:t>
      </w:r>
      <w:r>
        <w:rPr>
          <w:rFonts w:ascii="Times New Roman" w:hAnsi="Times New Roman" w:eastAsia="宋体" w:cs="Times New Roman"/>
          <w:sz w:val="24"/>
          <w:szCs w:val="28"/>
        </w:rPr>
        <w:t>1.556GJ/t</w:t>
      </w:r>
      <w:r>
        <w:rPr>
          <w:rFonts w:hint="eastAsia" w:ascii="Times New Roman" w:hAnsi="Times New Roman" w:eastAsia="宋体" w:cs="Times New Roman"/>
          <w:sz w:val="24"/>
          <w:szCs w:val="28"/>
        </w:rPr>
        <w:t>、4</w:t>
      </w:r>
      <w:r>
        <w:rPr>
          <w:rFonts w:ascii="Times New Roman" w:hAnsi="Times New Roman" w:eastAsia="宋体" w:cs="Times New Roman"/>
          <w:sz w:val="24"/>
          <w:szCs w:val="28"/>
        </w:rPr>
        <w:t>1.544GJ/t</w:t>
      </w:r>
      <w:r>
        <w:rPr>
          <w:rFonts w:hint="eastAsia" w:ascii="Times New Roman" w:hAnsi="Times New Roman" w:eastAsia="宋体" w:cs="Times New Roman"/>
          <w:sz w:val="24"/>
          <w:szCs w:val="28"/>
        </w:rPr>
        <w:t>、4</w:t>
      </w:r>
      <w:r>
        <w:rPr>
          <w:rFonts w:ascii="Times New Roman" w:hAnsi="Times New Roman" w:eastAsia="宋体" w:cs="Times New Roman"/>
          <w:sz w:val="24"/>
          <w:szCs w:val="28"/>
        </w:rPr>
        <w:t>1.463GJ/t，则</w:t>
      </w:r>
      <w:r>
        <w:rPr>
          <w:rFonts w:hint="eastAsia" w:ascii="Times New Roman" w:hAnsi="Times New Roman" w:eastAsia="宋体" w:cs="Times New Roman"/>
          <w:sz w:val="24"/>
          <w:szCs w:val="28"/>
        </w:rPr>
        <w:t>其低位发热量采样不确定度为：</w:t>
      </w:r>
    </w:p>
    <w:p w14:paraId="1D7D9499">
      <w:pPr>
        <w:pStyle w:val="46"/>
      </w:pPr>
      <m:oMath>
        <m:sSub>
          <m:sSubPr>
            <m:ctrlPr>
              <w:rPr>
                <w:rFonts w:hint="default" w:ascii="Cambria Math" w:hAnsi="Cambria Math"/>
                <w:sz w:val="24"/>
              </w:rPr>
            </m:ctrlPr>
          </m:sSubPr>
          <m:e>
            <m:r>
              <m:rPr/>
              <w:rPr>
                <w:rFonts w:hint="default" w:ascii="Cambria Math" w:hAnsi="Cambria Math"/>
                <w:sz w:val="24"/>
              </w:rPr>
              <m:t>u</m:t>
            </m:r>
            <m:ctrlPr>
              <w:rPr>
                <w:rFonts w:ascii="Cambria Math" w:hAnsi="Cambria Math"/>
                <w:sz w:val="24"/>
              </w:rPr>
            </m:ctrlPr>
          </m:e>
          <m:sub>
            <m:r>
              <m:rPr/>
              <w:rPr>
                <w:rFonts w:hint="default" w:ascii="Cambria Math" w:hAnsi="Cambria Math"/>
                <w:sz w:val="24"/>
              </w:rPr>
              <m:t>N</m:t>
            </m:r>
            <m:r>
              <m:rPr>
                <m:sty m:val="p"/>
              </m:rPr>
              <w:rPr>
                <w:rFonts w:hint="default" w:ascii="Cambria Math" w:hAnsi="Cambria Math"/>
                <w:sz w:val="24"/>
              </w:rPr>
              <m:t>采</m:t>
            </m:r>
            <m:ctrlPr>
              <w:rPr>
                <w:rFonts w:ascii="Cambria Math" w:hAnsi="Cambria Math"/>
                <w:sz w:val="24"/>
              </w:rPr>
            </m:ctrlPr>
          </m:sub>
        </m:sSub>
        <m:r>
          <m:rPr/>
          <w:rPr>
            <w:rFonts w:hint="default" w:ascii="Cambria Math" w:hAnsi="Cambria Math"/>
            <w:sz w:val="24"/>
          </w:rPr>
          <m:t>=</m:t>
        </m:r>
        <m:f>
          <m:fPr>
            <m:ctrlPr>
              <w:rPr>
                <w:rFonts w:hint="default" w:ascii="Cambria Math" w:hAnsi="Cambria Math"/>
                <w:i/>
                <w:sz w:val="24"/>
              </w:rPr>
            </m:ctrlPr>
          </m:fPr>
          <m:num>
            <m:r>
              <m:rPr/>
              <w:rPr>
                <w:rFonts w:hint="default" w:ascii="Cambria Math" w:hAnsi="Cambria Math"/>
                <w:sz w:val="24"/>
              </w:rPr>
              <m:t>s(x)</m:t>
            </m:r>
            <m:ctrlPr>
              <w:rPr>
                <w:rFonts w:ascii="Cambria Math" w:hAnsi="Cambria Math"/>
                <w:sz w:val="24"/>
              </w:rPr>
            </m:ctrlPr>
          </m:num>
          <m:den>
            <m:rad>
              <m:radPr>
                <m:degHide m:val="1"/>
                <m:ctrlPr>
                  <w:rPr>
                    <w:rFonts w:hint="default" w:ascii="Cambria Math" w:hAnsi="Cambria Math"/>
                    <w:i/>
                    <w:sz w:val="24"/>
                  </w:rPr>
                </m:ctrlPr>
              </m:radPr>
              <m:deg>
                <m:ctrlPr>
                  <w:rPr>
                    <w:rFonts w:ascii="Cambria Math" w:hAnsi="Cambria Math"/>
                    <w:sz w:val="24"/>
                  </w:rPr>
                </m:ctrlPr>
              </m:deg>
              <m:e>
                <m:r>
                  <m:rPr/>
                  <w:rPr>
                    <w:rFonts w:hint="default" w:ascii="Cambria Math" w:hAnsi="Cambria Math"/>
                    <w:sz w:val="24"/>
                  </w:rPr>
                  <m:t>n</m:t>
                </m:r>
                <m:ctrlPr>
                  <w:rPr>
                    <w:rFonts w:ascii="Cambria Math" w:hAnsi="Cambria Math"/>
                    <w:sz w:val="24"/>
                  </w:rPr>
                </m:ctrlPr>
              </m:e>
            </m:rad>
            <m:ctrlPr>
              <w:rPr>
                <w:rFonts w:hint="default" w:ascii="Cambria Math" w:hAnsi="Cambria Math"/>
                <w:i/>
                <w:sz w:val="24"/>
              </w:rPr>
            </m:ctrlPr>
          </m:den>
        </m:f>
        <m:r>
          <m:rPr/>
          <w:rPr>
            <w:rFonts w:hint="default" w:ascii="Cambria Math" w:hAnsi="Cambria Math"/>
            <w:sz w:val="24"/>
          </w:rPr>
          <m:t>=</m:t>
        </m:r>
        <m:rad>
          <m:radPr>
            <m:degHide m:val="1"/>
            <m:ctrlPr>
              <w:rPr>
                <w:rFonts w:hint="default" w:ascii="Cambria Math" w:hAnsi="Cambria Math"/>
                <w:i/>
                <w:sz w:val="24"/>
              </w:rPr>
            </m:ctrlPr>
          </m:radPr>
          <m:deg>
            <m:ctrlPr>
              <w:rPr>
                <w:rFonts w:hint="default" w:ascii="Cambria Math" w:hAnsi="Cambria Math"/>
                <w:i/>
                <w:sz w:val="24"/>
              </w:rPr>
            </m:ctrlPr>
          </m:deg>
          <m:e>
            <m:f>
              <m:fPr>
                <m:ctrlPr>
                  <w:rPr>
                    <w:rFonts w:hint="default" w:ascii="Cambria Math" w:hAnsi="Cambria Math"/>
                    <w:i/>
                    <w:sz w:val="24"/>
                  </w:rPr>
                </m:ctrlPr>
              </m:fPr>
              <m:num>
                <m:nary>
                  <m:naryPr>
                    <m:chr m:val="∑"/>
                    <m:limLoc m:val="undOvr"/>
                    <m:ctrlPr>
                      <w:rPr>
                        <w:rFonts w:hint="default" w:ascii="Cambria Math" w:hAnsi="Cambria Math"/>
                        <w:i/>
                        <w:sz w:val="24"/>
                      </w:rPr>
                    </m:ctrlPr>
                  </m:naryPr>
                  <m:sub>
                    <m:r>
                      <m:rPr/>
                      <w:rPr>
                        <w:rFonts w:hint="default" w:ascii="Cambria Math" w:hAnsi="Cambria Math"/>
                        <w:sz w:val="24"/>
                      </w:rPr>
                      <m:t>i=1</m:t>
                    </m:r>
                    <m:ctrlPr>
                      <w:rPr>
                        <w:rFonts w:ascii="Cambria Math" w:hAnsi="Cambria Math"/>
                        <w:sz w:val="24"/>
                      </w:rPr>
                    </m:ctrlPr>
                  </m:sub>
                  <m:sup>
                    <m:r>
                      <m:rPr/>
                      <w:rPr>
                        <w:rFonts w:hint="default" w:ascii="Cambria Math" w:hAnsi="Cambria Math"/>
                        <w:sz w:val="24"/>
                      </w:rPr>
                      <m:t>n</m:t>
                    </m:r>
                    <m:ctrlPr>
                      <w:rPr>
                        <w:rFonts w:ascii="Cambria Math" w:hAnsi="Cambria Math"/>
                        <w:sz w:val="24"/>
                      </w:rPr>
                    </m:ctrlPr>
                  </m:sup>
                  <m:e>
                    <m:r>
                      <m:rPr/>
                      <w:rPr>
                        <w:rFonts w:hint="default" w:ascii="Cambria Math" w:hAnsi="Cambria Math"/>
                        <w:sz w:val="24"/>
                      </w:rPr>
                      <m:t>(</m:t>
                    </m:r>
                    <m:ctrlPr>
                      <w:rPr>
                        <w:rFonts w:ascii="Cambria Math" w:hAnsi="Cambria Math"/>
                        <w:sz w:val="24"/>
                      </w:rPr>
                    </m:ctrlPr>
                  </m:e>
                </m:nary>
                <m:sSub>
                  <m:sSubPr>
                    <m:ctrlPr>
                      <w:rPr>
                        <w:rFonts w:hint="default" w:ascii="Cambria Math" w:hAnsi="Cambria Math"/>
                        <w:sz w:val="24"/>
                      </w:rPr>
                    </m:ctrlPr>
                  </m:sSubPr>
                  <m:e>
                    <m:r>
                      <m:rPr/>
                      <w:rPr>
                        <w:rFonts w:hint="default" w:ascii="Cambria Math" w:hAnsi="Cambria Math"/>
                        <w:sz w:val="24"/>
                      </w:rPr>
                      <m:t>x</m:t>
                    </m:r>
                    <m:ctrlPr>
                      <w:rPr>
                        <w:rFonts w:ascii="Cambria Math" w:hAnsi="Cambria Math"/>
                        <w:sz w:val="24"/>
                      </w:rPr>
                    </m:ctrlPr>
                  </m:e>
                  <m:sub>
                    <m:r>
                      <m:rPr/>
                      <w:rPr>
                        <w:rFonts w:hint="default" w:ascii="Cambria Math" w:hAnsi="Cambria Math"/>
                        <w:sz w:val="24"/>
                      </w:rPr>
                      <m:t>i</m:t>
                    </m:r>
                    <m:ctrlPr>
                      <w:rPr>
                        <w:rFonts w:ascii="Cambria Math" w:hAnsi="Cambria Math"/>
                        <w:sz w:val="24"/>
                      </w:rPr>
                    </m:ctrlPr>
                  </m:sub>
                </m:sSub>
                <m:r>
                  <m:rPr/>
                  <w:rPr>
                    <w:rFonts w:hint="default" w:ascii="Cambria Math" w:hAnsi="Cambria Math"/>
                    <w:sz w:val="24"/>
                  </w:rPr>
                  <m:t>−</m:t>
                </m:r>
                <m:bar>
                  <m:barPr>
                    <m:pos m:val="top"/>
                    <m:ctrlPr>
                      <w:rPr>
                        <w:rFonts w:ascii="Cambria Math" w:hAnsi="Cambria Math"/>
                        <w:sz w:val="24"/>
                      </w:rPr>
                    </m:ctrlPr>
                  </m:barPr>
                  <m:e>
                    <m:r>
                      <m:rPr/>
                      <w:rPr>
                        <w:rFonts w:hint="default" w:ascii="Cambria Math" w:hAnsi="Cambria Math"/>
                        <w:sz w:val="24"/>
                      </w:rPr>
                      <m:t>x</m:t>
                    </m:r>
                    <m:ctrlPr>
                      <w:rPr>
                        <w:rFonts w:ascii="Cambria Math" w:hAnsi="Cambria Math"/>
                        <w:sz w:val="24"/>
                      </w:rPr>
                    </m:ctrlPr>
                  </m:e>
                </m:bar>
                <m:sSup>
                  <m:sSupPr>
                    <m:ctrlPr>
                      <w:rPr>
                        <w:rFonts w:hint="default" w:ascii="Cambria Math" w:hAnsi="Cambria Math"/>
                        <w:sz w:val="24"/>
                      </w:rPr>
                    </m:ctrlPr>
                  </m:sSupPr>
                  <m:e>
                    <m:r>
                      <m:rPr/>
                      <w:rPr>
                        <w:rFonts w:hint="default" w:ascii="Cambria Math" w:hAnsi="Cambria Math"/>
                        <w:sz w:val="24"/>
                      </w:rPr>
                      <m:t>)</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ctrlPr>
                  <w:rPr>
                    <w:rFonts w:hint="default" w:ascii="Cambria Math" w:hAnsi="Cambria Math"/>
                    <w:sz w:val="24"/>
                  </w:rPr>
                </m:ctrlPr>
              </m:num>
              <m:den>
                <m:r>
                  <m:rPr/>
                  <w:rPr>
                    <w:rFonts w:hint="default" w:ascii="Cambria Math" w:hAnsi="Cambria Math"/>
                    <w:sz w:val="24"/>
                  </w:rPr>
                  <m:t>n(n−1)</m:t>
                </m:r>
                <m:ctrlPr>
                  <w:rPr>
                    <w:rFonts w:hint="default" w:ascii="Cambria Math" w:hAnsi="Cambria Math"/>
                    <w:sz w:val="24"/>
                  </w:rPr>
                </m:ctrlPr>
              </m:den>
            </m:f>
            <m:ctrlPr>
              <w:rPr>
                <w:rFonts w:hint="default" w:ascii="Cambria Math" w:hAnsi="Cambria Math"/>
                <w:i/>
                <w:sz w:val="24"/>
              </w:rPr>
            </m:ctrlPr>
          </m:e>
        </m:rad>
        <m:r>
          <m:rPr/>
          <w:rPr>
            <w:rFonts w:hint="default" w:ascii="Cambria Math" w:hAnsi="Cambria Math"/>
            <w:sz w:val="24"/>
          </w:rPr>
          <m:t>=0.95%</m:t>
        </m:r>
      </m:oMath>
      <w:r>
        <w:t xml:space="preserve"> </w:t>
      </w:r>
    </w:p>
    <w:p w14:paraId="70470E80">
      <w:pPr>
        <w:spacing w:line="360" w:lineRule="auto"/>
        <w:ind w:firstLine="480" w:firstLineChars="200"/>
        <w:rPr>
          <w:rFonts w:ascii="Times New Roman" w:hAnsi="Times New Roman" w:eastAsia="宋体" w:cs="Times New Roman"/>
          <w:sz w:val="24"/>
          <w:szCs w:val="28"/>
        </w:rPr>
      </w:pPr>
      <w:r>
        <w:rPr>
          <w:rFonts w:hint="eastAsia" w:ascii="Times New Roman" w:hAnsi="Times New Roman" w:eastAsia="宋体" w:cs="Times New Roman"/>
          <w:sz w:val="24"/>
          <w:szCs w:val="28"/>
        </w:rPr>
        <w:t>其低位发热量不确定度为：</w:t>
      </w:r>
    </w:p>
    <w:p w14:paraId="1733BC6D">
      <w:pPr>
        <w:pStyle w:val="46"/>
      </w:pPr>
      <m:oMath>
        <m:f>
          <m:fPr>
            <m:ctrlPr>
              <w:rPr>
                <w:rFonts w:hint="default" w:ascii="Cambria Math" w:hAnsi="Cambria Math"/>
                <w:i/>
                <w:sz w:val="24"/>
              </w:rPr>
            </m:ctrlPr>
          </m:fPr>
          <m:num>
            <m:r>
              <m:rPr/>
              <w:rPr>
                <w:rFonts w:hint="default" w:ascii="Cambria Math" w:hAnsi="Cambria Math"/>
                <w:sz w:val="24"/>
              </w:rPr>
              <m:t>u(N)</m:t>
            </m:r>
            <m:ctrlPr>
              <w:rPr>
                <w:rFonts w:ascii="Cambria Math" w:hAnsi="Cambria Math"/>
                <w:sz w:val="24"/>
              </w:rPr>
            </m:ctrlPr>
          </m:num>
          <m:den>
            <m:r>
              <m:rPr/>
              <w:rPr>
                <w:rFonts w:hint="default" w:ascii="Cambria Math" w:hAnsi="Cambria Math"/>
                <w:sz w:val="24"/>
              </w:rPr>
              <m:t>N</m:t>
            </m:r>
            <m:ctrlPr>
              <w:rPr>
                <w:rFonts w:ascii="Cambria Math" w:hAnsi="Cambria Math"/>
                <w:sz w:val="24"/>
              </w:rPr>
            </m:ctrlPr>
          </m:den>
        </m:f>
        <m:r>
          <m:rPr/>
          <w:rPr>
            <w:rFonts w:hint="default" w:ascii="Cambria Math" w:hAnsi="Cambria Math"/>
            <w:sz w:val="24"/>
          </w:rPr>
          <m:t>=</m:t>
        </m:r>
        <m:rad>
          <m:radPr>
            <m:degHide m:val="1"/>
            <m:ctrlPr>
              <w:rPr>
                <w:rFonts w:hint="default" w:ascii="Cambria Math" w:hAnsi="Cambria Math"/>
                <w:i/>
                <w:sz w:val="24"/>
              </w:rPr>
            </m:ctrlPr>
          </m:radPr>
          <m:deg>
            <m:ctrlPr>
              <w:rPr>
                <w:rFonts w:ascii="Cambria Math" w:hAnsi="Cambria Math"/>
                <w:sz w:val="24"/>
              </w:rPr>
            </m:ctrlPr>
          </m:deg>
          <m:e>
            <m:r>
              <m:rPr/>
              <w:rPr>
                <w:rFonts w:hint="default" w:ascii="Cambria Math" w:hAnsi="Cambria Math"/>
                <w:sz w:val="24"/>
              </w:rPr>
              <m:t>(</m:t>
            </m:r>
            <m:sSub>
              <m:sSubPr>
                <m:ctrlPr>
                  <w:rPr>
                    <w:rFonts w:hint="default" w:ascii="Cambria Math" w:hAnsi="Cambria Math"/>
                    <w:sz w:val="24"/>
                  </w:rPr>
                </m:ctrlPr>
              </m:sSubPr>
              <m:e>
                <m:r>
                  <m:rPr/>
                  <w:rPr>
                    <w:rFonts w:hint="default" w:ascii="Cambria Math" w:hAnsi="Cambria Math"/>
                    <w:sz w:val="24"/>
                  </w:rPr>
                  <m:t>u</m:t>
                </m:r>
                <m:ctrlPr>
                  <w:rPr>
                    <w:rFonts w:ascii="Cambria Math" w:hAnsi="Cambria Math"/>
                    <w:sz w:val="24"/>
                  </w:rPr>
                </m:ctrlPr>
              </m:e>
              <m:sub>
                <m:r>
                  <m:rPr/>
                  <w:rPr>
                    <w:rFonts w:hint="default" w:ascii="Cambria Math" w:hAnsi="Cambria Math"/>
                    <w:sz w:val="24"/>
                  </w:rPr>
                  <m:t>N</m:t>
                </m:r>
                <m:r>
                  <m:rPr>
                    <m:sty m:val="p"/>
                  </m:rPr>
                  <w:rPr>
                    <w:rFonts w:hint="default" w:ascii="Cambria Math" w:hAnsi="Cambria Math"/>
                    <w:sz w:val="24"/>
                  </w:rPr>
                  <m:t>采</m:t>
                </m:r>
                <m:ctrlPr>
                  <w:rPr>
                    <w:rFonts w:ascii="Cambria Math" w:hAnsi="Cambria Math"/>
                    <w:sz w:val="24"/>
                  </w:rPr>
                </m:ctrlPr>
              </m:sub>
            </m:sSub>
            <m:sSup>
              <m:sSupPr>
                <m:ctrlPr>
                  <w:rPr>
                    <w:rFonts w:hint="default" w:ascii="Cambria Math" w:hAnsi="Cambria Math"/>
                    <w:sz w:val="24"/>
                  </w:rPr>
                </m:ctrlPr>
              </m:sSupPr>
              <m:e>
                <m:r>
                  <m:rPr/>
                  <w:rPr>
                    <w:rFonts w:hint="default" w:ascii="Cambria Math" w:hAnsi="Cambria Math"/>
                    <w:sz w:val="24"/>
                  </w:rPr>
                  <m:t>)</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r>
              <m:rPr/>
              <w:rPr>
                <w:rFonts w:hint="default" w:ascii="Cambria Math" w:hAnsi="Cambria Math"/>
                <w:sz w:val="24"/>
              </w:rPr>
              <m:t>+(</m:t>
            </m:r>
            <m:sSub>
              <m:sSubPr>
                <m:ctrlPr>
                  <w:rPr>
                    <w:rFonts w:hint="default" w:ascii="Cambria Math" w:hAnsi="Cambria Math"/>
                    <w:sz w:val="24"/>
                  </w:rPr>
                </m:ctrlPr>
              </m:sSubPr>
              <m:e>
                <m:r>
                  <m:rPr/>
                  <w:rPr>
                    <w:rFonts w:hint="default" w:ascii="Cambria Math" w:hAnsi="Cambria Math"/>
                    <w:sz w:val="24"/>
                  </w:rPr>
                  <m:t>u</m:t>
                </m:r>
                <m:ctrlPr>
                  <w:rPr>
                    <w:rFonts w:ascii="Cambria Math" w:hAnsi="Cambria Math"/>
                    <w:sz w:val="24"/>
                  </w:rPr>
                </m:ctrlPr>
              </m:e>
              <m:sub>
                <m:r>
                  <m:rPr>
                    <m:sty m:val="p"/>
                  </m:rPr>
                  <w:rPr>
                    <w:rFonts w:hint="default" w:ascii="Cambria Math" w:hAnsi="Cambria Math"/>
                    <w:sz w:val="24"/>
                  </w:rPr>
                  <m:t>热</m:t>
                </m:r>
                <m:ctrlPr>
                  <w:rPr>
                    <w:rFonts w:ascii="Cambria Math" w:hAnsi="Cambria Math"/>
                    <w:sz w:val="24"/>
                  </w:rPr>
                </m:ctrlPr>
              </m:sub>
            </m:sSub>
            <m:r>
              <m:rPr>
                <m:sty m:val="p"/>
              </m:rPr>
              <w:rPr>
                <w:rFonts w:hint="default" w:ascii="Cambria Math" w:hAnsi="Cambria Math"/>
                <w:sz w:val="24"/>
              </w:rPr>
              <m:t>测</m:t>
            </m:r>
            <m:sSup>
              <m:sSupPr>
                <m:ctrlPr>
                  <w:rPr>
                    <w:rFonts w:hint="default" w:ascii="Cambria Math" w:hAnsi="Cambria Math"/>
                    <w:sz w:val="24"/>
                  </w:rPr>
                </m:ctrlPr>
              </m:sSupPr>
              <m:e>
                <m:r>
                  <m:rPr/>
                  <w:rPr>
                    <w:rFonts w:hint="default" w:ascii="Cambria Math" w:hAnsi="Cambria Math"/>
                    <w:sz w:val="24"/>
                  </w:rPr>
                  <m:t>)</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ctrlPr>
              <w:rPr>
                <w:rFonts w:hint="default" w:ascii="Cambria Math" w:hAnsi="Cambria Math"/>
                <w:sz w:val="24"/>
              </w:rPr>
            </m:ctrlPr>
          </m:e>
        </m:rad>
        <m:rad>
          <m:radPr>
            <m:degHide m:val="1"/>
            <m:ctrlPr>
              <w:rPr>
                <w:rFonts w:hint="default" w:ascii="Cambria Math" w:hAnsi="Cambria Math"/>
                <w:i/>
                <w:sz w:val="24"/>
              </w:rPr>
            </m:ctrlPr>
          </m:radPr>
          <m:deg>
            <m:ctrlPr>
              <w:rPr>
                <w:rFonts w:hint="default" w:ascii="Cambria Math" w:hAnsi="Cambria Math"/>
                <w:sz w:val="24"/>
              </w:rPr>
            </m:ctrlPr>
          </m:deg>
          <m:e>
            <m:r>
              <m:rPr/>
              <w:rPr>
                <w:rFonts w:hint="default" w:ascii="Cambria Math" w:hAnsi="Cambria Math"/>
                <w:sz w:val="24"/>
              </w:rPr>
              <m:t>0.009</m:t>
            </m:r>
            <m:sSup>
              <m:sSupPr>
                <m:ctrlPr>
                  <w:rPr>
                    <w:rFonts w:hint="default" w:ascii="Cambria Math" w:hAnsi="Cambria Math"/>
                    <w:sz w:val="24"/>
                  </w:rPr>
                </m:ctrlPr>
              </m:sSupPr>
              <m:e>
                <m:r>
                  <m:rPr/>
                  <w:rPr>
                    <w:rFonts w:hint="default" w:ascii="Cambria Math" w:hAnsi="Cambria Math"/>
                    <w:sz w:val="24"/>
                  </w:rPr>
                  <m:t>5</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r>
              <m:rPr/>
              <w:rPr>
                <w:rFonts w:hint="default" w:ascii="Cambria Math" w:hAnsi="Cambria Math"/>
                <w:sz w:val="24"/>
              </w:rPr>
              <m:t>+0.015</m:t>
            </m:r>
            <m:sSup>
              <m:sSupPr>
                <m:ctrlPr>
                  <w:rPr>
                    <w:rFonts w:hint="default" w:ascii="Cambria Math" w:hAnsi="Cambria Math"/>
                    <w:sz w:val="24"/>
                  </w:rPr>
                </m:ctrlPr>
              </m:sSupPr>
              <m:e>
                <m:r>
                  <m:rPr/>
                  <w:rPr>
                    <w:rFonts w:hint="default" w:ascii="Cambria Math" w:hAnsi="Cambria Math"/>
                    <w:sz w:val="24"/>
                  </w:rPr>
                  <m:t>2</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ctrlPr>
              <w:rPr>
                <w:rFonts w:hint="default" w:ascii="Cambria Math" w:hAnsi="Cambria Math"/>
                <w:sz w:val="24"/>
              </w:rPr>
            </m:ctrlPr>
          </m:e>
        </m:rad>
        <m:r>
          <m:rPr/>
          <w:rPr>
            <w:rFonts w:hint="default" w:ascii="Cambria Math" w:hAnsi="Cambria Math"/>
            <w:sz w:val="24"/>
          </w:rPr>
          <m:t>=1.79%</m:t>
        </m:r>
      </m:oMath>
      <w:r>
        <w:t xml:space="preserve"> </w:t>
      </w:r>
    </w:p>
    <w:p w14:paraId="1489D220">
      <w:pPr>
        <w:spacing w:line="360" w:lineRule="auto"/>
        <w:ind w:firstLine="480" w:firstLineChars="200"/>
        <w:rPr>
          <w:rFonts w:ascii="Times New Roman" w:hAnsi="Times New Roman" w:eastAsia="宋体" w:cs="Times New Roman"/>
          <w:sz w:val="24"/>
          <w:szCs w:val="28"/>
        </w:rPr>
      </w:pPr>
      <w:r>
        <w:rPr>
          <w:rFonts w:hint="eastAsia" w:ascii="Times New Roman" w:hAnsi="Times New Roman" w:eastAsia="宋体" w:cs="Times New Roman"/>
          <w:sz w:val="24"/>
          <w:szCs w:val="28"/>
        </w:rPr>
        <w:t>因此该</w:t>
      </w:r>
      <w:r>
        <w:rPr>
          <w:rFonts w:hint="eastAsia" w:cs="Times New Roman"/>
          <w:sz w:val="24"/>
          <w:szCs w:val="28"/>
          <w:lang w:val="en-US" w:eastAsia="zh-CN"/>
        </w:rPr>
        <w:t>构件工厂</w:t>
      </w:r>
      <w:r>
        <w:rPr>
          <w:rFonts w:hint="eastAsia" w:ascii="Times New Roman" w:hAnsi="Times New Roman" w:eastAsia="宋体" w:cs="Times New Roman"/>
          <w:sz w:val="24"/>
          <w:szCs w:val="28"/>
        </w:rPr>
        <w:t>用柴油活动数据的不确定度为：</w:t>
      </w:r>
    </w:p>
    <w:p w14:paraId="7917A84C">
      <w:pPr>
        <w:pStyle w:val="46"/>
      </w:pPr>
      <m:oMath>
        <m:f>
          <m:fPr>
            <m:ctrlPr>
              <w:rPr>
                <w:rFonts w:hint="default" w:ascii="Cambria Math" w:hAnsi="Cambria Math"/>
                <w:i/>
                <w:sz w:val="24"/>
              </w:rPr>
            </m:ctrlPr>
          </m:fPr>
          <m:num>
            <m:r>
              <m:rPr/>
              <w:rPr>
                <w:rFonts w:hint="default" w:ascii="Cambria Math" w:hAnsi="Cambria Math"/>
                <w:sz w:val="24"/>
              </w:rPr>
              <m:t>u(A)</m:t>
            </m:r>
            <m:ctrlPr>
              <w:rPr>
                <w:rFonts w:ascii="Cambria Math" w:hAnsi="Cambria Math"/>
                <w:sz w:val="24"/>
              </w:rPr>
            </m:ctrlPr>
          </m:num>
          <m:den>
            <m:r>
              <m:rPr/>
              <w:rPr>
                <w:rFonts w:hint="default" w:ascii="Cambria Math" w:hAnsi="Cambria Math"/>
                <w:sz w:val="24"/>
              </w:rPr>
              <m:t>A</m:t>
            </m:r>
            <m:ctrlPr>
              <w:rPr>
                <w:rFonts w:ascii="Cambria Math" w:hAnsi="Cambria Math"/>
                <w:sz w:val="24"/>
              </w:rPr>
            </m:ctrlPr>
          </m:den>
        </m:f>
        <m:r>
          <m:rPr/>
          <w:rPr>
            <w:rFonts w:hint="default" w:ascii="Cambria Math" w:hAnsi="Cambria Math"/>
            <w:sz w:val="24"/>
          </w:rPr>
          <m:t>=</m:t>
        </m:r>
        <m:rad>
          <m:radPr>
            <m:degHide m:val="1"/>
            <m:ctrlPr>
              <w:rPr>
                <w:rFonts w:hint="default" w:ascii="Cambria Math" w:hAnsi="Cambria Math"/>
                <w:i/>
                <w:sz w:val="24"/>
              </w:rPr>
            </m:ctrlPr>
          </m:radPr>
          <m:deg>
            <m:ctrlPr>
              <w:rPr>
                <w:rFonts w:ascii="Cambria Math" w:hAnsi="Cambria Math"/>
                <w:sz w:val="24"/>
              </w:rPr>
            </m:ctrlPr>
          </m:deg>
          <m:e>
            <m:sSup>
              <m:sSupPr>
                <m:ctrlPr>
                  <w:rPr>
                    <w:rFonts w:hint="default" w:ascii="Cambria Math" w:hAnsi="Cambria Math"/>
                    <w:sz w:val="24"/>
                  </w:rPr>
                </m:ctrlPr>
              </m:sSupPr>
              <m:e>
                <m:d>
                  <m:dPr>
                    <m:ctrlPr>
                      <w:rPr>
                        <w:rFonts w:hint="default" w:ascii="Cambria Math" w:hAnsi="Cambria Math"/>
                        <w:i/>
                        <w:sz w:val="24"/>
                      </w:rPr>
                    </m:ctrlPr>
                  </m:dPr>
                  <m:e>
                    <m:f>
                      <m:fPr>
                        <m:ctrlPr>
                          <w:rPr>
                            <w:rFonts w:hint="default" w:ascii="Cambria Math" w:hAnsi="Cambria Math"/>
                            <w:i/>
                            <w:sz w:val="24"/>
                          </w:rPr>
                        </m:ctrlPr>
                      </m:fPr>
                      <m:num>
                        <m:r>
                          <m:rPr/>
                          <w:rPr>
                            <w:rFonts w:hint="default" w:ascii="Cambria Math" w:hAnsi="Cambria Math"/>
                            <w:sz w:val="24"/>
                          </w:rPr>
                          <m:t>u(F)</m:t>
                        </m:r>
                        <m:ctrlPr>
                          <w:rPr>
                            <w:rFonts w:ascii="Cambria Math" w:hAnsi="Cambria Math"/>
                            <w:sz w:val="24"/>
                          </w:rPr>
                        </m:ctrlPr>
                      </m:num>
                      <m:den>
                        <m:r>
                          <m:rPr/>
                          <w:rPr>
                            <w:rFonts w:hint="default" w:ascii="Cambria Math" w:hAnsi="Cambria Math"/>
                            <w:sz w:val="24"/>
                          </w:rPr>
                          <m:t>F</m:t>
                        </m:r>
                        <m:ctrlPr>
                          <w:rPr>
                            <w:rFonts w:ascii="Cambria Math" w:hAnsi="Cambria Math"/>
                            <w:sz w:val="24"/>
                          </w:rPr>
                        </m:ctrlPr>
                      </m:den>
                    </m:f>
                    <m:ctrlPr>
                      <w:rPr>
                        <w:rFonts w:hint="default" w:ascii="Cambria Math" w:hAnsi="Cambria Math"/>
                        <w:i/>
                        <w:sz w:val="24"/>
                      </w:rPr>
                    </m:ctrlPr>
                  </m:e>
                </m:d>
                <m:ctrlPr>
                  <w:rPr>
                    <w:rFonts w:hint="default" w:ascii="Cambria Math" w:hAnsi="Cambria Math"/>
                    <w:i/>
                    <w:sz w:val="24"/>
                  </w:rPr>
                </m:ctrlPr>
              </m:e>
              <m:sup>
                <m:r>
                  <m:rPr/>
                  <w:rPr>
                    <w:rFonts w:hint="default" w:ascii="Cambria Math" w:hAnsi="Cambria Math"/>
                    <w:sz w:val="24"/>
                  </w:rPr>
                  <m:t>2</m:t>
                </m:r>
                <m:ctrlPr>
                  <w:rPr>
                    <w:rFonts w:hint="default" w:ascii="Cambria Math" w:hAnsi="Cambria Math"/>
                    <w:i/>
                    <w:sz w:val="24"/>
                  </w:rPr>
                </m:ctrlPr>
              </m:sup>
            </m:sSup>
            <m:r>
              <m:rPr/>
              <w:rPr>
                <w:rFonts w:hint="default" w:ascii="Cambria Math" w:hAnsi="Cambria Math"/>
                <w:sz w:val="24"/>
              </w:rPr>
              <m:t>+</m:t>
            </m:r>
            <m:sSup>
              <m:sSupPr>
                <m:ctrlPr>
                  <w:rPr>
                    <w:rFonts w:hint="default" w:ascii="Cambria Math" w:hAnsi="Cambria Math"/>
                    <w:sz w:val="24"/>
                  </w:rPr>
                </m:ctrlPr>
              </m:sSupPr>
              <m:e>
                <m:d>
                  <m:dPr>
                    <m:ctrlPr>
                      <w:rPr>
                        <w:rFonts w:hint="default" w:ascii="Cambria Math" w:hAnsi="Cambria Math"/>
                        <w:i/>
                        <w:sz w:val="24"/>
                      </w:rPr>
                    </m:ctrlPr>
                  </m:dPr>
                  <m:e>
                    <m:f>
                      <m:fPr>
                        <m:ctrlPr>
                          <w:rPr>
                            <w:rFonts w:hint="default" w:ascii="Cambria Math" w:hAnsi="Cambria Math"/>
                            <w:i/>
                            <w:sz w:val="24"/>
                          </w:rPr>
                        </m:ctrlPr>
                      </m:fPr>
                      <m:num>
                        <m:r>
                          <m:rPr/>
                          <w:rPr>
                            <w:rFonts w:hint="default" w:ascii="Cambria Math" w:hAnsi="Cambria Math"/>
                            <w:sz w:val="24"/>
                          </w:rPr>
                          <m:t>u(N)</m:t>
                        </m:r>
                        <m:ctrlPr>
                          <w:rPr>
                            <w:rFonts w:ascii="Cambria Math" w:hAnsi="Cambria Math"/>
                            <w:sz w:val="24"/>
                          </w:rPr>
                        </m:ctrlPr>
                      </m:num>
                      <m:den>
                        <m:r>
                          <m:rPr/>
                          <w:rPr>
                            <w:rFonts w:hint="default" w:ascii="Cambria Math" w:hAnsi="Cambria Math"/>
                            <w:sz w:val="24"/>
                          </w:rPr>
                          <m:t>N</m:t>
                        </m:r>
                        <m:ctrlPr>
                          <w:rPr>
                            <w:rFonts w:ascii="Cambria Math" w:hAnsi="Cambria Math"/>
                            <w:sz w:val="24"/>
                          </w:rPr>
                        </m:ctrlPr>
                      </m:den>
                    </m:f>
                    <m:ctrlPr>
                      <w:rPr>
                        <w:rFonts w:hint="default" w:ascii="Cambria Math" w:hAnsi="Cambria Math"/>
                        <w:i/>
                        <w:sz w:val="24"/>
                      </w:rPr>
                    </m:ctrlPr>
                  </m:e>
                </m:d>
                <m:ctrlPr>
                  <w:rPr>
                    <w:rFonts w:hint="default" w:ascii="Cambria Math" w:hAnsi="Cambria Math"/>
                    <w:i/>
                    <w:sz w:val="24"/>
                  </w:rPr>
                </m:ctrlPr>
              </m:e>
              <m:sup>
                <m:r>
                  <m:rPr/>
                  <w:rPr>
                    <w:rFonts w:hint="default" w:ascii="Cambria Math" w:hAnsi="Cambria Math"/>
                    <w:sz w:val="24"/>
                  </w:rPr>
                  <m:t>2</m:t>
                </m:r>
                <m:ctrlPr>
                  <w:rPr>
                    <w:rFonts w:hint="default" w:ascii="Cambria Math" w:hAnsi="Cambria Math"/>
                    <w:i/>
                    <w:sz w:val="24"/>
                  </w:rPr>
                </m:ctrlPr>
              </m:sup>
            </m:sSup>
            <m:ctrlPr>
              <w:rPr>
                <w:rFonts w:hint="default" w:ascii="Cambria Math" w:hAnsi="Cambria Math"/>
                <w:sz w:val="24"/>
              </w:rPr>
            </m:ctrlPr>
          </m:e>
        </m:rad>
        <m:r>
          <m:rPr/>
          <w:rPr>
            <w:rFonts w:hint="default" w:ascii="Cambria Math" w:hAnsi="Cambria Math"/>
            <w:sz w:val="24"/>
          </w:rPr>
          <m:t>=</m:t>
        </m:r>
        <m:rad>
          <m:radPr>
            <m:degHide m:val="1"/>
            <m:ctrlPr>
              <w:rPr>
                <w:rFonts w:hint="default" w:ascii="Cambria Math" w:hAnsi="Cambria Math"/>
                <w:i/>
                <w:sz w:val="24"/>
              </w:rPr>
            </m:ctrlPr>
          </m:radPr>
          <m:deg>
            <m:ctrlPr>
              <w:rPr>
                <w:rFonts w:hint="default" w:ascii="Cambria Math" w:hAnsi="Cambria Math"/>
                <w:sz w:val="24"/>
              </w:rPr>
            </m:ctrlPr>
          </m:deg>
          <m:e>
            <m:r>
              <m:rPr/>
              <w:rPr>
                <w:rFonts w:hint="default" w:ascii="Cambria Math" w:hAnsi="Cambria Math"/>
                <w:sz w:val="24"/>
              </w:rPr>
              <m:t>0.002</m:t>
            </m:r>
            <m:sSup>
              <m:sSupPr>
                <m:ctrlPr>
                  <w:rPr>
                    <w:rFonts w:hint="default" w:ascii="Cambria Math" w:hAnsi="Cambria Math"/>
                    <w:sz w:val="24"/>
                  </w:rPr>
                </m:ctrlPr>
              </m:sSupPr>
              <m:e>
                <m:r>
                  <m:rPr/>
                  <w:rPr>
                    <w:rFonts w:hint="default" w:ascii="Cambria Math" w:hAnsi="Cambria Math"/>
                    <w:sz w:val="24"/>
                  </w:rPr>
                  <m:t>1</m:t>
                </m:r>
                <m:ctrlPr>
                  <w:rPr>
                    <w:rFonts w:hint="default" w:ascii="Cambria Math" w:hAnsi="Cambria Math"/>
                    <w:i/>
                    <w:sz w:val="24"/>
                  </w:rPr>
                </m:ctrlPr>
              </m:e>
              <m:sup>
                <m:r>
                  <m:rPr/>
                  <w:rPr>
                    <w:rFonts w:hint="default" w:ascii="Cambria Math" w:hAnsi="Cambria Math"/>
                    <w:sz w:val="24"/>
                  </w:rPr>
                  <m:t>2</m:t>
                </m:r>
                <m:ctrlPr>
                  <w:rPr>
                    <w:rFonts w:hint="default" w:ascii="Cambria Math" w:hAnsi="Cambria Math"/>
                    <w:i/>
                    <w:sz w:val="24"/>
                  </w:rPr>
                </m:ctrlPr>
              </m:sup>
            </m:sSup>
            <m:r>
              <m:rPr/>
              <w:rPr>
                <w:rFonts w:hint="default" w:ascii="Cambria Math" w:hAnsi="Cambria Math"/>
                <w:sz w:val="24"/>
              </w:rPr>
              <m:t>+0.017</m:t>
            </m:r>
            <m:sSup>
              <m:sSupPr>
                <m:ctrlPr>
                  <w:rPr>
                    <w:rFonts w:hint="default" w:ascii="Cambria Math" w:hAnsi="Cambria Math"/>
                    <w:sz w:val="24"/>
                  </w:rPr>
                </m:ctrlPr>
              </m:sSupPr>
              <m:e>
                <m:r>
                  <m:rPr/>
                  <w:rPr>
                    <w:rFonts w:hint="default" w:ascii="Cambria Math" w:hAnsi="Cambria Math"/>
                    <w:sz w:val="24"/>
                  </w:rPr>
                  <m:t>9</m:t>
                </m:r>
                <m:ctrlPr>
                  <w:rPr>
                    <w:rFonts w:hint="default" w:ascii="Cambria Math" w:hAnsi="Cambria Math"/>
                    <w:i/>
                    <w:sz w:val="24"/>
                  </w:rPr>
                </m:ctrlPr>
              </m:e>
              <m:sup>
                <m:r>
                  <m:rPr/>
                  <w:rPr>
                    <w:rFonts w:hint="default" w:ascii="Cambria Math" w:hAnsi="Cambria Math"/>
                    <w:sz w:val="24"/>
                  </w:rPr>
                  <m:t>2</m:t>
                </m:r>
                <m:ctrlPr>
                  <w:rPr>
                    <w:rFonts w:hint="default" w:ascii="Cambria Math" w:hAnsi="Cambria Math"/>
                    <w:i/>
                    <w:sz w:val="24"/>
                  </w:rPr>
                </m:ctrlPr>
              </m:sup>
            </m:sSup>
            <m:ctrlPr>
              <w:rPr>
                <w:rFonts w:hint="default" w:ascii="Cambria Math" w:hAnsi="Cambria Math"/>
                <w:sz w:val="24"/>
              </w:rPr>
            </m:ctrlPr>
          </m:e>
        </m:rad>
        <m:r>
          <m:rPr/>
          <w:rPr>
            <w:rFonts w:hint="default" w:ascii="Cambria Math" w:hAnsi="Cambria Math"/>
            <w:sz w:val="24"/>
          </w:rPr>
          <m:t>=1.80%</m:t>
        </m:r>
      </m:oMath>
      <w:r>
        <w:t xml:space="preserve"> </w:t>
      </w:r>
    </w:p>
    <w:p w14:paraId="71EB5E4D">
      <w:pPr>
        <w:spacing w:line="360" w:lineRule="auto"/>
        <w:ind w:firstLine="480" w:firstLineChars="200"/>
        <w:rPr>
          <w:rFonts w:ascii="Times New Roman" w:hAnsi="Times New Roman" w:eastAsia="宋体" w:cs="Times New Roman"/>
          <w:sz w:val="24"/>
          <w:szCs w:val="28"/>
        </w:rPr>
      </w:pPr>
      <w:r>
        <w:rPr>
          <w:rFonts w:hint="eastAsia" w:ascii="Times New Roman" w:hAnsi="Times New Roman" w:eastAsia="宋体" w:cs="Times New Roman"/>
          <w:sz w:val="24"/>
          <w:szCs w:val="28"/>
        </w:rPr>
        <w:t>由于该</w:t>
      </w:r>
      <w:r>
        <w:rPr>
          <w:rFonts w:hint="eastAsia" w:cs="Times New Roman"/>
          <w:sz w:val="24"/>
          <w:szCs w:val="28"/>
          <w:lang w:val="en-US" w:eastAsia="zh-CN"/>
        </w:rPr>
        <w:t>构件工厂</w:t>
      </w:r>
      <w:r>
        <w:rPr>
          <w:rFonts w:hint="eastAsia" w:ascii="Times New Roman" w:hAnsi="Times New Roman" w:eastAsia="宋体" w:cs="Times New Roman"/>
          <w:sz w:val="24"/>
          <w:szCs w:val="28"/>
        </w:rPr>
        <w:t>不具备测定柴油碳氧化率的条件，碳氧化率采用了</w:t>
      </w:r>
      <w:r>
        <w:rPr>
          <w:rFonts w:hint="eastAsia" w:ascii="Times New Roman" w:hAnsi="Times New Roman" w:eastAsia="宋体" w:cs="Times New Roman"/>
          <w:sz w:val="24"/>
          <w:szCs w:val="28"/>
          <w:lang w:val="en-US" w:eastAsia="zh-CN"/>
        </w:rPr>
        <w:t>供应商提供的数据</w:t>
      </w:r>
      <w:r>
        <w:rPr>
          <w:rFonts w:hint="eastAsia" w:ascii="Times New Roman" w:hAnsi="Times New Roman" w:eastAsia="宋体" w:cs="Times New Roman"/>
          <w:sz w:val="24"/>
          <w:szCs w:val="28"/>
        </w:rPr>
        <w:t>，因此其排放因子的不确定度仅考虑柴油单位发热量含碳量测量不确定度，柴油的含碳量使用元素分析仪进行测量，为评估含碳量采样不确定度，对同批次柴油进行了</w:t>
      </w:r>
      <w:r>
        <w:rPr>
          <w:rFonts w:ascii="Times New Roman" w:hAnsi="Times New Roman" w:eastAsia="宋体" w:cs="Times New Roman"/>
          <w:sz w:val="24"/>
          <w:szCs w:val="28"/>
        </w:rPr>
        <w:t>10次采样测量，含碳量结果为：</w:t>
      </w:r>
      <w:r>
        <w:rPr>
          <w:rFonts w:hint="eastAsia" w:ascii="Times New Roman" w:hAnsi="Times New Roman" w:eastAsia="宋体" w:cs="Times New Roman"/>
          <w:sz w:val="24"/>
          <w:szCs w:val="28"/>
        </w:rPr>
        <w:t>8</w:t>
      </w:r>
      <w:r>
        <w:rPr>
          <w:rFonts w:ascii="Times New Roman" w:hAnsi="Times New Roman" w:eastAsia="宋体" w:cs="Times New Roman"/>
          <w:sz w:val="24"/>
          <w:szCs w:val="28"/>
        </w:rPr>
        <w:t>6.23%、86.35%、</w:t>
      </w:r>
      <w:r>
        <w:rPr>
          <w:rFonts w:hint="eastAsia" w:ascii="Times New Roman" w:hAnsi="Times New Roman" w:eastAsia="宋体" w:cs="Times New Roman"/>
          <w:sz w:val="24"/>
          <w:szCs w:val="28"/>
        </w:rPr>
        <w:t>8</w:t>
      </w:r>
      <w:r>
        <w:rPr>
          <w:rFonts w:ascii="Times New Roman" w:hAnsi="Times New Roman" w:eastAsia="宋体" w:cs="Times New Roman"/>
          <w:sz w:val="24"/>
          <w:szCs w:val="28"/>
        </w:rPr>
        <w:t>5.94%</w:t>
      </w:r>
      <w:r>
        <w:rPr>
          <w:rFonts w:hint="eastAsia" w:ascii="Times New Roman" w:hAnsi="Times New Roman" w:eastAsia="宋体" w:cs="Times New Roman"/>
          <w:sz w:val="24"/>
          <w:szCs w:val="28"/>
        </w:rPr>
        <w:t>、</w:t>
      </w:r>
      <w:r>
        <w:rPr>
          <w:rFonts w:ascii="Times New Roman" w:hAnsi="Times New Roman" w:eastAsia="宋体" w:cs="Times New Roman"/>
          <w:sz w:val="24"/>
          <w:szCs w:val="28"/>
        </w:rPr>
        <w:t>86.13%、</w:t>
      </w:r>
      <w:r>
        <w:rPr>
          <w:rFonts w:hint="eastAsia" w:ascii="Times New Roman" w:hAnsi="Times New Roman" w:eastAsia="宋体" w:cs="Times New Roman"/>
          <w:sz w:val="24"/>
          <w:szCs w:val="28"/>
        </w:rPr>
        <w:t>8</w:t>
      </w:r>
      <w:r>
        <w:rPr>
          <w:rFonts w:ascii="Times New Roman" w:hAnsi="Times New Roman" w:eastAsia="宋体" w:cs="Times New Roman"/>
          <w:sz w:val="24"/>
          <w:szCs w:val="28"/>
        </w:rPr>
        <w:t>5.79%</w:t>
      </w:r>
      <w:r>
        <w:rPr>
          <w:rFonts w:hint="eastAsia" w:ascii="Times New Roman" w:hAnsi="Times New Roman" w:eastAsia="宋体" w:cs="Times New Roman"/>
          <w:sz w:val="24"/>
          <w:szCs w:val="28"/>
        </w:rPr>
        <w:t>、8</w:t>
      </w:r>
      <w:r>
        <w:rPr>
          <w:rFonts w:ascii="Times New Roman" w:hAnsi="Times New Roman" w:eastAsia="宋体" w:cs="Times New Roman"/>
          <w:sz w:val="24"/>
          <w:szCs w:val="28"/>
        </w:rPr>
        <w:t>5.84%</w:t>
      </w:r>
      <w:r>
        <w:rPr>
          <w:rFonts w:hint="eastAsia" w:ascii="Times New Roman" w:hAnsi="Times New Roman" w:eastAsia="宋体" w:cs="Times New Roman"/>
          <w:sz w:val="24"/>
          <w:szCs w:val="28"/>
        </w:rPr>
        <w:t>、</w:t>
      </w:r>
      <w:r>
        <w:rPr>
          <w:rFonts w:ascii="Times New Roman" w:hAnsi="Times New Roman" w:eastAsia="宋体" w:cs="Times New Roman"/>
          <w:sz w:val="24"/>
          <w:szCs w:val="28"/>
        </w:rPr>
        <w:t>86.30%、86.07%</w:t>
      </w:r>
      <w:r>
        <w:rPr>
          <w:rFonts w:hint="eastAsia" w:ascii="Times New Roman" w:hAnsi="Times New Roman" w:eastAsia="宋体" w:cs="Times New Roman"/>
          <w:sz w:val="24"/>
          <w:szCs w:val="28"/>
        </w:rPr>
        <w:t>、8</w:t>
      </w:r>
      <w:r>
        <w:rPr>
          <w:rFonts w:ascii="Times New Roman" w:hAnsi="Times New Roman" w:eastAsia="宋体" w:cs="Times New Roman"/>
          <w:sz w:val="24"/>
          <w:szCs w:val="28"/>
        </w:rPr>
        <w:t>5.96%</w:t>
      </w:r>
      <w:r>
        <w:rPr>
          <w:rFonts w:hint="eastAsia" w:ascii="Times New Roman" w:hAnsi="Times New Roman" w:eastAsia="宋体" w:cs="Times New Roman"/>
          <w:sz w:val="24"/>
          <w:szCs w:val="28"/>
        </w:rPr>
        <w:t>、8</w:t>
      </w:r>
      <w:r>
        <w:rPr>
          <w:rFonts w:ascii="Times New Roman" w:hAnsi="Times New Roman" w:eastAsia="宋体" w:cs="Times New Roman"/>
          <w:sz w:val="24"/>
          <w:szCs w:val="28"/>
        </w:rPr>
        <w:t>5.88%，则其含碳量采样不确定度为：</w:t>
      </w:r>
    </w:p>
    <w:p w14:paraId="651CE39E">
      <w:pPr>
        <w:pStyle w:val="46"/>
      </w:pPr>
      <m:oMathPara>
        <m:oMath>
          <m:sSub>
            <m:sSubPr>
              <m:ctrlPr>
                <w:rPr>
                  <w:rFonts w:hint="default" w:ascii="Cambria Math" w:hAnsi="Cambria Math"/>
                  <w:sz w:val="24"/>
                </w:rPr>
              </m:ctrlPr>
            </m:sSubPr>
            <m:e>
              <m:r>
                <m:rPr/>
                <w:rPr>
                  <w:rFonts w:hint="default" w:ascii="Cambria Math" w:hAnsi="Cambria Math"/>
                  <w:sz w:val="24"/>
                </w:rPr>
                <m:t>μ</m:t>
              </m:r>
              <m:ctrlPr>
                <w:rPr>
                  <w:rFonts w:ascii="Cambria Math" w:hAnsi="Cambria Math"/>
                  <w:sz w:val="24"/>
                </w:rPr>
              </m:ctrlPr>
            </m:e>
            <m:sub>
              <m:r>
                <m:rPr>
                  <m:sty m:val="p"/>
                </m:rPr>
                <w:rPr>
                  <w:rFonts w:hint="default" w:ascii="Cambria Math" w:hAnsi="Cambria Math"/>
                  <w:sz w:val="24"/>
                </w:rPr>
                <m:t>碳采</m:t>
              </m:r>
              <m:ctrlPr>
                <w:rPr>
                  <w:rFonts w:ascii="Cambria Math" w:hAnsi="Cambria Math"/>
                  <w:sz w:val="24"/>
                </w:rPr>
              </m:ctrlPr>
            </m:sub>
          </m:sSub>
          <m:r>
            <m:rPr/>
            <w:rPr>
              <w:rFonts w:hint="default" w:ascii="Cambria Math" w:hAnsi="Cambria Math"/>
              <w:sz w:val="24"/>
            </w:rPr>
            <m:t>=</m:t>
          </m:r>
          <m:f>
            <m:fPr>
              <m:ctrlPr>
                <w:rPr>
                  <w:rFonts w:hint="default" w:ascii="Cambria Math" w:hAnsi="Cambria Math"/>
                  <w:i/>
                  <w:sz w:val="24"/>
                </w:rPr>
              </m:ctrlPr>
            </m:fPr>
            <m:num>
              <m:r>
                <m:rPr/>
                <w:rPr>
                  <w:rFonts w:hint="default" w:ascii="Cambria Math" w:hAnsi="Cambria Math"/>
                  <w:sz w:val="24"/>
                </w:rPr>
                <m:t>s(x)</m:t>
              </m:r>
              <m:ctrlPr>
                <w:rPr>
                  <w:rFonts w:ascii="Cambria Math" w:hAnsi="Cambria Math"/>
                  <w:sz w:val="24"/>
                </w:rPr>
              </m:ctrlPr>
            </m:num>
            <m:den>
              <m:rad>
                <m:radPr>
                  <m:degHide m:val="1"/>
                  <m:ctrlPr>
                    <w:rPr>
                      <w:rFonts w:hint="default" w:ascii="Cambria Math" w:hAnsi="Cambria Math"/>
                      <w:i/>
                      <w:sz w:val="24"/>
                    </w:rPr>
                  </m:ctrlPr>
                </m:radPr>
                <m:deg>
                  <m:ctrlPr>
                    <w:rPr>
                      <w:rFonts w:ascii="Cambria Math" w:hAnsi="Cambria Math"/>
                      <w:sz w:val="24"/>
                    </w:rPr>
                  </m:ctrlPr>
                </m:deg>
                <m:e>
                  <m:r>
                    <m:rPr/>
                    <w:rPr>
                      <w:rFonts w:hint="default" w:ascii="Cambria Math" w:hAnsi="Cambria Math"/>
                      <w:sz w:val="24"/>
                    </w:rPr>
                    <m:t>n</m:t>
                  </m:r>
                  <m:ctrlPr>
                    <w:rPr>
                      <w:rFonts w:ascii="Cambria Math" w:hAnsi="Cambria Math"/>
                      <w:sz w:val="24"/>
                    </w:rPr>
                  </m:ctrlPr>
                </m:e>
              </m:rad>
              <m:ctrlPr>
                <w:rPr>
                  <w:rFonts w:hint="default" w:ascii="Cambria Math" w:hAnsi="Cambria Math"/>
                  <w:i/>
                  <w:sz w:val="24"/>
                </w:rPr>
              </m:ctrlPr>
            </m:den>
          </m:f>
          <m:r>
            <m:rPr/>
            <w:rPr>
              <w:rFonts w:hint="default" w:ascii="Cambria Math" w:hAnsi="Cambria Math"/>
              <w:sz w:val="24"/>
            </w:rPr>
            <m:t>=</m:t>
          </m:r>
          <m:rad>
            <m:radPr>
              <m:degHide m:val="1"/>
              <m:ctrlPr>
                <w:rPr>
                  <w:rFonts w:hint="default" w:ascii="Cambria Math" w:hAnsi="Cambria Math"/>
                  <w:i/>
                  <w:sz w:val="24"/>
                </w:rPr>
              </m:ctrlPr>
            </m:radPr>
            <m:deg>
              <m:ctrlPr>
                <w:rPr>
                  <w:rFonts w:hint="default" w:ascii="Cambria Math" w:hAnsi="Cambria Math"/>
                  <w:i/>
                  <w:sz w:val="24"/>
                </w:rPr>
              </m:ctrlPr>
            </m:deg>
            <m:e>
              <m:f>
                <m:fPr>
                  <m:ctrlPr>
                    <w:rPr>
                      <w:rFonts w:hint="default" w:ascii="Cambria Math" w:hAnsi="Cambria Math"/>
                      <w:i/>
                      <w:sz w:val="24"/>
                    </w:rPr>
                  </m:ctrlPr>
                </m:fPr>
                <m:num>
                  <m:nary>
                    <m:naryPr>
                      <m:chr m:val="∑"/>
                      <m:limLoc m:val="undOvr"/>
                      <m:ctrlPr>
                        <w:rPr>
                          <w:rFonts w:hint="default" w:ascii="Cambria Math" w:hAnsi="Cambria Math"/>
                          <w:i/>
                          <w:sz w:val="24"/>
                        </w:rPr>
                      </m:ctrlPr>
                    </m:naryPr>
                    <m:sub>
                      <m:r>
                        <m:rPr/>
                        <w:rPr>
                          <w:rFonts w:hint="default" w:ascii="Cambria Math" w:hAnsi="Cambria Math"/>
                          <w:sz w:val="24"/>
                        </w:rPr>
                        <m:t>i=1</m:t>
                      </m:r>
                      <m:ctrlPr>
                        <w:rPr>
                          <w:rFonts w:ascii="Cambria Math" w:hAnsi="Cambria Math"/>
                          <w:sz w:val="24"/>
                        </w:rPr>
                      </m:ctrlPr>
                    </m:sub>
                    <m:sup>
                      <m:r>
                        <m:rPr/>
                        <w:rPr>
                          <w:rFonts w:hint="default" w:ascii="Cambria Math" w:hAnsi="Cambria Math"/>
                          <w:sz w:val="24"/>
                        </w:rPr>
                        <m:t>n</m:t>
                      </m:r>
                      <m:ctrlPr>
                        <w:rPr>
                          <w:rFonts w:ascii="Cambria Math" w:hAnsi="Cambria Math"/>
                          <w:sz w:val="24"/>
                        </w:rPr>
                      </m:ctrlPr>
                    </m:sup>
                    <m:e>
                      <m:r>
                        <m:rPr/>
                        <w:rPr>
                          <w:rFonts w:hint="default" w:ascii="Cambria Math" w:hAnsi="Cambria Math"/>
                          <w:sz w:val="24"/>
                        </w:rPr>
                        <m:t>(</m:t>
                      </m:r>
                      <m:ctrlPr>
                        <w:rPr>
                          <w:rFonts w:ascii="Cambria Math" w:hAnsi="Cambria Math"/>
                          <w:sz w:val="24"/>
                        </w:rPr>
                      </m:ctrlPr>
                    </m:e>
                  </m:nary>
                  <m:sSub>
                    <m:sSubPr>
                      <m:ctrlPr>
                        <w:rPr>
                          <w:rFonts w:hint="default" w:ascii="Cambria Math" w:hAnsi="Cambria Math"/>
                          <w:sz w:val="24"/>
                        </w:rPr>
                      </m:ctrlPr>
                    </m:sSubPr>
                    <m:e>
                      <m:r>
                        <m:rPr/>
                        <w:rPr>
                          <w:rFonts w:hint="default" w:ascii="Cambria Math" w:hAnsi="Cambria Math"/>
                          <w:sz w:val="24"/>
                        </w:rPr>
                        <m:t>x</m:t>
                      </m:r>
                      <m:ctrlPr>
                        <w:rPr>
                          <w:rFonts w:ascii="Cambria Math" w:hAnsi="Cambria Math"/>
                          <w:sz w:val="24"/>
                        </w:rPr>
                      </m:ctrlPr>
                    </m:e>
                    <m:sub>
                      <m:r>
                        <m:rPr/>
                        <w:rPr>
                          <w:rFonts w:hint="default" w:ascii="Cambria Math" w:hAnsi="Cambria Math"/>
                          <w:sz w:val="24"/>
                        </w:rPr>
                        <m:t>i</m:t>
                      </m:r>
                      <m:ctrlPr>
                        <w:rPr>
                          <w:rFonts w:ascii="Cambria Math" w:hAnsi="Cambria Math"/>
                          <w:sz w:val="24"/>
                        </w:rPr>
                      </m:ctrlPr>
                    </m:sub>
                  </m:sSub>
                  <m:r>
                    <m:rPr/>
                    <w:rPr>
                      <w:rFonts w:hint="default" w:ascii="Cambria Math" w:hAnsi="Cambria Math"/>
                      <w:sz w:val="24"/>
                    </w:rPr>
                    <m:t>−</m:t>
                  </m:r>
                  <m:acc>
                    <m:accPr>
                      <m:chr m:val="̄"/>
                      <m:ctrlPr>
                        <w:rPr>
                          <w:rFonts w:hint="default" w:ascii="Cambria Math" w:hAnsi="Cambria Math"/>
                          <w:sz w:val="24"/>
                        </w:rPr>
                      </m:ctrlPr>
                    </m:accPr>
                    <m:e>
                      <m:r>
                        <m:rPr/>
                        <w:rPr>
                          <w:rFonts w:hint="default" w:ascii="Cambria Math" w:hAnsi="Cambria Math"/>
                          <w:sz w:val="24"/>
                        </w:rPr>
                        <m:t>x</m:t>
                      </m:r>
                      <m:ctrlPr>
                        <w:rPr>
                          <w:rFonts w:ascii="Cambria Math" w:hAnsi="Cambria Math"/>
                          <w:sz w:val="24"/>
                        </w:rPr>
                      </m:ctrlPr>
                    </m:e>
                  </m:acc>
                  <m:sSup>
                    <m:sSupPr>
                      <m:ctrlPr>
                        <w:rPr>
                          <w:rFonts w:hint="default" w:ascii="Cambria Math" w:hAnsi="Cambria Math"/>
                          <w:sz w:val="24"/>
                        </w:rPr>
                      </m:ctrlPr>
                    </m:sSupPr>
                    <m:e>
                      <m:r>
                        <m:rPr/>
                        <w:rPr>
                          <w:rFonts w:hint="default" w:ascii="Cambria Math" w:hAnsi="Cambria Math"/>
                          <w:sz w:val="24"/>
                        </w:rPr>
                        <m:t>)</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ctrlPr>
                    <w:rPr>
                      <w:rFonts w:hint="default" w:ascii="Cambria Math" w:hAnsi="Cambria Math"/>
                      <w:sz w:val="24"/>
                    </w:rPr>
                  </m:ctrlPr>
                </m:num>
                <m:den>
                  <m:r>
                    <m:rPr/>
                    <w:rPr>
                      <w:rFonts w:hint="default" w:ascii="Cambria Math" w:hAnsi="Cambria Math"/>
                      <w:sz w:val="24"/>
                    </w:rPr>
                    <m:t>n(n−1)</m:t>
                  </m:r>
                  <m:ctrlPr>
                    <w:rPr>
                      <w:rFonts w:hint="default" w:ascii="Cambria Math" w:hAnsi="Cambria Math"/>
                      <w:sz w:val="24"/>
                    </w:rPr>
                  </m:ctrlPr>
                </m:den>
              </m:f>
              <m:ctrlPr>
                <w:rPr>
                  <w:rFonts w:hint="default" w:ascii="Cambria Math" w:hAnsi="Cambria Math"/>
                  <w:i/>
                  <w:sz w:val="24"/>
                </w:rPr>
              </m:ctrlPr>
            </m:e>
          </m:rad>
          <m:r>
            <m:rPr/>
            <w:rPr>
              <w:rFonts w:hint="default" w:ascii="Cambria Math" w:hAnsi="Cambria Math"/>
              <w:sz w:val="24"/>
            </w:rPr>
            <m:t>=0.06%</m:t>
          </m:r>
        </m:oMath>
      </m:oMathPara>
    </w:p>
    <w:p w14:paraId="27C76DA1">
      <w:pPr>
        <w:spacing w:line="360" w:lineRule="auto"/>
        <w:ind w:firstLine="480" w:firstLineChars="200"/>
        <w:rPr>
          <w:rFonts w:ascii="Times New Roman" w:hAnsi="Times New Roman" w:eastAsia="宋体" w:cs="Times New Roman"/>
          <w:sz w:val="24"/>
          <w:szCs w:val="28"/>
        </w:rPr>
      </w:pPr>
      <w:r>
        <w:rPr>
          <w:rFonts w:hint="eastAsia" w:ascii="Times New Roman" w:hAnsi="Times New Roman" w:eastAsia="宋体" w:cs="Times New Roman"/>
          <w:sz w:val="24"/>
          <w:szCs w:val="28"/>
        </w:rPr>
        <w:t>元素分析仪测量不确定度为</w:t>
      </w:r>
      <w:r>
        <w:rPr>
          <w:rFonts w:ascii="Times New Roman" w:hAnsi="Times New Roman" w:eastAsia="宋体" w:cs="Times New Roman"/>
          <w:sz w:val="24"/>
          <w:szCs w:val="28"/>
        </w:rPr>
        <w:t>2.14%，结合采样引起的不确定度，其排放因子不确定度为</w:t>
      </w:r>
      <w:r>
        <w:rPr>
          <w:rFonts w:hint="eastAsia" w:ascii="Times New Roman" w:hAnsi="Times New Roman" w:eastAsia="宋体" w:cs="Times New Roman"/>
          <w:sz w:val="24"/>
          <w:szCs w:val="28"/>
        </w:rPr>
        <w:t>：</w:t>
      </w:r>
    </w:p>
    <w:p w14:paraId="57F0620C">
      <w:pPr>
        <w:pStyle w:val="46"/>
        <w:ind w:firstLine="0" w:firstLineChars="0"/>
      </w:pPr>
      <m:oMath>
        <m:f>
          <m:fPr>
            <m:ctrlPr>
              <w:rPr>
                <w:rFonts w:hint="default" w:ascii="Cambria Math" w:hAnsi="Cambria Math"/>
                <w:i/>
                <w:sz w:val="24"/>
              </w:rPr>
            </m:ctrlPr>
          </m:fPr>
          <m:num>
            <m:r>
              <m:rPr/>
              <w:rPr>
                <w:rFonts w:hint="default" w:ascii="Cambria Math" w:hAnsi="Cambria Math"/>
                <w:sz w:val="24"/>
              </w:rPr>
              <m:t>u(C)</m:t>
            </m:r>
            <m:ctrlPr>
              <w:rPr>
                <w:rFonts w:ascii="Cambria Math" w:hAnsi="Cambria Math"/>
                <w:sz w:val="24"/>
              </w:rPr>
            </m:ctrlPr>
          </m:num>
          <m:den>
            <m:r>
              <m:rPr/>
              <w:rPr>
                <w:rFonts w:hint="default" w:ascii="Cambria Math" w:hAnsi="Cambria Math"/>
                <w:sz w:val="24"/>
              </w:rPr>
              <m:t>C</m:t>
            </m:r>
            <m:ctrlPr>
              <w:rPr>
                <w:rFonts w:ascii="Cambria Math" w:hAnsi="Cambria Math"/>
                <w:sz w:val="24"/>
              </w:rPr>
            </m:ctrlPr>
          </m:den>
        </m:f>
        <m:r>
          <m:rPr/>
          <w:rPr>
            <w:rFonts w:hint="default" w:ascii="Cambria Math" w:hAnsi="Cambria Math"/>
            <w:sz w:val="24"/>
          </w:rPr>
          <m:t>=</m:t>
        </m:r>
        <m:rad>
          <m:radPr>
            <m:degHide m:val="1"/>
            <m:ctrlPr>
              <w:rPr>
                <w:rFonts w:hint="default" w:ascii="Cambria Math" w:hAnsi="Cambria Math"/>
                <w:i/>
                <w:sz w:val="24"/>
              </w:rPr>
            </m:ctrlPr>
          </m:radPr>
          <m:deg>
            <m:ctrlPr>
              <w:rPr>
                <w:rFonts w:ascii="Cambria Math" w:hAnsi="Cambria Math"/>
                <w:sz w:val="24"/>
              </w:rPr>
            </m:ctrlPr>
          </m:deg>
          <m:e>
            <m:r>
              <m:rPr/>
              <w:rPr>
                <w:rFonts w:hint="default" w:ascii="Cambria Math" w:hAnsi="Cambria Math"/>
                <w:sz w:val="24"/>
              </w:rPr>
              <m:t>(</m:t>
            </m:r>
            <m:sSub>
              <m:sSubPr>
                <m:ctrlPr>
                  <w:rPr>
                    <w:rFonts w:hint="default" w:ascii="Cambria Math" w:hAnsi="Cambria Math"/>
                    <w:sz w:val="24"/>
                  </w:rPr>
                </m:ctrlPr>
              </m:sSubPr>
              <m:e>
                <m:r>
                  <m:rPr/>
                  <w:rPr>
                    <w:rFonts w:hint="default" w:ascii="Cambria Math" w:hAnsi="Cambria Math"/>
                    <w:sz w:val="24"/>
                  </w:rPr>
                  <m:t>u</m:t>
                </m:r>
                <m:ctrlPr>
                  <w:rPr>
                    <w:rFonts w:ascii="Cambria Math" w:hAnsi="Cambria Math"/>
                    <w:sz w:val="24"/>
                  </w:rPr>
                </m:ctrlPr>
              </m:e>
              <m:sub>
                <m:r>
                  <m:rPr>
                    <m:sty m:val="p"/>
                  </m:rPr>
                  <w:rPr>
                    <w:rFonts w:hint="default" w:ascii="Cambria Math" w:hAnsi="Cambria Math"/>
                    <w:sz w:val="24"/>
                  </w:rPr>
                  <m:t>碳采</m:t>
                </m:r>
                <m:ctrlPr>
                  <w:rPr>
                    <w:rFonts w:ascii="Cambria Math" w:hAnsi="Cambria Math"/>
                    <w:sz w:val="24"/>
                  </w:rPr>
                </m:ctrlPr>
              </m:sub>
            </m:sSub>
            <m:sSup>
              <m:sSupPr>
                <m:ctrlPr>
                  <w:rPr>
                    <w:rFonts w:hint="default" w:ascii="Cambria Math" w:hAnsi="Cambria Math"/>
                    <w:sz w:val="24"/>
                  </w:rPr>
                </m:ctrlPr>
              </m:sSupPr>
              <m:e>
                <m:r>
                  <m:rPr/>
                  <w:rPr>
                    <w:rFonts w:hint="default" w:ascii="Cambria Math" w:hAnsi="Cambria Math"/>
                    <w:sz w:val="24"/>
                  </w:rPr>
                  <m:t>)</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r>
              <m:rPr/>
              <w:rPr>
                <w:rFonts w:hint="default" w:ascii="Cambria Math" w:hAnsi="Cambria Math"/>
                <w:sz w:val="24"/>
              </w:rPr>
              <m:t>+(</m:t>
            </m:r>
            <m:sSub>
              <m:sSubPr>
                <m:ctrlPr>
                  <w:rPr>
                    <w:rFonts w:hint="default" w:ascii="Cambria Math" w:hAnsi="Cambria Math"/>
                    <w:sz w:val="24"/>
                  </w:rPr>
                </m:ctrlPr>
              </m:sSubPr>
              <m:e>
                <m:r>
                  <m:rPr/>
                  <w:rPr>
                    <w:rFonts w:hint="default" w:ascii="Cambria Math" w:hAnsi="Cambria Math"/>
                    <w:sz w:val="24"/>
                  </w:rPr>
                  <m:t>u</m:t>
                </m:r>
                <m:ctrlPr>
                  <w:rPr>
                    <w:rFonts w:ascii="Cambria Math" w:hAnsi="Cambria Math"/>
                    <w:sz w:val="24"/>
                  </w:rPr>
                </m:ctrlPr>
              </m:e>
              <m:sub>
                <m:r>
                  <m:rPr/>
                  <w:rPr>
                    <w:rFonts w:hint="default" w:ascii="Cambria Math" w:hAnsi="Cambria Math"/>
                    <w:sz w:val="24"/>
                  </w:rPr>
                  <m:t>λ</m:t>
                </m:r>
                <m:r>
                  <m:rPr>
                    <m:sty m:val="p"/>
                  </m:rPr>
                  <w:rPr>
                    <w:rFonts w:hint="default" w:ascii="Cambria Math" w:hAnsi="Cambria Math"/>
                    <w:sz w:val="24"/>
                  </w:rPr>
                  <m:t>采</m:t>
                </m:r>
                <m:ctrlPr>
                  <w:rPr>
                    <w:rFonts w:ascii="Cambria Math" w:hAnsi="Cambria Math"/>
                    <w:sz w:val="24"/>
                  </w:rPr>
                </m:ctrlPr>
              </m:sub>
            </m:sSub>
            <m:sSup>
              <m:sSupPr>
                <m:ctrlPr>
                  <w:rPr>
                    <w:rFonts w:hint="default" w:ascii="Cambria Math" w:hAnsi="Cambria Math"/>
                    <w:sz w:val="24"/>
                  </w:rPr>
                </m:ctrlPr>
              </m:sSupPr>
              <m:e>
                <m:r>
                  <m:rPr/>
                  <w:rPr>
                    <w:rFonts w:hint="default" w:ascii="Cambria Math" w:hAnsi="Cambria Math"/>
                    <w:sz w:val="24"/>
                  </w:rPr>
                  <m:t>)</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r>
              <m:rPr/>
              <w:rPr>
                <w:rFonts w:hint="default" w:ascii="Cambria Math" w:hAnsi="Cambria Math"/>
                <w:sz w:val="24"/>
              </w:rPr>
              <m:t>+(</m:t>
            </m:r>
            <m:sSub>
              <m:sSubPr>
                <m:ctrlPr>
                  <w:rPr>
                    <w:rFonts w:hint="default" w:ascii="Cambria Math" w:hAnsi="Cambria Math"/>
                    <w:sz w:val="24"/>
                  </w:rPr>
                </m:ctrlPr>
              </m:sSubPr>
              <m:e>
                <m:r>
                  <m:rPr/>
                  <w:rPr>
                    <w:rFonts w:hint="default" w:ascii="Cambria Math" w:hAnsi="Cambria Math"/>
                    <w:sz w:val="24"/>
                  </w:rPr>
                  <m:t>u</m:t>
                </m:r>
                <m:ctrlPr>
                  <w:rPr>
                    <w:rFonts w:ascii="Cambria Math" w:hAnsi="Cambria Math"/>
                    <w:sz w:val="24"/>
                  </w:rPr>
                </m:ctrlPr>
              </m:e>
              <m:sub>
                <m:r>
                  <m:rPr>
                    <m:sty m:val="p"/>
                  </m:rPr>
                  <w:rPr>
                    <w:rFonts w:hint="default" w:ascii="Cambria Math" w:hAnsi="Cambria Math"/>
                    <w:sz w:val="24"/>
                  </w:rPr>
                  <m:t>碳测</m:t>
                </m:r>
                <m:ctrlPr>
                  <w:rPr>
                    <w:rFonts w:ascii="Cambria Math" w:hAnsi="Cambria Math"/>
                    <w:sz w:val="24"/>
                  </w:rPr>
                </m:ctrlPr>
              </m:sub>
            </m:sSub>
            <m:sSup>
              <m:sSupPr>
                <m:ctrlPr>
                  <w:rPr>
                    <w:rFonts w:hint="default" w:ascii="Cambria Math" w:hAnsi="Cambria Math"/>
                    <w:sz w:val="24"/>
                  </w:rPr>
                </m:ctrlPr>
              </m:sSupPr>
              <m:e>
                <m:r>
                  <m:rPr/>
                  <w:rPr>
                    <w:rFonts w:hint="default" w:ascii="Cambria Math" w:hAnsi="Cambria Math"/>
                    <w:sz w:val="24"/>
                  </w:rPr>
                  <m:t>)</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r>
              <m:rPr/>
              <w:rPr>
                <w:rFonts w:hint="default" w:ascii="Cambria Math" w:hAnsi="Cambria Math"/>
                <w:sz w:val="24"/>
              </w:rPr>
              <m:t>+(</m:t>
            </m:r>
            <m:sSub>
              <m:sSubPr>
                <m:ctrlPr>
                  <w:rPr>
                    <w:rFonts w:hint="default" w:ascii="Cambria Math" w:hAnsi="Cambria Math"/>
                    <w:sz w:val="24"/>
                  </w:rPr>
                </m:ctrlPr>
              </m:sSubPr>
              <m:e>
                <m:r>
                  <m:rPr/>
                  <w:rPr>
                    <w:rFonts w:hint="default" w:ascii="Cambria Math" w:hAnsi="Cambria Math"/>
                    <w:sz w:val="24"/>
                  </w:rPr>
                  <m:t>u</m:t>
                </m:r>
                <m:ctrlPr>
                  <w:rPr>
                    <w:rFonts w:ascii="Cambria Math" w:hAnsi="Cambria Math"/>
                    <w:sz w:val="24"/>
                  </w:rPr>
                </m:ctrlPr>
              </m:e>
              <m:sub>
                <m:r>
                  <m:rPr>
                    <m:sty m:val="p"/>
                  </m:rPr>
                  <w:rPr>
                    <w:rFonts w:hint="default" w:ascii="Cambria Math" w:hAnsi="Cambria Math"/>
                    <w:sz w:val="24"/>
                  </w:rPr>
                  <m:t>热测</m:t>
                </m:r>
                <m:ctrlPr>
                  <w:rPr>
                    <w:rFonts w:ascii="Cambria Math" w:hAnsi="Cambria Math"/>
                    <w:sz w:val="24"/>
                  </w:rPr>
                </m:ctrlPr>
              </m:sub>
            </m:sSub>
            <m:sSup>
              <m:sSupPr>
                <m:ctrlPr>
                  <w:rPr>
                    <w:rFonts w:hint="default" w:ascii="Cambria Math" w:hAnsi="Cambria Math"/>
                    <w:sz w:val="24"/>
                  </w:rPr>
                </m:ctrlPr>
              </m:sSupPr>
              <m:e>
                <m:r>
                  <m:rPr/>
                  <w:rPr>
                    <w:rFonts w:hint="default" w:ascii="Cambria Math" w:hAnsi="Cambria Math"/>
                    <w:sz w:val="24"/>
                  </w:rPr>
                  <m:t>)</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ctrlPr>
              <w:rPr>
                <w:rFonts w:hint="default" w:ascii="Cambria Math" w:hAnsi="Cambria Math"/>
                <w:sz w:val="24"/>
              </w:rPr>
            </m:ctrlPr>
          </m:e>
        </m:rad>
        <m:r>
          <m:rPr/>
          <w:rPr>
            <w:rFonts w:hint="default" w:ascii="Cambria Math" w:hAnsi="Cambria Math"/>
            <w:sz w:val="24"/>
          </w:rPr>
          <m:t>=</m:t>
        </m:r>
        <m:rad>
          <m:radPr>
            <m:degHide m:val="1"/>
            <m:ctrlPr>
              <w:rPr>
                <w:rFonts w:hint="default" w:ascii="Cambria Math" w:hAnsi="Cambria Math"/>
                <w:i/>
                <w:sz w:val="24"/>
              </w:rPr>
            </m:ctrlPr>
          </m:radPr>
          <m:deg>
            <m:ctrlPr>
              <w:rPr>
                <w:rFonts w:hint="default" w:ascii="Cambria Math" w:hAnsi="Cambria Math"/>
                <w:sz w:val="24"/>
              </w:rPr>
            </m:ctrlPr>
          </m:deg>
          <m:e>
            <m:r>
              <m:rPr/>
              <w:rPr>
                <w:rFonts w:hint="default" w:ascii="Cambria Math" w:hAnsi="Cambria Math"/>
                <w:sz w:val="24"/>
              </w:rPr>
              <m:t>0.000</m:t>
            </m:r>
            <m:sSup>
              <m:sSupPr>
                <m:ctrlPr>
                  <w:rPr>
                    <w:rFonts w:hint="default" w:ascii="Cambria Math" w:hAnsi="Cambria Math"/>
                    <w:sz w:val="24"/>
                  </w:rPr>
                </m:ctrlPr>
              </m:sSupPr>
              <m:e>
                <m:r>
                  <m:rPr/>
                  <w:rPr>
                    <w:rFonts w:hint="default" w:ascii="Cambria Math" w:hAnsi="Cambria Math"/>
                    <w:sz w:val="24"/>
                  </w:rPr>
                  <m:t>6</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r>
              <m:rPr/>
              <w:rPr>
                <w:rFonts w:hint="default" w:ascii="Cambria Math" w:hAnsi="Cambria Math"/>
                <w:sz w:val="24"/>
              </w:rPr>
              <m:t>+0.009</m:t>
            </m:r>
            <m:sSup>
              <m:sSupPr>
                <m:ctrlPr>
                  <w:rPr>
                    <w:rFonts w:hint="default" w:ascii="Cambria Math" w:hAnsi="Cambria Math"/>
                    <w:sz w:val="24"/>
                  </w:rPr>
                </m:ctrlPr>
              </m:sSupPr>
              <m:e>
                <m:r>
                  <m:rPr/>
                  <w:rPr>
                    <w:rFonts w:hint="default" w:ascii="Cambria Math" w:hAnsi="Cambria Math"/>
                    <w:sz w:val="24"/>
                  </w:rPr>
                  <m:t>5</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r>
              <m:rPr/>
              <w:rPr>
                <w:rFonts w:hint="default" w:ascii="Cambria Math" w:hAnsi="Cambria Math"/>
                <w:sz w:val="24"/>
              </w:rPr>
              <m:t>+0.021</m:t>
            </m:r>
            <m:sSup>
              <m:sSupPr>
                <m:ctrlPr>
                  <w:rPr>
                    <w:rFonts w:hint="default" w:ascii="Cambria Math" w:hAnsi="Cambria Math"/>
                    <w:sz w:val="24"/>
                  </w:rPr>
                </m:ctrlPr>
              </m:sSupPr>
              <m:e>
                <m:r>
                  <m:rPr/>
                  <w:rPr>
                    <w:rFonts w:hint="default" w:ascii="Cambria Math" w:hAnsi="Cambria Math"/>
                    <w:sz w:val="24"/>
                  </w:rPr>
                  <m:t>4</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r>
              <m:rPr/>
              <w:rPr>
                <w:rFonts w:hint="default" w:ascii="Cambria Math" w:hAnsi="Cambria Math"/>
                <w:sz w:val="24"/>
              </w:rPr>
              <m:t>+0.015</m:t>
            </m:r>
            <m:sSup>
              <m:sSupPr>
                <m:ctrlPr>
                  <w:rPr>
                    <w:rFonts w:hint="default" w:ascii="Cambria Math" w:hAnsi="Cambria Math"/>
                    <w:sz w:val="24"/>
                  </w:rPr>
                </m:ctrlPr>
              </m:sSupPr>
              <m:e>
                <m:r>
                  <m:rPr/>
                  <w:rPr>
                    <w:rFonts w:hint="default" w:ascii="Cambria Math" w:hAnsi="Cambria Math"/>
                    <w:sz w:val="24"/>
                  </w:rPr>
                  <m:t>2</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ctrlPr>
              <w:rPr>
                <w:rFonts w:hint="default" w:ascii="Cambria Math" w:hAnsi="Cambria Math"/>
                <w:sz w:val="24"/>
              </w:rPr>
            </m:ctrlPr>
          </m:e>
        </m:rad>
        <m:r>
          <m:rPr/>
          <w:rPr>
            <w:rFonts w:hint="default" w:ascii="Cambria Math" w:hAnsi="Cambria Math"/>
            <w:sz w:val="24"/>
          </w:rPr>
          <m:t>=2.79%</m:t>
        </m:r>
      </m:oMath>
      <w:r>
        <w:t xml:space="preserve"> </w:t>
      </w:r>
    </w:p>
    <w:p w14:paraId="28C57AAD">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eastAsia="宋体" w:cs="Times New Roman"/>
          <w:sz w:val="24"/>
          <w:szCs w:val="28"/>
        </w:rPr>
      </w:pPr>
      <m:oMathPara>
        <m:oMathParaPr>
          <m:jc m:val="center"/>
        </m:oMathParaPr>
        <m:oMath>
          <m:f>
            <m:fPr>
              <m:ctrlPr>
                <w:rPr>
                  <w:rFonts w:ascii="Cambria Math" w:hAnsi="Cambria Math" w:eastAsia="宋体" w:cs="Times New Roman"/>
                  <w:i/>
                  <w:sz w:val="24"/>
                  <w:szCs w:val="28"/>
                </w:rPr>
              </m:ctrlPr>
            </m:fPr>
            <m:num>
              <m:r>
                <m:rPr/>
                <w:rPr>
                  <w:rFonts w:hint="eastAsia" w:ascii="Cambria Math" w:hAnsi="Cambria Math" w:eastAsia="宋体" w:cs="Times New Roman"/>
                  <w:sz w:val="24"/>
                  <w:szCs w:val="28"/>
                </w:rPr>
                <m:t>u</m:t>
              </m:r>
              <m:d>
                <m:dPr>
                  <m:ctrlPr>
                    <w:rPr>
                      <w:rFonts w:ascii="Cambria Math" w:hAnsi="Cambria Math" w:eastAsia="宋体" w:cs="Times New Roman"/>
                      <w:i/>
                      <w:sz w:val="24"/>
                      <w:szCs w:val="28"/>
                    </w:rPr>
                  </m:ctrlPr>
                </m:dPr>
                <m:e>
                  <m:r>
                    <m:rPr/>
                    <w:rPr>
                      <w:rFonts w:ascii="Cambria Math" w:hAnsi="Cambria Math" w:eastAsia="宋体" w:cs="Times New Roman"/>
                      <w:sz w:val="24"/>
                      <w:szCs w:val="28"/>
                    </w:rPr>
                    <m:t>C</m:t>
                  </m:r>
                  <m:ctrlPr>
                    <w:rPr>
                      <w:rFonts w:ascii="Cambria Math" w:hAnsi="Cambria Math" w:eastAsia="宋体" w:cs="Times New Roman"/>
                      <w:i/>
                      <w:sz w:val="24"/>
                      <w:szCs w:val="28"/>
                    </w:rPr>
                  </m:ctrlPr>
                </m:e>
              </m:d>
              <m:ctrlPr>
                <w:rPr>
                  <w:rFonts w:ascii="Cambria Math" w:hAnsi="Cambria Math" w:eastAsia="宋体" w:cs="Times New Roman"/>
                  <w:i/>
                  <w:sz w:val="24"/>
                  <w:szCs w:val="28"/>
                </w:rPr>
              </m:ctrlPr>
            </m:num>
            <m:den>
              <m:r>
                <m:rPr/>
                <w:rPr>
                  <w:rFonts w:ascii="Cambria Math" w:hAnsi="Cambria Math" w:eastAsia="宋体" w:cs="Times New Roman"/>
                  <w:sz w:val="24"/>
                  <w:szCs w:val="28"/>
                </w:rPr>
                <m:t>C</m:t>
              </m:r>
              <m:ctrlPr>
                <w:rPr>
                  <w:rFonts w:ascii="Cambria Math" w:hAnsi="Cambria Math" w:eastAsia="宋体" w:cs="Times New Roman"/>
                  <w:i/>
                  <w:sz w:val="24"/>
                  <w:szCs w:val="28"/>
                </w:rPr>
              </m:ctrlPr>
            </m:den>
          </m:f>
          <m:r>
            <m:rPr/>
            <w:rPr>
              <w:rFonts w:ascii="Cambria Math" w:hAnsi="Cambria Math" w:eastAsia="宋体" w:cs="Times New Roman"/>
              <w:sz w:val="24"/>
              <w:szCs w:val="28"/>
            </w:rPr>
            <m:t>=</m:t>
          </m:r>
          <m:rad>
            <m:radPr>
              <m:degHide m:val="1"/>
              <m:ctrlPr>
                <w:rPr>
                  <w:rFonts w:ascii="Cambria Math" w:hAnsi="Cambria Math" w:eastAsia="宋体" w:cs="Times New Roman"/>
                  <w:i/>
                  <w:sz w:val="24"/>
                  <w:szCs w:val="28"/>
                </w:rPr>
              </m:ctrlPr>
            </m:radPr>
            <m:deg>
              <m:ctrlPr>
                <w:rPr>
                  <w:rFonts w:ascii="Cambria Math" w:hAnsi="Cambria Math" w:eastAsia="宋体" w:cs="Times New Roman"/>
                  <w:i/>
                  <w:sz w:val="24"/>
                  <w:szCs w:val="28"/>
                </w:rPr>
              </m:ctrlPr>
            </m:deg>
            <m:e>
              <m:sSup>
                <m:sSupPr>
                  <m:ctrlPr>
                    <w:rPr>
                      <w:rFonts w:ascii="Cambria Math" w:hAnsi="Cambria Math" w:eastAsia="宋体" w:cs="Times New Roman"/>
                      <w:i/>
                      <w:sz w:val="24"/>
                      <w:szCs w:val="28"/>
                    </w:rPr>
                  </m:ctrlPr>
                </m:sSupPr>
                <m:e>
                  <m:d>
                    <m:dPr>
                      <m:ctrlPr>
                        <w:rPr>
                          <w:rFonts w:ascii="Cambria Math" w:hAnsi="Cambria Math" w:eastAsia="宋体" w:cs="Times New Roman"/>
                          <w:i/>
                          <w:sz w:val="24"/>
                          <w:szCs w:val="28"/>
                        </w:rPr>
                      </m:ctrlPr>
                    </m:dPr>
                    <m:e>
                      <m:sSub>
                        <m:sSubPr>
                          <m:ctrlPr>
                            <w:rPr>
                              <w:rFonts w:ascii="Cambria Math" w:hAnsi="Cambria Math" w:eastAsia="宋体" w:cs="Times New Roman"/>
                              <w:i/>
                              <w:sz w:val="24"/>
                              <w:szCs w:val="28"/>
                            </w:rPr>
                          </m:ctrlPr>
                        </m:sSubPr>
                        <m:e>
                          <m:r>
                            <m:rPr/>
                            <w:rPr>
                              <w:rFonts w:hint="eastAsia" w:ascii="Cambria Math" w:hAnsi="Cambria Math" w:eastAsia="宋体" w:cs="Times New Roman"/>
                              <w:sz w:val="24"/>
                              <w:szCs w:val="28"/>
                            </w:rPr>
                            <m:t>u</m:t>
                          </m:r>
                          <m:ctrlPr>
                            <w:rPr>
                              <w:rFonts w:ascii="Cambria Math" w:hAnsi="Cambria Math" w:eastAsia="宋体" w:cs="Times New Roman"/>
                              <w:i/>
                              <w:sz w:val="24"/>
                              <w:szCs w:val="28"/>
                            </w:rPr>
                          </m:ctrlPr>
                        </m:e>
                        <m:sub>
                          <m:r>
                            <m:rPr>
                              <m:sty m:val="p"/>
                            </m:rPr>
                            <w:rPr>
                              <w:rFonts w:hint="eastAsia" w:ascii="Cambria Math" w:hAnsi="Cambria Math" w:eastAsia="宋体" w:cs="Times New Roman"/>
                              <w:sz w:val="24"/>
                              <w:szCs w:val="28"/>
                            </w:rPr>
                            <m:t>碳采</m:t>
                          </m:r>
                          <m:ctrlPr>
                            <w:rPr>
                              <w:rFonts w:ascii="Cambria Math" w:hAnsi="Cambria Math" w:eastAsia="宋体" w:cs="Times New Roman"/>
                              <w:i/>
                              <w:sz w:val="24"/>
                              <w:szCs w:val="28"/>
                            </w:rPr>
                          </m:ctrlPr>
                        </m:sub>
                      </m:sSub>
                      <m:ctrlPr>
                        <w:rPr>
                          <w:rFonts w:ascii="Cambria Math" w:hAnsi="Cambria Math" w:eastAsia="宋体" w:cs="Times New Roman"/>
                          <w:i/>
                          <w:sz w:val="24"/>
                          <w:szCs w:val="28"/>
                        </w:rPr>
                      </m:ctrlPr>
                    </m:e>
                  </m:d>
                  <m:ctrlPr>
                    <w:rPr>
                      <w:rFonts w:ascii="Cambria Math" w:hAnsi="Cambria Math" w:eastAsia="宋体" w:cs="Times New Roman"/>
                      <w:i/>
                      <w:sz w:val="24"/>
                      <w:szCs w:val="28"/>
                    </w:rPr>
                  </m:ctrlPr>
                </m:e>
                <m:sup>
                  <m:r>
                    <m:rPr/>
                    <w:rPr>
                      <w:rFonts w:ascii="Cambria Math" w:hAnsi="Cambria Math" w:eastAsia="宋体" w:cs="Times New Roman"/>
                      <w:sz w:val="24"/>
                      <w:szCs w:val="28"/>
                    </w:rPr>
                    <m:t>2</m:t>
                  </m:r>
                  <m:ctrlPr>
                    <w:rPr>
                      <w:rFonts w:ascii="Cambria Math" w:hAnsi="Cambria Math" w:eastAsia="宋体" w:cs="Times New Roman"/>
                      <w:i/>
                      <w:sz w:val="24"/>
                      <w:szCs w:val="28"/>
                    </w:rPr>
                  </m:ctrlPr>
                </m:sup>
              </m:sSup>
              <m:r>
                <m:rPr/>
                <w:rPr>
                  <w:rFonts w:ascii="Cambria Math" w:hAnsi="Cambria Math" w:eastAsia="宋体" w:cs="Times New Roman"/>
                  <w:sz w:val="24"/>
                  <w:szCs w:val="28"/>
                </w:rPr>
                <m:t>+</m:t>
              </m:r>
              <m:sSup>
                <m:sSupPr>
                  <m:ctrlPr>
                    <w:rPr>
                      <w:rFonts w:ascii="Cambria Math" w:hAnsi="Cambria Math" w:eastAsia="宋体" w:cs="Times New Roman"/>
                      <w:i/>
                      <w:sz w:val="24"/>
                      <w:szCs w:val="28"/>
                    </w:rPr>
                  </m:ctrlPr>
                </m:sSupPr>
                <m:e>
                  <m:d>
                    <m:dPr>
                      <m:ctrlPr>
                        <w:rPr>
                          <w:rFonts w:ascii="Cambria Math" w:hAnsi="Cambria Math" w:eastAsia="宋体" w:cs="Times New Roman"/>
                          <w:i/>
                          <w:sz w:val="24"/>
                          <w:szCs w:val="28"/>
                        </w:rPr>
                      </m:ctrlPr>
                    </m:dPr>
                    <m:e>
                      <m:sSub>
                        <m:sSubPr>
                          <m:ctrlPr>
                            <w:rPr>
                              <w:rFonts w:ascii="Cambria Math" w:hAnsi="Cambria Math" w:eastAsia="宋体" w:cs="Times New Roman"/>
                              <w:i/>
                              <w:sz w:val="24"/>
                              <w:szCs w:val="28"/>
                            </w:rPr>
                          </m:ctrlPr>
                        </m:sSubPr>
                        <m:e>
                          <m:r>
                            <m:rPr/>
                            <w:rPr>
                              <w:rFonts w:hint="eastAsia" w:ascii="Cambria Math" w:hAnsi="Cambria Math" w:eastAsia="宋体" w:cs="Times New Roman"/>
                              <w:sz w:val="24"/>
                              <w:szCs w:val="28"/>
                            </w:rPr>
                            <m:t>u</m:t>
                          </m:r>
                          <m:ctrlPr>
                            <w:rPr>
                              <w:rFonts w:ascii="Cambria Math" w:hAnsi="Cambria Math" w:eastAsia="宋体" w:cs="Times New Roman"/>
                              <w:i/>
                              <w:sz w:val="24"/>
                              <w:szCs w:val="28"/>
                            </w:rPr>
                          </m:ctrlPr>
                        </m:e>
                        <m:sub>
                          <m:r>
                            <m:rPr/>
                            <w:rPr>
                              <w:rFonts w:ascii="Cambria Math" w:hAnsi="Cambria Math" w:eastAsia="宋体" w:cs="Times New Roman"/>
                              <w:sz w:val="24"/>
                              <w:szCs w:val="28"/>
                            </w:rPr>
                            <m:t>N</m:t>
                          </m:r>
                          <m:r>
                            <m:rPr>
                              <m:sty m:val="p"/>
                            </m:rPr>
                            <w:rPr>
                              <w:rFonts w:hint="eastAsia" w:ascii="Cambria Math" w:hAnsi="Cambria Math" w:eastAsia="宋体" w:cs="Times New Roman"/>
                              <w:sz w:val="24"/>
                              <w:szCs w:val="28"/>
                            </w:rPr>
                            <m:t>采</m:t>
                          </m:r>
                          <m:ctrlPr>
                            <w:rPr>
                              <w:rFonts w:ascii="Cambria Math" w:hAnsi="Cambria Math" w:eastAsia="宋体" w:cs="Times New Roman"/>
                              <w:i/>
                              <w:sz w:val="24"/>
                              <w:szCs w:val="28"/>
                            </w:rPr>
                          </m:ctrlPr>
                        </m:sub>
                      </m:sSub>
                      <m:ctrlPr>
                        <w:rPr>
                          <w:rFonts w:ascii="Cambria Math" w:hAnsi="Cambria Math" w:eastAsia="宋体" w:cs="Times New Roman"/>
                          <w:i/>
                          <w:sz w:val="24"/>
                          <w:szCs w:val="28"/>
                        </w:rPr>
                      </m:ctrlPr>
                    </m:e>
                  </m:d>
                  <m:ctrlPr>
                    <w:rPr>
                      <w:rFonts w:ascii="Cambria Math" w:hAnsi="Cambria Math" w:eastAsia="宋体" w:cs="Times New Roman"/>
                      <w:i/>
                      <w:sz w:val="24"/>
                      <w:szCs w:val="28"/>
                    </w:rPr>
                  </m:ctrlPr>
                </m:e>
                <m:sup>
                  <m:r>
                    <m:rPr/>
                    <w:rPr>
                      <w:rFonts w:ascii="Cambria Math" w:hAnsi="Cambria Math" w:eastAsia="宋体" w:cs="Times New Roman"/>
                      <w:sz w:val="24"/>
                      <w:szCs w:val="28"/>
                    </w:rPr>
                    <m:t>2</m:t>
                  </m:r>
                  <m:ctrlPr>
                    <w:rPr>
                      <w:rFonts w:ascii="Cambria Math" w:hAnsi="Cambria Math" w:eastAsia="宋体" w:cs="Times New Roman"/>
                      <w:i/>
                      <w:sz w:val="24"/>
                      <w:szCs w:val="28"/>
                    </w:rPr>
                  </m:ctrlPr>
                </m:sup>
              </m:sSup>
              <m:r>
                <m:rPr/>
                <w:rPr>
                  <w:rFonts w:ascii="Cambria Math" w:hAnsi="Cambria Math" w:eastAsia="宋体" w:cs="Times New Roman"/>
                  <w:sz w:val="24"/>
                  <w:szCs w:val="28"/>
                </w:rPr>
                <m:t>+</m:t>
              </m:r>
              <m:sSup>
                <m:sSupPr>
                  <m:ctrlPr>
                    <w:rPr>
                      <w:rFonts w:ascii="Cambria Math" w:hAnsi="Cambria Math" w:eastAsia="宋体" w:cs="Times New Roman"/>
                      <w:i/>
                      <w:sz w:val="24"/>
                      <w:szCs w:val="28"/>
                    </w:rPr>
                  </m:ctrlPr>
                </m:sSupPr>
                <m:e>
                  <m:d>
                    <m:dPr>
                      <m:ctrlPr>
                        <w:rPr>
                          <w:rFonts w:ascii="Cambria Math" w:hAnsi="Cambria Math" w:eastAsia="宋体" w:cs="Times New Roman"/>
                          <w:i/>
                          <w:sz w:val="24"/>
                          <w:szCs w:val="28"/>
                        </w:rPr>
                      </m:ctrlPr>
                    </m:dPr>
                    <m:e>
                      <m:sSub>
                        <m:sSubPr>
                          <m:ctrlPr>
                            <w:rPr>
                              <w:rFonts w:ascii="Cambria Math" w:hAnsi="Cambria Math" w:eastAsia="宋体" w:cs="Times New Roman"/>
                              <w:i/>
                              <w:sz w:val="24"/>
                              <w:szCs w:val="28"/>
                            </w:rPr>
                          </m:ctrlPr>
                        </m:sSubPr>
                        <m:e>
                          <m:r>
                            <m:rPr/>
                            <w:rPr>
                              <w:rFonts w:hint="eastAsia" w:ascii="Cambria Math" w:hAnsi="Cambria Math" w:eastAsia="宋体" w:cs="Times New Roman"/>
                              <w:sz w:val="24"/>
                              <w:szCs w:val="28"/>
                            </w:rPr>
                            <m:t>u</m:t>
                          </m:r>
                          <m:ctrlPr>
                            <w:rPr>
                              <w:rFonts w:ascii="Cambria Math" w:hAnsi="Cambria Math" w:eastAsia="宋体" w:cs="Times New Roman"/>
                              <w:i/>
                              <w:sz w:val="24"/>
                              <w:szCs w:val="28"/>
                            </w:rPr>
                          </m:ctrlPr>
                        </m:e>
                        <m:sub>
                          <m:r>
                            <m:rPr>
                              <m:sty m:val="p"/>
                            </m:rPr>
                            <w:rPr>
                              <w:rFonts w:hint="eastAsia" w:ascii="Cambria Math" w:hAnsi="Cambria Math" w:eastAsia="宋体" w:cs="Times New Roman"/>
                              <w:sz w:val="24"/>
                              <w:szCs w:val="28"/>
                            </w:rPr>
                            <m:t>碳测</m:t>
                          </m:r>
                          <m:ctrlPr>
                            <w:rPr>
                              <w:rFonts w:ascii="Cambria Math" w:hAnsi="Cambria Math" w:eastAsia="宋体" w:cs="Times New Roman"/>
                              <w:i/>
                              <w:sz w:val="24"/>
                              <w:szCs w:val="28"/>
                            </w:rPr>
                          </m:ctrlPr>
                        </m:sub>
                      </m:sSub>
                      <m:ctrlPr>
                        <w:rPr>
                          <w:rFonts w:ascii="Cambria Math" w:hAnsi="Cambria Math" w:eastAsia="宋体" w:cs="Times New Roman"/>
                          <w:i/>
                          <w:sz w:val="24"/>
                          <w:szCs w:val="28"/>
                        </w:rPr>
                      </m:ctrlPr>
                    </m:e>
                  </m:d>
                  <m:ctrlPr>
                    <w:rPr>
                      <w:rFonts w:ascii="Cambria Math" w:hAnsi="Cambria Math" w:eastAsia="宋体" w:cs="Times New Roman"/>
                      <w:i/>
                      <w:sz w:val="24"/>
                      <w:szCs w:val="28"/>
                    </w:rPr>
                  </m:ctrlPr>
                </m:e>
                <m:sup>
                  <m:r>
                    <m:rPr/>
                    <w:rPr>
                      <w:rFonts w:ascii="Cambria Math" w:hAnsi="Cambria Math" w:eastAsia="宋体" w:cs="Times New Roman"/>
                      <w:sz w:val="24"/>
                      <w:szCs w:val="28"/>
                    </w:rPr>
                    <m:t>2</m:t>
                  </m:r>
                  <m:ctrlPr>
                    <w:rPr>
                      <w:rFonts w:ascii="Cambria Math" w:hAnsi="Cambria Math" w:eastAsia="宋体" w:cs="Times New Roman"/>
                      <w:i/>
                      <w:sz w:val="24"/>
                      <w:szCs w:val="28"/>
                    </w:rPr>
                  </m:ctrlPr>
                </m:sup>
              </m:sSup>
              <m:r>
                <m:rPr/>
                <w:rPr>
                  <w:rFonts w:ascii="Cambria Math" w:hAnsi="Cambria Math" w:eastAsia="宋体" w:cs="Times New Roman"/>
                  <w:sz w:val="24"/>
                  <w:szCs w:val="28"/>
                </w:rPr>
                <m:t>+</m:t>
              </m:r>
              <m:sSup>
                <m:sSupPr>
                  <m:ctrlPr>
                    <w:rPr>
                      <w:rFonts w:ascii="Cambria Math" w:hAnsi="Cambria Math" w:eastAsia="宋体" w:cs="Times New Roman"/>
                      <w:i/>
                      <w:sz w:val="24"/>
                      <w:szCs w:val="28"/>
                    </w:rPr>
                  </m:ctrlPr>
                </m:sSupPr>
                <m:e>
                  <m:d>
                    <m:dPr>
                      <m:ctrlPr>
                        <w:rPr>
                          <w:rFonts w:ascii="Cambria Math" w:hAnsi="Cambria Math" w:eastAsia="宋体" w:cs="Times New Roman"/>
                          <w:i/>
                          <w:sz w:val="24"/>
                          <w:szCs w:val="28"/>
                        </w:rPr>
                      </m:ctrlPr>
                    </m:dPr>
                    <m:e>
                      <m:sSub>
                        <m:sSubPr>
                          <m:ctrlPr>
                            <w:rPr>
                              <w:rFonts w:ascii="Cambria Math" w:hAnsi="Cambria Math" w:eastAsia="宋体" w:cs="Times New Roman"/>
                              <w:i/>
                              <w:sz w:val="24"/>
                              <w:szCs w:val="28"/>
                            </w:rPr>
                          </m:ctrlPr>
                        </m:sSubPr>
                        <m:e>
                          <m:r>
                            <m:rPr/>
                            <w:rPr>
                              <w:rFonts w:hint="eastAsia" w:ascii="Cambria Math" w:hAnsi="Cambria Math" w:eastAsia="宋体" w:cs="Times New Roman"/>
                              <w:sz w:val="24"/>
                              <w:szCs w:val="28"/>
                            </w:rPr>
                            <m:t>u</m:t>
                          </m:r>
                          <m:ctrlPr>
                            <w:rPr>
                              <w:rFonts w:ascii="Cambria Math" w:hAnsi="Cambria Math" w:eastAsia="宋体" w:cs="Times New Roman"/>
                              <w:i/>
                              <w:sz w:val="24"/>
                              <w:szCs w:val="28"/>
                            </w:rPr>
                          </m:ctrlPr>
                        </m:e>
                        <m:sub>
                          <m:r>
                            <m:rPr>
                              <m:sty m:val="p"/>
                            </m:rPr>
                            <w:rPr>
                              <w:rFonts w:hint="eastAsia" w:ascii="Cambria Math" w:hAnsi="Cambria Math" w:eastAsia="宋体" w:cs="Times New Roman"/>
                              <w:sz w:val="24"/>
                              <w:szCs w:val="28"/>
                            </w:rPr>
                            <m:t>热测</m:t>
                          </m:r>
                          <m:ctrlPr>
                            <w:rPr>
                              <w:rFonts w:ascii="Cambria Math" w:hAnsi="Cambria Math" w:eastAsia="宋体" w:cs="Times New Roman"/>
                              <w:i/>
                              <w:sz w:val="24"/>
                              <w:szCs w:val="28"/>
                            </w:rPr>
                          </m:ctrlPr>
                        </m:sub>
                      </m:sSub>
                      <m:ctrlPr>
                        <w:rPr>
                          <w:rFonts w:ascii="Cambria Math" w:hAnsi="Cambria Math" w:eastAsia="宋体" w:cs="Times New Roman"/>
                          <w:i/>
                          <w:sz w:val="24"/>
                          <w:szCs w:val="28"/>
                        </w:rPr>
                      </m:ctrlPr>
                    </m:e>
                  </m:d>
                  <m:ctrlPr>
                    <w:rPr>
                      <w:rFonts w:ascii="Cambria Math" w:hAnsi="Cambria Math" w:eastAsia="宋体" w:cs="Times New Roman"/>
                      <w:i/>
                      <w:sz w:val="24"/>
                      <w:szCs w:val="28"/>
                    </w:rPr>
                  </m:ctrlPr>
                </m:e>
                <m:sup>
                  <m:r>
                    <m:rPr/>
                    <w:rPr>
                      <w:rFonts w:ascii="Cambria Math" w:hAnsi="Cambria Math" w:eastAsia="宋体" w:cs="Times New Roman"/>
                      <w:sz w:val="24"/>
                      <w:szCs w:val="28"/>
                    </w:rPr>
                    <m:t>2</m:t>
                  </m:r>
                  <m:ctrlPr>
                    <w:rPr>
                      <w:rFonts w:ascii="Cambria Math" w:hAnsi="Cambria Math" w:eastAsia="宋体" w:cs="Times New Roman"/>
                      <w:i/>
                      <w:sz w:val="24"/>
                      <w:szCs w:val="28"/>
                    </w:rPr>
                  </m:ctrlPr>
                </m:sup>
              </m:sSup>
              <m:ctrlPr>
                <w:rPr>
                  <w:rFonts w:ascii="Cambria Math" w:hAnsi="Cambria Math" w:eastAsia="宋体" w:cs="Times New Roman"/>
                  <w:i/>
                  <w:sz w:val="24"/>
                  <w:szCs w:val="28"/>
                </w:rPr>
              </m:ctrlPr>
            </m:e>
          </m:rad>
          <m:r>
            <m:rPr/>
            <w:rPr>
              <w:rFonts w:ascii="Cambria Math" w:hAnsi="Cambria Math" w:eastAsia="宋体" w:cs="Times New Roman"/>
              <w:sz w:val="24"/>
              <w:szCs w:val="28"/>
            </w:rPr>
            <m:t>=</m:t>
          </m:r>
          <m:rad>
            <m:radPr>
              <m:degHide m:val="1"/>
              <m:ctrlPr>
                <w:rPr>
                  <w:rFonts w:ascii="Cambria Math" w:hAnsi="Cambria Math" w:eastAsia="宋体" w:cs="Times New Roman"/>
                  <w:i/>
                  <w:sz w:val="24"/>
                  <w:szCs w:val="28"/>
                </w:rPr>
              </m:ctrlPr>
            </m:radPr>
            <m:deg>
              <m:ctrlPr>
                <w:rPr>
                  <w:rFonts w:ascii="Cambria Math" w:hAnsi="Cambria Math" w:eastAsia="宋体" w:cs="Times New Roman"/>
                  <w:i/>
                  <w:sz w:val="24"/>
                  <w:szCs w:val="28"/>
                </w:rPr>
              </m:ctrlPr>
            </m:deg>
            <m:e>
              <m:sSup>
                <m:sSupPr>
                  <m:ctrlPr>
                    <w:rPr>
                      <w:rFonts w:ascii="Cambria Math" w:hAnsi="Cambria Math" w:eastAsia="宋体" w:cs="Times New Roman"/>
                      <w:i/>
                      <w:sz w:val="24"/>
                      <w:szCs w:val="28"/>
                    </w:rPr>
                  </m:ctrlPr>
                </m:sSupPr>
                <m:e>
                  <m:r>
                    <m:rPr/>
                    <w:rPr>
                      <w:rFonts w:ascii="Cambria Math" w:hAnsi="Cambria Math" w:eastAsia="宋体" w:cs="Times New Roman"/>
                      <w:sz w:val="24"/>
                      <w:szCs w:val="28"/>
                    </w:rPr>
                    <m:t>0.0005</m:t>
                  </m:r>
                  <m:ctrlPr>
                    <w:rPr>
                      <w:rFonts w:ascii="Cambria Math" w:hAnsi="Cambria Math" w:eastAsia="宋体" w:cs="Times New Roman"/>
                      <w:i/>
                      <w:sz w:val="24"/>
                      <w:szCs w:val="28"/>
                    </w:rPr>
                  </m:ctrlPr>
                </m:e>
                <m:sup>
                  <m:r>
                    <m:rPr/>
                    <w:rPr>
                      <w:rFonts w:ascii="Cambria Math" w:hAnsi="Cambria Math" w:eastAsia="宋体" w:cs="Times New Roman"/>
                      <w:sz w:val="24"/>
                      <w:szCs w:val="28"/>
                    </w:rPr>
                    <m:t>2</m:t>
                  </m:r>
                  <m:ctrlPr>
                    <w:rPr>
                      <w:rFonts w:ascii="Cambria Math" w:hAnsi="Cambria Math" w:eastAsia="宋体" w:cs="Times New Roman"/>
                      <w:i/>
                      <w:sz w:val="24"/>
                      <w:szCs w:val="28"/>
                    </w:rPr>
                  </m:ctrlPr>
                </m:sup>
              </m:sSup>
              <m:r>
                <m:rPr/>
                <w:rPr>
                  <w:rFonts w:ascii="Cambria Math" w:hAnsi="Cambria Math" w:eastAsia="宋体" w:cs="Times New Roman"/>
                  <w:sz w:val="24"/>
                  <w:szCs w:val="28"/>
                </w:rPr>
                <m:t>+</m:t>
              </m:r>
              <m:sSup>
                <m:sSupPr>
                  <m:ctrlPr>
                    <w:rPr>
                      <w:rFonts w:ascii="Cambria Math" w:hAnsi="Cambria Math" w:eastAsia="宋体" w:cs="Times New Roman"/>
                      <w:i/>
                      <w:sz w:val="24"/>
                      <w:szCs w:val="28"/>
                    </w:rPr>
                  </m:ctrlPr>
                </m:sSupPr>
                <m:e>
                  <m:r>
                    <m:rPr/>
                    <w:rPr>
                      <w:rFonts w:ascii="Cambria Math" w:hAnsi="Cambria Math" w:eastAsia="宋体" w:cs="Times New Roman"/>
                      <w:sz w:val="24"/>
                      <w:szCs w:val="28"/>
                    </w:rPr>
                    <m:t>0.0069</m:t>
                  </m:r>
                  <m:ctrlPr>
                    <w:rPr>
                      <w:rFonts w:ascii="Cambria Math" w:hAnsi="Cambria Math" w:eastAsia="宋体" w:cs="Times New Roman"/>
                      <w:i/>
                      <w:sz w:val="24"/>
                      <w:szCs w:val="28"/>
                    </w:rPr>
                  </m:ctrlPr>
                </m:e>
                <m:sup>
                  <m:r>
                    <m:rPr/>
                    <w:rPr>
                      <w:rFonts w:ascii="Cambria Math" w:hAnsi="Cambria Math" w:eastAsia="宋体" w:cs="Times New Roman"/>
                      <w:sz w:val="24"/>
                      <w:szCs w:val="28"/>
                    </w:rPr>
                    <m:t>2</m:t>
                  </m:r>
                  <m:ctrlPr>
                    <w:rPr>
                      <w:rFonts w:ascii="Cambria Math" w:hAnsi="Cambria Math" w:eastAsia="宋体" w:cs="Times New Roman"/>
                      <w:i/>
                      <w:sz w:val="24"/>
                      <w:szCs w:val="28"/>
                    </w:rPr>
                  </m:ctrlPr>
                </m:sup>
              </m:sSup>
              <m:r>
                <m:rPr/>
                <w:rPr>
                  <w:rFonts w:ascii="Cambria Math" w:hAnsi="Cambria Math" w:eastAsia="宋体" w:cs="Times New Roman"/>
                  <w:sz w:val="24"/>
                  <w:szCs w:val="28"/>
                </w:rPr>
                <m:t>+</m:t>
              </m:r>
              <m:sSup>
                <m:sSupPr>
                  <m:ctrlPr>
                    <w:rPr>
                      <w:rFonts w:ascii="Cambria Math" w:hAnsi="Cambria Math" w:eastAsia="宋体" w:cs="Times New Roman"/>
                      <w:i/>
                      <w:sz w:val="24"/>
                      <w:szCs w:val="28"/>
                    </w:rPr>
                  </m:ctrlPr>
                </m:sSupPr>
                <m:e>
                  <m:r>
                    <m:rPr/>
                    <w:rPr>
                      <w:rFonts w:ascii="Cambria Math" w:hAnsi="Cambria Math" w:eastAsia="宋体" w:cs="Times New Roman"/>
                      <w:sz w:val="24"/>
                      <w:szCs w:val="28"/>
                    </w:rPr>
                    <m:t>0.0214</m:t>
                  </m:r>
                  <m:ctrlPr>
                    <w:rPr>
                      <w:rFonts w:ascii="Cambria Math" w:hAnsi="Cambria Math" w:eastAsia="宋体" w:cs="Times New Roman"/>
                      <w:i/>
                      <w:sz w:val="24"/>
                      <w:szCs w:val="28"/>
                    </w:rPr>
                  </m:ctrlPr>
                </m:e>
                <m:sup>
                  <m:r>
                    <m:rPr/>
                    <w:rPr>
                      <w:rFonts w:ascii="Cambria Math" w:hAnsi="Cambria Math" w:eastAsia="宋体" w:cs="Times New Roman"/>
                      <w:sz w:val="24"/>
                      <w:szCs w:val="28"/>
                    </w:rPr>
                    <m:t>2</m:t>
                  </m:r>
                  <m:ctrlPr>
                    <w:rPr>
                      <w:rFonts w:ascii="Cambria Math" w:hAnsi="Cambria Math" w:eastAsia="宋体" w:cs="Times New Roman"/>
                      <w:i/>
                      <w:sz w:val="24"/>
                      <w:szCs w:val="28"/>
                    </w:rPr>
                  </m:ctrlPr>
                </m:sup>
              </m:sSup>
              <m:r>
                <m:rPr/>
                <w:rPr>
                  <w:rFonts w:ascii="Cambria Math" w:hAnsi="Cambria Math" w:eastAsia="宋体" w:cs="Times New Roman"/>
                  <w:sz w:val="24"/>
                  <w:szCs w:val="28"/>
                </w:rPr>
                <m:t>+</m:t>
              </m:r>
              <m:sSup>
                <m:sSupPr>
                  <m:ctrlPr>
                    <w:rPr>
                      <w:rFonts w:ascii="Cambria Math" w:hAnsi="Cambria Math" w:eastAsia="宋体" w:cs="Times New Roman"/>
                      <w:i/>
                      <w:sz w:val="24"/>
                      <w:szCs w:val="28"/>
                    </w:rPr>
                  </m:ctrlPr>
                </m:sSupPr>
                <m:e>
                  <m:r>
                    <m:rPr/>
                    <w:rPr>
                      <w:rFonts w:ascii="Cambria Math" w:hAnsi="Cambria Math" w:eastAsia="宋体" w:cs="Times New Roman"/>
                      <w:sz w:val="24"/>
                      <w:szCs w:val="28"/>
                    </w:rPr>
                    <m:t>0.0152</m:t>
                  </m:r>
                  <m:ctrlPr>
                    <w:rPr>
                      <w:rFonts w:ascii="Cambria Math" w:hAnsi="Cambria Math" w:eastAsia="宋体" w:cs="Times New Roman"/>
                      <w:i/>
                      <w:sz w:val="24"/>
                      <w:szCs w:val="28"/>
                    </w:rPr>
                  </m:ctrlPr>
                </m:e>
                <m:sup>
                  <m:r>
                    <m:rPr/>
                    <w:rPr>
                      <w:rFonts w:ascii="Cambria Math" w:hAnsi="Cambria Math" w:eastAsia="宋体" w:cs="Times New Roman"/>
                      <w:sz w:val="24"/>
                      <w:szCs w:val="28"/>
                    </w:rPr>
                    <m:t>2</m:t>
                  </m:r>
                  <m:ctrlPr>
                    <w:rPr>
                      <w:rFonts w:ascii="Cambria Math" w:hAnsi="Cambria Math" w:eastAsia="宋体" w:cs="Times New Roman"/>
                      <w:i/>
                      <w:sz w:val="24"/>
                      <w:szCs w:val="28"/>
                    </w:rPr>
                  </m:ctrlPr>
                </m:sup>
              </m:sSup>
              <m:ctrlPr>
                <w:rPr>
                  <w:rFonts w:ascii="Cambria Math" w:hAnsi="Cambria Math" w:eastAsia="宋体" w:cs="Times New Roman"/>
                  <w:i/>
                  <w:sz w:val="24"/>
                  <w:szCs w:val="28"/>
                </w:rPr>
              </m:ctrlPr>
            </m:e>
          </m:rad>
          <m:r>
            <m:rPr/>
            <w:rPr>
              <w:rFonts w:ascii="Cambria Math" w:hAnsi="Cambria Math" w:eastAsia="宋体" w:cs="Times New Roman"/>
              <w:sz w:val="24"/>
              <w:szCs w:val="28"/>
            </w:rPr>
            <m:t>=2.71%</m:t>
          </m:r>
        </m:oMath>
      </m:oMathPara>
    </w:p>
    <w:p w14:paraId="3B0019BC">
      <w:pPr>
        <w:spacing w:line="360" w:lineRule="auto"/>
        <w:ind w:firstLine="480" w:firstLineChars="200"/>
        <w:rPr>
          <w:rFonts w:ascii="Times New Roman" w:hAnsi="Times New Roman" w:eastAsia="宋体" w:cs="Times New Roman"/>
          <w:sz w:val="24"/>
          <w:szCs w:val="28"/>
        </w:rPr>
      </w:pPr>
      <w:r>
        <w:rPr>
          <w:rFonts w:hint="eastAsia" w:ascii="Times New Roman" w:hAnsi="Times New Roman" w:eastAsia="宋体" w:cs="Times New Roman"/>
          <w:sz w:val="24"/>
          <w:szCs w:val="28"/>
        </w:rPr>
        <w:t>柴油</w:t>
      </w:r>
      <w:r>
        <w:rPr>
          <w:rFonts w:hint="eastAsia" w:cs="Times New Roman"/>
          <w:sz w:val="24"/>
          <w:szCs w:val="28"/>
          <w:lang w:val="en-US" w:eastAsia="zh-CN"/>
        </w:rPr>
        <w:t>叉车</w:t>
      </w:r>
      <w:r>
        <w:rPr>
          <w:rFonts w:hint="eastAsia" w:ascii="Times New Roman" w:hAnsi="Times New Roman" w:eastAsia="宋体" w:cs="Times New Roman"/>
          <w:sz w:val="24"/>
          <w:szCs w:val="28"/>
        </w:rPr>
        <w:t>产生的排放量标准不确定度为：</w:t>
      </w:r>
    </w:p>
    <w:p w14:paraId="7C4B99AA">
      <w:pPr>
        <w:pStyle w:val="46"/>
        <w:rPr>
          <w:position w:val="-40"/>
        </w:rPr>
      </w:pPr>
      <m:oMathPara>
        <m:oMath>
          <m:r>
            <m:rPr/>
            <w:rPr>
              <w:rFonts w:hint="default" w:ascii="Cambria Math" w:hAnsi="Cambria Math"/>
              <w:sz w:val="24"/>
            </w:rPr>
            <m:t>u(</m:t>
          </m:r>
          <m:sSub>
            <m:sSubPr>
              <m:ctrlPr>
                <w:rPr>
                  <w:rFonts w:hint="default" w:ascii="Cambria Math" w:hAnsi="Cambria Math"/>
                  <w:sz w:val="24"/>
                </w:rPr>
              </m:ctrlPr>
            </m:sSubPr>
            <m:e>
              <m:r>
                <m:rPr/>
                <w:rPr>
                  <w:rFonts w:hint="default" w:ascii="Cambria Math" w:hAnsi="Cambria Math"/>
                  <w:sz w:val="24"/>
                </w:rPr>
                <m:t>T</m:t>
              </m:r>
              <m:ctrlPr>
                <w:rPr>
                  <w:rFonts w:ascii="Cambria Math" w:hAnsi="Cambria Math"/>
                  <w:sz w:val="24"/>
                </w:rPr>
              </m:ctrlPr>
            </m:e>
            <m:sub>
              <m:r>
                <m:rPr>
                  <m:sty m:val="p"/>
                </m:rPr>
                <w:rPr>
                  <w:rFonts w:hint="default" w:ascii="Cambria Math" w:hAnsi="Cambria Math"/>
                  <w:sz w:val="24"/>
                </w:rPr>
                <m:t>柴油</m:t>
              </m:r>
              <m:ctrlPr>
                <w:rPr>
                  <w:rFonts w:ascii="Cambria Math" w:hAnsi="Cambria Math"/>
                  <w:sz w:val="24"/>
                </w:rPr>
              </m:ctrlPr>
            </m:sub>
          </m:sSub>
          <m:r>
            <m:rPr/>
            <w:rPr>
              <w:rFonts w:hint="default" w:ascii="Cambria Math" w:hAnsi="Cambria Math"/>
              <w:sz w:val="24"/>
            </w:rPr>
            <m:t>)=</m:t>
          </m:r>
          <m:rad>
            <m:radPr>
              <m:degHide m:val="1"/>
              <m:ctrlPr>
                <w:rPr>
                  <w:rFonts w:hint="default" w:ascii="Cambria Math" w:hAnsi="Cambria Math"/>
                  <w:i/>
                  <w:sz w:val="24"/>
                </w:rPr>
              </m:ctrlPr>
            </m:radPr>
            <m:deg>
              <m:ctrlPr>
                <w:rPr>
                  <w:rFonts w:ascii="Cambria Math" w:hAnsi="Cambria Math"/>
                  <w:sz w:val="24"/>
                </w:rPr>
              </m:ctrlPr>
            </m:deg>
            <m:e>
              <m:sSubSup>
                <m:sSubSupPr>
                  <m:ctrlPr>
                    <w:rPr>
                      <w:rFonts w:ascii="Cambria Math" w:hAnsi="Cambria Math"/>
                      <w:sz w:val="24"/>
                    </w:rPr>
                  </m:ctrlPr>
                </m:sSubSupPr>
                <m:e>
                  <m:r>
                    <m:rPr>
                      <m:sty m:val="p"/>
                    </m:rPr>
                    <w:rPr>
                      <w:rFonts w:hint="default" w:ascii="Cambria Math" w:hAnsi="Cambria Math"/>
                      <w:sz w:val="24"/>
                      <w:lang w:val="en-US" w:eastAsia="zh-CN"/>
                    </w:rPr>
                    <m:t>T</m:t>
                  </m:r>
                  <m:ctrlPr>
                    <w:rPr>
                      <w:rFonts w:ascii="Cambria Math" w:hAnsi="Cambria Math"/>
                      <w:sz w:val="24"/>
                    </w:rPr>
                  </m:ctrlPr>
                </m:e>
                <m:sub>
                  <m:r>
                    <m:rPr>
                      <m:sty m:val="p"/>
                    </m:rPr>
                    <w:rPr>
                      <w:rFonts w:hint="eastAsia" w:ascii="Cambria Math" w:hAnsi="Cambria Math"/>
                      <w:sz w:val="24"/>
                      <w:lang w:val="en-US" w:eastAsia="zh-CN"/>
                    </w:rPr>
                    <m:t>柴油</m:t>
                  </m:r>
                  <m:ctrlPr>
                    <w:rPr>
                      <w:rFonts w:ascii="Cambria Math" w:hAnsi="Cambria Math"/>
                      <w:sz w:val="24"/>
                    </w:rPr>
                  </m:ctrlPr>
                </m:sub>
                <m:sup>
                  <m:r>
                    <m:rPr>
                      <m:sty m:val="p"/>
                    </m:rPr>
                    <w:rPr>
                      <w:rFonts w:hint="default" w:ascii="Cambria Math" w:hAnsi="Cambria Math"/>
                      <w:sz w:val="24"/>
                      <w:lang w:val="en-US" w:eastAsia="zh-CN"/>
                    </w:rPr>
                    <m:t>2</m:t>
                  </m:r>
                  <m:ctrlPr>
                    <w:rPr>
                      <w:rFonts w:ascii="Cambria Math" w:hAnsi="Cambria Math"/>
                      <w:sz w:val="24"/>
                    </w:rPr>
                  </m:ctrlPr>
                </m:sup>
              </m:sSubSup>
              <m:r>
                <m:rPr/>
                <w:rPr>
                  <w:rFonts w:hint="default" w:ascii="Cambria Math" w:hAnsi="Cambria Math"/>
                  <w:sz w:val="24"/>
                </w:rPr>
                <m:t>⋅</m:t>
              </m:r>
              <m:sSup>
                <m:sSupPr>
                  <m:ctrlPr>
                    <w:rPr>
                      <w:rFonts w:hint="default" w:ascii="Cambria Math" w:hAnsi="Cambria Math"/>
                      <w:sz w:val="24"/>
                    </w:rPr>
                  </m:ctrlPr>
                </m:sSupPr>
                <m:e>
                  <m:d>
                    <m:dPr>
                      <m:begChr m:val="["/>
                      <m:endChr m:val="]"/>
                      <m:ctrlPr>
                        <w:rPr>
                          <w:rFonts w:hint="default" w:ascii="Cambria Math" w:hAnsi="Cambria Math"/>
                          <w:i/>
                          <w:sz w:val="24"/>
                        </w:rPr>
                      </m:ctrlPr>
                    </m:dPr>
                    <m:e>
                      <m:f>
                        <m:fPr>
                          <m:ctrlPr>
                            <w:rPr>
                              <w:rFonts w:hint="default" w:ascii="Cambria Math" w:hAnsi="Cambria Math"/>
                              <w:i/>
                              <w:sz w:val="24"/>
                            </w:rPr>
                          </m:ctrlPr>
                        </m:fPr>
                        <m:num>
                          <m:r>
                            <m:rPr/>
                            <w:rPr>
                              <w:rFonts w:hint="default" w:ascii="Cambria Math" w:hAnsi="Cambria Math"/>
                              <w:sz w:val="24"/>
                            </w:rPr>
                            <m:t>u(A)</m:t>
                          </m:r>
                          <m:ctrlPr>
                            <w:rPr>
                              <w:rFonts w:ascii="Cambria Math" w:hAnsi="Cambria Math"/>
                              <w:sz w:val="24"/>
                            </w:rPr>
                          </m:ctrlPr>
                        </m:num>
                        <m:den>
                          <m:r>
                            <m:rPr/>
                            <w:rPr>
                              <w:rFonts w:hint="default" w:ascii="Cambria Math" w:hAnsi="Cambria Math"/>
                              <w:sz w:val="24"/>
                            </w:rPr>
                            <m:t>A</m:t>
                          </m:r>
                          <m:ctrlPr>
                            <w:rPr>
                              <w:rFonts w:ascii="Cambria Math" w:hAnsi="Cambria Math"/>
                              <w:sz w:val="24"/>
                            </w:rPr>
                          </m:ctrlPr>
                        </m:den>
                      </m:f>
                      <m:ctrlPr>
                        <w:rPr>
                          <w:rFonts w:hint="default" w:ascii="Cambria Math" w:hAnsi="Cambria Math"/>
                          <w:i/>
                          <w:sz w:val="24"/>
                        </w:rPr>
                      </m:ctrlPr>
                    </m:e>
                  </m:d>
                  <m:ctrlPr>
                    <w:rPr>
                      <w:rFonts w:hint="default" w:ascii="Cambria Math" w:hAnsi="Cambria Math"/>
                      <w:i/>
                      <w:sz w:val="24"/>
                    </w:rPr>
                  </m:ctrlPr>
                </m:e>
                <m:sup>
                  <m:r>
                    <m:rPr/>
                    <w:rPr>
                      <w:rFonts w:hint="default" w:ascii="Cambria Math" w:hAnsi="Cambria Math"/>
                      <w:sz w:val="24"/>
                    </w:rPr>
                    <m:t>2</m:t>
                  </m:r>
                  <m:ctrlPr>
                    <w:rPr>
                      <w:rFonts w:hint="default" w:ascii="Cambria Math" w:hAnsi="Cambria Math"/>
                      <w:i/>
                      <w:sz w:val="24"/>
                    </w:rPr>
                  </m:ctrlPr>
                </m:sup>
              </m:sSup>
              <m:r>
                <m:rPr/>
                <w:rPr>
                  <w:rFonts w:hint="default" w:ascii="Cambria Math" w:hAnsi="Cambria Math"/>
                  <w:sz w:val="24"/>
                </w:rPr>
                <m:t>+</m:t>
              </m:r>
              <m:sSup>
                <m:sSupPr>
                  <m:ctrlPr>
                    <w:rPr>
                      <w:rFonts w:hint="default" w:ascii="Cambria Math" w:hAnsi="Cambria Math"/>
                      <w:sz w:val="24"/>
                    </w:rPr>
                  </m:ctrlPr>
                </m:sSupPr>
                <m:e>
                  <m:d>
                    <m:dPr>
                      <m:ctrlPr>
                        <w:rPr>
                          <w:rFonts w:hint="default" w:ascii="Cambria Math" w:hAnsi="Cambria Math"/>
                          <w:i/>
                          <w:sz w:val="24"/>
                        </w:rPr>
                      </m:ctrlPr>
                    </m:dPr>
                    <m:e>
                      <m:f>
                        <m:fPr>
                          <m:ctrlPr>
                            <w:rPr>
                              <w:rFonts w:hint="default" w:ascii="Cambria Math" w:hAnsi="Cambria Math"/>
                              <w:i/>
                              <w:sz w:val="24"/>
                            </w:rPr>
                          </m:ctrlPr>
                        </m:fPr>
                        <m:num>
                          <m:r>
                            <m:rPr/>
                            <w:rPr>
                              <w:rFonts w:hint="default" w:ascii="Cambria Math" w:hAnsi="Cambria Math"/>
                              <w:sz w:val="24"/>
                            </w:rPr>
                            <m:t>u(E)</m:t>
                          </m:r>
                          <m:ctrlPr>
                            <w:rPr>
                              <w:rFonts w:ascii="Cambria Math" w:hAnsi="Cambria Math"/>
                              <w:sz w:val="24"/>
                            </w:rPr>
                          </m:ctrlPr>
                        </m:num>
                        <m:den>
                          <m:r>
                            <m:rPr/>
                            <w:rPr>
                              <w:rFonts w:hint="default" w:ascii="Cambria Math" w:hAnsi="Cambria Math"/>
                              <w:sz w:val="24"/>
                            </w:rPr>
                            <m:t>E</m:t>
                          </m:r>
                          <m:ctrlPr>
                            <w:rPr>
                              <w:rFonts w:ascii="Cambria Math" w:hAnsi="Cambria Math"/>
                              <w:sz w:val="24"/>
                            </w:rPr>
                          </m:ctrlPr>
                        </m:den>
                      </m:f>
                      <m:ctrlPr>
                        <w:rPr>
                          <w:rFonts w:hint="default" w:ascii="Cambria Math" w:hAnsi="Cambria Math"/>
                          <w:i/>
                          <w:sz w:val="24"/>
                        </w:rPr>
                      </m:ctrlPr>
                    </m:e>
                  </m:d>
                  <m:ctrlPr>
                    <w:rPr>
                      <w:rFonts w:hint="default" w:ascii="Cambria Math" w:hAnsi="Cambria Math"/>
                      <w:i/>
                      <w:sz w:val="24"/>
                    </w:rPr>
                  </m:ctrlPr>
                </m:e>
                <m:sup>
                  <m:r>
                    <m:rPr/>
                    <w:rPr>
                      <w:rFonts w:hint="default" w:ascii="Cambria Math" w:hAnsi="Cambria Math"/>
                      <w:sz w:val="24"/>
                    </w:rPr>
                    <m:t>2</m:t>
                  </m:r>
                  <m:ctrlPr>
                    <w:rPr>
                      <w:rFonts w:hint="default" w:ascii="Cambria Math" w:hAnsi="Cambria Math"/>
                      <w:i/>
                      <w:sz w:val="24"/>
                    </w:rPr>
                  </m:ctrlPr>
                </m:sup>
              </m:sSup>
              <m:ctrlPr>
                <w:rPr>
                  <w:rFonts w:hint="default" w:ascii="Cambria Math" w:hAnsi="Cambria Math"/>
                  <w:sz w:val="24"/>
                </w:rPr>
              </m:ctrlPr>
            </m:e>
          </m:rad>
          <m:r>
            <m:rPr/>
            <w:rPr>
              <w:rFonts w:hint="default" w:ascii="Cambria Math" w:hAnsi="Cambria Math"/>
              <w:sz w:val="24"/>
            </w:rPr>
            <m:t>=</m:t>
          </m:r>
          <m:rad>
            <m:radPr>
              <m:degHide m:val="1"/>
              <m:ctrlPr>
                <w:rPr>
                  <w:rFonts w:hint="default" w:ascii="Cambria Math" w:hAnsi="Cambria Math"/>
                  <w:i/>
                  <w:sz w:val="24"/>
                </w:rPr>
              </m:ctrlPr>
            </m:radPr>
            <m:deg>
              <m:ctrlPr>
                <w:rPr>
                  <w:rFonts w:hint="default" w:ascii="Cambria Math" w:hAnsi="Cambria Math"/>
                  <w:sz w:val="24"/>
                </w:rPr>
              </m:ctrlPr>
            </m:deg>
            <m:e>
              <m:r>
                <m:rPr/>
                <w:rPr>
                  <w:rFonts w:hint="default" w:ascii="Cambria Math" w:hAnsi="Cambria Math"/>
                  <w:sz w:val="24"/>
                </w:rPr>
                <m:t>0.1</m:t>
              </m:r>
              <m:sSup>
                <m:sSupPr>
                  <m:ctrlPr>
                    <w:rPr>
                      <w:rFonts w:hint="default" w:ascii="Cambria Math" w:hAnsi="Cambria Math"/>
                      <w:sz w:val="24"/>
                    </w:rPr>
                  </m:ctrlPr>
                </m:sSupPr>
                <m:e>
                  <m:r>
                    <m:rPr/>
                    <w:rPr>
                      <w:rFonts w:hint="default" w:ascii="Cambria Math" w:hAnsi="Cambria Math"/>
                      <w:sz w:val="24"/>
                    </w:rPr>
                    <m:t>4</m:t>
                  </m:r>
                  <m:ctrlPr>
                    <w:rPr>
                      <w:rFonts w:hint="default" w:ascii="Cambria Math" w:hAnsi="Cambria Math"/>
                      <w:i/>
                      <w:sz w:val="24"/>
                    </w:rPr>
                  </m:ctrlPr>
                </m:e>
                <m:sup>
                  <m:r>
                    <m:rPr/>
                    <w:rPr>
                      <w:rFonts w:hint="default" w:ascii="Cambria Math" w:hAnsi="Cambria Math"/>
                      <w:sz w:val="24"/>
                    </w:rPr>
                    <m:t>2</m:t>
                  </m:r>
                  <m:ctrlPr>
                    <w:rPr>
                      <w:rFonts w:hint="default" w:ascii="Cambria Math" w:hAnsi="Cambria Math"/>
                      <w:i/>
                      <w:sz w:val="24"/>
                    </w:rPr>
                  </m:ctrlPr>
                </m:sup>
              </m:sSup>
              <m:r>
                <m:rPr>
                  <m:sty m:val="p"/>
                </m:rPr>
                <w:rPr>
                  <w:rFonts w:hint="default" w:ascii="Cambria Math" w:hAnsi="Cambria Math"/>
                  <w:sz w:val="24"/>
                </w:rPr>
                <m:t>×</m:t>
              </m:r>
              <m:r>
                <m:rPr/>
                <w:rPr>
                  <w:rFonts w:hint="default" w:ascii="Cambria Math" w:hAnsi="Cambria Math"/>
                  <w:sz w:val="24"/>
                </w:rPr>
                <m:t>(0.018</m:t>
              </m:r>
              <m:sSup>
                <m:sSupPr>
                  <m:ctrlPr>
                    <w:rPr>
                      <w:rFonts w:hint="default" w:ascii="Cambria Math" w:hAnsi="Cambria Math"/>
                      <w:sz w:val="24"/>
                    </w:rPr>
                  </m:ctrlPr>
                </m:sSupPr>
                <m:e>
                  <m:r>
                    <m:rPr/>
                    <w:rPr>
                      <w:rFonts w:hint="default" w:ascii="Cambria Math" w:hAnsi="Cambria Math"/>
                      <w:sz w:val="24"/>
                    </w:rPr>
                    <m:t>0</m:t>
                  </m:r>
                  <m:ctrlPr>
                    <w:rPr>
                      <w:rFonts w:hint="default" w:ascii="Cambria Math" w:hAnsi="Cambria Math"/>
                      <w:i/>
                      <w:sz w:val="24"/>
                    </w:rPr>
                  </m:ctrlPr>
                </m:e>
                <m:sup>
                  <m:r>
                    <m:rPr/>
                    <w:rPr>
                      <w:rFonts w:hint="default" w:ascii="Cambria Math" w:hAnsi="Cambria Math"/>
                      <w:sz w:val="24"/>
                    </w:rPr>
                    <m:t>2</m:t>
                  </m:r>
                  <m:ctrlPr>
                    <w:rPr>
                      <w:rFonts w:hint="default" w:ascii="Cambria Math" w:hAnsi="Cambria Math"/>
                      <w:i/>
                      <w:sz w:val="24"/>
                    </w:rPr>
                  </m:ctrlPr>
                </m:sup>
              </m:sSup>
              <m:r>
                <m:rPr/>
                <w:rPr>
                  <w:rFonts w:hint="default" w:ascii="Cambria Math" w:hAnsi="Cambria Math"/>
                  <w:sz w:val="24"/>
                </w:rPr>
                <m:t>+0.027</m:t>
              </m:r>
              <m:sSup>
                <m:sSupPr>
                  <m:ctrlPr>
                    <w:rPr>
                      <w:rFonts w:hint="default" w:ascii="Cambria Math" w:hAnsi="Cambria Math"/>
                      <w:sz w:val="24"/>
                    </w:rPr>
                  </m:ctrlPr>
                </m:sSupPr>
                <m:e>
                  <m:r>
                    <m:rPr/>
                    <w:rPr>
                      <w:rFonts w:hint="default" w:ascii="Cambria Math" w:hAnsi="Cambria Math"/>
                      <w:sz w:val="24"/>
                    </w:rPr>
                    <m:t>1</m:t>
                  </m:r>
                  <m:ctrlPr>
                    <w:rPr>
                      <w:rFonts w:hint="default" w:ascii="Cambria Math" w:hAnsi="Cambria Math"/>
                      <w:i/>
                      <w:sz w:val="24"/>
                    </w:rPr>
                  </m:ctrlPr>
                </m:e>
                <m:sup>
                  <m:r>
                    <m:rPr/>
                    <w:rPr>
                      <w:rFonts w:hint="default" w:ascii="Cambria Math" w:hAnsi="Cambria Math"/>
                      <w:sz w:val="24"/>
                    </w:rPr>
                    <m:t>2</m:t>
                  </m:r>
                  <m:ctrlPr>
                    <w:rPr>
                      <w:rFonts w:hint="default" w:ascii="Cambria Math" w:hAnsi="Cambria Math"/>
                      <w:i/>
                      <w:sz w:val="24"/>
                    </w:rPr>
                  </m:ctrlPr>
                </m:sup>
              </m:sSup>
              <m:r>
                <m:rPr/>
                <w:rPr>
                  <w:rFonts w:hint="default" w:ascii="Cambria Math" w:hAnsi="Cambria Math"/>
                  <w:sz w:val="24"/>
                </w:rPr>
                <m:t>)</m:t>
              </m:r>
              <m:ctrlPr>
                <w:rPr>
                  <w:rFonts w:hint="default" w:ascii="Cambria Math" w:hAnsi="Cambria Math"/>
                  <w:sz w:val="24"/>
                </w:rPr>
              </m:ctrlPr>
            </m:e>
          </m:rad>
          <m:r>
            <m:rPr/>
            <w:rPr>
              <w:rFonts w:hint="default" w:ascii="Cambria Math" w:hAnsi="Cambria Math"/>
              <w:sz w:val="24"/>
            </w:rPr>
            <m:t>=0.0046tC</m:t>
          </m:r>
          <m:sSub>
            <m:sSubPr>
              <m:ctrlPr>
                <w:rPr>
                  <w:rFonts w:hint="default" w:ascii="Cambria Math" w:hAnsi="Cambria Math"/>
                  <w:sz w:val="24"/>
                </w:rPr>
              </m:ctrlPr>
            </m:sSubPr>
            <m:e>
              <m:r>
                <m:rPr/>
                <w:rPr>
                  <w:rFonts w:hint="default" w:ascii="Cambria Math" w:hAnsi="Cambria Math"/>
                  <w:sz w:val="24"/>
                </w:rPr>
                <m:t>O</m:t>
              </m:r>
              <m:ctrlPr>
                <w:rPr>
                  <w:rFonts w:hint="default" w:ascii="Cambria Math" w:hAnsi="Cambria Math"/>
                  <w:sz w:val="24"/>
                </w:rPr>
              </m:ctrlPr>
            </m:e>
            <m:sub>
              <m:r>
                <m:rPr/>
                <w:rPr>
                  <w:rFonts w:hint="default" w:ascii="Cambria Math" w:hAnsi="Cambria Math"/>
                  <w:sz w:val="24"/>
                </w:rPr>
                <m:t>2</m:t>
              </m:r>
              <m:ctrlPr>
                <w:rPr>
                  <w:rFonts w:hint="default" w:ascii="Cambria Math" w:hAnsi="Cambria Math"/>
                  <w:sz w:val="24"/>
                </w:rPr>
              </m:ctrlPr>
            </m:sub>
          </m:sSub>
        </m:oMath>
      </m:oMathPara>
    </w:p>
    <w:p w14:paraId="57B399E0">
      <w:pPr>
        <w:pStyle w:val="46"/>
        <w:rPr>
          <w:rFonts w:ascii="Times New Roman" w:hAnsi="Times New Roman" w:eastAsia="宋体" w:cs="Times New Roman"/>
          <w:sz w:val="24"/>
          <w:szCs w:val="28"/>
        </w:rPr>
      </w:pPr>
      <w:r>
        <w:rPr>
          <w:rFonts w:hint="eastAsia" w:ascii="Times New Roman" w:hAnsi="Times New Roman" w:eastAsia="宋体" w:cs="Times New Roman"/>
          <w:sz w:val="24"/>
          <w:szCs w:val="28"/>
        </w:rPr>
        <w:t>综合以上分析，该</w:t>
      </w:r>
      <w:r>
        <w:rPr>
          <w:rFonts w:hint="eastAsia" w:cs="Times New Roman"/>
          <w:szCs w:val="28"/>
          <w:lang w:val="en-US" w:eastAsia="zh-CN"/>
        </w:rPr>
        <w:t>精装修模块房生产</w:t>
      </w:r>
      <w:r>
        <w:rPr>
          <w:rFonts w:hint="eastAsia" w:cs="Times New Roman"/>
          <w:sz w:val="24"/>
          <w:szCs w:val="28"/>
          <w:lang w:val="en-US" w:eastAsia="zh-CN"/>
        </w:rPr>
        <w:t>阶段</w:t>
      </w:r>
      <w:r>
        <w:rPr>
          <w:rFonts w:hint="eastAsia" w:ascii="Times New Roman" w:hAnsi="Times New Roman" w:eastAsia="宋体" w:cs="Times New Roman"/>
          <w:sz w:val="24"/>
          <w:szCs w:val="28"/>
        </w:rPr>
        <w:t>总碳排放量合成标准不确定度为</w:t>
      </w:r>
    </w:p>
    <w:p w14:paraId="7C0FA1D8">
      <w:pPr>
        <w:pStyle w:val="46"/>
      </w:pPr>
      <m:oMath>
        <m:r>
          <m:rPr/>
          <w:rPr>
            <w:rFonts w:hint="default" w:ascii="Cambria Math" w:hAnsi="Cambria Math"/>
            <w:sz w:val="24"/>
          </w:rPr>
          <m:t>u(T)=</m:t>
        </m:r>
        <m:rad>
          <m:radPr>
            <m:degHide m:val="1"/>
            <m:ctrlPr>
              <w:rPr>
                <w:rFonts w:hint="default" w:ascii="Cambria Math" w:hAnsi="Cambria Math"/>
                <w:i/>
                <w:sz w:val="24"/>
              </w:rPr>
            </m:ctrlPr>
          </m:radPr>
          <m:deg>
            <m:ctrlPr>
              <w:rPr>
                <w:rFonts w:ascii="Cambria Math" w:hAnsi="Cambria Math"/>
                <w:sz w:val="24"/>
              </w:rPr>
            </m:ctrlPr>
          </m:deg>
          <m:e>
            <m:sSup>
              <m:sSupPr>
                <m:ctrlPr>
                  <w:rPr>
                    <w:rFonts w:hint="default" w:ascii="Cambria Math" w:hAnsi="Cambria Math"/>
                    <w:sz w:val="24"/>
                  </w:rPr>
                </m:ctrlPr>
              </m:sSupPr>
              <m:e>
                <m:r>
                  <m:rPr>
                    <m:sty m:val="p"/>
                  </m:rPr>
                  <w:rPr>
                    <w:rFonts w:hint="default" w:ascii="Cambria Math" w:hAnsi="Cambria Math"/>
                    <w:sz w:val="24"/>
                    <w:lang w:val="en-US" w:eastAsia="zh-CN"/>
                  </w:rPr>
                  <m:t>0.04</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r>
              <m:rPr/>
              <w:rPr>
                <w:rFonts w:hint="default" w:ascii="Cambria Math" w:hAnsi="Cambria Math"/>
                <w:sz w:val="24"/>
              </w:rPr>
              <m:t>+0.004</m:t>
            </m:r>
            <m:sSup>
              <m:sSupPr>
                <m:ctrlPr>
                  <w:rPr>
                    <w:rFonts w:hint="default" w:ascii="Cambria Math" w:hAnsi="Cambria Math"/>
                    <w:sz w:val="24"/>
                  </w:rPr>
                </m:ctrlPr>
              </m:sSupPr>
              <m:e>
                <m:r>
                  <m:rPr/>
                  <w:rPr>
                    <w:rFonts w:hint="default" w:ascii="Cambria Math" w:hAnsi="Cambria Math"/>
                    <w:sz w:val="24"/>
                  </w:rPr>
                  <m:t>6</m:t>
                </m:r>
                <m:ctrlPr>
                  <w:rPr>
                    <w:rFonts w:ascii="Cambria Math" w:hAnsi="Cambria Math"/>
                    <w:sz w:val="24"/>
                  </w:rPr>
                </m:ctrlPr>
              </m:e>
              <m:sup>
                <m:r>
                  <m:rPr/>
                  <w:rPr>
                    <w:rFonts w:hint="default" w:ascii="Cambria Math" w:hAnsi="Cambria Math"/>
                    <w:sz w:val="24"/>
                  </w:rPr>
                  <m:t>2</m:t>
                </m:r>
                <m:ctrlPr>
                  <w:rPr>
                    <w:rFonts w:ascii="Cambria Math" w:hAnsi="Cambria Math"/>
                    <w:sz w:val="24"/>
                  </w:rPr>
                </m:ctrlPr>
              </m:sup>
            </m:sSup>
            <m:ctrlPr>
              <w:rPr>
                <w:rFonts w:hint="default" w:ascii="Cambria Math" w:hAnsi="Cambria Math"/>
                <w:sz w:val="24"/>
              </w:rPr>
            </m:ctrlPr>
          </m:e>
        </m:rad>
        <m:r>
          <m:rPr/>
          <w:rPr>
            <w:rFonts w:hint="default" w:ascii="Cambria Math" w:hAnsi="Cambria Math"/>
            <w:sz w:val="24"/>
          </w:rPr>
          <m:t>=</m:t>
        </m:r>
        <m:r>
          <m:rPr/>
          <w:rPr>
            <w:rFonts w:hint="default" w:ascii="Cambria Math" w:hAnsi="Cambria Math"/>
            <w:sz w:val="24"/>
            <w:lang w:val="en-US" w:eastAsia="zh-CN"/>
          </w:rPr>
          <m:t>0.0402</m:t>
        </m:r>
        <m:r>
          <m:rPr/>
          <w:rPr>
            <w:rFonts w:hint="default" w:ascii="Cambria Math" w:hAnsi="Cambria Math"/>
            <w:sz w:val="24"/>
          </w:rPr>
          <m:t>tC</m:t>
        </m:r>
        <m:sSub>
          <m:sSubPr>
            <m:ctrlPr>
              <w:rPr>
                <w:rFonts w:hint="default" w:ascii="Cambria Math" w:hAnsi="Cambria Math"/>
                <w:sz w:val="24"/>
              </w:rPr>
            </m:ctrlPr>
          </m:sSubPr>
          <m:e>
            <m:r>
              <m:rPr/>
              <w:rPr>
                <w:rFonts w:hint="default" w:ascii="Cambria Math" w:hAnsi="Cambria Math"/>
                <w:sz w:val="24"/>
              </w:rPr>
              <m:t>O</m:t>
            </m:r>
            <m:ctrlPr>
              <w:rPr>
                <w:rFonts w:hint="default" w:ascii="Cambria Math" w:hAnsi="Cambria Math"/>
                <w:sz w:val="24"/>
              </w:rPr>
            </m:ctrlPr>
          </m:e>
          <m:sub>
            <m:r>
              <m:rPr/>
              <w:rPr>
                <w:rFonts w:hint="default" w:ascii="Cambria Math" w:hAnsi="Cambria Math"/>
                <w:sz w:val="24"/>
              </w:rPr>
              <m:t>2</m:t>
            </m:r>
            <m:ctrlPr>
              <w:rPr>
                <w:rFonts w:hint="default" w:ascii="Cambria Math" w:hAnsi="Cambria Math"/>
                <w:sz w:val="24"/>
              </w:rPr>
            </m:ctrlPr>
          </m:sub>
        </m:sSub>
      </m:oMath>
      <w:r>
        <w:t xml:space="preserve"> </w:t>
      </w:r>
    </w:p>
    <w:p w14:paraId="2BEC3541">
      <w:pPr>
        <w:rPr>
          <w:rFonts w:hint="default" w:ascii="Times New Roman" w:hAnsi="Times New Roman" w:cs="Times New Roman"/>
          <w:bCs/>
          <w:color w:val="auto"/>
          <w:kern w:val="0"/>
          <w:szCs w:val="24"/>
        </w:rPr>
      </w:pPr>
      <w:r>
        <w:rPr>
          <w:rFonts w:ascii="Times New Roman" w:hAnsi="Times New Roman" w:eastAsia="宋体" w:cs="Times New Roman"/>
          <w:sz w:val="24"/>
          <w:szCs w:val="28"/>
        </w:rPr>
        <w:t>相对不确定度为</w:t>
      </w:r>
      <w:r>
        <w:rPr>
          <w:rFonts w:hint="eastAsia" w:cs="Times New Roman"/>
          <w:sz w:val="24"/>
          <w:szCs w:val="28"/>
          <w:lang w:val="en-US" w:eastAsia="zh-CN"/>
        </w:rPr>
        <w:t>0.0402</w:t>
      </w:r>
      <w:r>
        <w:rPr>
          <w:rFonts w:ascii="Times New Roman" w:hAnsi="Times New Roman" w:eastAsia="宋体" w:cs="Times New Roman"/>
          <w:sz w:val="24"/>
          <w:szCs w:val="28"/>
        </w:rPr>
        <w:t>/(</w:t>
      </w:r>
      <w:r>
        <w:rPr>
          <w:rFonts w:hint="eastAsia" w:cs="Times New Roman"/>
          <w:color w:val="auto"/>
          <w:sz w:val="24"/>
          <w:szCs w:val="28"/>
          <w:lang w:val="en-US" w:eastAsia="zh-CN"/>
        </w:rPr>
        <w:t>20</w:t>
      </w:r>
      <w:r>
        <w:rPr>
          <w:rFonts w:ascii="Times New Roman" w:hAnsi="Times New Roman" w:eastAsia="宋体" w:cs="Times New Roman"/>
          <w:sz w:val="24"/>
          <w:szCs w:val="28"/>
        </w:rPr>
        <w:t>+</w:t>
      </w:r>
      <w:r>
        <w:rPr>
          <w:rFonts w:hint="eastAsia" w:cs="Times New Roman"/>
          <w:color w:val="auto"/>
          <w:sz w:val="24"/>
          <w:szCs w:val="28"/>
          <w:lang w:val="en-US" w:eastAsia="zh-CN"/>
        </w:rPr>
        <w:t>0.14</w:t>
      </w:r>
      <w:r>
        <w:rPr>
          <w:rFonts w:ascii="Times New Roman" w:hAnsi="Times New Roman" w:eastAsia="宋体" w:cs="Times New Roman"/>
          <w:sz w:val="24"/>
          <w:szCs w:val="28"/>
        </w:rPr>
        <w:t>)=0.</w:t>
      </w:r>
      <w:r>
        <w:rPr>
          <w:rFonts w:hint="eastAsia" w:cs="Times New Roman"/>
          <w:sz w:val="24"/>
          <w:szCs w:val="28"/>
          <w:lang w:val="en-US" w:eastAsia="zh-CN"/>
        </w:rPr>
        <w:t>20</w:t>
      </w:r>
      <w:r>
        <w:rPr>
          <w:rFonts w:ascii="Times New Roman" w:hAnsi="Times New Roman" w:eastAsia="宋体" w:cs="Times New Roman"/>
          <w:sz w:val="24"/>
          <w:szCs w:val="28"/>
        </w:rPr>
        <w:t>%，相对</w:t>
      </w:r>
      <w:r>
        <w:rPr>
          <w:rFonts w:hint="eastAsia" w:ascii="Times New Roman" w:hAnsi="Times New Roman" w:eastAsia="宋体" w:cs="Times New Roman"/>
          <w:sz w:val="24"/>
          <w:szCs w:val="28"/>
        </w:rPr>
        <w:t>扩</w:t>
      </w:r>
      <w:r>
        <w:rPr>
          <w:rFonts w:ascii="Times New Roman" w:hAnsi="Times New Roman" w:eastAsia="宋体" w:cs="Times New Roman"/>
          <w:sz w:val="24"/>
          <w:szCs w:val="28"/>
        </w:rPr>
        <w:t>展不确定度</w:t>
      </w:r>
      <w:r>
        <w:rPr>
          <w:rFonts w:hint="eastAsia" w:ascii="Times New Roman" w:hAnsi="Times New Roman" w:eastAsia="宋体" w:cs="Times New Roman"/>
          <w:sz w:val="24"/>
          <w:szCs w:val="28"/>
        </w:rPr>
        <w:t>U</w:t>
      </w:r>
      <w:r>
        <w:rPr>
          <w:rFonts w:ascii="Times New Roman" w:hAnsi="Times New Roman" w:eastAsia="宋体" w:cs="Times New Roman"/>
          <w:sz w:val="24"/>
          <w:szCs w:val="28"/>
        </w:rPr>
        <w:t>=0.4</w:t>
      </w:r>
      <w:r>
        <w:rPr>
          <w:rFonts w:hint="eastAsia" w:cs="Times New Roman"/>
          <w:sz w:val="24"/>
          <w:szCs w:val="28"/>
          <w:lang w:val="en-US" w:eastAsia="zh-CN"/>
        </w:rPr>
        <w:t>0</w:t>
      </w:r>
      <w:r>
        <w:rPr>
          <w:rFonts w:ascii="Times New Roman" w:hAnsi="Times New Roman" w:eastAsia="宋体" w:cs="Times New Roman"/>
          <w:sz w:val="24"/>
          <w:szCs w:val="28"/>
        </w:rPr>
        <w:t>%（</w:t>
      </w:r>
      <w:r>
        <w:rPr>
          <w:rFonts w:ascii="Times New Roman" w:hAnsi="Times New Roman" w:eastAsia="宋体" w:cs="Times New Roman"/>
          <w:i/>
          <w:iCs/>
          <w:sz w:val="24"/>
          <w:szCs w:val="28"/>
        </w:rPr>
        <w:t>k</w:t>
      </w:r>
      <w:r>
        <w:rPr>
          <w:rFonts w:ascii="Times New Roman" w:hAnsi="Times New Roman" w:eastAsia="宋体" w:cs="Times New Roman"/>
          <w:sz w:val="24"/>
          <w:szCs w:val="28"/>
        </w:rPr>
        <w:t>=2）。</w:t>
      </w:r>
    </w:p>
    <w:p w14:paraId="7D2AF4F7">
      <w:pPr>
        <w:ind w:firstLine="480" w:firstLineChars="200"/>
        <w:jc w:val="left"/>
        <w:rPr>
          <w:rFonts w:hint="eastAsia" w:eastAsia="宋体"/>
          <w:color w:val="auto"/>
          <w:lang w:val="en-US" w:eastAsia="zh-CN"/>
        </w:rPr>
      </w:pPr>
      <w:r>
        <w:rPr>
          <w:rFonts w:hint="eastAsia"/>
          <w:color w:val="auto"/>
          <w:lang w:val="en-US" w:eastAsia="zh-CN"/>
        </w:rPr>
        <w:t>最终，能源计量部分</w:t>
      </w:r>
      <w:r>
        <w:rPr>
          <w:rFonts w:hint="eastAsia"/>
          <w:color w:val="auto"/>
        </w:rPr>
        <w:t>碳排放量合成标准不确定度为</w:t>
      </w:r>
      <w:r>
        <w:rPr>
          <w:rFonts w:hint="eastAsia"/>
          <w:color w:val="auto"/>
          <w:lang w:val="en-US" w:eastAsia="zh-CN"/>
        </w:rPr>
        <w:t>0.0402tCO</w:t>
      </w:r>
      <w:r>
        <w:rPr>
          <w:rFonts w:hint="eastAsia"/>
          <w:color w:val="auto"/>
          <w:vertAlign w:val="subscript"/>
          <w:lang w:val="en-US" w:eastAsia="zh-CN"/>
        </w:rPr>
        <w:t>2</w:t>
      </w:r>
      <w:r>
        <w:rPr>
          <w:rFonts w:hint="eastAsia"/>
          <w:color w:val="auto"/>
          <w:vertAlign w:val="baseline"/>
          <w:lang w:val="en-US" w:eastAsia="zh-CN"/>
        </w:rPr>
        <w:t>，</w:t>
      </w:r>
      <w:r>
        <w:rPr>
          <w:rFonts w:ascii="Times New Roman" w:hAnsi="Times New Roman" w:eastAsia="宋体" w:cs="Times New Roman"/>
          <w:color w:val="auto"/>
          <w:sz w:val="24"/>
          <w:szCs w:val="28"/>
        </w:rPr>
        <w:t>相对</w:t>
      </w:r>
      <w:r>
        <w:rPr>
          <w:rFonts w:hint="eastAsia" w:ascii="Times New Roman" w:hAnsi="Times New Roman" w:eastAsia="宋体" w:cs="Times New Roman"/>
          <w:color w:val="auto"/>
          <w:sz w:val="24"/>
          <w:szCs w:val="28"/>
        </w:rPr>
        <w:t>扩</w:t>
      </w:r>
      <w:r>
        <w:rPr>
          <w:rFonts w:ascii="Times New Roman" w:hAnsi="Times New Roman" w:eastAsia="宋体" w:cs="Times New Roman"/>
          <w:color w:val="auto"/>
          <w:sz w:val="24"/>
          <w:szCs w:val="28"/>
        </w:rPr>
        <w:t>展不确定度</w:t>
      </w:r>
      <w:r>
        <w:rPr>
          <w:rFonts w:hint="eastAsia" w:ascii="Times New Roman" w:hAnsi="Times New Roman" w:eastAsia="宋体" w:cs="Times New Roman"/>
          <w:color w:val="auto"/>
          <w:sz w:val="24"/>
          <w:szCs w:val="28"/>
        </w:rPr>
        <w:t>U</w:t>
      </w:r>
      <w:r>
        <w:rPr>
          <w:rFonts w:ascii="Times New Roman" w:hAnsi="Times New Roman" w:eastAsia="宋体" w:cs="Times New Roman"/>
          <w:color w:val="auto"/>
          <w:sz w:val="24"/>
          <w:szCs w:val="28"/>
        </w:rPr>
        <w:t>=0.4</w:t>
      </w:r>
      <w:r>
        <w:rPr>
          <w:rFonts w:hint="eastAsia" w:cs="Times New Roman"/>
          <w:color w:val="auto"/>
          <w:sz w:val="24"/>
          <w:szCs w:val="28"/>
          <w:lang w:val="en-US" w:eastAsia="zh-CN"/>
        </w:rPr>
        <w:t>0</w:t>
      </w:r>
      <w:r>
        <w:rPr>
          <w:rFonts w:ascii="Times New Roman" w:hAnsi="Times New Roman" w:eastAsia="宋体" w:cs="Times New Roman"/>
          <w:color w:val="auto"/>
          <w:sz w:val="24"/>
          <w:szCs w:val="28"/>
        </w:rPr>
        <w:t>%（</w:t>
      </w:r>
      <w:r>
        <w:rPr>
          <w:rFonts w:ascii="Times New Roman" w:hAnsi="Times New Roman" w:eastAsia="宋体" w:cs="Times New Roman"/>
          <w:i/>
          <w:iCs/>
          <w:color w:val="auto"/>
          <w:sz w:val="24"/>
          <w:szCs w:val="28"/>
        </w:rPr>
        <w:t>k</w:t>
      </w:r>
      <w:r>
        <w:rPr>
          <w:rFonts w:ascii="Times New Roman" w:hAnsi="Times New Roman" w:eastAsia="宋体" w:cs="Times New Roman"/>
          <w:color w:val="auto"/>
          <w:sz w:val="24"/>
          <w:szCs w:val="28"/>
        </w:rPr>
        <w:t>=2）</w:t>
      </w:r>
      <w:r>
        <w:rPr>
          <w:rFonts w:hint="eastAsia" w:cs="Times New Roman"/>
          <w:color w:val="auto"/>
          <w:sz w:val="24"/>
          <w:szCs w:val="28"/>
          <w:lang w:eastAsia="zh-CN"/>
        </w:rPr>
        <w:t>。</w:t>
      </w:r>
    </w:p>
    <w:bookmarkEnd w:id="149"/>
    <w:bookmarkEnd w:id="150"/>
    <w:bookmarkEnd w:id="151"/>
    <w:p w14:paraId="0D76E9E1">
      <w:pPr>
        <w:rPr>
          <w:rFonts w:hint="default" w:eastAsia="宋体"/>
          <w:lang w:val="en-US" w:eastAsia="zh-CN"/>
        </w:rPr>
      </w:pPr>
    </w:p>
    <w:sectPr>
      <w:pgSz w:w="11906" w:h="16838"/>
      <w:pgMar w:top="1134" w:right="1134" w:bottom="1134" w:left="1134" w:header="851" w:footer="992" w:gutter="0"/>
      <w:cols w:space="0" w:num="1"/>
      <w:rtlGutter w:val="0"/>
      <w:docGrid w:type="lines" w:linePitch="33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4D"/>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2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Math">
    <w:panose1 w:val="02040503050406030204"/>
    <w:charset w:val="00"/>
    <w:family w:val="auto"/>
    <w:pitch w:val="default"/>
    <w:sig w:usb0="E00006FF" w:usb1="420024FF" w:usb2="02000000" w:usb3="00000000" w:csb0="2000019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0567989"/>
    </w:sdtPr>
    <w:sdtEndPr>
      <w:rPr>
        <w:rFonts w:cs="Times New Roman"/>
      </w:rPr>
    </w:sdtEndPr>
    <w:sdtContent>
      <w:p w14:paraId="42C6DA29">
        <w:pPr>
          <w:pStyle w:val="16"/>
          <w:jc w:val="center"/>
          <w:rPr>
            <w:rFonts w:cs="Times New Roman"/>
          </w:rPr>
        </w:pPr>
        <w:r>
          <w:rPr>
            <w:rFonts w:cs="Times New Roman"/>
          </w:rPr>
          <w:fldChar w:fldCharType="begin"/>
        </w:r>
        <w:r>
          <w:rPr>
            <w:rFonts w:cs="Times New Roman"/>
          </w:rPr>
          <w:instrText xml:space="preserve">PAGE   \* MERGEFORMAT</w:instrText>
        </w:r>
        <w:r>
          <w:rPr>
            <w:rFonts w:cs="Times New Roman"/>
          </w:rPr>
          <w:fldChar w:fldCharType="separate"/>
        </w:r>
        <w:r>
          <w:rPr>
            <w:rFonts w:cs="Times New Roman"/>
            <w:lang w:val="zh-CN"/>
          </w:rPr>
          <w:t>2</w:t>
        </w:r>
        <w:r>
          <w:rPr>
            <w:rFonts w:cs="Times New Roma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85593807"/>
    </w:sdtPr>
    <w:sdtEndPr>
      <w:rPr>
        <w:rFonts w:cs="Times New Roman"/>
      </w:rPr>
    </w:sdtEndPr>
    <w:sdtContent>
      <w:p w14:paraId="232D2C9F">
        <w:pPr>
          <w:pStyle w:val="16"/>
          <w:jc w:val="center"/>
          <w:rPr>
            <w:rFonts w:cs="Times New Roman"/>
          </w:rPr>
        </w:pPr>
        <w:r>
          <w:rPr>
            <w:rFonts w:cs="Times New Roman"/>
          </w:rPr>
          <w:fldChar w:fldCharType="begin"/>
        </w:r>
        <w:r>
          <w:rPr>
            <w:rFonts w:cs="Times New Roman"/>
          </w:rPr>
          <w:instrText xml:space="preserve">PAGE   \* MERGEFORMAT</w:instrText>
        </w:r>
        <w:r>
          <w:rPr>
            <w:rFonts w:cs="Times New Roman"/>
          </w:rPr>
          <w:fldChar w:fldCharType="separate"/>
        </w:r>
        <w:r>
          <w:rPr>
            <w:rFonts w:cs="Times New Roman"/>
            <w:lang w:val="zh-CN"/>
          </w:rPr>
          <w:t>2</w:t>
        </w:r>
        <w:r>
          <w:rPr>
            <w:rFonts w:cs="Times New Roman"/>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76700"/>
    </w:sdtPr>
    <w:sdtEndPr>
      <w:rPr>
        <w:rFonts w:cs="Times New Roman"/>
      </w:rPr>
    </w:sdtEndPr>
    <w:sdtContent>
      <w:p w14:paraId="4C252E07">
        <w:pPr>
          <w:pStyle w:val="16"/>
          <w:jc w:val="center"/>
          <w:rPr>
            <w:rFonts w:cs="Times New Roman"/>
          </w:rPr>
        </w:pPr>
        <w:r>
          <w:rPr>
            <w:rFonts w:cs="Times New Roman"/>
          </w:rPr>
          <w:fldChar w:fldCharType="begin"/>
        </w:r>
        <w:r>
          <w:rPr>
            <w:rFonts w:cs="Times New Roman"/>
          </w:rPr>
          <w:instrText xml:space="preserve">PAGE   \* MERGEFORMAT</w:instrText>
        </w:r>
        <w:r>
          <w:rPr>
            <w:rFonts w:cs="Times New Roman"/>
          </w:rPr>
          <w:fldChar w:fldCharType="separate"/>
        </w:r>
        <w:r>
          <w:rPr>
            <w:rFonts w:cs="Times New Roman"/>
            <w:lang w:val="zh-CN"/>
          </w:rPr>
          <w:t>2</w:t>
        </w:r>
        <w:r>
          <w:rPr>
            <w:rFonts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4C83A2">
    <w:pPr>
      <w:pStyle w:val="17"/>
      <w:spacing w:line="240" w:lineRule="auto"/>
      <w:rPr>
        <w:rFonts w:ascii="黑体" w:eastAsia="黑体"/>
        <w:sz w:val="21"/>
        <w:szCs w:val="21"/>
      </w:rPr>
    </w:pPr>
    <w:r>
      <w:rPr>
        <w:rFonts w:hint="eastAsia" w:ascii="黑体" w:eastAsia="黑体"/>
        <w:sz w:val="21"/>
        <w:szCs w:val="21"/>
      </w:rPr>
      <w:t>JJF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5F5C413"/>
    <w:multiLevelType w:val="singleLevel"/>
    <w:tmpl w:val="F5F5C413"/>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65"/>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FmZWIzNDg2MmIzZjExOTIzMmViNTBmYTMwYTk0ZWYifQ=="/>
  </w:docVars>
  <w:rsids>
    <w:rsidRoot w:val="00172A27"/>
    <w:rsid w:val="00002006"/>
    <w:rsid w:val="00002020"/>
    <w:rsid w:val="00004B0D"/>
    <w:rsid w:val="0000584D"/>
    <w:rsid w:val="00007A57"/>
    <w:rsid w:val="000119F7"/>
    <w:rsid w:val="00011F47"/>
    <w:rsid w:val="00012299"/>
    <w:rsid w:val="0001263F"/>
    <w:rsid w:val="00015F48"/>
    <w:rsid w:val="00016D4B"/>
    <w:rsid w:val="00020ABB"/>
    <w:rsid w:val="00020E84"/>
    <w:rsid w:val="00021221"/>
    <w:rsid w:val="0002174A"/>
    <w:rsid w:val="0002626F"/>
    <w:rsid w:val="00026287"/>
    <w:rsid w:val="00027046"/>
    <w:rsid w:val="00027A5C"/>
    <w:rsid w:val="00027CC2"/>
    <w:rsid w:val="00035E62"/>
    <w:rsid w:val="00036CEA"/>
    <w:rsid w:val="0003705C"/>
    <w:rsid w:val="00040BA6"/>
    <w:rsid w:val="00041944"/>
    <w:rsid w:val="00042136"/>
    <w:rsid w:val="0004367B"/>
    <w:rsid w:val="000443F7"/>
    <w:rsid w:val="00044A57"/>
    <w:rsid w:val="00045FC4"/>
    <w:rsid w:val="00046BDD"/>
    <w:rsid w:val="000473AD"/>
    <w:rsid w:val="000500F5"/>
    <w:rsid w:val="000503B3"/>
    <w:rsid w:val="00050812"/>
    <w:rsid w:val="000529C4"/>
    <w:rsid w:val="00053C44"/>
    <w:rsid w:val="00061670"/>
    <w:rsid w:val="0006314D"/>
    <w:rsid w:val="00066C4C"/>
    <w:rsid w:val="000705F5"/>
    <w:rsid w:val="0007445A"/>
    <w:rsid w:val="000744A5"/>
    <w:rsid w:val="00077CA9"/>
    <w:rsid w:val="000816A7"/>
    <w:rsid w:val="00081ADF"/>
    <w:rsid w:val="0008485D"/>
    <w:rsid w:val="00084F6B"/>
    <w:rsid w:val="00087F16"/>
    <w:rsid w:val="0009022E"/>
    <w:rsid w:val="0009090B"/>
    <w:rsid w:val="00091089"/>
    <w:rsid w:val="000917DF"/>
    <w:rsid w:val="00093315"/>
    <w:rsid w:val="0009788A"/>
    <w:rsid w:val="000A0DF7"/>
    <w:rsid w:val="000A1335"/>
    <w:rsid w:val="000A37E4"/>
    <w:rsid w:val="000A4420"/>
    <w:rsid w:val="000A7EA6"/>
    <w:rsid w:val="000B1B81"/>
    <w:rsid w:val="000B4D6F"/>
    <w:rsid w:val="000C0615"/>
    <w:rsid w:val="000C3132"/>
    <w:rsid w:val="000C4A2B"/>
    <w:rsid w:val="000C4C67"/>
    <w:rsid w:val="000C56A2"/>
    <w:rsid w:val="000D2F7A"/>
    <w:rsid w:val="000D37EF"/>
    <w:rsid w:val="000D7D97"/>
    <w:rsid w:val="000E1720"/>
    <w:rsid w:val="000E4032"/>
    <w:rsid w:val="000E58BB"/>
    <w:rsid w:val="000E7F18"/>
    <w:rsid w:val="000F25E3"/>
    <w:rsid w:val="001007C7"/>
    <w:rsid w:val="0010170A"/>
    <w:rsid w:val="0010174E"/>
    <w:rsid w:val="00101964"/>
    <w:rsid w:val="00102DA8"/>
    <w:rsid w:val="00104E4B"/>
    <w:rsid w:val="00105CB9"/>
    <w:rsid w:val="00113017"/>
    <w:rsid w:val="00113BA2"/>
    <w:rsid w:val="0011429F"/>
    <w:rsid w:val="0012093F"/>
    <w:rsid w:val="001215F5"/>
    <w:rsid w:val="00121AFA"/>
    <w:rsid w:val="001274F7"/>
    <w:rsid w:val="00127937"/>
    <w:rsid w:val="001312B7"/>
    <w:rsid w:val="0013155C"/>
    <w:rsid w:val="00131B05"/>
    <w:rsid w:val="00135FFD"/>
    <w:rsid w:val="001374BF"/>
    <w:rsid w:val="0014111C"/>
    <w:rsid w:val="00143137"/>
    <w:rsid w:val="001439EC"/>
    <w:rsid w:val="00146547"/>
    <w:rsid w:val="0015112E"/>
    <w:rsid w:val="001532BB"/>
    <w:rsid w:val="001537A1"/>
    <w:rsid w:val="00153DD3"/>
    <w:rsid w:val="001557AC"/>
    <w:rsid w:val="00157351"/>
    <w:rsid w:val="00160EFE"/>
    <w:rsid w:val="001621D4"/>
    <w:rsid w:val="00163037"/>
    <w:rsid w:val="00163A42"/>
    <w:rsid w:val="00164F5D"/>
    <w:rsid w:val="001705C2"/>
    <w:rsid w:val="00183D4F"/>
    <w:rsid w:val="001844D9"/>
    <w:rsid w:val="0018480D"/>
    <w:rsid w:val="0018604C"/>
    <w:rsid w:val="00187809"/>
    <w:rsid w:val="00192074"/>
    <w:rsid w:val="001922E4"/>
    <w:rsid w:val="0019355F"/>
    <w:rsid w:val="001977A3"/>
    <w:rsid w:val="001A084A"/>
    <w:rsid w:val="001A0D6E"/>
    <w:rsid w:val="001A227C"/>
    <w:rsid w:val="001A75E1"/>
    <w:rsid w:val="001B0638"/>
    <w:rsid w:val="001B3CA1"/>
    <w:rsid w:val="001C1B07"/>
    <w:rsid w:val="001C28D8"/>
    <w:rsid w:val="001C469D"/>
    <w:rsid w:val="001C76E2"/>
    <w:rsid w:val="001D158F"/>
    <w:rsid w:val="001D1FC4"/>
    <w:rsid w:val="001D3689"/>
    <w:rsid w:val="001D4021"/>
    <w:rsid w:val="001D567B"/>
    <w:rsid w:val="001D638F"/>
    <w:rsid w:val="001E0701"/>
    <w:rsid w:val="001E1A76"/>
    <w:rsid w:val="001E3EDC"/>
    <w:rsid w:val="001E400F"/>
    <w:rsid w:val="001F68AF"/>
    <w:rsid w:val="002033E4"/>
    <w:rsid w:val="00207FCB"/>
    <w:rsid w:val="00210F2A"/>
    <w:rsid w:val="002124AC"/>
    <w:rsid w:val="002128E9"/>
    <w:rsid w:val="00213CEF"/>
    <w:rsid w:val="00217B35"/>
    <w:rsid w:val="00223509"/>
    <w:rsid w:val="002267E0"/>
    <w:rsid w:val="002318CD"/>
    <w:rsid w:val="00232199"/>
    <w:rsid w:val="00233CFE"/>
    <w:rsid w:val="00234B40"/>
    <w:rsid w:val="00235953"/>
    <w:rsid w:val="00236601"/>
    <w:rsid w:val="00236BB2"/>
    <w:rsid w:val="00236E72"/>
    <w:rsid w:val="00242B0F"/>
    <w:rsid w:val="00244FB5"/>
    <w:rsid w:val="00261346"/>
    <w:rsid w:val="002649E5"/>
    <w:rsid w:val="0026594B"/>
    <w:rsid w:val="002678E9"/>
    <w:rsid w:val="0027788F"/>
    <w:rsid w:val="00282E85"/>
    <w:rsid w:val="002830C1"/>
    <w:rsid w:val="00287C11"/>
    <w:rsid w:val="002908DC"/>
    <w:rsid w:val="0029444F"/>
    <w:rsid w:val="002965D8"/>
    <w:rsid w:val="00297772"/>
    <w:rsid w:val="002A01EB"/>
    <w:rsid w:val="002A28CE"/>
    <w:rsid w:val="002A5B91"/>
    <w:rsid w:val="002A6093"/>
    <w:rsid w:val="002B1178"/>
    <w:rsid w:val="002B415D"/>
    <w:rsid w:val="002B7827"/>
    <w:rsid w:val="002C1B75"/>
    <w:rsid w:val="002C21C8"/>
    <w:rsid w:val="002C39CA"/>
    <w:rsid w:val="002C5D39"/>
    <w:rsid w:val="002C773F"/>
    <w:rsid w:val="002D2902"/>
    <w:rsid w:val="002D4340"/>
    <w:rsid w:val="002E7504"/>
    <w:rsid w:val="002F017E"/>
    <w:rsid w:val="002F066E"/>
    <w:rsid w:val="002F1A40"/>
    <w:rsid w:val="002F3004"/>
    <w:rsid w:val="002F35B2"/>
    <w:rsid w:val="002F5D0F"/>
    <w:rsid w:val="002F606C"/>
    <w:rsid w:val="00301FDB"/>
    <w:rsid w:val="00303B83"/>
    <w:rsid w:val="003041DA"/>
    <w:rsid w:val="00305E4D"/>
    <w:rsid w:val="003076A5"/>
    <w:rsid w:val="00307747"/>
    <w:rsid w:val="00312AD4"/>
    <w:rsid w:val="003155E1"/>
    <w:rsid w:val="00316AED"/>
    <w:rsid w:val="003227F5"/>
    <w:rsid w:val="003246AC"/>
    <w:rsid w:val="00324A9E"/>
    <w:rsid w:val="003271F8"/>
    <w:rsid w:val="00331B56"/>
    <w:rsid w:val="00331DD5"/>
    <w:rsid w:val="003326E9"/>
    <w:rsid w:val="00333952"/>
    <w:rsid w:val="00333AD5"/>
    <w:rsid w:val="0033597C"/>
    <w:rsid w:val="0034113F"/>
    <w:rsid w:val="0034251D"/>
    <w:rsid w:val="003426DE"/>
    <w:rsid w:val="00345221"/>
    <w:rsid w:val="00346B2C"/>
    <w:rsid w:val="00346CF2"/>
    <w:rsid w:val="0034786C"/>
    <w:rsid w:val="00347EA3"/>
    <w:rsid w:val="00352EE3"/>
    <w:rsid w:val="00356B36"/>
    <w:rsid w:val="003575C9"/>
    <w:rsid w:val="00361174"/>
    <w:rsid w:val="00361834"/>
    <w:rsid w:val="003633C6"/>
    <w:rsid w:val="00363693"/>
    <w:rsid w:val="00363735"/>
    <w:rsid w:val="00364B7D"/>
    <w:rsid w:val="0036734F"/>
    <w:rsid w:val="00370483"/>
    <w:rsid w:val="00370961"/>
    <w:rsid w:val="0038124C"/>
    <w:rsid w:val="003814A4"/>
    <w:rsid w:val="00383538"/>
    <w:rsid w:val="00383696"/>
    <w:rsid w:val="00385CF8"/>
    <w:rsid w:val="00391BFD"/>
    <w:rsid w:val="0039685D"/>
    <w:rsid w:val="00397ECF"/>
    <w:rsid w:val="003A05EE"/>
    <w:rsid w:val="003B0237"/>
    <w:rsid w:val="003B107B"/>
    <w:rsid w:val="003B217D"/>
    <w:rsid w:val="003B4ADE"/>
    <w:rsid w:val="003B5162"/>
    <w:rsid w:val="003B5407"/>
    <w:rsid w:val="003B6C40"/>
    <w:rsid w:val="003C18A2"/>
    <w:rsid w:val="003C1DA0"/>
    <w:rsid w:val="003C1E13"/>
    <w:rsid w:val="003C3F96"/>
    <w:rsid w:val="003C50AC"/>
    <w:rsid w:val="003C55CA"/>
    <w:rsid w:val="003D127C"/>
    <w:rsid w:val="003D24CB"/>
    <w:rsid w:val="003D5680"/>
    <w:rsid w:val="003D7816"/>
    <w:rsid w:val="003E4A25"/>
    <w:rsid w:val="003E4D44"/>
    <w:rsid w:val="003E5F4E"/>
    <w:rsid w:val="003E67AB"/>
    <w:rsid w:val="003E7587"/>
    <w:rsid w:val="003F1532"/>
    <w:rsid w:val="003F169B"/>
    <w:rsid w:val="003F5979"/>
    <w:rsid w:val="003F78D5"/>
    <w:rsid w:val="00400415"/>
    <w:rsid w:val="004035EF"/>
    <w:rsid w:val="00404267"/>
    <w:rsid w:val="004150D1"/>
    <w:rsid w:val="00415DE9"/>
    <w:rsid w:val="0041700E"/>
    <w:rsid w:val="00417822"/>
    <w:rsid w:val="00423549"/>
    <w:rsid w:val="00423574"/>
    <w:rsid w:val="00424277"/>
    <w:rsid w:val="00424407"/>
    <w:rsid w:val="00425BA1"/>
    <w:rsid w:val="0042607C"/>
    <w:rsid w:val="004264E5"/>
    <w:rsid w:val="00427A3F"/>
    <w:rsid w:val="00430E51"/>
    <w:rsid w:val="0043125E"/>
    <w:rsid w:val="004337DD"/>
    <w:rsid w:val="0043479A"/>
    <w:rsid w:val="00434BA0"/>
    <w:rsid w:val="00436755"/>
    <w:rsid w:val="00436C76"/>
    <w:rsid w:val="00437E4D"/>
    <w:rsid w:val="004400D3"/>
    <w:rsid w:val="004420ED"/>
    <w:rsid w:val="00442606"/>
    <w:rsid w:val="0044334A"/>
    <w:rsid w:val="00446E7C"/>
    <w:rsid w:val="00451B02"/>
    <w:rsid w:val="00452759"/>
    <w:rsid w:val="00453114"/>
    <w:rsid w:val="004562AF"/>
    <w:rsid w:val="00456C6F"/>
    <w:rsid w:val="00456CDD"/>
    <w:rsid w:val="004601B8"/>
    <w:rsid w:val="0046606D"/>
    <w:rsid w:val="00466372"/>
    <w:rsid w:val="0046754C"/>
    <w:rsid w:val="00470097"/>
    <w:rsid w:val="0047422C"/>
    <w:rsid w:val="004804CC"/>
    <w:rsid w:val="004826E1"/>
    <w:rsid w:val="00482B37"/>
    <w:rsid w:val="004843A5"/>
    <w:rsid w:val="00485015"/>
    <w:rsid w:val="0049190A"/>
    <w:rsid w:val="00492A0B"/>
    <w:rsid w:val="00493A00"/>
    <w:rsid w:val="0049571E"/>
    <w:rsid w:val="004973BE"/>
    <w:rsid w:val="004A408E"/>
    <w:rsid w:val="004A58C3"/>
    <w:rsid w:val="004B09BA"/>
    <w:rsid w:val="004B0B82"/>
    <w:rsid w:val="004B2270"/>
    <w:rsid w:val="004B3EFC"/>
    <w:rsid w:val="004B48DA"/>
    <w:rsid w:val="004C0247"/>
    <w:rsid w:val="004C328E"/>
    <w:rsid w:val="004C4562"/>
    <w:rsid w:val="004C5076"/>
    <w:rsid w:val="004D5086"/>
    <w:rsid w:val="004D521B"/>
    <w:rsid w:val="004D54E2"/>
    <w:rsid w:val="004D5A40"/>
    <w:rsid w:val="004D5AE2"/>
    <w:rsid w:val="004E02CE"/>
    <w:rsid w:val="004E16BC"/>
    <w:rsid w:val="004E55FB"/>
    <w:rsid w:val="004F001D"/>
    <w:rsid w:val="004F0C1D"/>
    <w:rsid w:val="004F1742"/>
    <w:rsid w:val="004F1A8E"/>
    <w:rsid w:val="004F222B"/>
    <w:rsid w:val="004F4A16"/>
    <w:rsid w:val="004F52A8"/>
    <w:rsid w:val="004F52B5"/>
    <w:rsid w:val="004F583D"/>
    <w:rsid w:val="004F76A2"/>
    <w:rsid w:val="004F79F9"/>
    <w:rsid w:val="0050005E"/>
    <w:rsid w:val="00500ED9"/>
    <w:rsid w:val="005015B2"/>
    <w:rsid w:val="0050643A"/>
    <w:rsid w:val="005108FB"/>
    <w:rsid w:val="005115DE"/>
    <w:rsid w:val="00511CFC"/>
    <w:rsid w:val="00513A45"/>
    <w:rsid w:val="0051445B"/>
    <w:rsid w:val="00514B77"/>
    <w:rsid w:val="00515E26"/>
    <w:rsid w:val="00517B25"/>
    <w:rsid w:val="00517FF7"/>
    <w:rsid w:val="00520C88"/>
    <w:rsid w:val="00527C88"/>
    <w:rsid w:val="0053258D"/>
    <w:rsid w:val="00532805"/>
    <w:rsid w:val="005330A0"/>
    <w:rsid w:val="00533A13"/>
    <w:rsid w:val="00533AFF"/>
    <w:rsid w:val="00533B4C"/>
    <w:rsid w:val="005360D9"/>
    <w:rsid w:val="00540D63"/>
    <w:rsid w:val="005442A1"/>
    <w:rsid w:val="00550B5C"/>
    <w:rsid w:val="00551588"/>
    <w:rsid w:val="005542E1"/>
    <w:rsid w:val="00557DB1"/>
    <w:rsid w:val="0056441A"/>
    <w:rsid w:val="00564996"/>
    <w:rsid w:val="0056499D"/>
    <w:rsid w:val="00564A34"/>
    <w:rsid w:val="00565DEB"/>
    <w:rsid w:val="00566612"/>
    <w:rsid w:val="0056678C"/>
    <w:rsid w:val="00566ED4"/>
    <w:rsid w:val="00571AD4"/>
    <w:rsid w:val="00573F06"/>
    <w:rsid w:val="00583E29"/>
    <w:rsid w:val="005850B9"/>
    <w:rsid w:val="005860C5"/>
    <w:rsid w:val="005872EA"/>
    <w:rsid w:val="005879C4"/>
    <w:rsid w:val="00590DB1"/>
    <w:rsid w:val="00592CE9"/>
    <w:rsid w:val="00597B66"/>
    <w:rsid w:val="00597D04"/>
    <w:rsid w:val="005A626E"/>
    <w:rsid w:val="005B2509"/>
    <w:rsid w:val="005B5AEB"/>
    <w:rsid w:val="005B6DB9"/>
    <w:rsid w:val="005C06EE"/>
    <w:rsid w:val="005C0E1E"/>
    <w:rsid w:val="005C36C7"/>
    <w:rsid w:val="005C37E6"/>
    <w:rsid w:val="005C42FD"/>
    <w:rsid w:val="005C79BC"/>
    <w:rsid w:val="005D106F"/>
    <w:rsid w:val="005D202A"/>
    <w:rsid w:val="005D2C4D"/>
    <w:rsid w:val="005D6999"/>
    <w:rsid w:val="005D6DE6"/>
    <w:rsid w:val="005E07E3"/>
    <w:rsid w:val="005E0C0C"/>
    <w:rsid w:val="005E0CC2"/>
    <w:rsid w:val="005E1365"/>
    <w:rsid w:val="005F1FAD"/>
    <w:rsid w:val="005F3CFC"/>
    <w:rsid w:val="005F5676"/>
    <w:rsid w:val="005F5A77"/>
    <w:rsid w:val="005F733D"/>
    <w:rsid w:val="005F7BEA"/>
    <w:rsid w:val="00601276"/>
    <w:rsid w:val="00610BDC"/>
    <w:rsid w:val="00612FFC"/>
    <w:rsid w:val="0061687C"/>
    <w:rsid w:val="006212F7"/>
    <w:rsid w:val="00621D3F"/>
    <w:rsid w:val="00624DBD"/>
    <w:rsid w:val="00633833"/>
    <w:rsid w:val="006346B3"/>
    <w:rsid w:val="0064037D"/>
    <w:rsid w:val="00641DA0"/>
    <w:rsid w:val="0064271C"/>
    <w:rsid w:val="0064343E"/>
    <w:rsid w:val="00647617"/>
    <w:rsid w:val="0065557B"/>
    <w:rsid w:val="00657BEF"/>
    <w:rsid w:val="00660AB7"/>
    <w:rsid w:val="00663DC1"/>
    <w:rsid w:val="0066628D"/>
    <w:rsid w:val="006664B9"/>
    <w:rsid w:val="00666716"/>
    <w:rsid w:val="00677C82"/>
    <w:rsid w:val="0068114E"/>
    <w:rsid w:val="006834F2"/>
    <w:rsid w:val="0068500C"/>
    <w:rsid w:val="00693633"/>
    <w:rsid w:val="006937D0"/>
    <w:rsid w:val="00693889"/>
    <w:rsid w:val="00695458"/>
    <w:rsid w:val="00695A38"/>
    <w:rsid w:val="00696B32"/>
    <w:rsid w:val="006A04A7"/>
    <w:rsid w:val="006A27C1"/>
    <w:rsid w:val="006A2875"/>
    <w:rsid w:val="006A4466"/>
    <w:rsid w:val="006A5A94"/>
    <w:rsid w:val="006A5C95"/>
    <w:rsid w:val="006B225A"/>
    <w:rsid w:val="006C013B"/>
    <w:rsid w:val="006D11FF"/>
    <w:rsid w:val="006D2115"/>
    <w:rsid w:val="006D58FE"/>
    <w:rsid w:val="006D5D2A"/>
    <w:rsid w:val="006D60F2"/>
    <w:rsid w:val="006E1F6F"/>
    <w:rsid w:val="006F0078"/>
    <w:rsid w:val="006F1726"/>
    <w:rsid w:val="006F3B30"/>
    <w:rsid w:val="006F6126"/>
    <w:rsid w:val="006F78E7"/>
    <w:rsid w:val="006F7E3C"/>
    <w:rsid w:val="00704A29"/>
    <w:rsid w:val="00711317"/>
    <w:rsid w:val="0071383E"/>
    <w:rsid w:val="00713C87"/>
    <w:rsid w:val="0071504A"/>
    <w:rsid w:val="007153BB"/>
    <w:rsid w:val="007163F2"/>
    <w:rsid w:val="00720F73"/>
    <w:rsid w:val="00721839"/>
    <w:rsid w:val="0072220F"/>
    <w:rsid w:val="00723B89"/>
    <w:rsid w:val="00732C2D"/>
    <w:rsid w:val="00733DC7"/>
    <w:rsid w:val="007350D9"/>
    <w:rsid w:val="007400DF"/>
    <w:rsid w:val="00743404"/>
    <w:rsid w:val="0074468A"/>
    <w:rsid w:val="007468EE"/>
    <w:rsid w:val="00746DC6"/>
    <w:rsid w:val="007517DB"/>
    <w:rsid w:val="00751F70"/>
    <w:rsid w:val="0075472C"/>
    <w:rsid w:val="007556EC"/>
    <w:rsid w:val="00757C42"/>
    <w:rsid w:val="00757F8E"/>
    <w:rsid w:val="007602F2"/>
    <w:rsid w:val="007607D2"/>
    <w:rsid w:val="00760910"/>
    <w:rsid w:val="007627E1"/>
    <w:rsid w:val="00766670"/>
    <w:rsid w:val="0076761E"/>
    <w:rsid w:val="007678E2"/>
    <w:rsid w:val="00767AF5"/>
    <w:rsid w:val="0077044E"/>
    <w:rsid w:val="00772432"/>
    <w:rsid w:val="0077436E"/>
    <w:rsid w:val="00774555"/>
    <w:rsid w:val="007752B1"/>
    <w:rsid w:val="007808C1"/>
    <w:rsid w:val="007825CD"/>
    <w:rsid w:val="00782B72"/>
    <w:rsid w:val="00783126"/>
    <w:rsid w:val="0078581C"/>
    <w:rsid w:val="00785D36"/>
    <w:rsid w:val="00795FDA"/>
    <w:rsid w:val="00796460"/>
    <w:rsid w:val="007976BA"/>
    <w:rsid w:val="007A682A"/>
    <w:rsid w:val="007A68F6"/>
    <w:rsid w:val="007B0A41"/>
    <w:rsid w:val="007B131E"/>
    <w:rsid w:val="007B292A"/>
    <w:rsid w:val="007B29B0"/>
    <w:rsid w:val="007B5DF7"/>
    <w:rsid w:val="007C16EA"/>
    <w:rsid w:val="007C2A45"/>
    <w:rsid w:val="007C3F5D"/>
    <w:rsid w:val="007C4B6F"/>
    <w:rsid w:val="007C7EDC"/>
    <w:rsid w:val="007D208D"/>
    <w:rsid w:val="007D372D"/>
    <w:rsid w:val="007D3857"/>
    <w:rsid w:val="007D7995"/>
    <w:rsid w:val="007E0342"/>
    <w:rsid w:val="007E3D58"/>
    <w:rsid w:val="007E60A6"/>
    <w:rsid w:val="007E6678"/>
    <w:rsid w:val="007F03A9"/>
    <w:rsid w:val="007F064B"/>
    <w:rsid w:val="007F254F"/>
    <w:rsid w:val="0080039F"/>
    <w:rsid w:val="008013AB"/>
    <w:rsid w:val="008017F9"/>
    <w:rsid w:val="0080435A"/>
    <w:rsid w:val="008046D9"/>
    <w:rsid w:val="00805C8A"/>
    <w:rsid w:val="00814200"/>
    <w:rsid w:val="00816082"/>
    <w:rsid w:val="00820814"/>
    <w:rsid w:val="0082180C"/>
    <w:rsid w:val="00823DF9"/>
    <w:rsid w:val="00825D41"/>
    <w:rsid w:val="008265EC"/>
    <w:rsid w:val="00832BF5"/>
    <w:rsid w:val="00832D6D"/>
    <w:rsid w:val="00834A02"/>
    <w:rsid w:val="00836FF3"/>
    <w:rsid w:val="008374FB"/>
    <w:rsid w:val="00841E70"/>
    <w:rsid w:val="0084461C"/>
    <w:rsid w:val="00844FB9"/>
    <w:rsid w:val="008503E1"/>
    <w:rsid w:val="008507A6"/>
    <w:rsid w:val="008513D1"/>
    <w:rsid w:val="0085463F"/>
    <w:rsid w:val="00855180"/>
    <w:rsid w:val="008555B5"/>
    <w:rsid w:val="00860090"/>
    <w:rsid w:val="00860558"/>
    <w:rsid w:val="008606FA"/>
    <w:rsid w:val="00862A04"/>
    <w:rsid w:val="008633EB"/>
    <w:rsid w:val="00867BF8"/>
    <w:rsid w:val="008708E5"/>
    <w:rsid w:val="00874800"/>
    <w:rsid w:val="00874C00"/>
    <w:rsid w:val="008751EA"/>
    <w:rsid w:val="008805D8"/>
    <w:rsid w:val="00882219"/>
    <w:rsid w:val="00882293"/>
    <w:rsid w:val="00882360"/>
    <w:rsid w:val="0088573E"/>
    <w:rsid w:val="00885D8E"/>
    <w:rsid w:val="00886445"/>
    <w:rsid w:val="00886A14"/>
    <w:rsid w:val="00886CB8"/>
    <w:rsid w:val="00891BE3"/>
    <w:rsid w:val="008939C0"/>
    <w:rsid w:val="008950F0"/>
    <w:rsid w:val="00895773"/>
    <w:rsid w:val="008960BB"/>
    <w:rsid w:val="008A1A5E"/>
    <w:rsid w:val="008A2498"/>
    <w:rsid w:val="008A35AF"/>
    <w:rsid w:val="008A3655"/>
    <w:rsid w:val="008B1058"/>
    <w:rsid w:val="008B2014"/>
    <w:rsid w:val="008B346D"/>
    <w:rsid w:val="008B3E66"/>
    <w:rsid w:val="008B3EEA"/>
    <w:rsid w:val="008B49D7"/>
    <w:rsid w:val="008B5887"/>
    <w:rsid w:val="008B77F7"/>
    <w:rsid w:val="008C1085"/>
    <w:rsid w:val="008C5609"/>
    <w:rsid w:val="008C6F85"/>
    <w:rsid w:val="008D0924"/>
    <w:rsid w:val="008D1C00"/>
    <w:rsid w:val="008D1E44"/>
    <w:rsid w:val="008D26F1"/>
    <w:rsid w:val="008D632A"/>
    <w:rsid w:val="008E342D"/>
    <w:rsid w:val="008E46EC"/>
    <w:rsid w:val="008E4E10"/>
    <w:rsid w:val="008E5226"/>
    <w:rsid w:val="008E6AA7"/>
    <w:rsid w:val="008E6DB6"/>
    <w:rsid w:val="008E6F88"/>
    <w:rsid w:val="008E7DBA"/>
    <w:rsid w:val="008F202C"/>
    <w:rsid w:val="008F5941"/>
    <w:rsid w:val="008F6EB2"/>
    <w:rsid w:val="0091099C"/>
    <w:rsid w:val="00910AA9"/>
    <w:rsid w:val="00912732"/>
    <w:rsid w:val="009139BC"/>
    <w:rsid w:val="00915022"/>
    <w:rsid w:val="00915240"/>
    <w:rsid w:val="00915E4D"/>
    <w:rsid w:val="009214F5"/>
    <w:rsid w:val="009219B0"/>
    <w:rsid w:val="009220E4"/>
    <w:rsid w:val="00922133"/>
    <w:rsid w:val="00923320"/>
    <w:rsid w:val="009247C9"/>
    <w:rsid w:val="00925052"/>
    <w:rsid w:val="0092778D"/>
    <w:rsid w:val="0092794E"/>
    <w:rsid w:val="00936C55"/>
    <w:rsid w:val="009402DA"/>
    <w:rsid w:val="0094186A"/>
    <w:rsid w:val="00944471"/>
    <w:rsid w:val="00944B29"/>
    <w:rsid w:val="009469EA"/>
    <w:rsid w:val="00947828"/>
    <w:rsid w:val="00951014"/>
    <w:rsid w:val="009532D4"/>
    <w:rsid w:val="0095481F"/>
    <w:rsid w:val="00955DA8"/>
    <w:rsid w:val="00960280"/>
    <w:rsid w:val="00960DA2"/>
    <w:rsid w:val="00963320"/>
    <w:rsid w:val="009638C2"/>
    <w:rsid w:val="00964201"/>
    <w:rsid w:val="00970D66"/>
    <w:rsid w:val="0097235E"/>
    <w:rsid w:val="00976094"/>
    <w:rsid w:val="0097627D"/>
    <w:rsid w:val="00982E06"/>
    <w:rsid w:val="00985F38"/>
    <w:rsid w:val="00985F68"/>
    <w:rsid w:val="00986D64"/>
    <w:rsid w:val="00992DDC"/>
    <w:rsid w:val="00997463"/>
    <w:rsid w:val="009A1CD4"/>
    <w:rsid w:val="009A25EC"/>
    <w:rsid w:val="009A3765"/>
    <w:rsid w:val="009A4E1D"/>
    <w:rsid w:val="009B220A"/>
    <w:rsid w:val="009B2B1A"/>
    <w:rsid w:val="009B6A25"/>
    <w:rsid w:val="009C1967"/>
    <w:rsid w:val="009C1C7D"/>
    <w:rsid w:val="009C294B"/>
    <w:rsid w:val="009D4537"/>
    <w:rsid w:val="009D5B84"/>
    <w:rsid w:val="009E0D7A"/>
    <w:rsid w:val="009E0EB3"/>
    <w:rsid w:val="009E138E"/>
    <w:rsid w:val="009E2793"/>
    <w:rsid w:val="009E363C"/>
    <w:rsid w:val="009E4CF0"/>
    <w:rsid w:val="009E5F04"/>
    <w:rsid w:val="009F5D4F"/>
    <w:rsid w:val="009F611F"/>
    <w:rsid w:val="009F6870"/>
    <w:rsid w:val="009F74E6"/>
    <w:rsid w:val="009F7C65"/>
    <w:rsid w:val="00A008EC"/>
    <w:rsid w:val="00A02B2A"/>
    <w:rsid w:val="00A02F80"/>
    <w:rsid w:val="00A03E10"/>
    <w:rsid w:val="00A14088"/>
    <w:rsid w:val="00A167AD"/>
    <w:rsid w:val="00A1777A"/>
    <w:rsid w:val="00A240B2"/>
    <w:rsid w:val="00A24B06"/>
    <w:rsid w:val="00A24C8E"/>
    <w:rsid w:val="00A251BB"/>
    <w:rsid w:val="00A25BDB"/>
    <w:rsid w:val="00A26F1D"/>
    <w:rsid w:val="00A3050D"/>
    <w:rsid w:val="00A311EA"/>
    <w:rsid w:val="00A335F9"/>
    <w:rsid w:val="00A3380C"/>
    <w:rsid w:val="00A33A22"/>
    <w:rsid w:val="00A33D81"/>
    <w:rsid w:val="00A34027"/>
    <w:rsid w:val="00A34624"/>
    <w:rsid w:val="00A36F26"/>
    <w:rsid w:val="00A37230"/>
    <w:rsid w:val="00A42533"/>
    <w:rsid w:val="00A50233"/>
    <w:rsid w:val="00A50B3B"/>
    <w:rsid w:val="00A50BD7"/>
    <w:rsid w:val="00A5583F"/>
    <w:rsid w:val="00A6318F"/>
    <w:rsid w:val="00A647A1"/>
    <w:rsid w:val="00A64C6D"/>
    <w:rsid w:val="00A64FF3"/>
    <w:rsid w:val="00A65CAC"/>
    <w:rsid w:val="00A6610B"/>
    <w:rsid w:val="00A728A7"/>
    <w:rsid w:val="00A7405A"/>
    <w:rsid w:val="00A76A99"/>
    <w:rsid w:val="00A809BC"/>
    <w:rsid w:val="00A80DF6"/>
    <w:rsid w:val="00A81108"/>
    <w:rsid w:val="00A81CAD"/>
    <w:rsid w:val="00A83EA4"/>
    <w:rsid w:val="00A83EE7"/>
    <w:rsid w:val="00A87070"/>
    <w:rsid w:val="00A90A94"/>
    <w:rsid w:val="00A93CC9"/>
    <w:rsid w:val="00AA3D27"/>
    <w:rsid w:val="00AA4049"/>
    <w:rsid w:val="00AA4ABB"/>
    <w:rsid w:val="00AA75A8"/>
    <w:rsid w:val="00AB0674"/>
    <w:rsid w:val="00AB0A82"/>
    <w:rsid w:val="00AB1C48"/>
    <w:rsid w:val="00AB31B2"/>
    <w:rsid w:val="00AB3696"/>
    <w:rsid w:val="00AB7577"/>
    <w:rsid w:val="00AB7BBB"/>
    <w:rsid w:val="00AC2978"/>
    <w:rsid w:val="00AC3529"/>
    <w:rsid w:val="00AC3909"/>
    <w:rsid w:val="00AC501E"/>
    <w:rsid w:val="00AC6D2F"/>
    <w:rsid w:val="00AD206C"/>
    <w:rsid w:val="00AD2466"/>
    <w:rsid w:val="00AD2E68"/>
    <w:rsid w:val="00AD2EAC"/>
    <w:rsid w:val="00AD4CDF"/>
    <w:rsid w:val="00AD75FF"/>
    <w:rsid w:val="00AE0416"/>
    <w:rsid w:val="00AE1111"/>
    <w:rsid w:val="00AE1231"/>
    <w:rsid w:val="00AE339F"/>
    <w:rsid w:val="00AE3EEC"/>
    <w:rsid w:val="00AE49C1"/>
    <w:rsid w:val="00AE4C74"/>
    <w:rsid w:val="00AE76A0"/>
    <w:rsid w:val="00AF08F3"/>
    <w:rsid w:val="00AF0FBD"/>
    <w:rsid w:val="00AF25E3"/>
    <w:rsid w:val="00AF4344"/>
    <w:rsid w:val="00AF520B"/>
    <w:rsid w:val="00AF5600"/>
    <w:rsid w:val="00AF680A"/>
    <w:rsid w:val="00AF6A3B"/>
    <w:rsid w:val="00B006D4"/>
    <w:rsid w:val="00B0329A"/>
    <w:rsid w:val="00B03521"/>
    <w:rsid w:val="00B035F6"/>
    <w:rsid w:val="00B0495A"/>
    <w:rsid w:val="00B04B25"/>
    <w:rsid w:val="00B12FF3"/>
    <w:rsid w:val="00B13702"/>
    <w:rsid w:val="00B15883"/>
    <w:rsid w:val="00B16153"/>
    <w:rsid w:val="00B22C9E"/>
    <w:rsid w:val="00B26E3F"/>
    <w:rsid w:val="00B27F58"/>
    <w:rsid w:val="00B30770"/>
    <w:rsid w:val="00B32457"/>
    <w:rsid w:val="00B33952"/>
    <w:rsid w:val="00B339AC"/>
    <w:rsid w:val="00B34CFC"/>
    <w:rsid w:val="00B35E39"/>
    <w:rsid w:val="00B40013"/>
    <w:rsid w:val="00B4065B"/>
    <w:rsid w:val="00B41B69"/>
    <w:rsid w:val="00B421BA"/>
    <w:rsid w:val="00B46D04"/>
    <w:rsid w:val="00B474B8"/>
    <w:rsid w:val="00B47794"/>
    <w:rsid w:val="00B527C2"/>
    <w:rsid w:val="00B528B4"/>
    <w:rsid w:val="00B52D7A"/>
    <w:rsid w:val="00B54521"/>
    <w:rsid w:val="00B55AAE"/>
    <w:rsid w:val="00B56B2A"/>
    <w:rsid w:val="00B61938"/>
    <w:rsid w:val="00B6679D"/>
    <w:rsid w:val="00B701BC"/>
    <w:rsid w:val="00B722A3"/>
    <w:rsid w:val="00B731FB"/>
    <w:rsid w:val="00B73B8C"/>
    <w:rsid w:val="00B77F21"/>
    <w:rsid w:val="00B77FA2"/>
    <w:rsid w:val="00B81064"/>
    <w:rsid w:val="00B82554"/>
    <w:rsid w:val="00B85C01"/>
    <w:rsid w:val="00B93E12"/>
    <w:rsid w:val="00B94691"/>
    <w:rsid w:val="00B94F0C"/>
    <w:rsid w:val="00B95AF9"/>
    <w:rsid w:val="00B95B22"/>
    <w:rsid w:val="00BA0D4E"/>
    <w:rsid w:val="00BA1669"/>
    <w:rsid w:val="00BA1AFE"/>
    <w:rsid w:val="00BA5622"/>
    <w:rsid w:val="00BA69EB"/>
    <w:rsid w:val="00BB4071"/>
    <w:rsid w:val="00BB52E3"/>
    <w:rsid w:val="00BC1255"/>
    <w:rsid w:val="00BC23DC"/>
    <w:rsid w:val="00BC5607"/>
    <w:rsid w:val="00BD12AC"/>
    <w:rsid w:val="00BD1FB1"/>
    <w:rsid w:val="00BD211B"/>
    <w:rsid w:val="00BD3A10"/>
    <w:rsid w:val="00BD456E"/>
    <w:rsid w:val="00BD5F88"/>
    <w:rsid w:val="00BD764B"/>
    <w:rsid w:val="00BE03FE"/>
    <w:rsid w:val="00BE0FE6"/>
    <w:rsid w:val="00BE11D6"/>
    <w:rsid w:val="00BE42E7"/>
    <w:rsid w:val="00BF2DA5"/>
    <w:rsid w:val="00BF499A"/>
    <w:rsid w:val="00BF5704"/>
    <w:rsid w:val="00C02957"/>
    <w:rsid w:val="00C02D5F"/>
    <w:rsid w:val="00C02DC9"/>
    <w:rsid w:val="00C050D5"/>
    <w:rsid w:val="00C063F0"/>
    <w:rsid w:val="00C0775A"/>
    <w:rsid w:val="00C1257D"/>
    <w:rsid w:val="00C12790"/>
    <w:rsid w:val="00C12ABC"/>
    <w:rsid w:val="00C13AE7"/>
    <w:rsid w:val="00C14715"/>
    <w:rsid w:val="00C14859"/>
    <w:rsid w:val="00C154FA"/>
    <w:rsid w:val="00C1562C"/>
    <w:rsid w:val="00C251D9"/>
    <w:rsid w:val="00C27119"/>
    <w:rsid w:val="00C273D1"/>
    <w:rsid w:val="00C31194"/>
    <w:rsid w:val="00C322D4"/>
    <w:rsid w:val="00C324BB"/>
    <w:rsid w:val="00C33163"/>
    <w:rsid w:val="00C336AE"/>
    <w:rsid w:val="00C33BC8"/>
    <w:rsid w:val="00C33E2D"/>
    <w:rsid w:val="00C43D63"/>
    <w:rsid w:val="00C46626"/>
    <w:rsid w:val="00C603C5"/>
    <w:rsid w:val="00C60583"/>
    <w:rsid w:val="00C61111"/>
    <w:rsid w:val="00C631AB"/>
    <w:rsid w:val="00C63A0F"/>
    <w:rsid w:val="00C63A36"/>
    <w:rsid w:val="00C63BBB"/>
    <w:rsid w:val="00C67864"/>
    <w:rsid w:val="00C704BC"/>
    <w:rsid w:val="00C7073C"/>
    <w:rsid w:val="00C714A0"/>
    <w:rsid w:val="00C7251D"/>
    <w:rsid w:val="00C73FCF"/>
    <w:rsid w:val="00C7431C"/>
    <w:rsid w:val="00C74DB4"/>
    <w:rsid w:val="00C76569"/>
    <w:rsid w:val="00C76D4D"/>
    <w:rsid w:val="00C80707"/>
    <w:rsid w:val="00C811D4"/>
    <w:rsid w:val="00C82069"/>
    <w:rsid w:val="00C84863"/>
    <w:rsid w:val="00C8709C"/>
    <w:rsid w:val="00C877E9"/>
    <w:rsid w:val="00C87C03"/>
    <w:rsid w:val="00C939C5"/>
    <w:rsid w:val="00C9441F"/>
    <w:rsid w:val="00C94D54"/>
    <w:rsid w:val="00C95114"/>
    <w:rsid w:val="00CA0839"/>
    <w:rsid w:val="00CA1364"/>
    <w:rsid w:val="00CA48B4"/>
    <w:rsid w:val="00CA6627"/>
    <w:rsid w:val="00CB00A2"/>
    <w:rsid w:val="00CB0CEF"/>
    <w:rsid w:val="00CB4E79"/>
    <w:rsid w:val="00CB5C0D"/>
    <w:rsid w:val="00CB72BA"/>
    <w:rsid w:val="00CC0DEA"/>
    <w:rsid w:val="00CC1462"/>
    <w:rsid w:val="00CC7F04"/>
    <w:rsid w:val="00CD2F39"/>
    <w:rsid w:val="00CD3F39"/>
    <w:rsid w:val="00CD435F"/>
    <w:rsid w:val="00CE023B"/>
    <w:rsid w:val="00CE1A86"/>
    <w:rsid w:val="00CE2DDF"/>
    <w:rsid w:val="00CE39C8"/>
    <w:rsid w:val="00CE631C"/>
    <w:rsid w:val="00CE6447"/>
    <w:rsid w:val="00CE79AB"/>
    <w:rsid w:val="00CF01CA"/>
    <w:rsid w:val="00CF3099"/>
    <w:rsid w:val="00CF4364"/>
    <w:rsid w:val="00CF5A21"/>
    <w:rsid w:val="00D00FCD"/>
    <w:rsid w:val="00D032C3"/>
    <w:rsid w:val="00D054A6"/>
    <w:rsid w:val="00D11678"/>
    <w:rsid w:val="00D1174B"/>
    <w:rsid w:val="00D12424"/>
    <w:rsid w:val="00D12443"/>
    <w:rsid w:val="00D13143"/>
    <w:rsid w:val="00D15D79"/>
    <w:rsid w:val="00D20762"/>
    <w:rsid w:val="00D2210B"/>
    <w:rsid w:val="00D22225"/>
    <w:rsid w:val="00D222AE"/>
    <w:rsid w:val="00D225FD"/>
    <w:rsid w:val="00D25724"/>
    <w:rsid w:val="00D26E4F"/>
    <w:rsid w:val="00D308FF"/>
    <w:rsid w:val="00D335AF"/>
    <w:rsid w:val="00D349DD"/>
    <w:rsid w:val="00D41271"/>
    <w:rsid w:val="00D52586"/>
    <w:rsid w:val="00D53326"/>
    <w:rsid w:val="00D53712"/>
    <w:rsid w:val="00D54C0F"/>
    <w:rsid w:val="00D56783"/>
    <w:rsid w:val="00D60858"/>
    <w:rsid w:val="00D61279"/>
    <w:rsid w:val="00D613A3"/>
    <w:rsid w:val="00D61D1F"/>
    <w:rsid w:val="00D63044"/>
    <w:rsid w:val="00D63810"/>
    <w:rsid w:val="00D65E59"/>
    <w:rsid w:val="00D66027"/>
    <w:rsid w:val="00D7058B"/>
    <w:rsid w:val="00D7312B"/>
    <w:rsid w:val="00D73B84"/>
    <w:rsid w:val="00D82BBF"/>
    <w:rsid w:val="00D831C5"/>
    <w:rsid w:val="00D856C5"/>
    <w:rsid w:val="00D86E36"/>
    <w:rsid w:val="00D87629"/>
    <w:rsid w:val="00D8793F"/>
    <w:rsid w:val="00D92546"/>
    <w:rsid w:val="00D93B84"/>
    <w:rsid w:val="00D97B32"/>
    <w:rsid w:val="00DA1220"/>
    <w:rsid w:val="00DA16E8"/>
    <w:rsid w:val="00DA6659"/>
    <w:rsid w:val="00DA755E"/>
    <w:rsid w:val="00DA777E"/>
    <w:rsid w:val="00DB0296"/>
    <w:rsid w:val="00DB1470"/>
    <w:rsid w:val="00DB3123"/>
    <w:rsid w:val="00DB4A31"/>
    <w:rsid w:val="00DB4D11"/>
    <w:rsid w:val="00DB622A"/>
    <w:rsid w:val="00DB66E6"/>
    <w:rsid w:val="00DC3D6D"/>
    <w:rsid w:val="00DC573B"/>
    <w:rsid w:val="00DC619E"/>
    <w:rsid w:val="00DD0DA0"/>
    <w:rsid w:val="00DD0E2B"/>
    <w:rsid w:val="00DD1A66"/>
    <w:rsid w:val="00DD23B7"/>
    <w:rsid w:val="00DD319D"/>
    <w:rsid w:val="00DD7E85"/>
    <w:rsid w:val="00DE1CE3"/>
    <w:rsid w:val="00DE1E30"/>
    <w:rsid w:val="00DE1EE9"/>
    <w:rsid w:val="00DE2B12"/>
    <w:rsid w:val="00DE38C2"/>
    <w:rsid w:val="00DE5448"/>
    <w:rsid w:val="00DE662F"/>
    <w:rsid w:val="00DF2D1A"/>
    <w:rsid w:val="00E00EFB"/>
    <w:rsid w:val="00E01D92"/>
    <w:rsid w:val="00E01E78"/>
    <w:rsid w:val="00E02179"/>
    <w:rsid w:val="00E041C4"/>
    <w:rsid w:val="00E050D5"/>
    <w:rsid w:val="00E06C2C"/>
    <w:rsid w:val="00E0720D"/>
    <w:rsid w:val="00E10C7E"/>
    <w:rsid w:val="00E1181C"/>
    <w:rsid w:val="00E1250F"/>
    <w:rsid w:val="00E13C3E"/>
    <w:rsid w:val="00E1475E"/>
    <w:rsid w:val="00E15333"/>
    <w:rsid w:val="00E20070"/>
    <w:rsid w:val="00E20FF3"/>
    <w:rsid w:val="00E22373"/>
    <w:rsid w:val="00E241F2"/>
    <w:rsid w:val="00E246BE"/>
    <w:rsid w:val="00E25A38"/>
    <w:rsid w:val="00E30673"/>
    <w:rsid w:val="00E3151A"/>
    <w:rsid w:val="00E32A7F"/>
    <w:rsid w:val="00E354FF"/>
    <w:rsid w:val="00E448EA"/>
    <w:rsid w:val="00E45F31"/>
    <w:rsid w:val="00E46F6E"/>
    <w:rsid w:val="00E476FC"/>
    <w:rsid w:val="00E477BF"/>
    <w:rsid w:val="00E51B8B"/>
    <w:rsid w:val="00E51C86"/>
    <w:rsid w:val="00E5298D"/>
    <w:rsid w:val="00E5420E"/>
    <w:rsid w:val="00E57A92"/>
    <w:rsid w:val="00E57E79"/>
    <w:rsid w:val="00E63286"/>
    <w:rsid w:val="00E63A23"/>
    <w:rsid w:val="00E656E1"/>
    <w:rsid w:val="00E665DA"/>
    <w:rsid w:val="00E6665E"/>
    <w:rsid w:val="00E6729B"/>
    <w:rsid w:val="00E74226"/>
    <w:rsid w:val="00E747FD"/>
    <w:rsid w:val="00E75D0D"/>
    <w:rsid w:val="00E7748B"/>
    <w:rsid w:val="00E77523"/>
    <w:rsid w:val="00E77547"/>
    <w:rsid w:val="00E81625"/>
    <w:rsid w:val="00E872B0"/>
    <w:rsid w:val="00E90721"/>
    <w:rsid w:val="00E9464C"/>
    <w:rsid w:val="00EA0C58"/>
    <w:rsid w:val="00EA0D07"/>
    <w:rsid w:val="00EA1B2B"/>
    <w:rsid w:val="00EA26C8"/>
    <w:rsid w:val="00EA3CD3"/>
    <w:rsid w:val="00EA42A8"/>
    <w:rsid w:val="00EA4D61"/>
    <w:rsid w:val="00EA6847"/>
    <w:rsid w:val="00EB1965"/>
    <w:rsid w:val="00EB251D"/>
    <w:rsid w:val="00EB5B5B"/>
    <w:rsid w:val="00EB5F64"/>
    <w:rsid w:val="00EB6847"/>
    <w:rsid w:val="00EB7BA8"/>
    <w:rsid w:val="00EC4D07"/>
    <w:rsid w:val="00EC5967"/>
    <w:rsid w:val="00ED302A"/>
    <w:rsid w:val="00ED5FAF"/>
    <w:rsid w:val="00ED6244"/>
    <w:rsid w:val="00ED6A8F"/>
    <w:rsid w:val="00ED7462"/>
    <w:rsid w:val="00EE3017"/>
    <w:rsid w:val="00EE5239"/>
    <w:rsid w:val="00EE6C45"/>
    <w:rsid w:val="00EE794A"/>
    <w:rsid w:val="00EF1761"/>
    <w:rsid w:val="00EF26DC"/>
    <w:rsid w:val="00EF4289"/>
    <w:rsid w:val="00EF6219"/>
    <w:rsid w:val="00EF75A2"/>
    <w:rsid w:val="00F02117"/>
    <w:rsid w:val="00F049D6"/>
    <w:rsid w:val="00F051C0"/>
    <w:rsid w:val="00F066A2"/>
    <w:rsid w:val="00F0678F"/>
    <w:rsid w:val="00F117A1"/>
    <w:rsid w:val="00F15E3F"/>
    <w:rsid w:val="00F16B8B"/>
    <w:rsid w:val="00F16BB6"/>
    <w:rsid w:val="00F174B4"/>
    <w:rsid w:val="00F21261"/>
    <w:rsid w:val="00F21FD8"/>
    <w:rsid w:val="00F228F7"/>
    <w:rsid w:val="00F2478D"/>
    <w:rsid w:val="00F258C1"/>
    <w:rsid w:val="00F2646D"/>
    <w:rsid w:val="00F272EE"/>
    <w:rsid w:val="00F31ADC"/>
    <w:rsid w:val="00F31B94"/>
    <w:rsid w:val="00F32678"/>
    <w:rsid w:val="00F33999"/>
    <w:rsid w:val="00F33BB8"/>
    <w:rsid w:val="00F36132"/>
    <w:rsid w:val="00F37B7C"/>
    <w:rsid w:val="00F40CC1"/>
    <w:rsid w:val="00F44A3D"/>
    <w:rsid w:val="00F45EB2"/>
    <w:rsid w:val="00F46F55"/>
    <w:rsid w:val="00F50230"/>
    <w:rsid w:val="00F54584"/>
    <w:rsid w:val="00F5539E"/>
    <w:rsid w:val="00F55E8B"/>
    <w:rsid w:val="00F56704"/>
    <w:rsid w:val="00F56776"/>
    <w:rsid w:val="00F6053F"/>
    <w:rsid w:val="00F61561"/>
    <w:rsid w:val="00F61D9D"/>
    <w:rsid w:val="00F6691B"/>
    <w:rsid w:val="00F70117"/>
    <w:rsid w:val="00F71312"/>
    <w:rsid w:val="00F720FE"/>
    <w:rsid w:val="00F728B8"/>
    <w:rsid w:val="00F73397"/>
    <w:rsid w:val="00F778D5"/>
    <w:rsid w:val="00F80312"/>
    <w:rsid w:val="00F8228E"/>
    <w:rsid w:val="00F83145"/>
    <w:rsid w:val="00F85A1E"/>
    <w:rsid w:val="00F87024"/>
    <w:rsid w:val="00F90039"/>
    <w:rsid w:val="00F91637"/>
    <w:rsid w:val="00F929C2"/>
    <w:rsid w:val="00F93A45"/>
    <w:rsid w:val="00F93FB6"/>
    <w:rsid w:val="00F95DC7"/>
    <w:rsid w:val="00F973FF"/>
    <w:rsid w:val="00FA4A40"/>
    <w:rsid w:val="00FA5BAF"/>
    <w:rsid w:val="00FB0367"/>
    <w:rsid w:val="00FB0D8D"/>
    <w:rsid w:val="00FB11F1"/>
    <w:rsid w:val="00FB4361"/>
    <w:rsid w:val="00FC0660"/>
    <w:rsid w:val="00FC2EF1"/>
    <w:rsid w:val="00FC37DA"/>
    <w:rsid w:val="00FC452F"/>
    <w:rsid w:val="00FC5BC4"/>
    <w:rsid w:val="00FD4385"/>
    <w:rsid w:val="00FD7C1E"/>
    <w:rsid w:val="00FE11FF"/>
    <w:rsid w:val="00FE3845"/>
    <w:rsid w:val="00FF0489"/>
    <w:rsid w:val="00FF4103"/>
    <w:rsid w:val="00FF4A7A"/>
    <w:rsid w:val="01076580"/>
    <w:rsid w:val="016320EC"/>
    <w:rsid w:val="01CC6BF5"/>
    <w:rsid w:val="021C17D6"/>
    <w:rsid w:val="02581525"/>
    <w:rsid w:val="02682844"/>
    <w:rsid w:val="02F23728"/>
    <w:rsid w:val="031132E8"/>
    <w:rsid w:val="03510287"/>
    <w:rsid w:val="03591C12"/>
    <w:rsid w:val="03712EB6"/>
    <w:rsid w:val="03C9092D"/>
    <w:rsid w:val="03E272F9"/>
    <w:rsid w:val="041452AF"/>
    <w:rsid w:val="047C599F"/>
    <w:rsid w:val="04C33132"/>
    <w:rsid w:val="04C36FEC"/>
    <w:rsid w:val="04E3714D"/>
    <w:rsid w:val="0526590B"/>
    <w:rsid w:val="060630E4"/>
    <w:rsid w:val="0670782F"/>
    <w:rsid w:val="06FF6D82"/>
    <w:rsid w:val="07131EBF"/>
    <w:rsid w:val="07B45450"/>
    <w:rsid w:val="0808579C"/>
    <w:rsid w:val="082156D3"/>
    <w:rsid w:val="083245BD"/>
    <w:rsid w:val="08691EA6"/>
    <w:rsid w:val="08C571E9"/>
    <w:rsid w:val="0922122E"/>
    <w:rsid w:val="092B1742"/>
    <w:rsid w:val="0935611C"/>
    <w:rsid w:val="099A3B7B"/>
    <w:rsid w:val="09CA0D6F"/>
    <w:rsid w:val="0A091E0E"/>
    <w:rsid w:val="0A371B94"/>
    <w:rsid w:val="0A8A7048"/>
    <w:rsid w:val="0AF75FEB"/>
    <w:rsid w:val="0B040BD8"/>
    <w:rsid w:val="0B1B102D"/>
    <w:rsid w:val="0B215587"/>
    <w:rsid w:val="0B3859F6"/>
    <w:rsid w:val="0B5A00BC"/>
    <w:rsid w:val="0BA13F3D"/>
    <w:rsid w:val="0BBD5AB8"/>
    <w:rsid w:val="0BCB5952"/>
    <w:rsid w:val="0BF14511"/>
    <w:rsid w:val="0C46788C"/>
    <w:rsid w:val="0CF40103"/>
    <w:rsid w:val="0D037C1E"/>
    <w:rsid w:val="0D533015"/>
    <w:rsid w:val="0DA22801"/>
    <w:rsid w:val="0E4D368D"/>
    <w:rsid w:val="0E762FCF"/>
    <w:rsid w:val="0F2B1B3D"/>
    <w:rsid w:val="0F4406BD"/>
    <w:rsid w:val="0F73098D"/>
    <w:rsid w:val="0F9D678C"/>
    <w:rsid w:val="0FD13310"/>
    <w:rsid w:val="10384473"/>
    <w:rsid w:val="10606175"/>
    <w:rsid w:val="106A6FF4"/>
    <w:rsid w:val="108F6A81"/>
    <w:rsid w:val="10F22B45"/>
    <w:rsid w:val="112D584F"/>
    <w:rsid w:val="1139307F"/>
    <w:rsid w:val="114B271D"/>
    <w:rsid w:val="1170063A"/>
    <w:rsid w:val="11BB562D"/>
    <w:rsid w:val="13201BEB"/>
    <w:rsid w:val="132731BD"/>
    <w:rsid w:val="132C392E"/>
    <w:rsid w:val="13390EFF"/>
    <w:rsid w:val="135E5D8C"/>
    <w:rsid w:val="138008DC"/>
    <w:rsid w:val="13CB3A8F"/>
    <w:rsid w:val="14395BCF"/>
    <w:rsid w:val="147025A5"/>
    <w:rsid w:val="149E40CA"/>
    <w:rsid w:val="14C760EC"/>
    <w:rsid w:val="14FD6C55"/>
    <w:rsid w:val="15022C54"/>
    <w:rsid w:val="15325C06"/>
    <w:rsid w:val="153D0B91"/>
    <w:rsid w:val="15602773"/>
    <w:rsid w:val="158741A4"/>
    <w:rsid w:val="15894CE1"/>
    <w:rsid w:val="158B7050"/>
    <w:rsid w:val="15A54611"/>
    <w:rsid w:val="15C33E73"/>
    <w:rsid w:val="15FF24FA"/>
    <w:rsid w:val="15FF3D3A"/>
    <w:rsid w:val="16117544"/>
    <w:rsid w:val="167857E8"/>
    <w:rsid w:val="16BC633F"/>
    <w:rsid w:val="16CA259A"/>
    <w:rsid w:val="16E0448F"/>
    <w:rsid w:val="170A6E3A"/>
    <w:rsid w:val="17100A02"/>
    <w:rsid w:val="17251F3E"/>
    <w:rsid w:val="17342109"/>
    <w:rsid w:val="17547644"/>
    <w:rsid w:val="17D01625"/>
    <w:rsid w:val="180970F2"/>
    <w:rsid w:val="18370023"/>
    <w:rsid w:val="18982EE8"/>
    <w:rsid w:val="18AD13CC"/>
    <w:rsid w:val="18B40136"/>
    <w:rsid w:val="18C554EC"/>
    <w:rsid w:val="18D771F0"/>
    <w:rsid w:val="18ED6201"/>
    <w:rsid w:val="19572B31"/>
    <w:rsid w:val="1A5A3C35"/>
    <w:rsid w:val="1AC13CB4"/>
    <w:rsid w:val="1AC5112F"/>
    <w:rsid w:val="1AE27167"/>
    <w:rsid w:val="1B593EEC"/>
    <w:rsid w:val="1BD211EE"/>
    <w:rsid w:val="1BDE6DF0"/>
    <w:rsid w:val="1C1B5646"/>
    <w:rsid w:val="1C4B65BD"/>
    <w:rsid w:val="1C5610A3"/>
    <w:rsid w:val="1C68528B"/>
    <w:rsid w:val="1CA55065"/>
    <w:rsid w:val="1CBB0ED4"/>
    <w:rsid w:val="1D144612"/>
    <w:rsid w:val="1D291E94"/>
    <w:rsid w:val="1D7C2114"/>
    <w:rsid w:val="1DB2437C"/>
    <w:rsid w:val="1E236A34"/>
    <w:rsid w:val="1E5219F1"/>
    <w:rsid w:val="1E8268DD"/>
    <w:rsid w:val="1ED336BB"/>
    <w:rsid w:val="1F826D67"/>
    <w:rsid w:val="1F833C2E"/>
    <w:rsid w:val="1FD23DE7"/>
    <w:rsid w:val="20013090"/>
    <w:rsid w:val="201C308A"/>
    <w:rsid w:val="202905D3"/>
    <w:rsid w:val="20EF09AB"/>
    <w:rsid w:val="21202D93"/>
    <w:rsid w:val="215018EE"/>
    <w:rsid w:val="21894314"/>
    <w:rsid w:val="219C2D85"/>
    <w:rsid w:val="21A37B5C"/>
    <w:rsid w:val="21B548B8"/>
    <w:rsid w:val="21C3049D"/>
    <w:rsid w:val="21F70CC6"/>
    <w:rsid w:val="220C11EC"/>
    <w:rsid w:val="22612D65"/>
    <w:rsid w:val="22A22E15"/>
    <w:rsid w:val="22C2427D"/>
    <w:rsid w:val="22C500B9"/>
    <w:rsid w:val="232703F4"/>
    <w:rsid w:val="23810484"/>
    <w:rsid w:val="23A45C13"/>
    <w:rsid w:val="23A83C63"/>
    <w:rsid w:val="24311A99"/>
    <w:rsid w:val="253824E0"/>
    <w:rsid w:val="25413B2E"/>
    <w:rsid w:val="25C07C0F"/>
    <w:rsid w:val="25C96F0A"/>
    <w:rsid w:val="25F806CE"/>
    <w:rsid w:val="261833AE"/>
    <w:rsid w:val="26497630"/>
    <w:rsid w:val="269B4C93"/>
    <w:rsid w:val="26D16E8B"/>
    <w:rsid w:val="26DF78A8"/>
    <w:rsid w:val="273001D0"/>
    <w:rsid w:val="278B1E78"/>
    <w:rsid w:val="27AC13A4"/>
    <w:rsid w:val="28393C05"/>
    <w:rsid w:val="28F06815"/>
    <w:rsid w:val="2909750A"/>
    <w:rsid w:val="294E705B"/>
    <w:rsid w:val="29FE2426"/>
    <w:rsid w:val="29FF4830"/>
    <w:rsid w:val="2A6E7CAB"/>
    <w:rsid w:val="2AAE1638"/>
    <w:rsid w:val="2B4614DD"/>
    <w:rsid w:val="2B4E2E20"/>
    <w:rsid w:val="2C24686F"/>
    <w:rsid w:val="2C2E1811"/>
    <w:rsid w:val="2C75189C"/>
    <w:rsid w:val="2D423E86"/>
    <w:rsid w:val="2D670338"/>
    <w:rsid w:val="2DB71B64"/>
    <w:rsid w:val="2EFD5080"/>
    <w:rsid w:val="2F146650"/>
    <w:rsid w:val="302D3FAD"/>
    <w:rsid w:val="30362251"/>
    <w:rsid w:val="31847FAF"/>
    <w:rsid w:val="31C356EC"/>
    <w:rsid w:val="31CD0D39"/>
    <w:rsid w:val="323D7663"/>
    <w:rsid w:val="32646230"/>
    <w:rsid w:val="32764F2C"/>
    <w:rsid w:val="32D07443"/>
    <w:rsid w:val="32EC28EA"/>
    <w:rsid w:val="331C77FB"/>
    <w:rsid w:val="3335724D"/>
    <w:rsid w:val="338110AE"/>
    <w:rsid w:val="339A64EB"/>
    <w:rsid w:val="33DE209A"/>
    <w:rsid w:val="344351B7"/>
    <w:rsid w:val="34524761"/>
    <w:rsid w:val="34530633"/>
    <w:rsid w:val="346B742F"/>
    <w:rsid w:val="349D0BDD"/>
    <w:rsid w:val="34BB3A10"/>
    <w:rsid w:val="34D67F04"/>
    <w:rsid w:val="352372C3"/>
    <w:rsid w:val="353436DA"/>
    <w:rsid w:val="35523A2F"/>
    <w:rsid w:val="35BC6DA2"/>
    <w:rsid w:val="35D408E8"/>
    <w:rsid w:val="35E058EF"/>
    <w:rsid w:val="360A35C3"/>
    <w:rsid w:val="36892255"/>
    <w:rsid w:val="36C7044C"/>
    <w:rsid w:val="37024FE0"/>
    <w:rsid w:val="37394C73"/>
    <w:rsid w:val="3755300B"/>
    <w:rsid w:val="37785C00"/>
    <w:rsid w:val="378A5AA2"/>
    <w:rsid w:val="379F6CD3"/>
    <w:rsid w:val="37B33B65"/>
    <w:rsid w:val="37C36E66"/>
    <w:rsid w:val="37FA4C43"/>
    <w:rsid w:val="38D17360"/>
    <w:rsid w:val="38F40732"/>
    <w:rsid w:val="39111B24"/>
    <w:rsid w:val="3A443B62"/>
    <w:rsid w:val="3A9651C3"/>
    <w:rsid w:val="3B5D01C0"/>
    <w:rsid w:val="3BBB7E54"/>
    <w:rsid w:val="3C2E32B7"/>
    <w:rsid w:val="3C925059"/>
    <w:rsid w:val="3CBC080E"/>
    <w:rsid w:val="3CBF6D5A"/>
    <w:rsid w:val="3CEC063F"/>
    <w:rsid w:val="3CEE61C8"/>
    <w:rsid w:val="3D255ECD"/>
    <w:rsid w:val="3D704704"/>
    <w:rsid w:val="3D8E4AE3"/>
    <w:rsid w:val="3DBD2F5B"/>
    <w:rsid w:val="3E18333B"/>
    <w:rsid w:val="3E381AA2"/>
    <w:rsid w:val="3E3B138C"/>
    <w:rsid w:val="3E993244"/>
    <w:rsid w:val="3EBC0032"/>
    <w:rsid w:val="3EEB6A0A"/>
    <w:rsid w:val="3EF6789C"/>
    <w:rsid w:val="3F037CD1"/>
    <w:rsid w:val="3F6C5876"/>
    <w:rsid w:val="408016EC"/>
    <w:rsid w:val="409965D9"/>
    <w:rsid w:val="40E87E13"/>
    <w:rsid w:val="40F76602"/>
    <w:rsid w:val="41456B3D"/>
    <w:rsid w:val="42321BA9"/>
    <w:rsid w:val="424F6A20"/>
    <w:rsid w:val="42F73E67"/>
    <w:rsid w:val="43543068"/>
    <w:rsid w:val="435F4D2F"/>
    <w:rsid w:val="43DB4A94"/>
    <w:rsid w:val="440F23F7"/>
    <w:rsid w:val="44981989"/>
    <w:rsid w:val="44B84EAA"/>
    <w:rsid w:val="44C9546A"/>
    <w:rsid w:val="45375AF0"/>
    <w:rsid w:val="45BB5A4E"/>
    <w:rsid w:val="45FD77DD"/>
    <w:rsid w:val="460D0F18"/>
    <w:rsid w:val="4683223D"/>
    <w:rsid w:val="46853EE0"/>
    <w:rsid w:val="469B0F14"/>
    <w:rsid w:val="46BD4EFF"/>
    <w:rsid w:val="46BF2EEE"/>
    <w:rsid w:val="46D5735F"/>
    <w:rsid w:val="473F0ADB"/>
    <w:rsid w:val="47896CB6"/>
    <w:rsid w:val="48147BA3"/>
    <w:rsid w:val="48183A6C"/>
    <w:rsid w:val="4823125B"/>
    <w:rsid w:val="48BC48D3"/>
    <w:rsid w:val="48E704A6"/>
    <w:rsid w:val="4941408E"/>
    <w:rsid w:val="4953503B"/>
    <w:rsid w:val="49733435"/>
    <w:rsid w:val="499E6DEB"/>
    <w:rsid w:val="49E36EF3"/>
    <w:rsid w:val="4A190B67"/>
    <w:rsid w:val="4A9D3546"/>
    <w:rsid w:val="4B58121B"/>
    <w:rsid w:val="4B881658"/>
    <w:rsid w:val="4BC2439F"/>
    <w:rsid w:val="4BD5030E"/>
    <w:rsid w:val="4BDB04D8"/>
    <w:rsid w:val="4C1D466A"/>
    <w:rsid w:val="4C1E6430"/>
    <w:rsid w:val="4C596EA2"/>
    <w:rsid w:val="4C7C3C21"/>
    <w:rsid w:val="4C7D53DD"/>
    <w:rsid w:val="4C972C2F"/>
    <w:rsid w:val="4D027104"/>
    <w:rsid w:val="4D9D55CB"/>
    <w:rsid w:val="4DC66910"/>
    <w:rsid w:val="4DFD7BB3"/>
    <w:rsid w:val="4E10402F"/>
    <w:rsid w:val="4E1B6FE7"/>
    <w:rsid w:val="4E781B4B"/>
    <w:rsid w:val="4EBF723F"/>
    <w:rsid w:val="4F2E0C11"/>
    <w:rsid w:val="4F2F7C71"/>
    <w:rsid w:val="4F625ABF"/>
    <w:rsid w:val="4F895E47"/>
    <w:rsid w:val="4F9020CD"/>
    <w:rsid w:val="5053299E"/>
    <w:rsid w:val="50717B85"/>
    <w:rsid w:val="50752BC0"/>
    <w:rsid w:val="50915523"/>
    <w:rsid w:val="50D21E5E"/>
    <w:rsid w:val="50E35A2B"/>
    <w:rsid w:val="510C0730"/>
    <w:rsid w:val="510F351E"/>
    <w:rsid w:val="51D11D27"/>
    <w:rsid w:val="521E7002"/>
    <w:rsid w:val="523429E2"/>
    <w:rsid w:val="5249005D"/>
    <w:rsid w:val="53307C35"/>
    <w:rsid w:val="534C0852"/>
    <w:rsid w:val="53D42DAC"/>
    <w:rsid w:val="5443799E"/>
    <w:rsid w:val="548662E9"/>
    <w:rsid w:val="54B932F0"/>
    <w:rsid w:val="55300798"/>
    <w:rsid w:val="554E07BE"/>
    <w:rsid w:val="55535C60"/>
    <w:rsid w:val="55937A20"/>
    <w:rsid w:val="55C41303"/>
    <w:rsid w:val="55CC026E"/>
    <w:rsid w:val="55E329D8"/>
    <w:rsid w:val="55F83D27"/>
    <w:rsid w:val="56020AC1"/>
    <w:rsid w:val="562157CD"/>
    <w:rsid w:val="565F3DA6"/>
    <w:rsid w:val="566540CD"/>
    <w:rsid w:val="56A8574D"/>
    <w:rsid w:val="56AD2D63"/>
    <w:rsid w:val="5718721E"/>
    <w:rsid w:val="57586B58"/>
    <w:rsid w:val="579042D8"/>
    <w:rsid w:val="582A11CC"/>
    <w:rsid w:val="58374644"/>
    <w:rsid w:val="584511FD"/>
    <w:rsid w:val="58490996"/>
    <w:rsid w:val="58654BC0"/>
    <w:rsid w:val="589D0715"/>
    <w:rsid w:val="58A82511"/>
    <w:rsid w:val="59037040"/>
    <w:rsid w:val="5909652F"/>
    <w:rsid w:val="592D343A"/>
    <w:rsid w:val="59462FFB"/>
    <w:rsid w:val="59627D3C"/>
    <w:rsid w:val="596B56BE"/>
    <w:rsid w:val="596F4300"/>
    <w:rsid w:val="597B2CA5"/>
    <w:rsid w:val="5991071A"/>
    <w:rsid w:val="599124C8"/>
    <w:rsid w:val="59A02428"/>
    <w:rsid w:val="59AE58EB"/>
    <w:rsid w:val="59D537D8"/>
    <w:rsid w:val="59EF448E"/>
    <w:rsid w:val="5A676BF0"/>
    <w:rsid w:val="5A69419E"/>
    <w:rsid w:val="5A76387F"/>
    <w:rsid w:val="5ABD1D13"/>
    <w:rsid w:val="5AC210F3"/>
    <w:rsid w:val="5B3475AF"/>
    <w:rsid w:val="5B5F27E4"/>
    <w:rsid w:val="5B6854AA"/>
    <w:rsid w:val="5BD95199"/>
    <w:rsid w:val="5BEB43C4"/>
    <w:rsid w:val="5C23196E"/>
    <w:rsid w:val="5C2E163D"/>
    <w:rsid w:val="5C8410A6"/>
    <w:rsid w:val="5C860F0E"/>
    <w:rsid w:val="5CD22CC8"/>
    <w:rsid w:val="5CE110EE"/>
    <w:rsid w:val="5D0620C7"/>
    <w:rsid w:val="5D2F2F2A"/>
    <w:rsid w:val="5DAD60AF"/>
    <w:rsid w:val="5DC65CED"/>
    <w:rsid w:val="5E8C7702"/>
    <w:rsid w:val="5E9071F2"/>
    <w:rsid w:val="5F047298"/>
    <w:rsid w:val="5F1E2A4F"/>
    <w:rsid w:val="5F245B8C"/>
    <w:rsid w:val="5F44309B"/>
    <w:rsid w:val="5FAF55E4"/>
    <w:rsid w:val="5FD135BC"/>
    <w:rsid w:val="60120D6B"/>
    <w:rsid w:val="60172FFB"/>
    <w:rsid w:val="60504864"/>
    <w:rsid w:val="60E530F9"/>
    <w:rsid w:val="615375CA"/>
    <w:rsid w:val="61E66D8D"/>
    <w:rsid w:val="627B7FF7"/>
    <w:rsid w:val="62854A7A"/>
    <w:rsid w:val="628A4669"/>
    <w:rsid w:val="62A56FE4"/>
    <w:rsid w:val="630B32EB"/>
    <w:rsid w:val="631E11B3"/>
    <w:rsid w:val="63276C83"/>
    <w:rsid w:val="637644DD"/>
    <w:rsid w:val="637F15E3"/>
    <w:rsid w:val="63FA505B"/>
    <w:rsid w:val="64375AF1"/>
    <w:rsid w:val="64D82D4E"/>
    <w:rsid w:val="64E50DA5"/>
    <w:rsid w:val="64F205B8"/>
    <w:rsid w:val="64F861E7"/>
    <w:rsid w:val="65C14EA6"/>
    <w:rsid w:val="66300351"/>
    <w:rsid w:val="66754F1F"/>
    <w:rsid w:val="66794A10"/>
    <w:rsid w:val="669255D9"/>
    <w:rsid w:val="66993816"/>
    <w:rsid w:val="669C1802"/>
    <w:rsid w:val="670544F5"/>
    <w:rsid w:val="678C6CB5"/>
    <w:rsid w:val="67BF1EC8"/>
    <w:rsid w:val="67C35C6B"/>
    <w:rsid w:val="6844104D"/>
    <w:rsid w:val="6864661A"/>
    <w:rsid w:val="689F1462"/>
    <w:rsid w:val="68B7181F"/>
    <w:rsid w:val="69032B47"/>
    <w:rsid w:val="693B7D5A"/>
    <w:rsid w:val="695B379A"/>
    <w:rsid w:val="6988414B"/>
    <w:rsid w:val="69BD6A41"/>
    <w:rsid w:val="6A4175D0"/>
    <w:rsid w:val="6A7D43A3"/>
    <w:rsid w:val="6AC81C6F"/>
    <w:rsid w:val="6AC94ACF"/>
    <w:rsid w:val="6AFF263C"/>
    <w:rsid w:val="6B1F04FB"/>
    <w:rsid w:val="6B44325E"/>
    <w:rsid w:val="6B581098"/>
    <w:rsid w:val="6B817D5D"/>
    <w:rsid w:val="6BA62653"/>
    <w:rsid w:val="6BD46446"/>
    <w:rsid w:val="6BE97F42"/>
    <w:rsid w:val="6C277174"/>
    <w:rsid w:val="6C6C22E7"/>
    <w:rsid w:val="6C9C04B6"/>
    <w:rsid w:val="6CCA6ADE"/>
    <w:rsid w:val="6CCE7137"/>
    <w:rsid w:val="6CF154EE"/>
    <w:rsid w:val="6D943EDD"/>
    <w:rsid w:val="6DAA3BEC"/>
    <w:rsid w:val="6E831A1C"/>
    <w:rsid w:val="6E8F5A98"/>
    <w:rsid w:val="6EA463A2"/>
    <w:rsid w:val="6ED362F7"/>
    <w:rsid w:val="6ED722D3"/>
    <w:rsid w:val="6EFF182A"/>
    <w:rsid w:val="6F1124F0"/>
    <w:rsid w:val="6F1419BE"/>
    <w:rsid w:val="6FC377DD"/>
    <w:rsid w:val="6FC52A74"/>
    <w:rsid w:val="700417EE"/>
    <w:rsid w:val="703F6432"/>
    <w:rsid w:val="71096990"/>
    <w:rsid w:val="718E00E8"/>
    <w:rsid w:val="71C85E19"/>
    <w:rsid w:val="722B3510"/>
    <w:rsid w:val="72513C29"/>
    <w:rsid w:val="727C41B6"/>
    <w:rsid w:val="7313195C"/>
    <w:rsid w:val="73604056"/>
    <w:rsid w:val="736B2E11"/>
    <w:rsid w:val="737256A0"/>
    <w:rsid w:val="7412006E"/>
    <w:rsid w:val="741F468A"/>
    <w:rsid w:val="743A3FCF"/>
    <w:rsid w:val="74CA6436"/>
    <w:rsid w:val="75304D0F"/>
    <w:rsid w:val="75CD2682"/>
    <w:rsid w:val="75E141D5"/>
    <w:rsid w:val="75EC2630"/>
    <w:rsid w:val="76065B94"/>
    <w:rsid w:val="770248B1"/>
    <w:rsid w:val="788672E2"/>
    <w:rsid w:val="78D14237"/>
    <w:rsid w:val="78FB69A2"/>
    <w:rsid w:val="79240D60"/>
    <w:rsid w:val="792E7687"/>
    <w:rsid w:val="7987746E"/>
    <w:rsid w:val="79A8143C"/>
    <w:rsid w:val="7A0F3811"/>
    <w:rsid w:val="7A777600"/>
    <w:rsid w:val="7A9A703A"/>
    <w:rsid w:val="7AB667D0"/>
    <w:rsid w:val="7AC25F5F"/>
    <w:rsid w:val="7AC75EC0"/>
    <w:rsid w:val="7AE31DA6"/>
    <w:rsid w:val="7B3A69D0"/>
    <w:rsid w:val="7B683586"/>
    <w:rsid w:val="7BF73398"/>
    <w:rsid w:val="7BFF2E69"/>
    <w:rsid w:val="7C241ED8"/>
    <w:rsid w:val="7C4F6143"/>
    <w:rsid w:val="7CAE1664"/>
    <w:rsid w:val="7CF84488"/>
    <w:rsid w:val="7D255F53"/>
    <w:rsid w:val="7D475FFC"/>
    <w:rsid w:val="7D894B75"/>
    <w:rsid w:val="7E827305"/>
    <w:rsid w:val="7E8A55B4"/>
    <w:rsid w:val="7E8C1CE9"/>
    <w:rsid w:val="7EAA41C6"/>
    <w:rsid w:val="7EC71748"/>
    <w:rsid w:val="7EF932F0"/>
    <w:rsid w:val="7EFB7E52"/>
    <w:rsid w:val="7F1440ED"/>
    <w:rsid w:val="7F345520"/>
    <w:rsid w:val="7F8474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14:defaultImageDpi w14:val="330"/>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qFormat="1" w:uiPriority="99" w:semiHidden="0"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99" w:semiHidden="0"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qFormat="1" w:unhideWhenUsed="0" w:uiPriority="99" w:semiHidden="0"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imes New Roman" w:hAnsi="Times New Roman" w:eastAsia="宋体" w:cstheme="minorBidi"/>
      <w:kern w:val="2"/>
      <w:sz w:val="24"/>
      <w:szCs w:val="22"/>
      <w:lang w:val="en-US" w:eastAsia="zh-CN" w:bidi="ar-SA"/>
    </w:rPr>
  </w:style>
  <w:style w:type="paragraph" w:styleId="2">
    <w:name w:val="heading 1"/>
    <w:basedOn w:val="1"/>
    <w:next w:val="1"/>
    <w:link w:val="40"/>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9"/>
    <w:unhideWhenUsed/>
    <w:qFormat/>
    <w:uiPriority w:val="9"/>
    <w:pPr>
      <w:keepNext/>
      <w:keepLines/>
      <w:spacing w:before="50" w:beforeLines="50" w:after="70" w:afterLines="70"/>
      <w:outlineLvl w:val="1"/>
    </w:pPr>
    <w:rPr>
      <w:rFonts w:ascii="黑体" w:hAnsi="黑体" w:eastAsia="黑体" w:cstheme="majorBidi"/>
      <w:b/>
      <w:bCs/>
      <w:szCs w:val="32"/>
    </w:rPr>
  </w:style>
  <w:style w:type="paragraph" w:styleId="4">
    <w:name w:val="heading 3"/>
    <w:basedOn w:val="1"/>
    <w:next w:val="1"/>
    <w:link w:val="45"/>
    <w:unhideWhenUsed/>
    <w:qFormat/>
    <w:uiPriority w:val="9"/>
    <w:pPr>
      <w:keepNext/>
      <w:keepLines/>
      <w:spacing w:before="50" w:beforeLines="50" w:after="50" w:afterLines="50"/>
      <w:outlineLvl w:val="2"/>
    </w:pPr>
    <w:rPr>
      <w:b/>
      <w:bCs/>
      <w:szCs w:val="32"/>
    </w:rPr>
  </w:style>
  <w:style w:type="paragraph" w:styleId="5">
    <w:name w:val="heading 4"/>
    <w:basedOn w:val="1"/>
    <w:next w:val="1"/>
    <w:unhideWhenUsed/>
    <w:qFormat/>
    <w:uiPriority w:val="9"/>
    <w:pPr>
      <w:keepNext/>
      <w:keepLines/>
      <w:spacing w:before="100" w:beforeLines="0" w:beforeAutospacing="0" w:after="100" w:afterLines="0" w:afterAutospacing="0" w:line="360" w:lineRule="auto"/>
      <w:outlineLvl w:val="3"/>
    </w:pPr>
    <w:rPr>
      <w:rFonts w:ascii="Times New Roman" w:hAnsi="Times New Roman" w:eastAsia="宋体"/>
      <w:b/>
    </w:rPr>
  </w:style>
  <w:style w:type="paragraph" w:styleId="6">
    <w:name w:val="heading 5"/>
    <w:basedOn w:val="1"/>
    <w:next w:val="1"/>
    <w:unhideWhenUsed/>
    <w:qFormat/>
    <w:uiPriority w:val="9"/>
    <w:pPr>
      <w:keepNext/>
      <w:keepLines/>
      <w:spacing w:before="280" w:beforeLines="0" w:beforeAutospacing="0" w:after="290" w:afterLines="0" w:afterAutospacing="0" w:line="372" w:lineRule="auto"/>
      <w:outlineLvl w:val="4"/>
    </w:pPr>
    <w:rPr>
      <w:b/>
      <w:sz w:val="28"/>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7">
    <w:name w:val="index 8"/>
    <w:basedOn w:val="1"/>
    <w:next w:val="1"/>
    <w:unhideWhenUsed/>
    <w:qFormat/>
    <w:uiPriority w:val="99"/>
    <w:pPr>
      <w:ind w:left="2940"/>
      <w:jc w:val="center"/>
    </w:pPr>
  </w:style>
  <w:style w:type="paragraph" w:styleId="8">
    <w:name w:val="caption"/>
    <w:basedOn w:val="1"/>
    <w:next w:val="1"/>
    <w:unhideWhenUsed/>
    <w:qFormat/>
    <w:uiPriority w:val="35"/>
    <w:pPr>
      <w:jc w:val="center"/>
    </w:pPr>
    <w:rPr>
      <w:rFonts w:ascii="Times New Roman" w:hAnsi="Times New Roman" w:eastAsia="黑体"/>
      <w:b/>
      <w:sz w:val="20"/>
    </w:rPr>
  </w:style>
  <w:style w:type="paragraph" w:styleId="9">
    <w:name w:val="annotation text"/>
    <w:basedOn w:val="1"/>
    <w:link w:val="36"/>
    <w:autoRedefine/>
    <w:unhideWhenUsed/>
    <w:qFormat/>
    <w:uiPriority w:val="99"/>
    <w:pPr>
      <w:jc w:val="left"/>
    </w:pPr>
  </w:style>
  <w:style w:type="paragraph" w:styleId="10">
    <w:name w:val="Body Text"/>
    <w:basedOn w:val="1"/>
    <w:link w:val="43"/>
    <w:autoRedefine/>
    <w:semiHidden/>
    <w:unhideWhenUsed/>
    <w:qFormat/>
    <w:uiPriority w:val="99"/>
    <w:pPr>
      <w:spacing w:after="120"/>
    </w:pPr>
  </w:style>
  <w:style w:type="paragraph" w:styleId="11">
    <w:name w:val="Body Text Indent"/>
    <w:basedOn w:val="1"/>
    <w:next w:val="12"/>
    <w:qFormat/>
    <w:uiPriority w:val="0"/>
    <w:pPr>
      <w:widowControl/>
      <w:tabs>
        <w:tab w:val="left" w:pos="840"/>
      </w:tabs>
      <w:adjustRightInd w:val="0"/>
      <w:spacing w:line="240" w:lineRule="auto"/>
      <w:ind w:firstLine="0" w:firstLineChars="0"/>
      <w:textAlignment w:val="baseline"/>
    </w:pPr>
    <w:rPr>
      <w:rFonts w:ascii="宋体" w:hAnsi="宋体" w:eastAsia="宋体" w:cs="Times New Roman"/>
      <w:kern w:val="0"/>
      <w:sz w:val="22"/>
      <w:szCs w:val="20"/>
    </w:rPr>
  </w:style>
  <w:style w:type="paragraph" w:styleId="12">
    <w:name w:val="Body Text First Indent 2"/>
    <w:basedOn w:val="11"/>
    <w:qFormat/>
    <w:uiPriority w:val="0"/>
    <w:pPr>
      <w:ind w:firstLine="420" w:firstLineChars="200"/>
    </w:pPr>
  </w:style>
  <w:style w:type="paragraph" w:styleId="13">
    <w:name w:val="toc 3"/>
    <w:basedOn w:val="1"/>
    <w:next w:val="1"/>
    <w:autoRedefine/>
    <w:unhideWhenUsed/>
    <w:qFormat/>
    <w:uiPriority w:val="39"/>
    <w:pPr>
      <w:tabs>
        <w:tab w:val="right" w:leader="dot" w:pos="8296"/>
      </w:tabs>
      <w:ind w:left="840" w:leftChars="400"/>
    </w:pPr>
  </w:style>
  <w:style w:type="paragraph" w:styleId="14">
    <w:name w:val="Plain Text"/>
    <w:basedOn w:val="1"/>
    <w:link w:val="57"/>
    <w:qFormat/>
    <w:uiPriority w:val="0"/>
    <w:rPr>
      <w:rFonts w:ascii="宋体"/>
      <w:szCs w:val="20"/>
    </w:rPr>
  </w:style>
  <w:style w:type="paragraph" w:styleId="15">
    <w:name w:val="Date"/>
    <w:basedOn w:val="1"/>
    <w:next w:val="1"/>
    <w:link w:val="35"/>
    <w:autoRedefine/>
    <w:semiHidden/>
    <w:unhideWhenUsed/>
    <w:qFormat/>
    <w:uiPriority w:val="99"/>
    <w:pPr>
      <w:ind w:left="100" w:leftChars="2500"/>
    </w:pPr>
  </w:style>
  <w:style w:type="paragraph" w:styleId="16">
    <w:name w:val="footer"/>
    <w:basedOn w:val="1"/>
    <w:link w:val="33"/>
    <w:autoRedefine/>
    <w:unhideWhenUsed/>
    <w:qFormat/>
    <w:uiPriority w:val="99"/>
    <w:pPr>
      <w:tabs>
        <w:tab w:val="center" w:pos="4153"/>
        <w:tab w:val="right" w:pos="8306"/>
      </w:tabs>
      <w:snapToGrid w:val="0"/>
      <w:jc w:val="left"/>
    </w:pPr>
    <w:rPr>
      <w:sz w:val="18"/>
      <w:szCs w:val="18"/>
    </w:rPr>
  </w:style>
  <w:style w:type="paragraph" w:styleId="17">
    <w:name w:val="header"/>
    <w:basedOn w:val="1"/>
    <w:link w:val="32"/>
    <w:autoRedefine/>
    <w:unhideWhenUsed/>
    <w:qFormat/>
    <w:uiPriority w:val="0"/>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unhideWhenUsed/>
    <w:qFormat/>
    <w:uiPriority w:val="39"/>
  </w:style>
  <w:style w:type="paragraph" w:styleId="19">
    <w:name w:val="footnote text"/>
    <w:basedOn w:val="1"/>
    <w:next w:val="1"/>
    <w:qFormat/>
    <w:uiPriority w:val="99"/>
    <w:pPr>
      <w:adjustRightInd/>
      <w:snapToGrid w:val="0"/>
      <w:spacing w:line="300" w:lineRule="exact"/>
      <w:ind w:left="400" w:leftChars="200" w:hanging="200" w:hangingChars="200"/>
      <w:jc w:val="left"/>
    </w:pPr>
    <w:rPr>
      <w:rFonts w:ascii="宋体"/>
      <w:sz w:val="18"/>
      <w:szCs w:val="18"/>
    </w:rPr>
  </w:style>
  <w:style w:type="paragraph" w:styleId="20">
    <w:name w:val="toc 2"/>
    <w:basedOn w:val="1"/>
    <w:next w:val="1"/>
    <w:autoRedefine/>
    <w:unhideWhenUsed/>
    <w:qFormat/>
    <w:uiPriority w:val="39"/>
    <w:pPr>
      <w:tabs>
        <w:tab w:val="right" w:leader="dot" w:pos="8296"/>
      </w:tabs>
      <w:ind w:left="420" w:leftChars="200"/>
    </w:pPr>
  </w:style>
  <w:style w:type="paragraph" w:styleId="21">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cs="Times New Roman"/>
      <w:kern w:val="0"/>
      <w:szCs w:val="24"/>
    </w:rPr>
  </w:style>
  <w:style w:type="paragraph" w:styleId="22">
    <w:name w:val="Normal (Web)"/>
    <w:basedOn w:val="1"/>
    <w:unhideWhenUsed/>
    <w:qFormat/>
    <w:uiPriority w:val="99"/>
    <w:pPr>
      <w:spacing w:beforeAutospacing="1" w:afterAutospacing="1"/>
      <w:jc w:val="left"/>
    </w:pPr>
    <w:rPr>
      <w:rFonts w:cs="Times New Roman"/>
      <w:kern w:val="0"/>
    </w:rPr>
  </w:style>
  <w:style w:type="paragraph" w:styleId="23">
    <w:name w:val="annotation subject"/>
    <w:basedOn w:val="9"/>
    <w:next w:val="9"/>
    <w:link w:val="37"/>
    <w:autoRedefine/>
    <w:semiHidden/>
    <w:unhideWhenUsed/>
    <w:qFormat/>
    <w:uiPriority w:val="99"/>
    <w:rPr>
      <w:b/>
      <w:bCs/>
    </w:rPr>
  </w:style>
  <w:style w:type="paragraph" w:styleId="24">
    <w:name w:val="Body Text First Indent"/>
    <w:basedOn w:val="10"/>
    <w:link w:val="44"/>
    <w:autoRedefine/>
    <w:qFormat/>
    <w:uiPriority w:val="0"/>
    <w:pPr>
      <w:spacing w:after="0"/>
      <w:ind w:firstLine="420" w:firstLineChars="100"/>
    </w:pPr>
    <w:rPr>
      <w:rFonts w:cs="Times New Roman"/>
      <w:szCs w:val="24"/>
    </w:rPr>
  </w:style>
  <w:style w:type="table" w:styleId="26">
    <w:name w:val="Table Grid"/>
    <w:basedOn w:val="25"/>
    <w:autoRedefine/>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autoRedefine/>
    <w:qFormat/>
    <w:uiPriority w:val="22"/>
    <w:rPr>
      <w:b/>
    </w:rPr>
  </w:style>
  <w:style w:type="character" w:styleId="29">
    <w:name w:val="Hyperlink"/>
    <w:basedOn w:val="27"/>
    <w:autoRedefine/>
    <w:unhideWhenUsed/>
    <w:qFormat/>
    <w:uiPriority w:val="99"/>
    <w:rPr>
      <w:color w:val="0563C1" w:themeColor="hyperlink"/>
      <w:u w:val="single"/>
      <w14:textFill>
        <w14:solidFill>
          <w14:schemeClr w14:val="hlink"/>
        </w14:solidFill>
      </w14:textFill>
    </w:rPr>
  </w:style>
  <w:style w:type="character" w:styleId="30">
    <w:name w:val="annotation reference"/>
    <w:basedOn w:val="27"/>
    <w:autoRedefine/>
    <w:semiHidden/>
    <w:unhideWhenUsed/>
    <w:qFormat/>
    <w:uiPriority w:val="99"/>
    <w:rPr>
      <w:sz w:val="21"/>
      <w:szCs w:val="21"/>
    </w:rPr>
  </w:style>
  <w:style w:type="character" w:styleId="31">
    <w:name w:val="footnote reference"/>
    <w:qFormat/>
    <w:uiPriority w:val="99"/>
    <w:rPr>
      <w:rFonts w:ascii="宋体" w:hAnsi="宋体" w:eastAsia="宋体" w:cs="Times New Roman"/>
      <w:spacing w:val="0"/>
      <w:sz w:val="18"/>
      <w:vertAlign w:val="superscript"/>
    </w:rPr>
  </w:style>
  <w:style w:type="character" w:customStyle="1" w:styleId="32">
    <w:name w:val="页眉 字符"/>
    <w:basedOn w:val="27"/>
    <w:link w:val="17"/>
    <w:autoRedefine/>
    <w:qFormat/>
    <w:uiPriority w:val="99"/>
    <w:rPr>
      <w:sz w:val="18"/>
      <w:szCs w:val="18"/>
    </w:rPr>
  </w:style>
  <w:style w:type="character" w:customStyle="1" w:styleId="33">
    <w:name w:val="页脚 字符"/>
    <w:basedOn w:val="27"/>
    <w:link w:val="16"/>
    <w:autoRedefine/>
    <w:qFormat/>
    <w:uiPriority w:val="99"/>
    <w:rPr>
      <w:sz w:val="18"/>
      <w:szCs w:val="18"/>
    </w:rPr>
  </w:style>
  <w:style w:type="paragraph" w:styleId="34">
    <w:name w:val="List Paragraph"/>
    <w:basedOn w:val="1"/>
    <w:autoRedefine/>
    <w:qFormat/>
    <w:uiPriority w:val="34"/>
    <w:pPr>
      <w:ind w:firstLine="420" w:firstLineChars="200"/>
    </w:pPr>
  </w:style>
  <w:style w:type="character" w:customStyle="1" w:styleId="35">
    <w:name w:val="日期 字符"/>
    <w:basedOn w:val="27"/>
    <w:link w:val="15"/>
    <w:autoRedefine/>
    <w:semiHidden/>
    <w:qFormat/>
    <w:uiPriority w:val="99"/>
  </w:style>
  <w:style w:type="character" w:customStyle="1" w:styleId="36">
    <w:name w:val="批注文字 字符"/>
    <w:basedOn w:val="27"/>
    <w:link w:val="9"/>
    <w:autoRedefine/>
    <w:qFormat/>
    <w:uiPriority w:val="99"/>
  </w:style>
  <w:style w:type="character" w:customStyle="1" w:styleId="37">
    <w:name w:val="批注主题 字符"/>
    <w:basedOn w:val="36"/>
    <w:link w:val="23"/>
    <w:autoRedefine/>
    <w:semiHidden/>
    <w:qFormat/>
    <w:uiPriority w:val="99"/>
    <w:rPr>
      <w:b/>
      <w:bCs/>
    </w:rPr>
  </w:style>
  <w:style w:type="character" w:styleId="38">
    <w:name w:val="Placeholder Text"/>
    <w:basedOn w:val="27"/>
    <w:autoRedefine/>
    <w:semiHidden/>
    <w:qFormat/>
    <w:uiPriority w:val="99"/>
    <w:rPr>
      <w:color w:val="808080"/>
    </w:rPr>
  </w:style>
  <w:style w:type="character" w:customStyle="1" w:styleId="39">
    <w:name w:val="标题 2 字符"/>
    <w:basedOn w:val="27"/>
    <w:link w:val="3"/>
    <w:autoRedefine/>
    <w:qFormat/>
    <w:uiPriority w:val="9"/>
    <w:rPr>
      <w:rFonts w:ascii="黑体" w:hAnsi="黑体" w:eastAsia="黑体" w:cstheme="majorBidi"/>
      <w:b/>
      <w:bCs/>
      <w:sz w:val="24"/>
      <w:szCs w:val="32"/>
    </w:rPr>
  </w:style>
  <w:style w:type="character" w:customStyle="1" w:styleId="40">
    <w:name w:val="标题 1 字符"/>
    <w:basedOn w:val="27"/>
    <w:link w:val="2"/>
    <w:autoRedefine/>
    <w:qFormat/>
    <w:uiPriority w:val="9"/>
    <w:rPr>
      <w:b/>
      <w:bCs/>
      <w:kern w:val="44"/>
      <w:sz w:val="44"/>
      <w:szCs w:val="44"/>
    </w:rPr>
  </w:style>
  <w:style w:type="paragraph" w:customStyle="1" w:styleId="41">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paragraph" w:customStyle="1" w:styleId="42">
    <w:name w:val="修订1"/>
    <w:autoRedefine/>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3">
    <w:name w:val="正文文本 字符"/>
    <w:basedOn w:val="27"/>
    <w:link w:val="10"/>
    <w:autoRedefine/>
    <w:semiHidden/>
    <w:qFormat/>
    <w:uiPriority w:val="99"/>
  </w:style>
  <w:style w:type="character" w:customStyle="1" w:styleId="44">
    <w:name w:val="正文文本首行缩进 字符"/>
    <w:basedOn w:val="43"/>
    <w:link w:val="24"/>
    <w:autoRedefine/>
    <w:qFormat/>
    <w:uiPriority w:val="0"/>
    <w:rPr>
      <w:rFonts w:ascii="Times New Roman" w:hAnsi="Times New Roman" w:eastAsia="宋体" w:cs="Times New Roman"/>
      <w:sz w:val="24"/>
      <w:szCs w:val="24"/>
    </w:rPr>
  </w:style>
  <w:style w:type="character" w:customStyle="1" w:styleId="45">
    <w:name w:val="标题 3 字符"/>
    <w:basedOn w:val="27"/>
    <w:link w:val="4"/>
    <w:autoRedefine/>
    <w:qFormat/>
    <w:uiPriority w:val="9"/>
    <w:rPr>
      <w:rFonts w:eastAsia="宋体" w:cstheme="minorBidi"/>
      <w:b/>
      <w:bCs/>
      <w:kern w:val="2"/>
      <w:sz w:val="24"/>
      <w:szCs w:val="32"/>
    </w:rPr>
  </w:style>
  <w:style w:type="paragraph" w:customStyle="1" w:styleId="46">
    <w:name w:val="MTDisplayEquation"/>
    <w:basedOn w:val="1"/>
    <w:next w:val="1"/>
    <w:link w:val="47"/>
    <w:autoRedefine/>
    <w:qFormat/>
    <w:uiPriority w:val="0"/>
    <w:pPr>
      <w:tabs>
        <w:tab w:val="center" w:pos="4160"/>
        <w:tab w:val="right" w:pos="8300"/>
      </w:tabs>
      <w:jc w:val="center"/>
    </w:pPr>
    <w:rPr>
      <w:rFonts w:cs="Times New Roman"/>
      <w:szCs w:val="21"/>
    </w:rPr>
  </w:style>
  <w:style w:type="character" w:customStyle="1" w:styleId="47">
    <w:name w:val="MTDisplayEquation 字符"/>
    <w:basedOn w:val="27"/>
    <w:link w:val="46"/>
    <w:autoRedefine/>
    <w:qFormat/>
    <w:uiPriority w:val="0"/>
    <w:rPr>
      <w:rFonts w:ascii="Times New Roman" w:hAnsi="Times New Roman" w:eastAsia="宋体" w:cs="Times New Roman"/>
      <w:szCs w:val="21"/>
    </w:rPr>
  </w:style>
  <w:style w:type="character" w:customStyle="1" w:styleId="48">
    <w:name w:val="MTEquationSection"/>
    <w:basedOn w:val="27"/>
    <w:autoRedefine/>
    <w:qFormat/>
    <w:uiPriority w:val="0"/>
    <w:rPr>
      <w:rFonts w:ascii="Times New Roman" w:hAnsi="Times New Roman" w:eastAsia="宋体" w:cs="Times New Roman"/>
      <w:vanish/>
      <w:color w:val="FF0000"/>
      <w:szCs w:val="24"/>
    </w:rPr>
  </w:style>
  <w:style w:type="paragraph" w:customStyle="1" w:styleId="49">
    <w:name w:val="修订2"/>
    <w:autoRedefine/>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50">
    <w:name w:val="修订3"/>
    <w:autoRedefine/>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51">
    <w:name w:val="修订4"/>
    <w:autoRedefine/>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52">
    <w:name w:val="前言"/>
    <w:basedOn w:val="1"/>
    <w:link w:val="53"/>
    <w:qFormat/>
    <w:uiPriority w:val="0"/>
    <w:pPr>
      <w:tabs>
        <w:tab w:val="left" w:pos="1620"/>
        <w:tab w:val="left" w:pos="1800"/>
      </w:tabs>
      <w:spacing w:line="240" w:lineRule="auto"/>
    </w:pPr>
    <w:rPr>
      <w:sz w:val="28"/>
    </w:rPr>
  </w:style>
  <w:style w:type="character" w:customStyle="1" w:styleId="53">
    <w:name w:val="前言 Char"/>
    <w:link w:val="52"/>
    <w:qFormat/>
    <w:uiPriority w:val="0"/>
    <w:rPr>
      <w:sz w:val="28"/>
    </w:rPr>
  </w:style>
  <w:style w:type="paragraph" w:customStyle="1" w:styleId="54">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5">
    <w:name w:val="修订5"/>
    <w:hidden/>
    <w:unhideWhenUsed/>
    <w:qFormat/>
    <w:uiPriority w:val="99"/>
    <w:rPr>
      <w:rFonts w:ascii="Times New Roman" w:hAnsi="Times New Roman" w:eastAsia="宋体" w:cstheme="minorBidi"/>
      <w:kern w:val="2"/>
      <w:sz w:val="24"/>
      <w:szCs w:val="22"/>
      <w:lang w:val="en-US" w:eastAsia="zh-CN" w:bidi="ar-SA"/>
    </w:rPr>
  </w:style>
  <w:style w:type="table" w:customStyle="1" w:styleId="56">
    <w:name w:val="网格型1"/>
    <w:basedOn w:val="25"/>
    <w:qFormat/>
    <w:uiPriority w:val="99"/>
    <w:pPr>
      <w:widowControl w:val="0"/>
      <w:jc w:val="both"/>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7">
    <w:name w:val="纯文本 字符"/>
    <w:basedOn w:val="27"/>
    <w:link w:val="14"/>
    <w:qFormat/>
    <w:uiPriority w:val="0"/>
    <w:rPr>
      <w:rFonts w:ascii="宋体" w:cstheme="minorBidi"/>
      <w:kern w:val="2"/>
      <w:sz w:val="24"/>
    </w:rPr>
  </w:style>
  <w:style w:type="paragraph" w:customStyle="1" w:styleId="58">
    <w:name w:val="修订6"/>
    <w:hidden/>
    <w:unhideWhenUsed/>
    <w:qFormat/>
    <w:uiPriority w:val="99"/>
    <w:rPr>
      <w:rFonts w:ascii="Times New Roman" w:hAnsi="Times New Roman" w:eastAsia="宋体" w:cstheme="minorBidi"/>
      <w:kern w:val="2"/>
      <w:sz w:val="24"/>
      <w:szCs w:val="22"/>
      <w:lang w:val="en-US" w:eastAsia="zh-CN" w:bidi="ar-SA"/>
    </w:rPr>
  </w:style>
  <w:style w:type="character" w:customStyle="1" w:styleId="59">
    <w:name w:val="font11"/>
    <w:basedOn w:val="27"/>
    <w:qFormat/>
    <w:uiPriority w:val="0"/>
    <w:rPr>
      <w:rFonts w:hint="eastAsia" w:ascii="宋体" w:hAnsi="宋体" w:eastAsia="宋体" w:cs="宋体"/>
      <w:color w:val="000000"/>
      <w:sz w:val="18"/>
      <w:szCs w:val="18"/>
      <w:u w:val="none"/>
    </w:rPr>
  </w:style>
  <w:style w:type="character" w:customStyle="1" w:styleId="60">
    <w:name w:val="font21"/>
    <w:basedOn w:val="27"/>
    <w:qFormat/>
    <w:uiPriority w:val="0"/>
    <w:rPr>
      <w:rFonts w:hint="default" w:ascii="Arial" w:hAnsi="Arial" w:cs="Arial"/>
      <w:color w:val="000000"/>
      <w:sz w:val="18"/>
      <w:szCs w:val="18"/>
      <w:u w:val="none"/>
    </w:rPr>
  </w:style>
  <w:style w:type="paragraph" w:customStyle="1" w:styleId="61">
    <w:name w:val="修订7"/>
    <w:hidden/>
    <w:unhideWhenUsed/>
    <w:qFormat/>
    <w:uiPriority w:val="99"/>
    <w:rPr>
      <w:rFonts w:ascii="Times New Roman" w:hAnsi="Times New Roman" w:eastAsia="宋体" w:cstheme="minorBidi"/>
      <w:kern w:val="2"/>
      <w:sz w:val="24"/>
      <w:szCs w:val="22"/>
      <w:lang w:val="en-US" w:eastAsia="zh-CN" w:bidi="ar-SA"/>
    </w:rPr>
  </w:style>
  <w:style w:type="paragraph" w:customStyle="1" w:styleId="62">
    <w:name w:val="公式"/>
    <w:basedOn w:val="1"/>
    <w:qFormat/>
    <w:uiPriority w:val="0"/>
    <w:pPr>
      <w:tabs>
        <w:tab w:val="center" w:pos="4200"/>
        <w:tab w:val="right" w:pos="8400"/>
      </w:tabs>
      <w:jc w:val="center"/>
    </w:pPr>
    <w:rPr>
      <w:rFonts w:hint="eastAsia" w:ascii="Times New Roman" w:hAnsi="Times New Roman" w:cs="Times New Roman"/>
      <w:i/>
      <w:iCs/>
      <w:szCs w:val="28"/>
    </w:rPr>
  </w:style>
  <w:style w:type="paragraph" w:customStyle="1" w:styleId="63">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4">
    <w:name w:val="公式位置"/>
    <w:basedOn w:val="1"/>
    <w:qFormat/>
    <w:uiPriority w:val="0"/>
    <w:pPr>
      <w:tabs>
        <w:tab w:val="center" w:pos="4620"/>
        <w:tab w:val="right" w:pos="8400"/>
      </w:tabs>
      <w:jc w:val="center"/>
    </w:pPr>
    <w:rPr>
      <w:rFonts w:hint="eastAsia" w:ascii="Times New Roman" w:hAnsi="Times New Roman" w:eastAsia="宋体" w:cs="Times New Roman"/>
      <w:szCs w:val="21"/>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A78D73-9E6A-46D4-903B-C874F18D1A1B}">
  <ds:schemaRefs/>
</ds:datastoreItem>
</file>

<file path=docProps/app.xml><?xml version="1.0" encoding="utf-8"?>
<Properties xmlns="http://schemas.openxmlformats.org/officeDocument/2006/extended-properties" xmlns:vt="http://schemas.openxmlformats.org/officeDocument/2006/docPropsVTypes">
  <Template>Normal.dotm</Template>
  <Pages>31</Pages>
  <Words>2531</Words>
  <Characters>3065</Characters>
  <Lines>1525</Lines>
  <Paragraphs>1425</Paragraphs>
  <TotalTime>8</TotalTime>
  <ScaleCrop>false</ScaleCrop>
  <LinksUpToDate>false</LinksUpToDate>
  <CharactersWithSpaces>3381</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2024-07-03T03:03:00Z</dcterms:created>
  <dc:creator>1003227768@qq.com</dc:creator>
  <cp:lastModifiedBy>吴亚琦</cp:lastModifiedBy>
  <cp:lastPrinted>2025-05-13T00:09:00Z</cp:lastPrinted>
  <dcterms:modified xsi:type="dcterms:W3CDTF">2026-08-12T01:09:57Z</dcterms:modified>
  <cp:revision>253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2052-12.1.0.28043</vt:lpwstr>
  </property>
  <property fmtid="{D5CDD505-2E9C-101B-9397-08002B2CF9AE}" pid="4" name="ICV">
    <vt:lpwstr>C5663B31E7B843A19822654D3BC3B3B9_13</vt:lpwstr>
  </property>
  <property fmtid="{D5CDD505-2E9C-101B-9397-08002B2CF9AE}" pid="5" name="KSOTemplateDocerSaveRecord">
    <vt:lpwstr>eyJoZGlkIjoiNDFlNmYwZTFjMTRiNmNlMWY0YTgyNTM5MTYwOTljNTAiLCJ1c2VySWQiOiIzMjA3NDk0MDEifQ==</vt:lpwstr>
  </property>
  <property fmtid="{D5CDD505-2E9C-101B-9397-08002B2CF9AE}" pid="6" name="MTEquationSection">
    <vt:lpwstr>1</vt:lpwstr>
  </property>
  <property fmtid="{D5CDD505-2E9C-101B-9397-08002B2CF9AE}" pid="7" name="MTEquationNumber2">
    <vt:lpwstr>(D-#E1)</vt:lpwstr>
  </property>
  <property fmtid="{D5CDD505-2E9C-101B-9397-08002B2CF9AE}" pid="8" name="MTCustomEquationNumber">
    <vt:lpwstr>1</vt:lpwstr>
  </property>
  <property fmtid="{D5CDD505-2E9C-101B-9397-08002B2CF9AE}" pid="9" name="MTDeferFieldUpdate">
    <vt:lpwstr>1</vt:lpwstr>
  </property>
</Properties>
</file>