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CFE5F">
      <w:pPr>
        <w:spacing w:after="120"/>
        <w:ind w:firstLine="0"/>
        <w:jc w:val="center"/>
      </w:pPr>
      <w:r>
        <w:rPr>
          <w:rFonts w:ascii="Times New Roman" w:hAnsi="Times New Roman" w:eastAsia="黑体" w:cs="Times New Roman"/>
          <w:sz w:val="28"/>
        </w:rPr>
        <w:t>精装修模块房碳排放计量技术规范</w:t>
      </w:r>
    </w:p>
    <w:p w14:paraId="5AC6289F">
      <w:pPr>
        <w:spacing w:after="120"/>
        <w:ind w:firstLine="0"/>
        <w:jc w:val="center"/>
      </w:pPr>
      <w:r>
        <w:rPr>
          <w:rFonts w:ascii="Times New Roman" w:hAnsi="Times New Roman" w:eastAsia="黑体" w:cs="Times New Roman"/>
          <w:sz w:val="32"/>
        </w:rPr>
        <w:t>测量不确定度评定报告</w:t>
      </w:r>
    </w:p>
    <w:p w14:paraId="3F7D540E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精装修模块房生产阶段碳排放量为计量边界内化石燃料燃烧排放量、过程排放量和净购入能源排放量之和。活动数据、计量器具、样品代表性及实测排放因子均会引入测量不确定度，因此需要对计量结果进行不确定度评定。</w:t>
      </w:r>
    </w:p>
    <w:p w14:paraId="6EC1E78F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在征求意见稿编制过程中，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对于某</w:t>
      </w:r>
      <w:r>
        <w:rPr>
          <w:rFonts w:ascii="Times New Roman" w:hAnsi="Times New Roman" w:eastAsia="宋体" w:cs="Times New Roman"/>
          <w:sz w:val="24"/>
        </w:rPr>
        <w:t>精装修模块房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工厂中的某</w:t>
      </w:r>
      <w:r>
        <w:rPr>
          <w:rFonts w:ascii="Times New Roman" w:hAnsi="Times New Roman" w:eastAsia="宋体" w:cs="Times New Roman"/>
          <w:sz w:val="24"/>
        </w:rPr>
        <w:t>生产批次开展了不确定度评定。批次基本信息见表1。</w:t>
      </w:r>
    </w:p>
    <w:p w14:paraId="7D9D0914">
      <w:pPr>
        <w:keepNext/>
        <w:spacing w:before="80" w:after="60"/>
        <w:ind w:firstLine="0"/>
        <w:jc w:val="center"/>
      </w:pPr>
      <w:r>
        <w:rPr>
          <w:rFonts w:ascii="Times New Roman" w:hAnsi="Times New Roman" w:eastAsia="宋体" w:cs="Times New Roman"/>
          <w:sz w:val="22"/>
        </w:rPr>
        <w:t>表1  批次基本信息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2089"/>
        <w:gridCol w:w="1942"/>
        <w:gridCol w:w="2178"/>
      </w:tblGrid>
      <w:tr w14:paraId="67D9F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C428C6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企业/工厂名称</w:t>
            </w:r>
          </w:p>
        </w:tc>
        <w:tc>
          <w:tcPr>
            <w:tcW w:w="123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D2F3D17">
            <w:pPr>
              <w:spacing w:before="20" w:after="20" w:line="240" w:lineRule="auto"/>
              <w:ind w:firstLine="0"/>
              <w:jc w:val="center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林芝某精装修模块房工厂</w:t>
            </w:r>
            <w:bookmarkStart w:id="0" w:name="_GoBack"/>
            <w:bookmarkEnd w:id="0"/>
          </w:p>
        </w:tc>
        <w:tc>
          <w:tcPr>
            <w:tcW w:w="1150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664F0B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厂房面积</w:t>
            </w:r>
          </w:p>
        </w:tc>
        <w:tc>
          <w:tcPr>
            <w:tcW w:w="1288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8DC11F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28600 m²</w:t>
            </w:r>
          </w:p>
        </w:tc>
      </w:tr>
      <w:tr w14:paraId="307AA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D3E1C6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厂房建设年份</w:t>
            </w:r>
          </w:p>
        </w:tc>
        <w:tc>
          <w:tcPr>
            <w:tcW w:w="123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9EAE5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2022年</w:t>
            </w:r>
          </w:p>
        </w:tc>
        <w:tc>
          <w:tcPr>
            <w:tcW w:w="1150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C56674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产品类型</w:t>
            </w:r>
          </w:p>
        </w:tc>
        <w:tc>
          <w:tcPr>
            <w:tcW w:w="1288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BFD924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标准精装修住宿模块</w:t>
            </w:r>
          </w:p>
        </w:tc>
      </w:tr>
      <w:tr w14:paraId="5882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D054BD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计量批次</w:t>
            </w:r>
          </w:p>
        </w:tc>
        <w:tc>
          <w:tcPr>
            <w:tcW w:w="123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8323DE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SIM-MF-20260701</w:t>
            </w:r>
          </w:p>
        </w:tc>
        <w:tc>
          <w:tcPr>
            <w:tcW w:w="1150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2AB308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批次数量</w:t>
            </w:r>
          </w:p>
        </w:tc>
        <w:tc>
          <w:tcPr>
            <w:tcW w:w="1288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A9D5C6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120个（3600 m²）</w:t>
            </w:r>
          </w:p>
        </w:tc>
      </w:tr>
      <w:tr w14:paraId="3E5A4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BB9D801">
            <w:pPr>
              <w:spacing w:before="20" w:after="20" w:line="240" w:lineRule="auto"/>
              <w:ind w:firstLine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能耗消耗数据</w:t>
            </w:r>
          </w:p>
        </w:tc>
      </w:tr>
      <w:tr w14:paraId="17A9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4066C3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生产用电</w:t>
            </w:r>
          </w:p>
        </w:tc>
        <w:tc>
          <w:tcPr>
            <w:tcW w:w="123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7106E4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238460 kWh</w:t>
            </w:r>
          </w:p>
        </w:tc>
        <w:tc>
          <w:tcPr>
            <w:tcW w:w="1150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9FEE4E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碳排放因子</w:t>
            </w:r>
          </w:p>
        </w:tc>
        <w:tc>
          <w:tcPr>
            <w:tcW w:w="1288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4C26B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0.5366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kgCO₂e/kWh</w:t>
            </w:r>
          </w:p>
        </w:tc>
      </w:tr>
      <w:tr w14:paraId="6AA80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16C88C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辅助用电（分摊后）</w:t>
            </w:r>
          </w:p>
        </w:tc>
        <w:tc>
          <w:tcPr>
            <w:tcW w:w="123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52A328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32100 kWh</w:t>
            </w:r>
          </w:p>
        </w:tc>
        <w:tc>
          <w:tcPr>
            <w:tcW w:w="1150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DB6C09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碳排放因子</w:t>
            </w:r>
          </w:p>
        </w:tc>
        <w:tc>
          <w:tcPr>
            <w:tcW w:w="1288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B2D30E9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0.5366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kgCO₂e/kWh</w:t>
            </w:r>
          </w:p>
        </w:tc>
      </w:tr>
      <w:tr w14:paraId="5E46C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32D833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柴油</w:t>
            </w:r>
          </w:p>
        </w:tc>
        <w:tc>
          <w:tcPr>
            <w:tcW w:w="123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B8372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2380 L</w:t>
            </w:r>
          </w:p>
        </w:tc>
        <w:tc>
          <w:tcPr>
            <w:tcW w:w="1150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31331A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碳排放因子</w:t>
            </w:r>
          </w:p>
        </w:tc>
        <w:tc>
          <w:tcPr>
            <w:tcW w:w="1288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59F649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74.1 tCO₂e/TJ</w:t>
            </w:r>
          </w:p>
        </w:tc>
      </w:tr>
      <w:tr w14:paraId="4819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9994B2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CO₂焊接保护气</w:t>
            </w:r>
          </w:p>
        </w:tc>
        <w:tc>
          <w:tcPr>
            <w:tcW w:w="123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38471F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1260 kg</w:t>
            </w:r>
          </w:p>
        </w:tc>
        <w:tc>
          <w:tcPr>
            <w:tcW w:w="1150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2087E0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碳排放因子</w:t>
            </w:r>
          </w:p>
        </w:tc>
        <w:tc>
          <w:tcPr>
            <w:tcW w:w="1288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B9EC5F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1 </w:t>
            </w:r>
            <w:r>
              <w:rPr>
                <w:rFonts w:ascii="Times New Roman" w:hAnsi="Times New Roman" w:eastAsia="宋体" w:cs="Times New Roman"/>
                <w:szCs w:val="21"/>
              </w:rPr>
              <w:t>kgCO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/kg</w:t>
            </w:r>
          </w:p>
        </w:tc>
      </w:tr>
      <w:tr w14:paraId="1B1E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2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9C8D02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食堂天然气</w:t>
            </w:r>
          </w:p>
        </w:tc>
        <w:tc>
          <w:tcPr>
            <w:tcW w:w="123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ECA56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1380 m³</w:t>
            </w:r>
          </w:p>
        </w:tc>
        <w:tc>
          <w:tcPr>
            <w:tcW w:w="1150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3F5834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碳排放因子</w:t>
            </w:r>
          </w:p>
        </w:tc>
        <w:tc>
          <w:tcPr>
            <w:tcW w:w="1288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0992CB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56.1 tCO₂e/TJ</w:t>
            </w:r>
          </w:p>
        </w:tc>
      </w:tr>
    </w:tbl>
    <w:p w14:paraId="7F701066">
      <w:pPr>
        <w:keepNext/>
        <w:pageBreakBefore w:val="0"/>
        <w:widowControl/>
        <w:spacing w:before="100" w:after="0" w:line="360" w:lineRule="auto"/>
        <w:ind w:firstLine="0"/>
        <w:jc w:val="left"/>
      </w:pPr>
      <w:r>
        <w:rPr>
          <w:rFonts w:ascii="Times New Roman" w:hAnsi="Times New Roman" w:eastAsia="黑体" w:cs="Times New Roman"/>
          <w:sz w:val="24"/>
        </w:rPr>
        <w:t>1  外购电力排放量的不确定度评定</w:t>
      </w:r>
    </w:p>
    <w:p w14:paraId="7721F0B4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生产用电与分摊后的辅助用电合计为270560 kWh，</w:t>
      </w:r>
      <w:r>
        <w:rPr>
          <w:rFonts w:hint="eastAsia" w:ascii="Times New Roman" w:hAnsi="Times New Roman" w:eastAsia="宋体" w:cs="Times New Roman"/>
          <w:sz w:val="24"/>
          <w:szCs w:val="28"/>
        </w:rPr>
        <w:t>电网因子采用</w:t>
      </w:r>
      <w:r>
        <w:rPr>
          <w:rFonts w:hint="eastAsia" w:ascii="Times New Roman" w:hAnsi="Times New Roman" w:eastAsia="宋体" w:cs="Times New Roman"/>
          <w:sz w:val="24"/>
          <w:szCs w:val="28"/>
          <w:lang w:eastAsia="zh-CN"/>
        </w:rPr>
        <w:t>“</w:t>
      </w:r>
      <w:r>
        <w:rPr>
          <w:rFonts w:ascii="Times New Roman" w:hAnsi="Times New Roman" w:eastAsia="宋体" w:cs="Times New Roman"/>
          <w:sz w:val="24"/>
          <w:szCs w:val="28"/>
        </w:rPr>
        <w:t>国家温室气体排放因子数据库</w:t>
      </w:r>
      <w:r>
        <w:rPr>
          <w:rFonts w:hint="eastAsia" w:ascii="Times New Roman" w:hAnsi="Times New Roman" w:eastAsia="宋体" w:cs="Times New Roman"/>
          <w:sz w:val="24"/>
          <w:szCs w:val="28"/>
          <w:lang w:eastAsia="zh-CN"/>
        </w:rPr>
        <w:t>”</w:t>
      </w:r>
      <w:r>
        <w:rPr>
          <w:rFonts w:ascii="Times New Roman" w:hAnsi="Times New Roman" w:eastAsia="宋体" w:cs="Times New Roman"/>
          <w:sz w:val="24"/>
          <w:szCs w:val="28"/>
        </w:rPr>
        <w:t>（第一版）</w:t>
      </w:r>
      <w:r>
        <w:rPr>
          <w:rFonts w:hint="eastAsia" w:ascii="Times New Roman" w:hAnsi="Times New Roman" w:eastAsia="宋体" w:cs="Times New Roman"/>
          <w:sz w:val="24"/>
          <w:szCs w:val="28"/>
        </w:rPr>
        <w:t>最新公布的</w:t>
      </w:r>
      <w:r>
        <w:rPr>
          <w:rFonts w:ascii="Times New Roman" w:hAnsi="Times New Roman" w:eastAsia="宋体" w:cs="Times New Roman"/>
          <w:sz w:val="24"/>
        </w:rPr>
        <w:t>0.5366 kgCO₂e/kWh，对应电力排放量为145.18 tCO₂e。0.5S级电能表的相对标准测量不确定度按0.50%计，则电力排放量的标准不确定度为：</w:t>
      </w:r>
    </w:p>
    <w:p w14:paraId="4231C70A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u(E电力) = 145.18 × 0.50% = 0.726 tCO₂e</m:t>
          </m:r>
        </m:oMath>
      </m:oMathPara>
    </w:p>
    <w:p w14:paraId="67E80164">
      <w:pPr>
        <w:keepNext/>
        <w:pageBreakBefore w:val="0"/>
        <w:widowControl/>
        <w:spacing w:before="100" w:after="0" w:line="360" w:lineRule="auto"/>
        <w:ind w:firstLine="0"/>
        <w:jc w:val="left"/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2</w:t>
      </w:r>
      <w:r>
        <w:rPr>
          <w:rFonts w:ascii="Times New Roman" w:hAnsi="Times New Roman" w:eastAsia="黑体" w:cs="Times New Roman"/>
          <w:sz w:val="24"/>
        </w:rPr>
        <w:t xml:space="preserve">  柴油排放量的不确定度评定</w:t>
      </w:r>
    </w:p>
    <w:p w14:paraId="7CCE0679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本批次柴油叉车消耗柴油2380 L。加油机最大允许误差引入的相对标准不确定度为0.50%，密度和温度修正引入的相对标准不确定度为0.90%，柴油活动数据的相对标准不确定度为：</w:t>
      </w:r>
    </w:p>
    <w:p w14:paraId="236BD8A2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uᵣ(A柴油) =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[(0.50%)² + (0.90%)²]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1.03%</m:t>
          </m:r>
        </m:oMath>
      </m:oMathPara>
    </w:p>
    <w:p w14:paraId="0E314483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为评估柴油样品代表性，对同批次柴油低位发热量和含碳量各进行10次平行取样测量。低位发热量结果为：42.54、42.61、42.72、42.67、42.78、42.59、42.63、42.70、42.57、42.71 GJ/t；其平均值为42.652 GJ/t。</w:t>
      </w:r>
    </w:p>
    <w:p w14:paraId="4762C35F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uᵣ(NCV采样) = s(x)/(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n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·x̄) = 0.06%</m:t>
          </m:r>
        </m:oMath>
      </m:oMathPara>
    </w:p>
    <w:p w14:paraId="55792849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含碳量结果为：85.62%、85.78%、86.04%、86.31%、86.18%、85.89%、86.22%、85.71%、86.09%、86.16%；平均值为86.00%。</w:t>
      </w:r>
    </w:p>
    <w:p w14:paraId="7D036AAE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uᵣ(C采样) = s(x)/(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n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·x̄) = 0.09%</m:t>
          </m:r>
        </m:oMath>
      </m:oMathPara>
    </w:p>
    <w:p w14:paraId="0244E518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量热仪相对标准测量不确定度为0.20%，元素分析仪相对标准测量不确定度为1.48%。柴油碳氧化率采用默认值98%，不作为实测量参与本次测量不确定度评定。柴油排放因子的相对标准不确定度为：</w:t>
      </w:r>
    </w:p>
    <w:p w14:paraId="7D3958D0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uᵣ(EF柴油)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[(0.06%)² + (0.20%)² + (0.09%)² + (1.48%)²]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22"/>
              <w:szCs w:val="22"/>
              <w:lang w:val="en-US" w:eastAsia="zh-CN" w:bidi="ar-SA"/>
            </w:rPr>
            <m:t xml:space="preserve"> </m:t>
          </m:r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= 1.50%</m:t>
          </m:r>
        </m:oMath>
      </m:oMathPara>
    </w:p>
    <w:p w14:paraId="6FD14625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按柴油密度0.84 kg/L、低位发热量42.652 GJ/t、排放因子74.1 tCO₂e/TJ和碳氧化率98%计算，柴油排放量为6.19 tCO₂e。其相对标准不确定度及标准不确定度为：</w:t>
      </w:r>
    </w:p>
    <w:p w14:paraId="47B54F31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uᵣ(E柴油)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[(1.03%)² + (1.50%)²]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1.82%</m:t>
          </m:r>
        </m:oMath>
      </m:oMathPara>
    </w:p>
    <w:p w14:paraId="32E2454B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u(E柴油) = 6.19 × 1.82% = 0.113 tCO₂e</m:t>
          </m:r>
        </m:oMath>
      </m:oMathPara>
    </w:p>
    <w:p w14:paraId="4D5F9FFD">
      <w:pPr>
        <w:keepNext/>
        <w:pageBreakBefore w:val="0"/>
        <w:widowControl/>
        <w:spacing w:before="100" w:after="0" w:line="360" w:lineRule="auto"/>
        <w:ind w:firstLine="0"/>
        <w:jc w:val="left"/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3</w:t>
      </w:r>
      <w:r>
        <w:rPr>
          <w:rFonts w:ascii="Times New Roman" w:hAnsi="Times New Roman" w:eastAsia="黑体" w:cs="Times New Roman"/>
          <w:sz w:val="24"/>
        </w:rPr>
        <w:t xml:space="preserve">  CO₂焊接保护气排放量的不确定度评定</w:t>
      </w:r>
    </w:p>
    <w:p w14:paraId="65C98043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CO₂焊接保护气按钢瓶领用、退库称重差额归集，实际释放质量为1260 kg，对应排放量为1.26 tCO₂e。电子平台秤及称重过程的相对标准不确定度为0.20%，质量守恒系数1 kgCO₂e/kg视为精确定义量，则：</w:t>
      </w:r>
    </w:p>
    <w:p w14:paraId="7C779963">
      <w:pPr>
        <w:spacing w:before="80" w:after="80" w:line="240" w:lineRule="auto"/>
        <w:ind w:firstLine="0"/>
        <w:jc w:val="center"/>
        <w:rPr>
          <w:rFonts w:ascii="Cambria Math" w:hAnsi="Cambria Math" w:eastAsia="Cambria Math" w:cs="Times New Roman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u(ECO₂保护气) = 1.26 × 0.20% = 0.0025 tCO₂e</m:t>
          </m:r>
        </m:oMath>
      </m:oMathPara>
    </w:p>
    <w:p w14:paraId="227D8BE4">
      <w:pPr>
        <w:keepNext/>
        <w:pageBreakBefore w:val="0"/>
        <w:widowControl/>
        <w:spacing w:before="100" w:after="0" w:line="360" w:lineRule="auto"/>
        <w:ind w:firstLine="0"/>
        <w:jc w:val="left"/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4</w:t>
      </w:r>
      <w:r>
        <w:rPr>
          <w:rFonts w:ascii="Times New Roman" w:hAnsi="Times New Roman" w:eastAsia="黑体" w:cs="Times New Roman"/>
          <w:sz w:val="24"/>
        </w:rPr>
        <w:t xml:space="preserve">  食堂天然气排放量的不确定度评定</w:t>
      </w:r>
    </w:p>
    <w:p w14:paraId="38F61195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食堂天然气由独立支路燃气表计量，用量为1380 m³。燃气表相对标准测量不确定度为1.50%，低位发热量和含碳量测量引入的活动数据相对标准不确定度为0.20%，因此天然气活动数据相对标准不确定度为：</w:t>
      </w:r>
    </w:p>
    <w:p w14:paraId="0D34B83C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uᵣ(A食堂天然气)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[(1.50%)² + (0.20%)²]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22"/>
              <w:szCs w:val="22"/>
              <w:lang w:val="en-US" w:eastAsia="zh-CN" w:bidi="ar-SA"/>
            </w:rPr>
            <m:t xml:space="preserve"> </m:t>
          </m:r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= 1.51%</m:t>
          </m:r>
        </m:oMath>
      </m:oMathPara>
    </w:p>
    <w:p w14:paraId="6F8FF387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天然气低位发热量为38.93 MJ/m³，排放因子为56.1 tCO₂e/TJ，碳氧化率为99%。低位发热量和含碳量各引入0.20%的相对标准不确定度，排放因子相对标准不确定度为：</w:t>
      </w:r>
    </w:p>
    <w:p w14:paraId="6155D933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uᵣ(EF食堂天然气)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b w:val="0"/>
                  <w:i w:val="0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b w:val="0"/>
                  <w:i w:val="0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[(0.20%)² + (0.20%)²]</m:t>
              </m:r>
              <m:ctrlPr>
                <w:rPr>
                  <w:rFonts w:ascii="Cambria Math" w:hAnsi="Cambria Math" w:eastAsia="Cambria Math" w:cs="Times New Roman"/>
                  <w:b w:val="0"/>
                  <w:i w:val="0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0.28%</m:t>
          </m:r>
        </m:oMath>
      </m:oMathPara>
    </w:p>
    <w:p w14:paraId="56DFE415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食堂天然气排放量为2.98 tCO₂e，其相对标准不确定度及标准不确定度为：</w:t>
      </w:r>
    </w:p>
    <w:p w14:paraId="25C1550B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uᵣ(E食堂天然气)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b w:val="0"/>
                  <w:i w:val="0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b w:val="0"/>
                  <w:i w:val="0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[(1.51%)² + (0.28%)²]</m:t>
              </m:r>
              <m:ctrlPr>
                <w:rPr>
                  <w:rFonts w:ascii="Cambria Math" w:hAnsi="Cambria Math" w:eastAsia="Cambria Math" w:cs="Times New Roman"/>
                  <w:b w:val="0"/>
                  <w:i w:val="0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1.54%</m:t>
          </m:r>
        </m:oMath>
      </m:oMathPara>
    </w:p>
    <w:p w14:paraId="429D56C0">
      <w:pPr>
        <w:spacing w:before="80" w:after="80" w:line="240" w:lineRule="auto"/>
        <w:ind w:firstLine="0"/>
        <w:jc w:val="center"/>
        <w:rPr>
          <w:rFonts w:ascii="Cambria Math" w:hAnsi="Cambria Math" w:eastAsia="Cambria Math" w:cs="Times New Roman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u(E食堂天然气) = 2.98 × 1.54% = 0.046 tCO₂e</m:t>
          </m:r>
        </m:oMath>
      </m:oMathPara>
    </w:p>
    <w:p w14:paraId="726E5C72">
      <w:pPr>
        <w:keepNext/>
        <w:pageBreakBefore w:val="0"/>
        <w:widowControl/>
        <w:spacing w:before="100" w:after="0" w:line="360" w:lineRule="auto"/>
        <w:ind w:firstLine="0"/>
        <w:jc w:val="left"/>
      </w:pPr>
      <w:r>
        <w:rPr>
          <w:rFonts w:ascii="Times New Roman" w:hAnsi="Times New Roman" w:eastAsia="黑体" w:cs="Times New Roman"/>
          <w:sz w:val="24"/>
        </w:rPr>
        <w:t>5  合成标准不确定度及结论</w:t>
      </w:r>
    </w:p>
    <w:p w14:paraId="1839EA35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外购电力、食堂天然气、柴油和CO₂焊接保护气排放量分别为145.18 tCO₂e、2.98 tCO₂e、6.19 tCO₂e和1.26 tCO₂e。各不确定度分量按相互独立处理，全批次合成标准不确定度为：</w:t>
      </w:r>
    </w:p>
    <w:p w14:paraId="48730B27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u(E批次)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[(0.726)² + (0.046)² + (0.113)² + (0.0025)²]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0.736 tCO₂e</m:t>
          </m:r>
        </m:oMath>
      </m:oMathPara>
    </w:p>
    <w:p w14:paraId="248E3BFD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uᵣ(E批次) = 0.736/155.62 × 100% = 0.47%</m:t>
          </m:r>
        </m:oMath>
      </m:oMathPara>
    </w:p>
    <w:p w14:paraId="29B8675A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Uᵣₑₗ = 2 × 0.47% = 0.95% （k=2）</m:t>
          </m:r>
        </m:oMath>
      </m:oMathPara>
    </w:p>
    <w:p w14:paraId="0E743B37">
      <w:pPr>
        <w:keepNext/>
        <w:spacing w:before="80" w:after="60"/>
        <w:ind w:firstLine="0"/>
        <w:jc w:val="center"/>
      </w:pPr>
      <w:r>
        <w:rPr>
          <w:rFonts w:ascii="Times New Roman" w:hAnsi="Times New Roman" w:eastAsia="宋体" w:cs="Times New Roman"/>
          <w:sz w:val="22"/>
        </w:rPr>
        <w:t>表2  不确定度评定结果汇总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532"/>
        <w:gridCol w:w="2376"/>
        <w:gridCol w:w="2268"/>
      </w:tblGrid>
      <w:tr w14:paraId="62862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42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4843A00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评定对象</w:t>
            </w:r>
          </w:p>
        </w:tc>
        <w:tc>
          <w:tcPr>
            <w:tcW w:w="9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21D4C6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排放量/tCO₂e</w:t>
            </w:r>
          </w:p>
        </w:tc>
        <w:tc>
          <w:tcPr>
            <w:tcW w:w="14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80F0DF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相对标准不确定度</w:t>
            </w:r>
          </w:p>
        </w:tc>
        <w:tc>
          <w:tcPr>
            <w:tcW w:w="134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F5424C9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标准不确定度/tCO₂e</w:t>
            </w:r>
          </w:p>
        </w:tc>
      </w:tr>
      <w:tr w14:paraId="0DC45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2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189FC4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外购电力</w:t>
            </w:r>
          </w:p>
        </w:tc>
        <w:tc>
          <w:tcPr>
            <w:tcW w:w="9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077512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145.18</w:t>
            </w:r>
          </w:p>
        </w:tc>
        <w:tc>
          <w:tcPr>
            <w:tcW w:w="14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9AFBB0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0.50%</w:t>
            </w:r>
          </w:p>
        </w:tc>
        <w:tc>
          <w:tcPr>
            <w:tcW w:w="134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B29E86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0.726</w:t>
            </w:r>
          </w:p>
        </w:tc>
      </w:tr>
      <w:tr w14:paraId="0870C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2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851948B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柴油</w:t>
            </w:r>
          </w:p>
        </w:tc>
        <w:tc>
          <w:tcPr>
            <w:tcW w:w="9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65103F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6.19</w:t>
            </w:r>
          </w:p>
        </w:tc>
        <w:tc>
          <w:tcPr>
            <w:tcW w:w="14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4537B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1.82%</w:t>
            </w:r>
          </w:p>
        </w:tc>
        <w:tc>
          <w:tcPr>
            <w:tcW w:w="134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830140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0.113</w:t>
            </w:r>
          </w:p>
        </w:tc>
      </w:tr>
      <w:tr w14:paraId="47D4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2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5138CF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CO₂保护气</w:t>
            </w:r>
          </w:p>
        </w:tc>
        <w:tc>
          <w:tcPr>
            <w:tcW w:w="9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1F95EE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1.26</w:t>
            </w:r>
          </w:p>
        </w:tc>
        <w:tc>
          <w:tcPr>
            <w:tcW w:w="14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CC0284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0.20%</w:t>
            </w:r>
          </w:p>
        </w:tc>
        <w:tc>
          <w:tcPr>
            <w:tcW w:w="134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38409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0.0025</w:t>
            </w:r>
          </w:p>
        </w:tc>
      </w:tr>
      <w:tr w14:paraId="47E0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2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28BC89E">
            <w:pPr>
              <w:spacing w:before="20" w:after="20" w:line="240" w:lineRule="auto"/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食堂天然气</w:t>
            </w:r>
          </w:p>
        </w:tc>
        <w:tc>
          <w:tcPr>
            <w:tcW w:w="9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C22CD0">
            <w:pPr>
              <w:spacing w:before="20" w:after="20"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2.98</w:t>
            </w:r>
          </w:p>
        </w:tc>
        <w:tc>
          <w:tcPr>
            <w:tcW w:w="14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BDA96F5">
            <w:pPr>
              <w:spacing w:before="20" w:after="20"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1.54%</w:t>
            </w:r>
          </w:p>
        </w:tc>
        <w:tc>
          <w:tcPr>
            <w:tcW w:w="134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92912B">
            <w:pPr>
              <w:spacing w:before="20" w:after="20"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0.046</w:t>
            </w:r>
          </w:p>
        </w:tc>
      </w:tr>
      <w:tr w14:paraId="0A71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2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F98A55F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全批次总量</w:t>
            </w:r>
          </w:p>
        </w:tc>
        <w:tc>
          <w:tcPr>
            <w:tcW w:w="9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C6FD05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155.62</w:t>
            </w:r>
          </w:p>
        </w:tc>
        <w:tc>
          <w:tcPr>
            <w:tcW w:w="1407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C3DA6E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0.47%</w:t>
            </w:r>
          </w:p>
        </w:tc>
        <w:tc>
          <w:tcPr>
            <w:tcW w:w="1343" w:type="pct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287C98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0.736</w:t>
            </w:r>
          </w:p>
        </w:tc>
      </w:tr>
    </w:tbl>
    <w:p w14:paraId="12172FA3">
      <w:pPr>
        <w:keepNext w:val="0"/>
        <w:widowControl/>
        <w:spacing w:before="0" w:after="0" w:line="360" w:lineRule="auto"/>
        <w:ind w:firstLine="480"/>
        <w:jc w:val="both"/>
      </w:pPr>
      <w:r>
        <w:rPr>
          <w:rFonts w:ascii="Times New Roman" w:hAnsi="Times New Roman" w:eastAsia="宋体" w:cs="Times New Roman"/>
          <w:sz w:val="24"/>
        </w:rPr>
        <w:t>评定结果：全批次碳排放量为155.62 tCO₂e，合成标准不确定度为0.736 tCO₂e，相对标准不确定度为0.47%，相对扩展不确定度为0.95%（k=2）。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729"/>
    <w:rsid w:val="000013CA"/>
    <w:rsid w:val="000114C2"/>
    <w:rsid w:val="00035723"/>
    <w:rsid w:val="00074697"/>
    <w:rsid w:val="00095019"/>
    <w:rsid w:val="001053DE"/>
    <w:rsid w:val="00113E16"/>
    <w:rsid w:val="001726E6"/>
    <w:rsid w:val="001B2E7B"/>
    <w:rsid w:val="001D26F4"/>
    <w:rsid w:val="0023488F"/>
    <w:rsid w:val="002A43C3"/>
    <w:rsid w:val="002C08F4"/>
    <w:rsid w:val="0031501F"/>
    <w:rsid w:val="003908B9"/>
    <w:rsid w:val="00456A4D"/>
    <w:rsid w:val="0049346B"/>
    <w:rsid w:val="004A0A78"/>
    <w:rsid w:val="00567EC3"/>
    <w:rsid w:val="00580B47"/>
    <w:rsid w:val="00597C47"/>
    <w:rsid w:val="005D6F0D"/>
    <w:rsid w:val="005F6729"/>
    <w:rsid w:val="00610523"/>
    <w:rsid w:val="00611E78"/>
    <w:rsid w:val="00637888"/>
    <w:rsid w:val="0066243C"/>
    <w:rsid w:val="006A41B7"/>
    <w:rsid w:val="006D0A7A"/>
    <w:rsid w:val="006F5FB2"/>
    <w:rsid w:val="00703DB1"/>
    <w:rsid w:val="007328C6"/>
    <w:rsid w:val="007363C5"/>
    <w:rsid w:val="007511E3"/>
    <w:rsid w:val="00752310"/>
    <w:rsid w:val="00785B81"/>
    <w:rsid w:val="007B7558"/>
    <w:rsid w:val="007D4973"/>
    <w:rsid w:val="007D5A3E"/>
    <w:rsid w:val="00816F88"/>
    <w:rsid w:val="008350C4"/>
    <w:rsid w:val="00897FDF"/>
    <w:rsid w:val="008A5238"/>
    <w:rsid w:val="00952FFC"/>
    <w:rsid w:val="00957CC1"/>
    <w:rsid w:val="009A591D"/>
    <w:rsid w:val="009D35BE"/>
    <w:rsid w:val="00A90C34"/>
    <w:rsid w:val="00AA6C62"/>
    <w:rsid w:val="00AC5438"/>
    <w:rsid w:val="00B330CE"/>
    <w:rsid w:val="00B4001A"/>
    <w:rsid w:val="00B74616"/>
    <w:rsid w:val="00BA4E7D"/>
    <w:rsid w:val="00C277ED"/>
    <w:rsid w:val="00C3355E"/>
    <w:rsid w:val="00C85552"/>
    <w:rsid w:val="00CA5A9A"/>
    <w:rsid w:val="00CB6B46"/>
    <w:rsid w:val="00D04CAC"/>
    <w:rsid w:val="00D60D6D"/>
    <w:rsid w:val="00D67D55"/>
    <w:rsid w:val="00DB7373"/>
    <w:rsid w:val="00E109B3"/>
    <w:rsid w:val="00E2075A"/>
    <w:rsid w:val="00E30A3C"/>
    <w:rsid w:val="00E554BF"/>
    <w:rsid w:val="00E56AF7"/>
    <w:rsid w:val="00E77516"/>
    <w:rsid w:val="00ED28EB"/>
    <w:rsid w:val="00EE0562"/>
    <w:rsid w:val="00EE64D6"/>
    <w:rsid w:val="00F64277"/>
    <w:rsid w:val="00F65F7B"/>
    <w:rsid w:val="00FC636B"/>
    <w:rsid w:val="00FF7317"/>
    <w:rsid w:val="03321D76"/>
    <w:rsid w:val="06807777"/>
    <w:rsid w:val="07417DB7"/>
    <w:rsid w:val="13387EC6"/>
    <w:rsid w:val="1456089E"/>
    <w:rsid w:val="174F2A9F"/>
    <w:rsid w:val="320559BB"/>
    <w:rsid w:val="38F1247E"/>
    <w:rsid w:val="3E3F56AB"/>
    <w:rsid w:val="43637525"/>
    <w:rsid w:val="4BE33B7A"/>
    <w:rsid w:val="57044761"/>
    <w:rsid w:val="5BD71D4C"/>
    <w:rsid w:val="5C516A20"/>
    <w:rsid w:val="5FE06033"/>
    <w:rsid w:val="60890F85"/>
    <w:rsid w:val="63446CFA"/>
    <w:rsid w:val="666A51B5"/>
    <w:rsid w:val="6A594616"/>
    <w:rsid w:val="6EE2640D"/>
    <w:rsid w:val="760E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MTDisplayEquation"/>
    <w:basedOn w:val="1"/>
    <w:next w:val="1"/>
    <w:link w:val="8"/>
    <w:qFormat/>
    <w:uiPriority w:val="0"/>
    <w:pPr>
      <w:tabs>
        <w:tab w:val="center" w:pos="4160"/>
        <w:tab w:val="right" w:pos="8300"/>
      </w:tabs>
      <w:spacing w:line="360" w:lineRule="auto"/>
      <w:ind w:firstLine="480" w:firstLineChars="200"/>
    </w:pPr>
    <w:rPr>
      <w:rFonts w:ascii="Times New Roman" w:hAnsi="Times New Roman" w:eastAsia="宋体" w:cs="Times New Roman"/>
      <w:sz w:val="24"/>
      <w:szCs w:val="28"/>
    </w:rPr>
  </w:style>
  <w:style w:type="character" w:customStyle="1" w:styleId="8">
    <w:name w:val="MTDisplayEquation 字符"/>
    <w:basedOn w:val="6"/>
    <w:link w:val="7"/>
    <w:qFormat/>
    <w:uiPriority w:val="0"/>
    <w:rPr>
      <w:rFonts w:ascii="Times New Roman" w:hAnsi="Times New Roman" w:eastAsia="宋体" w:cs="Times New Roman"/>
      <w:sz w:val="24"/>
      <w:szCs w:val="28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1">
    <w:name w:val="AMEquationSection"/>
    <w:basedOn w:val="6"/>
    <w:qFormat/>
    <w:uiPriority w:val="0"/>
    <w:rPr>
      <w:rFonts w:ascii="黑体" w:hAnsi="黑体" w:eastAsia="黑体" w:cs="Times New Roman"/>
      <w:vanish/>
      <w:color w:val="FF0000"/>
      <w:sz w:val="32"/>
      <w:szCs w:val="36"/>
    </w:rPr>
  </w:style>
  <w:style w:type="paragraph" w:customStyle="1" w:styleId="12">
    <w:name w:val="AMDisplayEquation"/>
    <w:basedOn w:val="1"/>
    <w:link w:val="13"/>
    <w:qFormat/>
    <w:uiPriority w:val="0"/>
    <w:pPr>
      <w:spacing w:line="360" w:lineRule="auto"/>
    </w:pPr>
    <w:rPr>
      <w:rFonts w:ascii="Times New Roman" w:hAnsi="Times New Roman" w:eastAsia="宋体" w:cs="Times New Roman"/>
      <w:sz w:val="24"/>
      <w:szCs w:val="28"/>
    </w:rPr>
  </w:style>
  <w:style w:type="character" w:customStyle="1" w:styleId="13">
    <w:name w:val="AMDisplayEquation 字符"/>
    <w:basedOn w:val="6"/>
    <w:link w:val="12"/>
    <w:qFormat/>
    <w:uiPriority w:val="0"/>
    <w:rPr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940</Words>
  <Characters>1453</Characters>
  <Lines>280</Lines>
  <Paragraphs>306</Paragraphs>
  <TotalTime>1</TotalTime>
  <ScaleCrop>false</ScaleCrop>
  <LinksUpToDate>false</LinksUpToDate>
  <CharactersWithSpaces>1536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2023-10-07T02:16:00Z</dcterms:created>
  <dc:creator>标准编制组（模拟报告）</dc:creator>
  <cp:lastModifiedBy>吴亚琦</cp:lastModifiedBy>
  <dcterms:modified xsi:type="dcterms:W3CDTF">2026-08-12T01:15:17Z</dcterms:modified>
  <dc:subject>征求意见稿方法验证附件</dc:subject>
  <dc:title>精装修模块房碳排放计量技术规范测量不确定度评定报告（模拟数据版）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2052-12.1.0.28043</vt:lpwstr>
  </property>
  <property fmtid="{D5CDD505-2E9C-101B-9397-08002B2CF9AE}" pid="4" name="ICV">
    <vt:lpwstr>A552FD3F079044B88A697F944DCD2428_13</vt:lpwstr>
  </property>
  <property fmtid="{D5CDD505-2E9C-101B-9397-08002B2CF9AE}" pid="5" name="KSOTemplateDocerSaveRecord">
    <vt:lpwstr>eyJoZGlkIjoiNDFlNmYwZTFjMTRiNmNlMWY0YTgyNTM5MTYwOTljNTAiLCJ1c2VySWQiOiIzMjA3NDk0MDEifQ==</vt:lpwstr>
  </property>
  <property fmtid="{D5CDD505-2E9C-101B-9397-08002B2CF9AE}" pid="6" name="AMEquationNumber2">
    <vt:lpwstr>(#S1.#E1)</vt:lpwstr>
  </property>
  <property fmtid="{D5CDD505-2E9C-101B-9397-08002B2CF9AE}" pid="7" name="AMEquationSection">
    <vt:lpwstr>1</vt:lpwstr>
  </property>
  <property fmtid="{D5CDD505-2E9C-101B-9397-08002B2CF9AE}" pid="8" name="AMWinEqns">
    <vt:bool>true</vt:bool>
  </property>
</Properties>
</file>