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BA237">
      <w:pPr>
        <w:spacing w:before="2900" w:after="160" w:line="360" w:lineRule="auto"/>
        <w:ind w:firstLine="0"/>
        <w:jc w:val="center"/>
        <w:rPr>
          <w:sz w:val="32"/>
          <w:szCs w:val="28"/>
        </w:rPr>
      </w:pPr>
      <w:r>
        <w:rPr>
          <w:rFonts w:ascii="Times New Roman" w:hAnsi="Times New Roman" w:eastAsia="黑体" w:cs="Times New Roman"/>
          <w:sz w:val="36"/>
          <w:szCs w:val="28"/>
        </w:rPr>
        <w:t>精装修模块房碳排放计量技术规范实验报告</w:t>
      </w:r>
    </w:p>
    <w:p w14:paraId="03AAF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ascii="Times New Roman" w:hAnsi="Times New Roman" w:eastAsia="黑体" w:cs="Times New Roman"/>
          <w:sz w:val="22"/>
        </w:rPr>
      </w:pPr>
      <w:r>
        <w:rPr>
          <w:rFonts w:ascii="Times New Roman" w:hAnsi="Times New Roman" w:eastAsia="黑体" w:cs="Times New Roman"/>
          <w:sz w:val="22"/>
        </w:rPr>
        <w:t>报告编号  SIM-EXP-2026-001</w:t>
      </w:r>
    </w:p>
    <w:p w14:paraId="75B1C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ascii="Times New Roman" w:hAnsi="Times New Roman" w:eastAsia="黑体" w:cs="Times New Roman"/>
          <w:sz w:val="22"/>
        </w:rPr>
      </w:pPr>
    </w:p>
    <w:p w14:paraId="739B6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ascii="Times New Roman" w:hAnsi="Times New Roman" w:eastAsia="黑体" w:cs="Times New Roman"/>
          <w:sz w:val="22"/>
        </w:rPr>
      </w:pPr>
    </w:p>
    <w:p w14:paraId="72444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ascii="Times New Roman" w:hAnsi="Times New Roman" w:eastAsia="黑体" w:cs="Times New Roman"/>
          <w:sz w:val="22"/>
        </w:rPr>
      </w:pPr>
    </w:p>
    <w:p w14:paraId="31E46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ascii="Times New Roman" w:hAnsi="Times New Roman" w:eastAsia="黑体" w:cs="Times New Roman"/>
          <w:sz w:val="22"/>
        </w:rPr>
      </w:pPr>
    </w:p>
    <w:p w14:paraId="31E81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ascii="Times New Roman" w:hAnsi="Times New Roman" w:eastAsia="黑体" w:cs="Times New Roman"/>
          <w:sz w:val="22"/>
        </w:rPr>
      </w:pPr>
    </w:p>
    <w:p w14:paraId="58B283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ascii="Times New Roman" w:hAnsi="Times New Roman" w:eastAsia="黑体" w:cs="Times New Roman"/>
          <w:sz w:val="22"/>
        </w:rPr>
      </w:pPr>
    </w:p>
    <w:p w14:paraId="50508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ascii="Times New Roman" w:hAnsi="Times New Roman" w:eastAsia="黑体" w:cs="Times New Roman"/>
          <w:sz w:val="22"/>
        </w:rPr>
      </w:pPr>
    </w:p>
    <w:p w14:paraId="13772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ascii="Times New Roman" w:hAnsi="Times New Roman" w:eastAsia="黑体" w:cs="Times New Roman"/>
          <w:sz w:val="22"/>
        </w:rPr>
      </w:pPr>
    </w:p>
    <w:p w14:paraId="5795B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ascii="Times New Roman" w:hAnsi="Times New Roman" w:eastAsia="黑体" w:cs="Times New Roman"/>
          <w:sz w:val="22"/>
        </w:rPr>
      </w:pPr>
    </w:p>
    <w:p w14:paraId="04A46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ascii="Times New Roman" w:hAnsi="Times New Roman" w:eastAsia="黑体" w:cs="Times New Roman"/>
          <w:sz w:val="22"/>
        </w:rPr>
      </w:pPr>
    </w:p>
    <w:p w14:paraId="2D72E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ascii="Times New Roman" w:hAnsi="Times New Roman" w:eastAsia="黑体" w:cs="Times New Roman"/>
          <w:sz w:val="22"/>
        </w:rPr>
      </w:pPr>
    </w:p>
    <w:tbl>
      <w:tblPr>
        <w:tblStyle w:val="6"/>
        <w:tblW w:w="6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4980"/>
      </w:tblGrid>
      <w:tr w14:paraId="79DB9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00" w:type="dxa"/>
            <w:tcBorders>
              <w:top w:val="nil"/>
              <w:left w:val="nil"/>
              <w:bottom w:val="single" w:color="000000" w:sz="6" w:space="0"/>
              <w:right w:val="nil"/>
              <w:insideH w:val="nil"/>
              <w:insideV w:val="nil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371907">
            <w:pPr>
              <w:spacing w:before="20" w:after="20" w:line="240" w:lineRule="auto"/>
              <w:ind w:firstLine="0"/>
              <w:jc w:val="right"/>
            </w:pPr>
            <w:r>
              <w:rPr>
                <w:rFonts w:ascii="Times New Roman" w:hAnsi="Times New Roman" w:eastAsia="宋体" w:cs="Times New Roman"/>
                <w:b w:val="0"/>
                <w:sz w:val="24"/>
              </w:rPr>
              <w:t>单位名称：</w:t>
            </w:r>
          </w:p>
        </w:tc>
        <w:tc>
          <w:tcPr>
            <w:tcW w:w="4980" w:type="dxa"/>
            <w:tcBorders>
              <w:top w:val="nil"/>
              <w:left w:val="nil"/>
              <w:bottom w:val="single" w:color="000000" w:sz="6" w:space="0"/>
              <w:right w:val="nil"/>
              <w:insideH w:val="nil"/>
              <w:insideV w:val="nil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9588F9">
            <w:pPr>
              <w:spacing w:before="20" w:after="20" w:line="240" w:lineRule="auto"/>
              <w:ind w:firstLine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sz w:val="24"/>
                <w:lang w:val="en-US" w:eastAsia="zh-CN"/>
              </w:rPr>
              <w:t>林芝某精装修模块房工厂</w:t>
            </w:r>
          </w:p>
        </w:tc>
      </w:tr>
      <w:tr w14:paraId="1A67D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00" w:type="dxa"/>
            <w:tcBorders>
              <w:top w:val="nil"/>
              <w:left w:val="nil"/>
              <w:bottom w:val="single" w:color="000000" w:sz="6" w:space="0"/>
              <w:right w:val="nil"/>
              <w:insideH w:val="nil"/>
              <w:insideV w:val="nil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DF46DE">
            <w:pPr>
              <w:spacing w:before="20" w:after="20" w:line="240" w:lineRule="auto"/>
              <w:ind w:firstLine="0"/>
              <w:jc w:val="right"/>
            </w:pPr>
            <w:r>
              <w:rPr>
                <w:rFonts w:ascii="Times New Roman" w:hAnsi="Times New Roman" w:eastAsia="宋体" w:cs="Times New Roman"/>
                <w:b w:val="0"/>
                <w:sz w:val="24"/>
              </w:rPr>
              <w:t>计量批次：</w:t>
            </w:r>
          </w:p>
        </w:tc>
        <w:tc>
          <w:tcPr>
            <w:tcW w:w="4980" w:type="dxa"/>
            <w:tcBorders>
              <w:top w:val="nil"/>
              <w:left w:val="nil"/>
              <w:bottom w:val="single" w:color="000000" w:sz="6" w:space="0"/>
              <w:right w:val="nil"/>
              <w:insideH w:val="nil"/>
              <w:insideV w:val="nil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BCDC32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24"/>
              </w:rPr>
              <w:t>SIM-MF-20260701</w:t>
            </w:r>
          </w:p>
        </w:tc>
      </w:tr>
      <w:tr w14:paraId="69830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00" w:type="dxa"/>
            <w:tcBorders>
              <w:top w:val="nil"/>
              <w:left w:val="nil"/>
              <w:bottom w:val="single" w:color="000000" w:sz="6" w:space="0"/>
              <w:right w:val="nil"/>
              <w:insideH w:val="nil"/>
              <w:insideV w:val="nil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3A4C21">
            <w:pPr>
              <w:spacing w:before="20" w:after="20" w:line="240" w:lineRule="auto"/>
              <w:ind w:firstLine="0"/>
              <w:jc w:val="right"/>
            </w:pPr>
            <w:r>
              <w:rPr>
                <w:rFonts w:ascii="Times New Roman" w:hAnsi="Times New Roman" w:eastAsia="宋体" w:cs="Times New Roman"/>
                <w:b w:val="0"/>
                <w:sz w:val="24"/>
              </w:rPr>
              <w:t>报告日期：</w:t>
            </w:r>
          </w:p>
        </w:tc>
        <w:tc>
          <w:tcPr>
            <w:tcW w:w="4980" w:type="dxa"/>
            <w:tcBorders>
              <w:top w:val="nil"/>
              <w:left w:val="nil"/>
              <w:bottom w:val="single" w:color="000000" w:sz="6" w:space="0"/>
              <w:right w:val="nil"/>
              <w:insideH w:val="nil"/>
              <w:insideV w:val="nil"/>
            </w:tcBorders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D5C952C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24"/>
              </w:rPr>
              <w:t>2026年8月11日</w:t>
            </w:r>
          </w:p>
        </w:tc>
      </w:tr>
    </w:tbl>
    <w:p w14:paraId="12FF1D6E">
      <w:r>
        <w:br w:type="page"/>
      </w:r>
    </w:p>
    <w:p w14:paraId="0DE224A5">
      <w:pPr>
        <w:keepNext/>
        <w:pageBreakBefore w:val="0"/>
        <w:widowControl/>
        <w:spacing w:before="120" w:after="0" w:line="360" w:lineRule="auto"/>
        <w:ind w:left="0" w:right="0" w:firstLine="0"/>
        <w:jc w:val="left"/>
      </w:pPr>
      <w:r>
        <w:rPr>
          <w:rFonts w:ascii="Times New Roman" w:hAnsi="Times New Roman" w:eastAsia="黑体" w:cs="Times New Roman"/>
          <w:b w:val="0"/>
          <w:sz w:val="24"/>
        </w:rPr>
        <w:t>一、模块房工厂基本信息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9"/>
        <w:gridCol w:w="7145"/>
      </w:tblGrid>
      <w:tr w14:paraId="694C5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01BD9A9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20"/>
              </w:rPr>
              <w:t>企业/工厂名称</w:t>
            </w:r>
          </w:p>
        </w:tc>
        <w:tc>
          <w:tcPr>
            <w:tcW w:w="3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BF6A66">
            <w:pPr>
              <w:spacing w:before="20" w:after="20" w:line="240" w:lineRule="auto"/>
              <w:ind w:firstLine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sz w:val="20"/>
                <w:lang w:val="en-US" w:eastAsia="zh-CN"/>
              </w:rPr>
              <w:t>林芝某精装修模块房工厂</w:t>
            </w:r>
          </w:p>
        </w:tc>
      </w:tr>
      <w:tr w14:paraId="647D0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534312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20"/>
              </w:rPr>
              <w:t>厂房面积</w:t>
            </w:r>
          </w:p>
        </w:tc>
        <w:tc>
          <w:tcPr>
            <w:tcW w:w="3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EA320B">
            <w:pPr>
              <w:spacing w:before="20" w:after="20" w:line="240" w:lineRule="auto"/>
              <w:ind w:firstLine="0"/>
              <w:jc w:val="left"/>
            </w:pPr>
            <w:r>
              <w:rPr>
                <w:rFonts w:ascii="Times New Roman" w:hAnsi="Times New Roman" w:eastAsia="宋体" w:cs="Times New Roman"/>
                <w:b w:val="0"/>
                <w:sz w:val="20"/>
              </w:rPr>
              <w:t>28600 m²</w:t>
            </w:r>
          </w:p>
        </w:tc>
      </w:tr>
      <w:tr w14:paraId="775B3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3D25DFA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20"/>
              </w:rPr>
              <w:t>厂房建设年份</w:t>
            </w:r>
          </w:p>
        </w:tc>
        <w:tc>
          <w:tcPr>
            <w:tcW w:w="3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E66B92">
            <w:pPr>
              <w:spacing w:before="20" w:after="20" w:line="240" w:lineRule="auto"/>
              <w:ind w:firstLine="0"/>
              <w:jc w:val="left"/>
            </w:pPr>
            <w:r>
              <w:rPr>
                <w:rFonts w:ascii="Times New Roman" w:hAnsi="Times New Roman" w:eastAsia="宋体" w:cs="Times New Roman"/>
                <w:b w:val="0"/>
                <w:sz w:val="20"/>
              </w:rPr>
              <w:t>2022年</w:t>
            </w:r>
          </w:p>
        </w:tc>
      </w:tr>
      <w:tr w14:paraId="20280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C8A8945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20"/>
              </w:rPr>
              <w:t>计量批次及时间边界</w:t>
            </w:r>
          </w:p>
        </w:tc>
        <w:tc>
          <w:tcPr>
            <w:tcW w:w="3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142BA1B">
            <w:pPr>
              <w:spacing w:before="20" w:after="20" w:line="240" w:lineRule="auto"/>
              <w:ind w:firstLine="0"/>
              <w:jc w:val="left"/>
            </w:pPr>
            <w:r>
              <w:rPr>
                <w:rFonts w:ascii="Times New Roman" w:hAnsi="Times New Roman" w:eastAsia="宋体" w:cs="Times New Roman"/>
                <w:b w:val="0"/>
                <w:sz w:val="20"/>
              </w:rPr>
              <w:t>SIM-MF-20260701；2026年7月1日—7月31日</w:t>
            </w:r>
          </w:p>
        </w:tc>
      </w:tr>
      <w:tr w14:paraId="132C0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03AD08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20"/>
              </w:rPr>
              <w:t>产品类型及产量</w:t>
            </w:r>
          </w:p>
        </w:tc>
        <w:tc>
          <w:tcPr>
            <w:tcW w:w="3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0027ABE">
            <w:pPr>
              <w:spacing w:before="20" w:after="20" w:line="240" w:lineRule="auto"/>
              <w:ind w:firstLine="0"/>
              <w:jc w:val="left"/>
            </w:pPr>
            <w:r>
              <w:rPr>
                <w:rFonts w:ascii="Times New Roman" w:hAnsi="Times New Roman" w:eastAsia="宋体" w:cs="Times New Roman"/>
                <w:b w:val="0"/>
                <w:sz w:val="20"/>
              </w:rPr>
              <w:t>标准精装修住宿模块120个，合计建筑面积3600 m²</w:t>
            </w:r>
          </w:p>
        </w:tc>
      </w:tr>
      <w:tr w14:paraId="65047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D2ACE1A">
            <w:pPr>
              <w:spacing w:before="20" w:after="20" w:line="240" w:lineRule="auto"/>
              <w:ind w:firstLine="0"/>
              <w:jc w:val="center"/>
              <w:rPr>
                <w:rFonts w:ascii="Times New Roman" w:hAnsi="Times New Roman" w:eastAsia="宋体" w:cs="Times New Roman"/>
                <w:b w:val="0"/>
                <w:sz w:val="20"/>
              </w:rPr>
            </w:pPr>
            <w:r>
              <w:rPr>
                <w:rFonts w:ascii="Times New Roman" w:hAnsi="Times New Roman" w:eastAsia="宋体" w:cs="Times New Roman"/>
                <w:b w:val="0"/>
                <w:sz w:val="20"/>
              </w:rPr>
              <w:t>主要材料输入</w:t>
            </w:r>
          </w:p>
          <w:p w14:paraId="23CD3E90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20"/>
                <w:highlight w:val="yellow"/>
              </w:rPr>
              <w:t>（不计入本次强制计量结果）</w:t>
            </w:r>
          </w:p>
        </w:tc>
        <w:tc>
          <w:tcPr>
            <w:tcW w:w="3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7597D9">
            <w:pPr>
              <w:spacing w:before="20" w:after="20" w:line="240" w:lineRule="auto"/>
              <w:ind w:firstLine="0"/>
              <w:jc w:val="left"/>
            </w:pPr>
            <w:r>
              <w:rPr>
                <w:rFonts w:ascii="Times New Roman" w:hAnsi="Times New Roman" w:eastAsia="宋体" w:cs="Times New Roman"/>
                <w:b w:val="0"/>
                <w:sz w:val="20"/>
              </w:rPr>
              <w:t>钢材865 t；水泥基板420 t；石膏板252 t；保温材96 t；涂料18.6 t；胶粘剂及密封胶6.8 t；瓷砖108 t</w:t>
            </w:r>
          </w:p>
        </w:tc>
      </w:tr>
      <w:tr w14:paraId="31C50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C2CF00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20"/>
              </w:rPr>
              <w:t>能源和过程介质</w:t>
            </w:r>
          </w:p>
        </w:tc>
        <w:tc>
          <w:tcPr>
            <w:tcW w:w="3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C0AD6C">
            <w:pPr>
              <w:spacing w:before="20" w:after="20" w:line="240" w:lineRule="auto"/>
              <w:ind w:firstLine="0"/>
              <w:jc w:val="left"/>
            </w:pPr>
            <w:r>
              <w:rPr>
                <w:rFonts w:ascii="Times New Roman" w:hAnsi="Times New Roman" w:eastAsia="宋体" w:cs="Times New Roman"/>
                <w:b w:val="0"/>
                <w:sz w:val="20"/>
              </w:rPr>
              <w:t>生产/辅助用电238460/42800 kWh；柴油2380 L；CO₂保护气1260 kg；食堂天然气1380 m³</w:t>
            </w:r>
          </w:p>
        </w:tc>
      </w:tr>
      <w:tr w14:paraId="066C2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E3D1B9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20"/>
              </w:rPr>
              <w:t>主要工艺</w:t>
            </w:r>
          </w:p>
        </w:tc>
        <w:tc>
          <w:tcPr>
            <w:tcW w:w="359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447E2A">
            <w:pPr>
              <w:spacing w:before="20" w:after="20" w:line="240" w:lineRule="auto"/>
              <w:ind w:firstLine="0"/>
              <w:jc w:val="left"/>
            </w:pPr>
            <w:r>
              <w:rPr>
                <w:rFonts w:ascii="Times New Roman" w:hAnsi="Times New Roman" w:eastAsia="宋体" w:cs="Times New Roman"/>
                <w:b w:val="0"/>
                <w:sz w:val="20"/>
              </w:rPr>
              <w:t>材料预处理、结构件加工、底架组装、模块结构总装、水电系统安装、精装修集成、全模块功能调试和打包出厂</w:t>
            </w:r>
          </w:p>
        </w:tc>
      </w:tr>
    </w:tbl>
    <w:p w14:paraId="379F38A3">
      <w:pPr>
        <w:keepNext/>
        <w:pageBreakBefore w:val="0"/>
        <w:widowControl/>
        <w:spacing w:before="120" w:after="0" w:line="360" w:lineRule="auto"/>
        <w:ind w:left="0" w:right="0" w:firstLine="0"/>
        <w:jc w:val="left"/>
      </w:pPr>
      <w:r>
        <w:rPr>
          <w:rFonts w:ascii="Times New Roman" w:hAnsi="Times New Roman" w:eastAsia="黑体" w:cs="Times New Roman"/>
          <w:b w:val="0"/>
          <w:sz w:val="24"/>
        </w:rPr>
        <w:t>二、模块房碳源流清单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1243"/>
        <w:gridCol w:w="1537"/>
        <w:gridCol w:w="1317"/>
        <w:gridCol w:w="2784"/>
        <w:gridCol w:w="2491"/>
      </w:tblGrid>
      <w:tr w14:paraId="76762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7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748F5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序号</w:t>
            </w:r>
          </w:p>
        </w:tc>
        <w:tc>
          <w:tcPr>
            <w:tcW w:w="626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46F50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生产系统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F398B8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工艺过程</w:t>
            </w:r>
          </w:p>
        </w:tc>
        <w:tc>
          <w:tcPr>
            <w:tcW w:w="66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810F8C7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源流</w:t>
            </w:r>
          </w:p>
        </w:tc>
        <w:tc>
          <w:tcPr>
            <w:tcW w:w="140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18B0BC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排放源/归集方式</w:t>
            </w:r>
          </w:p>
        </w:tc>
        <w:tc>
          <w:tcPr>
            <w:tcW w:w="12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FB57D9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主要设备</w:t>
            </w:r>
          </w:p>
        </w:tc>
      </w:tr>
      <w:tr w14:paraId="456E9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A9B0E0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</w:t>
            </w:r>
          </w:p>
        </w:tc>
        <w:tc>
          <w:tcPr>
            <w:tcW w:w="626" w:type="pct"/>
            <w:vMerge w:val="restar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4A190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直接生产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6EEA48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结构焊接</w:t>
            </w:r>
          </w:p>
        </w:tc>
        <w:tc>
          <w:tcPr>
            <w:tcW w:w="66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0271D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CO₂保护气</w:t>
            </w:r>
          </w:p>
        </w:tc>
        <w:tc>
          <w:tcPr>
            <w:tcW w:w="140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E88A36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焊接保护气直接释放，按领用与退库质量差获取</w:t>
            </w:r>
          </w:p>
        </w:tc>
        <w:tc>
          <w:tcPr>
            <w:tcW w:w="12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8FE0584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CO₂气体保护焊机</w:t>
            </w:r>
          </w:p>
        </w:tc>
      </w:tr>
      <w:tr w14:paraId="47035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F225AB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2</w:t>
            </w:r>
          </w:p>
        </w:tc>
        <w:tc>
          <w:tcPr>
            <w:tcW w:w="626" w:type="pct"/>
            <w:vMerge w:val="continue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D8FCE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3312993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制造与精装修</w:t>
            </w:r>
          </w:p>
        </w:tc>
        <w:tc>
          <w:tcPr>
            <w:tcW w:w="66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607C27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外购电力</w:t>
            </w:r>
          </w:p>
        </w:tc>
        <w:tc>
          <w:tcPr>
            <w:tcW w:w="140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DB8A7A">
            <w:pPr>
              <w:spacing w:before="20" w:after="20" w:line="240" w:lineRule="auto"/>
              <w:ind w:firstLine="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厂房级计量</w:t>
            </w:r>
          </w:p>
        </w:tc>
        <w:tc>
          <w:tcPr>
            <w:tcW w:w="12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35A39F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切割、焊接、吊装、通风、加工和调试设备</w:t>
            </w:r>
          </w:p>
        </w:tc>
      </w:tr>
      <w:tr w14:paraId="202AA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5E42D9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3</w:t>
            </w:r>
          </w:p>
        </w:tc>
        <w:tc>
          <w:tcPr>
            <w:tcW w:w="626" w:type="pct"/>
            <w:vMerge w:val="continue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099E8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74C0FD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厂内物流</w:t>
            </w:r>
          </w:p>
        </w:tc>
        <w:tc>
          <w:tcPr>
            <w:tcW w:w="66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700EA3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柴油</w:t>
            </w:r>
          </w:p>
        </w:tc>
        <w:tc>
          <w:tcPr>
            <w:tcW w:w="140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7708ADB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柴油叉车燃烧排放，按批次领用量归集</w:t>
            </w:r>
          </w:p>
        </w:tc>
        <w:tc>
          <w:tcPr>
            <w:tcW w:w="12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911CCA3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柴油叉车</w:t>
            </w:r>
          </w:p>
        </w:tc>
      </w:tr>
      <w:tr w14:paraId="52F91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85C29A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626" w:type="pct"/>
            <w:vMerge w:val="restar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537EB0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辅助生产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55FC4E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仓储、办公与生活支撑</w:t>
            </w:r>
          </w:p>
        </w:tc>
        <w:tc>
          <w:tcPr>
            <w:tcW w:w="66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AF82A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外购电力</w:t>
            </w:r>
          </w:p>
        </w:tc>
        <w:tc>
          <w:tcPr>
            <w:tcW w:w="140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1C3A31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厂房级计量，按建筑面积比例分摊</w:t>
            </w:r>
          </w:p>
        </w:tc>
        <w:tc>
          <w:tcPr>
            <w:tcW w:w="12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DF6439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照明、办公设备、空调及仓储设备</w:t>
            </w:r>
          </w:p>
        </w:tc>
      </w:tr>
      <w:tr w14:paraId="5B3B0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3AB32B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5</w:t>
            </w:r>
          </w:p>
        </w:tc>
        <w:tc>
          <w:tcPr>
            <w:tcW w:w="626" w:type="pct"/>
            <w:vMerge w:val="continue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912B73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288F0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食堂烹饪</w:t>
            </w:r>
          </w:p>
        </w:tc>
        <w:tc>
          <w:tcPr>
            <w:tcW w:w="66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EFDBB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天然气</w:t>
            </w:r>
          </w:p>
        </w:tc>
        <w:tc>
          <w:tcPr>
            <w:tcW w:w="140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4188EB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厂区食堂用气，独立计量，计入批次辅助用能</w:t>
            </w:r>
          </w:p>
        </w:tc>
        <w:tc>
          <w:tcPr>
            <w:tcW w:w="12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F5D6AA">
            <w:pPr>
              <w:spacing w:before="20" w:after="20" w:line="240" w:lineRule="auto"/>
              <w:ind w:firstLine="0"/>
              <w:jc w:val="left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食堂燃气灶具</w:t>
            </w:r>
          </w:p>
        </w:tc>
      </w:tr>
    </w:tbl>
    <w:p w14:paraId="1FD28CEF">
      <w:pPr>
        <w:keepNext/>
        <w:pageBreakBefore w:val="0"/>
        <w:widowControl/>
        <w:spacing w:before="120" w:after="0" w:line="360" w:lineRule="auto"/>
        <w:ind w:left="0" w:right="0" w:firstLine="0"/>
        <w:jc w:val="left"/>
        <w:rPr>
          <w:rFonts w:hint="eastAsia" w:ascii="Times New Roman" w:hAnsi="Times New Roman" w:eastAsia="黑体" w:cs="Times New Roman"/>
          <w:b w:val="0"/>
          <w:sz w:val="24"/>
          <w:lang w:val="en-US" w:eastAsia="zh-CN"/>
        </w:rPr>
        <w:sectPr>
          <w:pgSz w:w="11906" w:h="16838"/>
          <w:pgMar w:top="1440" w:right="1080" w:bottom="1440" w:left="1080" w:header="850" w:footer="992" w:gutter="0"/>
          <w:cols w:space="425" w:num="1"/>
          <w:docGrid w:type="lines" w:linePitch="312" w:charSpace="0"/>
        </w:sectPr>
      </w:pPr>
    </w:p>
    <w:p w14:paraId="3D7E81AB">
      <w:pPr>
        <w:keepNext/>
        <w:pageBreakBefore w:val="0"/>
        <w:widowControl/>
        <w:spacing w:before="120" w:after="0" w:line="360" w:lineRule="auto"/>
        <w:ind w:left="0" w:right="0" w:firstLine="0"/>
        <w:jc w:val="left"/>
        <w:rPr>
          <w:rFonts w:hint="eastAsia" w:ascii="Times New Roman" w:hAnsi="Times New Roman" w:eastAsia="黑体" w:cs="Times New Roman"/>
          <w:b w:val="0"/>
          <w:sz w:val="24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sz w:val="24"/>
          <w:lang w:val="en-US" w:eastAsia="zh-CN"/>
        </w:rPr>
        <w:t>三、工厂</w:t>
      </w:r>
      <w:r>
        <w:rPr>
          <w:rFonts w:hint="eastAsia" w:eastAsia="黑体" w:cs="Times New Roman"/>
          <w:sz w:val="21"/>
          <w:szCs w:val="21"/>
        </w:rPr>
        <w:t>碳计量器具配备及计量点网络图</w:t>
      </w:r>
    </w:p>
    <w:p w14:paraId="6E894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 w:eastAsia="宋体"/>
          <w:sz w:val="24"/>
          <w:lang w:val="en-US" w:eastAsia="zh-CN"/>
        </w:rPr>
        <w:t>本工厂碳排放主要来源于外购电力，因此应绘制详细的电力计量点网络图；天然气和柴油则按照“在何处使用、在何处计量”的原则，明确其流向、使用环节及计量位置。</w:t>
      </w:r>
    </w:p>
    <w:p w14:paraId="66347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eastAsia="宋体"/>
          <w:sz w:val="24"/>
          <w:lang w:val="en-US" w:eastAsia="zh-CN"/>
        </w:rPr>
      </w:pPr>
      <w:r>
        <w:drawing>
          <wp:inline distT="0" distB="0" distL="114300" distR="114300">
            <wp:extent cx="9317990" cy="3395345"/>
            <wp:effectExtent l="0" t="0" r="3810" b="8255"/>
            <wp:docPr id="216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17990" cy="3395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CB6BC">
      <w:pPr>
        <w:jc w:val="center"/>
        <w:rPr>
          <w:rFonts w:eastAsia="黑体" w:cs="Times New Roman"/>
          <w:sz w:val="21"/>
          <w:szCs w:val="21"/>
        </w:rPr>
      </w:pPr>
    </w:p>
    <w:p w14:paraId="1FD0CEBF">
      <w:pPr>
        <w:jc w:val="center"/>
        <w:rPr>
          <w:rFonts w:eastAsia="黑体" w:cs="Times New Roman"/>
          <w:sz w:val="21"/>
          <w:szCs w:val="21"/>
        </w:rPr>
      </w:pPr>
      <w:r>
        <w:rPr>
          <w:rFonts w:eastAsia="黑体" w:cs="Times New Roman"/>
          <w:sz w:val="21"/>
          <w:szCs w:val="21"/>
        </w:rPr>
        <w:t>图</w:t>
      </w:r>
      <w:r>
        <w:rPr>
          <w:rFonts w:hint="eastAsia" w:eastAsia="黑体" w:cs="Times New Roman"/>
          <w:sz w:val="21"/>
          <w:szCs w:val="21"/>
          <w:lang w:val="en-US" w:eastAsia="zh-CN"/>
        </w:rPr>
        <w:t>1</w:t>
      </w:r>
      <w:r>
        <w:rPr>
          <w:rFonts w:eastAsia="黑体" w:cs="Times New Roman"/>
          <w:sz w:val="21"/>
          <w:szCs w:val="21"/>
        </w:rPr>
        <w:t xml:space="preserve"> </w:t>
      </w:r>
      <w:r>
        <w:rPr>
          <w:rFonts w:hint="eastAsia" w:eastAsia="黑体" w:cs="Times New Roman"/>
          <w:sz w:val="21"/>
          <w:szCs w:val="21"/>
        </w:rPr>
        <w:t>外购电力碳计量器具配备及计量点网络图</w:t>
      </w:r>
    </w:p>
    <w:p w14:paraId="687B7353">
      <w:pPr>
        <w:keepNext/>
        <w:pageBreakBefore w:val="0"/>
        <w:widowControl/>
        <w:spacing w:before="120" w:after="0" w:line="360" w:lineRule="auto"/>
        <w:ind w:left="0" w:right="0" w:firstLine="0"/>
        <w:jc w:val="left"/>
        <w:rPr>
          <w:rFonts w:hint="eastAsia" w:ascii="Times New Roman" w:hAnsi="Times New Roman" w:eastAsia="黑体" w:cs="Times New Roman"/>
          <w:b w:val="0"/>
          <w:sz w:val="24"/>
          <w:lang w:val="en-US" w:eastAsia="zh-CN"/>
        </w:rPr>
      </w:pPr>
    </w:p>
    <w:p w14:paraId="5DDD846D">
      <w:pPr>
        <w:keepNext/>
        <w:pageBreakBefore w:val="0"/>
        <w:widowControl/>
        <w:spacing w:before="120" w:after="0" w:line="360" w:lineRule="auto"/>
        <w:ind w:left="0" w:right="0" w:firstLine="0"/>
        <w:jc w:val="left"/>
        <w:rPr>
          <w:rFonts w:ascii="Times New Roman" w:hAnsi="Times New Roman" w:eastAsia="黑体" w:cs="Times New Roman"/>
          <w:b w:val="0"/>
          <w:sz w:val="24"/>
        </w:rPr>
        <w:sectPr>
          <w:pgSz w:w="16838" w:h="11906" w:orient="landscape"/>
          <w:pgMar w:top="1440" w:right="1080" w:bottom="1440" w:left="1080" w:header="850" w:footer="992" w:gutter="0"/>
          <w:cols w:space="425" w:num="1"/>
          <w:docGrid w:type="lines" w:linePitch="312" w:charSpace="0"/>
        </w:sectPr>
      </w:pPr>
    </w:p>
    <w:p w14:paraId="31E2343B">
      <w:pPr>
        <w:keepNext/>
        <w:pageBreakBefore w:val="0"/>
        <w:widowControl/>
        <w:spacing w:before="120" w:after="0" w:line="360" w:lineRule="auto"/>
        <w:ind w:left="0" w:right="0" w:firstLine="0"/>
        <w:jc w:val="left"/>
      </w:pPr>
      <w:r>
        <w:rPr>
          <w:rFonts w:hint="eastAsia" w:ascii="Times New Roman" w:hAnsi="Times New Roman" w:eastAsia="黑体" w:cs="Times New Roman"/>
          <w:b w:val="0"/>
          <w:sz w:val="24"/>
          <w:lang w:val="en-US" w:eastAsia="zh-CN"/>
        </w:rPr>
        <w:t>四</w:t>
      </w:r>
      <w:r>
        <w:rPr>
          <w:rFonts w:ascii="Times New Roman" w:hAnsi="Times New Roman" w:eastAsia="黑体" w:cs="Times New Roman"/>
          <w:b w:val="0"/>
          <w:sz w:val="24"/>
        </w:rPr>
        <w:t>、模块房生产阶段计量数据</w:t>
      </w:r>
    </w:p>
    <w:p w14:paraId="3F590444">
      <w:pPr>
        <w:keepNext/>
        <w:pageBreakBefore w:val="0"/>
        <w:widowControl/>
        <w:spacing w:before="60" w:after="0" w:line="360" w:lineRule="auto"/>
        <w:ind w:left="0" w:right="0" w:firstLine="0"/>
        <w:jc w:val="left"/>
        <w:rPr>
          <w:rFonts w:ascii="Times New Roman" w:hAnsi="Times New Roman" w:eastAsia="黑体" w:cs="Times New Roman"/>
          <w:b w:val="0"/>
          <w:sz w:val="24"/>
        </w:rPr>
      </w:pPr>
      <w:r>
        <w:rPr>
          <w:rFonts w:ascii="Times New Roman" w:hAnsi="Times New Roman" w:eastAsia="黑体" w:cs="Times New Roman"/>
          <w:b w:val="0"/>
          <w:sz w:val="24"/>
        </w:rPr>
        <w:t>1.活动数据和计量器具汇总</w:t>
      </w:r>
    </w:p>
    <w:tbl>
      <w:tblPr>
        <w:tblStyle w:val="5"/>
        <w:tblW w:w="499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439"/>
        <w:gridCol w:w="1422"/>
        <w:gridCol w:w="1225"/>
        <w:gridCol w:w="1513"/>
        <w:gridCol w:w="1237"/>
        <w:gridCol w:w="1075"/>
        <w:gridCol w:w="1529"/>
      </w:tblGrid>
      <w:tr w14:paraId="50ADB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29F3E77A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5FB55B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数据编号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DD20EC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碳源流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F1E8A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原始/归集数据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5C2FAA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计量器具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326934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位置及用途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BA37B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uᵣ</w:t>
            </w: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AB4332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证书编号</w:t>
            </w:r>
          </w:p>
        </w:tc>
      </w:tr>
      <w:tr w14:paraId="220C1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B41DB7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D6657F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AD-01-EL-M1-02-001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D4A07E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混凝土搅拌站用电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16A454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42180 kWh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E5B6A1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0.5S级电能表D2-001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D50565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混凝土搅拌站车间总进线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4B9A70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0.50%</w:t>
            </w: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2EFA04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SIM-EM-2026-001</w:t>
            </w:r>
          </w:p>
        </w:tc>
      </w:tr>
      <w:tr w14:paraId="0D4A0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4E7CF5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0D2FB4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AD-02-EL-M1-02-002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80AE4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砂浆车间用电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25D32E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68120 kWh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ADB800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0.5S级电能表D2-002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AD7D9B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砂浆车间总进线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901F9C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0.50%</w:t>
            </w: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F2ACF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SIM-EM-2026-002</w:t>
            </w:r>
          </w:p>
        </w:tc>
      </w:tr>
      <w:tr w14:paraId="2C1C0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9DA600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C19BDB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AD-03-EL-M1-02-003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BB847A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SPC墙板生产车间用电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F1D1AE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77640 kWh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C5D6D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0.5S级电能表D2-003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B9B0B1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SPC墙板生产车间总进线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E8E562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0.50%</w:t>
            </w: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ADF332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SIM-EM-2026-003</w:t>
            </w:r>
          </w:p>
        </w:tc>
      </w:tr>
      <w:tr w14:paraId="2FC8C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74A017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9ED59C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AD-04-EL-M1-02-004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74A483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装配车间用电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0DE992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50520 kWh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FC9A31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0.5S级电能表D2-004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264148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装配车间总进线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018BEE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0.50%</w:t>
            </w: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C021C0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SIM-EM-2026-004</w:t>
            </w:r>
          </w:p>
        </w:tc>
      </w:tr>
      <w:tr w14:paraId="74FF0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BB6893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176E25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AD-05-EL-M1-02-005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272BE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仓库用电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15E936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原始12800 kWh；分摊9600 kWh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18FFE0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0.5S级电能表D2-005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99F277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仓库配电总回路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688330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0.50%</w:t>
            </w: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3890D3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SIM-EM-2026-005</w:t>
            </w:r>
          </w:p>
        </w:tc>
      </w:tr>
      <w:tr w14:paraId="23666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BBCA02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73BD3A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AD-06-EL-M1-02-006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484FF0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办公/宿舍用电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10FB86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原始30000 kWh；分摊22500 kWh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B50869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0.5S级电能表D2-006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4BF732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办公及宿舍配电总回路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922E12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0.50%</w:t>
            </w: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425321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SIM-EM-2026-006</w:t>
            </w:r>
          </w:p>
        </w:tc>
      </w:tr>
      <w:tr w14:paraId="74DED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C9C240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18DE42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AD-07-EN-M3-03-001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6D4F00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食堂天然气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5E5870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1380 m³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654777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1.5级燃气表GM-01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37787C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食堂烹饪用气独立支路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63C832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1.51%</w:t>
            </w: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77CC04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SIM-GM-2026-001</w:t>
            </w:r>
          </w:p>
        </w:tc>
      </w:tr>
      <w:tr w14:paraId="6D8C9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81C4B3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001881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AD-08-EN-M2-03-001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CFE755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柴油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122468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2380 L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7B8D0A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最大允许误差±0.5%加油机FM-01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D0A557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叉车加油点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3EE7F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1.03%</w:t>
            </w: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CED9D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SIM-FM-2026-001</w:t>
            </w:r>
          </w:p>
        </w:tc>
      </w:tr>
      <w:tr w14:paraId="055CE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D6172B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EF4D63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AD-09-OT-M2-03-001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993D7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CO</w:t>
            </w: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保护气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8D381D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1260 kg</w:t>
            </w:r>
          </w:p>
        </w:tc>
        <w:tc>
          <w:tcPr>
            <w:tcW w:w="7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0C400B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Ⅲ级电子平台秤SC-01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822766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钢瓶领用及退库称重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6882FA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0.20%</w:t>
            </w:r>
          </w:p>
        </w:tc>
        <w:tc>
          <w:tcPr>
            <w:tcW w:w="7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621E3">
            <w:pPr>
              <w:spacing w:before="20" w:after="20" w:line="240" w:lineRule="auto"/>
              <w:ind w:firstLine="0"/>
              <w:jc w:val="center"/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color w:val="000000"/>
                <w:sz w:val="21"/>
                <w:szCs w:val="21"/>
                <w:lang w:val="en-US" w:eastAsia="zh-CN"/>
              </w:rPr>
              <w:t>SIM-SC-2026-001</w:t>
            </w:r>
          </w:p>
        </w:tc>
      </w:tr>
    </w:tbl>
    <w:p w14:paraId="49860F62">
      <w:pPr>
        <w:keepNext/>
        <w:pageBreakBefore w:val="0"/>
        <w:widowControl/>
        <w:spacing w:before="60" w:after="0" w:line="360" w:lineRule="auto"/>
        <w:ind w:left="0" w:right="0" w:firstLine="0"/>
        <w:jc w:val="left"/>
        <w:rPr>
          <w:rFonts w:ascii="Times New Roman" w:hAnsi="Times New Roman" w:eastAsia="黑体" w:cs="Times New Roman"/>
          <w:b w:val="0"/>
          <w:sz w:val="24"/>
        </w:rPr>
      </w:pPr>
    </w:p>
    <w:p w14:paraId="50D1CA75">
      <w:pPr>
        <w:keepNext/>
        <w:pageBreakBefore w:val="0"/>
        <w:widowControl/>
        <w:spacing w:before="60" w:after="0" w:line="360" w:lineRule="auto"/>
        <w:ind w:left="0" w:right="0" w:firstLine="0"/>
        <w:jc w:val="left"/>
      </w:pPr>
      <w:r>
        <w:rPr>
          <w:rFonts w:ascii="Times New Roman" w:hAnsi="Times New Roman" w:eastAsia="黑体" w:cs="Times New Roman"/>
          <w:b w:val="0"/>
          <w:sz w:val="24"/>
        </w:rPr>
        <w:t>2.排放因子及计算参数汇总</w:t>
      </w:r>
    </w:p>
    <w:tbl>
      <w:tblPr>
        <w:tblStyle w:val="6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1562"/>
        <w:gridCol w:w="2280"/>
        <w:gridCol w:w="923"/>
        <w:gridCol w:w="2290"/>
        <w:gridCol w:w="2352"/>
      </w:tblGrid>
      <w:tr w14:paraId="3A309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5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DCF049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序号</w:t>
            </w:r>
          </w:p>
        </w:tc>
        <w:tc>
          <w:tcPr>
            <w:tcW w:w="78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2D145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碳源流</w:t>
            </w:r>
          </w:p>
        </w:tc>
        <w:tc>
          <w:tcPr>
            <w:tcW w:w="114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C19619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计算参数</w:t>
            </w:r>
          </w:p>
        </w:tc>
        <w:tc>
          <w:tcPr>
            <w:tcW w:w="46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5122F8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碳氧化率</w:t>
            </w:r>
          </w:p>
        </w:tc>
        <w:tc>
          <w:tcPr>
            <w:tcW w:w="11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37638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排放因子</w:t>
            </w:r>
          </w:p>
        </w:tc>
        <w:tc>
          <w:tcPr>
            <w:tcW w:w="118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AB87BF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不确定度/数据属性</w:t>
            </w:r>
          </w:p>
        </w:tc>
      </w:tr>
      <w:tr w14:paraId="4DB1D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052B5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</w:t>
            </w:r>
          </w:p>
        </w:tc>
        <w:tc>
          <w:tcPr>
            <w:tcW w:w="78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3DE8493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外购电力</w:t>
            </w:r>
          </w:p>
        </w:tc>
        <w:tc>
          <w:tcPr>
            <w:tcW w:w="114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A3BC8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归集电量270560 kWh</w:t>
            </w:r>
          </w:p>
        </w:tc>
        <w:tc>
          <w:tcPr>
            <w:tcW w:w="46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A2F7AD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/</w:t>
            </w:r>
          </w:p>
        </w:tc>
        <w:tc>
          <w:tcPr>
            <w:tcW w:w="11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58877F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0.5366 kgCO₂e/kWh</w:t>
            </w:r>
          </w:p>
        </w:tc>
        <w:tc>
          <w:tcPr>
            <w:tcW w:w="118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C4CDF3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0.50%</w:t>
            </w:r>
          </w:p>
        </w:tc>
      </w:tr>
      <w:tr w14:paraId="1851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8C19D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2</w:t>
            </w:r>
          </w:p>
        </w:tc>
        <w:tc>
          <w:tcPr>
            <w:tcW w:w="78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2B12F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食堂天然气</w:t>
            </w:r>
          </w:p>
        </w:tc>
        <w:tc>
          <w:tcPr>
            <w:tcW w:w="114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D1FFC8B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NCV=38.93 MJ/m³</w:t>
            </w:r>
          </w:p>
        </w:tc>
        <w:tc>
          <w:tcPr>
            <w:tcW w:w="46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29C99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99%</w:t>
            </w:r>
          </w:p>
        </w:tc>
        <w:tc>
          <w:tcPr>
            <w:tcW w:w="11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3A5C62D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56.1 tCO₂e/TJ</w:t>
            </w:r>
          </w:p>
        </w:tc>
        <w:tc>
          <w:tcPr>
            <w:tcW w:w="118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05B523A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0.28%</w:t>
            </w:r>
          </w:p>
        </w:tc>
      </w:tr>
      <w:tr w14:paraId="1E132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62D845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3</w:t>
            </w:r>
          </w:p>
        </w:tc>
        <w:tc>
          <w:tcPr>
            <w:tcW w:w="78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1BC9ED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柴油</w:t>
            </w:r>
          </w:p>
        </w:tc>
        <w:tc>
          <w:tcPr>
            <w:tcW w:w="114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D4B94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密度=0.84 kg/L；NCV=42.652 GJ/t</w:t>
            </w:r>
          </w:p>
        </w:tc>
        <w:tc>
          <w:tcPr>
            <w:tcW w:w="46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3D3BE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98%</w:t>
            </w:r>
          </w:p>
        </w:tc>
        <w:tc>
          <w:tcPr>
            <w:tcW w:w="11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83EF120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74.1 tCO₂e/TJ</w:t>
            </w:r>
          </w:p>
        </w:tc>
        <w:tc>
          <w:tcPr>
            <w:tcW w:w="118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5C44E0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1.50%</w:t>
            </w:r>
          </w:p>
        </w:tc>
      </w:tr>
      <w:tr w14:paraId="18E02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25AE1B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78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07FE9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CO₂保护气</w:t>
            </w:r>
          </w:p>
        </w:tc>
        <w:tc>
          <w:tcPr>
            <w:tcW w:w="114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9F393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实际释放质量</w:t>
            </w:r>
          </w:p>
        </w:tc>
        <w:tc>
          <w:tcPr>
            <w:tcW w:w="46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1DE381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/</w:t>
            </w:r>
          </w:p>
        </w:tc>
        <w:tc>
          <w:tcPr>
            <w:tcW w:w="115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B5E74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 kgCO₂e/kg</w:t>
            </w:r>
          </w:p>
        </w:tc>
        <w:tc>
          <w:tcPr>
            <w:tcW w:w="118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F81D0D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质量守恒系数；因子不确定度忽略</w:t>
            </w:r>
          </w:p>
        </w:tc>
      </w:tr>
    </w:tbl>
    <w:p w14:paraId="500C5B73">
      <w:pPr>
        <w:keepNext/>
        <w:pageBreakBefore w:val="0"/>
        <w:widowControl/>
        <w:spacing w:before="60" w:after="0" w:line="360" w:lineRule="auto"/>
        <w:ind w:left="0" w:right="0" w:firstLine="0"/>
        <w:jc w:val="left"/>
        <w:rPr>
          <w:rFonts w:hint="eastAsia" w:ascii="Times New Roman" w:hAnsi="Times New Roman" w:eastAsia="黑体" w:cs="Times New Roman"/>
          <w:b w:val="0"/>
          <w:sz w:val="24"/>
          <w:lang w:val="en-US" w:eastAsia="zh-CN"/>
        </w:rPr>
      </w:pPr>
    </w:p>
    <w:p w14:paraId="3B09E5DC">
      <w:pPr>
        <w:keepNext/>
        <w:pageBreakBefore w:val="0"/>
        <w:widowControl/>
        <w:spacing w:before="60" w:after="0" w:line="360" w:lineRule="auto"/>
        <w:ind w:left="0" w:right="0" w:firstLine="0"/>
        <w:jc w:val="left"/>
        <w:rPr>
          <w:rFonts w:hint="default" w:ascii="Times New Roman" w:hAnsi="Times New Roman" w:eastAsia="黑体" w:cs="Times New Roman"/>
          <w:b w:val="0"/>
          <w:sz w:val="24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sz w:val="24"/>
          <w:lang w:val="en-US" w:eastAsia="zh-CN"/>
        </w:rPr>
        <w:t>五、碳排放数据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537"/>
        <w:gridCol w:w="875"/>
        <w:gridCol w:w="1537"/>
        <w:gridCol w:w="951"/>
        <w:gridCol w:w="3045"/>
      </w:tblGrid>
      <w:tr w14:paraId="1992D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9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ADC41B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排放活动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8497C1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源流类型</w:t>
            </w:r>
          </w:p>
        </w:tc>
        <w:tc>
          <w:tcPr>
            <w:tcW w:w="441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3F91C5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编码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FE4447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碳排放量/tCO₂e</w:t>
            </w:r>
          </w:p>
        </w:tc>
        <w:tc>
          <w:tcPr>
            <w:tcW w:w="47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4F2B13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占比</w:t>
            </w:r>
          </w:p>
        </w:tc>
        <w:tc>
          <w:tcPr>
            <w:tcW w:w="153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132564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不确定度/备注</w:t>
            </w:r>
          </w:p>
        </w:tc>
      </w:tr>
      <w:tr w14:paraId="56242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pct"/>
            <w:vMerge w:val="restar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1DE756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化石能源消耗排放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17BE14F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食堂天然气</w:t>
            </w:r>
          </w:p>
        </w:tc>
        <w:tc>
          <w:tcPr>
            <w:tcW w:w="441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7B1784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D01.1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A78338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2.98</w:t>
            </w:r>
          </w:p>
        </w:tc>
        <w:tc>
          <w:tcPr>
            <w:tcW w:w="47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5D20DC2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1.92%</w:t>
            </w:r>
          </w:p>
        </w:tc>
        <w:tc>
          <w:tcPr>
            <w:tcW w:w="153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04C03EF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1.54%</w:t>
            </w:r>
          </w:p>
        </w:tc>
      </w:tr>
      <w:tr w14:paraId="3DC3D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pct"/>
            <w:vMerge w:val="continue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DCBC7E">
            <w:pPr>
              <w:spacing w:before="20" w:after="20" w:line="240" w:lineRule="auto"/>
              <w:ind w:firstLine="0"/>
              <w:jc w:val="center"/>
            </w:pP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9F0B7F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柴油</w:t>
            </w:r>
          </w:p>
        </w:tc>
        <w:tc>
          <w:tcPr>
            <w:tcW w:w="441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1354B8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D01.2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E0A0E32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6.19</w:t>
            </w:r>
          </w:p>
        </w:tc>
        <w:tc>
          <w:tcPr>
            <w:tcW w:w="47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18F46B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3.98%</w:t>
            </w:r>
          </w:p>
        </w:tc>
        <w:tc>
          <w:tcPr>
            <w:tcW w:w="153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CC8E193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1.82%</w:t>
            </w:r>
          </w:p>
        </w:tc>
      </w:tr>
      <w:tr w14:paraId="2FD9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5FD5EEC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非能源介质过程排放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CEC7921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CO₂保护气</w:t>
            </w:r>
          </w:p>
        </w:tc>
        <w:tc>
          <w:tcPr>
            <w:tcW w:w="441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E4105E4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D02.1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5FC947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1.26</w:t>
            </w:r>
          </w:p>
        </w:tc>
        <w:tc>
          <w:tcPr>
            <w:tcW w:w="47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F7F15B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0.81%</w:t>
            </w:r>
          </w:p>
        </w:tc>
        <w:tc>
          <w:tcPr>
            <w:tcW w:w="153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0ECF7B0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0.20%</w:t>
            </w:r>
          </w:p>
        </w:tc>
      </w:tr>
      <w:tr w14:paraId="52529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FC0367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净购入能源排放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304E70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净购入电力</w:t>
            </w:r>
          </w:p>
        </w:tc>
        <w:tc>
          <w:tcPr>
            <w:tcW w:w="441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FCE5070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I11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A063845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145.18</w:t>
            </w:r>
          </w:p>
        </w:tc>
        <w:tc>
          <w:tcPr>
            <w:tcW w:w="47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478CC5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93.29%</w:t>
            </w:r>
          </w:p>
        </w:tc>
        <w:tc>
          <w:tcPr>
            <w:tcW w:w="153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75C908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活动数据uᵣ=0.50%</w:t>
            </w:r>
          </w:p>
        </w:tc>
      </w:tr>
      <w:tr w14:paraId="45609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6BFBED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批次合计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EC97BDC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—</w:t>
            </w:r>
          </w:p>
        </w:tc>
        <w:tc>
          <w:tcPr>
            <w:tcW w:w="441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C61457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—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1210C5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155.62</w:t>
            </w:r>
          </w:p>
        </w:tc>
        <w:tc>
          <w:tcPr>
            <w:tcW w:w="479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10D2A99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100.00%</w:t>
            </w:r>
          </w:p>
        </w:tc>
        <w:tc>
          <w:tcPr>
            <w:tcW w:w="153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21A2BE">
            <w:pPr>
              <w:spacing w:before="20" w:after="20" w:line="240" w:lineRule="auto"/>
              <w:ind w:firstLine="0"/>
              <w:jc w:val="center"/>
            </w:pPr>
            <w:r>
              <w:rPr>
                <w:rFonts w:ascii="Times New Roman" w:hAnsi="Times New Roman" w:eastAsia="宋体" w:cs="Times New Roman"/>
                <w:b w:val="0"/>
                <w:sz w:val="18"/>
              </w:rPr>
              <w:t>扩展相对不确定度0.95%（k=2）</w:t>
            </w:r>
          </w:p>
        </w:tc>
      </w:tr>
    </w:tbl>
    <w:p w14:paraId="1563AE4A">
      <w:pPr>
        <w:keepNext/>
        <w:pageBreakBefore w:val="0"/>
        <w:widowControl/>
        <w:spacing w:before="60" w:after="0" w:line="360" w:lineRule="auto"/>
        <w:ind w:left="0" w:right="0" w:firstLine="0"/>
        <w:jc w:val="left"/>
        <w:rPr>
          <w:rFonts w:hint="eastAsia" w:ascii="Times New Roman" w:hAnsi="Times New Roman" w:eastAsia="黑体" w:cs="Times New Roman"/>
          <w:b w:val="0"/>
          <w:sz w:val="24"/>
          <w:lang w:val="en-US" w:eastAsia="zh-CN"/>
        </w:rPr>
      </w:pPr>
    </w:p>
    <w:p w14:paraId="498099BF">
      <w:pPr>
        <w:keepNext/>
        <w:pageBreakBefore w:val="0"/>
        <w:widowControl/>
        <w:spacing w:before="120" w:after="0" w:line="360" w:lineRule="auto"/>
        <w:ind w:left="0" w:right="0" w:firstLine="0"/>
        <w:jc w:val="left"/>
      </w:pPr>
      <w:r>
        <w:rPr>
          <w:rFonts w:hint="eastAsia" w:ascii="Times New Roman" w:hAnsi="Times New Roman" w:eastAsia="黑体" w:cs="Times New Roman"/>
          <w:b w:val="0"/>
          <w:sz w:val="24"/>
          <w:lang w:val="en-US" w:eastAsia="zh-CN"/>
        </w:rPr>
        <w:t>六</w:t>
      </w:r>
      <w:r>
        <w:rPr>
          <w:rFonts w:ascii="Times New Roman" w:hAnsi="Times New Roman" w:eastAsia="黑体" w:cs="Times New Roman"/>
          <w:b w:val="0"/>
          <w:sz w:val="24"/>
        </w:rPr>
        <w:t>、总结</w:t>
      </w:r>
    </w:p>
    <w:p w14:paraId="319B06F9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本批次精装修模块房工厂生产阶段碳排放量：155.62 tCO₂e。</w:t>
      </w:r>
    </w:p>
    <w:p w14:paraId="552A95B6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按单模块表达的碳排放结果：1296.82 kgCO₂e/模块。</w:t>
      </w:r>
    </w:p>
    <w:p w14:paraId="206A338E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按单位建筑面积表达的碳排放结果：43.23 kgCO₂e/m²。</w:t>
      </w:r>
    </w:p>
    <w:p w14:paraId="1290B25F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全批次合成标准不确定度为0.736 tCO₂e，相对扩展不确定度为0.95%（k=2）。</w:t>
      </w:r>
    </w:p>
    <w:p w14:paraId="516464C1">
      <w:pPr>
        <w:spacing w:before="560" w:line="360" w:lineRule="auto"/>
        <w:jc w:val="right"/>
      </w:pPr>
      <w:r>
        <w:rPr>
          <w:rFonts w:ascii="Times New Roman" w:hAnsi="Times New Roman" w:eastAsia="宋体" w:cs="Times New Roman"/>
          <w:sz w:val="24"/>
        </w:rPr>
        <w:t>计量人员：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校审人员：</w:t>
      </w:r>
      <w:r>
        <w:rPr>
          <w:rFonts w:ascii="Times New Roman" w:hAnsi="Times New Roman" w:eastAsia="宋体" w:cs="Times New Roman"/>
          <w:sz w:val="24"/>
        </w:rPr>
        <w:br w:type="textWrapping"/>
      </w:r>
      <w:r>
        <w:rPr>
          <w:rFonts w:ascii="Times New Roman" w:hAnsi="Times New Roman" w:eastAsia="宋体" w:cs="Times New Roman"/>
          <w:sz w:val="24"/>
        </w:rPr>
        <w:t>审定人员：</w:t>
      </w:r>
      <w:r>
        <w:rPr>
          <w:rFonts w:ascii="Times New Roman" w:hAnsi="Times New Roman" w:eastAsia="宋体" w:cs="Times New Roman"/>
          <w:sz w:val="24"/>
        </w:rPr>
        <w:br w:type="textWrapping"/>
      </w:r>
    </w:p>
    <w:p w14:paraId="170F9D14">
      <w:pPr>
        <w:keepNext/>
        <w:pageBreakBefore/>
        <w:widowControl/>
        <w:spacing w:before="0" w:after="240" w:line="360" w:lineRule="auto"/>
        <w:ind w:left="0" w:right="0" w:firstLine="0"/>
        <w:jc w:val="center"/>
      </w:pPr>
      <w:r>
        <w:rPr>
          <w:rFonts w:ascii="Times New Roman" w:hAnsi="Times New Roman" w:eastAsia="黑体" w:cs="Times New Roman"/>
          <w:sz w:val="32"/>
        </w:rPr>
        <w:t>具体计算过程</w:t>
      </w:r>
    </w:p>
    <w:p w14:paraId="308FDF2A">
      <w:pPr>
        <w:keepNext/>
        <w:pageBreakBefore w:val="0"/>
        <w:widowControl/>
        <w:spacing w:before="120" w:after="0" w:line="360" w:lineRule="auto"/>
        <w:ind w:left="0" w:right="0" w:firstLine="0"/>
        <w:jc w:val="left"/>
      </w:pPr>
      <w:r>
        <w:rPr>
          <w:rFonts w:ascii="Times New Roman" w:hAnsi="Times New Roman" w:eastAsia="黑体" w:cs="Times New Roman"/>
          <w:b w:val="0"/>
          <w:sz w:val="24"/>
        </w:rPr>
        <w:t>1  计量边界</w:t>
      </w:r>
    </w:p>
    <w:p w14:paraId="2119F2D8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以</w:t>
      </w:r>
      <w:r>
        <w:rPr>
          <w:rFonts w:hint="eastAsia" w:ascii="Times New Roman" w:hAnsi="Times New Roman" w:eastAsia="宋体" w:cs="Times New Roman"/>
          <w:b w:val="0"/>
          <w:sz w:val="24"/>
          <w:lang w:val="en-US" w:eastAsia="zh-CN"/>
        </w:rPr>
        <w:t>林芝某精装修模块房工厂</w:t>
      </w:r>
      <w:r>
        <w:rPr>
          <w:rFonts w:ascii="Times New Roman" w:hAnsi="Times New Roman" w:eastAsia="宋体" w:cs="Times New Roman"/>
          <w:sz w:val="24"/>
        </w:rPr>
        <w:t>承担精装修模块房生产活动的</w:t>
      </w:r>
      <w:bookmarkStart w:id="0" w:name="_GoBack"/>
      <w:bookmarkEnd w:id="0"/>
      <w:r>
        <w:rPr>
          <w:rFonts w:ascii="Times New Roman" w:hAnsi="Times New Roman" w:eastAsia="宋体" w:cs="Times New Roman"/>
          <w:sz w:val="24"/>
        </w:rPr>
        <w:t>用地红线为空间边界，以2026年7月1日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-</w:t>
      </w:r>
      <w:r>
        <w:rPr>
          <w:rFonts w:ascii="Times New Roman" w:hAnsi="Times New Roman" w:eastAsia="宋体" w:cs="Times New Roman"/>
          <w:sz w:val="24"/>
        </w:rPr>
        <w:t>7月31日为时间边界，计量批次SIM-MF-20260701的厂内生产阶段碳排放。计量范围包括柴油及厂区食堂天然气燃烧形成的直接碳排放、CO₂焊接保护气直接释放、生产及辅助区域外购电力形成的能源间接碳排放。</w:t>
      </w:r>
    </w:p>
    <w:p w14:paraId="76D07768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  <w:u w:val="single"/>
        </w:rPr>
        <w:t>材料输入阶段隐含碳排放未纳入本次强制计量结果。</w:t>
      </w:r>
      <w:r>
        <w:rPr>
          <w:rFonts w:ascii="Times New Roman" w:hAnsi="Times New Roman" w:eastAsia="宋体" w:cs="Times New Roman"/>
          <w:sz w:val="24"/>
        </w:rPr>
        <w:t>该边界设定与征求意见稿第4.1条至第4.3条的生产阶段计量对象、时间边界、空间边界和计量范围要求保持一致。</w:t>
      </w:r>
    </w:p>
    <w:p w14:paraId="755165A7">
      <w:pPr>
        <w:keepNext/>
        <w:pageBreakBefore w:val="0"/>
        <w:widowControl/>
        <w:spacing w:before="120" w:after="0" w:line="360" w:lineRule="auto"/>
        <w:ind w:left="0" w:right="0" w:firstLine="0"/>
        <w:jc w:val="left"/>
      </w:pPr>
      <w:r>
        <w:rPr>
          <w:rFonts w:ascii="Times New Roman" w:hAnsi="Times New Roman" w:eastAsia="黑体" w:cs="Times New Roman"/>
          <w:b w:val="0"/>
          <w:sz w:val="24"/>
        </w:rPr>
        <w:t>2  碳源流识别</w:t>
      </w:r>
    </w:p>
    <w:p w14:paraId="2DCCE18E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按直接生产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和</w:t>
      </w:r>
      <w:r>
        <w:rPr>
          <w:rFonts w:ascii="Times New Roman" w:hAnsi="Times New Roman" w:eastAsia="宋体" w:cs="Times New Roman"/>
          <w:sz w:val="24"/>
        </w:rPr>
        <w:t>辅助生产环节识别碳源流。直接生产环节识别出CO₂焊接保护气和生产用电；辅助生产环节识别出柴油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、</w:t>
      </w:r>
      <w:r>
        <w:rPr>
          <w:rFonts w:ascii="Times New Roman" w:hAnsi="Times New Roman" w:eastAsia="宋体" w:cs="Times New Roman"/>
          <w:sz w:val="24"/>
        </w:rPr>
        <w:t>辅助用电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及</w:t>
      </w:r>
      <w:r>
        <w:rPr>
          <w:rFonts w:ascii="Times New Roman" w:hAnsi="Times New Roman" w:eastAsia="宋体" w:cs="Times New Roman"/>
          <w:sz w:val="24"/>
        </w:rPr>
        <w:t>食堂天然气。本批次无外购热（冷）力，无识别到计量期内制冷剂泄漏和含氟气体逸散事件。</w:t>
      </w:r>
    </w:p>
    <w:p w14:paraId="2B1691AF">
      <w:pPr>
        <w:keepNext/>
        <w:pageBreakBefore w:val="0"/>
        <w:widowControl/>
        <w:spacing w:before="120" w:after="0" w:line="360" w:lineRule="auto"/>
        <w:ind w:left="0" w:right="0" w:firstLine="0"/>
        <w:jc w:val="left"/>
      </w:pPr>
      <w:r>
        <w:rPr>
          <w:rFonts w:ascii="Times New Roman" w:hAnsi="Times New Roman" w:eastAsia="黑体" w:cs="Times New Roman"/>
          <w:b w:val="0"/>
          <w:sz w:val="24"/>
        </w:rPr>
        <w:t>3  计量情况</w:t>
      </w:r>
    </w:p>
    <w:p w14:paraId="7723B854">
      <w:pPr>
        <w:keepNext/>
        <w:pageBreakBefore w:val="0"/>
        <w:widowControl/>
        <w:spacing w:before="60" w:after="0" w:line="360" w:lineRule="auto"/>
        <w:ind w:left="0" w:right="0" w:firstLine="0"/>
        <w:jc w:val="left"/>
      </w:pPr>
      <w:r>
        <w:rPr>
          <w:rFonts w:ascii="Times New Roman" w:hAnsi="Times New Roman" w:eastAsia="黑体" w:cs="Times New Roman"/>
          <w:b w:val="0"/>
          <w:sz w:val="24"/>
        </w:rPr>
        <w:t>3.1  活动数据的计量</w:t>
      </w:r>
    </w:p>
    <w:p w14:paraId="1518B780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（1）生产用由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各生产车间</w:t>
      </w:r>
      <w:r>
        <w:rPr>
          <w:rFonts w:ascii="Times New Roman" w:hAnsi="Times New Roman" w:eastAsia="宋体" w:cs="Times New Roman"/>
          <w:sz w:val="24"/>
        </w:rPr>
        <w:t>电能表在产线总进线</w:t>
      </w:r>
      <w:r>
        <w:rPr>
          <w:rFonts w:hint="eastAsia" w:ascii="Times New Roman" w:hAnsi="Times New Roman" w:eastAsia="宋体" w:cs="Times New Roman"/>
          <w:sz w:val="24"/>
        </w:rPr>
        <w:t>0.5S级电能表D2-001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-004</w:t>
      </w:r>
      <w:r>
        <w:rPr>
          <w:rFonts w:ascii="Times New Roman" w:hAnsi="Times New Roman" w:eastAsia="宋体" w:cs="Times New Roman"/>
          <w:sz w:val="24"/>
        </w:rPr>
        <w:t>连续计量，本批次起止表码差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和</w:t>
      </w:r>
      <w:r>
        <w:rPr>
          <w:rFonts w:ascii="Times New Roman" w:hAnsi="Times New Roman" w:eastAsia="宋体" w:cs="Times New Roman"/>
          <w:sz w:val="24"/>
        </w:rPr>
        <w:t>为238460 kWh；</w:t>
      </w:r>
    </w:p>
    <w:p w14:paraId="569362FB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（2）辅助生产、仓储、办公和生活支撑区域由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总进线</w:t>
      </w:r>
      <w:r>
        <w:rPr>
          <w:rFonts w:hint="eastAsia" w:ascii="Times New Roman" w:hAnsi="Times New Roman" w:eastAsia="宋体" w:cs="Times New Roman"/>
          <w:sz w:val="24"/>
        </w:rPr>
        <w:t>0.5S级电能表D2-00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5-006各自</w:t>
      </w:r>
      <w:r>
        <w:rPr>
          <w:rFonts w:ascii="Times New Roman" w:hAnsi="Times New Roman" w:eastAsia="宋体" w:cs="Times New Roman"/>
          <w:sz w:val="24"/>
        </w:rPr>
        <w:t>电能表连续计量，计量期原始用电量为42800 kWh；</w:t>
      </w:r>
    </w:p>
    <w:p w14:paraId="30778BE0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（3）食堂天然气由独立支路GM-01燃气表计量，用量为1380 m³；燃气表与热值测量形成的活动数据相对标准不确定度为1.51%；</w:t>
      </w:r>
    </w:p>
    <w:p w14:paraId="278B43EC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（4）柴油依据FM-01加油机累计量和批次领用记录获取，用量为2380 L；加油机最大允许误差±0.5%，密度与温度修正引入的相对标准不确定度为0.90%；</w:t>
      </w:r>
    </w:p>
    <w:p w14:paraId="23120F76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（5）CO₂焊接保护气通过钢瓶领用、退库称重记录获取，实际释放质量为1260 kg，称重相对标准不确定度为0.20%。</w:t>
      </w:r>
    </w:p>
    <w:p w14:paraId="1CB3B31A">
      <w:pPr>
        <w:keepNext/>
        <w:pageBreakBefore w:val="0"/>
        <w:widowControl/>
        <w:spacing w:before="60" w:after="0" w:line="360" w:lineRule="auto"/>
        <w:ind w:left="0" w:right="0" w:firstLine="0"/>
        <w:jc w:val="left"/>
      </w:pPr>
      <w:r>
        <w:rPr>
          <w:rFonts w:ascii="Times New Roman" w:hAnsi="Times New Roman" w:eastAsia="黑体" w:cs="Times New Roman"/>
          <w:b w:val="0"/>
          <w:sz w:val="24"/>
        </w:rPr>
        <w:t>3.2  数据分摊和模块归集</w:t>
      </w:r>
    </w:p>
    <w:p w14:paraId="1C87F9C5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计量期内工厂同时交付其他模块产品，辅助用电量无法直接分项到本批次。根据同期产出建筑面积，本批次建筑面积为3600 m²，工厂同期总产出面积为4800 m²，分摊比例为75%。</w:t>
      </w:r>
    </w:p>
    <w:p w14:paraId="768522EA">
      <w:pPr>
        <w:spacing w:before="80" w:after="80" w:line="240" w:lineRule="auto"/>
        <w:ind w:firstLine="0"/>
        <w:jc w:val="center"/>
      </w:pPr>
      <w:r>
        <w:rPr>
          <w:rFonts w:ascii="Cambria Math" w:hAnsi="Cambria Math" w:eastAsia="Cambria Math" w:cs="Times New Roman"/>
          <w:sz w:val="22"/>
        </w:rPr>
        <w:t>A辅助用电 = 42800 × 0.75 = 32100 kWh</w:t>
      </w:r>
    </w:p>
    <w:p w14:paraId="2B407210">
      <w:pPr>
        <w:spacing w:before="80" w:after="80" w:line="240" w:lineRule="auto"/>
        <w:ind w:firstLine="0"/>
        <w:jc w:val="center"/>
      </w:pPr>
      <w:r>
        <w:rPr>
          <w:rFonts w:ascii="Cambria Math" w:hAnsi="Cambria Math" w:eastAsia="Cambria Math" w:cs="Times New Roman"/>
          <w:sz w:val="22"/>
        </w:rPr>
        <w:t>A本批次电力 = 238460 + 32100 = 270560 kWh</w:t>
      </w:r>
    </w:p>
    <w:p w14:paraId="069D94AC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食堂天然气、柴油和CO₂保护气均有专用计量点或批次台账，不再进行二次分摊，并整体计入本批次。本批次120个模块为同类型产品，需要单模块结果时按模块数量平均分摊。</w:t>
      </w:r>
    </w:p>
    <w:p w14:paraId="6A8129A1">
      <w:pPr>
        <w:keepNext/>
        <w:pageBreakBefore w:val="0"/>
        <w:widowControl/>
        <w:spacing w:before="60" w:after="0" w:line="360" w:lineRule="auto"/>
        <w:ind w:left="0" w:right="0" w:firstLine="0"/>
        <w:jc w:val="left"/>
      </w:pPr>
      <w:r>
        <w:rPr>
          <w:rFonts w:ascii="Times New Roman" w:hAnsi="Times New Roman" w:eastAsia="黑体" w:cs="Times New Roman"/>
          <w:b w:val="0"/>
          <w:sz w:val="24"/>
        </w:rPr>
        <w:t>3.3  排放因子的获取</w:t>
      </w:r>
    </w:p>
    <w:p w14:paraId="57086E68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（1）外购电力排放因子采用0.5366 kgCO₂e/kWh。将该数据库因子作为固定计算参数，电力不确定度分量仅由电能表测量引入。</w:t>
      </w:r>
    </w:p>
    <w:p w14:paraId="1B9623E2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（2）食堂天然气低位发热量为38.93 MJ/m³，排放因子为56.1 tCO₂e/TJ，碳氧化率为99%，排放因子相对标准不确定度为0.28%。</w:t>
      </w:r>
    </w:p>
    <w:p w14:paraId="5F7DE789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（3）柴油密度为0.84 kg/L，实测低位发热量为42.652 GJ/t，排放因子为74.1 tCO₂e/TJ，碳氧化率为98%，因子相对标准不确定度为1.50%。</w:t>
      </w:r>
    </w:p>
    <w:p w14:paraId="7675725D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ascii="Times New Roman" w:hAnsi="Times New Roman" w:eastAsia="宋体" w:cs="Times New Roman"/>
          <w:sz w:val="24"/>
        </w:rPr>
        <w:t>（4）CO₂焊接保护气按实际释放质量与1 kgCO₂e/kg的质量守恒系数计算。</w:t>
      </w:r>
    </w:p>
    <w:p w14:paraId="50638929">
      <w:pPr>
        <w:keepNext/>
        <w:pageBreakBefore w:val="0"/>
        <w:widowControl/>
        <w:spacing w:before="120" w:after="0" w:line="360" w:lineRule="auto"/>
        <w:ind w:left="0" w:right="0" w:firstLine="0"/>
        <w:jc w:val="left"/>
      </w:pPr>
      <w:r>
        <w:rPr>
          <w:rFonts w:ascii="Times New Roman" w:hAnsi="Times New Roman" w:eastAsia="黑体" w:cs="Times New Roman"/>
          <w:b w:val="0"/>
          <w:sz w:val="24"/>
        </w:rPr>
        <w:t>4  不确定度计算</w:t>
      </w:r>
    </w:p>
    <w:p w14:paraId="253E7437">
      <w:pPr>
        <w:keepNext/>
        <w:pageBreakBefore w:val="0"/>
        <w:widowControl/>
        <w:spacing w:before="60" w:after="0" w:line="360" w:lineRule="auto"/>
        <w:ind w:left="0" w:right="0" w:firstLine="0"/>
        <w:jc w:val="left"/>
      </w:pPr>
      <w:r>
        <w:rPr>
          <w:rFonts w:ascii="Times New Roman" w:hAnsi="Times New Roman" w:eastAsia="黑体" w:cs="Times New Roman"/>
          <w:b w:val="0"/>
          <w:sz w:val="24"/>
        </w:rPr>
        <w:t>4.1  活动数据的不确定度</w:t>
      </w:r>
    </w:p>
    <w:p w14:paraId="2BBC047C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uᵣ(A食堂天然气) = </m:t>
          </m:r>
          <m:rad>
            <m:radPr>
              <m:degHide m:val="1"/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radPr>
            <m:deg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deg>
            <m:e>
              <m:r>
                <m:rPr>
                  <m:sty m:val="p"/>
                </m:r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  <m:t xml:space="preserve">[(1.50%)² + (0.20%)²] </m:t>
              </m:r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e>
          </m:rad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= 1.51%</m:t>
          </m:r>
        </m:oMath>
      </m:oMathPara>
    </w:p>
    <w:p w14:paraId="60C5DE13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uᵣ(A柴油) = </m:t>
          </m:r>
          <m:rad>
            <m:radPr>
              <m:degHide m:val="1"/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radPr>
            <m:deg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deg>
            <m:e>
              <m:r>
                <m:rPr>
                  <m:sty m:val="p"/>
                </m:r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  <m:t>[(0.50%)² + (0.90%)²]</m:t>
              </m:r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e>
          </m:rad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 = 1.03%</m:t>
          </m:r>
        </m:oMath>
      </m:oMathPara>
    </w:p>
    <w:p w14:paraId="0333A637">
      <w:pPr>
        <w:keepNext/>
        <w:spacing w:before="80" w:after="60"/>
        <w:ind w:firstLine="0"/>
        <w:jc w:val="center"/>
      </w:pPr>
      <w:r>
        <w:rPr>
          <w:rFonts w:ascii="Times New Roman" w:hAnsi="Times New Roman" w:eastAsia="宋体" w:cs="Times New Roman"/>
          <w:sz w:val="22"/>
        </w:rPr>
        <w:t>表1  碳排放活动数据及不确定度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2634"/>
        <w:gridCol w:w="2487"/>
        <w:gridCol w:w="4070"/>
      </w:tblGrid>
      <w:tr w14:paraId="79ED0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6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BF1242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序号</w:t>
            </w:r>
          </w:p>
        </w:tc>
        <w:tc>
          <w:tcPr>
            <w:tcW w:w="132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5FE51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碳源流</w:t>
            </w:r>
          </w:p>
        </w:tc>
        <w:tc>
          <w:tcPr>
            <w:tcW w:w="125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2F2BBF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活动数据</w:t>
            </w:r>
          </w:p>
        </w:tc>
        <w:tc>
          <w:tcPr>
            <w:tcW w:w="205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5790DE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相对标准不确定度</w:t>
            </w:r>
          </w:p>
        </w:tc>
      </w:tr>
      <w:tr w14:paraId="72BE8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0A97F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</w:t>
            </w:r>
          </w:p>
        </w:tc>
        <w:tc>
          <w:tcPr>
            <w:tcW w:w="132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17883BE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生产用电</w:t>
            </w:r>
          </w:p>
        </w:tc>
        <w:tc>
          <w:tcPr>
            <w:tcW w:w="125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570072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238460 kWh</w:t>
            </w:r>
          </w:p>
        </w:tc>
        <w:tc>
          <w:tcPr>
            <w:tcW w:w="205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C25EF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0.50%</w:t>
            </w:r>
          </w:p>
        </w:tc>
      </w:tr>
      <w:tr w14:paraId="2DA1D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B36771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2</w:t>
            </w:r>
          </w:p>
        </w:tc>
        <w:tc>
          <w:tcPr>
            <w:tcW w:w="132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F2A413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辅助用电（分摊后）</w:t>
            </w:r>
          </w:p>
        </w:tc>
        <w:tc>
          <w:tcPr>
            <w:tcW w:w="125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337231F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32100 kWh</w:t>
            </w:r>
          </w:p>
        </w:tc>
        <w:tc>
          <w:tcPr>
            <w:tcW w:w="205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F1F5843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0.50%（未计分摊模型分量）</w:t>
            </w:r>
          </w:p>
        </w:tc>
      </w:tr>
      <w:tr w14:paraId="13CCE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7C451F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3</w:t>
            </w:r>
          </w:p>
        </w:tc>
        <w:tc>
          <w:tcPr>
            <w:tcW w:w="132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CAD0958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食堂天然气</w:t>
            </w:r>
          </w:p>
        </w:tc>
        <w:tc>
          <w:tcPr>
            <w:tcW w:w="125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8D58F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1380 m³</w:t>
            </w:r>
          </w:p>
        </w:tc>
        <w:tc>
          <w:tcPr>
            <w:tcW w:w="205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F479E3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1.51%</w:t>
            </w:r>
          </w:p>
        </w:tc>
      </w:tr>
      <w:tr w14:paraId="36681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A496BD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132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8CBED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柴油</w:t>
            </w:r>
          </w:p>
        </w:tc>
        <w:tc>
          <w:tcPr>
            <w:tcW w:w="125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B70E72E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2380 L</w:t>
            </w:r>
          </w:p>
        </w:tc>
        <w:tc>
          <w:tcPr>
            <w:tcW w:w="205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C357767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1.03%</w:t>
            </w:r>
          </w:p>
        </w:tc>
      </w:tr>
      <w:tr w14:paraId="60CA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BEFF2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5</w:t>
            </w:r>
          </w:p>
        </w:tc>
        <w:tc>
          <w:tcPr>
            <w:tcW w:w="1327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05235C8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CO₂保护气</w:t>
            </w:r>
          </w:p>
        </w:tc>
        <w:tc>
          <w:tcPr>
            <w:tcW w:w="125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FE9A28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1260 kg</w:t>
            </w:r>
          </w:p>
        </w:tc>
        <w:tc>
          <w:tcPr>
            <w:tcW w:w="205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BC1D2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0.20%</w:t>
            </w:r>
          </w:p>
        </w:tc>
      </w:tr>
    </w:tbl>
    <w:p w14:paraId="0BB76374">
      <w:pPr>
        <w:keepNext/>
        <w:pageBreakBefore w:val="0"/>
        <w:widowControl/>
        <w:spacing w:before="60" w:after="0" w:line="360" w:lineRule="auto"/>
        <w:ind w:left="0" w:right="0" w:firstLine="0"/>
        <w:jc w:val="left"/>
      </w:pPr>
      <w:r>
        <w:rPr>
          <w:rFonts w:ascii="Times New Roman" w:hAnsi="Times New Roman" w:eastAsia="黑体" w:cs="Times New Roman"/>
          <w:b w:val="0"/>
          <w:sz w:val="24"/>
        </w:rPr>
        <w:t>4.2  排放因子的不确定度</w:t>
      </w:r>
    </w:p>
    <w:p w14:paraId="19EA2B1E">
      <w:pPr>
        <w:keepNext/>
        <w:spacing w:before="80" w:after="60"/>
        <w:ind w:firstLine="0"/>
        <w:jc w:val="center"/>
      </w:pPr>
      <w:r>
        <w:rPr>
          <w:rFonts w:ascii="Times New Roman" w:hAnsi="Times New Roman" w:eastAsia="宋体" w:cs="Times New Roman"/>
          <w:sz w:val="22"/>
        </w:rPr>
        <w:t>表2  碳排放因子和计算系数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75"/>
        <w:gridCol w:w="1537"/>
        <w:gridCol w:w="2781"/>
        <w:gridCol w:w="2898"/>
      </w:tblGrid>
      <w:tr w14:paraId="75C5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6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4525E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序号</w:t>
            </w:r>
          </w:p>
        </w:tc>
        <w:tc>
          <w:tcPr>
            <w:tcW w:w="99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BF66E0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碳源流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EE251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碳氧化率</w:t>
            </w:r>
          </w:p>
        </w:tc>
        <w:tc>
          <w:tcPr>
            <w:tcW w:w="1401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DDDC77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排放因子</w:t>
            </w:r>
          </w:p>
        </w:tc>
        <w:tc>
          <w:tcPr>
            <w:tcW w:w="146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D49945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相对标准不确定度</w:t>
            </w:r>
          </w:p>
        </w:tc>
      </w:tr>
      <w:tr w14:paraId="2E3EE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A6346A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</w:t>
            </w:r>
          </w:p>
        </w:tc>
        <w:tc>
          <w:tcPr>
            <w:tcW w:w="99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2DA7E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外购电力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69EDA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/</w:t>
            </w:r>
          </w:p>
        </w:tc>
        <w:tc>
          <w:tcPr>
            <w:tcW w:w="1401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35E2E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0.5366 kgCO₂e/kWh</w:t>
            </w:r>
          </w:p>
        </w:tc>
        <w:tc>
          <w:tcPr>
            <w:tcW w:w="146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664EE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固定参数</w:t>
            </w:r>
          </w:p>
        </w:tc>
      </w:tr>
      <w:tr w14:paraId="44394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4C8A8B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2</w:t>
            </w:r>
          </w:p>
        </w:tc>
        <w:tc>
          <w:tcPr>
            <w:tcW w:w="99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62EBD0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食堂天然气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13122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99%</w:t>
            </w:r>
          </w:p>
        </w:tc>
        <w:tc>
          <w:tcPr>
            <w:tcW w:w="1401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7FD4899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56.1 tCO₂e/TJ</w:t>
            </w:r>
          </w:p>
        </w:tc>
        <w:tc>
          <w:tcPr>
            <w:tcW w:w="146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D6A9ED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0.28%</w:t>
            </w:r>
          </w:p>
        </w:tc>
      </w:tr>
      <w:tr w14:paraId="31516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D5FBED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3</w:t>
            </w:r>
          </w:p>
        </w:tc>
        <w:tc>
          <w:tcPr>
            <w:tcW w:w="99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BDC9F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柴油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D01D7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98%</w:t>
            </w:r>
          </w:p>
        </w:tc>
        <w:tc>
          <w:tcPr>
            <w:tcW w:w="1401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161BF1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74.1 tCO₂e/TJ</w:t>
            </w:r>
          </w:p>
        </w:tc>
        <w:tc>
          <w:tcPr>
            <w:tcW w:w="146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C2C73A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1.50%</w:t>
            </w:r>
          </w:p>
        </w:tc>
      </w:tr>
      <w:tr w14:paraId="190B9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186BD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4</w:t>
            </w:r>
          </w:p>
        </w:tc>
        <w:tc>
          <w:tcPr>
            <w:tcW w:w="99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FBB896B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CO₂保护气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E4B481A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/</w:t>
            </w:r>
          </w:p>
        </w:tc>
        <w:tc>
          <w:tcPr>
            <w:tcW w:w="1401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65BDB0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 kgCO₂e/kg</w:t>
            </w:r>
          </w:p>
        </w:tc>
        <w:tc>
          <w:tcPr>
            <w:tcW w:w="146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25E560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忽略</w:t>
            </w:r>
          </w:p>
        </w:tc>
      </w:tr>
    </w:tbl>
    <w:p w14:paraId="222AD8F3">
      <w:pPr>
        <w:keepNext/>
        <w:pageBreakBefore w:val="0"/>
        <w:widowControl/>
        <w:spacing w:before="60" w:after="0" w:line="360" w:lineRule="auto"/>
        <w:ind w:left="0" w:right="0" w:firstLine="0"/>
        <w:jc w:val="left"/>
      </w:pPr>
      <w:r>
        <w:rPr>
          <w:rFonts w:ascii="Times New Roman" w:hAnsi="Times New Roman" w:eastAsia="黑体" w:cs="Times New Roman"/>
          <w:b w:val="0"/>
          <w:sz w:val="24"/>
        </w:rPr>
        <w:t>4.3  排放量的不确定度</w:t>
      </w:r>
    </w:p>
    <w:p w14:paraId="43E59D20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uᵣ(E食堂天然气) = </m:t>
          </m:r>
          <m:rad>
            <m:radPr>
              <m:degHide m:val="1"/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radPr>
            <m:deg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deg>
            <m:e>
              <m:r>
                <m:rPr>
                  <m:sty m:val="p"/>
                </m:r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  <m:t>[(1.51%)² + (0.28%)²]</m:t>
              </m:r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e>
          </m:rad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 = 1.54%</m:t>
          </m:r>
        </m:oMath>
      </m:oMathPara>
    </w:p>
    <w:p w14:paraId="0F26FC08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uᵣ(E柴油) = </m:t>
          </m:r>
          <m:rad>
            <m:radPr>
              <m:degHide m:val="1"/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radPr>
            <m:deg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deg>
            <m:e>
              <m:r>
                <m:rPr>
                  <m:sty m:val="p"/>
                </m:r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  <m:t>[(1.03%)² + (1.50%)²]</m:t>
              </m:r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e>
          </m:rad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 = 1.82%</m:t>
          </m:r>
        </m:oMath>
      </m:oMathPara>
    </w:p>
    <w:p w14:paraId="2A64FD16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u(E批次) = </m:t>
          </m:r>
          <m:rad>
            <m:radPr>
              <m:degHide m:val="1"/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radPr>
            <m:deg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deg>
            <m:e>
              <m:r>
                <m:rPr>
                  <m:sty m:val="p"/>
                </m:r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  <m:t>[(145.18×0.50%)² + (2.98×1.54%)² + (6.19×1.82%)² + (1.26×0.20%)²]</m:t>
              </m:r>
              <m:ctrlPr>
                <w:rPr>
                  <w:rFonts w:ascii="Cambria Math" w:hAnsi="Cambria Math" w:eastAsia="Cambria Math" w:cs="Times New Roman"/>
                  <w:kern w:val="2"/>
                  <w:sz w:val="22"/>
                  <w:szCs w:val="22"/>
                  <w:lang w:val="en-US" w:bidi="ar-SA"/>
                </w:rPr>
              </m:ctrlPr>
            </m:e>
          </m:rad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 xml:space="preserve"> = 0.736 tCO₂e</m:t>
          </m:r>
        </m:oMath>
      </m:oMathPara>
    </w:p>
    <w:p w14:paraId="6C0B204E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uᵣ(E批次) = 0.736/155.62×100% = 0.47%</m:t>
          </m:r>
        </m:oMath>
      </m:oMathPara>
    </w:p>
    <w:p w14:paraId="2DE89843">
      <w:pPr>
        <w:spacing w:before="80" w:after="80" w:line="240" w:lineRule="auto"/>
        <w:ind w:firstLine="0"/>
        <w:jc w:val="center"/>
      </w:pPr>
      <m:oMathPara>
        <m:oMath>
          <m:r>
            <m:rPr>
              <m:sty m:val="p"/>
            </m:rPr>
            <w:rPr>
              <w:rFonts w:ascii="Cambria Math" w:hAnsi="Cambria Math" w:eastAsia="Cambria Math" w:cs="Times New Roman"/>
              <w:kern w:val="2"/>
              <w:sz w:val="22"/>
              <w:szCs w:val="22"/>
              <w:lang w:val="en-US" w:bidi="ar-SA"/>
            </w:rPr>
            <m:t>Uᵣₑₗ = 2×0.47% = 0.95%  (k=2)</m:t>
          </m:r>
        </m:oMath>
      </m:oMathPara>
    </w:p>
    <w:p w14:paraId="2CE1ACFF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hint="eastAsia" w:ascii="Times New Roman" w:hAnsi="Times New Roman" w:eastAsia="宋体" w:cs="Times New Roman"/>
          <w:sz w:val="24"/>
        </w:rPr>
        <w:t>合成标准不确定度为0.736 tCO</w:t>
      </w:r>
      <w:r>
        <w:rPr>
          <w:rFonts w:hint="eastAsia" w:ascii="Times New Roman" w:hAnsi="Times New Roman" w:eastAsia="宋体" w:cs="Times New Roman"/>
          <w:sz w:val="24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4"/>
        </w:rPr>
        <w:t>e，相对标准不确定度为0.47%，相对扩展不确定度为0.95%（k=2）</w:t>
      </w:r>
      <w:r>
        <w:rPr>
          <w:rFonts w:ascii="Times New Roman" w:hAnsi="Times New Roman" w:eastAsia="宋体" w:cs="Times New Roman"/>
          <w:sz w:val="24"/>
        </w:rPr>
        <w:t>。</w:t>
      </w:r>
    </w:p>
    <w:p w14:paraId="71835F34">
      <w:pPr>
        <w:keepNext/>
        <w:pageBreakBefore w:val="0"/>
        <w:widowControl/>
        <w:spacing w:before="120" w:after="0" w:line="360" w:lineRule="auto"/>
        <w:ind w:left="0" w:right="0" w:firstLine="0"/>
        <w:jc w:val="left"/>
      </w:pPr>
      <w:r>
        <w:rPr>
          <w:rFonts w:ascii="Times New Roman" w:hAnsi="Times New Roman" w:eastAsia="黑体" w:cs="Times New Roman"/>
          <w:b w:val="0"/>
          <w:sz w:val="24"/>
        </w:rPr>
        <w:t>5  碳排放量计算</w:t>
      </w:r>
    </w:p>
    <w:p w14:paraId="3919BA6B">
      <w:pPr>
        <w:keepNext/>
        <w:spacing w:before="80" w:after="60"/>
        <w:ind w:firstLine="0"/>
        <w:jc w:val="center"/>
      </w:pPr>
      <w:r>
        <w:rPr>
          <w:rFonts w:ascii="Times New Roman" w:hAnsi="Times New Roman" w:eastAsia="宋体" w:cs="Times New Roman"/>
          <w:sz w:val="22"/>
        </w:rPr>
        <w:t>表3  模块房生产阶段碳排放计算结果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537"/>
        <w:gridCol w:w="877"/>
        <w:gridCol w:w="1537"/>
        <w:gridCol w:w="1098"/>
        <w:gridCol w:w="2898"/>
      </w:tblGrid>
      <w:tr w14:paraId="1A983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9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E0C65A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排放活动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D9C6460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源流类型</w:t>
            </w:r>
          </w:p>
        </w:tc>
        <w:tc>
          <w:tcPr>
            <w:tcW w:w="44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354FD8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编码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E7563BB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碳排放量/tCO₂e</w:t>
            </w:r>
          </w:p>
        </w:tc>
        <w:tc>
          <w:tcPr>
            <w:tcW w:w="55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88584C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排放量占比</w:t>
            </w:r>
          </w:p>
        </w:tc>
        <w:tc>
          <w:tcPr>
            <w:tcW w:w="146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15756AA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不确定度/备注</w:t>
            </w:r>
          </w:p>
        </w:tc>
      </w:tr>
      <w:tr w14:paraId="59EC1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49B60C8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化石能源消耗排放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9915A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食堂天然气</w:t>
            </w:r>
          </w:p>
        </w:tc>
        <w:tc>
          <w:tcPr>
            <w:tcW w:w="44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1F3FFAE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D01.1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7AB6C9E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2.98</w:t>
            </w:r>
          </w:p>
        </w:tc>
        <w:tc>
          <w:tcPr>
            <w:tcW w:w="55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885223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1.92%</w:t>
            </w:r>
          </w:p>
        </w:tc>
        <w:tc>
          <w:tcPr>
            <w:tcW w:w="146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BE2E10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1.54%</w:t>
            </w:r>
          </w:p>
        </w:tc>
      </w:tr>
      <w:tr w14:paraId="5185E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BF0B2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化石能源消耗排放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628AE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柴油</w:t>
            </w:r>
          </w:p>
        </w:tc>
        <w:tc>
          <w:tcPr>
            <w:tcW w:w="44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F031A99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D01.2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E3AF7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6.19</w:t>
            </w:r>
          </w:p>
        </w:tc>
        <w:tc>
          <w:tcPr>
            <w:tcW w:w="55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DE2B2F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3.98%</w:t>
            </w:r>
          </w:p>
        </w:tc>
        <w:tc>
          <w:tcPr>
            <w:tcW w:w="146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409DCE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1.82%</w:t>
            </w:r>
          </w:p>
        </w:tc>
      </w:tr>
      <w:tr w14:paraId="13913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7324B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非能源介质过程排放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1035E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CO₂保护气</w:t>
            </w:r>
          </w:p>
        </w:tc>
        <w:tc>
          <w:tcPr>
            <w:tcW w:w="44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B50072E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D02.1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5C43B8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1.26</w:t>
            </w:r>
          </w:p>
        </w:tc>
        <w:tc>
          <w:tcPr>
            <w:tcW w:w="55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E1C1DF0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0.81%</w:t>
            </w:r>
          </w:p>
        </w:tc>
        <w:tc>
          <w:tcPr>
            <w:tcW w:w="146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D6151D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0.20%</w:t>
            </w:r>
          </w:p>
        </w:tc>
      </w:tr>
      <w:tr w14:paraId="0F1AA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0417CA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净购入能源排放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17F6C67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净购入电力</w:t>
            </w:r>
          </w:p>
        </w:tc>
        <w:tc>
          <w:tcPr>
            <w:tcW w:w="44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47669E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I11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231B79F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145.18</w:t>
            </w:r>
          </w:p>
        </w:tc>
        <w:tc>
          <w:tcPr>
            <w:tcW w:w="55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A1628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93.29%</w:t>
            </w:r>
          </w:p>
        </w:tc>
        <w:tc>
          <w:tcPr>
            <w:tcW w:w="146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A0EAC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活动数据uᵣ=0.50%</w:t>
            </w:r>
          </w:p>
        </w:tc>
      </w:tr>
      <w:tr w14:paraId="5137F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5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E5FB67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批次合计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FF2D1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—</w:t>
            </w:r>
          </w:p>
        </w:tc>
        <w:tc>
          <w:tcPr>
            <w:tcW w:w="44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31BFDE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—</w:t>
            </w:r>
          </w:p>
        </w:tc>
        <w:tc>
          <w:tcPr>
            <w:tcW w:w="774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FF965F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155.62</w:t>
            </w:r>
          </w:p>
        </w:tc>
        <w:tc>
          <w:tcPr>
            <w:tcW w:w="553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CBBC63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100.00%</w:t>
            </w:r>
          </w:p>
        </w:tc>
        <w:tc>
          <w:tcPr>
            <w:tcW w:w="1460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EB5E29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Uᵣₑₗ=0.95%（k=2）</w:t>
            </w:r>
          </w:p>
        </w:tc>
      </w:tr>
    </w:tbl>
    <w:p w14:paraId="0E8698F2">
      <w:pPr>
        <w:keepNext/>
        <w:pageBreakBefore w:val="0"/>
        <w:widowControl/>
        <w:spacing w:before="120" w:after="0" w:line="360" w:lineRule="auto"/>
        <w:ind w:left="0" w:right="0" w:firstLine="0"/>
        <w:jc w:val="left"/>
      </w:pPr>
      <w:r>
        <w:rPr>
          <w:rFonts w:ascii="Times New Roman" w:hAnsi="Times New Roman" w:eastAsia="黑体" w:cs="Times New Roman"/>
          <w:b w:val="0"/>
          <w:sz w:val="24"/>
        </w:rPr>
        <w:t>6  规范条款适用性验证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4392"/>
        <w:gridCol w:w="1243"/>
        <w:gridCol w:w="2387"/>
      </w:tblGrid>
      <w:tr w14:paraId="7A005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blHeader/>
          <w:jc w:val="center"/>
        </w:trPr>
        <w:tc>
          <w:tcPr>
            <w:tcW w:w="95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83E2E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验证内容</w:t>
            </w:r>
          </w:p>
        </w:tc>
        <w:tc>
          <w:tcPr>
            <w:tcW w:w="221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A141D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实验证据</w:t>
            </w:r>
          </w:p>
        </w:tc>
        <w:tc>
          <w:tcPr>
            <w:tcW w:w="626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FE4D30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验证结果</w:t>
            </w:r>
          </w:p>
        </w:tc>
        <w:tc>
          <w:tcPr>
            <w:tcW w:w="120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7FA12CD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说明</w:t>
            </w:r>
          </w:p>
        </w:tc>
      </w:tr>
      <w:tr w14:paraId="5CC19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6006B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计量对象和功能单位</w:t>
            </w:r>
          </w:p>
        </w:tc>
        <w:tc>
          <w:tcPr>
            <w:tcW w:w="221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85D96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120个同类型标准模块，同时记录建筑面积</w:t>
            </w:r>
          </w:p>
        </w:tc>
        <w:tc>
          <w:tcPr>
            <w:tcW w:w="626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491E7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可执行</w:t>
            </w:r>
          </w:p>
        </w:tc>
        <w:tc>
          <w:tcPr>
            <w:tcW w:w="120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EF0F97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可同时给出kgCO₂e/模块和kgCO₂e/m²</w:t>
            </w:r>
          </w:p>
        </w:tc>
      </w:tr>
      <w:tr w14:paraId="05318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0149658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时间和空间边界</w:t>
            </w:r>
          </w:p>
        </w:tc>
        <w:tc>
          <w:tcPr>
            <w:tcW w:w="221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FD5A67">
            <w:pPr>
              <w:spacing w:before="20" w:after="20" w:line="240" w:lineRule="auto"/>
              <w:ind w:firstLine="0"/>
              <w:jc w:val="center"/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月度批次生产周期；</w:t>
            </w:r>
          </w:p>
          <w:p w14:paraId="3459396B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工厂红线内直接与间接服务区域</w:t>
            </w:r>
          </w:p>
        </w:tc>
        <w:tc>
          <w:tcPr>
            <w:tcW w:w="626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7E0F73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可执行</w:t>
            </w:r>
          </w:p>
        </w:tc>
        <w:tc>
          <w:tcPr>
            <w:tcW w:w="120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2BB75D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边界能够与订单、模块编号关联</w:t>
            </w:r>
          </w:p>
        </w:tc>
      </w:tr>
      <w:tr w14:paraId="5D5BA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1C19A3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碳源流识别</w:t>
            </w:r>
          </w:p>
        </w:tc>
        <w:tc>
          <w:tcPr>
            <w:tcW w:w="221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8171A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柴油、CO₂保护气、生产与辅助用电、食堂天然气</w:t>
            </w:r>
          </w:p>
        </w:tc>
        <w:tc>
          <w:tcPr>
            <w:tcW w:w="626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D0F81C0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可执行</w:t>
            </w:r>
          </w:p>
        </w:tc>
        <w:tc>
          <w:tcPr>
            <w:tcW w:w="120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6E89BD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生产工艺不使用天然气，但食堂燃气按约定计入辅助用能</w:t>
            </w:r>
          </w:p>
        </w:tc>
      </w:tr>
      <w:tr w14:paraId="330CC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0818D3B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计量器具配备与溯源</w:t>
            </w:r>
          </w:p>
        </w:tc>
        <w:tc>
          <w:tcPr>
            <w:tcW w:w="221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5FA854A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电能表、加油机、电子平台秤及证书；食堂燃气表用于边界核查</w:t>
            </w:r>
          </w:p>
        </w:tc>
        <w:tc>
          <w:tcPr>
            <w:tcW w:w="626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411761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可执行</w:t>
            </w:r>
          </w:p>
        </w:tc>
        <w:tc>
          <w:tcPr>
            <w:tcW w:w="120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98C9F1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实际应替换为真实有效检定/校准证书</w:t>
            </w:r>
          </w:p>
        </w:tc>
      </w:tr>
      <w:tr w14:paraId="598DD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208A70B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数据编码和可追溯性</w:t>
            </w:r>
          </w:p>
        </w:tc>
        <w:tc>
          <w:tcPr>
            <w:tcW w:w="221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055F31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按附录C逻辑为5类活动数据赋唯一编号</w:t>
            </w:r>
          </w:p>
        </w:tc>
        <w:tc>
          <w:tcPr>
            <w:tcW w:w="626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BB985E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可执行</w:t>
            </w:r>
          </w:p>
        </w:tc>
        <w:tc>
          <w:tcPr>
            <w:tcW w:w="120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373228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编码可关联计量点、批次和原始记录</w:t>
            </w:r>
          </w:p>
        </w:tc>
      </w:tr>
      <w:tr w14:paraId="0DD5A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42246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数据分摊</w:t>
            </w:r>
          </w:p>
        </w:tc>
        <w:tc>
          <w:tcPr>
            <w:tcW w:w="221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D9CF62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辅助用电按同期产出建筑面积占75%</w:t>
            </w:r>
          </w:p>
        </w:tc>
        <w:tc>
          <w:tcPr>
            <w:tcW w:w="626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916EC7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可执行</w:t>
            </w:r>
          </w:p>
        </w:tc>
        <w:tc>
          <w:tcPr>
            <w:tcW w:w="120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88391C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实际应保留同期总产出和分摊计算记录</w:t>
            </w:r>
          </w:p>
        </w:tc>
      </w:tr>
      <w:tr w14:paraId="52E32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BC1C36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不确定度合成</w:t>
            </w:r>
          </w:p>
        </w:tc>
        <w:tc>
          <w:tcPr>
            <w:tcW w:w="221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7EFE1A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参照给定报告合成电量、燃气、柴油和CO₂保护气分量</w:t>
            </w:r>
          </w:p>
        </w:tc>
        <w:tc>
          <w:tcPr>
            <w:tcW w:w="626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8B199B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可执行</w:t>
            </w:r>
          </w:p>
        </w:tc>
        <w:tc>
          <w:tcPr>
            <w:tcW w:w="120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FD3AA3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全批次Uᵣₑₗ=0.95%（k=2）</w:t>
            </w:r>
          </w:p>
        </w:tc>
      </w:tr>
      <w:tr w14:paraId="3C060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8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92EC44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计量结果表达</w:t>
            </w:r>
          </w:p>
        </w:tc>
        <w:tc>
          <w:tcPr>
            <w:tcW w:w="221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0040A5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基本信息、源流、数据来源、排放量、不确定度和声明均已列明</w:t>
            </w:r>
          </w:p>
        </w:tc>
        <w:tc>
          <w:tcPr>
            <w:tcW w:w="626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93A5EF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可执行</w:t>
            </w:r>
          </w:p>
        </w:tc>
        <w:tc>
          <w:tcPr>
            <w:tcW w:w="1202" w:type="pct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047CAA">
            <w:pPr>
              <w:spacing w:before="20" w:after="20" w:line="240" w:lineRule="auto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sz w:val="21"/>
                <w:szCs w:val="21"/>
              </w:rPr>
              <w:t>结构与附录D报告要素一致</w:t>
            </w:r>
          </w:p>
        </w:tc>
      </w:tr>
    </w:tbl>
    <w:p w14:paraId="09BD915B">
      <w:pPr>
        <w:keepNext w:val="0"/>
        <w:widowControl/>
        <w:spacing w:before="0" w:after="0" w:line="360" w:lineRule="auto"/>
        <w:ind w:left="0" w:right="0" w:firstLine="480"/>
        <w:jc w:val="both"/>
      </w:pPr>
      <w:r>
        <w:rPr>
          <w:rFonts w:hint="eastAsia" w:ascii="Times New Roman" w:hAnsi="Times New Roman" w:eastAsia="宋体" w:cs="Times New Roman"/>
          <w:sz w:val="24"/>
          <w:lang w:val="en-US" w:eastAsia="zh-CN"/>
        </w:rPr>
        <w:t>实验</w:t>
      </w:r>
      <w:r>
        <w:rPr>
          <w:rFonts w:ascii="Times New Roman" w:hAnsi="Times New Roman" w:eastAsia="宋体" w:cs="Times New Roman"/>
          <w:sz w:val="24"/>
        </w:rPr>
        <w:t>验证表明，征求意见稿中关于计量对象、边界、源流识别、计量器具、数据编码、分摊、不确定度和报告的技术路线可在单一模块房工厂场景下贯通。</w:t>
      </w:r>
    </w:p>
    <w:sectPr>
      <w:pgSz w:w="11906" w:h="16838"/>
      <w:pgMar w:top="1440" w:right="1080" w:bottom="1440" w:left="108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NTVlZjYyM2M2YzQ2N2U2ODFkNmExMDA1M2E1ZTMifQ=="/>
  </w:docVars>
  <w:rsids>
    <w:rsidRoot w:val="00172A27"/>
    <w:rsid w:val="000A139C"/>
    <w:rsid w:val="00127D04"/>
    <w:rsid w:val="00130048"/>
    <w:rsid w:val="00172A27"/>
    <w:rsid w:val="001931D5"/>
    <w:rsid w:val="001D26F4"/>
    <w:rsid w:val="00211BB1"/>
    <w:rsid w:val="00234A9B"/>
    <w:rsid w:val="00294291"/>
    <w:rsid w:val="002A4ECB"/>
    <w:rsid w:val="002A6EFC"/>
    <w:rsid w:val="003015C4"/>
    <w:rsid w:val="00393506"/>
    <w:rsid w:val="003F45AF"/>
    <w:rsid w:val="004069A4"/>
    <w:rsid w:val="0042250E"/>
    <w:rsid w:val="00434790"/>
    <w:rsid w:val="00505847"/>
    <w:rsid w:val="00521A29"/>
    <w:rsid w:val="00544A3D"/>
    <w:rsid w:val="00556B60"/>
    <w:rsid w:val="005B3327"/>
    <w:rsid w:val="00666232"/>
    <w:rsid w:val="00674F8F"/>
    <w:rsid w:val="006A41B7"/>
    <w:rsid w:val="006B26AE"/>
    <w:rsid w:val="006C1CDF"/>
    <w:rsid w:val="006D2EDB"/>
    <w:rsid w:val="00706CDA"/>
    <w:rsid w:val="007363C5"/>
    <w:rsid w:val="00762E95"/>
    <w:rsid w:val="00767748"/>
    <w:rsid w:val="00782CAB"/>
    <w:rsid w:val="007C4329"/>
    <w:rsid w:val="007E3705"/>
    <w:rsid w:val="007F783E"/>
    <w:rsid w:val="00884899"/>
    <w:rsid w:val="008A6A4B"/>
    <w:rsid w:val="008C6506"/>
    <w:rsid w:val="008E52CA"/>
    <w:rsid w:val="00956556"/>
    <w:rsid w:val="00986DC6"/>
    <w:rsid w:val="009F7488"/>
    <w:rsid w:val="00A37ECF"/>
    <w:rsid w:val="00A704B9"/>
    <w:rsid w:val="00A86B80"/>
    <w:rsid w:val="00AC20E0"/>
    <w:rsid w:val="00B3574C"/>
    <w:rsid w:val="00B665F5"/>
    <w:rsid w:val="00C1217B"/>
    <w:rsid w:val="00C22FA7"/>
    <w:rsid w:val="00C2320F"/>
    <w:rsid w:val="00C92C77"/>
    <w:rsid w:val="00CD621C"/>
    <w:rsid w:val="00CE1066"/>
    <w:rsid w:val="00D352A3"/>
    <w:rsid w:val="00D51DDC"/>
    <w:rsid w:val="00DC41EB"/>
    <w:rsid w:val="00DC5119"/>
    <w:rsid w:val="00E109A4"/>
    <w:rsid w:val="00E30A3C"/>
    <w:rsid w:val="00E77516"/>
    <w:rsid w:val="00EA3E49"/>
    <w:rsid w:val="00F156EC"/>
    <w:rsid w:val="00F4090C"/>
    <w:rsid w:val="00F856F6"/>
    <w:rsid w:val="00FF7126"/>
    <w:rsid w:val="052F7655"/>
    <w:rsid w:val="06E8731C"/>
    <w:rsid w:val="0BCA532B"/>
    <w:rsid w:val="0F0E3698"/>
    <w:rsid w:val="114F61E9"/>
    <w:rsid w:val="12905890"/>
    <w:rsid w:val="142C7D42"/>
    <w:rsid w:val="171F2BC5"/>
    <w:rsid w:val="181D0D44"/>
    <w:rsid w:val="1E860997"/>
    <w:rsid w:val="1FD6257D"/>
    <w:rsid w:val="22132A5C"/>
    <w:rsid w:val="260A2F54"/>
    <w:rsid w:val="28033B5E"/>
    <w:rsid w:val="2C41009A"/>
    <w:rsid w:val="2CA93BF2"/>
    <w:rsid w:val="2DAD00C8"/>
    <w:rsid w:val="2DD9710F"/>
    <w:rsid w:val="2F13270B"/>
    <w:rsid w:val="350F5CB3"/>
    <w:rsid w:val="39AB195F"/>
    <w:rsid w:val="3B4F56D9"/>
    <w:rsid w:val="40493C80"/>
    <w:rsid w:val="41E40104"/>
    <w:rsid w:val="42BE60D9"/>
    <w:rsid w:val="436463EB"/>
    <w:rsid w:val="439711A6"/>
    <w:rsid w:val="44110F59"/>
    <w:rsid w:val="44D14AA2"/>
    <w:rsid w:val="45BC4EF4"/>
    <w:rsid w:val="46192D48"/>
    <w:rsid w:val="47D92D40"/>
    <w:rsid w:val="49DC6C74"/>
    <w:rsid w:val="4C392DFB"/>
    <w:rsid w:val="4CB06F8F"/>
    <w:rsid w:val="4CBC654B"/>
    <w:rsid w:val="4DA22C22"/>
    <w:rsid w:val="4E6617EA"/>
    <w:rsid w:val="4F763E23"/>
    <w:rsid w:val="507E7976"/>
    <w:rsid w:val="50805956"/>
    <w:rsid w:val="52734762"/>
    <w:rsid w:val="53206AC2"/>
    <w:rsid w:val="53602FAA"/>
    <w:rsid w:val="54A57C24"/>
    <w:rsid w:val="5550356A"/>
    <w:rsid w:val="563C1E65"/>
    <w:rsid w:val="568A2F1A"/>
    <w:rsid w:val="580F0D25"/>
    <w:rsid w:val="59633BAD"/>
    <w:rsid w:val="5B743E4F"/>
    <w:rsid w:val="5CB07109"/>
    <w:rsid w:val="5D222D53"/>
    <w:rsid w:val="5E365818"/>
    <w:rsid w:val="5E930A90"/>
    <w:rsid w:val="5FD41D01"/>
    <w:rsid w:val="5FFE788C"/>
    <w:rsid w:val="60244033"/>
    <w:rsid w:val="617D1584"/>
    <w:rsid w:val="62092E18"/>
    <w:rsid w:val="632F50B2"/>
    <w:rsid w:val="64637848"/>
    <w:rsid w:val="64AD03D2"/>
    <w:rsid w:val="67C926F6"/>
    <w:rsid w:val="69401815"/>
    <w:rsid w:val="6A736EC5"/>
    <w:rsid w:val="6BD44496"/>
    <w:rsid w:val="6EE06A17"/>
    <w:rsid w:val="6F4D2217"/>
    <w:rsid w:val="75842A89"/>
    <w:rsid w:val="76410E72"/>
    <w:rsid w:val="798619ED"/>
    <w:rsid w:val="79B24069"/>
    <w:rsid w:val="7A41363F"/>
    <w:rsid w:val="7B5F5B2A"/>
    <w:rsid w:val="7B6D1C4B"/>
    <w:rsid w:val="7E1C0BFE"/>
    <w:rsid w:val="7E56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styleId="11">
    <w:name w:val="Placeholder Text"/>
    <w:basedOn w:val="7"/>
    <w:unhideWhenUsed/>
    <w:qFormat/>
    <w:uiPriority w:val="99"/>
    <w:rPr>
      <w:color w:val="808080"/>
    </w:rPr>
  </w:style>
  <w:style w:type="paragraph" w:customStyle="1" w:styleId="12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table" w:customStyle="1" w:styleId="13">
    <w:name w:val="网格型1"/>
    <w:basedOn w:val="5"/>
    <w:qFormat/>
    <w:uiPriority w:val="0"/>
    <w:rPr>
      <w:rFonts w:ascii="Calibri" w:hAnsi="Calibri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14">
    <w:name w:val="MTDisplayEquation"/>
    <w:basedOn w:val="1"/>
    <w:next w:val="1"/>
    <w:link w:val="15"/>
    <w:qFormat/>
    <w:uiPriority w:val="0"/>
    <w:pPr>
      <w:tabs>
        <w:tab w:val="center" w:pos="4160"/>
        <w:tab w:val="right" w:pos="8300"/>
      </w:tabs>
      <w:spacing w:line="360" w:lineRule="auto"/>
      <w:ind w:firstLine="480" w:firstLineChars="200"/>
    </w:pPr>
    <w:rPr>
      <w:rFonts w:ascii="Times New Roman" w:hAnsi="Times New Roman" w:eastAsia="宋体" w:cs="Times New Roman"/>
      <w:sz w:val="24"/>
      <w:szCs w:val="28"/>
    </w:rPr>
  </w:style>
  <w:style w:type="character" w:customStyle="1" w:styleId="15">
    <w:name w:val="MTDisplayEquation 字符"/>
    <w:basedOn w:val="7"/>
    <w:link w:val="14"/>
    <w:qFormat/>
    <w:uiPriority w:val="0"/>
    <w:rPr>
      <w:kern w:val="2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354</Words>
  <Characters>479</Characters>
  <Lines>472</Lines>
  <Paragraphs>514</Paragraphs>
  <TotalTime>3</TotalTime>
  <ScaleCrop>false</ScaleCrop>
  <LinksUpToDate>false</LinksUpToDate>
  <CharactersWithSpaces>494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2023-09-18T01:26:00Z</dcterms:created>
  <dc:creator>规范编制组</dc:creator>
  <cp:lastModifiedBy>吴亚琦</cp:lastModifiedBy>
  <dcterms:modified xsi:type="dcterms:W3CDTF">2026-08-12T01:06:42Z</dcterms:modified>
  <dc:subject>征求意见稿方法验证；非真实检测结果</dc:subject>
  <dc:title>《精装修模块房碳排放计量技术规范》实验报告（模拟数据版）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CB6D47DA7D614FCEA44236038DEFE886_13</vt:lpwstr>
  </property>
  <property fmtid="{D5CDD505-2E9C-101B-9397-08002B2CF9AE}" pid="4" name="KSOTemplateDocerSaveRecord">
    <vt:lpwstr>eyJoZGlkIjoiNDFlNmYwZTFjMTRiNmNlMWY0YTgyNTM5MTYwOTljNTAiLCJ1c2VySWQiOiIzMjA3NDk0MDEifQ==</vt:lpwstr>
  </property>
  <property fmtid="{D5CDD505-2E9C-101B-9397-08002B2CF9AE}" pid="5" name="MTWinEqns">
    <vt:bool>true</vt:bool>
  </property>
</Properties>
</file>