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1D716">
      <w:pPr>
        <w:keepNext/>
        <w:widowControl/>
        <w:spacing w:before="0" w:after="0" w:line="600" w:lineRule="exact"/>
        <w:ind w:left="0" w:right="0" w:firstLine="0"/>
        <w:jc w:val="center"/>
      </w:pPr>
      <w:r>
        <w:rPr>
          <w:rFonts w:ascii="Times New Roman" w:hAnsi="Times New Roman" w:eastAsia="方正小标宋简体" w:cs="Times New Roman"/>
          <w:sz w:val="44"/>
        </w:rPr>
        <w:t>《精装修模块房碳排放计量技术规范》</w:t>
      </w:r>
    </w:p>
    <w:p w14:paraId="5BF03FDF">
      <w:pPr>
        <w:keepNext/>
        <w:widowControl/>
        <w:spacing w:before="0" w:after="400" w:line="600" w:lineRule="exact"/>
        <w:ind w:left="0" w:right="0" w:firstLine="0"/>
        <w:jc w:val="center"/>
      </w:pPr>
      <w:r>
        <w:rPr>
          <w:rFonts w:ascii="Times New Roman" w:hAnsi="Times New Roman" w:eastAsia="方正小标宋简体" w:cs="Times New Roman"/>
          <w:sz w:val="44"/>
        </w:rPr>
        <w:t>编制说明</w:t>
      </w:r>
    </w:p>
    <w:p w14:paraId="16258FE3">
      <w:pPr>
        <w:keepNext/>
        <w:widowControl/>
        <w:spacing w:before="200" w:after="0" w:line="560" w:lineRule="exact"/>
        <w:ind w:left="0" w:right="0" w:firstLine="624"/>
        <w:jc w:val="left"/>
      </w:pPr>
      <w:r>
        <w:rPr>
          <w:rFonts w:ascii="Times New Roman" w:hAnsi="Times New Roman" w:eastAsia="黑体" w:cs="Times New Roman"/>
          <w:sz w:val="32"/>
        </w:rPr>
        <w:t>一、制定本计量技术规范的意义</w:t>
      </w:r>
    </w:p>
    <w:p w14:paraId="3E686A7B">
      <w:pPr>
        <w:keepNext w:val="0"/>
        <w:widowControl/>
        <w:spacing w:before="0" w:after="0" w:line="560" w:lineRule="exact"/>
        <w:ind w:left="0" w:right="0" w:firstLine="624"/>
        <w:jc w:val="both"/>
      </w:pPr>
      <w:r>
        <w:rPr>
          <w:rFonts w:ascii="Times New Roman" w:hAnsi="Times New Roman" w:eastAsia="宋体" w:cs="Times New Roman"/>
          <w:sz w:val="32"/>
        </w:rPr>
        <w:t>实现碳达峰、碳中和，需要建立统一规范、准确可靠的碳排放统计核算与计量支撑体系。《计量发展规划（2021—2035年）》提出完善温室气体排放计量监测体系，加强碳排放关键计量测试技术研究和应用，为温室气体排放</w:t>
      </w:r>
      <w:r>
        <w:rPr>
          <w:rFonts w:hint="eastAsia" w:ascii="Times New Roman" w:hAnsi="Times New Roman" w:eastAsia="宋体" w:cs="Times New Roman"/>
          <w:sz w:val="32"/>
          <w:lang w:eastAsia="zh-CN"/>
        </w:rPr>
        <w:t>“</w:t>
      </w:r>
      <w:r>
        <w:rPr>
          <w:rFonts w:ascii="Times New Roman" w:hAnsi="Times New Roman" w:eastAsia="宋体" w:cs="Times New Roman"/>
          <w:sz w:val="32"/>
        </w:rPr>
        <w:t>可测量、可报告、可核查</w:t>
      </w:r>
      <w:r>
        <w:rPr>
          <w:rFonts w:hint="eastAsia" w:ascii="Times New Roman" w:hAnsi="Times New Roman" w:eastAsia="宋体" w:cs="Times New Roman"/>
          <w:sz w:val="32"/>
          <w:lang w:eastAsia="zh-CN"/>
        </w:rPr>
        <w:t>”</w:t>
      </w:r>
      <w:r>
        <w:rPr>
          <w:rFonts w:ascii="Times New Roman" w:hAnsi="Times New Roman" w:eastAsia="宋体" w:cs="Times New Roman"/>
          <w:sz w:val="32"/>
        </w:rPr>
        <w:t>提供计量支撑。《加快构建碳排放双控制度体系工作方案》和《完善碳排放统计核算体系工作方案》进一步强调提升碳排放计量、监测和数据质量能力。制定精装修模块房碳排放计量技术规范，是将国家碳排放双控要求落实到建筑工业化产品和工厂生产环节的基础性工作。</w:t>
      </w:r>
    </w:p>
    <w:p w14:paraId="4A0DCC66">
      <w:pPr>
        <w:keepNext w:val="0"/>
        <w:widowControl/>
        <w:spacing w:before="0" w:after="0" w:line="560" w:lineRule="exact"/>
        <w:ind w:left="0" w:right="0" w:firstLine="624"/>
        <w:jc w:val="both"/>
      </w:pPr>
      <w:r>
        <w:rPr>
          <w:rFonts w:ascii="Times New Roman" w:hAnsi="Times New Roman" w:eastAsia="宋体" w:cs="Times New Roman"/>
          <w:sz w:val="32"/>
        </w:rPr>
        <w:t>2024年3月12日，国务院办公厅转发国家发展改革委、住房城乡建设部制定的《加快推动建筑领域节能降碳工作方案》（国办函〔2024〕20号），明确要求加快发展装配式建筑，提高预制构件和部品部件通用性，并建立完善建筑碳排放核算标准体系。精装修模块房将主体结构、围护系统、设备管线和装饰装修高度集成于工厂内完成，具有设计标准化、制造工业化、交付快速化的特征，是建筑产业现代化的重要载体。</w:t>
      </w:r>
    </w:p>
    <w:p w14:paraId="092E1118">
      <w:pPr>
        <w:keepNext w:val="0"/>
        <w:widowControl/>
        <w:spacing w:before="0" w:after="0" w:line="560" w:lineRule="exact"/>
        <w:ind w:left="0" w:right="0" w:firstLine="624"/>
        <w:jc w:val="both"/>
      </w:pPr>
      <w:r>
        <w:rPr>
          <w:rFonts w:ascii="Times New Roman" w:hAnsi="Times New Roman" w:eastAsia="宋体" w:cs="Times New Roman"/>
          <w:sz w:val="32"/>
        </w:rPr>
        <w:t>与传统现场建造相比，模块房的能源和物料消耗集中发生在工厂生产环节，涵盖材料预处理、结构件加工、底架与箱体组装、水电系统安装、精装修集成、功能调试及厂内辅助生产等多个环节。不同企业的生产组织、产线划分、计量点布置和数据分摊方式差异较大，若缺少统一的计量对象、时间边界、空间边界、碳源流识别、数据归集和不确定度评定要求，同类产品的碳排放计量结果将难以比较、复核和溯源。</w:t>
      </w:r>
    </w:p>
    <w:p w14:paraId="4652FFC0">
      <w:pPr>
        <w:keepNext w:val="0"/>
        <w:widowControl/>
        <w:spacing w:before="0" w:after="0" w:line="560" w:lineRule="exact"/>
        <w:ind w:left="0" w:right="0" w:firstLine="624"/>
        <w:jc w:val="both"/>
      </w:pPr>
      <w:r>
        <w:rPr>
          <w:rFonts w:ascii="Times New Roman" w:hAnsi="Times New Roman" w:eastAsia="宋体" w:cs="Times New Roman"/>
          <w:sz w:val="32"/>
        </w:rPr>
        <w:t>目前，已有温室气体排放核算、建筑碳排放和能源计量器具配备等通用标准，但对精装修模块房工厂生产阶段尚缺少能够将</w:t>
      </w:r>
      <w:r>
        <w:rPr>
          <w:rFonts w:hint="eastAsia" w:ascii="Times New Roman" w:hAnsi="Times New Roman" w:eastAsia="宋体" w:cs="Times New Roman"/>
          <w:sz w:val="32"/>
          <w:lang w:eastAsia="zh-CN"/>
        </w:rPr>
        <w:t>“</w:t>
      </w:r>
      <w:r>
        <w:rPr>
          <w:rFonts w:ascii="Times New Roman" w:hAnsi="Times New Roman" w:eastAsia="宋体" w:cs="Times New Roman"/>
          <w:sz w:val="32"/>
        </w:rPr>
        <w:t>排放源—活动数据—计量器具—碳排放因子—不确定度—报告结果</w:t>
      </w:r>
      <w:r>
        <w:rPr>
          <w:rFonts w:hint="eastAsia" w:ascii="Times New Roman" w:hAnsi="Times New Roman" w:eastAsia="宋体" w:cs="Times New Roman"/>
          <w:sz w:val="32"/>
          <w:lang w:eastAsia="zh-CN"/>
        </w:rPr>
        <w:t>”</w:t>
      </w:r>
      <w:r>
        <w:rPr>
          <w:rFonts w:ascii="Times New Roman" w:hAnsi="Times New Roman" w:eastAsia="宋体" w:cs="Times New Roman"/>
          <w:sz w:val="32"/>
        </w:rPr>
        <w:t>贯通的专门计量技术要求。制定本规范，有利于统一计量口径，规范器具配备与量值溯源，提升数据完整性、准确性和可追溯性，为企业碳管理、产品碳标识、供应链减排和行业政策实施提供可靠的计量基础。</w:t>
      </w:r>
    </w:p>
    <w:p w14:paraId="3B061F36">
      <w:pPr>
        <w:keepNext/>
        <w:widowControl/>
        <w:spacing w:before="200" w:after="0" w:line="560" w:lineRule="exact"/>
        <w:ind w:left="0" w:right="0" w:firstLine="624"/>
        <w:jc w:val="left"/>
      </w:pPr>
      <w:r>
        <w:rPr>
          <w:rFonts w:ascii="Times New Roman" w:hAnsi="Times New Roman" w:eastAsia="黑体" w:cs="Times New Roman"/>
          <w:sz w:val="32"/>
        </w:rPr>
        <w:t>二、主要工作过程</w:t>
      </w:r>
    </w:p>
    <w:p w14:paraId="14C57DF9">
      <w:pPr>
        <w:keepNext w:val="0"/>
        <w:widowControl/>
        <w:spacing w:before="0" w:after="0" w:line="560" w:lineRule="exact"/>
        <w:ind w:left="0" w:right="0" w:firstLine="624"/>
        <w:jc w:val="both"/>
      </w:pPr>
      <w:r>
        <w:rPr>
          <w:rFonts w:ascii="Times New Roman" w:hAnsi="Times New Roman" w:eastAsia="宋体" w:cs="Times New Roman"/>
          <w:sz w:val="32"/>
        </w:rPr>
        <w:t>1. 项目立项：</w:t>
      </w:r>
      <w:r>
        <w:rPr>
          <w:rFonts w:hint="eastAsia" w:ascii="Times New Roman" w:hAnsi="Times New Roman" w:eastAsia="宋体" w:cs="Times New Roman"/>
          <w:sz w:val="32"/>
        </w:rPr>
        <w:t>202</w:t>
      </w:r>
      <w:r>
        <w:rPr>
          <w:rFonts w:hint="eastAsia" w:ascii="Times New Roman" w:hAnsi="Times New Roman" w:eastAsia="宋体" w:cs="Times New Roman"/>
          <w:sz w:val="32"/>
          <w:lang w:val="en-US" w:eastAsia="zh-CN"/>
        </w:rPr>
        <w:t>5</w:t>
      </w:r>
      <w:r>
        <w:rPr>
          <w:rFonts w:hint="eastAsia" w:ascii="Times New Roman" w:hAnsi="Times New Roman" w:eastAsia="宋体" w:cs="Times New Roman"/>
          <w:sz w:val="32"/>
        </w:rPr>
        <w:t>年5月，全国碳达峰碳中和计量技术委员会碳排放量计量分技术委员会收到国家市场监督管理总局下发的《202</w:t>
      </w:r>
      <w:r>
        <w:rPr>
          <w:rFonts w:hint="eastAsia" w:ascii="Times New Roman" w:hAnsi="Times New Roman" w:eastAsia="宋体" w:cs="Times New Roman"/>
          <w:sz w:val="32"/>
          <w:lang w:val="en-US" w:eastAsia="zh-CN"/>
        </w:rPr>
        <w:t>5</w:t>
      </w:r>
      <w:r>
        <w:rPr>
          <w:rFonts w:hint="eastAsia" w:ascii="Times New Roman" w:hAnsi="Times New Roman" w:eastAsia="宋体" w:cs="Times New Roman"/>
          <w:sz w:val="32"/>
        </w:rPr>
        <w:t>年国家计量技术规范制定、修订计划》，批准《</w:t>
      </w:r>
      <w:r>
        <w:rPr>
          <w:rFonts w:hint="eastAsia" w:ascii="Times New Roman" w:hAnsi="Times New Roman" w:eastAsia="宋体" w:cs="Times New Roman"/>
          <w:sz w:val="32"/>
          <w:lang w:val="en-US" w:eastAsia="zh-CN"/>
        </w:rPr>
        <w:t>精装修模块房碳排放计量技术规范</w:t>
      </w:r>
      <w:r>
        <w:rPr>
          <w:rFonts w:hint="eastAsia" w:ascii="Times New Roman" w:hAnsi="Times New Roman" w:eastAsia="宋体" w:cs="Times New Roman"/>
          <w:sz w:val="32"/>
        </w:rPr>
        <w:t>》正式立项</w:t>
      </w:r>
      <w:r>
        <w:rPr>
          <w:rFonts w:ascii="Times New Roman" w:hAnsi="Times New Roman" w:eastAsia="宋体" w:cs="Times New Roman"/>
          <w:sz w:val="32"/>
        </w:rPr>
        <w:t>。</w:t>
      </w:r>
    </w:p>
    <w:p w14:paraId="206FA39E">
      <w:pPr>
        <w:keepNext w:val="0"/>
        <w:widowControl/>
        <w:spacing w:before="0" w:after="0" w:line="560" w:lineRule="exact"/>
        <w:ind w:left="0" w:right="0" w:firstLine="624"/>
        <w:jc w:val="both"/>
      </w:pPr>
      <w:r>
        <w:rPr>
          <w:rFonts w:ascii="Times New Roman" w:hAnsi="Times New Roman" w:eastAsia="宋体" w:cs="Times New Roman"/>
          <w:sz w:val="32"/>
        </w:rPr>
        <w:t>2. 前期调研：</w:t>
      </w:r>
      <w:r>
        <w:rPr>
          <w:rFonts w:hint="eastAsia" w:ascii="Times New Roman" w:hAnsi="Times New Roman" w:eastAsia="宋体" w:cs="Times New Roman"/>
          <w:sz w:val="32"/>
          <w:lang w:val="en-US" w:eastAsia="zh-CN"/>
        </w:rPr>
        <w:t>2024年2月-</w:t>
      </w:r>
      <w:r>
        <w:rPr>
          <w:rFonts w:hint="eastAsia" w:ascii="Times New Roman" w:hAnsi="Times New Roman" w:eastAsia="宋体" w:cs="Times New Roman"/>
          <w:sz w:val="32"/>
        </w:rPr>
        <w:t>202</w:t>
      </w:r>
      <w:r>
        <w:rPr>
          <w:rFonts w:hint="eastAsia" w:ascii="Times New Roman" w:hAnsi="Times New Roman" w:eastAsia="宋体" w:cs="Times New Roman"/>
          <w:sz w:val="32"/>
          <w:lang w:val="en-US" w:eastAsia="zh-CN"/>
        </w:rPr>
        <w:t>5</w:t>
      </w:r>
      <w:r>
        <w:rPr>
          <w:rFonts w:hint="eastAsia" w:ascii="Times New Roman" w:hAnsi="Times New Roman" w:eastAsia="宋体" w:cs="Times New Roman"/>
          <w:sz w:val="32"/>
        </w:rPr>
        <w:t>年5月</w:t>
      </w:r>
      <w:r>
        <w:rPr>
          <w:rFonts w:ascii="Times New Roman" w:hAnsi="Times New Roman" w:eastAsia="宋体" w:cs="Times New Roman"/>
          <w:sz w:val="32"/>
        </w:rPr>
        <w:t>，组织开展精装修模块房生产工艺、能源和物料消耗、计量器具配备、数据管理现状及国内外相关标准的调研，开展规范制定的必要性和可行性分析，初步确定计量对象、边界、范围和主要技术路线。</w:t>
      </w:r>
    </w:p>
    <w:p w14:paraId="15F3806F">
      <w:pPr>
        <w:keepNext w:val="0"/>
        <w:widowControl/>
        <w:spacing w:before="0" w:after="0" w:line="560" w:lineRule="exact"/>
        <w:ind w:left="0" w:right="0" w:firstLine="624"/>
        <w:jc w:val="both"/>
      </w:pPr>
      <w:r>
        <w:rPr>
          <w:rFonts w:ascii="Times New Roman" w:hAnsi="Times New Roman" w:eastAsia="宋体" w:cs="Times New Roman"/>
          <w:sz w:val="32"/>
        </w:rPr>
        <w:t>3. 组建编制组：</w:t>
      </w:r>
      <w:r>
        <w:rPr>
          <w:rFonts w:hint="eastAsia" w:ascii="Times New Roman" w:hAnsi="Times New Roman" w:eastAsia="宋体" w:cs="Times New Roman"/>
          <w:sz w:val="32"/>
        </w:rPr>
        <w:t>2025年7月</w:t>
      </w:r>
      <w:r>
        <w:rPr>
          <w:rFonts w:ascii="Times New Roman" w:hAnsi="Times New Roman" w:eastAsia="宋体" w:cs="Times New Roman"/>
          <w:sz w:val="32"/>
        </w:rPr>
        <w:t>，由中建深圳装饰有限公司、中国建筑科学研究院有限公司作为主要起草单位，联合中建研科技股份有限公司、北京市计量检测科学研究院、住房和城乡建设部科技与产业化发展中心、上海市建筑装饰工程集团有限公司等单位组成编制组，明确任务分工。</w:t>
      </w:r>
    </w:p>
    <w:p w14:paraId="3B357721">
      <w:pPr>
        <w:keepNext w:val="0"/>
        <w:widowControl/>
        <w:spacing w:before="0" w:after="0" w:line="560" w:lineRule="exact"/>
        <w:ind w:left="0" w:right="0" w:firstLine="624"/>
        <w:jc w:val="both"/>
      </w:pPr>
      <w:r>
        <w:rPr>
          <w:rFonts w:ascii="Times New Roman" w:hAnsi="Times New Roman" w:eastAsia="宋体" w:cs="Times New Roman"/>
          <w:sz w:val="32"/>
        </w:rPr>
        <w:t>4. 启动及专题研讨：</w:t>
      </w:r>
      <w:r>
        <w:rPr>
          <w:rFonts w:hint="eastAsia" w:ascii="Times New Roman" w:hAnsi="Times New Roman" w:eastAsia="宋体" w:cs="Times New Roman"/>
          <w:sz w:val="32"/>
        </w:rPr>
        <w:t>2025年7月23日</w:t>
      </w:r>
      <w:r>
        <w:rPr>
          <w:rFonts w:hint="eastAsia" w:ascii="Times New Roman" w:hAnsi="Times New Roman" w:eastAsia="宋体" w:cs="Times New Roman"/>
          <w:sz w:val="32"/>
          <w:lang w:val="en-US" w:eastAsia="zh-CN"/>
        </w:rPr>
        <w:t>在中国建筑科学研究院C座906开展专题讨论</w:t>
      </w:r>
      <w:r>
        <w:rPr>
          <w:rFonts w:ascii="Times New Roman" w:hAnsi="Times New Roman" w:eastAsia="宋体" w:cs="Times New Roman"/>
          <w:sz w:val="32"/>
        </w:rPr>
        <w:t>。编制组围绕适用范围、功能单位、时间与空间边界、直接和间接碳排放源流、计量器具配备、数据分摊、不确定度评定和结果表达等重点问题开展讨论。</w:t>
      </w:r>
    </w:p>
    <w:p w14:paraId="472CCB55">
      <w:pPr>
        <w:tabs>
          <w:tab w:val="left" w:pos="790"/>
          <w:tab w:val="left" w:pos="1264"/>
        </w:tabs>
        <w:overflowPunct w:val="0"/>
        <w:adjustRightInd w:val="0"/>
        <w:snapToGrid w:val="0"/>
        <w:spacing w:line="560" w:lineRule="exact"/>
        <w:ind w:firstLine="624"/>
        <w:rPr>
          <w:rFonts w:hint="eastAsia" w:ascii="Times New Roman" w:hAnsi="Times New Roman" w:eastAsia="宋体" w:cs="Times New Roman"/>
          <w:kern w:val="0"/>
          <w:sz w:val="32"/>
          <w:szCs w:val="32"/>
        </w:rPr>
      </w:pPr>
      <w:r>
        <w:rPr>
          <w:rFonts w:hint="eastAsia" w:ascii="Times New Roman" w:hAnsi="Times New Roman" w:eastAsia="宋体" w:cs="Times New Roman"/>
          <w:kern w:val="0"/>
          <w:sz w:val="32"/>
          <w:szCs w:val="32"/>
        </w:rPr>
        <w:t>5. 第一次会议：202</w:t>
      </w:r>
      <w:r>
        <w:rPr>
          <w:rFonts w:hint="eastAsia" w:ascii="Times New Roman" w:hAnsi="Times New Roman" w:eastAsia="宋体" w:cs="Times New Roman"/>
          <w:kern w:val="0"/>
          <w:sz w:val="32"/>
          <w:szCs w:val="32"/>
          <w:lang w:val="en-US" w:eastAsia="zh-CN"/>
        </w:rPr>
        <w:t>5</w:t>
      </w:r>
      <w:r>
        <w:rPr>
          <w:rFonts w:hint="eastAsia" w:ascii="Times New Roman" w:hAnsi="Times New Roman" w:eastAsia="宋体" w:cs="Times New Roman"/>
          <w:kern w:val="0"/>
          <w:sz w:val="32"/>
          <w:szCs w:val="32"/>
        </w:rPr>
        <w:t>年</w:t>
      </w:r>
      <w:r>
        <w:rPr>
          <w:rFonts w:hint="eastAsia" w:ascii="Times New Roman" w:hAnsi="Times New Roman" w:eastAsia="宋体" w:cs="Times New Roman"/>
          <w:kern w:val="0"/>
          <w:sz w:val="32"/>
          <w:szCs w:val="32"/>
          <w:lang w:val="en-US" w:eastAsia="zh-CN"/>
        </w:rPr>
        <w:t>7</w:t>
      </w:r>
      <w:r>
        <w:rPr>
          <w:rFonts w:hint="eastAsia" w:ascii="Times New Roman" w:hAnsi="Times New Roman" w:eastAsia="宋体" w:cs="Times New Roman"/>
          <w:kern w:val="0"/>
          <w:sz w:val="32"/>
          <w:szCs w:val="32"/>
        </w:rPr>
        <w:t>月，中国建筑科学研究院组织召开第一次编制组会议，就启动会后完成的草稿进行了讨论，进一步明确了规范起草的主要思路和起草原则。</w:t>
      </w:r>
    </w:p>
    <w:p w14:paraId="18190313">
      <w:pPr>
        <w:tabs>
          <w:tab w:val="left" w:pos="790"/>
          <w:tab w:val="left" w:pos="1264"/>
        </w:tabs>
        <w:overflowPunct w:val="0"/>
        <w:adjustRightInd w:val="0"/>
        <w:snapToGrid w:val="0"/>
        <w:spacing w:line="560" w:lineRule="exact"/>
        <w:ind w:firstLine="624"/>
        <w:rPr>
          <w:rFonts w:hint="eastAsia" w:ascii="Times New Roman" w:hAnsi="Times New Roman" w:eastAsia="宋体" w:cs="Times New Roman"/>
          <w:kern w:val="0"/>
          <w:sz w:val="32"/>
          <w:szCs w:val="32"/>
        </w:rPr>
      </w:pPr>
      <w:r>
        <w:rPr>
          <w:rFonts w:hint="eastAsia" w:ascii="Times New Roman" w:hAnsi="Times New Roman" w:eastAsia="宋体" w:cs="Times New Roman"/>
          <w:kern w:val="0"/>
          <w:sz w:val="32"/>
          <w:szCs w:val="32"/>
        </w:rPr>
        <w:t>6. 第二次会议：202</w:t>
      </w:r>
      <w:r>
        <w:rPr>
          <w:rFonts w:hint="eastAsia" w:ascii="Times New Roman" w:hAnsi="Times New Roman" w:eastAsia="宋体" w:cs="Times New Roman"/>
          <w:kern w:val="0"/>
          <w:sz w:val="32"/>
          <w:szCs w:val="32"/>
          <w:lang w:val="en-US" w:eastAsia="zh-CN"/>
        </w:rPr>
        <w:t>5</w:t>
      </w:r>
      <w:r>
        <w:rPr>
          <w:rFonts w:hint="eastAsia" w:ascii="Times New Roman" w:hAnsi="Times New Roman" w:eastAsia="宋体" w:cs="Times New Roman"/>
          <w:kern w:val="0"/>
          <w:sz w:val="32"/>
          <w:szCs w:val="32"/>
        </w:rPr>
        <w:t>年</w:t>
      </w:r>
      <w:r>
        <w:rPr>
          <w:rFonts w:hint="eastAsia" w:ascii="Times New Roman" w:hAnsi="Times New Roman" w:eastAsia="宋体" w:cs="Times New Roman"/>
          <w:kern w:val="0"/>
          <w:sz w:val="32"/>
          <w:szCs w:val="32"/>
          <w:lang w:val="en-US" w:eastAsia="zh-CN"/>
        </w:rPr>
        <w:t>12</w:t>
      </w:r>
      <w:r>
        <w:rPr>
          <w:rFonts w:hint="eastAsia" w:ascii="Times New Roman" w:hAnsi="Times New Roman" w:eastAsia="宋体" w:cs="Times New Roman"/>
          <w:kern w:val="0"/>
          <w:sz w:val="32"/>
          <w:szCs w:val="32"/>
        </w:rPr>
        <w:t>月，中国建筑科学研究院组织召开第二次编制组会议，根据各编制组成员的工作成果初步编制出规范征求意见稿，并对规范逐条进行了讨论。</w:t>
      </w:r>
    </w:p>
    <w:p w14:paraId="63BA294A">
      <w:pPr>
        <w:keepNext w:val="0"/>
        <w:widowControl/>
        <w:spacing w:before="0" w:after="0" w:line="560" w:lineRule="exact"/>
        <w:ind w:left="0" w:right="0" w:firstLine="624"/>
        <w:jc w:val="both"/>
      </w:pPr>
      <w:r>
        <w:rPr>
          <w:rFonts w:hint="eastAsia" w:ascii="Times New Roman" w:hAnsi="Times New Roman" w:eastAsia="宋体" w:cs="Times New Roman"/>
          <w:sz w:val="32"/>
          <w:lang w:val="en-US" w:eastAsia="zh-CN"/>
        </w:rPr>
        <w:t>7</w:t>
      </w:r>
      <w:r>
        <w:rPr>
          <w:rFonts w:ascii="Times New Roman" w:hAnsi="Times New Roman" w:eastAsia="宋体" w:cs="Times New Roman"/>
          <w:sz w:val="32"/>
        </w:rPr>
        <w:t>. 形成征求意见稿：2026年8月，编制组在前期工作基础上形成《精装修模块房碳排放计量技术规范》征求意见稿及相关附件，拟按规定广泛征求计量技术机构、模块房生产企业、建筑装饰企业、高等院校和科研机构等单位意见。</w:t>
      </w:r>
    </w:p>
    <w:p w14:paraId="63F113B4">
      <w:pPr>
        <w:keepNext/>
        <w:widowControl/>
        <w:spacing w:before="200" w:after="0" w:line="560" w:lineRule="exact"/>
        <w:ind w:left="0" w:right="0" w:firstLine="624"/>
        <w:jc w:val="left"/>
      </w:pPr>
      <w:r>
        <w:rPr>
          <w:rFonts w:ascii="Times New Roman" w:hAnsi="Times New Roman" w:eastAsia="黑体" w:cs="Times New Roman"/>
          <w:sz w:val="32"/>
        </w:rPr>
        <w:t>三、主要技术指标、参数、实验验证的论述</w:t>
      </w:r>
    </w:p>
    <w:p w14:paraId="23F22FA5">
      <w:pPr>
        <w:keepNext/>
        <w:widowControl/>
        <w:spacing w:before="0" w:after="0" w:line="560" w:lineRule="exact"/>
        <w:ind w:left="0" w:right="0" w:firstLine="624"/>
        <w:jc w:val="both"/>
      </w:pPr>
      <w:r>
        <w:rPr>
          <w:rFonts w:ascii="Times New Roman" w:hAnsi="Times New Roman" w:eastAsia="宋体" w:cs="Times New Roman"/>
          <w:sz w:val="32"/>
        </w:rPr>
        <w:t>（1）规范主要技术内容</w:t>
      </w:r>
    </w:p>
    <w:p w14:paraId="759C7811">
      <w:pPr>
        <w:keepNext w:val="0"/>
        <w:widowControl/>
        <w:spacing w:before="0" w:after="0" w:line="560" w:lineRule="exact"/>
        <w:ind w:left="0" w:right="0" w:firstLine="624"/>
        <w:jc w:val="both"/>
      </w:pPr>
      <w:r>
        <w:rPr>
          <w:rFonts w:ascii="Times New Roman" w:hAnsi="Times New Roman" w:eastAsia="宋体" w:cs="Times New Roman"/>
          <w:sz w:val="32"/>
        </w:rPr>
        <w:t>本规范共包含8个章节、5个附录。</w:t>
      </w:r>
    </w:p>
    <w:p w14:paraId="3D1D1C50">
      <w:pPr>
        <w:keepNext w:val="0"/>
        <w:widowControl/>
        <w:spacing w:before="0" w:after="0" w:line="560" w:lineRule="exact"/>
        <w:ind w:left="0" w:right="0" w:firstLine="624"/>
        <w:jc w:val="both"/>
      </w:pPr>
      <w:r>
        <w:rPr>
          <w:rFonts w:ascii="Times New Roman" w:hAnsi="Times New Roman" w:eastAsia="宋体" w:cs="Times New Roman"/>
          <w:sz w:val="32"/>
        </w:rPr>
        <w:t>1、范围，规定本规范的适用对象和适用场景；</w:t>
      </w:r>
    </w:p>
    <w:p w14:paraId="331AE69B">
      <w:pPr>
        <w:keepNext w:val="0"/>
        <w:widowControl/>
        <w:spacing w:before="0" w:after="0" w:line="560" w:lineRule="exact"/>
        <w:ind w:left="0" w:right="0" w:firstLine="624"/>
        <w:jc w:val="both"/>
      </w:pPr>
      <w:r>
        <w:rPr>
          <w:rFonts w:ascii="Times New Roman" w:hAnsi="Times New Roman" w:eastAsia="宋体" w:cs="Times New Roman"/>
          <w:sz w:val="32"/>
        </w:rPr>
        <w:t>2、引用文件，列出规范所引用的计量检定规程、计量技术规范和国家标准；</w:t>
      </w:r>
    </w:p>
    <w:p w14:paraId="3728CA64">
      <w:pPr>
        <w:keepNext w:val="0"/>
        <w:widowControl/>
        <w:spacing w:before="0" w:after="0" w:line="560" w:lineRule="exact"/>
        <w:ind w:left="0" w:right="0" w:firstLine="624"/>
        <w:jc w:val="both"/>
      </w:pPr>
      <w:r>
        <w:rPr>
          <w:rFonts w:ascii="Times New Roman" w:hAnsi="Times New Roman" w:eastAsia="宋体" w:cs="Times New Roman"/>
          <w:sz w:val="32"/>
        </w:rPr>
        <w:t>3、术语和定义，界定精装修模块房、计量边界、活动数据和碳排放因子等术语；</w:t>
      </w:r>
    </w:p>
    <w:p w14:paraId="25AD60EC">
      <w:pPr>
        <w:keepNext w:val="0"/>
        <w:widowControl/>
        <w:spacing w:before="0" w:after="0" w:line="560" w:lineRule="exact"/>
        <w:ind w:left="0" w:right="0" w:firstLine="624"/>
        <w:jc w:val="both"/>
      </w:pPr>
      <w:r>
        <w:rPr>
          <w:rFonts w:ascii="Times New Roman" w:hAnsi="Times New Roman" w:eastAsia="宋体" w:cs="Times New Roman"/>
          <w:sz w:val="32"/>
        </w:rPr>
        <w:t>4、概述，规定计量对象、功能单位、时间边界、空间边界、计量范围及碳源流识别要求；</w:t>
      </w:r>
    </w:p>
    <w:p w14:paraId="002F9F5C">
      <w:pPr>
        <w:keepNext w:val="0"/>
        <w:widowControl/>
        <w:spacing w:before="0" w:after="0" w:line="560" w:lineRule="exact"/>
        <w:ind w:left="0" w:right="0" w:firstLine="624"/>
        <w:jc w:val="both"/>
      </w:pPr>
      <w:r>
        <w:rPr>
          <w:rFonts w:ascii="Times New Roman" w:hAnsi="Times New Roman" w:eastAsia="宋体" w:cs="Times New Roman"/>
          <w:sz w:val="32"/>
        </w:rPr>
        <w:t>5、计量要求，规定活动数据和碳排放因子的获取原则、计量器具配备及数据更新要求；</w:t>
      </w:r>
    </w:p>
    <w:p w14:paraId="54CA455C">
      <w:pPr>
        <w:keepNext w:val="0"/>
        <w:widowControl/>
        <w:spacing w:before="0" w:after="0" w:line="560" w:lineRule="exact"/>
        <w:ind w:left="0" w:right="0" w:firstLine="624"/>
        <w:jc w:val="both"/>
      </w:pPr>
      <w:r>
        <w:rPr>
          <w:rFonts w:ascii="Times New Roman" w:hAnsi="Times New Roman" w:eastAsia="宋体" w:cs="Times New Roman"/>
          <w:sz w:val="32"/>
        </w:rPr>
        <w:t>6、管理要求，规定碳计量管理制度、人员、计量器具及其使用管理要求；</w:t>
      </w:r>
    </w:p>
    <w:p w14:paraId="673AABF4">
      <w:pPr>
        <w:keepNext w:val="0"/>
        <w:widowControl/>
        <w:spacing w:before="0" w:after="0" w:line="560" w:lineRule="exact"/>
        <w:ind w:left="0" w:right="0" w:firstLine="624"/>
        <w:jc w:val="both"/>
      </w:pPr>
      <w:r>
        <w:rPr>
          <w:rFonts w:ascii="Times New Roman" w:hAnsi="Times New Roman" w:eastAsia="宋体" w:cs="Times New Roman"/>
          <w:sz w:val="32"/>
        </w:rPr>
        <w:t>7、数据质量控制与评价，规定异常值识别处理、数据可追溯性、数据分摊和不确定度评定要求；</w:t>
      </w:r>
    </w:p>
    <w:p w14:paraId="70C57456">
      <w:pPr>
        <w:keepNext w:val="0"/>
        <w:widowControl/>
        <w:spacing w:before="0" w:after="0" w:line="560" w:lineRule="exact"/>
        <w:ind w:left="0" w:right="0" w:firstLine="624"/>
        <w:jc w:val="both"/>
      </w:pPr>
      <w:r>
        <w:rPr>
          <w:rFonts w:ascii="Times New Roman" w:hAnsi="Times New Roman" w:eastAsia="宋体" w:cs="Times New Roman"/>
          <w:sz w:val="32"/>
        </w:rPr>
        <w:t>8、计量结果表达，规定碳排放计量报告的基本要素、源流清单、数据来源、不确定度和非计量值声明等内容。</w:t>
      </w:r>
    </w:p>
    <w:p w14:paraId="6ABA0040">
      <w:pPr>
        <w:keepNext w:val="0"/>
        <w:widowControl/>
        <w:spacing w:before="0" w:after="0" w:line="560" w:lineRule="exact"/>
        <w:ind w:left="0" w:right="0" w:firstLine="624"/>
        <w:jc w:val="both"/>
      </w:pPr>
      <w:r>
        <w:rPr>
          <w:rFonts w:ascii="Times New Roman" w:hAnsi="Times New Roman" w:eastAsia="宋体" w:cs="Times New Roman"/>
          <w:sz w:val="32"/>
        </w:rPr>
        <w:t>5个附录分别为：附录A给出碳排放流向图及碳计量器具配备和计量点网络图示例；附录B给出活动数据获取计量器具配备技术要求、部分化石燃料测定方法及排放因子置信度等级；附录C规定活动数据编号管理规则；附录D给出精装修模块房碳排放计量报告模板；附录E给出模块房生产阶段碳排放不确定度评估方法及示例。</w:t>
      </w:r>
    </w:p>
    <w:p w14:paraId="2B791C71">
      <w:pPr>
        <w:keepNext/>
        <w:widowControl/>
        <w:spacing w:before="0" w:after="0" w:line="560" w:lineRule="exact"/>
        <w:ind w:left="0" w:right="0" w:firstLine="624"/>
        <w:jc w:val="both"/>
      </w:pPr>
      <w:r>
        <w:rPr>
          <w:rFonts w:ascii="Times New Roman" w:hAnsi="Times New Roman" w:eastAsia="宋体" w:cs="Times New Roman"/>
          <w:sz w:val="32"/>
        </w:rPr>
        <w:t>规范内容要点说明：</w:t>
      </w:r>
    </w:p>
    <w:p w14:paraId="20E529F9">
      <w:pPr>
        <w:keepNext w:val="0"/>
        <w:widowControl/>
        <w:spacing w:before="0" w:after="0" w:line="560" w:lineRule="exact"/>
        <w:ind w:left="0" w:right="0" w:firstLine="624"/>
        <w:jc w:val="both"/>
      </w:pPr>
      <w:r>
        <w:rPr>
          <w:rFonts w:ascii="Times New Roman" w:hAnsi="Times New Roman" w:eastAsia="宋体" w:cs="Times New Roman"/>
          <w:sz w:val="32"/>
        </w:rPr>
        <w:t>1、将计量对象界定为同一批次精装修模块房在工厂生产至打包出厂全过程中产生的碳排放量，并根据产品交付方式选用kgCO2e/模块或kgCO2e/m²作为功能单位。</w:t>
      </w:r>
    </w:p>
    <w:p w14:paraId="66E37D35">
      <w:pPr>
        <w:keepNext w:val="0"/>
        <w:widowControl/>
        <w:spacing w:before="0" w:after="0" w:line="560" w:lineRule="exact"/>
        <w:ind w:left="0" w:right="0" w:firstLine="624"/>
        <w:jc w:val="both"/>
      </w:pPr>
      <w:r>
        <w:rPr>
          <w:rFonts w:ascii="Times New Roman" w:hAnsi="Times New Roman" w:eastAsia="宋体" w:cs="Times New Roman"/>
          <w:sz w:val="32"/>
        </w:rPr>
        <w:t>2、以原材料、构件及部品进入生产工厂至完成加工调试并最终出厂为时间边界；以承担生产活动的工厂用地红线为空间边界，并区分直接服务区域和间接服务区域。</w:t>
      </w:r>
    </w:p>
    <w:p w14:paraId="52D795AD">
      <w:pPr>
        <w:keepNext w:val="0"/>
        <w:widowControl/>
        <w:spacing w:before="0" w:after="0" w:line="560" w:lineRule="exact"/>
        <w:ind w:left="0" w:right="0" w:firstLine="624"/>
        <w:jc w:val="both"/>
      </w:pPr>
      <w:r>
        <w:rPr>
          <w:rFonts w:ascii="Times New Roman" w:hAnsi="Times New Roman" w:eastAsia="宋体" w:cs="Times New Roman"/>
          <w:sz w:val="32"/>
        </w:rPr>
        <w:t>3、对订单直接相关排放活动和通用排放活动分类处理：前者按批次或模块单元生产周期计量，后者按完整统计时段计量并按合理方法分摊，解决连续生产和多品种混线生产的数据归集问题。</w:t>
      </w:r>
    </w:p>
    <w:p w14:paraId="59FDF138">
      <w:pPr>
        <w:keepNext w:val="0"/>
        <w:widowControl/>
        <w:spacing w:before="0" w:after="0" w:line="560" w:lineRule="exact"/>
        <w:ind w:left="0" w:right="0" w:firstLine="624"/>
        <w:jc w:val="both"/>
      </w:pPr>
      <w:r>
        <w:rPr>
          <w:rFonts w:ascii="Times New Roman" w:hAnsi="Times New Roman" w:eastAsia="宋体" w:cs="Times New Roman"/>
          <w:sz w:val="32"/>
        </w:rPr>
        <w:t>4、计量范围包括直接碳排放和能源间接碳排放；材料输入阶段隐含碳排放作为鼓励性扩展计量范围，不作为强制计量内容。</w:t>
      </w:r>
    </w:p>
    <w:p w14:paraId="0B6BBA40">
      <w:pPr>
        <w:keepNext w:val="0"/>
        <w:widowControl/>
        <w:spacing w:before="0" w:after="0" w:line="560" w:lineRule="exact"/>
        <w:ind w:left="0" w:right="0" w:firstLine="624"/>
        <w:jc w:val="both"/>
      </w:pPr>
      <w:r>
        <w:rPr>
          <w:rFonts w:ascii="Times New Roman" w:hAnsi="Times New Roman" w:eastAsia="宋体" w:cs="Times New Roman"/>
          <w:sz w:val="32"/>
        </w:rPr>
        <w:t>5、依据直接生产和辅助生产环节开展碳源流识别，形成碳排放流向图和碳计量采集点网络图，按类别、层级和项目配备计量器具。</w:t>
      </w:r>
    </w:p>
    <w:p w14:paraId="0740673A">
      <w:pPr>
        <w:keepNext w:val="0"/>
        <w:widowControl/>
        <w:spacing w:before="0" w:after="0" w:line="560" w:lineRule="exact"/>
        <w:ind w:left="0" w:right="0" w:firstLine="624"/>
        <w:jc w:val="both"/>
      </w:pPr>
      <w:r>
        <w:rPr>
          <w:rFonts w:ascii="Times New Roman" w:hAnsi="Times New Roman" w:eastAsia="宋体" w:cs="Times New Roman"/>
          <w:sz w:val="32"/>
        </w:rPr>
        <w:t>6、活动数据原则上应通过计量方式获取原始数据；针对外购电力、热（冷）力和化石燃料规定分类分项计量和计量器具的技术要求，强化检定、校准和量值溯源。</w:t>
      </w:r>
    </w:p>
    <w:p w14:paraId="05CF39D1">
      <w:pPr>
        <w:keepNext w:val="0"/>
        <w:widowControl/>
        <w:spacing w:before="0" w:after="0" w:line="560" w:lineRule="exact"/>
        <w:ind w:left="0" w:right="0" w:firstLine="624"/>
        <w:jc w:val="both"/>
      </w:pPr>
      <w:r>
        <w:rPr>
          <w:rFonts w:ascii="Times New Roman" w:hAnsi="Times New Roman" w:eastAsia="宋体" w:cs="Times New Roman"/>
          <w:sz w:val="32"/>
        </w:rPr>
        <w:t>7、对碳排放因子的实测、官方发布值及其他公认可靠数据设置选用顺序，并要求定期审查更新，提高因子数据的时效性和可比性。</w:t>
      </w:r>
    </w:p>
    <w:p w14:paraId="11B04D76">
      <w:pPr>
        <w:keepNext w:val="0"/>
        <w:widowControl/>
        <w:spacing w:before="0" w:after="0" w:line="560" w:lineRule="exact"/>
        <w:ind w:left="0" w:right="0" w:firstLine="624"/>
        <w:jc w:val="both"/>
      </w:pPr>
      <w:r>
        <w:rPr>
          <w:rFonts w:ascii="Times New Roman" w:hAnsi="Times New Roman" w:eastAsia="宋体" w:cs="Times New Roman"/>
          <w:sz w:val="32"/>
        </w:rPr>
        <w:t>8、建立活动数据唯一编码、主数据台账、异常值核查、修正记录和多模块分摊机制，保证原始记录、计量点、生产批次、模块单元和报告结果之间的对应关系。</w:t>
      </w:r>
    </w:p>
    <w:p w14:paraId="34A875A9">
      <w:pPr>
        <w:keepNext w:val="0"/>
        <w:widowControl/>
        <w:spacing w:before="0" w:after="0" w:line="560" w:lineRule="exact"/>
        <w:ind w:left="0" w:right="0" w:firstLine="624"/>
        <w:jc w:val="both"/>
      </w:pPr>
      <w:r>
        <w:rPr>
          <w:rFonts w:ascii="Times New Roman" w:hAnsi="Times New Roman" w:eastAsia="宋体" w:cs="Times New Roman"/>
          <w:sz w:val="32"/>
        </w:rPr>
        <w:t>9、按JJF 1059.1对实测活动数据和碳排放因子进行不确定度评定，对采用非实测因子或尚无明确计量手段的排放源进行特别声明，避免将核算估算值与计量值混同表达。</w:t>
      </w:r>
    </w:p>
    <w:p w14:paraId="298F40F3">
      <w:pPr>
        <w:keepNext w:val="0"/>
        <w:widowControl/>
        <w:spacing w:before="0" w:after="0" w:line="560" w:lineRule="exact"/>
        <w:ind w:left="0" w:right="0" w:firstLine="624"/>
        <w:jc w:val="both"/>
      </w:pPr>
      <w:r>
        <w:rPr>
          <w:rFonts w:ascii="Times New Roman" w:hAnsi="Times New Roman" w:eastAsia="宋体" w:cs="Times New Roman"/>
          <w:sz w:val="32"/>
        </w:rPr>
        <w:t>10、以报告形式表达计量结果，至少包含基本信息、源流识别、活动数据及排放因子来源、碳排放量和不确定度等要素，提高报告的完整性和可核查性。</w:t>
      </w:r>
    </w:p>
    <w:p w14:paraId="01D43C92">
      <w:pPr>
        <w:keepNext/>
        <w:pageBreakBefore/>
        <w:spacing w:before="120" w:after="60" w:line="240" w:lineRule="auto"/>
        <w:ind w:left="0" w:right="0" w:firstLine="0"/>
        <w:jc w:val="center"/>
      </w:pPr>
      <w:r>
        <w:drawing>
          <wp:inline distT="0" distB="0" distL="114300" distR="114300">
            <wp:extent cx="4247515" cy="64211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4248000" cy="6421662"/>
                    </a:xfrm>
                    <a:prstGeom prst="rect">
                      <a:avLst/>
                    </a:prstGeom>
                  </pic:spPr>
                </pic:pic>
              </a:graphicData>
            </a:graphic>
          </wp:inline>
        </w:drawing>
      </w:r>
    </w:p>
    <w:p w14:paraId="388E5F9C">
      <w:pPr>
        <w:keepNext w:val="0"/>
        <w:widowControl/>
        <w:spacing w:before="0" w:after="0" w:line="440" w:lineRule="exact"/>
        <w:ind w:left="0" w:right="0" w:firstLine="0"/>
        <w:jc w:val="center"/>
      </w:pPr>
      <w:r>
        <w:rPr>
          <w:rFonts w:ascii="Times New Roman" w:hAnsi="Times New Roman" w:eastAsia="宋体" w:cs="Times New Roman"/>
          <w:sz w:val="28"/>
        </w:rPr>
        <w:t>图1  模块房碳排放计量范围示意图</w:t>
      </w:r>
    </w:p>
    <w:p w14:paraId="1F78E03D">
      <w:pPr>
        <w:keepNext/>
        <w:widowControl/>
        <w:spacing w:before="0" w:after="0" w:line="560" w:lineRule="exact"/>
        <w:ind w:left="0" w:right="0" w:firstLine="624"/>
        <w:jc w:val="both"/>
      </w:pPr>
      <w:r>
        <w:rPr>
          <w:rFonts w:ascii="Times New Roman" w:hAnsi="Times New Roman" w:eastAsia="宋体" w:cs="Times New Roman"/>
          <w:sz w:val="32"/>
        </w:rPr>
        <w:t>（2）主要技术指标和参数</w:t>
      </w:r>
    </w:p>
    <w:p w14:paraId="6040E923">
      <w:pPr>
        <w:keepNext w:val="0"/>
        <w:widowControl/>
        <w:spacing w:before="0" w:after="0" w:line="560" w:lineRule="exact"/>
        <w:ind w:left="0" w:right="0" w:firstLine="624"/>
        <w:jc w:val="both"/>
      </w:pPr>
      <w:r>
        <w:rPr>
          <w:rFonts w:ascii="Times New Roman" w:hAnsi="Times New Roman" w:eastAsia="宋体" w:cs="Times New Roman"/>
          <w:sz w:val="32"/>
        </w:rPr>
        <w:t>1、功能单位：标准模块单元宜以kgCO2e/模块表达；按套系或组合单元交付、模块间构造依赖较强时，可以kgCO2e/m²表达。</w:t>
      </w:r>
    </w:p>
    <w:p w14:paraId="2E778C00">
      <w:pPr>
        <w:keepNext w:val="0"/>
        <w:widowControl/>
        <w:spacing w:before="0" w:after="0" w:line="560" w:lineRule="exact"/>
        <w:ind w:left="0" w:right="0" w:firstLine="624"/>
        <w:jc w:val="both"/>
      </w:pPr>
      <w:r>
        <w:rPr>
          <w:rFonts w:ascii="Times New Roman" w:hAnsi="Times New Roman" w:eastAsia="宋体" w:cs="Times New Roman"/>
          <w:sz w:val="32"/>
        </w:rPr>
        <w:t>2、时间参数：订单直接相关活动按订单批次或模块生产周期统计；通用排放活动按季度或其他具备统计完整性的时间区间统计。</w:t>
      </w:r>
    </w:p>
    <w:p w14:paraId="7AF93EAA">
      <w:pPr>
        <w:keepNext w:val="0"/>
        <w:widowControl/>
        <w:spacing w:before="0" w:after="0" w:line="560" w:lineRule="exact"/>
        <w:ind w:left="0" w:right="0" w:firstLine="624"/>
        <w:jc w:val="both"/>
      </w:pPr>
      <w:r>
        <w:rPr>
          <w:rFonts w:ascii="Times New Roman" w:hAnsi="Times New Roman" w:eastAsia="宋体" w:cs="Times New Roman"/>
          <w:sz w:val="32"/>
        </w:rPr>
        <w:t>3、计量器具参数：根据能源和碳源流类型确定计量器具种类、准确度等级、量程、配备层级、采集频次和检定/校准周期，具体要求见规范第5章、第6章和附录B。</w:t>
      </w:r>
    </w:p>
    <w:p w14:paraId="593DF1C2">
      <w:pPr>
        <w:keepNext w:val="0"/>
        <w:widowControl/>
        <w:spacing w:before="0" w:after="0" w:line="560" w:lineRule="exact"/>
        <w:ind w:left="0" w:right="0" w:firstLine="624"/>
        <w:jc w:val="both"/>
      </w:pPr>
      <w:r>
        <w:rPr>
          <w:rFonts w:ascii="Times New Roman" w:hAnsi="Times New Roman" w:eastAsia="宋体" w:cs="Times New Roman"/>
          <w:sz w:val="32"/>
        </w:rPr>
        <w:t>4、异常值参数：结合历史数据、理论用量或工艺参数建立波动范围，对偏离均值±3倍标准差以上，或与相邻时段、同类模块差异明显的记录开展核查。</w:t>
      </w:r>
    </w:p>
    <w:p w14:paraId="2BEAE48F">
      <w:pPr>
        <w:keepNext w:val="0"/>
        <w:widowControl/>
        <w:spacing w:before="0" w:after="0" w:line="560" w:lineRule="exact"/>
        <w:ind w:left="0" w:right="0" w:firstLine="624"/>
        <w:jc w:val="both"/>
      </w:pPr>
      <w:r>
        <w:rPr>
          <w:rFonts w:ascii="Times New Roman" w:hAnsi="Times New Roman" w:eastAsia="宋体" w:cs="Times New Roman"/>
          <w:sz w:val="32"/>
        </w:rPr>
        <w:t>5、数据更新参数：碳排放因子至少每年审查和更新一次，并优先选用附录B中置信度等级较高的数据。</w:t>
      </w:r>
    </w:p>
    <w:p w14:paraId="250949B9">
      <w:pPr>
        <w:keepNext/>
        <w:widowControl/>
        <w:spacing w:before="0" w:after="0" w:line="560" w:lineRule="exact"/>
        <w:ind w:left="0" w:right="0" w:firstLine="624"/>
        <w:jc w:val="both"/>
      </w:pPr>
      <w:r>
        <w:rPr>
          <w:rFonts w:ascii="Times New Roman" w:hAnsi="Times New Roman" w:eastAsia="宋体" w:cs="Times New Roman"/>
          <w:sz w:val="32"/>
        </w:rPr>
        <w:t>（3）实验验证和不确定度验证</w:t>
      </w:r>
    </w:p>
    <w:p w14:paraId="24C2A58C">
      <w:pPr>
        <w:keepNext w:val="0"/>
        <w:widowControl/>
        <w:spacing w:before="0" w:after="0" w:line="560" w:lineRule="exact"/>
        <w:ind w:left="0" w:right="0" w:firstLine="624"/>
        <w:jc w:val="both"/>
      </w:pPr>
      <w:r>
        <w:rPr>
          <w:rFonts w:ascii="Times New Roman" w:hAnsi="Times New Roman" w:eastAsia="宋体" w:cs="Times New Roman"/>
          <w:sz w:val="32"/>
        </w:rPr>
        <w:t>规范已在附录E中设置模块房生产阶段碳排放不确定度评估方法及示例，用于验证测量模型、不确定度分量识别、灵敏系数和合成标准不确定度的计算逻辑。实验验证应选取具有代表性的精装修模块房生产企业或生产线，覆盖主要能源种类、直接生产和辅助生产环节、不同模块类型和批次分摊情形，重点验证计量边界的完整性、碳源流识别的适用性、计量器具配备的可行性、数据归集分摊的合理性及计量结果的可重复性。</w:t>
      </w:r>
    </w:p>
    <w:p w14:paraId="0689F2C1">
      <w:pPr>
        <w:keepNext/>
        <w:widowControl/>
        <w:spacing w:before="200" w:after="0" w:line="560" w:lineRule="exact"/>
        <w:ind w:left="0" w:right="0" w:firstLine="624"/>
        <w:jc w:val="left"/>
      </w:pPr>
      <w:r>
        <w:rPr>
          <w:rFonts w:ascii="Times New Roman" w:hAnsi="Times New Roman" w:eastAsia="黑体" w:cs="Times New Roman"/>
          <w:sz w:val="32"/>
        </w:rPr>
        <w:t>四、与相关国家计量技术规范的关系，与国内外同类计量技术规范的水平对比情况</w:t>
      </w:r>
    </w:p>
    <w:p w14:paraId="795C7827">
      <w:pPr>
        <w:keepNext w:val="0"/>
        <w:widowControl/>
        <w:spacing w:before="0" w:after="0" w:line="560" w:lineRule="exact"/>
        <w:ind w:left="0" w:right="0" w:firstLine="624"/>
        <w:jc w:val="both"/>
      </w:pPr>
      <w:r>
        <w:rPr>
          <w:rFonts w:ascii="Times New Roman" w:hAnsi="Times New Roman" w:eastAsia="宋体" w:cs="Times New Roman"/>
          <w:sz w:val="32"/>
        </w:rPr>
        <w:t>规范起草过程中引用或参考了以下计量技术规范和国家标准：</w:t>
      </w:r>
    </w:p>
    <w:p w14:paraId="3805B5BC">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195连续累计自动衡器（皮带秤）检定规程</w:t>
      </w:r>
    </w:p>
    <w:p w14:paraId="54A00071">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225热能表检定规程</w:t>
      </w:r>
    </w:p>
    <w:p w14:paraId="7D24D32D">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539数字指示秤检定规程</w:t>
      </w:r>
    </w:p>
    <w:p w14:paraId="3333B839">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596电子式交流电能表检定规程</w:t>
      </w:r>
    </w:p>
    <w:p w14:paraId="67F09630">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640差压式流量计检定规程</w:t>
      </w:r>
    </w:p>
    <w:p w14:paraId="7EAEDCAB">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667液体容积式流量计检定规程</w:t>
      </w:r>
    </w:p>
    <w:p w14:paraId="4F94BEFC">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JJG 1187直流标准电能表检定规程</w:t>
      </w:r>
    </w:p>
    <w:p w14:paraId="154E4231">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JJF ××××—×××× 碳计量名词术语及定义</w:t>
      </w:r>
    </w:p>
    <w:p w14:paraId="569D5B32">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JJF ××××—×××× 建筑碳排放监测平台计量技术要求</w:t>
      </w:r>
    </w:p>
    <w:p w14:paraId="531A345F">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JJF 1001-2011 通用计量术语及定义</w:t>
      </w:r>
    </w:p>
    <w:p w14:paraId="15658FB8">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JJF 1059.1-2012 测量不确定度评定与表示</w:t>
      </w:r>
    </w:p>
    <w:p w14:paraId="5D03EE5D">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JJF 1071-2010 国家计量校准规范编写规则</w:t>
      </w:r>
    </w:p>
    <w:p w14:paraId="060BA696">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JJF 2309-2025 重点排放单位碳计量审查规范</w:t>
      </w:r>
    </w:p>
    <w:p w14:paraId="63E46612">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GB/T 213-2008 煤的发热量测定方法</w:t>
      </w:r>
    </w:p>
    <w:p w14:paraId="7EF1B228">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GB/T 384-1981 石油产品热值测定法</w:t>
      </w:r>
    </w:p>
    <w:p w14:paraId="46B2B74F">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GB/T 476-2008 煤中碳和氢的测定方法</w:t>
      </w:r>
    </w:p>
    <w:p w14:paraId="3CEED6BC">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GB/T 11062-2020 天然气发热量、密度、相对密度和沃泊指数的计算方法</w:t>
      </w:r>
    </w:p>
    <w:p w14:paraId="5E3E0864">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GB/T 13610-2020 天然气的组成分析气相色谱法</w:t>
      </w:r>
    </w:p>
    <w:p w14:paraId="62484D93">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ASTM D5291-21 石油产品和润滑剂中碳、氢和氮的仪器测定方法</w:t>
      </w:r>
    </w:p>
    <w:p w14:paraId="47FF5E26">
      <w:pPr>
        <w:keepNext w:val="0"/>
        <w:widowControl/>
        <w:spacing w:before="0" w:after="0" w:line="560" w:lineRule="exact"/>
        <w:ind w:left="0" w:right="0" w:firstLine="624"/>
        <w:jc w:val="both"/>
        <w:rPr>
          <w:rFonts w:hint="eastAsia" w:ascii="Times New Roman" w:hAnsi="Times New Roman" w:eastAsia="宋体" w:cs="Times New Roman"/>
          <w:sz w:val="32"/>
        </w:rPr>
      </w:pPr>
      <w:r>
        <w:rPr>
          <w:rFonts w:hint="eastAsia" w:ascii="Times New Roman" w:hAnsi="Times New Roman" w:eastAsia="宋体" w:cs="Times New Roman"/>
          <w:sz w:val="32"/>
        </w:rPr>
        <w:t>GB/T 24851-2024 建筑材料行业能源计量器具配备和管理要求</w:t>
      </w:r>
    </w:p>
    <w:p w14:paraId="7A724CDC">
      <w:pPr>
        <w:keepNext w:val="0"/>
        <w:widowControl/>
        <w:spacing w:before="0" w:after="0" w:line="560" w:lineRule="exact"/>
        <w:ind w:left="0" w:right="0" w:firstLine="624"/>
        <w:jc w:val="both"/>
      </w:pPr>
      <w:bookmarkStart w:id="0" w:name="_GoBack"/>
      <w:bookmarkEnd w:id="0"/>
      <w:r>
        <w:rPr>
          <w:rFonts w:ascii="Times New Roman" w:hAnsi="Times New Roman" w:eastAsia="宋体" w:cs="Times New Roman"/>
          <w:sz w:val="32"/>
        </w:rPr>
        <w:t>上述文件中，JJF 1001和JJF 1071为术语、结构和编写提供基础要求，JJF 1059.1为不确定度评定提供方法，各JJG检定规程为相关计量器具的量值溯源提供依据，GB 17167和GB/T 24851为能源计量器具配备管理提供通用要求，GB/T 32150为活动数据、排放因子和企业温室气体排放核算提供通用原则。本规范在与上述文件协调的基础上，将技术要求细化到精装修模块房工厂生产阶段。</w:t>
      </w:r>
    </w:p>
    <w:p w14:paraId="0D64CEF2">
      <w:pPr>
        <w:keepNext w:val="0"/>
        <w:widowControl/>
        <w:spacing w:before="0" w:after="0" w:line="560" w:lineRule="exact"/>
        <w:ind w:left="0" w:right="0" w:firstLine="624"/>
        <w:jc w:val="both"/>
      </w:pPr>
      <w:r>
        <w:rPr>
          <w:rFonts w:ascii="Times New Roman" w:hAnsi="Times New Roman" w:eastAsia="宋体" w:cs="Times New Roman"/>
          <w:sz w:val="32"/>
        </w:rPr>
        <w:t>国际上，ISO 14064-1、ISO 14067、ISO 21930、EN 15978及温室气体核算体系等文件，主要从组织、产品或建筑全生命期角度规定温室气体量化、报告和产品环境声明的一般原则。这些文件可为边界设定、数据质量和报告提供方法学参考，但通常不直接规定精装修模块房工厂的计量点网络、仪器配备、批次归集、混线分摊和量值溯源要求。在现有公开资料及本项目调研范围内，尚未发现与本规范对象、边界和技术链条完全一致的计量技术规范。因此，本规范在细分应用场景、计量器具管理和数据可追溯方面具有较强的针对性和可操作性。</w:t>
      </w:r>
    </w:p>
    <w:p w14:paraId="2BC476B6">
      <w:pPr>
        <w:keepNext w:val="0"/>
        <w:widowControl/>
        <w:spacing w:before="0" w:after="0" w:line="560" w:lineRule="exact"/>
        <w:ind w:left="0" w:right="0" w:firstLine="624"/>
        <w:jc w:val="both"/>
        <w:rPr>
          <w:rFonts w:ascii="Times New Roman" w:hAnsi="Times New Roman" w:eastAsia="宋体" w:cs="Times New Roman"/>
          <w:sz w:val="32"/>
        </w:rPr>
      </w:pPr>
      <w:r>
        <w:rPr>
          <w:rFonts w:ascii="Times New Roman" w:hAnsi="Times New Roman" w:eastAsia="宋体" w:cs="Times New Roman"/>
          <w:sz w:val="32"/>
        </w:rPr>
        <w:t>注：征求意见稿第3.3条的活动数据定义标注来源为GB/T 32150，建议在规范</w:t>
      </w:r>
      <w:r>
        <w:rPr>
          <w:rFonts w:hint="eastAsia" w:ascii="Times New Roman" w:hAnsi="Times New Roman" w:eastAsia="宋体" w:cs="Times New Roman"/>
          <w:sz w:val="32"/>
          <w:lang w:eastAsia="zh-CN"/>
        </w:rPr>
        <w:t>“</w:t>
      </w:r>
      <w:r>
        <w:rPr>
          <w:rFonts w:ascii="Times New Roman" w:hAnsi="Times New Roman" w:eastAsia="宋体" w:cs="Times New Roman"/>
          <w:sz w:val="32"/>
        </w:rPr>
        <w:t>引用文件</w:t>
      </w:r>
      <w:r>
        <w:rPr>
          <w:rFonts w:hint="eastAsia" w:ascii="Times New Roman" w:hAnsi="Times New Roman" w:eastAsia="宋体" w:cs="Times New Roman"/>
          <w:sz w:val="32"/>
          <w:lang w:eastAsia="zh-CN"/>
        </w:rPr>
        <w:t>”</w:t>
      </w:r>
      <w:r>
        <w:rPr>
          <w:rFonts w:ascii="Times New Roman" w:hAnsi="Times New Roman" w:eastAsia="宋体" w:cs="Times New Roman"/>
          <w:sz w:val="32"/>
        </w:rPr>
        <w:t>中补充GB/T 32150—2015，并在送审前对全部引用文件的年代号、现行有效性和标准名称进行复核。</w:t>
      </w:r>
    </w:p>
    <w:p w14:paraId="29009C43">
      <w:pPr>
        <w:keepNext w:val="0"/>
        <w:widowControl/>
        <w:spacing w:before="0" w:after="0" w:line="560" w:lineRule="exact"/>
        <w:ind w:left="0" w:right="0" w:firstLine="624"/>
        <w:jc w:val="both"/>
        <w:rPr>
          <w:rFonts w:ascii="Times New Roman" w:hAnsi="Times New Roman" w:eastAsia="宋体" w:cs="Times New Roman"/>
          <w:sz w:val="32"/>
        </w:rPr>
      </w:pPr>
      <w:r>
        <w:rPr>
          <w:rFonts w:ascii="Times New Roman" w:hAnsi="Times New Roman" w:eastAsia="宋体" w:cs="Times New Roman"/>
          <w:kern w:val="0"/>
          <w:sz w:val="32"/>
          <w:szCs w:val="32"/>
        </w:rPr>
        <w:t>国内外还没有同类型的计量技术规范，与国内外的同类计量技术规范的水平对比处于领先位置。</w:t>
      </w:r>
    </w:p>
    <w:p w14:paraId="6ABAE8D0">
      <w:pPr>
        <w:keepNext/>
        <w:widowControl/>
        <w:spacing w:before="200" w:after="0" w:line="560" w:lineRule="exact"/>
        <w:ind w:left="0" w:right="0" w:firstLine="624"/>
        <w:jc w:val="left"/>
      </w:pPr>
      <w:r>
        <w:rPr>
          <w:rFonts w:ascii="Times New Roman" w:hAnsi="Times New Roman" w:eastAsia="黑体" w:cs="Times New Roman"/>
          <w:sz w:val="32"/>
        </w:rPr>
        <w:t>五、重大意见分歧的处理依据和结果</w:t>
      </w:r>
    </w:p>
    <w:p w14:paraId="5FD0D5CC">
      <w:pPr>
        <w:keepNext w:val="0"/>
        <w:widowControl/>
        <w:spacing w:before="0" w:after="0" w:line="560" w:lineRule="exact"/>
        <w:ind w:left="0" w:right="0" w:firstLine="624"/>
        <w:jc w:val="both"/>
      </w:pPr>
      <w:r>
        <w:rPr>
          <w:rFonts w:ascii="Times New Roman" w:hAnsi="Times New Roman" w:eastAsia="宋体" w:cs="Times New Roman"/>
          <w:sz w:val="32"/>
        </w:rPr>
        <w:t>截至征求意见稿形成，编制过程中无重大意见分歧。征求意见结束后，应根据意见汇总处理情况更新本节，对重大分歧说明双方理由、处理依据、协调过程和最终结果。</w:t>
      </w:r>
    </w:p>
    <w:p w14:paraId="3C5904D2">
      <w:pPr>
        <w:keepNext/>
        <w:widowControl/>
        <w:spacing w:before="200" w:after="0" w:line="560" w:lineRule="exact"/>
        <w:ind w:left="0" w:right="0" w:firstLine="624"/>
        <w:jc w:val="left"/>
      </w:pPr>
      <w:r>
        <w:rPr>
          <w:rFonts w:ascii="Times New Roman" w:hAnsi="Times New Roman" w:eastAsia="黑体" w:cs="Times New Roman"/>
          <w:sz w:val="32"/>
        </w:rPr>
        <w:t>六、计量技术规范实施的措施（主要实施单位/宣贯培训/检定校准/建标考核/配套资金/监督检查等）</w:t>
      </w:r>
    </w:p>
    <w:p w14:paraId="152E63D0">
      <w:pPr>
        <w:keepNext w:val="0"/>
        <w:widowControl/>
        <w:spacing w:before="0" w:after="0" w:line="560" w:lineRule="exact"/>
        <w:ind w:left="0" w:right="0" w:firstLine="624"/>
        <w:jc w:val="both"/>
      </w:pPr>
      <w:r>
        <w:rPr>
          <w:rFonts w:ascii="Times New Roman" w:hAnsi="Times New Roman" w:eastAsia="宋体" w:cs="Times New Roman"/>
          <w:sz w:val="32"/>
        </w:rPr>
        <w:t>本规范发布实施后，拟由归口单位组织，主要起草单位、参加起草单位、相关计量技术机构和模块房生产企业共同推进实施。建议采用</w:t>
      </w:r>
      <w:r>
        <w:rPr>
          <w:rFonts w:hint="eastAsia" w:ascii="Times New Roman" w:hAnsi="Times New Roman" w:eastAsia="宋体" w:cs="Times New Roman"/>
          <w:sz w:val="32"/>
          <w:lang w:eastAsia="zh-CN"/>
        </w:rPr>
        <w:t>“</w:t>
      </w:r>
      <w:r>
        <w:rPr>
          <w:rFonts w:ascii="Times New Roman" w:hAnsi="Times New Roman" w:eastAsia="宋体" w:cs="Times New Roman"/>
          <w:sz w:val="32"/>
        </w:rPr>
        <w:t>规范条款解读+典型工厂案例+计量点网络设计+数据计算演练</w:t>
      </w:r>
      <w:r>
        <w:rPr>
          <w:rFonts w:hint="eastAsia" w:ascii="Times New Roman" w:hAnsi="Times New Roman" w:eastAsia="宋体" w:cs="Times New Roman"/>
          <w:sz w:val="32"/>
          <w:lang w:eastAsia="zh-CN"/>
        </w:rPr>
        <w:t>”</w:t>
      </w:r>
      <w:r>
        <w:rPr>
          <w:rFonts w:ascii="Times New Roman" w:hAnsi="Times New Roman" w:eastAsia="宋体" w:cs="Times New Roman"/>
          <w:sz w:val="32"/>
        </w:rPr>
        <w:t>的分层分类宣贯模式。对计量技术机构人员，重点培训边界确认、计量器具溯源审查、数据质量评价和不确定度评定；对生产企业管理人员和计量人员，重点培训碳源流识别、计量器具配备、数据编码、异常数据处理、批次分摊和报告编制。</w:t>
      </w:r>
    </w:p>
    <w:p w14:paraId="514C07D8">
      <w:pPr>
        <w:keepNext w:val="0"/>
        <w:widowControl/>
        <w:spacing w:before="0" w:after="0" w:line="560" w:lineRule="exact"/>
        <w:ind w:left="0" w:right="0" w:firstLine="624"/>
        <w:jc w:val="both"/>
      </w:pPr>
      <w:r>
        <w:rPr>
          <w:rFonts w:ascii="Times New Roman" w:hAnsi="Times New Roman" w:eastAsia="宋体" w:cs="Times New Roman"/>
          <w:sz w:val="32"/>
        </w:rPr>
        <w:t>建议选择不同规模、不同生产组织模式的精装修模块房工厂开展试点。试点单位应梳理源流清单，绘制碳排放流向图和计量点网络图，建立计量器具台账、周期检定/校准计划和活动数据主台账。属于强制检定范围的工作计量器具应依法申请检定；非强制检定计量器具应按规定开展检定、校准、比对或自校，并保证证书和原始记录完整有效。</w:t>
      </w:r>
    </w:p>
    <w:p w14:paraId="46A1E19C">
      <w:pPr>
        <w:keepNext w:val="0"/>
        <w:widowControl/>
        <w:spacing w:before="0" w:after="0" w:line="560" w:lineRule="exact"/>
        <w:ind w:left="0" w:right="0" w:firstLine="624"/>
        <w:jc w:val="both"/>
      </w:pPr>
      <w:r>
        <w:rPr>
          <w:rFonts w:ascii="Times New Roman" w:hAnsi="Times New Roman" w:eastAsia="宋体" w:cs="Times New Roman"/>
          <w:sz w:val="32"/>
        </w:rPr>
        <w:t>鼓励企业建立碳计量信息系统，将计量器具唯一标识、采集点编号、生产批次、模块编号、检定/校准证书、排放因子版本和计算模型进行关联，通过内部审核、定期复核和监督检查持续提高数据质量。规范实施一段时间后，应根据行业反馈、排放因子数据库更新情况和计量技术发展组织效果评估，适时完善相关附录和实施指南。</w:t>
      </w:r>
    </w:p>
    <w:p w14:paraId="66D75ECD">
      <w:pPr>
        <w:keepNext/>
        <w:widowControl/>
        <w:spacing w:before="0" w:after="0" w:line="560" w:lineRule="exact"/>
        <w:ind w:left="0" w:right="0" w:firstLine="624"/>
        <w:jc w:val="both"/>
      </w:pPr>
      <w:r>
        <w:rPr>
          <w:rFonts w:ascii="Times New Roman" w:hAnsi="Times New Roman" w:eastAsia="宋体" w:cs="Times New Roman"/>
          <w:sz w:val="32"/>
        </w:rPr>
        <w:t>本规范的配套资金概算如下表：</w:t>
      </w:r>
    </w:p>
    <w:tbl>
      <w:tblPr>
        <w:tblStyle w:val="5"/>
        <w:tblW w:w="6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320"/>
        <w:gridCol w:w="1560"/>
      </w:tblGrid>
      <w:tr w14:paraId="1A6C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Mar>
              <w:top w:w="120" w:type="dxa"/>
              <w:left w:w="120" w:type="dxa"/>
              <w:bottom w:w="120" w:type="dxa"/>
              <w:right w:w="120" w:type="dxa"/>
            </w:tcMar>
            <w:vAlign w:val="center"/>
          </w:tcPr>
          <w:p w14:paraId="5FDBE9BC">
            <w:pPr>
              <w:spacing w:before="120" w:after="120" w:line="240" w:lineRule="auto"/>
              <w:jc w:val="center"/>
            </w:pPr>
            <w:r>
              <w:rPr>
                <w:rFonts w:ascii="Times New Roman" w:hAnsi="Times New Roman" w:eastAsia="宋体" w:cs="Times New Roman"/>
                <w:sz w:val="24"/>
              </w:rPr>
              <w:t>序号</w:t>
            </w:r>
          </w:p>
        </w:tc>
        <w:tc>
          <w:tcPr>
            <w:tcW w:w="4320" w:type="dxa"/>
            <w:tcMar>
              <w:top w:w="120" w:type="dxa"/>
              <w:left w:w="120" w:type="dxa"/>
              <w:bottom w:w="120" w:type="dxa"/>
              <w:right w:w="120" w:type="dxa"/>
            </w:tcMar>
            <w:vAlign w:val="center"/>
          </w:tcPr>
          <w:p w14:paraId="5077B9FD">
            <w:pPr>
              <w:spacing w:before="120" w:after="120" w:line="240" w:lineRule="auto"/>
              <w:jc w:val="center"/>
            </w:pPr>
            <w:r>
              <w:rPr>
                <w:rFonts w:ascii="Times New Roman" w:hAnsi="Times New Roman" w:eastAsia="宋体" w:cs="Times New Roman"/>
                <w:sz w:val="24"/>
              </w:rPr>
              <w:t>预算科目名称</w:t>
            </w:r>
          </w:p>
        </w:tc>
        <w:tc>
          <w:tcPr>
            <w:tcW w:w="1560" w:type="dxa"/>
            <w:tcMar>
              <w:top w:w="120" w:type="dxa"/>
              <w:left w:w="120" w:type="dxa"/>
              <w:bottom w:w="120" w:type="dxa"/>
              <w:right w:w="120" w:type="dxa"/>
            </w:tcMar>
            <w:vAlign w:val="center"/>
          </w:tcPr>
          <w:p w14:paraId="638D0774">
            <w:pPr>
              <w:spacing w:before="120" w:after="120" w:line="240" w:lineRule="auto"/>
              <w:jc w:val="center"/>
            </w:pPr>
            <w:r>
              <w:rPr>
                <w:rFonts w:ascii="Times New Roman" w:hAnsi="Times New Roman" w:eastAsia="宋体" w:cs="Times New Roman"/>
                <w:sz w:val="24"/>
              </w:rPr>
              <w:t>预算（万元）</w:t>
            </w:r>
          </w:p>
        </w:tc>
      </w:tr>
      <w:tr w14:paraId="45B8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Mar>
              <w:top w:w="120" w:type="dxa"/>
              <w:left w:w="120" w:type="dxa"/>
              <w:bottom w:w="120" w:type="dxa"/>
              <w:right w:w="120" w:type="dxa"/>
            </w:tcMar>
            <w:vAlign w:val="center"/>
          </w:tcPr>
          <w:p w14:paraId="672C3459">
            <w:pPr>
              <w:spacing w:before="120" w:after="120" w:line="240" w:lineRule="auto"/>
              <w:jc w:val="center"/>
            </w:pPr>
            <w:r>
              <w:rPr>
                <w:rFonts w:ascii="Times New Roman" w:hAnsi="Times New Roman" w:eastAsia="宋体" w:cs="Times New Roman"/>
                <w:sz w:val="24"/>
              </w:rPr>
              <w:t>1</w:t>
            </w:r>
          </w:p>
        </w:tc>
        <w:tc>
          <w:tcPr>
            <w:tcW w:w="4320" w:type="dxa"/>
            <w:tcMar>
              <w:top w:w="120" w:type="dxa"/>
              <w:left w:w="120" w:type="dxa"/>
              <w:bottom w:w="120" w:type="dxa"/>
              <w:right w:w="120" w:type="dxa"/>
            </w:tcMar>
            <w:vAlign w:val="center"/>
          </w:tcPr>
          <w:p w14:paraId="52DBA0E3">
            <w:pPr>
              <w:spacing w:before="120" w:after="120" w:line="240" w:lineRule="auto"/>
              <w:jc w:val="center"/>
            </w:pPr>
            <w:r>
              <w:rPr>
                <w:rFonts w:ascii="Times New Roman" w:hAnsi="Times New Roman" w:eastAsia="宋体" w:cs="Times New Roman"/>
                <w:sz w:val="24"/>
              </w:rPr>
              <w:t>差旅费</w:t>
            </w:r>
          </w:p>
        </w:tc>
        <w:tc>
          <w:tcPr>
            <w:tcW w:w="1560" w:type="dxa"/>
            <w:tcMar>
              <w:top w:w="120" w:type="dxa"/>
              <w:left w:w="120" w:type="dxa"/>
              <w:bottom w:w="120" w:type="dxa"/>
              <w:right w:w="120" w:type="dxa"/>
            </w:tcMar>
            <w:vAlign w:val="center"/>
          </w:tcPr>
          <w:p w14:paraId="52DAE27C">
            <w:pPr>
              <w:widowControl/>
              <w:spacing w:before="156" w:beforeLines="50" w:after="156" w:afterLines="50" w:line="240" w:lineRule="auto"/>
              <w:jc w:val="center"/>
            </w:pPr>
            <w:r>
              <w:rPr>
                <w:rFonts w:ascii="Times New Roman" w:hAnsi="Times New Roman" w:eastAsia="宋体" w:cs="Times New Roman"/>
                <w:sz w:val="24"/>
                <w:szCs w:val="20"/>
              </w:rPr>
              <w:t>1.0</w:t>
            </w:r>
          </w:p>
        </w:tc>
      </w:tr>
      <w:tr w14:paraId="6573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Mar>
              <w:top w:w="120" w:type="dxa"/>
              <w:left w:w="120" w:type="dxa"/>
              <w:bottom w:w="120" w:type="dxa"/>
              <w:right w:w="120" w:type="dxa"/>
            </w:tcMar>
            <w:vAlign w:val="center"/>
          </w:tcPr>
          <w:p w14:paraId="2ECF2331">
            <w:pPr>
              <w:spacing w:before="120" w:after="120" w:line="240" w:lineRule="auto"/>
              <w:jc w:val="center"/>
            </w:pPr>
            <w:r>
              <w:rPr>
                <w:rFonts w:ascii="Times New Roman" w:hAnsi="Times New Roman" w:eastAsia="宋体" w:cs="Times New Roman"/>
                <w:sz w:val="24"/>
              </w:rPr>
              <w:t>2</w:t>
            </w:r>
          </w:p>
        </w:tc>
        <w:tc>
          <w:tcPr>
            <w:tcW w:w="4320" w:type="dxa"/>
            <w:tcMar>
              <w:top w:w="120" w:type="dxa"/>
              <w:left w:w="120" w:type="dxa"/>
              <w:bottom w:w="120" w:type="dxa"/>
              <w:right w:w="120" w:type="dxa"/>
            </w:tcMar>
            <w:vAlign w:val="center"/>
          </w:tcPr>
          <w:p w14:paraId="0EC0A726">
            <w:pPr>
              <w:spacing w:before="120" w:after="120" w:line="240" w:lineRule="auto"/>
              <w:jc w:val="center"/>
            </w:pPr>
            <w:r>
              <w:rPr>
                <w:rFonts w:ascii="Times New Roman" w:hAnsi="Times New Roman" w:eastAsia="宋体" w:cs="Times New Roman"/>
                <w:sz w:val="24"/>
              </w:rPr>
              <w:t>会议费</w:t>
            </w:r>
          </w:p>
        </w:tc>
        <w:tc>
          <w:tcPr>
            <w:tcW w:w="1560" w:type="dxa"/>
            <w:tcMar>
              <w:top w:w="120" w:type="dxa"/>
              <w:left w:w="120" w:type="dxa"/>
              <w:bottom w:w="120" w:type="dxa"/>
              <w:right w:w="120" w:type="dxa"/>
            </w:tcMar>
            <w:vAlign w:val="center"/>
          </w:tcPr>
          <w:p w14:paraId="70B0E4A8">
            <w:pPr>
              <w:widowControl/>
              <w:spacing w:before="156" w:beforeLines="50" w:after="156" w:afterLines="50" w:line="240" w:lineRule="auto"/>
              <w:jc w:val="center"/>
            </w:pPr>
            <w:r>
              <w:rPr>
                <w:rFonts w:ascii="Times New Roman" w:hAnsi="Times New Roman" w:eastAsia="宋体" w:cs="Times New Roman"/>
                <w:sz w:val="24"/>
                <w:szCs w:val="20"/>
              </w:rPr>
              <w:t>2.0</w:t>
            </w:r>
          </w:p>
        </w:tc>
      </w:tr>
      <w:tr w14:paraId="407D9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Mar>
              <w:top w:w="120" w:type="dxa"/>
              <w:left w:w="120" w:type="dxa"/>
              <w:bottom w:w="120" w:type="dxa"/>
              <w:right w:w="120" w:type="dxa"/>
            </w:tcMar>
            <w:vAlign w:val="center"/>
          </w:tcPr>
          <w:p w14:paraId="788AFF33">
            <w:pPr>
              <w:spacing w:before="120" w:after="120" w:line="240" w:lineRule="auto"/>
              <w:jc w:val="center"/>
            </w:pPr>
            <w:r>
              <w:rPr>
                <w:rFonts w:ascii="Times New Roman" w:hAnsi="Times New Roman" w:eastAsia="宋体" w:cs="Times New Roman"/>
                <w:sz w:val="24"/>
              </w:rPr>
              <w:t>3</w:t>
            </w:r>
          </w:p>
        </w:tc>
        <w:tc>
          <w:tcPr>
            <w:tcW w:w="4320" w:type="dxa"/>
            <w:tcMar>
              <w:top w:w="120" w:type="dxa"/>
              <w:left w:w="120" w:type="dxa"/>
              <w:bottom w:w="120" w:type="dxa"/>
              <w:right w:w="120" w:type="dxa"/>
            </w:tcMar>
            <w:vAlign w:val="center"/>
          </w:tcPr>
          <w:p w14:paraId="26162CBA">
            <w:pPr>
              <w:spacing w:before="120" w:after="120" w:line="240" w:lineRule="auto"/>
              <w:jc w:val="center"/>
            </w:pPr>
            <w:r>
              <w:rPr>
                <w:rFonts w:ascii="Times New Roman" w:hAnsi="Times New Roman" w:eastAsia="宋体" w:cs="Times New Roman"/>
                <w:sz w:val="24"/>
              </w:rPr>
              <w:t>出版、文献、知识产权事务费、资料费、印刷费</w:t>
            </w:r>
          </w:p>
        </w:tc>
        <w:tc>
          <w:tcPr>
            <w:tcW w:w="1560" w:type="dxa"/>
            <w:tcMar>
              <w:top w:w="120" w:type="dxa"/>
              <w:left w:w="120" w:type="dxa"/>
              <w:bottom w:w="120" w:type="dxa"/>
              <w:right w:w="120" w:type="dxa"/>
            </w:tcMar>
            <w:vAlign w:val="center"/>
          </w:tcPr>
          <w:p w14:paraId="73481873">
            <w:pPr>
              <w:widowControl/>
              <w:spacing w:before="156" w:beforeLines="50" w:after="156" w:afterLines="50" w:line="240" w:lineRule="auto"/>
              <w:jc w:val="center"/>
            </w:pPr>
            <w:r>
              <w:rPr>
                <w:rFonts w:ascii="Times New Roman" w:hAnsi="Times New Roman" w:eastAsia="宋体" w:cs="Times New Roman"/>
                <w:sz w:val="24"/>
                <w:szCs w:val="20"/>
              </w:rPr>
              <w:t>1.0</w:t>
            </w:r>
          </w:p>
        </w:tc>
      </w:tr>
      <w:tr w14:paraId="65923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Mar>
              <w:top w:w="120" w:type="dxa"/>
              <w:left w:w="120" w:type="dxa"/>
              <w:bottom w:w="120" w:type="dxa"/>
              <w:right w:w="120" w:type="dxa"/>
            </w:tcMar>
            <w:vAlign w:val="center"/>
          </w:tcPr>
          <w:p w14:paraId="49115999">
            <w:pPr>
              <w:spacing w:before="120" w:after="120" w:line="240" w:lineRule="auto"/>
              <w:jc w:val="center"/>
            </w:pPr>
            <w:r>
              <w:rPr>
                <w:rFonts w:ascii="Times New Roman" w:hAnsi="Times New Roman" w:eastAsia="宋体" w:cs="Times New Roman"/>
                <w:sz w:val="24"/>
              </w:rPr>
              <w:t>4</w:t>
            </w:r>
          </w:p>
        </w:tc>
        <w:tc>
          <w:tcPr>
            <w:tcW w:w="4320" w:type="dxa"/>
            <w:tcMar>
              <w:top w:w="120" w:type="dxa"/>
              <w:left w:w="120" w:type="dxa"/>
              <w:bottom w:w="120" w:type="dxa"/>
              <w:right w:w="120" w:type="dxa"/>
            </w:tcMar>
            <w:vAlign w:val="center"/>
          </w:tcPr>
          <w:p w14:paraId="7D1BF3D3">
            <w:pPr>
              <w:spacing w:before="120" w:after="120" w:line="240" w:lineRule="auto"/>
              <w:jc w:val="center"/>
            </w:pPr>
            <w:r>
              <w:rPr>
                <w:rFonts w:ascii="Times New Roman" w:hAnsi="Times New Roman" w:eastAsia="宋体" w:cs="Times New Roman"/>
                <w:sz w:val="24"/>
              </w:rPr>
              <w:t>专家咨询费</w:t>
            </w:r>
          </w:p>
        </w:tc>
        <w:tc>
          <w:tcPr>
            <w:tcW w:w="1560" w:type="dxa"/>
            <w:tcMar>
              <w:top w:w="120" w:type="dxa"/>
              <w:left w:w="120" w:type="dxa"/>
              <w:bottom w:w="120" w:type="dxa"/>
              <w:right w:w="120" w:type="dxa"/>
            </w:tcMar>
            <w:vAlign w:val="center"/>
          </w:tcPr>
          <w:p w14:paraId="3F24D5F5">
            <w:pPr>
              <w:widowControl/>
              <w:spacing w:before="156" w:beforeLines="50" w:after="156" w:afterLines="50" w:line="240" w:lineRule="auto"/>
              <w:jc w:val="center"/>
            </w:pPr>
            <w:r>
              <w:rPr>
                <w:rFonts w:ascii="Times New Roman" w:hAnsi="Times New Roman" w:eastAsia="宋体" w:cs="Times New Roman"/>
                <w:sz w:val="24"/>
                <w:szCs w:val="20"/>
              </w:rPr>
              <w:t>1.0</w:t>
            </w:r>
          </w:p>
        </w:tc>
      </w:tr>
      <w:tr w14:paraId="13AC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20" w:type="dxa"/>
            <w:gridSpan w:val="2"/>
            <w:tcMar>
              <w:top w:w="120" w:type="dxa"/>
              <w:left w:w="120" w:type="dxa"/>
              <w:bottom w:w="120" w:type="dxa"/>
              <w:right w:w="120" w:type="dxa"/>
            </w:tcMar>
            <w:vAlign w:val="center"/>
          </w:tcPr>
          <w:p w14:paraId="219999DA">
            <w:pPr>
              <w:jc w:val="center"/>
            </w:pPr>
            <w:r>
              <w:rPr>
                <w:rFonts w:ascii="Times New Roman" w:hAnsi="Times New Roman" w:eastAsia="宋体" w:cs="Times New Roman"/>
                <w:sz w:val="24"/>
              </w:rPr>
              <w:t>合计</w:t>
            </w:r>
          </w:p>
        </w:tc>
        <w:tc>
          <w:tcPr>
            <w:tcW w:w="1560" w:type="dxa"/>
            <w:tcMar>
              <w:top w:w="120" w:type="dxa"/>
              <w:left w:w="120" w:type="dxa"/>
              <w:bottom w:w="120" w:type="dxa"/>
              <w:right w:w="120" w:type="dxa"/>
            </w:tcMar>
            <w:vAlign w:val="center"/>
          </w:tcPr>
          <w:p w14:paraId="0FF84243">
            <w:pPr>
              <w:widowControl/>
              <w:spacing w:before="156" w:beforeLines="50" w:after="156" w:afterLines="50" w:line="240" w:lineRule="auto"/>
              <w:jc w:val="center"/>
            </w:pPr>
            <w:r>
              <w:rPr>
                <w:rFonts w:ascii="Times New Roman" w:hAnsi="Times New Roman" w:eastAsia="宋体" w:cs="Times New Roman"/>
                <w:sz w:val="24"/>
                <w:szCs w:val="20"/>
              </w:rPr>
              <w:t>5.0</w:t>
            </w:r>
          </w:p>
        </w:tc>
      </w:tr>
    </w:tbl>
    <w:p w14:paraId="3CB90135">
      <w:pPr>
        <w:keepNext w:val="0"/>
        <w:widowControl/>
        <w:spacing w:before="120" w:after="0" w:line="560" w:lineRule="exact"/>
        <w:ind w:left="0" w:right="0" w:firstLine="624"/>
        <w:jc w:val="both"/>
      </w:pPr>
      <w:r>
        <w:rPr>
          <w:rFonts w:hint="eastAsia" w:ascii="Times New Roman" w:hAnsi="Times New Roman" w:eastAsia="宋体" w:cs="Times New Roman"/>
          <w:sz w:val="32"/>
        </w:rPr>
        <w:t>本规范经费由起草单位自筹</w:t>
      </w:r>
      <w:r>
        <w:rPr>
          <w:rFonts w:ascii="Times New Roman" w:hAnsi="Times New Roman" w:eastAsia="宋体" w:cs="Times New Roman"/>
          <w:sz w:val="32"/>
        </w:rPr>
        <w:t>。相关经费应专项用于规范调研、实验验证、专家咨询、会议审查、文献资料、出版印刷和宣贯培训等工作。</w:t>
      </w:r>
    </w:p>
    <w:p w14:paraId="08241894">
      <w:pPr>
        <w:keepNext/>
        <w:widowControl/>
        <w:spacing w:before="200" w:after="0" w:line="560" w:lineRule="exact"/>
        <w:ind w:left="0" w:right="0" w:firstLine="624"/>
        <w:jc w:val="left"/>
      </w:pPr>
      <w:r>
        <w:rPr>
          <w:rFonts w:ascii="Times New Roman" w:hAnsi="Times New Roman" w:eastAsia="黑体" w:cs="Times New Roman"/>
          <w:sz w:val="32"/>
        </w:rPr>
        <w:t>七、其他应说明的事项</w:t>
      </w:r>
    </w:p>
    <w:p w14:paraId="0EFF0690">
      <w:pPr>
        <w:keepNext/>
        <w:widowControl/>
        <w:spacing w:before="0" w:after="0" w:line="560" w:lineRule="exact"/>
        <w:ind w:left="0" w:right="0" w:firstLine="624"/>
        <w:jc w:val="both"/>
      </w:pPr>
      <w:r>
        <w:rPr>
          <w:rFonts w:ascii="Times New Roman" w:hAnsi="Times New Roman" w:eastAsia="宋体" w:cs="Times New Roman"/>
          <w:sz w:val="32"/>
        </w:rPr>
        <w:t>规范编制组在制定本规范过程中，按以下原则开展起草工作：</w:t>
      </w:r>
    </w:p>
    <w:p w14:paraId="6598AF01">
      <w:pPr>
        <w:keepNext w:val="0"/>
        <w:widowControl/>
        <w:spacing w:before="0" w:after="0" w:line="560" w:lineRule="exact"/>
        <w:ind w:left="0" w:right="0" w:firstLine="624"/>
        <w:jc w:val="both"/>
      </w:pPr>
      <w:r>
        <w:rPr>
          <w:rFonts w:ascii="Times New Roman" w:hAnsi="Times New Roman" w:eastAsia="宋体" w:cs="Times New Roman"/>
          <w:sz w:val="32"/>
        </w:rPr>
        <w:t>1、合规性原则。贯彻国家碳达峰碳中和、碳排放双控和计量发展要求，与现行计量法律法规、计量技术规范和国家标准保持协调。</w:t>
      </w:r>
    </w:p>
    <w:p w14:paraId="1FBC9409">
      <w:pPr>
        <w:keepNext w:val="0"/>
        <w:widowControl/>
        <w:spacing w:before="0" w:after="0" w:line="560" w:lineRule="exact"/>
        <w:ind w:left="0" w:right="0" w:firstLine="624"/>
        <w:jc w:val="both"/>
      </w:pPr>
      <w:r>
        <w:rPr>
          <w:rFonts w:ascii="Times New Roman" w:hAnsi="Times New Roman" w:eastAsia="宋体" w:cs="Times New Roman"/>
          <w:sz w:val="32"/>
        </w:rPr>
        <w:t>2、科学性原则。以排放源流和测量模型为主线，明确计量对象、边界、数据、排放因子和不确定度之间的逻辑关系。</w:t>
      </w:r>
    </w:p>
    <w:p w14:paraId="77CB56F7">
      <w:pPr>
        <w:keepNext w:val="0"/>
        <w:widowControl/>
        <w:spacing w:before="0" w:after="0" w:line="560" w:lineRule="exact"/>
        <w:ind w:left="0" w:right="0" w:firstLine="624"/>
        <w:jc w:val="both"/>
      </w:pPr>
      <w:r>
        <w:rPr>
          <w:rFonts w:ascii="Times New Roman" w:hAnsi="Times New Roman" w:eastAsia="宋体" w:cs="Times New Roman"/>
          <w:sz w:val="32"/>
        </w:rPr>
        <w:t>3、准确可靠原则。优先采用直接计量和实测数据，强化计量器具量值溯源、数据质量控制和结果不确定度表达。</w:t>
      </w:r>
    </w:p>
    <w:p w14:paraId="262BC0EB">
      <w:pPr>
        <w:keepNext w:val="0"/>
        <w:widowControl/>
        <w:spacing w:before="0" w:after="0" w:line="560" w:lineRule="exact"/>
        <w:ind w:left="0" w:right="0" w:firstLine="624"/>
        <w:jc w:val="both"/>
      </w:pPr>
      <w:r>
        <w:rPr>
          <w:rFonts w:ascii="Times New Roman" w:hAnsi="Times New Roman" w:eastAsia="宋体" w:cs="Times New Roman"/>
          <w:sz w:val="32"/>
        </w:rPr>
        <w:t>4、可操作性原则。充分考虑精装修模块房工厂的实际生产工艺、管理水平和数据基础，在保证计量质量的同时兼顾经济性、便捷性和实施可行性。</w:t>
      </w:r>
    </w:p>
    <w:p w14:paraId="298CAEC3">
      <w:pPr>
        <w:keepNext w:val="0"/>
        <w:widowControl/>
        <w:spacing w:before="0" w:after="0" w:line="560" w:lineRule="exact"/>
        <w:ind w:left="0" w:right="0" w:firstLine="624"/>
        <w:jc w:val="both"/>
      </w:pPr>
      <w:r>
        <w:rPr>
          <w:rFonts w:ascii="Times New Roman" w:hAnsi="Times New Roman" w:eastAsia="宋体" w:cs="Times New Roman"/>
          <w:sz w:val="32"/>
        </w:rPr>
        <w:t>5、可追溯与可比较原则。通过统一编码、证据链、功能单位和报告格式，支持不同批次、不同企业和不同模块类型之间的合理比较。</w:t>
      </w:r>
    </w:p>
    <w:p w14:paraId="45F39328">
      <w:pPr>
        <w:keepNext/>
        <w:widowControl/>
        <w:spacing w:before="0" w:after="0" w:line="560" w:lineRule="exact"/>
        <w:ind w:left="0" w:right="0" w:firstLine="624"/>
        <w:jc w:val="both"/>
      </w:pPr>
      <w:r>
        <w:rPr>
          <w:rFonts w:ascii="Times New Roman" w:hAnsi="Times New Roman" w:eastAsia="宋体" w:cs="Times New Roman"/>
          <w:sz w:val="32"/>
        </w:rPr>
        <w:t>本规范执行操作说明：</w:t>
      </w:r>
    </w:p>
    <w:p w14:paraId="73CCF247">
      <w:pPr>
        <w:keepNext w:val="0"/>
        <w:widowControl/>
        <w:spacing w:before="0" w:after="0" w:line="560" w:lineRule="exact"/>
        <w:ind w:left="0" w:right="0" w:firstLine="624"/>
        <w:jc w:val="both"/>
      </w:pPr>
      <w:r>
        <w:rPr>
          <w:rFonts w:ascii="Times New Roman" w:hAnsi="Times New Roman" w:eastAsia="宋体" w:cs="Times New Roman"/>
          <w:sz w:val="32"/>
        </w:rPr>
        <w:t>1、确定计量批次和功能单位。收集工厂和产品基本信息，包括工厂名称、所在地址、厂房面积、生产线、产品类型、批次数量、模块编号、建筑面积及生产周期等，确定采用kgCO2e/模块或kgCO2e/m²表达。</w:t>
      </w:r>
    </w:p>
    <w:p w14:paraId="3DD5BF73">
      <w:pPr>
        <w:keepNext w:val="0"/>
        <w:widowControl/>
        <w:spacing w:before="0" w:after="0" w:line="560" w:lineRule="exact"/>
        <w:ind w:left="0" w:right="0" w:firstLine="624"/>
        <w:jc w:val="both"/>
      </w:pPr>
      <w:r>
        <w:rPr>
          <w:rFonts w:ascii="Times New Roman" w:hAnsi="Times New Roman" w:eastAsia="宋体" w:cs="Times New Roman"/>
          <w:sz w:val="32"/>
        </w:rPr>
        <w:t>2、确定计量边界和范围。依据规范第4章确定时间边界、空间边界、直接服务区域、间接服务区域和排放类型，对扩展计量的材料隐含碳排放单独说明。</w:t>
      </w:r>
    </w:p>
    <w:p w14:paraId="0A8428F5">
      <w:pPr>
        <w:keepNext w:val="0"/>
        <w:widowControl/>
        <w:spacing w:before="0" w:after="0" w:line="560" w:lineRule="exact"/>
        <w:ind w:left="0" w:right="0" w:firstLine="624"/>
        <w:jc w:val="both"/>
      </w:pPr>
      <w:r>
        <w:rPr>
          <w:rFonts w:ascii="Times New Roman" w:hAnsi="Times New Roman" w:eastAsia="宋体" w:cs="Times New Roman"/>
          <w:sz w:val="32"/>
        </w:rPr>
        <w:t>3、识别碳源流并布置计量点。梳理直接生产和辅助生产环节的化石燃料燃烧、过程排放、净购入电力和热（冷）力等源流，形成源流清单、流向图和计量点网络图。</w:t>
      </w:r>
    </w:p>
    <w:p w14:paraId="51BAAA00">
      <w:pPr>
        <w:keepNext w:val="0"/>
        <w:widowControl/>
        <w:spacing w:before="0" w:after="0" w:line="560" w:lineRule="exact"/>
        <w:ind w:left="0" w:right="0" w:firstLine="624"/>
        <w:jc w:val="both"/>
      </w:pPr>
      <w:r>
        <w:rPr>
          <w:rFonts w:ascii="Times New Roman" w:hAnsi="Times New Roman" w:eastAsia="宋体" w:cs="Times New Roman"/>
          <w:sz w:val="32"/>
        </w:rPr>
        <w:t>4、核查计量器具。对照第5章、第6章和附录B，确认计量器具的类型、量程、准确度等级、安装位置、唯一标识、检定/校准状态和证书有效性，符合要求后获取原始活动数据。</w:t>
      </w:r>
    </w:p>
    <w:p w14:paraId="6CAD4AD9">
      <w:pPr>
        <w:keepNext w:val="0"/>
        <w:widowControl/>
        <w:spacing w:before="0" w:after="0" w:line="560" w:lineRule="exact"/>
        <w:ind w:left="0" w:right="0" w:firstLine="624"/>
        <w:jc w:val="both"/>
      </w:pPr>
      <w:r>
        <w:rPr>
          <w:rFonts w:ascii="Times New Roman" w:hAnsi="Times New Roman" w:eastAsia="宋体" w:cs="Times New Roman"/>
          <w:sz w:val="32"/>
        </w:rPr>
        <w:t>5、获取、编码和处理数据。按附录C为活动数据设置唯一编号，建立主数据台账，识别异常值，根据模块数量、标准工时、产线运行时长、模块体量或毛重等关联指标对共享数据进行合理分摊。</w:t>
      </w:r>
    </w:p>
    <w:p w14:paraId="61499A93">
      <w:pPr>
        <w:keepNext w:val="0"/>
        <w:widowControl/>
        <w:spacing w:before="0" w:after="0" w:line="560" w:lineRule="exact"/>
        <w:ind w:left="0" w:right="0" w:firstLine="624"/>
        <w:jc w:val="both"/>
      </w:pPr>
      <w:r>
        <w:rPr>
          <w:rFonts w:ascii="Times New Roman" w:hAnsi="Times New Roman" w:eastAsia="宋体" w:cs="Times New Roman"/>
          <w:sz w:val="32"/>
        </w:rPr>
        <w:t>6、确定碳排放因子并评定不确定度。优先采用实测或官方发布的排放因子，记录来源、版本和适用性；按JJF 1059.1和附录E评定相关不确定度，对非实测值及计量空缺作出声明。</w:t>
      </w:r>
    </w:p>
    <w:p w14:paraId="5F66A9FF">
      <w:pPr>
        <w:keepNext w:val="0"/>
        <w:widowControl/>
        <w:spacing w:before="0" w:after="0" w:line="560" w:lineRule="exact"/>
        <w:ind w:left="0" w:right="0" w:firstLine="624"/>
        <w:jc w:val="both"/>
      </w:pPr>
      <w:r>
        <w:rPr>
          <w:rFonts w:ascii="Times New Roman" w:hAnsi="Times New Roman" w:eastAsia="宋体" w:cs="Times New Roman"/>
          <w:sz w:val="32"/>
        </w:rPr>
        <w:t>7、计算与报告。汇总各源流活动数据和碳排放因子，得到批次总碳排放量和功能单位碳排放结果，按附录D形成报告，并完成内部审核和证据归档。</w:t>
      </w:r>
    </w:p>
    <w:sectPr>
      <w:pgSz w:w="11906" w:h="16838"/>
      <w:pgMar w:top="1440" w:right="1800" w:bottom="1440" w:left="1800" w:header="850"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5D"/>
    <w:rsid w:val="000560B0"/>
    <w:rsid w:val="0006417F"/>
    <w:rsid w:val="000A777D"/>
    <w:rsid w:val="001D26F4"/>
    <w:rsid w:val="0023347B"/>
    <w:rsid w:val="00266E4F"/>
    <w:rsid w:val="00326C45"/>
    <w:rsid w:val="00333027"/>
    <w:rsid w:val="00383F1E"/>
    <w:rsid w:val="003967BD"/>
    <w:rsid w:val="003972E8"/>
    <w:rsid w:val="003E6DB0"/>
    <w:rsid w:val="00522C5D"/>
    <w:rsid w:val="00596586"/>
    <w:rsid w:val="005F55BA"/>
    <w:rsid w:val="007363C5"/>
    <w:rsid w:val="00766151"/>
    <w:rsid w:val="0088010B"/>
    <w:rsid w:val="008817D2"/>
    <w:rsid w:val="008B2CE2"/>
    <w:rsid w:val="00911EC1"/>
    <w:rsid w:val="00955474"/>
    <w:rsid w:val="00991F11"/>
    <w:rsid w:val="009B58B6"/>
    <w:rsid w:val="00A267FF"/>
    <w:rsid w:val="00A622B9"/>
    <w:rsid w:val="00A839D2"/>
    <w:rsid w:val="00B630D4"/>
    <w:rsid w:val="00B7767F"/>
    <w:rsid w:val="00BC0014"/>
    <w:rsid w:val="00BD411A"/>
    <w:rsid w:val="00C94132"/>
    <w:rsid w:val="00D27D45"/>
    <w:rsid w:val="00D50597"/>
    <w:rsid w:val="00D56585"/>
    <w:rsid w:val="00DB3E7F"/>
    <w:rsid w:val="015C7D9D"/>
    <w:rsid w:val="02447828"/>
    <w:rsid w:val="02EF3555"/>
    <w:rsid w:val="037821FD"/>
    <w:rsid w:val="057707DD"/>
    <w:rsid w:val="064F49ED"/>
    <w:rsid w:val="065F3FCB"/>
    <w:rsid w:val="06DE4EBF"/>
    <w:rsid w:val="079561B9"/>
    <w:rsid w:val="0B574BDE"/>
    <w:rsid w:val="0C293A99"/>
    <w:rsid w:val="0C8106BD"/>
    <w:rsid w:val="0D9553DC"/>
    <w:rsid w:val="0E726C04"/>
    <w:rsid w:val="0F266028"/>
    <w:rsid w:val="10714CB2"/>
    <w:rsid w:val="12151195"/>
    <w:rsid w:val="15322CC6"/>
    <w:rsid w:val="164107F7"/>
    <w:rsid w:val="19576CBF"/>
    <w:rsid w:val="19753E1B"/>
    <w:rsid w:val="1BDF5E62"/>
    <w:rsid w:val="1DEB521B"/>
    <w:rsid w:val="1EA06BBB"/>
    <w:rsid w:val="21127837"/>
    <w:rsid w:val="217D5C7C"/>
    <w:rsid w:val="220922DC"/>
    <w:rsid w:val="222C54E8"/>
    <w:rsid w:val="23996B00"/>
    <w:rsid w:val="24A4261A"/>
    <w:rsid w:val="258572F3"/>
    <w:rsid w:val="2702519E"/>
    <w:rsid w:val="2B355F00"/>
    <w:rsid w:val="2B89472E"/>
    <w:rsid w:val="2ED932C7"/>
    <w:rsid w:val="2F2B1BEC"/>
    <w:rsid w:val="35135D6B"/>
    <w:rsid w:val="35AB75E3"/>
    <w:rsid w:val="36EF3B48"/>
    <w:rsid w:val="3C0D6901"/>
    <w:rsid w:val="3C1D2CA3"/>
    <w:rsid w:val="3E9818C6"/>
    <w:rsid w:val="409355A4"/>
    <w:rsid w:val="409C4DB5"/>
    <w:rsid w:val="413F1E43"/>
    <w:rsid w:val="41FD42D1"/>
    <w:rsid w:val="42E732F2"/>
    <w:rsid w:val="449E4058"/>
    <w:rsid w:val="49860449"/>
    <w:rsid w:val="4A5C1CCA"/>
    <w:rsid w:val="4C2743B1"/>
    <w:rsid w:val="4C8F2D3A"/>
    <w:rsid w:val="4CE126D4"/>
    <w:rsid w:val="4CEA2B2E"/>
    <w:rsid w:val="501A73E7"/>
    <w:rsid w:val="518E7DF8"/>
    <w:rsid w:val="52254871"/>
    <w:rsid w:val="527238E9"/>
    <w:rsid w:val="55363AB8"/>
    <w:rsid w:val="56866615"/>
    <w:rsid w:val="575E6FDA"/>
    <w:rsid w:val="581C3C2F"/>
    <w:rsid w:val="5AF15021"/>
    <w:rsid w:val="5C2E6CC9"/>
    <w:rsid w:val="5C564204"/>
    <w:rsid w:val="5D1E17CC"/>
    <w:rsid w:val="5E544008"/>
    <w:rsid w:val="5EB27239"/>
    <w:rsid w:val="63ED6DD1"/>
    <w:rsid w:val="64CB689D"/>
    <w:rsid w:val="64DE6771"/>
    <w:rsid w:val="67412203"/>
    <w:rsid w:val="675379FD"/>
    <w:rsid w:val="68F229CE"/>
    <w:rsid w:val="6D0B2B07"/>
    <w:rsid w:val="702F7EED"/>
    <w:rsid w:val="718C50A3"/>
    <w:rsid w:val="71A4709A"/>
    <w:rsid w:val="74DE3C55"/>
    <w:rsid w:val="78351CE9"/>
    <w:rsid w:val="7B0E5FA5"/>
    <w:rsid w:val="7C055284"/>
    <w:rsid w:val="7D35743E"/>
    <w:rsid w:val="7D7A2C9A"/>
    <w:rsid w:val="7E325778"/>
    <w:rsid w:val="7EEF7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heme="minorHAnsi" w:hAnsiTheme="minorHAnsi" w:eastAsiaTheme="minorEastAsia" w:cstheme="minorBidi"/>
      <w:kern w:val="2"/>
      <w:sz w:val="3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5649</Words>
  <Characters>6005</Characters>
  <Lines>35</Lines>
  <Paragraphs>10</Paragraphs>
  <TotalTime>3</TotalTime>
  <ScaleCrop>false</ScaleCrop>
  <LinksUpToDate>false</LinksUpToDate>
  <CharactersWithSpaces>6090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2024-01-05T06:26:00Z</dcterms:created>
  <dc:creator>规范编制组</dc:creator>
  <cp:lastModifiedBy>吴亚琦</cp:lastModifiedBy>
  <dcterms:modified xsi:type="dcterms:W3CDTF">2026-08-12T01:13:31Z</dcterms:modified>
  <dc:subject>征求意见稿附件</dc:subject>
  <dc:title>《精装修模块房碳排放计量技术规范》编制说明</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046A36D938FD4A7CB4E89B06E6AD68DD_13</vt:lpwstr>
  </property>
  <property fmtid="{D5CDD505-2E9C-101B-9397-08002B2CF9AE}" pid="4" name="KSOTemplateDocerSaveRecord">
    <vt:lpwstr>eyJoZGlkIjoiNDFlNmYwZTFjMTRiNmNlMWY0YTgyNTM5MTYwOTljNTAiLCJ1c2VySWQiOiIzMjA3NDk0MDEifQ==</vt:lpwstr>
  </property>
</Properties>
</file>