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720F4" w14:textId="77777777" w:rsidR="002E468B" w:rsidRDefault="002E468B" w:rsidP="002E468B">
      <w:pPr>
        <w:spacing w:line="360" w:lineRule="auto"/>
        <w:jc w:val="center"/>
        <w:rPr>
          <w:rFonts w:ascii="黑体" w:eastAsia="黑体" w:hAnsi="黑体"/>
          <w:sz w:val="72"/>
          <w:szCs w:val="72"/>
        </w:rPr>
      </w:pPr>
    </w:p>
    <w:p w14:paraId="0A180EC1" w14:textId="77777777" w:rsidR="002E468B" w:rsidRPr="00013603" w:rsidRDefault="002E468B" w:rsidP="002E468B">
      <w:pPr>
        <w:spacing w:line="360" w:lineRule="auto"/>
        <w:jc w:val="center"/>
        <w:rPr>
          <w:rFonts w:ascii="黑体" w:eastAsia="黑体" w:hAnsi="黑体"/>
          <w:sz w:val="72"/>
          <w:szCs w:val="72"/>
        </w:rPr>
      </w:pPr>
    </w:p>
    <w:p w14:paraId="57FABAFC" w14:textId="77777777" w:rsidR="002E468B" w:rsidRPr="00013603" w:rsidRDefault="002E468B" w:rsidP="002E468B">
      <w:pPr>
        <w:spacing w:line="360" w:lineRule="auto"/>
        <w:jc w:val="center"/>
        <w:rPr>
          <w:rFonts w:ascii="黑体" w:eastAsia="黑体" w:hAnsi="黑体"/>
          <w:sz w:val="72"/>
          <w:szCs w:val="72"/>
        </w:rPr>
      </w:pPr>
      <w:r w:rsidRPr="00013603">
        <w:rPr>
          <w:rFonts w:ascii="黑体" w:eastAsia="黑体" w:hAnsi="黑体" w:hint="eastAsia"/>
          <w:sz w:val="72"/>
          <w:szCs w:val="72"/>
        </w:rPr>
        <w:t>国家计量技术规范</w:t>
      </w:r>
    </w:p>
    <w:p w14:paraId="48E42A37" w14:textId="198612DC" w:rsidR="002E468B" w:rsidRPr="00013603" w:rsidRDefault="002E468B" w:rsidP="002E468B">
      <w:pPr>
        <w:spacing w:line="360" w:lineRule="auto"/>
        <w:jc w:val="center"/>
        <w:rPr>
          <w:rFonts w:ascii="黑体" w:eastAsia="黑体" w:hAnsi="黑体"/>
          <w:sz w:val="72"/>
          <w:szCs w:val="72"/>
        </w:rPr>
      </w:pPr>
      <w:r w:rsidRPr="00013603">
        <w:rPr>
          <w:rFonts w:ascii="黑体" w:eastAsia="黑体" w:hAnsi="黑体" w:hint="eastAsia"/>
          <w:sz w:val="72"/>
          <w:szCs w:val="72"/>
        </w:rPr>
        <w:t>《</w:t>
      </w:r>
      <w:r w:rsidRPr="002E468B">
        <w:rPr>
          <w:rFonts w:ascii="黑体" w:eastAsia="黑体" w:hAnsi="黑体" w:hint="eastAsia"/>
          <w:sz w:val="72"/>
          <w:szCs w:val="72"/>
        </w:rPr>
        <w:t>明渠超声流量计在线校准规范（流速仪法）</w:t>
      </w:r>
      <w:r w:rsidRPr="00013603">
        <w:rPr>
          <w:rFonts w:ascii="黑体" w:eastAsia="黑体" w:hAnsi="黑体" w:hint="eastAsia"/>
          <w:sz w:val="72"/>
          <w:szCs w:val="72"/>
        </w:rPr>
        <w:t>》</w:t>
      </w:r>
    </w:p>
    <w:p w14:paraId="7434638F" w14:textId="68267257" w:rsidR="002E468B" w:rsidRPr="00013603" w:rsidRDefault="00094A9B" w:rsidP="002E468B">
      <w:pPr>
        <w:spacing w:line="360" w:lineRule="auto"/>
        <w:jc w:val="center"/>
        <w:rPr>
          <w:rFonts w:ascii="黑体" w:eastAsia="黑体" w:hAnsi="黑体"/>
          <w:sz w:val="72"/>
          <w:szCs w:val="72"/>
        </w:rPr>
      </w:pPr>
      <w:r>
        <w:rPr>
          <w:rFonts w:ascii="黑体" w:eastAsia="黑体" w:hAnsi="黑体" w:hint="eastAsia"/>
          <w:sz w:val="72"/>
          <w:szCs w:val="72"/>
        </w:rPr>
        <w:t>编制说明</w:t>
      </w:r>
    </w:p>
    <w:p w14:paraId="18DC4E27" w14:textId="77777777" w:rsidR="002E468B" w:rsidRDefault="002E468B" w:rsidP="002E468B">
      <w:pPr>
        <w:spacing w:line="360" w:lineRule="auto"/>
        <w:rPr>
          <w:rFonts w:asciiTheme="minorEastAsia" w:hAnsiTheme="minorEastAsia"/>
          <w:b/>
          <w:sz w:val="24"/>
          <w:szCs w:val="24"/>
        </w:rPr>
      </w:pPr>
    </w:p>
    <w:p w14:paraId="56AEE28B" w14:textId="77777777" w:rsidR="002E468B" w:rsidRDefault="002E468B" w:rsidP="002E468B">
      <w:pPr>
        <w:spacing w:line="360" w:lineRule="auto"/>
        <w:rPr>
          <w:rFonts w:asciiTheme="minorEastAsia" w:hAnsiTheme="minorEastAsia"/>
          <w:b/>
          <w:sz w:val="24"/>
          <w:szCs w:val="24"/>
        </w:rPr>
      </w:pPr>
    </w:p>
    <w:p w14:paraId="59E9005A" w14:textId="77777777" w:rsidR="002E468B" w:rsidRDefault="002E468B" w:rsidP="002E468B">
      <w:pPr>
        <w:spacing w:line="360" w:lineRule="auto"/>
        <w:rPr>
          <w:rFonts w:asciiTheme="minorEastAsia" w:hAnsiTheme="minorEastAsia" w:hint="eastAsia"/>
          <w:b/>
          <w:sz w:val="24"/>
          <w:szCs w:val="24"/>
        </w:rPr>
      </w:pPr>
    </w:p>
    <w:p w14:paraId="0E35C711" w14:textId="77777777" w:rsidR="002E468B" w:rsidRDefault="002E468B" w:rsidP="002E468B">
      <w:pPr>
        <w:spacing w:line="360" w:lineRule="auto"/>
        <w:rPr>
          <w:rFonts w:asciiTheme="minorEastAsia" w:hAnsiTheme="minorEastAsia"/>
          <w:b/>
          <w:sz w:val="24"/>
          <w:szCs w:val="24"/>
        </w:rPr>
      </w:pPr>
    </w:p>
    <w:p w14:paraId="40227F1D" w14:textId="77777777" w:rsidR="002E468B" w:rsidRDefault="002E468B" w:rsidP="002E468B">
      <w:pPr>
        <w:spacing w:line="360" w:lineRule="auto"/>
        <w:rPr>
          <w:rFonts w:asciiTheme="minorEastAsia" w:hAnsiTheme="minorEastAsia"/>
          <w:b/>
          <w:sz w:val="24"/>
          <w:szCs w:val="24"/>
        </w:rPr>
      </w:pPr>
    </w:p>
    <w:p w14:paraId="48F06B89" w14:textId="77777777" w:rsidR="002E468B" w:rsidRPr="002E468B" w:rsidRDefault="002E468B" w:rsidP="002E468B">
      <w:pPr>
        <w:spacing w:line="360" w:lineRule="auto"/>
        <w:ind w:leftChars="650" w:left="1365"/>
        <w:rPr>
          <w:rFonts w:ascii="楷体" w:eastAsia="楷体" w:hAnsi="楷体"/>
          <w:bCs/>
          <w:sz w:val="28"/>
          <w:szCs w:val="28"/>
        </w:rPr>
      </w:pPr>
      <w:r w:rsidRPr="002E468B">
        <w:rPr>
          <w:rFonts w:ascii="楷体" w:eastAsia="楷体" w:hAnsi="楷体" w:hint="eastAsia"/>
          <w:bCs/>
          <w:sz w:val="28"/>
          <w:szCs w:val="28"/>
        </w:rPr>
        <w:t>主要起草单位：中国水利水电科学研究院</w:t>
      </w:r>
    </w:p>
    <w:p w14:paraId="4A5A4E3F" w14:textId="77777777" w:rsidR="002E468B" w:rsidRPr="002E468B" w:rsidRDefault="002E468B" w:rsidP="002E468B">
      <w:pPr>
        <w:spacing w:line="360" w:lineRule="auto"/>
        <w:ind w:leftChars="650" w:left="1365"/>
        <w:rPr>
          <w:rFonts w:ascii="楷体" w:eastAsia="楷体" w:hAnsi="楷体"/>
          <w:bCs/>
          <w:sz w:val="28"/>
          <w:szCs w:val="28"/>
        </w:rPr>
      </w:pPr>
      <w:r w:rsidRPr="002E468B">
        <w:rPr>
          <w:rFonts w:ascii="楷体" w:eastAsia="楷体" w:hAnsi="楷体" w:hint="eastAsia"/>
          <w:bCs/>
          <w:sz w:val="28"/>
          <w:szCs w:val="28"/>
        </w:rPr>
        <w:t>参加起草单位：中国计量科学研究院</w:t>
      </w:r>
    </w:p>
    <w:p w14:paraId="67D79F70" w14:textId="77777777" w:rsidR="002E468B" w:rsidRDefault="002E468B" w:rsidP="002E468B">
      <w:pPr>
        <w:spacing w:line="360" w:lineRule="auto"/>
        <w:ind w:leftChars="750" w:left="1575" w:firstLineChars="600" w:firstLine="1680"/>
        <w:rPr>
          <w:rFonts w:ascii="楷体" w:eastAsia="楷体" w:hAnsi="楷体"/>
          <w:bCs/>
          <w:sz w:val="28"/>
          <w:szCs w:val="28"/>
        </w:rPr>
      </w:pPr>
      <w:r w:rsidRPr="002E468B">
        <w:rPr>
          <w:rFonts w:ascii="楷体" w:eastAsia="楷体" w:hAnsi="楷体" w:hint="eastAsia"/>
          <w:bCs/>
          <w:sz w:val="28"/>
          <w:szCs w:val="28"/>
        </w:rPr>
        <w:t>水利部水文仪器及岩土工程仪器质量监督</w:t>
      </w:r>
    </w:p>
    <w:p w14:paraId="04C54D1C" w14:textId="77777777" w:rsidR="002E468B" w:rsidRDefault="002E468B" w:rsidP="002E468B">
      <w:pPr>
        <w:spacing w:line="360" w:lineRule="auto"/>
        <w:ind w:leftChars="750" w:left="1575" w:firstLineChars="600" w:firstLine="1680"/>
        <w:rPr>
          <w:rFonts w:ascii="楷体" w:eastAsia="楷体" w:hAnsi="楷体"/>
          <w:bCs/>
          <w:sz w:val="28"/>
          <w:szCs w:val="28"/>
        </w:rPr>
      </w:pPr>
      <w:r w:rsidRPr="002E468B">
        <w:rPr>
          <w:rFonts w:ascii="楷体" w:eastAsia="楷体" w:hAnsi="楷体" w:hint="eastAsia"/>
          <w:bCs/>
          <w:sz w:val="28"/>
          <w:szCs w:val="28"/>
        </w:rPr>
        <w:t>检验测试中心</w:t>
      </w:r>
    </w:p>
    <w:p w14:paraId="7E83A557" w14:textId="77777777" w:rsidR="002E468B" w:rsidRDefault="002E468B" w:rsidP="002E468B">
      <w:pPr>
        <w:spacing w:line="360" w:lineRule="auto"/>
        <w:ind w:leftChars="750" w:left="1575" w:firstLineChars="600" w:firstLine="1680"/>
        <w:rPr>
          <w:rFonts w:ascii="楷体" w:eastAsia="楷体" w:hAnsi="楷体"/>
          <w:bCs/>
          <w:sz w:val="28"/>
          <w:szCs w:val="28"/>
        </w:rPr>
      </w:pPr>
      <w:r w:rsidRPr="002E468B">
        <w:rPr>
          <w:rFonts w:ascii="楷体" w:eastAsia="楷体" w:hAnsi="楷体" w:hint="eastAsia"/>
          <w:bCs/>
          <w:sz w:val="28"/>
          <w:szCs w:val="28"/>
        </w:rPr>
        <w:t>水利部南京水利水文自动化研究所</w:t>
      </w:r>
    </w:p>
    <w:p w14:paraId="2DEDA296" w14:textId="1B6AED66" w:rsidR="002E468B" w:rsidRDefault="002E468B" w:rsidP="002E468B">
      <w:pPr>
        <w:spacing w:line="360" w:lineRule="auto"/>
        <w:ind w:leftChars="750" w:left="1575" w:firstLineChars="600" w:firstLine="1680"/>
        <w:rPr>
          <w:rFonts w:ascii="楷体" w:eastAsia="楷体" w:hAnsi="楷体"/>
          <w:bCs/>
          <w:sz w:val="28"/>
          <w:szCs w:val="28"/>
        </w:rPr>
      </w:pPr>
      <w:r w:rsidRPr="002E468B">
        <w:rPr>
          <w:rFonts w:ascii="楷体" w:eastAsia="楷体" w:hAnsi="楷体" w:hint="eastAsia"/>
          <w:bCs/>
          <w:sz w:val="28"/>
          <w:szCs w:val="28"/>
        </w:rPr>
        <w:t>青岛清万水技术有限公司</w:t>
      </w:r>
    </w:p>
    <w:p w14:paraId="14838363" w14:textId="77777777" w:rsidR="002E468B" w:rsidRDefault="002E468B" w:rsidP="002E468B">
      <w:pPr>
        <w:spacing w:line="360" w:lineRule="auto"/>
        <w:ind w:leftChars="750" w:left="1575" w:firstLineChars="600" w:firstLine="1680"/>
        <w:rPr>
          <w:rFonts w:ascii="楷体" w:eastAsia="楷体" w:hAnsi="楷体" w:hint="eastAsia"/>
          <w:sz w:val="28"/>
          <w:szCs w:val="32"/>
        </w:rPr>
      </w:pPr>
    </w:p>
    <w:p w14:paraId="10832F02" w14:textId="72E71AD4" w:rsidR="002E468B" w:rsidRPr="009C3B9B" w:rsidRDefault="002E468B" w:rsidP="002E468B">
      <w:pPr>
        <w:jc w:val="center"/>
        <w:rPr>
          <w:rFonts w:ascii="楷体" w:eastAsia="楷体" w:hAnsi="楷体"/>
          <w:sz w:val="28"/>
          <w:szCs w:val="32"/>
        </w:rPr>
      </w:pPr>
      <w:r w:rsidRPr="009C3B9B">
        <w:rPr>
          <w:rFonts w:ascii="楷体" w:eastAsia="楷体" w:hAnsi="楷体" w:hint="eastAsia"/>
          <w:sz w:val="28"/>
          <w:szCs w:val="32"/>
        </w:rPr>
        <w:t>二〇</w:t>
      </w:r>
      <w:r>
        <w:rPr>
          <w:rFonts w:ascii="楷体" w:eastAsia="楷体" w:hAnsi="楷体" w:hint="eastAsia"/>
          <w:sz w:val="28"/>
          <w:szCs w:val="32"/>
        </w:rPr>
        <w:t>二六</w:t>
      </w:r>
      <w:r w:rsidRPr="009C3B9B">
        <w:rPr>
          <w:rFonts w:ascii="楷体" w:eastAsia="楷体" w:hAnsi="楷体" w:hint="eastAsia"/>
          <w:sz w:val="28"/>
          <w:szCs w:val="32"/>
        </w:rPr>
        <w:t>年</w:t>
      </w:r>
      <w:r>
        <w:rPr>
          <w:rFonts w:ascii="楷体" w:eastAsia="楷体" w:hAnsi="楷体" w:hint="eastAsia"/>
          <w:sz w:val="28"/>
          <w:szCs w:val="32"/>
        </w:rPr>
        <w:t>八</w:t>
      </w:r>
      <w:r w:rsidRPr="009C3B9B">
        <w:rPr>
          <w:rFonts w:ascii="楷体" w:eastAsia="楷体" w:hAnsi="楷体" w:hint="eastAsia"/>
          <w:sz w:val="28"/>
          <w:szCs w:val="32"/>
        </w:rPr>
        <w:t>月</w:t>
      </w:r>
    </w:p>
    <w:p w14:paraId="3AF997E1" w14:textId="77777777" w:rsidR="002A623E" w:rsidRDefault="002A623E">
      <w:pPr>
        <w:jc w:val="center"/>
        <w:rPr>
          <w:rFonts w:hAnsi="宋体"/>
          <w:b/>
          <w:sz w:val="28"/>
          <w:szCs w:val="28"/>
        </w:rPr>
        <w:sectPr w:rsidR="002A623E">
          <w:pgSz w:w="11906" w:h="16838"/>
          <w:pgMar w:top="1440" w:right="1800" w:bottom="1440" w:left="1800" w:header="851" w:footer="992" w:gutter="0"/>
          <w:pgNumType w:start="1"/>
          <w:cols w:space="425"/>
          <w:docGrid w:type="lines" w:linePitch="312"/>
        </w:sectPr>
      </w:pPr>
    </w:p>
    <w:p w14:paraId="14446A68" w14:textId="77777777" w:rsidR="002A623E" w:rsidRDefault="00000000">
      <w:pPr>
        <w:spacing w:beforeLines="50" w:before="156" w:afterLines="50" w:after="156"/>
        <w:jc w:val="center"/>
        <w:rPr>
          <w:rFonts w:ascii="黑体" w:eastAsia="黑体" w:hAnsi="黑体" w:cs="黑体"/>
          <w:kern w:val="0"/>
          <w:sz w:val="28"/>
          <w:szCs w:val="28"/>
          <w:lang w:bidi="ar"/>
        </w:rPr>
      </w:pPr>
      <w:r>
        <w:rPr>
          <w:rFonts w:ascii="黑体" w:eastAsia="黑体" w:hAnsi="黑体" w:cs="黑体" w:hint="eastAsia"/>
          <w:kern w:val="0"/>
          <w:sz w:val="28"/>
          <w:szCs w:val="28"/>
          <w:lang w:bidi="ar"/>
        </w:rPr>
        <w:lastRenderedPageBreak/>
        <w:t>《明渠超声流量计在线校准规范（流速仪法）》编制说明</w:t>
      </w:r>
    </w:p>
    <w:p w14:paraId="1FB2DF31" w14:textId="77777777" w:rsidR="002A623E" w:rsidRDefault="00000000">
      <w:pPr>
        <w:numPr>
          <w:ilvl w:val="0"/>
          <w:numId w:val="1"/>
        </w:num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lang w:bidi="ar"/>
        </w:rPr>
        <w:t>任务来源</w:t>
      </w:r>
    </w:p>
    <w:p w14:paraId="2C291240"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1</w:t>
      </w:r>
      <w:r>
        <w:rPr>
          <w:rFonts w:ascii="Times New Roman" w:eastAsia="宋体" w:hAnsi="Times New Roman" w:cs="Times New Roman"/>
          <w:sz w:val="24"/>
        </w:rPr>
        <w:t>月，中国水利水电科学研究院向全国流量计量技术委员会液体流量分技术委员会秘书处提交了关于对</w:t>
      </w:r>
      <w:r>
        <w:rPr>
          <w:rFonts w:ascii="Times New Roman" w:eastAsia="宋体" w:hAnsi="Times New Roman" w:cs="Times New Roman"/>
          <w:sz w:val="24"/>
        </w:rPr>
        <w:t>JJ</w:t>
      </w:r>
      <w:r>
        <w:rPr>
          <w:rFonts w:ascii="Times New Roman" w:eastAsia="宋体" w:hAnsi="Times New Roman" w:cs="Times New Roman" w:hint="eastAsia"/>
          <w:sz w:val="24"/>
        </w:rPr>
        <w:t>F</w:t>
      </w:r>
      <w:r>
        <w:rPr>
          <w:rFonts w:ascii="Times New Roman" w:eastAsia="宋体" w:hAnsi="Times New Roman" w:cs="Times New Roman"/>
          <w:sz w:val="24"/>
        </w:rPr>
        <w:t xml:space="preserve"> XXXX-202X</w:t>
      </w:r>
      <w:r>
        <w:rPr>
          <w:rFonts w:ascii="Times New Roman" w:eastAsia="宋体" w:hAnsi="Times New Roman" w:cs="Times New Roman"/>
          <w:sz w:val="24"/>
        </w:rPr>
        <w:t>《明渠超声流量计在线校准规范（流速仪法）》的标准立项申请书，并在</w:t>
      </w: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4</w:t>
      </w:r>
      <w:r>
        <w:rPr>
          <w:rFonts w:ascii="Times New Roman" w:eastAsia="宋体" w:hAnsi="Times New Roman" w:cs="Times New Roman"/>
          <w:sz w:val="24"/>
        </w:rPr>
        <w:t>月召开的技术委员会上进行了立项答辩。</w:t>
      </w:r>
    </w:p>
    <w:p w14:paraId="3EADE49C"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6</w:t>
      </w:r>
      <w:r>
        <w:rPr>
          <w:rFonts w:ascii="Times New Roman" w:eastAsia="宋体" w:hAnsi="Times New Roman" w:cs="Times New Roman"/>
          <w:sz w:val="24"/>
        </w:rPr>
        <w:t>月，国家市场监督管理总局办公厅下达市监计量发（</w:t>
      </w:r>
      <w:r>
        <w:rPr>
          <w:rFonts w:ascii="Times New Roman" w:eastAsia="宋体" w:hAnsi="Times New Roman" w:cs="Times New Roman"/>
          <w:sz w:val="24"/>
        </w:rPr>
        <w:t>2025</w:t>
      </w:r>
      <w:r>
        <w:rPr>
          <w:rFonts w:ascii="Times New Roman" w:eastAsia="宋体" w:hAnsi="Times New Roman" w:cs="Times New Roman"/>
          <w:sz w:val="24"/>
        </w:rPr>
        <w:t>）</w:t>
      </w:r>
      <w:r>
        <w:rPr>
          <w:rFonts w:ascii="Times New Roman" w:eastAsia="宋体" w:hAnsi="Times New Roman" w:cs="Times New Roman"/>
          <w:sz w:val="24"/>
        </w:rPr>
        <w:t>45</w:t>
      </w:r>
      <w:r>
        <w:rPr>
          <w:rFonts w:ascii="Times New Roman" w:eastAsia="宋体" w:hAnsi="Times New Roman" w:cs="Times New Roman"/>
          <w:sz w:val="24"/>
        </w:rPr>
        <w:t>号文件《市场监管总局办公厅关于下达</w:t>
      </w:r>
      <w:r>
        <w:rPr>
          <w:rFonts w:ascii="Times New Roman" w:eastAsia="宋体" w:hAnsi="Times New Roman" w:cs="Times New Roman"/>
          <w:sz w:val="24"/>
        </w:rPr>
        <w:t>2025</w:t>
      </w:r>
      <w:r>
        <w:rPr>
          <w:rFonts w:ascii="Times New Roman" w:eastAsia="宋体" w:hAnsi="Times New Roman" w:cs="Times New Roman"/>
          <w:sz w:val="24"/>
        </w:rPr>
        <w:t>年国家计量技术规范制定、修订及宣贯计划的通知》，《明渠超声流量计在线校准规范（流速仪法）》制定任务下达到全国流量计量技术委员会液体流量分技术委员会，同时，技术委员会秘书处对主要起草单位下达了编制通知和要求。中国水利水电科学研究院作为主要起草单位接受了《明渠超声流量计在线校准规范（流速仪法）》的编制任务，归口全国流量计量技术委员会液体流量分技术委员会。</w:t>
      </w:r>
    </w:p>
    <w:p w14:paraId="302819D4"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中国水利水电科学研究院接到任务后，于</w:t>
      </w: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6</w:t>
      </w:r>
      <w:r>
        <w:rPr>
          <w:rFonts w:ascii="Times New Roman" w:eastAsia="宋体" w:hAnsi="Times New Roman" w:cs="Times New Roman"/>
          <w:sz w:val="24"/>
        </w:rPr>
        <w:t>月组成了规</w:t>
      </w:r>
      <w:r>
        <w:rPr>
          <w:rFonts w:ascii="Times New Roman" w:eastAsia="宋体" w:hAnsi="Times New Roman" w:cs="Times New Roman" w:hint="eastAsia"/>
          <w:sz w:val="24"/>
        </w:rPr>
        <w:t>范</w:t>
      </w:r>
      <w:r>
        <w:rPr>
          <w:rFonts w:ascii="Times New Roman" w:eastAsia="宋体" w:hAnsi="Times New Roman" w:cs="Times New Roman"/>
          <w:sz w:val="24"/>
        </w:rPr>
        <w:t>起草小组，参与单位包括中国计量科学研究院、水利部水文仪器及岩土工程仪器质量监督检验测试中心、水利部南京水利水文自动化研究所，随后又将青岛清万水技术有限公司纳入规范起草小组。起草小组严格按照</w:t>
      </w:r>
      <w:r>
        <w:rPr>
          <w:rFonts w:ascii="Times New Roman" w:eastAsia="宋体" w:hAnsi="Times New Roman" w:cs="Times New Roman"/>
          <w:sz w:val="24"/>
        </w:rPr>
        <w:t>2024</w:t>
      </w:r>
      <w:r>
        <w:rPr>
          <w:rFonts w:ascii="Times New Roman" w:eastAsia="宋体" w:hAnsi="Times New Roman" w:cs="Times New Roman"/>
          <w:sz w:val="24"/>
        </w:rPr>
        <w:t>年</w:t>
      </w:r>
      <w:r>
        <w:rPr>
          <w:rFonts w:ascii="Times New Roman" w:eastAsia="宋体" w:hAnsi="Times New Roman" w:cs="Times New Roman"/>
          <w:sz w:val="24"/>
        </w:rPr>
        <w:t>3</w:t>
      </w:r>
      <w:r>
        <w:rPr>
          <w:rFonts w:ascii="Times New Roman" w:eastAsia="宋体" w:hAnsi="Times New Roman" w:cs="Times New Roman"/>
          <w:sz w:val="24"/>
        </w:rPr>
        <w:t>月</w:t>
      </w:r>
      <w:r>
        <w:rPr>
          <w:rFonts w:ascii="Times New Roman" w:eastAsia="宋体" w:hAnsi="Times New Roman" w:cs="Times New Roman"/>
          <w:sz w:val="24"/>
        </w:rPr>
        <w:t>8</w:t>
      </w:r>
      <w:r>
        <w:rPr>
          <w:rFonts w:ascii="Times New Roman" w:eastAsia="宋体" w:hAnsi="Times New Roman" w:cs="Times New Roman"/>
          <w:sz w:val="24"/>
        </w:rPr>
        <w:t>日国家市场监督管理总局第</w:t>
      </w:r>
      <w:r>
        <w:rPr>
          <w:rFonts w:ascii="Times New Roman" w:eastAsia="宋体" w:hAnsi="Times New Roman" w:cs="Times New Roman"/>
          <w:sz w:val="24"/>
        </w:rPr>
        <w:t>89</w:t>
      </w:r>
      <w:r>
        <w:rPr>
          <w:rFonts w:ascii="Times New Roman" w:eastAsia="宋体" w:hAnsi="Times New Roman" w:cs="Times New Roman"/>
          <w:sz w:val="24"/>
        </w:rPr>
        <w:t>号令《国家计量技术规范管理办法》、</w:t>
      </w:r>
      <w:r>
        <w:rPr>
          <w:rFonts w:ascii="Times New Roman" w:eastAsia="宋体" w:hAnsi="Times New Roman" w:cs="Times New Roman"/>
          <w:sz w:val="24"/>
        </w:rPr>
        <w:t>JJF 1071</w:t>
      </w:r>
      <w:r>
        <w:rPr>
          <w:rFonts w:ascii="Times New Roman" w:eastAsia="宋体" w:hAnsi="Times New Roman" w:cs="Times New Roman"/>
          <w:sz w:val="24"/>
        </w:rPr>
        <w:t>《国家计量校准规范编写规则》、</w:t>
      </w:r>
      <w:r>
        <w:rPr>
          <w:rFonts w:ascii="Times New Roman" w:eastAsia="宋体" w:hAnsi="Times New Roman" w:cs="Times New Roman"/>
          <w:sz w:val="24"/>
        </w:rPr>
        <w:t>JJF 1001</w:t>
      </w:r>
      <w:r>
        <w:rPr>
          <w:rFonts w:ascii="Times New Roman" w:eastAsia="宋体" w:hAnsi="Times New Roman" w:cs="Times New Roman"/>
          <w:sz w:val="24"/>
        </w:rPr>
        <w:t>《通用计量术语及定义》、</w:t>
      </w:r>
      <w:r>
        <w:rPr>
          <w:rFonts w:ascii="Times New Roman" w:eastAsia="宋体" w:hAnsi="Times New Roman" w:cs="Times New Roman"/>
          <w:sz w:val="24"/>
        </w:rPr>
        <w:t>JJF 1059.1</w:t>
      </w:r>
      <w:r>
        <w:rPr>
          <w:rFonts w:ascii="Times New Roman" w:eastAsia="宋体" w:hAnsi="Times New Roman" w:cs="Times New Roman"/>
          <w:sz w:val="24"/>
        </w:rPr>
        <w:t>《测量不确定度评定与表示》等文件的要求启动规范的制定工作，确保规范制定工作按时保质完成。</w:t>
      </w:r>
    </w:p>
    <w:p w14:paraId="0D7395BD" w14:textId="77777777" w:rsidR="002A623E" w:rsidRDefault="00000000">
      <w:pPr>
        <w:numPr>
          <w:ilvl w:val="0"/>
          <w:numId w:val="1"/>
        </w:num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lang w:bidi="ar"/>
        </w:rPr>
        <w:t>制定的必要性</w:t>
      </w:r>
    </w:p>
    <w:p w14:paraId="26441E39" w14:textId="77777777" w:rsidR="002A623E" w:rsidRDefault="00000000">
      <w:pPr>
        <w:spacing w:line="360" w:lineRule="auto"/>
        <w:ind w:firstLineChars="200" w:firstLine="480"/>
        <w:rPr>
          <w:rFonts w:ascii="Times New Roman" w:eastAsia="宋体" w:hAnsi="Times New Roman" w:cs="Times New Roman"/>
          <w:sz w:val="24"/>
        </w:rPr>
        <w:sectPr w:rsidR="002A623E">
          <w:footerReference w:type="default" r:id="rId9"/>
          <w:pgSz w:w="11906" w:h="16838"/>
          <w:pgMar w:top="1440" w:right="1800" w:bottom="1440" w:left="1800" w:header="851" w:footer="992" w:gutter="0"/>
          <w:pgNumType w:start="1"/>
          <w:cols w:space="425"/>
          <w:docGrid w:type="lines" w:linePitch="312"/>
        </w:sectPr>
      </w:pPr>
      <w:r>
        <w:rPr>
          <w:rFonts w:ascii="Times New Roman" w:eastAsia="宋体" w:hAnsi="Times New Roman" w:cs="Times New Roman"/>
          <w:sz w:val="24"/>
        </w:rPr>
        <w:t>明渠输水是灌区、河湖连通、水网工程水资源调配的主要形式之一，明渠流量精准计量是水资源确权、取水考核与调度管控的核心基础。受渠道断面不规则、沿程淤积变形、水位动态变化、弯道与渐变段多发等因素影响，明渠水流流态紊乱、断面流速分布不均匀，流量精准测量难度显著偏高。当前水利工程明渠测流</w:t>
      </w:r>
    </w:p>
    <w:p w14:paraId="1E482AC7" w14:textId="77777777" w:rsidR="002A623E" w:rsidRDefault="00000000" w:rsidP="00F26D2C">
      <w:pPr>
        <w:spacing w:line="360" w:lineRule="auto"/>
        <w:rPr>
          <w:rFonts w:ascii="Times New Roman" w:eastAsia="宋体" w:hAnsi="Times New Roman" w:cs="Times New Roman"/>
          <w:sz w:val="24"/>
        </w:rPr>
      </w:pPr>
      <w:r>
        <w:rPr>
          <w:rFonts w:ascii="Times New Roman" w:eastAsia="宋体" w:hAnsi="Times New Roman" w:cs="Times New Roman"/>
          <w:sz w:val="24"/>
        </w:rPr>
        <w:lastRenderedPageBreak/>
        <w:t>普遍选用超声流量计，但受渠系前期建设布局、现场用地条件制约，超声测流位置很难满足超声流量计所需的平顺直管段安装条件，水流畸变进一步放大系统测量误差，实测数据难以满足水量计量的溯源要求。</w:t>
      </w:r>
    </w:p>
    <w:p w14:paraId="519DE55D"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流速仪法（流速面积法）经过长期水文实测验证，技术体系成熟，配套测量仪器齐备，测量流程符合计量溯源规范，流量计算公式和测量不确定度评定体系完整，是明渠现场实流校准的基准方法之一，可作为明渠在用超声流量计的现场比对溯源手段。因此，编制《明渠超声流量计在线校准规范（流速仪法）》，针对明渠条件下超声流量计开展在线校准，能够为规范现场校准方法、控制计量偏差，保障明渠输水水量计量数据准确可靠提供支撑，具有较大的研究价值和实用意义。</w:t>
      </w:r>
    </w:p>
    <w:p w14:paraId="31750F28"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依托本规范，可在各类水利、水网工程明渠测流断面采用流速仪法实测流量，完成在役明渠超声流量计的现场在线校准；通过系统研究适配明渠非恒定流、异形断面特征的流速面积测算与流量修正算法，补齐明渠超声流量计缺少专用在线校准依据的短板，实现水网、灌区关键明渠节点流量精准管控，夯实水资源精细化计量的数据根基，在水资源监管、节水考核、工程输水核算领域具备突出实用价值与技术支撑作用。</w:t>
      </w:r>
    </w:p>
    <w:p w14:paraId="72D33A5C"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经调研国内外现行相关计量、水文及工程类标准规范，现有超声流量计检定、校准类文件大多依托超声类标准装置开展校准，分为实流法与非实流法两类，但均未专门针对明渠现场、采用流速仪法实流比对的方式实现超声流量计在线校准，具体情况如下：</w:t>
      </w:r>
    </w:p>
    <w:p w14:paraId="2C72CA8B" w14:textId="154A5D56"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GB 50179-</w:t>
      </w:r>
      <w:r w:rsidR="005069C2">
        <w:rPr>
          <w:rFonts w:ascii="Times New Roman" w:eastAsia="宋体" w:hAnsi="Times New Roman" w:cs="Times New Roman" w:hint="eastAsia"/>
          <w:sz w:val="24"/>
        </w:rPr>
        <w:t>2015</w:t>
      </w:r>
      <w:r>
        <w:rPr>
          <w:rFonts w:ascii="Times New Roman" w:eastAsia="宋体" w:hAnsi="Times New Roman" w:cs="Times New Roman"/>
          <w:sz w:val="24"/>
        </w:rPr>
        <w:t>《河流流量测验规范》：</w:t>
      </w:r>
      <w:r w:rsidR="00DA65EF" w:rsidRPr="00DA65EF">
        <w:rPr>
          <w:rFonts w:ascii="Times New Roman" w:eastAsia="宋体" w:hAnsi="Times New Roman" w:cs="Times New Roman"/>
          <w:sz w:val="24"/>
        </w:rPr>
        <w:t>该规范对流速仪法的测流垂线布设、流速测量、流量计算等环节均有详细规定，是水文测验领域流速仪法测流的基础性技术文件。该规范定位为河流流量测验通用标准，主要面向水文测验的流量测量，并未专门针对明渠超声流量计的在线校准需求制定相应的操作流程、计量性能指标和不确定度评定方法</w:t>
      </w:r>
      <w:r>
        <w:rPr>
          <w:rFonts w:ascii="Times New Roman" w:eastAsia="宋体" w:hAnsi="Times New Roman" w:cs="Times New Roman"/>
          <w:sz w:val="24"/>
        </w:rPr>
        <w:t>。</w:t>
      </w:r>
    </w:p>
    <w:p w14:paraId="4AD0F85C" w14:textId="5514B751" w:rsidR="002A623E" w:rsidRDefault="00000000">
      <w:pPr>
        <w:tabs>
          <w:tab w:val="left" w:pos="720"/>
        </w:tabs>
        <w:spacing w:line="360" w:lineRule="auto"/>
        <w:ind w:firstLineChars="200" w:firstLine="480"/>
        <w:rPr>
          <w:rFonts w:ascii="Times New Roman" w:eastAsia="宋体" w:hAnsi="Times New Roman" w:cs="Times New Roman"/>
          <w:sz w:val="24"/>
        </w:rPr>
      </w:pPr>
      <w:bookmarkStart w:id="0" w:name="OLE_LINK1"/>
      <w:r>
        <w:rPr>
          <w:rFonts w:ascii="Times New Roman" w:eastAsia="宋体" w:hAnsi="Times New Roman" w:cs="Times New Roman"/>
          <w:sz w:val="24"/>
        </w:rPr>
        <w:t>ISO 6416-</w:t>
      </w:r>
      <w:r w:rsidR="005069C2">
        <w:rPr>
          <w:rFonts w:ascii="Times New Roman" w:eastAsia="宋体" w:hAnsi="Times New Roman" w:cs="Times New Roman" w:hint="eastAsia"/>
          <w:sz w:val="24"/>
        </w:rPr>
        <w:t>2017</w:t>
      </w:r>
      <w:r>
        <w:rPr>
          <w:rFonts w:ascii="Times New Roman" w:eastAsia="宋体" w:hAnsi="Times New Roman" w:cs="Times New Roman"/>
          <w:sz w:val="24"/>
        </w:rPr>
        <w:t>《明渠</w:t>
      </w:r>
      <w:r w:rsidR="001F0AF3">
        <w:rPr>
          <w:rFonts w:ascii="Times New Roman" w:eastAsia="宋体" w:hAnsi="Times New Roman" w:cs="Times New Roman" w:hint="eastAsia"/>
          <w:sz w:val="24"/>
        </w:rPr>
        <w:t>流体流量</w:t>
      </w:r>
      <w:r>
        <w:rPr>
          <w:rFonts w:ascii="Times New Roman" w:eastAsia="宋体" w:hAnsi="Times New Roman" w:cs="Times New Roman"/>
          <w:sz w:val="24"/>
        </w:rPr>
        <w:t>测量</w:t>
      </w:r>
      <w:r>
        <w:rPr>
          <w:rFonts w:ascii="Times New Roman" w:eastAsia="宋体" w:hAnsi="Times New Roman" w:cs="Times New Roman"/>
          <w:sz w:val="24"/>
        </w:rPr>
        <w:t xml:space="preserve"> </w:t>
      </w:r>
      <w:r w:rsidR="001F0AF3">
        <w:rPr>
          <w:rFonts w:ascii="Times New Roman" w:eastAsia="宋体" w:hAnsi="Times New Roman" w:cs="Times New Roman" w:hint="eastAsia"/>
          <w:sz w:val="24"/>
        </w:rPr>
        <w:t>采用</w:t>
      </w:r>
      <w:r>
        <w:rPr>
          <w:rFonts w:ascii="Times New Roman" w:eastAsia="宋体" w:hAnsi="Times New Roman" w:cs="Times New Roman"/>
          <w:sz w:val="24"/>
        </w:rPr>
        <w:t>超声波</w:t>
      </w:r>
      <w:r w:rsidR="001F0AF3">
        <w:rPr>
          <w:rFonts w:ascii="Times New Roman" w:eastAsia="宋体" w:hAnsi="Times New Roman" w:cs="Times New Roman" w:hint="eastAsia"/>
          <w:sz w:val="24"/>
        </w:rPr>
        <w:t>（声学）方</w:t>
      </w:r>
      <w:r>
        <w:rPr>
          <w:rFonts w:ascii="Times New Roman" w:eastAsia="宋体" w:hAnsi="Times New Roman" w:cs="Times New Roman"/>
          <w:sz w:val="24"/>
        </w:rPr>
        <w:t>法测</w:t>
      </w:r>
      <w:r w:rsidR="001F0AF3">
        <w:rPr>
          <w:rFonts w:ascii="Times New Roman" w:eastAsia="宋体" w:hAnsi="Times New Roman" w:cs="Times New Roman" w:hint="eastAsia"/>
          <w:sz w:val="24"/>
        </w:rPr>
        <w:t>量</w:t>
      </w:r>
      <w:r>
        <w:rPr>
          <w:rFonts w:ascii="Times New Roman" w:eastAsia="宋体" w:hAnsi="Times New Roman" w:cs="Times New Roman"/>
          <w:sz w:val="24"/>
        </w:rPr>
        <w:t>流</w:t>
      </w:r>
      <w:r w:rsidR="001F0AF3">
        <w:rPr>
          <w:rFonts w:ascii="Times New Roman" w:eastAsia="宋体" w:hAnsi="Times New Roman" w:cs="Times New Roman" w:hint="eastAsia"/>
          <w:sz w:val="24"/>
        </w:rPr>
        <w:t>量</w:t>
      </w:r>
      <w:r>
        <w:rPr>
          <w:rFonts w:ascii="Times New Roman" w:eastAsia="宋体" w:hAnsi="Times New Roman" w:cs="Times New Roman"/>
          <w:sz w:val="24"/>
        </w:rPr>
        <w:t>》</w:t>
      </w:r>
      <w:bookmarkEnd w:id="0"/>
      <w:r>
        <w:rPr>
          <w:rFonts w:ascii="Times New Roman" w:eastAsia="宋体" w:hAnsi="Times New Roman" w:cs="Times New Roman"/>
          <w:sz w:val="24"/>
        </w:rPr>
        <w:t>：</w:t>
      </w:r>
      <w:r w:rsidR="00DA65EF" w:rsidRPr="00DA65EF">
        <w:rPr>
          <w:rFonts w:ascii="Times New Roman" w:eastAsia="宋体" w:hAnsi="Times New Roman" w:cs="Times New Roman"/>
          <w:sz w:val="24"/>
        </w:rPr>
        <w:t>该标准给出了明渠超声时差法测流装置的测量原理、技术要求、安装调试、测流数据等内容。该标准聚焦于超声流量测量系统的自身测流方法，包含系统校准与验证的相关内容，未涉及以流速仪法作为基准方法对明渠超声流量计实施现场在线校准的操作规程和评定体系</w:t>
      </w:r>
      <w:r>
        <w:rPr>
          <w:rFonts w:ascii="Times New Roman" w:eastAsia="宋体" w:hAnsi="Times New Roman" w:cs="Times New Roman"/>
          <w:sz w:val="24"/>
        </w:rPr>
        <w:t>。</w:t>
      </w:r>
    </w:p>
    <w:p w14:paraId="4DD4AE4C"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lastRenderedPageBreak/>
        <w:t>JJF 1358-2012</w:t>
      </w:r>
      <w:r>
        <w:rPr>
          <w:rFonts w:ascii="Times New Roman" w:eastAsia="宋体" w:hAnsi="Times New Roman" w:cs="Times New Roman"/>
          <w:sz w:val="24"/>
        </w:rPr>
        <w:t>《非实流法校准</w:t>
      </w:r>
      <w:r>
        <w:rPr>
          <w:rFonts w:ascii="Times New Roman" w:eastAsia="宋体" w:hAnsi="Times New Roman" w:cs="Times New Roman"/>
          <w:sz w:val="24"/>
        </w:rPr>
        <w:t xml:space="preserve"> DN1000~DN15000 </w:t>
      </w:r>
      <w:r>
        <w:rPr>
          <w:rFonts w:ascii="Times New Roman" w:eastAsia="宋体" w:hAnsi="Times New Roman" w:cs="Times New Roman"/>
          <w:sz w:val="24"/>
        </w:rPr>
        <w:t>液体超声流量计校准规范》：仅采用非实流校准模式，适用场景不含明渠等各类异形渠道断面，无法依托渠道真实水体实流条件开展校准；而明渠在用超声流量计计量时，误差受现场安装、渠道流态影响较大，该规范未涵盖现场真实水流工况，无法实现明渠超声流量计在线实流校准。</w:t>
      </w:r>
    </w:p>
    <w:p w14:paraId="732F8162"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JJG 1030-2007</w:t>
      </w:r>
      <w:r>
        <w:rPr>
          <w:rFonts w:ascii="Times New Roman" w:eastAsia="宋体" w:hAnsi="Times New Roman" w:cs="Times New Roman"/>
          <w:sz w:val="24"/>
        </w:rPr>
        <w:t>《超声流量计》：该标准侧重超声流量计出厂产品的通用技术指标、型式评价，在线核查依靠标准超声流量计比对、基于声速比对原理实施；由于明渠普遍存在弯道、断面突变、无充足平顺直管段等问题，标准超声流量计在现场规范布设较为困难，该规程无以流速仪作为基准源、实流比对校准明渠超声流量计的相关内容。</w:t>
      </w:r>
    </w:p>
    <w:p w14:paraId="00837C66"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GB/T 20043-2005</w:t>
      </w:r>
      <w:r>
        <w:rPr>
          <w:rFonts w:ascii="Times New Roman" w:eastAsia="宋体" w:hAnsi="Times New Roman" w:cs="Times New Roman"/>
          <w:sz w:val="24"/>
        </w:rPr>
        <w:t>（</w:t>
      </w:r>
      <w:r>
        <w:rPr>
          <w:rFonts w:ascii="Times New Roman" w:eastAsia="宋体" w:hAnsi="Times New Roman" w:cs="Times New Roman"/>
          <w:sz w:val="24"/>
        </w:rPr>
        <w:t>IEC 60041-1991 MOD</w:t>
      </w:r>
      <w:r>
        <w:rPr>
          <w:rFonts w:ascii="Times New Roman" w:eastAsia="宋体" w:hAnsi="Times New Roman" w:cs="Times New Roman"/>
          <w:sz w:val="24"/>
        </w:rPr>
        <w:t>）《水轮机、蓄能泵和水泵水轮机水力性能现场验收试验规程》：其中流速仪法内容仅限定于水轮机、水泵机组过机流量验收试验，适用边界为水力机械性能测试。此外，原版</w:t>
      </w:r>
      <w:r>
        <w:rPr>
          <w:rFonts w:ascii="Times New Roman" w:eastAsia="宋体" w:hAnsi="Times New Roman" w:cs="Times New Roman"/>
          <w:sz w:val="24"/>
        </w:rPr>
        <w:t>IEC</w:t>
      </w:r>
      <w:r>
        <w:rPr>
          <w:rFonts w:ascii="Times New Roman" w:eastAsia="宋体" w:hAnsi="Times New Roman" w:cs="Times New Roman"/>
          <w:sz w:val="24"/>
        </w:rPr>
        <w:t>标准发布距今超</w:t>
      </w:r>
      <w:r>
        <w:rPr>
          <w:rFonts w:ascii="Times New Roman" w:eastAsia="宋体" w:hAnsi="Times New Roman" w:cs="Times New Roman"/>
          <w:sz w:val="24"/>
        </w:rPr>
        <w:t>30</w:t>
      </w:r>
      <w:r>
        <w:rPr>
          <w:rFonts w:ascii="Times New Roman" w:eastAsia="宋体" w:hAnsi="Times New Roman" w:cs="Times New Roman"/>
          <w:sz w:val="24"/>
        </w:rPr>
        <w:t>年，标准中超声流量计测流方法也未在正文中，仅在附录中提及。</w:t>
      </w:r>
    </w:p>
    <w:p w14:paraId="4F4808D4"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ISO 3354-2008</w:t>
      </w:r>
      <w:r>
        <w:rPr>
          <w:rFonts w:ascii="Times New Roman" w:eastAsia="宋体" w:hAnsi="Times New Roman" w:cs="Times New Roman"/>
          <w:sz w:val="24"/>
        </w:rPr>
        <w:t>《封闭管道中水流量的测量</w:t>
      </w:r>
      <w:r>
        <w:rPr>
          <w:rFonts w:ascii="Times New Roman" w:eastAsia="宋体" w:hAnsi="Times New Roman" w:cs="Times New Roman"/>
          <w:sz w:val="24"/>
        </w:rPr>
        <w:t xml:space="preserve"> </w:t>
      </w:r>
      <w:r>
        <w:rPr>
          <w:rFonts w:ascii="Times New Roman" w:eastAsia="宋体" w:hAnsi="Times New Roman" w:cs="Times New Roman" w:hint="eastAsia"/>
          <w:sz w:val="24"/>
        </w:rPr>
        <w:t>-</w:t>
      </w:r>
      <w:r>
        <w:rPr>
          <w:rFonts w:ascii="Times New Roman" w:eastAsia="宋体" w:hAnsi="Times New Roman" w:cs="Times New Roman"/>
          <w:sz w:val="24"/>
        </w:rPr>
        <w:t xml:space="preserve"> </w:t>
      </w:r>
      <w:r>
        <w:rPr>
          <w:rFonts w:ascii="Times New Roman" w:eastAsia="宋体" w:hAnsi="Times New Roman" w:cs="Times New Roman"/>
          <w:sz w:val="24"/>
        </w:rPr>
        <w:t>在满管中和规则流动条件下采用流速仪的速度面积法》：适用范围严格限定封闭满管管道，规则管路流态条件与明渠非满流、自由出流、断面多变的工况差异较大，不含明渠场景下利用流速仪法校准超声流量计的相关内容。</w:t>
      </w:r>
    </w:p>
    <w:p w14:paraId="19879A91"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总体而言，现行国标、国际标准和计量规程与本标准均存在适用场景、校准原理的差异，当前尚无专门针对明渠工况、以流速仪法（流速面积实流法）作为基准方法的超声流量计在线校准专用规范，因此，有必要制定《</w:t>
      </w:r>
      <w:r>
        <w:rPr>
          <w:rFonts w:ascii="Times New Roman" w:eastAsia="宋体" w:hAnsi="Times New Roman" w:cs="Times New Roman"/>
          <w:sz w:val="24"/>
        </w:rPr>
        <w:t xml:space="preserve">JJF XXXX-202X </w:t>
      </w:r>
      <w:r>
        <w:rPr>
          <w:rFonts w:ascii="Times New Roman" w:eastAsia="宋体" w:hAnsi="Times New Roman" w:cs="Times New Roman"/>
          <w:sz w:val="24"/>
        </w:rPr>
        <w:t>明渠超声流量计在线校准规范（流速仪法）》，补齐标准空白，推进明渠超声流量计现场校准工作的发展，支撑我国水资源的精准计量和精细化管理。</w:t>
      </w:r>
    </w:p>
    <w:p w14:paraId="02415AB0" w14:textId="77777777" w:rsidR="002A623E" w:rsidRDefault="00000000">
      <w:pPr>
        <w:numPr>
          <w:ilvl w:val="0"/>
          <w:numId w:val="1"/>
        </w:num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lang w:bidi="ar"/>
        </w:rPr>
        <w:t>编制依据和原则</w:t>
      </w:r>
    </w:p>
    <w:p w14:paraId="2040B348" w14:textId="77777777" w:rsidR="002A623E" w:rsidRDefault="00000000">
      <w:pPr>
        <w:tabs>
          <w:tab w:val="left" w:pos="720"/>
        </w:tabs>
        <w:spacing w:line="360" w:lineRule="auto"/>
        <w:ind w:firstLineChars="200" w:firstLine="480"/>
        <w:rPr>
          <w:rFonts w:ascii="宋体" w:eastAsia="宋体" w:hAnsi="宋体"/>
          <w:sz w:val="24"/>
        </w:rPr>
      </w:pPr>
      <w:r>
        <w:rPr>
          <w:rFonts w:ascii="宋体" w:eastAsia="宋体" w:hAnsi="宋体" w:hint="eastAsia"/>
          <w:sz w:val="24"/>
        </w:rPr>
        <w:t>1、规范制定的主要技术依据</w:t>
      </w:r>
    </w:p>
    <w:p w14:paraId="6D2AA47A"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本规范根据</w:t>
      </w:r>
      <w:r>
        <w:rPr>
          <w:rFonts w:ascii="Times New Roman" w:eastAsia="宋体" w:hAnsi="Times New Roman" w:cs="Times New Roman"/>
          <w:sz w:val="24"/>
        </w:rPr>
        <w:t>JJF 1071-2010</w:t>
      </w:r>
      <w:r>
        <w:rPr>
          <w:rFonts w:ascii="Times New Roman" w:eastAsia="宋体" w:hAnsi="Times New Roman" w:cs="Times New Roman"/>
          <w:sz w:val="24"/>
        </w:rPr>
        <w:t>《国家计量技术规范编写规则》进行编制。本规程所用术语，除在规范中专门定义外，均采用</w:t>
      </w:r>
      <w:r>
        <w:rPr>
          <w:rFonts w:ascii="Times New Roman" w:eastAsia="宋体" w:hAnsi="Times New Roman" w:cs="Times New Roman"/>
          <w:sz w:val="24"/>
        </w:rPr>
        <w:t>JJF 1001</w:t>
      </w:r>
      <w:r>
        <w:rPr>
          <w:rFonts w:ascii="Times New Roman" w:eastAsia="宋体" w:hAnsi="Times New Roman" w:cs="Times New Roman"/>
          <w:sz w:val="24"/>
        </w:rPr>
        <w:t>《通用计量术语及定义》、</w:t>
      </w:r>
      <w:r>
        <w:rPr>
          <w:rFonts w:ascii="Times New Roman" w:eastAsia="宋体" w:hAnsi="Times New Roman" w:cs="Times New Roman"/>
          <w:sz w:val="24"/>
        </w:rPr>
        <w:t>JJF 1004</w:t>
      </w:r>
      <w:r>
        <w:rPr>
          <w:rFonts w:ascii="Times New Roman" w:eastAsia="宋体" w:hAnsi="Times New Roman" w:cs="Times New Roman"/>
          <w:sz w:val="24"/>
        </w:rPr>
        <w:t>《流量计量名词术语及定义》。</w:t>
      </w:r>
    </w:p>
    <w:p w14:paraId="17F4CC91"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lastRenderedPageBreak/>
        <w:t>本规范依据的主要技术文件有：</w:t>
      </w:r>
    </w:p>
    <w:p w14:paraId="25588E0D"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JJF 1001</w:t>
      </w:r>
      <w:r>
        <w:rPr>
          <w:rFonts w:ascii="Times New Roman" w:eastAsia="宋体" w:hAnsi="Times New Roman" w:cs="Times New Roman"/>
          <w:sz w:val="24"/>
        </w:rPr>
        <w:t>《通用计量术语及定义》</w:t>
      </w:r>
    </w:p>
    <w:p w14:paraId="514E451D"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JJF 1004</w:t>
      </w:r>
      <w:r>
        <w:rPr>
          <w:rFonts w:ascii="Times New Roman" w:eastAsia="宋体" w:hAnsi="Times New Roman" w:cs="Times New Roman"/>
          <w:sz w:val="24"/>
        </w:rPr>
        <w:t>《流量计量名词术语及定义》</w:t>
      </w:r>
    </w:p>
    <w:p w14:paraId="42BE52CF"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JJF 1059.1-2012</w:t>
      </w:r>
      <w:r>
        <w:rPr>
          <w:rFonts w:ascii="Times New Roman" w:eastAsia="宋体" w:hAnsi="Times New Roman" w:cs="Times New Roman"/>
          <w:sz w:val="24"/>
        </w:rPr>
        <w:t>《测量不确定度评定与表示》</w:t>
      </w:r>
    </w:p>
    <w:p w14:paraId="1A7BB0E9"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GB/T 11826</w:t>
      </w:r>
      <w:r>
        <w:rPr>
          <w:rFonts w:ascii="Times New Roman" w:eastAsia="宋体" w:hAnsi="Times New Roman" w:cs="Times New Roman"/>
          <w:sz w:val="24"/>
        </w:rPr>
        <w:t>－</w:t>
      </w:r>
      <w:r>
        <w:rPr>
          <w:rFonts w:ascii="Times New Roman" w:eastAsia="宋体" w:hAnsi="Times New Roman" w:cs="Times New Roman"/>
          <w:sz w:val="24"/>
        </w:rPr>
        <w:t xml:space="preserve">2019 </w:t>
      </w:r>
      <w:r>
        <w:rPr>
          <w:rFonts w:ascii="Times New Roman" w:eastAsia="宋体" w:hAnsi="Times New Roman" w:cs="Times New Roman"/>
          <w:sz w:val="24"/>
        </w:rPr>
        <w:t>转子式流速仪</w:t>
      </w:r>
    </w:p>
    <w:p w14:paraId="163E88BA"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GB/T 21303</w:t>
      </w:r>
      <w:r>
        <w:rPr>
          <w:rFonts w:ascii="Times New Roman" w:eastAsia="宋体" w:hAnsi="Times New Roman" w:cs="Times New Roman"/>
          <w:sz w:val="24"/>
        </w:rPr>
        <w:t>－</w:t>
      </w:r>
      <w:r>
        <w:rPr>
          <w:rFonts w:ascii="Times New Roman" w:eastAsia="宋体" w:hAnsi="Times New Roman" w:cs="Times New Roman"/>
          <w:sz w:val="24"/>
        </w:rPr>
        <w:t xml:space="preserve">2017 </w:t>
      </w:r>
      <w:r>
        <w:rPr>
          <w:rFonts w:ascii="Times New Roman" w:eastAsia="宋体" w:hAnsi="Times New Roman" w:cs="Times New Roman"/>
          <w:sz w:val="24"/>
        </w:rPr>
        <w:t>灌溉渠道系统量水规范</w:t>
      </w:r>
    </w:p>
    <w:p w14:paraId="7810163E"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 xml:space="preserve">GB/T 20043-2015 </w:t>
      </w:r>
      <w:r>
        <w:rPr>
          <w:rFonts w:ascii="Times New Roman" w:eastAsia="宋体" w:hAnsi="Times New Roman" w:cs="Times New Roman"/>
          <w:sz w:val="24"/>
        </w:rPr>
        <w:t>水轮机、蓄能泵和水泵水轮机水力性能现场验收试验规程</w:t>
      </w:r>
    </w:p>
    <w:p w14:paraId="1C323E17" w14:textId="77777777" w:rsidR="002A623E" w:rsidRDefault="00000000">
      <w:pPr>
        <w:tabs>
          <w:tab w:val="left" w:pos="720"/>
        </w:tabs>
        <w:spacing w:line="360" w:lineRule="auto"/>
        <w:ind w:firstLineChars="200" w:firstLine="480"/>
        <w:rPr>
          <w:rFonts w:ascii="宋体" w:eastAsia="宋体" w:hAnsi="宋体"/>
          <w:sz w:val="24"/>
        </w:rPr>
      </w:pPr>
      <w:r>
        <w:rPr>
          <w:rFonts w:ascii="Times New Roman" w:eastAsia="宋体" w:hAnsi="Times New Roman" w:cs="Times New Roman"/>
          <w:sz w:val="24"/>
        </w:rPr>
        <w:t>GB 50179</w:t>
      </w:r>
      <w:r>
        <w:rPr>
          <w:rFonts w:ascii="Times New Roman" w:eastAsia="宋体" w:hAnsi="Times New Roman" w:cs="Times New Roman"/>
          <w:sz w:val="24"/>
        </w:rPr>
        <w:t>－</w:t>
      </w:r>
      <w:r>
        <w:rPr>
          <w:rFonts w:ascii="Times New Roman" w:eastAsia="宋体" w:hAnsi="Times New Roman" w:cs="Times New Roman"/>
          <w:sz w:val="24"/>
        </w:rPr>
        <w:t xml:space="preserve">2015 </w:t>
      </w:r>
      <w:r>
        <w:rPr>
          <w:rFonts w:ascii="Times New Roman" w:eastAsia="宋体" w:hAnsi="Times New Roman" w:cs="Times New Roman"/>
          <w:sz w:val="24"/>
        </w:rPr>
        <w:t>河流流量测验规范</w:t>
      </w:r>
    </w:p>
    <w:p w14:paraId="4E84ABAE" w14:textId="77777777" w:rsidR="002A623E" w:rsidRDefault="00000000">
      <w:pPr>
        <w:tabs>
          <w:tab w:val="left" w:pos="720"/>
        </w:tabs>
        <w:spacing w:line="360" w:lineRule="auto"/>
        <w:ind w:firstLineChars="200" w:firstLine="480"/>
        <w:rPr>
          <w:rFonts w:ascii="宋体" w:eastAsia="宋体" w:hAnsi="宋体"/>
          <w:sz w:val="24"/>
        </w:rPr>
      </w:pPr>
      <w:r>
        <w:rPr>
          <w:rFonts w:ascii="宋体" w:eastAsia="宋体" w:hAnsi="宋体" w:hint="eastAsia"/>
          <w:sz w:val="24"/>
        </w:rPr>
        <w:t>2、规程修订的主要原则</w:t>
      </w:r>
    </w:p>
    <w:p w14:paraId="52BB1C4F" w14:textId="77777777" w:rsidR="002A623E" w:rsidRDefault="00000000">
      <w:pPr>
        <w:tabs>
          <w:tab w:val="left" w:pos="720"/>
        </w:tabs>
        <w:spacing w:line="360" w:lineRule="auto"/>
        <w:ind w:firstLineChars="200" w:firstLine="480"/>
        <w:rPr>
          <w:rFonts w:ascii="宋体" w:eastAsia="宋体" w:hAnsi="宋体"/>
          <w:sz w:val="24"/>
        </w:rPr>
      </w:pPr>
      <w:r>
        <w:rPr>
          <w:rFonts w:ascii="宋体" w:eastAsia="宋体" w:hAnsi="宋体" w:hint="eastAsia"/>
          <w:sz w:val="24"/>
        </w:rPr>
        <w:t>与现行国际国内标准和文件保持一致，结合生产、使用及标准装置现状确定技术指标和现场校准方法，使之科学、合理、可行。</w:t>
      </w:r>
    </w:p>
    <w:p w14:paraId="6F39E454" w14:textId="77777777" w:rsidR="002A623E" w:rsidRDefault="00000000">
      <w:pPr>
        <w:numPr>
          <w:ilvl w:val="0"/>
          <w:numId w:val="1"/>
        </w:num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lang w:bidi="ar"/>
        </w:rPr>
        <w:t>编制过程</w:t>
      </w:r>
    </w:p>
    <w:p w14:paraId="1AF95E5B"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规范制定过程具体如下：</w:t>
      </w:r>
    </w:p>
    <w:p w14:paraId="6BA59C00" w14:textId="77777777" w:rsidR="002A623E"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6</w:t>
      </w:r>
      <w:r>
        <w:rPr>
          <w:rFonts w:ascii="Times New Roman" w:eastAsia="宋体" w:hAnsi="Times New Roman" w:cs="Times New Roman"/>
          <w:sz w:val="24"/>
        </w:rPr>
        <w:t>月：接到全国能源资源计量技术委员会水资源计量分技术委员会秘书处的规范制定通知后，成立了规范起草小组，由五个单位七位同志参加，其中包括中国水利水电科学研究院、中国计量科学研究院、水利部水文仪器及岩土工程仪器质量监督检验测试中心、水利部南京水利水文自动化研究所、青岛清万水技术有限公司，并召开了首次会议，确定了各起草人的具体工作分工。</w:t>
      </w:r>
    </w:p>
    <w:p w14:paraId="4B5EAF20"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7</w:t>
      </w:r>
      <w:r>
        <w:rPr>
          <w:rFonts w:ascii="Times New Roman" w:eastAsia="宋体" w:hAnsi="Times New Roman" w:cs="Times New Roman"/>
          <w:sz w:val="24"/>
        </w:rPr>
        <w:t>月：起草小组开展技术调研和研讨，收集相关资料，编制标准大纲，并召开了工作组会议，就标准编制原则、标准大纲等进行了讨论。</w:t>
      </w:r>
    </w:p>
    <w:p w14:paraId="0A7133AC"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9</w:t>
      </w:r>
      <w:r>
        <w:rPr>
          <w:rFonts w:ascii="Times New Roman" w:eastAsia="宋体" w:hAnsi="Times New Roman" w:cs="Times New Roman"/>
          <w:sz w:val="24"/>
        </w:rPr>
        <w:t>月：起草小组初步完成了规范初稿的编撰，并召开了起草小组会议进行讨论修改，并邀请了水力机械、流量计量专业的相关专家和中国水利水电科学研究院标准化与计量中心的专家进行咨询，对规范中相关的若干技术问题、格式体例问题、语言文字表述问题等进行了咨询和研讨。</w:t>
      </w:r>
    </w:p>
    <w:p w14:paraId="33D8072E"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10</w:t>
      </w:r>
      <w:r>
        <w:rPr>
          <w:rFonts w:ascii="Times New Roman" w:eastAsia="宋体" w:hAnsi="Times New Roman" w:cs="Times New Roman"/>
          <w:sz w:val="24"/>
        </w:rPr>
        <w:t>月：起草小组向全国能源资源计量技术委员会水资源计量分技术委员会秘书处提交了规范初稿，编制组召开标准研讨会，对规范中的试验报告、不确定评估等部分进行了讨论。</w:t>
      </w:r>
    </w:p>
    <w:p w14:paraId="0198444F"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2025</w:t>
      </w:r>
      <w:r>
        <w:rPr>
          <w:rFonts w:ascii="Times New Roman" w:eastAsia="宋体" w:hAnsi="Times New Roman" w:cs="Times New Roman"/>
          <w:sz w:val="24"/>
        </w:rPr>
        <w:t>年</w:t>
      </w:r>
      <w:r>
        <w:rPr>
          <w:rFonts w:ascii="Times New Roman" w:eastAsia="宋体" w:hAnsi="Times New Roman" w:cs="Times New Roman"/>
          <w:sz w:val="24"/>
        </w:rPr>
        <w:t>11</w:t>
      </w:r>
      <w:r>
        <w:rPr>
          <w:rFonts w:ascii="Times New Roman" w:eastAsia="宋体" w:hAnsi="Times New Roman" w:cs="Times New Roman"/>
          <w:sz w:val="24"/>
        </w:rPr>
        <w:t>月～</w:t>
      </w:r>
      <w:r>
        <w:rPr>
          <w:rFonts w:ascii="Times New Roman" w:eastAsia="宋体" w:hAnsi="Times New Roman" w:cs="Times New Roman"/>
          <w:sz w:val="24"/>
        </w:rPr>
        <w:t>12</w:t>
      </w:r>
      <w:r>
        <w:rPr>
          <w:rFonts w:ascii="Times New Roman" w:eastAsia="宋体" w:hAnsi="Times New Roman" w:cs="Times New Roman"/>
          <w:sz w:val="24"/>
        </w:rPr>
        <w:t>月，起草小组开展调研、试验数据收集分析工作，完成</w:t>
      </w:r>
      <w:r>
        <w:rPr>
          <w:rFonts w:ascii="Times New Roman" w:eastAsia="宋体" w:hAnsi="Times New Roman" w:cs="Times New Roman"/>
          <w:sz w:val="24"/>
        </w:rPr>
        <w:lastRenderedPageBreak/>
        <w:t>《明渠超声流量计在线校准规范（流速仪法）》试验验证报告和不确定度分析报告初稿。</w:t>
      </w:r>
    </w:p>
    <w:p w14:paraId="498140F2" w14:textId="77777777" w:rsidR="002A623E" w:rsidRDefault="00000000">
      <w:pPr>
        <w:tabs>
          <w:tab w:val="left" w:pos="720"/>
        </w:tabs>
        <w:spacing w:line="360" w:lineRule="auto"/>
        <w:ind w:firstLineChars="200" w:firstLine="480"/>
        <w:rPr>
          <w:rFonts w:ascii="仿宋" w:eastAsia="仿宋" w:hAnsi="仿宋"/>
          <w:sz w:val="28"/>
          <w:szCs w:val="32"/>
        </w:rPr>
      </w:pPr>
      <w:r>
        <w:rPr>
          <w:rFonts w:ascii="Times New Roman" w:eastAsia="宋体" w:hAnsi="Times New Roman" w:cs="Times New Roman"/>
          <w:sz w:val="24"/>
        </w:rPr>
        <w:t>2026</w:t>
      </w:r>
      <w:r>
        <w:rPr>
          <w:rFonts w:ascii="Times New Roman" w:eastAsia="宋体" w:hAnsi="Times New Roman" w:cs="Times New Roman"/>
          <w:sz w:val="24"/>
        </w:rPr>
        <w:t>年</w:t>
      </w:r>
      <w:r>
        <w:rPr>
          <w:rFonts w:ascii="Times New Roman" w:eastAsia="宋体" w:hAnsi="Times New Roman" w:cs="Times New Roman"/>
          <w:sz w:val="24"/>
        </w:rPr>
        <w:t>5</w:t>
      </w:r>
      <w:r>
        <w:rPr>
          <w:rFonts w:ascii="Times New Roman" w:eastAsia="宋体" w:hAnsi="Times New Roman" w:cs="Times New Roman"/>
          <w:sz w:val="24"/>
        </w:rPr>
        <w:t>月：起草小组进一步完善了初稿并形成了规范征求意见稿，并提交到了中国水利水电科学研究院标准化与计量中心，审查通过后提交到了全国能</w:t>
      </w:r>
      <w:r>
        <w:rPr>
          <w:rFonts w:ascii="宋体" w:eastAsia="宋体" w:hAnsi="宋体" w:hint="eastAsia"/>
          <w:sz w:val="24"/>
        </w:rPr>
        <w:t>源资源计量技术委员会水资源计量分技术委员会秘书处。</w:t>
      </w:r>
    </w:p>
    <w:p w14:paraId="7EA5713B" w14:textId="2EF3421D" w:rsidR="002A623E" w:rsidRDefault="00000000">
      <w:pPr>
        <w:numPr>
          <w:ilvl w:val="0"/>
          <w:numId w:val="1"/>
        </w:num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lang w:bidi="ar"/>
        </w:rPr>
        <w:t>主要技术内容及指标的说明</w:t>
      </w:r>
    </w:p>
    <w:p w14:paraId="2BF5F0A0" w14:textId="77777777" w:rsidR="002A623E" w:rsidRDefault="00000000">
      <w:pPr>
        <w:tabs>
          <w:tab w:val="left" w:pos="72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规范在编制中结合国内明渠超声流量计现场安装、使用现状与水文测验现行国家标准要求，参考</w:t>
      </w:r>
      <w:r>
        <w:rPr>
          <w:rFonts w:ascii="宋体" w:eastAsia="宋体" w:hAnsi="宋体" w:cs="宋体" w:hint="eastAsia"/>
          <w:sz w:val="24"/>
        </w:rPr>
        <w:t>JJF</w:t>
      </w:r>
      <w:r>
        <w:rPr>
          <w:rFonts w:ascii="Times New Roman" w:eastAsia="宋体" w:hAnsi="Times New Roman" w:cs="Times New Roman"/>
          <w:sz w:val="24"/>
        </w:rPr>
        <w:t>系列计量规范编写规则，从适用范围、术语定义、计量指标、校准条件、校准项目与频次、校准测算方法、数据处理、复校周期、配套附录九个维度确定技术内容，具体如下：</w:t>
      </w:r>
    </w:p>
    <w:p w14:paraId="151CFE46" w14:textId="77777777" w:rsidR="002A623E" w:rsidRDefault="00000000">
      <w:pPr>
        <w:tabs>
          <w:tab w:val="left" w:pos="720"/>
        </w:tabs>
        <w:spacing w:line="360" w:lineRule="auto"/>
        <w:ind w:firstLineChars="200" w:firstLine="480"/>
        <w:rPr>
          <w:rFonts w:ascii="宋体" w:eastAsia="宋体" w:hAnsi="宋体"/>
          <w:sz w:val="24"/>
        </w:rPr>
      </w:pPr>
      <w:r>
        <w:rPr>
          <w:rFonts w:ascii="宋体" w:eastAsia="宋体" w:hAnsi="宋体" w:hint="eastAsia"/>
          <w:sz w:val="24"/>
        </w:rPr>
        <w:t>1、规范适应范围</w:t>
      </w:r>
    </w:p>
    <w:p w14:paraId="1453763C" w14:textId="77777777" w:rsidR="002A623E" w:rsidRDefault="00000000">
      <w:pPr>
        <w:pStyle w:val="a7"/>
        <w:spacing w:line="360" w:lineRule="auto"/>
        <w:ind w:firstLine="480"/>
        <w:rPr>
          <w:rFonts w:ascii="Times New Roman" w:eastAsia="宋体" w:hAnsi="Times New Roman" w:cs="Times New Roman"/>
          <w:sz w:val="24"/>
        </w:rPr>
      </w:pPr>
      <w:r>
        <w:rPr>
          <w:rFonts w:ascii="Times New Roman" w:eastAsia="宋体" w:hAnsi="Times New Roman" w:cs="Times New Roman"/>
          <w:sz w:val="24"/>
        </w:rPr>
        <w:t>本规范限定适用对象为水面宽度</w:t>
      </w:r>
      <w:r>
        <w:rPr>
          <w:rFonts w:ascii="Times New Roman" w:eastAsia="宋体" w:hAnsi="Times New Roman" w:cs="Times New Roman"/>
          <w:sz w:val="24"/>
        </w:rPr>
        <w:t>0.5m</w:t>
      </w:r>
      <w:r>
        <w:rPr>
          <w:rFonts w:ascii="Times New Roman" w:eastAsia="宋体" w:hAnsi="Times New Roman" w:cs="Times New Roman"/>
          <w:sz w:val="24"/>
        </w:rPr>
        <w:t>～</w:t>
      </w:r>
      <w:r>
        <w:rPr>
          <w:rFonts w:ascii="Times New Roman" w:eastAsia="宋体" w:hAnsi="Times New Roman" w:cs="Times New Roman"/>
          <w:sz w:val="24"/>
        </w:rPr>
        <w:t>5.0m</w:t>
      </w:r>
      <w:r>
        <w:rPr>
          <w:rFonts w:ascii="Times New Roman" w:eastAsia="宋体" w:hAnsi="Times New Roman" w:cs="Times New Roman"/>
          <w:sz w:val="24"/>
        </w:rPr>
        <w:t>明渠上固定安装的时差式超声流量计，</w:t>
      </w:r>
      <w:r>
        <w:rPr>
          <w:rFonts w:ascii="Times New Roman" w:eastAsia="宋体" w:hAnsi="Times New Roman" w:cs="Times New Roman" w:hint="eastAsia"/>
          <w:sz w:val="24"/>
        </w:rPr>
        <w:t>以</w:t>
      </w:r>
      <w:r>
        <w:rPr>
          <w:rFonts w:ascii="Times New Roman" w:eastAsia="宋体" w:hAnsi="Times New Roman" w:cs="Times New Roman"/>
          <w:sz w:val="24"/>
        </w:rPr>
        <w:t>转子</w:t>
      </w:r>
      <w:r>
        <w:rPr>
          <w:rFonts w:ascii="Times New Roman" w:eastAsia="宋体" w:hAnsi="Times New Roman" w:cs="Times New Roman" w:hint="eastAsia"/>
          <w:sz w:val="24"/>
        </w:rPr>
        <w:t>式</w:t>
      </w:r>
      <w:r>
        <w:rPr>
          <w:rFonts w:ascii="Times New Roman" w:eastAsia="宋体" w:hAnsi="Times New Roman" w:cs="Times New Roman"/>
          <w:sz w:val="24"/>
        </w:rPr>
        <w:t>流速仪</w:t>
      </w:r>
      <w:r>
        <w:rPr>
          <w:rFonts w:ascii="Times New Roman" w:eastAsia="宋体" w:hAnsi="Times New Roman" w:cs="Times New Roman" w:hint="eastAsia"/>
          <w:sz w:val="24"/>
        </w:rPr>
        <w:t>作为超声流量计校准的基准设备，</w:t>
      </w:r>
      <w:r>
        <w:rPr>
          <w:rFonts w:ascii="Times New Roman" w:eastAsia="宋体" w:hAnsi="Times New Roman" w:cs="Times New Roman"/>
          <w:sz w:val="24"/>
        </w:rPr>
        <w:t>实现在线校准；超出上述水面宽度范围的明渠超声流量计可参照本规范开展校准工作。</w:t>
      </w:r>
      <w:r>
        <w:rPr>
          <w:rFonts w:ascii="Times New Roman" w:eastAsia="宋体" w:hAnsi="Times New Roman" w:cs="Times New Roman" w:hint="eastAsia"/>
          <w:sz w:val="24"/>
        </w:rPr>
        <w:t>明渠超声</w:t>
      </w:r>
      <w:r>
        <w:rPr>
          <w:rFonts w:ascii="Times New Roman" w:eastAsia="宋体" w:hAnsi="Times New Roman" w:cs="Times New Roman"/>
          <w:sz w:val="24"/>
        </w:rPr>
        <w:t>流量计</w:t>
      </w:r>
      <w:r>
        <w:rPr>
          <w:rFonts w:ascii="Times New Roman" w:eastAsia="宋体" w:hAnsi="Times New Roman" w:cs="Times New Roman" w:hint="eastAsia"/>
          <w:sz w:val="24"/>
        </w:rPr>
        <w:t>一般</w:t>
      </w:r>
      <w:r>
        <w:rPr>
          <w:rFonts w:ascii="Times New Roman" w:eastAsia="宋体" w:hAnsi="Times New Roman" w:cs="Times New Roman"/>
          <w:sz w:val="24"/>
        </w:rPr>
        <w:t>由换能器、水位</w:t>
      </w:r>
      <w:r>
        <w:rPr>
          <w:rFonts w:ascii="Times New Roman" w:eastAsia="宋体" w:hAnsi="Times New Roman" w:cs="Times New Roman" w:hint="eastAsia"/>
          <w:sz w:val="24"/>
        </w:rPr>
        <w:t>计</w:t>
      </w:r>
      <w:r>
        <w:rPr>
          <w:rFonts w:ascii="Times New Roman" w:eastAsia="宋体" w:hAnsi="Times New Roman" w:cs="Times New Roman"/>
          <w:sz w:val="24"/>
        </w:rPr>
        <w:t>、流量</w:t>
      </w:r>
      <w:r>
        <w:rPr>
          <w:rFonts w:ascii="Times New Roman" w:eastAsia="宋体" w:hAnsi="Times New Roman" w:cs="Times New Roman" w:hint="eastAsia"/>
          <w:sz w:val="24"/>
        </w:rPr>
        <w:t>计</w:t>
      </w:r>
      <w:r>
        <w:rPr>
          <w:rFonts w:ascii="Times New Roman" w:eastAsia="宋体" w:hAnsi="Times New Roman" w:cs="Times New Roman"/>
          <w:sz w:val="24"/>
        </w:rPr>
        <w:t>主机三部分构成，针对自由液面非满管明渠水流工况，不适用于密闭满管管道式超声流量计校准。</w:t>
      </w:r>
    </w:p>
    <w:p w14:paraId="60EB951E"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2、术语和定义</w:t>
      </w:r>
    </w:p>
    <w:p w14:paraId="48C47804" w14:textId="77777777" w:rsidR="002A623E" w:rsidRDefault="00000000">
      <w:pPr>
        <w:pStyle w:val="a7"/>
        <w:spacing w:line="360" w:lineRule="auto"/>
        <w:ind w:firstLine="480"/>
        <w:rPr>
          <w:rFonts w:ascii="Times New Roman" w:eastAsia="宋体" w:hAnsi="Times New Roman" w:cs="Times New Roman"/>
          <w:sz w:val="24"/>
        </w:rPr>
      </w:pPr>
      <w:r>
        <w:rPr>
          <w:rFonts w:ascii="Times New Roman" w:eastAsia="宋体" w:hAnsi="Times New Roman" w:cs="Times New Roman"/>
          <w:sz w:val="24"/>
        </w:rPr>
        <w:t>规范除直接引用</w:t>
      </w:r>
      <w:r>
        <w:rPr>
          <w:rFonts w:ascii="Times New Roman" w:eastAsia="宋体" w:hAnsi="Times New Roman" w:cs="Times New Roman"/>
          <w:sz w:val="24"/>
        </w:rPr>
        <w:t>JJF</w:t>
      </w:r>
      <w:r>
        <w:rPr>
          <w:rFonts w:ascii="Times New Roman" w:eastAsia="宋体" w:hAnsi="Times New Roman" w:cs="Times New Roman" w:hint="eastAsia"/>
          <w:sz w:val="24"/>
        </w:rPr>
        <w:t xml:space="preserve"> </w:t>
      </w:r>
      <w:r>
        <w:rPr>
          <w:rFonts w:ascii="Times New Roman" w:eastAsia="宋体" w:hAnsi="Times New Roman" w:cs="Times New Roman"/>
          <w:sz w:val="24"/>
        </w:rPr>
        <w:t>1001</w:t>
      </w:r>
      <w:r>
        <w:rPr>
          <w:rFonts w:ascii="Times New Roman" w:eastAsia="宋体" w:hAnsi="Times New Roman" w:cs="Times New Roman"/>
          <w:sz w:val="24"/>
        </w:rPr>
        <w:t>、</w:t>
      </w:r>
      <w:r>
        <w:rPr>
          <w:rFonts w:ascii="Times New Roman" w:eastAsia="宋体" w:hAnsi="Times New Roman" w:cs="Times New Roman"/>
          <w:sz w:val="24"/>
        </w:rPr>
        <w:t>JJF</w:t>
      </w:r>
      <w:r>
        <w:rPr>
          <w:rFonts w:ascii="Times New Roman" w:eastAsia="宋体" w:hAnsi="Times New Roman" w:cs="Times New Roman" w:hint="eastAsia"/>
          <w:sz w:val="24"/>
        </w:rPr>
        <w:t xml:space="preserve"> </w:t>
      </w:r>
      <w:r>
        <w:rPr>
          <w:rFonts w:ascii="Times New Roman" w:eastAsia="宋体" w:hAnsi="Times New Roman" w:cs="Times New Roman"/>
          <w:sz w:val="24"/>
        </w:rPr>
        <w:t>1004</w:t>
      </w:r>
      <w:r>
        <w:rPr>
          <w:rFonts w:ascii="Times New Roman" w:eastAsia="宋体" w:hAnsi="Times New Roman" w:cs="Times New Roman"/>
          <w:sz w:val="24"/>
        </w:rPr>
        <w:t>中通用计量、流量专业术语外，针对明渠测流特有设备，新增明渠、超声流量计、换能器、流速仪、转子流速仪、旋桨式流速仪、旋杯式流速仪</w:t>
      </w:r>
      <w:r>
        <w:rPr>
          <w:rFonts w:ascii="Times New Roman" w:eastAsia="宋体" w:hAnsi="Times New Roman" w:cs="Times New Roman"/>
          <w:sz w:val="24"/>
        </w:rPr>
        <w:t>7</w:t>
      </w:r>
      <w:r>
        <w:rPr>
          <w:rFonts w:ascii="Times New Roman" w:eastAsia="宋体" w:hAnsi="Times New Roman" w:cs="Times New Roman"/>
          <w:sz w:val="24"/>
        </w:rPr>
        <w:t>项专用术语定义；明确旋桨式流速仪</w:t>
      </w:r>
      <w:r>
        <w:rPr>
          <w:rFonts w:ascii="Times New Roman" w:eastAsia="宋体" w:hAnsi="Times New Roman" w:cs="Times New Roman" w:hint="eastAsia"/>
          <w:sz w:val="24"/>
        </w:rPr>
        <w:t>只反应正</w:t>
      </w:r>
      <w:r>
        <w:rPr>
          <w:rFonts w:ascii="Times New Roman" w:eastAsia="宋体" w:hAnsi="Times New Roman" w:cs="Times New Roman"/>
          <w:sz w:val="24"/>
        </w:rPr>
        <w:t>向水流测速、旋杯式流速仪可实现正向</w:t>
      </w:r>
      <w:r>
        <w:rPr>
          <w:rFonts w:ascii="Times New Roman" w:eastAsia="宋体" w:hAnsi="Times New Roman" w:cs="Times New Roman" w:hint="eastAsia"/>
          <w:sz w:val="24"/>
        </w:rPr>
        <w:t>、负向</w:t>
      </w:r>
      <w:r>
        <w:rPr>
          <w:rFonts w:ascii="Times New Roman" w:eastAsia="宋体" w:hAnsi="Times New Roman" w:cs="Times New Roman"/>
          <w:sz w:val="24"/>
        </w:rPr>
        <w:t>流速测量的适用边界，统一行业名词释义，消除不同水文、计量文件术语不统一问题。</w:t>
      </w:r>
    </w:p>
    <w:p w14:paraId="343CFC4F"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3、计量特性技术指标</w:t>
      </w:r>
    </w:p>
    <w:p w14:paraId="22A827C9" w14:textId="77777777" w:rsidR="002A623E" w:rsidRDefault="00000000">
      <w:pPr>
        <w:pStyle w:val="a7"/>
        <w:spacing w:line="360" w:lineRule="auto"/>
        <w:ind w:firstLine="480"/>
        <w:rPr>
          <w:rFonts w:ascii="Times New Roman" w:eastAsia="宋体" w:hAnsi="Times New Roman" w:cs="Times New Roman"/>
          <w:sz w:val="24"/>
        </w:rPr>
      </w:pPr>
      <w:r>
        <w:rPr>
          <w:rFonts w:ascii="Times New Roman" w:eastAsia="宋体" w:hAnsi="Times New Roman" w:cs="Times New Roman"/>
          <w:sz w:val="24"/>
        </w:rPr>
        <w:t>规定被校明渠超声流量计最大允许误差为</w:t>
      </w:r>
      <w:r>
        <w:rPr>
          <w:rFonts w:ascii="Times New Roman" w:eastAsia="宋体" w:hAnsi="Times New Roman" w:cs="Times New Roman"/>
          <w:sz w:val="24"/>
        </w:rPr>
        <w:t>±5.0%</w:t>
      </w:r>
      <w:r>
        <w:rPr>
          <w:rFonts w:ascii="Times New Roman" w:eastAsia="宋体" w:hAnsi="Times New Roman" w:cs="Times New Roman"/>
          <w:sz w:val="24"/>
        </w:rPr>
        <w:t>，</w:t>
      </w:r>
      <w:r>
        <w:rPr>
          <w:rFonts w:ascii="Times New Roman" w:eastAsia="宋体" w:hAnsi="Times New Roman" w:cs="Times New Roman" w:hint="eastAsia"/>
          <w:sz w:val="24"/>
        </w:rPr>
        <w:t>；</w:t>
      </w:r>
      <w:r>
        <w:rPr>
          <w:rFonts w:ascii="Times New Roman" w:eastAsia="宋体" w:hAnsi="Times New Roman" w:cs="Times New Roman"/>
          <w:sz w:val="24"/>
        </w:rPr>
        <w:t>流量计流量示值重复性不大于流量计最大允许误差绝对值的</w:t>
      </w:r>
      <w:r>
        <w:rPr>
          <w:rFonts w:ascii="Times New Roman" w:eastAsia="宋体" w:hAnsi="Times New Roman" w:cs="Times New Roman"/>
          <w:sz w:val="24"/>
        </w:rPr>
        <w:t>1/3</w:t>
      </w:r>
      <w:r>
        <w:rPr>
          <w:rFonts w:ascii="Times New Roman" w:eastAsia="宋体" w:hAnsi="Times New Roman" w:cs="Times New Roman"/>
          <w:sz w:val="24"/>
        </w:rPr>
        <w:t>，同示值误差要求一致，重复性指标仅用于性能参考</w:t>
      </w:r>
      <w:r>
        <w:rPr>
          <w:rFonts w:ascii="Times New Roman" w:eastAsia="宋体" w:hAnsi="Times New Roman" w:cs="Times New Roman" w:hint="eastAsia"/>
          <w:sz w:val="24"/>
        </w:rPr>
        <w:t>，不用于合格性判别</w:t>
      </w:r>
      <w:r>
        <w:rPr>
          <w:rFonts w:ascii="Times New Roman" w:eastAsia="宋体" w:hAnsi="Times New Roman" w:cs="Times New Roman"/>
          <w:sz w:val="24"/>
        </w:rPr>
        <w:t>。</w:t>
      </w:r>
    </w:p>
    <w:p w14:paraId="280B0FA1"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4、</w:t>
      </w:r>
      <w:r>
        <w:rPr>
          <w:rFonts w:ascii="宋体" w:eastAsia="宋体" w:hAnsi="宋体"/>
          <w:sz w:val="24"/>
        </w:rPr>
        <w:t>校准条件</w:t>
      </w:r>
    </w:p>
    <w:p w14:paraId="4B636383" w14:textId="77777777" w:rsidR="002A623E" w:rsidRDefault="00000000">
      <w:pPr>
        <w:pStyle w:val="a7"/>
        <w:spacing w:line="360" w:lineRule="auto"/>
        <w:ind w:firstLine="480"/>
        <w:rPr>
          <w:rFonts w:ascii="宋体" w:eastAsia="宋体" w:hAnsi="宋体"/>
          <w:sz w:val="24"/>
        </w:rPr>
      </w:pPr>
      <w:r>
        <w:rPr>
          <w:rFonts w:ascii="宋体" w:eastAsia="宋体" w:hAnsi="宋体"/>
          <w:sz w:val="24"/>
        </w:rPr>
        <w:t>环境条件明确了温湿度、大气压和水体温度的限值范围，划定了校准所需环</w:t>
      </w:r>
      <w:r>
        <w:rPr>
          <w:rFonts w:ascii="宋体" w:eastAsia="宋体" w:hAnsi="宋体"/>
          <w:sz w:val="24"/>
        </w:rPr>
        <w:lastRenderedPageBreak/>
        <w:t>境参数</w:t>
      </w:r>
      <w:r>
        <w:rPr>
          <w:rFonts w:ascii="宋体" w:eastAsia="宋体" w:hAnsi="宋体" w:hint="eastAsia"/>
          <w:sz w:val="24"/>
        </w:rPr>
        <w:t>；</w:t>
      </w:r>
      <w:r>
        <w:rPr>
          <w:rFonts w:ascii="宋体" w:eastAsia="宋体" w:hAnsi="宋体"/>
          <w:sz w:val="24"/>
        </w:rPr>
        <w:t>水流条件要求校准断面水流平顺稳定，不存在大量掺气、漩涡等干扰测流的异常流态</w:t>
      </w:r>
      <w:r>
        <w:rPr>
          <w:rFonts w:ascii="宋体" w:eastAsia="宋体" w:hAnsi="宋体" w:hint="eastAsia"/>
          <w:sz w:val="24"/>
        </w:rPr>
        <w:t>；</w:t>
      </w:r>
      <w:r>
        <w:rPr>
          <w:rFonts w:ascii="宋体" w:eastAsia="宋体" w:hAnsi="宋体"/>
          <w:sz w:val="24"/>
        </w:rPr>
        <w:t>计量设备分几何测量与测速设备，采用全站仪等仪器测断面，以检定合格转子流速仪为基准，配套专用支架，全部器具需有效溯源、量程匹配</w:t>
      </w:r>
      <w:r>
        <w:rPr>
          <w:rFonts w:ascii="宋体" w:eastAsia="宋体" w:hAnsi="宋体" w:hint="eastAsia"/>
          <w:sz w:val="24"/>
        </w:rPr>
        <w:t>。</w:t>
      </w:r>
    </w:p>
    <w:p w14:paraId="3EED7221"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5、</w:t>
      </w:r>
      <w:r>
        <w:rPr>
          <w:rFonts w:ascii="宋体" w:eastAsia="宋体" w:hAnsi="宋体"/>
          <w:sz w:val="24"/>
        </w:rPr>
        <w:t>校准项目、检定点与单次测量次数</w:t>
      </w:r>
    </w:p>
    <w:p w14:paraId="36403827" w14:textId="77777777" w:rsidR="002A623E" w:rsidRDefault="00000000">
      <w:pPr>
        <w:pStyle w:val="a7"/>
        <w:spacing w:line="360" w:lineRule="auto"/>
        <w:ind w:firstLine="480"/>
        <w:rPr>
          <w:rFonts w:ascii="Times New Roman" w:eastAsia="宋体" w:hAnsi="Times New Roman" w:cs="Times New Roman"/>
          <w:sz w:val="24"/>
        </w:rPr>
      </w:pPr>
      <w:r>
        <w:rPr>
          <w:rFonts w:ascii="Times New Roman" w:eastAsia="宋体" w:hAnsi="Times New Roman" w:cs="Times New Roman"/>
          <w:sz w:val="24"/>
        </w:rPr>
        <w:t>校准仅开展示值误差、示值重复性两项项目，常规需布设最大流量</w:t>
      </w:r>
      <w:r>
        <w:rPr>
          <w:rFonts w:ascii="Times New Roman" w:eastAsia="宋体" w:hAnsi="Times New Roman" w:cs="Times New Roman"/>
          <w:i/>
          <w:iCs/>
          <w:sz w:val="24"/>
        </w:rPr>
        <w:t>Q</w:t>
      </w:r>
      <w:r>
        <w:rPr>
          <w:rFonts w:ascii="Times New Roman" w:eastAsia="宋体" w:hAnsi="Times New Roman" w:cs="Times New Roman"/>
          <w:i/>
          <w:iCs/>
          <w:sz w:val="24"/>
          <w:vertAlign w:val="subscript"/>
        </w:rPr>
        <w:t>max</w:t>
      </w:r>
      <w:r>
        <w:rPr>
          <w:rFonts w:ascii="Times New Roman" w:eastAsia="宋体" w:hAnsi="Times New Roman" w:cs="Times New Roman"/>
          <w:i/>
          <w:iCs/>
          <w:sz w:val="24"/>
        </w:rPr>
        <w:t>、</w:t>
      </w:r>
      <w:r>
        <w:rPr>
          <w:rFonts w:ascii="Times New Roman" w:eastAsia="宋体" w:hAnsi="Times New Roman" w:cs="Times New Roman"/>
          <w:sz w:val="24"/>
        </w:rPr>
        <w:t>0.4</w:t>
      </w:r>
      <w:r>
        <w:rPr>
          <w:rFonts w:ascii="Times New Roman" w:eastAsia="宋体" w:hAnsi="Times New Roman" w:cs="Times New Roman"/>
          <w:i/>
          <w:iCs/>
          <w:sz w:val="24"/>
        </w:rPr>
        <w:t>Q</w:t>
      </w:r>
      <w:r>
        <w:rPr>
          <w:rFonts w:ascii="Times New Roman" w:eastAsia="宋体" w:hAnsi="Times New Roman" w:cs="Times New Roman"/>
          <w:sz w:val="24"/>
          <w:vertAlign w:val="subscript"/>
        </w:rPr>
        <w:t>max</w:t>
      </w:r>
      <w:r>
        <w:rPr>
          <w:rFonts w:ascii="Times New Roman" w:eastAsia="宋体" w:hAnsi="Times New Roman" w:cs="Times New Roman"/>
          <w:i/>
          <w:iCs/>
          <w:sz w:val="24"/>
        </w:rPr>
        <w:t>、</w:t>
      </w:r>
      <w:r>
        <w:rPr>
          <w:rFonts w:ascii="Times New Roman" w:eastAsia="宋体" w:hAnsi="Times New Roman" w:cs="Times New Roman"/>
          <w:sz w:val="24"/>
        </w:rPr>
        <w:t>0.2</w:t>
      </w:r>
      <w:r>
        <w:rPr>
          <w:rFonts w:ascii="Times New Roman" w:eastAsia="宋体" w:hAnsi="Times New Roman" w:cs="Times New Roman"/>
          <w:i/>
          <w:iCs/>
          <w:sz w:val="24"/>
        </w:rPr>
        <w:t>Q</w:t>
      </w:r>
      <w:r>
        <w:rPr>
          <w:rFonts w:ascii="Times New Roman" w:eastAsia="宋体" w:hAnsi="Times New Roman" w:cs="Times New Roman"/>
          <w:sz w:val="24"/>
          <w:vertAlign w:val="subscript"/>
        </w:rPr>
        <w:t>max</w:t>
      </w:r>
      <w:r>
        <w:rPr>
          <w:rFonts w:ascii="Times New Roman" w:eastAsia="宋体" w:hAnsi="Times New Roman" w:cs="Times New Roman"/>
          <w:sz w:val="24"/>
        </w:rPr>
        <w:t>及最小流量</w:t>
      </w:r>
      <w:r>
        <w:rPr>
          <w:rFonts w:ascii="Times New Roman" w:eastAsia="宋体" w:hAnsi="Times New Roman" w:cs="Times New Roman"/>
          <w:i/>
          <w:iCs/>
          <w:sz w:val="24"/>
        </w:rPr>
        <w:t>Q</w:t>
      </w:r>
      <w:r>
        <w:rPr>
          <w:rFonts w:ascii="Times New Roman" w:eastAsia="宋体" w:hAnsi="Times New Roman" w:cs="Times New Roman"/>
          <w:sz w:val="24"/>
          <w:vertAlign w:val="subscript"/>
        </w:rPr>
        <w:t>min</w:t>
      </w:r>
      <w:r>
        <w:rPr>
          <w:rFonts w:ascii="Times New Roman" w:eastAsia="宋体" w:hAnsi="Times New Roman" w:cs="Times New Roman"/>
          <w:sz w:val="24"/>
        </w:rPr>
        <w:t>共四个测点，工况受限可经委托方确认后分段校准并备注，各测点复测不少于</w:t>
      </w:r>
      <w:r>
        <w:rPr>
          <w:rFonts w:ascii="Times New Roman" w:eastAsia="宋体" w:hAnsi="Times New Roman" w:cs="Times New Roman"/>
          <w:sz w:val="24"/>
        </w:rPr>
        <w:t>6</w:t>
      </w:r>
      <w:r>
        <w:rPr>
          <w:rFonts w:ascii="Times New Roman" w:eastAsia="宋体" w:hAnsi="Times New Roman" w:cs="Times New Roman"/>
          <w:sz w:val="24"/>
        </w:rPr>
        <w:t>次，整体总测量次数不低于</w:t>
      </w:r>
      <w:r>
        <w:rPr>
          <w:rFonts w:ascii="Times New Roman" w:eastAsia="宋体" w:hAnsi="Times New Roman" w:cs="Times New Roman"/>
          <w:sz w:val="24"/>
        </w:rPr>
        <w:t>30</w:t>
      </w:r>
      <w:r>
        <w:rPr>
          <w:rFonts w:ascii="Times New Roman" w:eastAsia="宋体" w:hAnsi="Times New Roman" w:cs="Times New Roman"/>
          <w:sz w:val="24"/>
        </w:rPr>
        <w:t>次。</w:t>
      </w:r>
    </w:p>
    <w:p w14:paraId="58B6F3AD"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6、校准布设方法与流量测算规则</w:t>
      </w:r>
    </w:p>
    <w:p w14:paraId="7DAF26EF" w14:textId="77777777" w:rsidR="002A623E" w:rsidRDefault="00000000">
      <w:pPr>
        <w:pStyle w:val="a7"/>
        <w:spacing w:line="360" w:lineRule="auto"/>
        <w:ind w:firstLine="480"/>
        <w:rPr>
          <w:rFonts w:ascii="Times New Roman" w:eastAsia="宋体" w:hAnsi="Times New Roman" w:cs="Times New Roman"/>
          <w:sz w:val="24"/>
        </w:rPr>
      </w:pPr>
      <w:r>
        <w:rPr>
          <w:rFonts w:ascii="Times New Roman" w:eastAsia="宋体" w:hAnsi="Times New Roman" w:cs="Times New Roman"/>
          <w:sz w:val="24"/>
        </w:rPr>
        <w:t>校准需在被测流量计附近同水力条件处布设测验断面并架设作业平台，</w:t>
      </w:r>
      <w:r>
        <w:rPr>
          <w:rFonts w:ascii="Times New Roman" w:eastAsia="宋体" w:hAnsi="Times New Roman" w:cs="Times New Roman"/>
          <w:sz w:val="24"/>
        </w:rPr>
        <w:t>0.5m</w:t>
      </w:r>
      <w:r>
        <w:rPr>
          <w:rFonts w:ascii="Times New Roman" w:eastAsia="宋体" w:hAnsi="Times New Roman" w:cs="Times New Roman"/>
          <w:sz w:val="24"/>
        </w:rPr>
        <w:t>～</w:t>
      </w:r>
      <w:r>
        <w:rPr>
          <w:rFonts w:ascii="Times New Roman" w:eastAsia="宋体" w:hAnsi="Times New Roman" w:cs="Times New Roman"/>
          <w:sz w:val="24"/>
        </w:rPr>
        <w:t>5.0m</w:t>
      </w:r>
      <w:r>
        <w:rPr>
          <w:rFonts w:ascii="Times New Roman" w:eastAsia="宋体" w:hAnsi="Times New Roman" w:cs="Times New Roman"/>
          <w:sz w:val="24"/>
        </w:rPr>
        <w:t>渠宽的测流垂线间距为</w:t>
      </w:r>
      <w:r>
        <w:rPr>
          <w:rFonts w:ascii="Times New Roman" w:eastAsia="宋体" w:hAnsi="Times New Roman" w:cs="Times New Roman"/>
          <w:sz w:val="24"/>
        </w:rPr>
        <w:t>0.25m</w:t>
      </w:r>
      <w:r>
        <w:rPr>
          <w:rFonts w:ascii="Times New Roman" w:eastAsia="宋体" w:hAnsi="Times New Roman" w:cs="Times New Roman"/>
          <w:sz w:val="24"/>
        </w:rPr>
        <w:t>～</w:t>
      </w:r>
      <w:r>
        <w:rPr>
          <w:rFonts w:ascii="Times New Roman" w:eastAsia="宋体" w:hAnsi="Times New Roman" w:cs="Times New Roman"/>
          <w:sz w:val="24"/>
        </w:rPr>
        <w:t>0.6m</w:t>
      </w:r>
      <w:r>
        <w:rPr>
          <w:rFonts w:ascii="Times New Roman" w:eastAsia="宋体" w:hAnsi="Times New Roman" w:cs="Times New Roman"/>
          <w:sz w:val="24"/>
        </w:rPr>
        <w:t>，依据不同测点数规范水深测点位置；按对应公式计算垂线平均流速，岸边分区流速引入边坡修正系数，分区流速由相邻垂线流速算术平均值确定，全断面总流量通过各分区面积与分区平均流速乘积累加得出。</w:t>
      </w:r>
    </w:p>
    <w:p w14:paraId="43759F07"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7、数据处理</w:t>
      </w:r>
    </w:p>
    <w:p w14:paraId="1262A14B"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主要包括示值误差重复性计算，并提供每个流量点单次测量的流量示值误差公式以及</w:t>
      </w:r>
      <w:r>
        <w:rPr>
          <w:rFonts w:ascii="宋体" w:eastAsia="宋体" w:hAnsi="宋体"/>
          <w:sz w:val="24"/>
        </w:rPr>
        <w:t>每个流量点的平均示值误差按公式</w:t>
      </w:r>
      <w:r>
        <w:rPr>
          <w:rFonts w:ascii="宋体" w:eastAsia="宋体" w:hAnsi="宋体" w:hint="eastAsia"/>
          <w:sz w:val="24"/>
        </w:rPr>
        <w:t>，并给出不确定度的评定方法。</w:t>
      </w:r>
    </w:p>
    <w:p w14:paraId="6CD2743D"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8、复校时间间隔</w:t>
      </w:r>
    </w:p>
    <w:p w14:paraId="60C238A0"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本规范</w:t>
      </w:r>
      <w:r>
        <w:rPr>
          <w:rFonts w:ascii="宋体" w:eastAsia="宋体" w:hAnsi="宋体"/>
          <w:sz w:val="24"/>
        </w:rPr>
        <w:t>不统一规定强制复校周期，复校时间由仪器使用单位结合流量计</w:t>
      </w:r>
      <w:r>
        <w:rPr>
          <w:rFonts w:ascii="宋体" w:eastAsia="宋体" w:hAnsi="宋体" w:hint="eastAsia"/>
          <w:sz w:val="24"/>
        </w:rPr>
        <w:t>的使用情况</w:t>
      </w:r>
      <w:r>
        <w:rPr>
          <w:rFonts w:ascii="宋体" w:eastAsia="宋体" w:hAnsi="宋体"/>
          <w:sz w:val="24"/>
        </w:rPr>
        <w:t>、保养</w:t>
      </w:r>
      <w:r>
        <w:rPr>
          <w:rFonts w:ascii="宋体" w:eastAsia="宋体" w:hAnsi="宋体" w:hint="eastAsia"/>
          <w:sz w:val="24"/>
        </w:rPr>
        <w:t>情况等因素自主</w:t>
      </w:r>
      <w:r>
        <w:rPr>
          <w:rFonts w:ascii="宋体" w:eastAsia="宋体" w:hAnsi="宋体"/>
          <w:sz w:val="24"/>
        </w:rPr>
        <w:t>确定</w:t>
      </w:r>
      <w:r>
        <w:rPr>
          <w:rFonts w:ascii="宋体" w:eastAsia="宋体" w:hAnsi="宋体" w:hint="eastAsia"/>
          <w:sz w:val="24"/>
        </w:rPr>
        <w:t>。</w:t>
      </w:r>
    </w:p>
    <w:p w14:paraId="160344B1" w14:textId="77777777" w:rsidR="002A623E" w:rsidRDefault="00000000">
      <w:pPr>
        <w:pStyle w:val="a7"/>
        <w:spacing w:line="360" w:lineRule="auto"/>
        <w:ind w:firstLine="480"/>
        <w:rPr>
          <w:rFonts w:ascii="宋体" w:eastAsia="宋体" w:hAnsi="宋体"/>
          <w:sz w:val="24"/>
        </w:rPr>
      </w:pPr>
      <w:r>
        <w:rPr>
          <w:rFonts w:ascii="宋体" w:eastAsia="宋体" w:hAnsi="宋体" w:hint="eastAsia"/>
          <w:sz w:val="24"/>
        </w:rPr>
        <w:t>9、</w:t>
      </w:r>
      <w:r>
        <w:rPr>
          <w:rFonts w:ascii="宋体" w:eastAsia="宋体" w:hAnsi="宋体"/>
          <w:sz w:val="24"/>
        </w:rPr>
        <w:t>配套附录技术内容</w:t>
      </w:r>
    </w:p>
    <w:p w14:paraId="166F09BA" w14:textId="77777777" w:rsidR="002A623E" w:rsidRDefault="00000000">
      <w:pPr>
        <w:pStyle w:val="a7"/>
        <w:spacing w:line="360" w:lineRule="auto"/>
        <w:ind w:firstLine="480"/>
        <w:rPr>
          <w:rFonts w:ascii="宋体" w:eastAsia="宋体" w:hAnsi="宋体"/>
          <w:sz w:val="24"/>
        </w:rPr>
      </w:pPr>
      <w:r>
        <w:rPr>
          <w:rFonts w:ascii="宋体" w:eastAsia="宋体" w:hAnsi="宋体"/>
          <w:sz w:val="24"/>
        </w:rPr>
        <w:t>规范共设置四项实操附录，分别明确流速仪法流量实测操作细则、示值误差不确定度评定实例、校准证书规范格式以及校准原始记录模板</w:t>
      </w:r>
      <w:r>
        <w:rPr>
          <w:rFonts w:ascii="宋体" w:eastAsia="宋体" w:hAnsi="宋体" w:hint="eastAsia"/>
          <w:sz w:val="24"/>
        </w:rPr>
        <w:t>。</w:t>
      </w:r>
    </w:p>
    <w:p w14:paraId="3CD4ECBA" w14:textId="77777777" w:rsidR="002A623E" w:rsidRDefault="00000000">
      <w:pPr>
        <w:numPr>
          <w:ilvl w:val="0"/>
          <w:numId w:val="1"/>
        </w:num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lang w:bidi="ar"/>
        </w:rPr>
        <w:t>与“国际建议”、“国际文件”、“国际标准”、国内标准等技术文件的关系</w:t>
      </w:r>
    </w:p>
    <w:p w14:paraId="4F8A7256" w14:textId="77777777" w:rsidR="002A623E" w:rsidRDefault="00000000">
      <w:pPr>
        <w:spacing w:line="360" w:lineRule="auto"/>
        <w:ind w:firstLineChars="200" w:firstLine="480"/>
        <w:rPr>
          <w:rFonts w:ascii="宋体" w:eastAsia="宋体" w:hAnsi="宋体"/>
          <w:sz w:val="24"/>
        </w:rPr>
      </w:pPr>
      <w:r>
        <w:rPr>
          <w:rFonts w:ascii="宋体" w:eastAsia="宋体" w:hAnsi="宋体" w:hint="eastAsia"/>
          <w:sz w:val="24"/>
        </w:rPr>
        <w:t>本文件没有直接采用国际标准。</w:t>
      </w:r>
    </w:p>
    <w:p w14:paraId="0D51341F" w14:textId="77777777" w:rsidR="002A623E" w:rsidRDefault="00000000">
      <w:pPr>
        <w:spacing w:line="360" w:lineRule="auto"/>
        <w:ind w:firstLineChars="200" w:firstLine="480"/>
        <w:rPr>
          <w:rFonts w:ascii="宋体" w:eastAsia="宋体" w:hAnsi="宋体"/>
          <w:sz w:val="24"/>
        </w:rPr>
      </w:pPr>
      <w:r>
        <w:rPr>
          <w:rFonts w:ascii="宋体" w:eastAsia="宋体" w:hAnsi="宋体" w:hint="eastAsia"/>
          <w:sz w:val="24"/>
        </w:rPr>
        <w:t>本文件制定过程中未查到同类国际、国外标准。</w:t>
      </w:r>
    </w:p>
    <w:p w14:paraId="7F494BCB" w14:textId="77777777" w:rsidR="002A623E" w:rsidRDefault="00000000">
      <w:pPr>
        <w:spacing w:line="360" w:lineRule="auto"/>
        <w:ind w:firstLineChars="200" w:firstLine="480"/>
        <w:rPr>
          <w:rFonts w:ascii="仿宋" w:eastAsia="仿宋" w:hAnsi="仿宋"/>
          <w:sz w:val="28"/>
          <w:szCs w:val="32"/>
        </w:rPr>
      </w:pPr>
      <w:r>
        <w:rPr>
          <w:rFonts w:ascii="宋体" w:eastAsia="宋体" w:hAnsi="宋体" w:hint="eastAsia"/>
          <w:sz w:val="24"/>
        </w:rPr>
        <w:t>本文件水平为国内先进水平。</w:t>
      </w:r>
    </w:p>
    <w:p w14:paraId="39EDB657" w14:textId="77777777" w:rsidR="002A623E" w:rsidRDefault="00000000">
      <w:pPr>
        <w:numPr>
          <w:ilvl w:val="0"/>
          <w:numId w:val="1"/>
        </w:num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lang w:bidi="ar"/>
        </w:rPr>
        <w:t>重大分歧意见的处理结果和依据</w:t>
      </w:r>
    </w:p>
    <w:p w14:paraId="6F78EA5D" w14:textId="77777777" w:rsidR="002A623E" w:rsidRDefault="00000000">
      <w:pPr>
        <w:spacing w:line="360" w:lineRule="auto"/>
        <w:ind w:firstLineChars="200" w:firstLine="480"/>
        <w:rPr>
          <w:rFonts w:ascii="宋体" w:eastAsia="宋体" w:hAnsi="宋体"/>
          <w:sz w:val="24"/>
        </w:rPr>
      </w:pPr>
      <w:r>
        <w:rPr>
          <w:rFonts w:ascii="宋体" w:eastAsia="宋体" w:hAnsi="宋体"/>
          <w:sz w:val="24"/>
        </w:rPr>
        <w:lastRenderedPageBreak/>
        <w:t>起草过程中无重大分歧意见。</w:t>
      </w:r>
    </w:p>
    <w:p w14:paraId="0CC3EBEC" w14:textId="77777777" w:rsidR="002A623E" w:rsidRDefault="00000000">
      <w:pPr>
        <w:numPr>
          <w:ilvl w:val="0"/>
          <w:numId w:val="1"/>
        </w:numPr>
        <w:spacing w:beforeLines="50" w:before="156" w:afterLines="50" w:after="156"/>
        <w:jc w:val="left"/>
        <w:rPr>
          <w:rFonts w:ascii="仿宋" w:eastAsia="仿宋" w:hAnsi="仿宋"/>
          <w:sz w:val="28"/>
          <w:szCs w:val="32"/>
        </w:rPr>
      </w:pPr>
      <w:r>
        <w:rPr>
          <w:rFonts w:ascii="黑体" w:eastAsia="黑体" w:hAnsi="黑体" w:cs="黑体" w:hint="eastAsia"/>
          <w:kern w:val="0"/>
          <w:sz w:val="28"/>
          <w:szCs w:val="28"/>
          <w:lang w:bidi="ar"/>
        </w:rPr>
        <w:t>其他说明</w:t>
      </w:r>
    </w:p>
    <w:sectPr w:rsidR="002A623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E6CAA" w14:textId="77777777" w:rsidR="00D07B88" w:rsidRDefault="00D07B88">
      <w:r>
        <w:separator/>
      </w:r>
    </w:p>
  </w:endnote>
  <w:endnote w:type="continuationSeparator" w:id="0">
    <w:p w14:paraId="0413669E" w14:textId="77777777" w:rsidR="00D07B88" w:rsidRDefault="00D0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D09D7" w14:textId="77777777" w:rsidR="002A623E" w:rsidRDefault="00000000">
    <w:pPr>
      <w:pStyle w:val="a3"/>
      <w:jc w:val="center"/>
    </w:pPr>
    <w:r>
      <w:rPr>
        <w:noProof/>
      </w:rPr>
      <mc:AlternateContent>
        <mc:Choice Requires="wps">
          <w:drawing>
            <wp:anchor distT="0" distB="0" distL="114300" distR="114300" simplePos="0" relativeHeight="251660288" behindDoc="0" locked="0" layoutInCell="1" allowOverlap="1" wp14:anchorId="27DDFAA1" wp14:editId="09E4C4B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47471633"/>
                          </w:sdtPr>
                          <w:sdtContent>
                            <w:p w14:paraId="501AE48F" w14:textId="77777777" w:rsidR="002A623E" w:rsidRDefault="00000000">
                              <w:pPr>
                                <w:pStyle w:val="a3"/>
                                <w:jc w:val="center"/>
                              </w:pPr>
                              <w:r>
                                <w:fldChar w:fldCharType="begin"/>
                              </w:r>
                              <w:r>
                                <w:instrText>PAGE   \* MERGEFORMAT</w:instrText>
                              </w:r>
                              <w:r>
                                <w:fldChar w:fldCharType="separate"/>
                              </w:r>
                              <w:r>
                                <w:rPr>
                                  <w:lang w:val="zh-CN"/>
                                </w:rPr>
                                <w:t>2</w:t>
                              </w:r>
                              <w:r>
                                <w:fldChar w:fldCharType="end"/>
                              </w:r>
                            </w:p>
                          </w:sdtContent>
                        </w:sdt>
                        <w:p w14:paraId="32BF1BA4" w14:textId="77777777" w:rsidR="002A623E" w:rsidRDefault="002A623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cei="http://schemas.microsoft.com/office/word/2026/wordml/cei">
          <w:pict>
            <v:shapetype w14:anchorId="27DDFAA1"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sdt>
                    <w:sdtPr>
                      <w:id w:val="147471633"/>
                    </w:sdtPr>
                    <w:sdtContent>
                      <w:p w14:paraId="501AE48F" w14:textId="77777777" w:rsidR="002A623E" w:rsidRDefault="00000000">
                        <w:pPr>
                          <w:pStyle w:val="a3"/>
                          <w:jc w:val="center"/>
                          <w:rPr>
                            <w:rFonts w:hint="eastAsia"/>
                          </w:rPr>
                        </w:pPr>
                        <w:r>
                          <w:fldChar w:fldCharType="begin"/>
                        </w:r>
                        <w:r>
                          <w:instrText>PAGE   \* MERGEFORMAT</w:instrText>
                        </w:r>
                        <w:r>
                          <w:fldChar w:fldCharType="separate"/>
                        </w:r>
                        <w:r>
                          <w:rPr>
                            <w:lang w:val="zh-CN"/>
                          </w:rPr>
                          <w:t>2</w:t>
                        </w:r>
                        <w:r>
                          <w:fldChar w:fldCharType="end"/>
                        </w:r>
                      </w:p>
                    </w:sdtContent>
                  </w:sdt>
                  <w:p w14:paraId="32BF1BA4" w14:textId="77777777" w:rsidR="002A623E" w:rsidRDefault="002A623E">
                    <w:pPr>
                      <w:rPr>
                        <w:rFonts w:hint="eastAsia"/>
                      </w:rPr>
                    </w:pPr>
                  </w:p>
                </w:txbxContent>
              </v:textbox>
              <w10:wrap anchorx="margin"/>
            </v:shape>
          </w:pict>
        </mc:Fallback>
      </mc:AlternateContent>
    </w:r>
  </w:p>
  <w:p w14:paraId="4E0F518D" w14:textId="77777777" w:rsidR="002A623E" w:rsidRDefault="002A623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0B2C2" w14:textId="77777777" w:rsidR="002A623E" w:rsidRDefault="00000000">
    <w:pPr>
      <w:pStyle w:val="a3"/>
      <w:jc w:val="center"/>
    </w:pPr>
    <w:r>
      <w:rPr>
        <w:noProof/>
      </w:rPr>
      <mc:AlternateContent>
        <mc:Choice Requires="wps">
          <w:drawing>
            <wp:anchor distT="0" distB="0" distL="114300" distR="114300" simplePos="0" relativeHeight="251659264" behindDoc="0" locked="0" layoutInCell="1" allowOverlap="1" wp14:anchorId="285A5161" wp14:editId="2BF0CDF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47476913"/>
                          </w:sdtPr>
                          <w:sdtContent>
                            <w:p w14:paraId="168EACB2" w14:textId="77777777" w:rsidR="002A623E" w:rsidRDefault="00000000">
                              <w:pPr>
                                <w:pStyle w:val="a3"/>
                                <w:jc w:val="center"/>
                              </w:pPr>
                              <w:r>
                                <w:fldChar w:fldCharType="begin"/>
                              </w:r>
                              <w:r>
                                <w:instrText>PAGE   \* MERGEFORMAT</w:instrText>
                              </w:r>
                              <w:r>
                                <w:fldChar w:fldCharType="separate"/>
                              </w:r>
                              <w:r>
                                <w:rPr>
                                  <w:lang w:val="zh-CN"/>
                                </w:rPr>
                                <w:t>2</w:t>
                              </w:r>
                              <w:r>
                                <w:fldChar w:fldCharType="end"/>
                              </w:r>
                            </w:p>
                          </w:sdtContent>
                        </w:sdt>
                        <w:p w14:paraId="7A83F623" w14:textId="77777777" w:rsidR="002A623E" w:rsidRDefault="002A623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cei="http://schemas.microsoft.com/office/word/2026/wordml/cei">
          <w:pict>
            <v:shapetype w14:anchorId="285A5161"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5yqKvNYA&#10;AAAFAQAADwAAAGRycy9kb3ducmV2LnhtbEyPQUvDQBCF70L/wzIFb3ZjD5LEbIqWeulFWgWv0+yY&#10;BHdnQ3abxn/vKIJehnm84b1vqs3snZpojH1gA7erDBRxE2zPrYHXl6ebHFRMyBZdYDLwSRE29eKq&#10;wtKGCx9oOqZWSQjHEg10KQ2l1rHpyGNchYFYvPcwekwix1bbES8S7p1eZ9md9tizNHQ40Laj5uN4&#10;9tK7d29TKNKh0dPOPs55wc/7wpjr5fxwDyrRnP6O4Rtf0KEWplM4s43KGZBH0s8Ub53nIk+/i64r&#10;/Z++/gIAAP//AwBQSwECLQAUAAYACAAAACEAtoM4kv4AAADhAQAAEwAAAAAAAAAAAAAAAAAAAAAA&#10;W0NvbnRlbnRfVHlwZXNdLnhtbFBLAQItABQABgAIAAAAIQA4/SH/1gAAAJQBAAALAAAAAAAAAAAA&#10;AAAAAC8BAABfcmVscy8ucmVsc1BLAQItABQABgAIAAAAIQBk7KH5PwIAAOsEAAAOAAAAAAAAAAAA&#10;AAAAAC4CAABkcnMvZTJvRG9jLnhtbFBLAQItABQABgAIAAAAIQDnKoq81gAAAAUBAAAPAAAAAAAA&#10;AAAAAAAAAJkEAABkcnMvZG93bnJldi54bWxQSwUGAAAAAAQABADzAAAAnAUAAAAA&#10;" filled="f" fillcolor="white [3201]" stroked="f" strokeweight=".5pt">
              <v:textbox style="mso-fit-shape-to-text:t" inset="0,0,0,0">
                <w:txbxContent>
                  <w:sdt>
                    <w:sdtPr>
                      <w:id w:val="147476913"/>
                    </w:sdtPr>
                    <w:sdtContent>
                      <w:p w14:paraId="168EACB2" w14:textId="77777777" w:rsidR="002A623E" w:rsidRDefault="00000000">
                        <w:pPr>
                          <w:pStyle w:val="a3"/>
                          <w:jc w:val="center"/>
                          <w:rPr>
                            <w:rFonts w:hint="eastAsia"/>
                          </w:rPr>
                        </w:pPr>
                        <w:r>
                          <w:fldChar w:fldCharType="begin"/>
                        </w:r>
                        <w:r>
                          <w:instrText>PAGE   \* MERGEFORMAT</w:instrText>
                        </w:r>
                        <w:r>
                          <w:fldChar w:fldCharType="separate"/>
                        </w:r>
                        <w:r>
                          <w:rPr>
                            <w:lang w:val="zh-CN"/>
                          </w:rPr>
                          <w:t>2</w:t>
                        </w:r>
                        <w:r>
                          <w:fldChar w:fldCharType="end"/>
                        </w:r>
                      </w:p>
                    </w:sdtContent>
                  </w:sdt>
                  <w:p w14:paraId="7A83F623" w14:textId="77777777" w:rsidR="002A623E" w:rsidRDefault="002A623E">
                    <w:pPr>
                      <w:rPr>
                        <w:rFonts w:hint="eastAsia"/>
                      </w:rPr>
                    </w:pPr>
                  </w:p>
                </w:txbxContent>
              </v:textbox>
              <w10:wrap anchorx="margin"/>
            </v:shape>
          </w:pict>
        </mc:Fallback>
      </mc:AlternateContent>
    </w:r>
  </w:p>
  <w:p w14:paraId="6C666FBA" w14:textId="77777777" w:rsidR="002A623E" w:rsidRDefault="002A623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41076" w14:textId="77777777" w:rsidR="00D07B88" w:rsidRDefault="00D07B88">
      <w:r>
        <w:separator/>
      </w:r>
    </w:p>
  </w:footnote>
  <w:footnote w:type="continuationSeparator" w:id="0">
    <w:p w14:paraId="2B1360A2" w14:textId="77777777" w:rsidR="00D07B88" w:rsidRDefault="00D07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EB8731"/>
    <w:multiLevelType w:val="singleLevel"/>
    <w:tmpl w:val="31EB8731"/>
    <w:lvl w:ilvl="0">
      <w:start w:val="1"/>
      <w:numFmt w:val="chineseCounting"/>
      <w:suff w:val="nothing"/>
      <w:lvlText w:val="%1、"/>
      <w:lvlJc w:val="left"/>
      <w:rPr>
        <w:rFonts w:hint="eastAsia"/>
      </w:rPr>
    </w:lvl>
  </w:abstractNum>
  <w:num w:numId="1" w16cid:durableId="1721438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90C"/>
    <w:rsid w:val="000825AF"/>
    <w:rsid w:val="00094A9B"/>
    <w:rsid w:val="000B4D52"/>
    <w:rsid w:val="00135217"/>
    <w:rsid w:val="00142CB1"/>
    <w:rsid w:val="001B5834"/>
    <w:rsid w:val="001D327A"/>
    <w:rsid w:val="001E0064"/>
    <w:rsid w:val="001F0AF3"/>
    <w:rsid w:val="002A32AD"/>
    <w:rsid w:val="002A5F50"/>
    <w:rsid w:val="002A623E"/>
    <w:rsid w:val="002A7A12"/>
    <w:rsid w:val="002A7DA1"/>
    <w:rsid w:val="002E468B"/>
    <w:rsid w:val="002F3DB8"/>
    <w:rsid w:val="002F7343"/>
    <w:rsid w:val="00322D99"/>
    <w:rsid w:val="003313F8"/>
    <w:rsid w:val="00386FE2"/>
    <w:rsid w:val="00395D05"/>
    <w:rsid w:val="00402047"/>
    <w:rsid w:val="00443074"/>
    <w:rsid w:val="00463090"/>
    <w:rsid w:val="0046622F"/>
    <w:rsid w:val="004B522B"/>
    <w:rsid w:val="004C1104"/>
    <w:rsid w:val="004E592C"/>
    <w:rsid w:val="005069C2"/>
    <w:rsid w:val="0051656F"/>
    <w:rsid w:val="005415EA"/>
    <w:rsid w:val="005476BB"/>
    <w:rsid w:val="00577C8A"/>
    <w:rsid w:val="005C0956"/>
    <w:rsid w:val="005C3990"/>
    <w:rsid w:val="005C40F5"/>
    <w:rsid w:val="005D48D4"/>
    <w:rsid w:val="005E1F86"/>
    <w:rsid w:val="005F2E41"/>
    <w:rsid w:val="0067350B"/>
    <w:rsid w:val="00687A7B"/>
    <w:rsid w:val="006B08BE"/>
    <w:rsid w:val="006B6B5E"/>
    <w:rsid w:val="00702532"/>
    <w:rsid w:val="007379FA"/>
    <w:rsid w:val="007757B6"/>
    <w:rsid w:val="00785CA8"/>
    <w:rsid w:val="007B3D09"/>
    <w:rsid w:val="007C28C0"/>
    <w:rsid w:val="007F34D8"/>
    <w:rsid w:val="00866605"/>
    <w:rsid w:val="008B5D8F"/>
    <w:rsid w:val="00900487"/>
    <w:rsid w:val="009121F6"/>
    <w:rsid w:val="00913C1D"/>
    <w:rsid w:val="00952D74"/>
    <w:rsid w:val="00976043"/>
    <w:rsid w:val="0099090C"/>
    <w:rsid w:val="009C3B9B"/>
    <w:rsid w:val="009C50C1"/>
    <w:rsid w:val="009F3CDC"/>
    <w:rsid w:val="00A035A2"/>
    <w:rsid w:val="00A50CE2"/>
    <w:rsid w:val="00A5183A"/>
    <w:rsid w:val="00A73C44"/>
    <w:rsid w:val="00AE5C15"/>
    <w:rsid w:val="00B643E9"/>
    <w:rsid w:val="00B661EC"/>
    <w:rsid w:val="00B94087"/>
    <w:rsid w:val="00BC0A4C"/>
    <w:rsid w:val="00BC7587"/>
    <w:rsid w:val="00C26BE3"/>
    <w:rsid w:val="00C47BF7"/>
    <w:rsid w:val="00C830BE"/>
    <w:rsid w:val="00C84508"/>
    <w:rsid w:val="00C86324"/>
    <w:rsid w:val="00C97D9A"/>
    <w:rsid w:val="00D07B88"/>
    <w:rsid w:val="00D24974"/>
    <w:rsid w:val="00D5642C"/>
    <w:rsid w:val="00DA5FC9"/>
    <w:rsid w:val="00DA65EF"/>
    <w:rsid w:val="00DB5D4C"/>
    <w:rsid w:val="00DC649F"/>
    <w:rsid w:val="00DE50C5"/>
    <w:rsid w:val="00E52312"/>
    <w:rsid w:val="00E61B2B"/>
    <w:rsid w:val="00E8684D"/>
    <w:rsid w:val="00EC0134"/>
    <w:rsid w:val="00F040CD"/>
    <w:rsid w:val="00F26D2C"/>
    <w:rsid w:val="00F40994"/>
    <w:rsid w:val="00F54143"/>
    <w:rsid w:val="00F57D6D"/>
    <w:rsid w:val="4DCE7CB9"/>
    <w:rsid w:val="556C4241"/>
    <w:rsid w:val="5A1E2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614BA"/>
  <w15:docId w15:val="{3DF96F39-0615-4659-A7AF-A72010853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99"/>
    <w:qFormat/>
    <w:pPr>
      <w:ind w:firstLineChars="200" w:firstLine="420"/>
    </w:pPr>
  </w:style>
  <w:style w:type="paragraph" w:customStyle="1" w:styleId="1">
    <w:name w:val="修订1"/>
    <w:hidden/>
    <w:uiPriority w:val="99"/>
    <w:semiHidden/>
    <w:rPr>
      <w:kern w:val="2"/>
      <w:sz w:val="21"/>
      <w:szCs w:val="22"/>
    </w:rPr>
  </w:style>
  <w:style w:type="paragraph" w:styleId="a8">
    <w:name w:val="Revision"/>
    <w:hidden/>
    <w:uiPriority w:val="99"/>
    <w:unhideWhenUsed/>
    <w:rsid w:val="005069C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9A6202-6799-4802-A2DC-C032F1ABB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749</Words>
  <Characters>4271</Characters>
  <Application>Microsoft Office Word</Application>
  <DocSecurity>0</DocSecurity>
  <Lines>35</Lines>
  <Paragraphs>10</Paragraphs>
  <ScaleCrop>false</ScaleCrop>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戚 珊珊</dc:creator>
  <cp:lastModifiedBy>珊珊 戚</cp:lastModifiedBy>
  <cp:revision>9</cp:revision>
  <cp:lastPrinted>2026-08-09T02:31:00Z</cp:lastPrinted>
  <dcterms:created xsi:type="dcterms:W3CDTF">2026-07-14T02:04:00Z</dcterms:created>
  <dcterms:modified xsi:type="dcterms:W3CDTF">2026-08-13T08:18:00Z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eyJoZGlkIjoiN2YzNjBkOTgyNWQ1YTMxYzM3MzMwNWFiODNmOWIzYWMiLCJ1c2VySWQiOiI3MDY5MTk4ODQifQ==</vt:lpwstr>
  </property>
  <property fmtid="{D5CDD505-2E9C-101B-9397-08002B2CF9AE}" pid="3" name="KSOProductBuildVer">
    <vt:lpwstr>2052-12.1.0.26375</vt:lpwstr>
  </property>
  <property fmtid="{D5CDD505-2E9C-101B-9397-08002B2CF9AE}" pid="4" name="ICV">
    <vt:lpwstr>8CEAB54D96B34711B287CE4698B5D447_12</vt:lpwstr>
  </property>
</Properties>
</file>