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6AA5B">
      <w:pPr>
        <w:spacing w:line="1800" w:lineRule="exact"/>
        <w:ind w:right="-289"/>
        <w:rPr>
          <w:rFonts w:eastAsia="仿宋_GB2312"/>
          <w:b/>
          <w:w w:val="150"/>
          <w:sz w:val="120"/>
        </w:rPr>
      </w:pPr>
      <w:bookmarkStart w:id="8" w:name="_GoBack"/>
      <w:bookmarkEnd w:id="8"/>
      <w:r>
        <mc:AlternateContent>
          <mc:Choice Requires="wps">
            <w:drawing>
              <wp:anchor distT="45720" distB="45720" distL="114300" distR="114300" simplePos="0" relativeHeight="251664384" behindDoc="1" locked="0" layoutInCell="1" allowOverlap="1">
                <wp:simplePos x="0" y="0"/>
                <wp:positionH relativeFrom="column">
                  <wp:posOffset>74930</wp:posOffset>
                </wp:positionH>
                <wp:positionV relativeFrom="paragraph">
                  <wp:posOffset>756285</wp:posOffset>
                </wp:positionV>
                <wp:extent cx="5792470" cy="472440"/>
                <wp:effectExtent l="0" t="0" r="17780" b="3810"/>
                <wp:wrapSquare wrapText="bothSides"/>
                <wp:docPr id="8" name="文本框 169"/>
                <wp:cNvGraphicFramePr/>
                <a:graphic xmlns:a="http://schemas.openxmlformats.org/drawingml/2006/main">
                  <a:graphicData uri="http://schemas.microsoft.com/office/word/2010/wordprocessingShape">
                    <wps:wsp>
                      <wps:cNvSpPr txBox="1"/>
                      <wps:spPr>
                        <a:xfrm>
                          <a:off x="0" y="0"/>
                          <a:ext cx="5792470" cy="472440"/>
                        </a:xfrm>
                        <a:prstGeom prst="rect">
                          <a:avLst/>
                        </a:prstGeom>
                        <a:solidFill>
                          <a:srgbClr val="FFFFFF"/>
                        </a:solidFill>
                        <a:ln>
                          <a:noFill/>
                        </a:ln>
                      </wps:spPr>
                      <wps:txbx>
                        <w:txbxContent>
                          <w:p w14:paraId="0DD4BEAD">
                            <w:pPr>
                              <w:spacing w:line="600" w:lineRule="exact"/>
                              <w:ind w:right="-241" w:rightChars="-115"/>
                              <w:jc w:val="center"/>
                              <w:rPr>
                                <w:rFonts w:cs="宋体"/>
                                <w:bCs/>
                                <w:spacing w:val="60"/>
                                <w:sz w:val="48"/>
                                <w:szCs w:val="48"/>
                              </w:rPr>
                            </w:pPr>
                            <w:r>
                              <w:rPr>
                                <w:rFonts w:hint="eastAsia" w:cs="宋体"/>
                                <w:bCs/>
                                <w:spacing w:val="60"/>
                                <w:sz w:val="48"/>
                                <w:szCs w:val="48"/>
                              </w:rPr>
                              <w:t>中华人民共和国国家计量检定规程</w:t>
                            </w:r>
                          </w:p>
                        </w:txbxContent>
                      </wps:txbx>
                      <wps:bodyPr wrap="square" upright="1">
                        <a:spAutoFit/>
                      </wps:bodyPr>
                    </wps:wsp>
                  </a:graphicData>
                </a:graphic>
                <wp14:sizeRelH relativeFrom="page">
                  <wp14:pctWidth>0</wp14:pctWidth>
                </wp14:sizeRelH>
                <wp14:sizeRelV relativeFrom="margin">
                  <wp14:pctHeight>20000</wp14:pctHeight>
                </wp14:sizeRelV>
              </wp:anchor>
            </w:drawing>
          </mc:Choice>
          <mc:Fallback>
            <w:pict>
              <v:shape id="文本框 169" o:spid="_x0000_s1026" o:spt="202" type="#_x0000_t202" style="position:absolute;left:0pt;margin-left:5.9pt;margin-top:59.55pt;height:37.2pt;width:456.1pt;mso-wrap-distance-bottom:3.6pt;mso-wrap-distance-left:9pt;mso-wrap-distance-right:9pt;mso-wrap-distance-top:3.6pt;z-index:-251652096;mso-width-relative:page;mso-height-relative:margin;mso-height-percent:200;" fillcolor="#FFFFFF" filled="t" stroked="f" coordsize="21600,21600" o:gfxdata="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wcqv7XAAAACgEAAA8AAAAAAAAA&#10;AQAgAAAAIgAAAGRycy9kb3ducmV2LnhtbFBLAQIUABQAAAAIAIdO4kDGkCxT2QEAAKEDAAAOAAAA&#10;AAAAAAEAIAAAACYBAABkcnMvZTJvRG9jLnhtbFBLBQYAAAAABgAGAFkBAABxBQAAAAA=&#10;">
                <v:fill on="t" focussize="0,0"/>
                <v:stroke on="f"/>
                <v:imagedata o:title=""/>
                <o:lock v:ext="edit" aspectratio="f"/>
                <v:textbox style="mso-fit-shape-to-text:t;">
                  <w:txbxContent>
                    <w:p w14:paraId="0DD4BEAD">
                      <w:pPr>
                        <w:spacing w:line="600" w:lineRule="exact"/>
                        <w:ind w:right="-241" w:rightChars="-115"/>
                        <w:jc w:val="center"/>
                        <w:rPr>
                          <w:rFonts w:cs="宋体"/>
                          <w:bCs/>
                          <w:spacing w:val="60"/>
                          <w:sz w:val="48"/>
                          <w:szCs w:val="48"/>
                        </w:rPr>
                      </w:pPr>
                      <w:r>
                        <w:rPr>
                          <w:rFonts w:hint="eastAsia" w:cs="宋体"/>
                          <w:bCs/>
                          <w:spacing w:val="60"/>
                          <w:sz w:val="48"/>
                          <w:szCs w:val="48"/>
                        </w:rPr>
                        <w:t>中华人民共和国国家计量检定规程</w:t>
                      </w:r>
                    </w:p>
                  </w:txbxContent>
                </v:textbox>
                <w10:wrap type="square"/>
              </v:shape>
            </w:pict>
          </mc:Fallback>
        </mc:AlternateContent>
      </w:r>
      <w:r>
        <w:rPr>
          <w:rFonts w:eastAsia="仿宋_GB2312"/>
          <w:b/>
          <w:sz w:val="20"/>
        </w:rPr>
        <w:drawing>
          <wp:anchor distT="0" distB="0" distL="114300" distR="114300" simplePos="0" relativeHeight="251659264" behindDoc="1" locked="0" layoutInCell="1" allowOverlap="1">
            <wp:simplePos x="0" y="0"/>
            <wp:positionH relativeFrom="column">
              <wp:posOffset>3444240</wp:posOffset>
            </wp:positionH>
            <wp:positionV relativeFrom="paragraph">
              <wp:posOffset>-249555</wp:posOffset>
            </wp:positionV>
            <wp:extent cx="1981200" cy="762000"/>
            <wp:effectExtent l="0" t="0" r="0" b="0"/>
            <wp:wrapSquare wrapText="bothSides"/>
            <wp:docPr id="142" name="图片 58" descr="J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8" descr="JJG"/>
                    <pic:cNvPicPr>
                      <a:picLocks noChangeAspect="1" noChangeArrowheads="1"/>
                    </pic:cNvPicPr>
                  </pic:nvPicPr>
                  <pic:blipFill>
                    <a:blip r:embed="rId9" cstate="print">
                      <a:biLevel thresh="50000"/>
                    </a:blip>
                    <a:srcRect l="41951" t="32175" r="31857" b="60698"/>
                    <a:stretch>
                      <a:fillRect/>
                    </a:stretch>
                  </pic:blipFill>
                  <pic:spPr>
                    <a:xfrm>
                      <a:off x="0" y="0"/>
                      <a:ext cx="1981200" cy="762000"/>
                    </a:xfrm>
                    <a:prstGeom prst="rect">
                      <a:avLst/>
                    </a:prstGeom>
                    <a:noFill/>
                    <a:ln w="9525">
                      <a:noFill/>
                      <a:miter lim="800000"/>
                      <a:headEnd/>
                      <a:tailEnd/>
                    </a:ln>
                  </pic:spPr>
                </pic:pic>
              </a:graphicData>
            </a:graphic>
          </wp:anchor>
        </w:drawing>
      </w:r>
      <w:r>
        <w:rPr>
          <w:b/>
          <w:sz w:val="36"/>
        </w:rPr>
        <mc:AlternateContent>
          <mc:Choice Requires="wps">
            <w:drawing>
              <wp:anchor distT="0" distB="0" distL="114300" distR="114300" simplePos="0" relativeHeight="251663360" behindDoc="0" locked="0" layoutInCell="1" allowOverlap="1">
                <wp:simplePos x="0" y="0"/>
                <wp:positionH relativeFrom="column">
                  <wp:posOffset>3471545</wp:posOffset>
                </wp:positionH>
                <wp:positionV relativeFrom="paragraph">
                  <wp:posOffset>1414780</wp:posOffset>
                </wp:positionV>
                <wp:extent cx="1795780" cy="466725"/>
                <wp:effectExtent l="4445" t="4445" r="9525" b="5080"/>
                <wp:wrapNone/>
                <wp:docPr id="7" name="文本框 168"/>
                <wp:cNvGraphicFramePr/>
                <a:graphic xmlns:a="http://schemas.openxmlformats.org/drawingml/2006/main">
                  <a:graphicData uri="http://schemas.microsoft.com/office/word/2010/wordprocessingShape">
                    <wps:wsp>
                      <wps:cNvSpPr txBox="1"/>
                      <wps:spPr>
                        <a:xfrm>
                          <a:off x="0" y="0"/>
                          <a:ext cx="1795780" cy="46672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7D5D052">
                            <w:pPr>
                              <w:rPr>
                                <w:rFonts w:ascii="黑体" w:hAnsi="黑体" w:eastAsia="黑体"/>
                              </w:rPr>
                            </w:pPr>
                            <w:r>
                              <w:rPr>
                                <w:rFonts w:hint="eastAsia" w:ascii="黑体" w:hAnsi="黑体" w:eastAsia="黑体"/>
                              </w:rPr>
                              <w:t>J</w:t>
                            </w:r>
                            <w:r>
                              <w:rPr>
                                <w:rFonts w:ascii="黑体" w:hAnsi="黑体" w:eastAsia="黑体"/>
                              </w:rPr>
                              <w:t xml:space="preserve">JG  </w:t>
                            </w:r>
                            <w:r>
                              <w:rPr>
                                <w:rFonts w:hint="eastAsia" w:ascii="黑体" w:hAnsi="黑体" w:eastAsia="黑体"/>
                              </w:rPr>
                              <w:t>XXX</w:t>
                            </w:r>
                            <w:r>
                              <w:rPr>
                                <w:rFonts w:ascii="黑体" w:hAnsi="黑体" w:eastAsia="黑体"/>
                              </w:rPr>
                              <w:t>-</w:t>
                            </w:r>
                            <w:r>
                              <w:rPr>
                                <w:rFonts w:hint="eastAsia" w:ascii="黑体" w:hAnsi="黑体" w:eastAsia="黑体"/>
                              </w:rPr>
                              <w:t>XXXX</w:t>
                            </w:r>
                          </w:p>
                          <w:p w14:paraId="2B985B8D"/>
                        </w:txbxContent>
                      </wps:txbx>
                      <wps:bodyPr upright="1"/>
                    </wps:wsp>
                  </a:graphicData>
                </a:graphic>
              </wp:anchor>
            </w:drawing>
          </mc:Choice>
          <mc:Fallback>
            <w:pict>
              <v:shape id="文本框 168" o:spid="_x0000_s1026" o:spt="202" type="#_x0000_t202" style="position:absolute;left:0pt;margin-left:273.35pt;margin-top:111.4pt;height:36.75pt;width:141.4pt;z-index:251663360;mso-width-relative:page;mso-height-relative:page;" fillcolor="#FFFFFF" filled="t" stroked="t" coordsize="21600,21600" o:gfxdata="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YWLyPZAAAACwEAAA8AAAAAAAAAAQAgAAAAIgAA&#10;AGRycy9kb3ducmV2LnhtbFBLAQIUABQAAAAIAIdO4kCxzcJqBwIAADgEAAAOAAAAAAAAAAEAIAAA&#10;ACgBAABkcnMvZTJvRG9jLnhtbFBLBQYAAAAABgAGAFkBAAChBQAAAAA=&#10;">
                <v:fill on="t" focussize="0,0"/>
                <v:stroke color="#FFFFFF" joinstyle="miter"/>
                <v:imagedata o:title=""/>
                <o:lock v:ext="edit" aspectratio="f"/>
                <v:textbox>
                  <w:txbxContent>
                    <w:p w14:paraId="77D5D052">
                      <w:pPr>
                        <w:rPr>
                          <w:rFonts w:ascii="黑体" w:hAnsi="黑体" w:eastAsia="黑体"/>
                        </w:rPr>
                      </w:pPr>
                      <w:r>
                        <w:rPr>
                          <w:rFonts w:hint="eastAsia" w:ascii="黑体" w:hAnsi="黑体" w:eastAsia="黑体"/>
                        </w:rPr>
                        <w:t>J</w:t>
                      </w:r>
                      <w:r>
                        <w:rPr>
                          <w:rFonts w:ascii="黑体" w:hAnsi="黑体" w:eastAsia="黑体"/>
                        </w:rPr>
                        <w:t xml:space="preserve">JG  </w:t>
                      </w:r>
                      <w:r>
                        <w:rPr>
                          <w:rFonts w:hint="eastAsia" w:ascii="黑体" w:hAnsi="黑体" w:eastAsia="黑体"/>
                        </w:rPr>
                        <w:t>XXX</w:t>
                      </w:r>
                      <w:r>
                        <w:rPr>
                          <w:rFonts w:ascii="黑体" w:hAnsi="黑体" w:eastAsia="黑体"/>
                        </w:rPr>
                        <w:t>-</w:t>
                      </w:r>
                      <w:r>
                        <w:rPr>
                          <w:rFonts w:hint="eastAsia" w:ascii="黑体" w:hAnsi="黑体" w:eastAsia="黑体"/>
                        </w:rPr>
                        <w:t>XXXX</w:t>
                      </w:r>
                    </w:p>
                    <w:p w14:paraId="2B985B8D"/>
                  </w:txbxContent>
                </v:textbox>
              </v:shape>
            </w:pict>
          </mc:Fallback>
        </mc:AlternateContent>
      </w:r>
      <w:r>
        <w:rPr>
          <w:b/>
          <w:sz w:val="24"/>
        </w:rPr>
        <mc:AlternateContent>
          <mc:Choice Requires="wps">
            <w:drawing>
              <wp:anchor distT="0" distB="0" distL="114300" distR="114300" simplePos="0" relativeHeight="251665408" behindDoc="1" locked="0" layoutInCell="0" allowOverlap="1">
                <wp:simplePos x="0" y="0"/>
                <wp:positionH relativeFrom="column">
                  <wp:posOffset>-92075</wp:posOffset>
                </wp:positionH>
                <wp:positionV relativeFrom="paragraph">
                  <wp:posOffset>1992630</wp:posOffset>
                </wp:positionV>
                <wp:extent cx="5939790" cy="0"/>
                <wp:effectExtent l="0" t="6350" r="0" b="6350"/>
                <wp:wrapNone/>
                <wp:docPr id="9" name="直线 2"/>
                <wp:cNvGraphicFramePr/>
                <a:graphic xmlns:a="http://schemas.openxmlformats.org/drawingml/2006/main">
                  <a:graphicData uri="http://schemas.microsoft.com/office/word/2010/wordprocessingShape">
                    <wps:wsp>
                      <wps:cNvCnPr/>
                      <wps:spPr>
                        <a:xfrm>
                          <a:off x="0" y="0"/>
                          <a:ext cx="593979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7.25pt;margin-top:156.9pt;height:0pt;width:467.7pt;z-index:-251651072;mso-width-relative:page;mso-height-relative:page;" filled="f" stroked="t" coordsize="21600,21600" o:allowincell="f" o:gfxdata="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zwCS/aAAAACwEA&#10;AA8AAAAAAAAAAQAgAAAAIgAAAGRycy9kb3ducmV2LnhtbFBLAQIUABQAAAAIAIdO4kD+IvNH3wEA&#10;ANADAAAOAAAAAAAAAAEAIAAAACkBAABkcnMvZTJvRG9jLnhtbFBLBQYAAAAABgAGAFkBAAB6BQAA&#10;AAA=&#10;">
                <v:fill on="f" focussize="0,0"/>
                <v:stroke weight="1pt" color="#000000" joinstyle="round"/>
                <v:imagedata o:title=""/>
                <o:lock v:ext="edit" aspectratio="f"/>
              </v:line>
            </w:pict>
          </mc:Fallback>
        </mc:AlternateContent>
      </w:r>
      <w:r>
        <w:rPr>
          <w:rFonts w:eastAsia="仿宋_GB2312"/>
          <w:b/>
          <w:w w:val="150"/>
          <w:sz w:val="60"/>
        </w:rPr>
        <w:t xml:space="preserve"> </w:t>
      </w:r>
    </w:p>
    <w:p w14:paraId="39FF53CB">
      <w:pPr>
        <w:spacing w:line="900" w:lineRule="exact"/>
        <w:ind w:right="1246"/>
        <w:jc w:val="right"/>
        <w:rPr>
          <w:rFonts w:eastAsia="黑体"/>
          <w:b/>
        </w:rPr>
      </w:pPr>
      <w:r>
        <w:rPr>
          <w:b/>
          <w:sz w:val="36"/>
        </w:rPr>
        <w:t xml:space="preserve">                 </w:t>
      </w:r>
      <w:r>
        <w:rPr>
          <w:b/>
          <w:sz w:val="30"/>
        </w:rPr>
        <w:t xml:space="preserve"> </w:t>
      </w:r>
      <w:r>
        <w:rPr>
          <w:b/>
          <w:sz w:val="24"/>
        </w:rPr>
        <w:t xml:space="preserve">                   </w:t>
      </w:r>
      <w:r>
        <w:rPr>
          <w:rFonts w:eastAsia="黑体"/>
          <w:b/>
        </w:rPr>
        <w:t xml:space="preserve">        </w:t>
      </w:r>
    </w:p>
    <w:p w14:paraId="3ADCA186">
      <w:pPr>
        <w:jc w:val="center"/>
        <w:rPr>
          <w:b/>
          <w:sz w:val="36"/>
        </w:rPr>
      </w:pPr>
      <w:r>
        <w:rPr>
          <w:b/>
          <w:sz w:val="36"/>
        </w:rPr>
        <mc:AlternateContent>
          <mc:Choice Requires="wps">
            <w:drawing>
              <wp:anchor distT="0" distB="0" distL="114300" distR="114300" simplePos="0" relativeHeight="251667456" behindDoc="0" locked="0" layoutInCell="1" allowOverlap="1">
                <wp:simplePos x="0" y="0"/>
                <wp:positionH relativeFrom="column">
                  <wp:posOffset>1261745</wp:posOffset>
                </wp:positionH>
                <wp:positionV relativeFrom="paragraph">
                  <wp:posOffset>375285</wp:posOffset>
                </wp:positionV>
                <wp:extent cx="3303905" cy="1631315"/>
                <wp:effectExtent l="4445" t="4445" r="6350" b="21590"/>
                <wp:wrapNone/>
                <wp:docPr id="11" name="文本框 174"/>
                <wp:cNvGraphicFramePr/>
                <a:graphic xmlns:a="http://schemas.openxmlformats.org/drawingml/2006/main">
                  <a:graphicData uri="http://schemas.microsoft.com/office/word/2010/wordprocessingShape">
                    <wps:wsp>
                      <wps:cNvSpPr txBox="1"/>
                      <wps:spPr>
                        <a:xfrm>
                          <a:off x="0" y="0"/>
                          <a:ext cx="3303905" cy="163131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C61E29B">
                            <w:pPr>
                              <w:jc w:val="center"/>
                              <w:rPr>
                                <w:rFonts w:ascii="黑体" w:hAnsi="黑体" w:eastAsia="黑体"/>
                                <w:spacing w:val="60"/>
                                <w:sz w:val="52"/>
                                <w:szCs w:val="52"/>
                              </w:rPr>
                            </w:pPr>
                            <w:r>
                              <w:rPr>
                                <w:rFonts w:hint="eastAsia" w:ascii="黑体" w:hAnsi="黑体" w:eastAsia="黑体"/>
                                <w:spacing w:val="60"/>
                                <w:sz w:val="52"/>
                                <w:szCs w:val="52"/>
                              </w:rPr>
                              <w:t>加速度计</w:t>
                            </w:r>
                          </w:p>
                          <w:p w14:paraId="1194CBEE">
                            <w:pPr>
                              <w:jc w:val="center"/>
                              <w:rPr>
                                <w:rFonts w:ascii="黑体" w:hAnsi="黑体" w:eastAsia="黑体"/>
                                <w:i/>
                                <w:iCs/>
                                <w:szCs w:val="28"/>
                              </w:rPr>
                            </w:pPr>
                          </w:p>
                          <w:p w14:paraId="0A73670B">
                            <w:pPr>
                              <w:jc w:val="center"/>
                              <w:rPr>
                                <w:rFonts w:ascii="黑体" w:hAnsi="黑体" w:eastAsia="黑体"/>
                                <w:szCs w:val="28"/>
                              </w:rPr>
                            </w:pPr>
                            <w:r>
                              <w:rPr>
                                <w:rFonts w:ascii="黑体" w:hAnsi="黑体" w:eastAsia="黑体"/>
                                <w:sz w:val="28"/>
                                <w:szCs w:val="28"/>
                              </w:rPr>
                              <w:t xml:space="preserve"> Accelerometer</w:t>
                            </w:r>
                          </w:p>
                          <w:p w14:paraId="27D15CFE">
                            <w:pPr>
                              <w:jc w:val="center"/>
                              <w:rPr>
                                <w:rFonts w:ascii="黑体" w:hAnsi="黑体" w:eastAsia="黑体"/>
                                <w:szCs w:val="28"/>
                              </w:rPr>
                            </w:pPr>
                          </w:p>
                          <w:p w14:paraId="22FC8F3D">
                            <w:pPr>
                              <w:jc w:val="center"/>
                              <w:rPr>
                                <w:rFonts w:ascii="黑体" w:hAnsi="黑体" w:eastAsia="黑体"/>
                                <w:szCs w:val="28"/>
                              </w:rPr>
                            </w:pPr>
                            <w:r>
                              <w:rPr>
                                <w:rFonts w:hint="eastAsia" w:ascii="黑体" w:hAnsi="黑体" w:eastAsia="黑体"/>
                                <w:szCs w:val="28"/>
                              </w:rPr>
                              <w:t>（送审稿）</w:t>
                            </w:r>
                          </w:p>
                          <w:p w14:paraId="2F7602C5">
                            <w:pPr>
                              <w:jc w:val="center"/>
                              <w:rPr>
                                <w:sz w:val="44"/>
                                <w:szCs w:val="44"/>
                              </w:rPr>
                            </w:pPr>
                          </w:p>
                        </w:txbxContent>
                      </wps:txbx>
                      <wps:bodyPr upright="1"/>
                    </wps:wsp>
                  </a:graphicData>
                </a:graphic>
              </wp:anchor>
            </w:drawing>
          </mc:Choice>
          <mc:Fallback>
            <w:pict>
              <v:shape id="文本框 174" o:spid="_x0000_s1026" o:spt="202" type="#_x0000_t202" style="position:absolute;left:0pt;margin-left:99.35pt;margin-top:29.55pt;height:128.45pt;width:260.15pt;z-index:251667456;mso-width-relative:page;mso-height-relative:page;" fillcolor="#FFFFFF" filled="t" stroked="t" coordsize="21600,21600" o:gfxdata="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hVvP2AAAAAoBAAAPAAAAAAAAAAEAIAAAACIA&#10;AABkcnMvZG93bnJldi54bWxQSwECFAAUAAAACACHTuJAC3jyiQkCAAA6BAAADgAAAAAAAAABACAA&#10;AAAnAQAAZHJzL2Uyb0RvYy54bWxQSwUGAAAAAAYABgBZAQAAogUAAAAA&#10;">
                <v:fill on="t" focussize="0,0"/>
                <v:stroke color="#FFFFFF" joinstyle="miter"/>
                <v:imagedata o:title=""/>
                <o:lock v:ext="edit" aspectratio="f"/>
                <v:textbox>
                  <w:txbxContent>
                    <w:p w14:paraId="7C61E29B">
                      <w:pPr>
                        <w:jc w:val="center"/>
                        <w:rPr>
                          <w:rFonts w:ascii="黑体" w:hAnsi="黑体" w:eastAsia="黑体"/>
                          <w:spacing w:val="60"/>
                          <w:sz w:val="52"/>
                          <w:szCs w:val="52"/>
                        </w:rPr>
                      </w:pPr>
                      <w:r>
                        <w:rPr>
                          <w:rFonts w:hint="eastAsia" w:ascii="黑体" w:hAnsi="黑体" w:eastAsia="黑体"/>
                          <w:spacing w:val="60"/>
                          <w:sz w:val="52"/>
                          <w:szCs w:val="52"/>
                        </w:rPr>
                        <w:t>加速度计</w:t>
                      </w:r>
                    </w:p>
                    <w:p w14:paraId="1194CBEE">
                      <w:pPr>
                        <w:jc w:val="center"/>
                        <w:rPr>
                          <w:rFonts w:ascii="黑体" w:hAnsi="黑体" w:eastAsia="黑体"/>
                          <w:i/>
                          <w:iCs/>
                          <w:szCs w:val="28"/>
                        </w:rPr>
                      </w:pPr>
                    </w:p>
                    <w:p w14:paraId="0A73670B">
                      <w:pPr>
                        <w:jc w:val="center"/>
                        <w:rPr>
                          <w:rFonts w:ascii="黑体" w:hAnsi="黑体" w:eastAsia="黑体"/>
                          <w:szCs w:val="28"/>
                        </w:rPr>
                      </w:pPr>
                      <w:r>
                        <w:rPr>
                          <w:rFonts w:ascii="黑体" w:hAnsi="黑体" w:eastAsia="黑体"/>
                          <w:sz w:val="28"/>
                          <w:szCs w:val="28"/>
                        </w:rPr>
                        <w:t xml:space="preserve"> Accelerometer</w:t>
                      </w:r>
                    </w:p>
                    <w:p w14:paraId="27D15CFE">
                      <w:pPr>
                        <w:jc w:val="center"/>
                        <w:rPr>
                          <w:rFonts w:ascii="黑体" w:hAnsi="黑体" w:eastAsia="黑体"/>
                          <w:szCs w:val="28"/>
                        </w:rPr>
                      </w:pPr>
                    </w:p>
                    <w:p w14:paraId="22FC8F3D">
                      <w:pPr>
                        <w:jc w:val="center"/>
                        <w:rPr>
                          <w:rFonts w:ascii="黑体" w:hAnsi="黑体" w:eastAsia="黑体"/>
                          <w:szCs w:val="28"/>
                        </w:rPr>
                      </w:pPr>
                      <w:r>
                        <w:rPr>
                          <w:rFonts w:hint="eastAsia" w:ascii="黑体" w:hAnsi="黑体" w:eastAsia="黑体"/>
                          <w:szCs w:val="28"/>
                        </w:rPr>
                        <w:t>（送审稿）</w:t>
                      </w:r>
                    </w:p>
                    <w:p w14:paraId="2F7602C5">
                      <w:pPr>
                        <w:jc w:val="center"/>
                        <w:rPr>
                          <w:sz w:val="44"/>
                          <w:szCs w:val="44"/>
                        </w:rPr>
                      </w:pPr>
                    </w:p>
                  </w:txbxContent>
                </v:textbox>
              </v:shape>
            </w:pict>
          </mc:Fallback>
        </mc:AlternateContent>
      </w:r>
    </w:p>
    <w:p w14:paraId="20B5389D">
      <w:pPr>
        <w:spacing w:line="240" w:lineRule="exact"/>
        <w:jc w:val="center"/>
        <w:rPr>
          <w:b/>
          <w:sz w:val="36"/>
        </w:rPr>
      </w:pPr>
    </w:p>
    <w:p w14:paraId="4A346AF5">
      <w:pPr>
        <w:spacing w:line="560" w:lineRule="exact"/>
        <w:rPr>
          <w:rFonts w:eastAsia="黑体"/>
          <w:b/>
          <w:sz w:val="48"/>
        </w:rPr>
      </w:pPr>
    </w:p>
    <w:p w14:paraId="0C947433">
      <w:pPr>
        <w:spacing w:line="560" w:lineRule="exact"/>
        <w:jc w:val="center"/>
        <w:rPr>
          <w:rFonts w:eastAsia="黑体"/>
          <w:b/>
          <w:sz w:val="48"/>
        </w:rPr>
      </w:pPr>
    </w:p>
    <w:p w14:paraId="102677F3">
      <w:pPr>
        <w:jc w:val="center"/>
        <w:rPr>
          <w:sz w:val="36"/>
        </w:rPr>
      </w:pPr>
    </w:p>
    <w:p w14:paraId="315BDCF2">
      <w:pPr>
        <w:widowControl/>
        <w:jc w:val="left"/>
      </w:pPr>
      <w:r>
        <w:rPr>
          <w:b/>
          <w:sz w:val="24"/>
        </w:rPr>
        <mc:AlternateContent>
          <mc:Choice Requires="wps">
            <w:drawing>
              <wp:anchor distT="45720" distB="45720" distL="114300" distR="114300" simplePos="0" relativeHeight="251669504" behindDoc="0" locked="0" layoutInCell="1" allowOverlap="1">
                <wp:simplePos x="0" y="0"/>
                <wp:positionH relativeFrom="column">
                  <wp:posOffset>58420</wp:posOffset>
                </wp:positionH>
                <wp:positionV relativeFrom="paragraph">
                  <wp:posOffset>3345180</wp:posOffset>
                </wp:positionV>
                <wp:extent cx="5568315" cy="354965"/>
                <wp:effectExtent l="4445" t="4445" r="8890" b="21590"/>
                <wp:wrapSquare wrapText="bothSides"/>
                <wp:docPr id="13" name="文本框 172"/>
                <wp:cNvGraphicFramePr/>
                <a:graphic xmlns:a="http://schemas.openxmlformats.org/drawingml/2006/main">
                  <a:graphicData uri="http://schemas.microsoft.com/office/word/2010/wordprocessingShape">
                    <wps:wsp>
                      <wps:cNvSpPr txBox="1"/>
                      <wps:spPr>
                        <a:xfrm>
                          <a:off x="0" y="0"/>
                          <a:ext cx="5568315" cy="35496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3CAB8BB">
                            <w:pPr>
                              <w:spacing w:line="400" w:lineRule="exact"/>
                              <w:jc w:val="center"/>
                            </w:pPr>
                            <w:r>
                              <w:rPr>
                                <w:rFonts w:ascii="黑体" w:eastAsia="黑体"/>
                              </w:rPr>
                              <w:t>20</w:t>
                            </w:r>
                            <w:r>
                              <w:rPr>
                                <w:rFonts w:hint="eastAsia" w:ascii="黑体" w:eastAsia="黑体"/>
                              </w:rPr>
                              <w:t>XX-</w:t>
                            </w:r>
                            <w:r>
                              <w:rPr>
                                <w:rFonts w:ascii="黑体" w:eastAsia="黑体"/>
                              </w:rPr>
                              <w:t>XX</w:t>
                            </w:r>
                            <w:r>
                              <w:rPr>
                                <w:rFonts w:hint="eastAsia" w:ascii="黑体" w:eastAsia="黑体"/>
                              </w:rPr>
                              <w:t xml:space="preserve">-XX发布                              </w:t>
                            </w:r>
                            <w:r>
                              <w:rPr>
                                <w:rFonts w:ascii="黑体" w:eastAsia="黑体"/>
                              </w:rPr>
                              <w:t>20</w:t>
                            </w:r>
                            <w:r>
                              <w:rPr>
                                <w:rFonts w:hint="eastAsia" w:ascii="黑体" w:eastAsia="黑体"/>
                              </w:rPr>
                              <w:t>XX-XX-XX实施</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72" o:spid="_x0000_s1026" o:spt="202" type="#_x0000_t202" style="position:absolute;left:0pt;margin-left:4.6pt;margin-top:263.4pt;height:27.95pt;width:438.45pt;mso-wrap-distance-bottom:3.6pt;mso-wrap-distance-left:9pt;mso-wrap-distance-right:9pt;mso-wrap-distance-top:3.6pt;z-index:251669504;mso-width-relative:page;mso-height-relative:margin;mso-height-percent:200;" fillcolor="#FFFFFF" filled="t" stroked="t" coordsize="21600,21600" o:gfxdata="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jiX4HZAAAACQEAAA8AAAAA&#10;AAAAAQAgAAAAIgAAAGRycy9kb3ducmV2LnhtbFBLAQIUABQAAAAIAIdO4kAET19lEwIAAFMEAAAO&#10;AAAAAAAAAAEAIAAAACgBAABkcnMvZTJvRG9jLnhtbFBLBQYAAAAABgAGAFkBAACtBQAAAAA=&#10;">
                <v:fill on="t" focussize="0,0"/>
                <v:stroke color="#FFFFFF" joinstyle="miter"/>
                <v:imagedata o:title=""/>
                <o:lock v:ext="edit" aspectratio="f"/>
                <v:textbox style="mso-fit-shape-to-text:t;">
                  <w:txbxContent>
                    <w:p w14:paraId="03CAB8BB">
                      <w:pPr>
                        <w:spacing w:line="400" w:lineRule="exact"/>
                        <w:jc w:val="center"/>
                      </w:pPr>
                      <w:r>
                        <w:rPr>
                          <w:rFonts w:ascii="黑体" w:eastAsia="黑体"/>
                        </w:rPr>
                        <w:t>20</w:t>
                      </w:r>
                      <w:r>
                        <w:rPr>
                          <w:rFonts w:hint="eastAsia" w:ascii="黑体" w:eastAsia="黑体"/>
                        </w:rPr>
                        <w:t>XX-</w:t>
                      </w:r>
                      <w:r>
                        <w:rPr>
                          <w:rFonts w:ascii="黑体" w:eastAsia="黑体"/>
                        </w:rPr>
                        <w:t>XX</w:t>
                      </w:r>
                      <w:r>
                        <w:rPr>
                          <w:rFonts w:hint="eastAsia" w:ascii="黑体" w:eastAsia="黑体"/>
                        </w:rPr>
                        <w:t xml:space="preserve">-XX发布                              </w:t>
                      </w:r>
                      <w:r>
                        <w:rPr>
                          <w:rFonts w:ascii="黑体" w:eastAsia="黑体"/>
                        </w:rPr>
                        <w:t>20</w:t>
                      </w:r>
                      <w:r>
                        <w:rPr>
                          <w:rFonts w:hint="eastAsia" w:ascii="黑体" w:eastAsia="黑体"/>
                        </w:rPr>
                        <w:t>XX-XX-XX实施</w:t>
                      </w:r>
                    </w:p>
                  </w:txbxContent>
                </v:textbox>
                <w10:wrap type="square"/>
              </v:shape>
            </w:pict>
          </mc:Fallback>
        </mc:AlternateContent>
      </w:r>
      <w:r>
        <w:rPr>
          <w:rFonts w:eastAsia="黑体"/>
          <w:spacing w:val="20"/>
          <w:szCs w:val="28"/>
        </w:rPr>
        <mc:AlternateContent>
          <mc:Choice Requires="wps">
            <w:drawing>
              <wp:anchor distT="0" distB="0" distL="114300" distR="114300" simplePos="0" relativeHeight="251666432" behindDoc="0" locked="0" layoutInCell="0" allowOverlap="1">
                <wp:simplePos x="0" y="0"/>
                <wp:positionH relativeFrom="column">
                  <wp:posOffset>-113665</wp:posOffset>
                </wp:positionH>
                <wp:positionV relativeFrom="paragraph">
                  <wp:posOffset>3716655</wp:posOffset>
                </wp:positionV>
                <wp:extent cx="5939790" cy="0"/>
                <wp:effectExtent l="0" t="6350" r="0" b="6350"/>
                <wp:wrapNone/>
                <wp:docPr id="10" name="直线 170"/>
                <wp:cNvGraphicFramePr/>
                <a:graphic xmlns:a="http://schemas.openxmlformats.org/drawingml/2006/main">
                  <a:graphicData uri="http://schemas.microsoft.com/office/word/2010/wordprocessingShape">
                    <wps:wsp>
                      <wps:cNvCnPr/>
                      <wps:spPr>
                        <a:xfrm>
                          <a:off x="0" y="0"/>
                          <a:ext cx="593979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70" o:spid="_x0000_s1026" o:spt="20" style="position:absolute;left:0pt;margin-left:-8.95pt;margin-top:292.65pt;height:0pt;width:467.7pt;z-index:251666432;mso-width-relative:page;mso-height-relative:page;" filled="f" stroked="t" coordsize="21600,21600" o:allowincell="f" o:gfxdata="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4c9bzZAAAACwEA&#10;AA8AAAAAAAAAAQAgAAAAIgAAAGRycy9kb3ducmV2LnhtbFBLAQIUABQAAAAIAIdO4kCS1/mo4AEA&#10;ANMDAAAOAAAAAAAAAAEAIAAAACgBAABkcnMvZTJvRG9jLnhtbFBLBQYAAAAABgAGAFkBAAB6BQAA&#10;AAA=&#10;">
                <v:fill on="f" focussize="0,0"/>
                <v:stroke weight="1pt" color="#000000" joinstyle="round"/>
                <v:imagedata o:title=""/>
                <o:lock v:ext="edit" aspectratio="f"/>
              </v:line>
            </w:pict>
          </mc:Fallback>
        </mc:AlternateContent>
      </w:r>
      <w:r>
        <w:rPr>
          <w:b/>
          <w:sz w:val="36"/>
        </w:rPr>
        <mc:AlternateContent>
          <mc:Choice Requires="wps">
            <w:drawing>
              <wp:anchor distT="45720" distB="45720" distL="114300" distR="114300" simplePos="0" relativeHeight="251660288" behindDoc="0" locked="0" layoutInCell="1" allowOverlap="1">
                <wp:simplePos x="0" y="0"/>
                <wp:positionH relativeFrom="column">
                  <wp:posOffset>210820</wp:posOffset>
                </wp:positionH>
                <wp:positionV relativeFrom="paragraph">
                  <wp:posOffset>3907155</wp:posOffset>
                </wp:positionV>
                <wp:extent cx="5413375" cy="472440"/>
                <wp:effectExtent l="0" t="0" r="15875" b="3810"/>
                <wp:wrapSquare wrapText="bothSides"/>
                <wp:docPr id="3" name="文本框 2"/>
                <wp:cNvGraphicFramePr/>
                <a:graphic xmlns:a="http://schemas.openxmlformats.org/drawingml/2006/main">
                  <a:graphicData uri="http://schemas.microsoft.com/office/word/2010/wordprocessingShape">
                    <wps:wsp>
                      <wps:cNvSpPr txBox="1"/>
                      <wps:spPr>
                        <a:xfrm>
                          <a:off x="0" y="0"/>
                          <a:ext cx="5413375" cy="472440"/>
                        </a:xfrm>
                        <a:prstGeom prst="rect">
                          <a:avLst/>
                        </a:prstGeom>
                        <a:solidFill>
                          <a:srgbClr val="FFFFFF"/>
                        </a:solidFill>
                        <a:ln>
                          <a:noFill/>
                        </a:ln>
                      </wps:spPr>
                      <wps:txbx>
                        <w:txbxContent>
                          <w:p w14:paraId="53537CC8">
                            <w:pPr>
                              <w:spacing w:line="600" w:lineRule="exact"/>
                              <w:ind w:right="-241" w:rightChars="-115"/>
                              <w:jc w:val="center"/>
                              <w:rPr>
                                <w:bCs/>
                                <w:spacing w:val="60"/>
                              </w:rPr>
                            </w:pPr>
                            <w:r>
                              <w:rPr>
                                <w:rFonts w:hint="eastAsia" w:ascii="方正小标宋简体" w:eastAsia="方正小标宋简体"/>
                                <w:bCs/>
                                <w:spacing w:val="60"/>
                                <w:sz w:val="44"/>
                                <w:szCs w:val="44"/>
                              </w:rPr>
                              <w:t>国家市场监督管理总局</w:t>
                            </w:r>
                            <w:r>
                              <w:rPr>
                                <w:rFonts w:hint="eastAsia" w:ascii="方正小标宋简体" w:eastAsia="方正小标宋简体"/>
                                <w:bCs/>
                                <w:spacing w:val="60"/>
                                <w:sz w:val="52"/>
                                <w:szCs w:val="52"/>
                              </w:rPr>
                              <w:t xml:space="preserve"> </w:t>
                            </w:r>
                            <w:r>
                              <w:rPr>
                                <w:rFonts w:hint="eastAsia" w:ascii="黑体" w:hAnsi="黑体" w:eastAsia="黑体"/>
                                <w:bCs/>
                                <w:spacing w:val="60"/>
                                <w:szCs w:val="28"/>
                              </w:rPr>
                              <w:t>发布</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6.6pt;margin-top:307.65pt;height:37.2pt;width:426.25pt;mso-wrap-distance-bottom:3.6pt;mso-wrap-distance-left:9pt;mso-wrap-distance-right:9pt;mso-wrap-distance-top:3.6pt;z-index:251660288;mso-width-relative:page;mso-height-relative:margin;mso-height-percent:200;" fillcolor="#FFFFFF" filled="t" stroked="f" coordsize="21600,21600" o:gfxdata="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x6Yfc2QAAAAoBAAAPAAAAAAAAAAEAIAAAACIA&#10;AABkcnMvZG93bnJldi54bWxQSwECFAAUAAAACACHTuJAFPwB7M8BAACRAwAADgAAAAAAAAABACAA&#10;AAAoAQAAZHJzL2Uyb0RvYy54bWxQSwUGAAAAAAYABgBZAQAAaQUAAAAA&#10;">
                <v:fill on="t" focussize="0,0"/>
                <v:stroke on="f"/>
                <v:imagedata o:title=""/>
                <o:lock v:ext="edit" aspectratio="f"/>
                <v:textbox style="mso-fit-shape-to-text:t;">
                  <w:txbxContent>
                    <w:p w14:paraId="53537CC8">
                      <w:pPr>
                        <w:spacing w:line="600" w:lineRule="exact"/>
                        <w:ind w:right="-241" w:rightChars="-115"/>
                        <w:jc w:val="center"/>
                        <w:rPr>
                          <w:bCs/>
                          <w:spacing w:val="60"/>
                        </w:rPr>
                      </w:pPr>
                      <w:r>
                        <w:rPr>
                          <w:rFonts w:hint="eastAsia" w:ascii="方正小标宋简体" w:eastAsia="方正小标宋简体"/>
                          <w:bCs/>
                          <w:spacing w:val="60"/>
                          <w:sz w:val="44"/>
                          <w:szCs w:val="44"/>
                        </w:rPr>
                        <w:t>国家市场监督管理总局</w:t>
                      </w:r>
                      <w:r>
                        <w:rPr>
                          <w:rFonts w:hint="eastAsia" w:ascii="方正小标宋简体" w:eastAsia="方正小标宋简体"/>
                          <w:bCs/>
                          <w:spacing w:val="60"/>
                          <w:sz w:val="52"/>
                          <w:szCs w:val="52"/>
                        </w:rPr>
                        <w:t xml:space="preserve"> </w:t>
                      </w:r>
                      <w:r>
                        <w:rPr>
                          <w:rFonts w:hint="eastAsia" w:ascii="黑体" w:hAnsi="黑体" w:eastAsia="黑体"/>
                          <w:bCs/>
                          <w:spacing w:val="60"/>
                          <w:szCs w:val="28"/>
                        </w:rPr>
                        <w:t>发布</w:t>
                      </w:r>
                    </w:p>
                  </w:txbxContent>
                </v:textbox>
                <w10:wrap type="square"/>
              </v:shape>
            </w:pict>
          </mc:Fallback>
        </mc:AlternateContent>
      </w:r>
      <w:r>
        <w:br w:type="page"/>
      </w:r>
    </w:p>
    <w:p w14:paraId="4F26AD0F">
      <w:pPr>
        <w:spacing w:line="400" w:lineRule="exact"/>
        <w:rPr>
          <w:rFonts w:eastAsia="黑体"/>
        </w:rPr>
      </w:pPr>
      <w:r>
        <w:rPr>
          <w:rFonts w:eastAsia="黑体"/>
        </w:rPr>
        <mc:AlternateContent>
          <mc:Choice Requires="wps">
            <w:drawing>
              <wp:anchor distT="0" distB="0" distL="114300" distR="114300" simplePos="0" relativeHeight="251668480" behindDoc="0" locked="0" layoutInCell="1" allowOverlap="1">
                <wp:simplePos x="0" y="0"/>
                <wp:positionH relativeFrom="column">
                  <wp:posOffset>5383530</wp:posOffset>
                </wp:positionH>
                <wp:positionV relativeFrom="paragraph">
                  <wp:posOffset>7620</wp:posOffset>
                </wp:positionV>
                <wp:extent cx="383540" cy="1762760"/>
                <wp:effectExtent l="4445" t="4445" r="12065" b="23495"/>
                <wp:wrapNone/>
                <wp:docPr id="12" name="文本框 176"/>
                <wp:cNvGraphicFramePr/>
                <a:graphic xmlns:a="http://schemas.openxmlformats.org/drawingml/2006/main">
                  <a:graphicData uri="http://schemas.microsoft.com/office/word/2010/wordprocessingShape">
                    <wps:wsp>
                      <wps:cNvSpPr txBox="1"/>
                      <wps:spPr>
                        <a:xfrm>
                          <a:off x="0" y="0"/>
                          <a:ext cx="383540" cy="176276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19C8BF3">
                            <w:pPr>
                              <w:rPr>
                                <w:rFonts w:ascii="黑体" w:hAnsi="黑体" w:eastAsia="黑体"/>
                              </w:rPr>
                            </w:pPr>
                            <w:r>
                              <w:rPr>
                                <w:rFonts w:hint="eastAsia" w:ascii="黑体" w:hAnsi="黑体" w:eastAsia="黑体"/>
                              </w:rPr>
                              <w:t>J</w:t>
                            </w:r>
                            <w:r>
                              <w:rPr>
                                <w:rFonts w:ascii="黑体" w:hAnsi="黑体" w:eastAsia="黑体"/>
                              </w:rPr>
                              <w:t>JG xxx-xxxx</w:t>
                            </w:r>
                          </w:p>
                          <w:p w14:paraId="3E54D597"/>
                        </w:txbxContent>
                      </wps:txbx>
                      <wps:bodyPr vert="vert270" upright="1"/>
                    </wps:wsp>
                  </a:graphicData>
                </a:graphic>
              </wp:anchor>
            </w:drawing>
          </mc:Choice>
          <mc:Fallback>
            <w:pict>
              <v:shape id="文本框 176" o:spid="_x0000_s1026" o:spt="202" type="#_x0000_t202" style="position:absolute;left:0pt;margin-left:423.9pt;margin-top:0.6pt;height:138.8pt;width:30.2pt;z-index:251668480;mso-width-relative:page;mso-height-relative:page;" fillcolor="#FFFFFF" filled="t" stroked="t" coordsize="21600,21600" o:gfxdata="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SVEhdcAAAAJAQAADwAAAAAA&#10;AAABACAAAAAiAAAAZHJzL2Rvd25yZXYueG1sUEsBAhQAFAAAAAgAh07iQMfoX50UAgAASAQAAA4A&#10;AAAAAAAAAQAgAAAAJgEAAGRycy9lMm9Eb2MueG1sUEsFBgAAAAAGAAYAWQEAAKwFAAAAAA==&#10;">
                <v:fill on="t" focussize="0,0"/>
                <v:stroke color="#FFFFFF" joinstyle="miter"/>
                <v:imagedata o:title=""/>
                <o:lock v:ext="edit" aspectratio="f"/>
                <v:textbox style="layout-flow:vertical;mso-layout-flow-alt:bottom-to-top;">
                  <w:txbxContent>
                    <w:p w14:paraId="019C8BF3">
                      <w:pPr>
                        <w:rPr>
                          <w:rFonts w:ascii="黑体" w:hAnsi="黑体" w:eastAsia="黑体"/>
                        </w:rPr>
                      </w:pPr>
                      <w:r>
                        <w:rPr>
                          <w:rFonts w:hint="eastAsia" w:ascii="黑体" w:hAnsi="黑体" w:eastAsia="黑体"/>
                        </w:rPr>
                        <w:t>J</w:t>
                      </w:r>
                      <w:r>
                        <w:rPr>
                          <w:rFonts w:ascii="黑体" w:hAnsi="黑体" w:eastAsia="黑体"/>
                        </w:rPr>
                        <w:t>JG xxx-xxxx</w:t>
                      </w:r>
                    </w:p>
                    <w:p w14:paraId="3E54D597"/>
                  </w:txbxContent>
                </v:textbox>
              </v:shape>
            </w:pict>
          </mc:Fallback>
        </mc:AlternateContent>
      </w:r>
    </w:p>
    <w:p w14:paraId="75A0E87C">
      <w:pPr>
        <w:spacing w:line="1000" w:lineRule="exact"/>
        <w:jc w:val="center"/>
        <w:rPr>
          <w:rFonts w:eastAsia="黑体"/>
          <w:w w:val="90"/>
        </w:rPr>
      </w:pPr>
    </w:p>
    <w:p w14:paraId="20A1FD5F">
      <w:pPr>
        <w:widowControl/>
        <w:jc w:val="left"/>
        <w:rPr>
          <w:rFonts w:eastAsia="黑体"/>
          <w:w w:val="90"/>
        </w:rPr>
      </w:pPr>
    </w:p>
    <w:p w14:paraId="316C2C73">
      <w:pPr>
        <w:widowControl/>
        <w:jc w:val="left"/>
        <w:rPr>
          <w:rFonts w:eastAsia="黑体"/>
          <w:w w:val="90"/>
        </w:rPr>
      </w:pPr>
    </w:p>
    <w:p w14:paraId="459AFEA1">
      <w:pPr>
        <w:widowControl/>
        <w:jc w:val="left"/>
        <w:rPr>
          <w:rFonts w:eastAsia="黑体"/>
          <w:w w:val="90"/>
        </w:rPr>
      </w:pPr>
    </w:p>
    <w:p w14:paraId="7873A971">
      <w:pPr>
        <w:widowControl/>
        <w:jc w:val="left"/>
        <w:rPr>
          <w:rFonts w:eastAsia="黑体"/>
          <w:w w:val="90"/>
        </w:rPr>
      </w:pPr>
    </w:p>
    <w:p w14:paraId="2F1EFEA6">
      <w:pPr>
        <w:widowControl/>
        <w:jc w:val="left"/>
        <w:rPr>
          <w:rFonts w:eastAsia="黑体"/>
          <w:w w:val="90"/>
        </w:rPr>
      </w:pPr>
      <w:r>
        <w:rPr>
          <w:rFonts w:eastAsia="黑体"/>
          <w:w w:val="90"/>
        </w:rPr>
        <w:br w:type="page"/>
      </w:r>
    </w:p>
    <w:p w14:paraId="38BC0CF8">
      <w:pPr>
        <w:spacing w:line="1000" w:lineRule="exact"/>
        <w:jc w:val="center"/>
        <w:rPr>
          <w:rFonts w:eastAsia="黑体"/>
          <w:w w:val="90"/>
        </w:rPr>
        <w:sectPr>
          <w:footerReference r:id="rId3" w:type="default"/>
          <w:pgSz w:w="11906" w:h="16838"/>
          <w:pgMar w:top="1134" w:right="1134" w:bottom="1134" w:left="1588" w:header="851" w:footer="992" w:gutter="0"/>
          <w:cols w:space="425" w:num="1"/>
          <w:docGrid w:type="linesAndChars" w:linePitch="380" w:charSpace="-5735"/>
        </w:sectPr>
      </w:pPr>
    </w:p>
    <w:p w14:paraId="246DC021">
      <w:pPr>
        <w:rPr>
          <w:snapToGrid w:val="0"/>
          <w:kern w:val="0"/>
        </w:rPr>
      </w:pPr>
      <w:r>
        <w:rPr>
          <w:kern w:val="0"/>
        </w:rPr>
        <w:drawing>
          <wp:anchor distT="0" distB="0" distL="114300" distR="114300" simplePos="0" relativeHeight="251670528" behindDoc="1" locked="0" layoutInCell="1" allowOverlap="1">
            <wp:simplePos x="0" y="0"/>
            <wp:positionH relativeFrom="margin">
              <wp:align>right</wp:align>
            </wp:positionH>
            <wp:positionV relativeFrom="paragraph">
              <wp:posOffset>83185</wp:posOffset>
            </wp:positionV>
            <wp:extent cx="1619885" cy="791845"/>
            <wp:effectExtent l="0" t="0" r="0" b="8255"/>
            <wp:wrapTight wrapText="bothSides">
              <wp:wrapPolygon>
                <wp:start x="0" y="0"/>
                <wp:lineTo x="0" y="21306"/>
                <wp:lineTo x="21338" y="21306"/>
                <wp:lineTo x="21338" y="0"/>
                <wp:lineTo x="0" y="0"/>
              </wp:wrapPolygon>
            </wp:wrapTight>
            <wp:docPr id="1129381984" name="图片 1129381984" descr="花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81984" name="图片 1129381984" descr="花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619885" cy="791845"/>
                    </a:xfrm>
                    <a:prstGeom prst="rect">
                      <a:avLst/>
                    </a:prstGeom>
                    <a:noFill/>
                    <a:ln>
                      <a:noFill/>
                    </a:ln>
                  </pic:spPr>
                </pic:pic>
              </a:graphicData>
            </a:graphic>
          </wp:anchor>
        </w:drawing>
      </w:r>
      <w:r>
        <w:rPr>
          <w:kern w:val="0"/>
        </w:rPr>
        <mc:AlternateContent>
          <mc:Choice Requires="wps">
            <w:drawing>
              <wp:anchor distT="0" distB="0" distL="114300" distR="114300" simplePos="0" relativeHeight="251662336" behindDoc="1" locked="0" layoutInCell="1" allowOverlap="1">
                <wp:simplePos x="0" y="0"/>
                <wp:positionH relativeFrom="column">
                  <wp:posOffset>-4445</wp:posOffset>
                </wp:positionH>
                <wp:positionV relativeFrom="paragraph">
                  <wp:posOffset>100965</wp:posOffset>
                </wp:positionV>
                <wp:extent cx="3075940" cy="1056640"/>
                <wp:effectExtent l="0" t="0" r="10160" b="10160"/>
                <wp:wrapTight wrapText="bothSides">
                  <wp:wrapPolygon>
                    <wp:start x="-67" y="0"/>
                    <wp:lineTo x="-67" y="21478"/>
                    <wp:lineTo x="21600" y="21478"/>
                    <wp:lineTo x="21600" y="0"/>
                    <wp:lineTo x="-67" y="0"/>
                  </wp:wrapPolygon>
                </wp:wrapTight>
                <wp:docPr id="5" name="文本框 148"/>
                <wp:cNvGraphicFramePr/>
                <a:graphic xmlns:a="http://schemas.openxmlformats.org/drawingml/2006/main">
                  <a:graphicData uri="http://schemas.microsoft.com/office/word/2010/wordprocessingShape">
                    <wps:wsp>
                      <wps:cNvSpPr txBox="1"/>
                      <wps:spPr>
                        <a:xfrm>
                          <a:off x="0" y="0"/>
                          <a:ext cx="3075940" cy="1056640"/>
                        </a:xfrm>
                        <a:prstGeom prst="rect">
                          <a:avLst/>
                        </a:prstGeom>
                        <a:solidFill>
                          <a:srgbClr val="FFFFFF"/>
                        </a:solidFill>
                        <a:ln>
                          <a:noFill/>
                        </a:ln>
                      </wps:spPr>
                      <wps:txbx>
                        <w:txbxContent>
                          <w:p w14:paraId="0EA3C389">
                            <w:pPr>
                              <w:jc w:val="center"/>
                              <w:rPr>
                                <w:rFonts w:ascii="黑体" w:eastAsia="黑体"/>
                                <w:sz w:val="44"/>
                                <w:szCs w:val="44"/>
                              </w:rPr>
                            </w:pPr>
                            <w:r>
                              <w:rPr>
                                <w:rFonts w:hint="eastAsia" w:ascii="黑体" w:eastAsia="黑体"/>
                                <w:sz w:val="44"/>
                                <w:szCs w:val="44"/>
                              </w:rPr>
                              <w:t>加速度计检定规程</w:t>
                            </w:r>
                          </w:p>
                          <w:p w14:paraId="3C333E30">
                            <w:pPr>
                              <w:jc w:val="center"/>
                              <w:rPr>
                                <w:rFonts w:ascii="黑体" w:eastAsia="黑体"/>
                                <w:szCs w:val="28"/>
                              </w:rPr>
                            </w:pPr>
                            <w:r>
                              <w:rPr>
                                <w:rFonts w:hint="eastAsia" w:ascii="黑体" w:eastAsia="黑体"/>
                                <w:szCs w:val="28"/>
                              </w:rPr>
                              <w:t>Verification</w:t>
                            </w:r>
                            <w:r>
                              <w:rPr>
                                <w:rFonts w:ascii="黑体" w:eastAsia="黑体"/>
                                <w:szCs w:val="28"/>
                              </w:rPr>
                              <w:t xml:space="preserve"> </w:t>
                            </w:r>
                            <w:r>
                              <w:rPr>
                                <w:rFonts w:hint="eastAsia" w:ascii="黑体" w:eastAsia="黑体"/>
                                <w:szCs w:val="28"/>
                              </w:rPr>
                              <w:t>Regulation</w:t>
                            </w:r>
                            <w:r>
                              <w:rPr>
                                <w:rFonts w:ascii="黑体" w:eastAsia="黑体"/>
                                <w:szCs w:val="28"/>
                              </w:rPr>
                              <w:t xml:space="preserve"> </w:t>
                            </w:r>
                            <w:r>
                              <w:rPr>
                                <w:rFonts w:hint="eastAsia" w:ascii="黑体" w:eastAsia="黑体"/>
                                <w:szCs w:val="28"/>
                              </w:rPr>
                              <w:t>of</w:t>
                            </w:r>
                          </w:p>
                          <w:p w14:paraId="03FE2D46">
                            <w:pPr>
                              <w:jc w:val="center"/>
                              <w:rPr>
                                <w:sz w:val="44"/>
                                <w:szCs w:val="44"/>
                              </w:rPr>
                            </w:pPr>
                            <w:r>
                              <w:rPr>
                                <w:rFonts w:hint="eastAsia" w:ascii="黑体" w:eastAsia="黑体"/>
                                <w:szCs w:val="28"/>
                              </w:rPr>
                              <w:t xml:space="preserve"> Accelerometer</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48" o:spid="_x0000_s1026" o:spt="202" type="#_x0000_t202" style="position:absolute;left:0pt;margin-left:-0.35pt;margin-top:7.95pt;height:83.2pt;width:242.2pt;mso-wrap-distance-left:9pt;mso-wrap-distance-right:9pt;z-index:-251654144;mso-width-relative:page;mso-height-relative:margin;mso-height-percent:200;" fillcolor="#FFFFFF" filled="t" stroked="f" coordsize="21600,21600" wrapcoords="-67 0 -67 21478 21600 21478 21600 0 -67 0" o:gfxdata="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&#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TDr17WAAAACAEAAA8AAAAAAAAAAQAgAAAAIgAAAGRy&#10;cy9kb3ducmV2LnhtbFBLAQIUABQAAAAIAIdO4kBfX8COzgEAAJQDAAAOAAAAAAAAAAEAIAAAACUB&#10;AABkcnMvZTJvRG9jLnhtbFBLBQYAAAAABgAGAFkBAABlBQAAAAA=&#10;">
                <v:fill on="t" focussize="0,0"/>
                <v:stroke on="f"/>
                <v:imagedata o:title=""/>
                <o:lock v:ext="edit" aspectratio="f"/>
                <v:textbox style="mso-fit-shape-to-text:t;">
                  <w:txbxContent>
                    <w:p w14:paraId="0EA3C389">
                      <w:pPr>
                        <w:jc w:val="center"/>
                        <w:rPr>
                          <w:rFonts w:ascii="黑体" w:eastAsia="黑体"/>
                          <w:sz w:val="44"/>
                          <w:szCs w:val="44"/>
                        </w:rPr>
                      </w:pPr>
                      <w:r>
                        <w:rPr>
                          <w:rFonts w:hint="eastAsia" w:ascii="黑体" w:eastAsia="黑体"/>
                          <w:sz w:val="44"/>
                          <w:szCs w:val="44"/>
                        </w:rPr>
                        <w:t>加速度计检定规程</w:t>
                      </w:r>
                    </w:p>
                    <w:p w14:paraId="3C333E30">
                      <w:pPr>
                        <w:jc w:val="center"/>
                        <w:rPr>
                          <w:rFonts w:ascii="黑体" w:eastAsia="黑体"/>
                          <w:szCs w:val="28"/>
                        </w:rPr>
                      </w:pPr>
                      <w:r>
                        <w:rPr>
                          <w:rFonts w:hint="eastAsia" w:ascii="黑体" w:eastAsia="黑体"/>
                          <w:szCs w:val="28"/>
                        </w:rPr>
                        <w:t>Verification</w:t>
                      </w:r>
                      <w:r>
                        <w:rPr>
                          <w:rFonts w:ascii="黑体" w:eastAsia="黑体"/>
                          <w:szCs w:val="28"/>
                        </w:rPr>
                        <w:t xml:space="preserve"> </w:t>
                      </w:r>
                      <w:r>
                        <w:rPr>
                          <w:rFonts w:hint="eastAsia" w:ascii="黑体" w:eastAsia="黑体"/>
                          <w:szCs w:val="28"/>
                        </w:rPr>
                        <w:t>Regulation</w:t>
                      </w:r>
                      <w:r>
                        <w:rPr>
                          <w:rFonts w:ascii="黑体" w:eastAsia="黑体"/>
                          <w:szCs w:val="28"/>
                        </w:rPr>
                        <w:t xml:space="preserve"> </w:t>
                      </w:r>
                      <w:r>
                        <w:rPr>
                          <w:rFonts w:hint="eastAsia" w:ascii="黑体" w:eastAsia="黑体"/>
                          <w:szCs w:val="28"/>
                        </w:rPr>
                        <w:t>of</w:t>
                      </w:r>
                    </w:p>
                    <w:p w14:paraId="03FE2D46">
                      <w:pPr>
                        <w:jc w:val="center"/>
                        <w:rPr>
                          <w:sz w:val="44"/>
                          <w:szCs w:val="44"/>
                        </w:rPr>
                      </w:pPr>
                      <w:r>
                        <w:rPr>
                          <w:rFonts w:hint="eastAsia" w:ascii="黑体" w:eastAsia="黑体"/>
                          <w:szCs w:val="28"/>
                        </w:rPr>
                        <w:t xml:space="preserve"> Accelerometer</w:t>
                      </w:r>
                    </w:p>
                  </w:txbxContent>
                </v:textbox>
                <w10:wrap type="tight"/>
              </v:shape>
            </w:pict>
          </mc:Fallback>
        </mc:AlternateContent>
      </w:r>
    </w:p>
    <w:p w14:paraId="3F03AB5F">
      <w:pPr>
        <w:rPr>
          <w:snapToGrid w:val="0"/>
          <w:kern w:val="0"/>
        </w:rPr>
      </w:pPr>
      <w:r>
        <w:rPr>
          <w:kern w:val="0"/>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135255</wp:posOffset>
                </wp:positionV>
                <wp:extent cx="1717675" cy="409575"/>
                <wp:effectExtent l="0" t="0" r="0" b="9525"/>
                <wp:wrapNone/>
                <wp:docPr id="2119862538" name="文本框 150"/>
                <wp:cNvGraphicFramePr/>
                <a:graphic xmlns:a="http://schemas.openxmlformats.org/drawingml/2006/main">
                  <a:graphicData uri="http://schemas.microsoft.com/office/word/2010/wordprocessingShape">
                    <wps:wsp>
                      <wps:cNvSpPr txBox="1"/>
                      <wps:spPr>
                        <a:xfrm>
                          <a:off x="0" y="0"/>
                          <a:ext cx="1717675" cy="409575"/>
                        </a:xfrm>
                        <a:prstGeom prst="rect">
                          <a:avLst/>
                        </a:prstGeom>
                        <a:noFill/>
                        <a:ln>
                          <a:noFill/>
                        </a:ln>
                      </wps:spPr>
                      <wps:txbx>
                        <w:txbxContent>
                          <w:p w14:paraId="7AE58537">
                            <w:pPr>
                              <w:jc w:val="center"/>
                              <w:rPr>
                                <w:rFonts w:ascii="黑体" w:hAnsi="黑体" w:eastAsia="黑体"/>
                                <w:bCs/>
                                <w:szCs w:val="28"/>
                              </w:rPr>
                            </w:pPr>
                            <w:r>
                              <w:rPr>
                                <w:rFonts w:hint="eastAsia" w:ascii="黑体" w:hAnsi="黑体" w:eastAsia="黑体"/>
                                <w:bCs/>
                                <w:szCs w:val="28"/>
                              </w:rPr>
                              <w:t>JJG  XXX-XXXX</w:t>
                            </w:r>
                          </w:p>
                        </w:txbxContent>
                      </wps:txbx>
                      <wps:bodyPr upright="1"/>
                    </wps:wsp>
                  </a:graphicData>
                </a:graphic>
              </wp:anchor>
            </w:drawing>
          </mc:Choice>
          <mc:Fallback>
            <w:pict>
              <v:shape id="文本框 150" o:spid="_x0000_s1026" o:spt="202" type="#_x0000_t202" style="position:absolute;left:0pt;margin-top:10.65pt;height:32.25pt;width:135.25pt;mso-position-horizontal:right;mso-position-horizontal-relative:margin;z-index:251671552;mso-width-relative:page;mso-height-relative:page;" filled="f" stroked="f" coordsize="21600,21600" o:gfxdata="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O7&#10;OA3UAAAABgEAAA8AAAAAAAAAAQAgAAAAIgAAAGRycy9kb3ducmV2LnhtbFBLAQIUABQAAAAIAIdO&#10;4kAu0tn9tQEAAFkDAAAOAAAAAAAAAAEAIAAAACMBAABkcnMvZTJvRG9jLnhtbFBLBQYAAAAABgAG&#10;AFkBAABKBQAAAAA=&#10;">
                <v:fill on="f" focussize="0,0"/>
                <v:stroke on="f"/>
                <v:imagedata o:title=""/>
                <o:lock v:ext="edit" aspectratio="f"/>
                <v:textbox>
                  <w:txbxContent>
                    <w:p w14:paraId="7AE58537">
                      <w:pPr>
                        <w:jc w:val="center"/>
                        <w:rPr>
                          <w:rFonts w:ascii="黑体" w:hAnsi="黑体" w:eastAsia="黑体"/>
                          <w:bCs/>
                          <w:szCs w:val="28"/>
                        </w:rPr>
                      </w:pPr>
                      <w:r>
                        <w:rPr>
                          <w:rFonts w:hint="eastAsia" w:ascii="黑体" w:hAnsi="黑体" w:eastAsia="黑体"/>
                          <w:bCs/>
                          <w:szCs w:val="28"/>
                        </w:rPr>
                        <w:t>JJG  XXX-XXXX</w:t>
                      </w:r>
                    </w:p>
                  </w:txbxContent>
                </v:textbox>
              </v:shape>
            </w:pict>
          </mc:Fallback>
        </mc:AlternateContent>
      </w:r>
    </w:p>
    <w:p w14:paraId="3B8D4EB8">
      <w:pPr>
        <w:rPr>
          <w:snapToGrid w:val="0"/>
          <w:kern w:val="0"/>
        </w:rPr>
      </w:pPr>
    </w:p>
    <w:p w14:paraId="4BD7D4E4">
      <w:pPr>
        <w:rPr>
          <w:snapToGrid w:val="0"/>
          <w:kern w:val="0"/>
        </w:rPr>
      </w:pPr>
    </w:p>
    <w:p w14:paraId="7A0784AF">
      <w:pPr>
        <w:rPr>
          <w:snapToGrid w:val="0"/>
          <w:kern w:val="0"/>
        </w:rPr>
      </w:pPr>
    </w:p>
    <w:p w14:paraId="70C073CE">
      <w:pPr>
        <w:rPr>
          <w:b/>
          <w:snapToGrid w:val="0"/>
          <w:kern w:val="0"/>
        </w:rPr>
      </w:pPr>
      <w:r>
        <w:rPr>
          <w:b/>
          <w:kern w:val="0"/>
          <w:sz w:val="2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180340</wp:posOffset>
                </wp:positionV>
                <wp:extent cx="5715000" cy="0"/>
                <wp:effectExtent l="0" t="5080" r="0" b="4445"/>
                <wp:wrapNone/>
                <wp:docPr id="4" name="直线 70"/>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0" o:spid="_x0000_s1026" o:spt="20" style="position:absolute;left:0pt;margin-left:0pt;margin-top:14.2pt;height:0pt;width:450pt;z-index:251661312;mso-width-relative:page;mso-height-relative:page;" filled="f" stroked="t" coordsize="21600,21600" o:gfxdata="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ZCdSe0wAAAAYBAAAPAAAAAAAA&#10;AAEAIAAAACIAAABkcnMvZG93bnJldi54bWxQSwECFAAUAAAACACHTuJA7S2P5d4BAADQAwAADgAA&#10;AAAAAAABACAAAAAiAQAAZHJzL2Uyb0RvYy54bWxQSwUGAAAAAAYABgBZAQAAcgUAAAAA&#10;">
                <v:fill on="f" focussize="0,0"/>
                <v:stroke color="#000000" joinstyle="round"/>
                <v:imagedata o:title=""/>
                <o:lock v:ext="edit" aspectratio="f"/>
              </v:line>
            </w:pict>
          </mc:Fallback>
        </mc:AlternateContent>
      </w:r>
    </w:p>
    <w:p w14:paraId="13D46FE0">
      <w:pPr>
        <w:spacing w:line="360" w:lineRule="auto"/>
        <w:jc w:val="center"/>
        <w:rPr>
          <w:szCs w:val="28"/>
        </w:rPr>
      </w:pPr>
    </w:p>
    <w:p w14:paraId="33CEB5C0">
      <w:pPr>
        <w:spacing w:line="360" w:lineRule="auto"/>
        <w:jc w:val="center"/>
        <w:rPr>
          <w:szCs w:val="28"/>
        </w:rPr>
      </w:pPr>
    </w:p>
    <w:p w14:paraId="677B95AA">
      <w:pPr>
        <w:spacing w:line="360" w:lineRule="auto"/>
        <w:jc w:val="center"/>
        <w:rPr>
          <w:szCs w:val="28"/>
        </w:rPr>
      </w:pPr>
    </w:p>
    <w:p w14:paraId="12A64DDF">
      <w:pPr>
        <w:spacing w:line="360" w:lineRule="auto"/>
        <w:jc w:val="center"/>
        <w:rPr>
          <w:szCs w:val="28"/>
        </w:rPr>
      </w:pPr>
    </w:p>
    <w:p w14:paraId="51A35047">
      <w:pPr>
        <w:spacing w:line="360" w:lineRule="auto"/>
        <w:ind w:firstLine="638" w:firstLineChars="228"/>
        <w:jc w:val="left"/>
        <w:rPr>
          <w:rFonts w:ascii="黑体" w:hAnsi="黑体" w:eastAsia="黑体" w:cs="黑体"/>
          <w:szCs w:val="28"/>
        </w:rPr>
      </w:pPr>
      <w:r>
        <w:rPr>
          <w:rFonts w:hint="eastAsia" w:ascii="黑体" w:hAnsi="黑体" w:eastAsia="黑体" w:cs="黑体"/>
          <w:sz w:val="28"/>
          <w:szCs w:val="28"/>
        </w:rPr>
        <w:t>归 口 单 位：</w:t>
      </w:r>
      <w:r>
        <w:rPr>
          <w:rFonts w:hint="eastAsia" w:cs="宋体"/>
          <w:sz w:val="28"/>
          <w:szCs w:val="28"/>
        </w:rPr>
        <w:t>全国</w:t>
      </w:r>
      <w:r>
        <w:rPr>
          <w:rFonts w:cs="宋体"/>
          <w:sz w:val="28"/>
          <w:szCs w:val="28"/>
        </w:rPr>
        <w:t>振动冲击转速计量技术委员会</w:t>
      </w:r>
    </w:p>
    <w:p w14:paraId="6D83F3F2">
      <w:pPr>
        <w:spacing w:line="360" w:lineRule="auto"/>
        <w:ind w:firstLine="638" w:firstLineChars="228"/>
        <w:jc w:val="left"/>
        <w:rPr>
          <w:rFonts w:hint="default" w:ascii="黑体" w:hAnsi="黑体" w:eastAsia="黑体" w:cs="黑体"/>
          <w:sz w:val="28"/>
          <w:szCs w:val="28"/>
          <w:lang w:val="en-US" w:eastAsia="zh-CN"/>
        </w:rPr>
      </w:pPr>
      <w:r>
        <w:rPr>
          <w:rFonts w:hint="eastAsia" w:ascii="黑体" w:hAnsi="黑体" w:eastAsia="黑体" w:cs="黑体"/>
          <w:sz w:val="28"/>
          <w:szCs w:val="28"/>
        </w:rPr>
        <w:t>主要起草单位：</w:t>
      </w:r>
      <w:r>
        <w:rPr>
          <w:rFonts w:hint="eastAsia" w:ascii="黑体" w:hAnsi="黑体" w:eastAsia="黑体" w:cs="黑体"/>
          <w:sz w:val="28"/>
          <w:szCs w:val="28"/>
          <w:lang w:val="en-US" w:eastAsia="zh-CN"/>
        </w:rPr>
        <w:t>XXXX</w:t>
      </w:r>
    </w:p>
    <w:p w14:paraId="4BD2975D">
      <w:pPr>
        <w:pBdr>
          <w:bottom w:val="dotted" w:color="auto" w:sz="24" w:space="0"/>
        </w:pBdr>
        <w:ind w:firstLine="2520" w:firstLineChars="900"/>
        <w:rPr>
          <w:rFonts w:hint="default" w:cs="宋体"/>
          <w:sz w:val="28"/>
          <w:szCs w:val="28"/>
          <w:lang w:val="en-US"/>
        </w:rPr>
      </w:pPr>
      <w:r>
        <w:rPr>
          <w:rFonts w:hint="default" w:cs="宋体"/>
          <w:sz w:val="28"/>
          <w:szCs w:val="28"/>
          <w:lang w:val="en-US"/>
        </w:rPr>
        <w:t>XXXX</w:t>
      </w:r>
    </w:p>
    <w:p w14:paraId="415F6951">
      <w:pPr>
        <w:spacing w:line="360" w:lineRule="auto"/>
        <w:ind w:firstLine="638" w:firstLineChars="228"/>
        <w:jc w:val="left"/>
        <w:rPr>
          <w:rFonts w:ascii="黑体" w:hAnsi="黑体" w:eastAsia="黑体" w:cs="黑体"/>
          <w:szCs w:val="28"/>
        </w:rPr>
      </w:pPr>
      <w:r>
        <w:rPr>
          <w:rFonts w:hint="eastAsia" w:ascii="黑体" w:hAnsi="黑体" w:eastAsia="黑体" w:cs="黑体"/>
          <w:sz w:val="28"/>
          <w:szCs w:val="28"/>
        </w:rPr>
        <w:t>参与起草单位：</w:t>
      </w:r>
      <w:r>
        <w:rPr>
          <w:rFonts w:hint="eastAsia" w:cs="宋体"/>
          <w:szCs w:val="28"/>
        </w:rPr>
        <w:t>XXXX</w:t>
      </w:r>
    </w:p>
    <w:p w14:paraId="446D7AD1">
      <w:pPr>
        <w:spacing w:line="360" w:lineRule="auto"/>
        <w:ind w:firstLine="2730" w:firstLineChars="1300"/>
        <w:jc w:val="left"/>
        <w:rPr>
          <w:rFonts w:hint="eastAsia" w:cs="宋体"/>
          <w:szCs w:val="28"/>
        </w:rPr>
      </w:pPr>
      <w:r>
        <w:rPr>
          <w:rFonts w:hint="eastAsia" w:cs="宋体"/>
          <w:szCs w:val="28"/>
        </w:rPr>
        <w:t>XXXX</w:t>
      </w:r>
    </w:p>
    <w:p w14:paraId="6E6D22CF">
      <w:pPr>
        <w:jc w:val="center"/>
        <w:rPr>
          <w:b/>
          <w:snapToGrid w:val="0"/>
          <w:kern w:val="0"/>
        </w:rPr>
      </w:pPr>
    </w:p>
    <w:p w14:paraId="79EC8C38">
      <w:pPr>
        <w:jc w:val="center"/>
        <w:rPr>
          <w:b/>
          <w:snapToGrid w:val="0"/>
          <w:kern w:val="0"/>
        </w:rPr>
      </w:pPr>
    </w:p>
    <w:p w14:paraId="3DAFA150">
      <w:pPr>
        <w:jc w:val="center"/>
        <w:rPr>
          <w:b/>
          <w:snapToGrid w:val="0"/>
          <w:kern w:val="0"/>
        </w:rPr>
      </w:pPr>
    </w:p>
    <w:p w14:paraId="6083E0AE">
      <w:pPr>
        <w:jc w:val="center"/>
        <w:rPr>
          <w:b/>
          <w:snapToGrid w:val="0"/>
          <w:kern w:val="0"/>
        </w:rPr>
      </w:pPr>
    </w:p>
    <w:p w14:paraId="52EE38E3">
      <w:pPr>
        <w:jc w:val="center"/>
        <w:rPr>
          <w:b/>
          <w:snapToGrid w:val="0"/>
          <w:kern w:val="0"/>
        </w:rPr>
      </w:pPr>
    </w:p>
    <w:p w14:paraId="69B97044">
      <w:pPr>
        <w:jc w:val="center"/>
        <w:rPr>
          <w:b/>
          <w:snapToGrid w:val="0"/>
          <w:kern w:val="0"/>
        </w:rPr>
      </w:pPr>
    </w:p>
    <w:p w14:paraId="4CC3C62A">
      <w:pPr>
        <w:jc w:val="center"/>
        <w:rPr>
          <w:b/>
          <w:snapToGrid w:val="0"/>
          <w:kern w:val="0"/>
        </w:rPr>
      </w:pPr>
    </w:p>
    <w:p w14:paraId="5AE30A67">
      <w:pPr>
        <w:jc w:val="center"/>
        <w:rPr>
          <w:b/>
          <w:snapToGrid w:val="0"/>
          <w:kern w:val="0"/>
        </w:rPr>
      </w:pPr>
    </w:p>
    <w:p w14:paraId="461004F6">
      <w:pPr>
        <w:jc w:val="center"/>
        <w:rPr>
          <w:b/>
          <w:snapToGrid w:val="0"/>
          <w:kern w:val="0"/>
        </w:rPr>
      </w:pPr>
    </w:p>
    <w:p w14:paraId="11CEC077">
      <w:pPr>
        <w:jc w:val="center"/>
        <w:rPr>
          <w:b/>
          <w:snapToGrid w:val="0"/>
          <w:kern w:val="0"/>
        </w:rPr>
      </w:pPr>
    </w:p>
    <w:p w14:paraId="310112E3">
      <w:pPr>
        <w:spacing w:line="360" w:lineRule="auto"/>
        <w:ind w:firstLine="1120" w:firstLineChars="400"/>
        <w:rPr>
          <w:rFonts w:asciiTheme="minorEastAsia" w:hAnsiTheme="minorEastAsia" w:eastAsiaTheme="minorEastAsia"/>
          <w:snapToGrid w:val="0"/>
          <w:kern w:val="0"/>
          <w:sz w:val="28"/>
          <w:szCs w:val="28"/>
        </w:rPr>
      </w:pPr>
      <w:r>
        <w:rPr>
          <w:rFonts w:hint="eastAsia" w:asciiTheme="minorEastAsia" w:hAnsiTheme="minorEastAsia" w:eastAsiaTheme="minorEastAsia"/>
          <w:snapToGrid w:val="0"/>
          <w:kern w:val="0"/>
          <w:sz w:val="28"/>
          <w:szCs w:val="28"/>
        </w:rPr>
        <w:t>本规程委托全国</w:t>
      </w:r>
      <w:r>
        <w:rPr>
          <w:rFonts w:asciiTheme="minorEastAsia" w:hAnsiTheme="minorEastAsia" w:eastAsiaTheme="minorEastAsia"/>
          <w:snapToGrid w:val="0"/>
          <w:kern w:val="0"/>
          <w:sz w:val="28"/>
          <w:szCs w:val="28"/>
        </w:rPr>
        <w:t>振动冲击转速计量技术</w:t>
      </w:r>
      <w:r>
        <w:rPr>
          <w:rFonts w:hint="eastAsia" w:asciiTheme="minorEastAsia" w:hAnsiTheme="minorEastAsia" w:eastAsiaTheme="minorEastAsia"/>
          <w:snapToGrid w:val="0"/>
          <w:kern w:val="0"/>
          <w:sz w:val="28"/>
          <w:szCs w:val="28"/>
        </w:rPr>
        <w:t>委员会负责解释</w:t>
      </w:r>
    </w:p>
    <w:p w14:paraId="46DF9664">
      <w:pPr>
        <w:widowControl/>
        <w:jc w:val="left"/>
        <w:rPr>
          <w:rFonts w:asciiTheme="minorEastAsia" w:hAnsiTheme="minorEastAsia" w:eastAsiaTheme="minorEastAsia"/>
          <w:snapToGrid w:val="0"/>
          <w:kern w:val="0"/>
          <w:sz w:val="28"/>
          <w:szCs w:val="28"/>
        </w:rPr>
      </w:pPr>
      <w:r>
        <w:rPr>
          <w:rFonts w:hint="eastAsia" w:asciiTheme="minorEastAsia" w:hAnsiTheme="minorEastAsia" w:eastAsiaTheme="minorEastAsia"/>
          <w:snapToGrid w:val="0"/>
          <w:kern w:val="0"/>
          <w:sz w:val="28"/>
          <w:szCs w:val="28"/>
        </w:rPr>
        <w:br w:type="page"/>
      </w:r>
    </w:p>
    <w:p w14:paraId="17FCBA43">
      <w:pPr>
        <w:spacing w:line="360" w:lineRule="auto"/>
        <w:ind w:firstLine="1120" w:firstLineChars="400"/>
        <w:rPr>
          <w:rFonts w:asciiTheme="minorEastAsia" w:hAnsiTheme="minorEastAsia" w:eastAsiaTheme="minorEastAsia"/>
          <w:snapToGrid w:val="0"/>
          <w:kern w:val="0"/>
          <w:sz w:val="28"/>
          <w:szCs w:val="28"/>
        </w:rPr>
      </w:pPr>
    </w:p>
    <w:p w14:paraId="7F0F086E">
      <w:pPr>
        <w:rPr>
          <w:sz w:val="28"/>
          <w:szCs w:val="28"/>
        </w:rPr>
      </w:pPr>
      <w:r>
        <w:rPr>
          <w:sz w:val="28"/>
          <w:szCs w:val="28"/>
        </w:rPr>
        <w:t>本规程起草人：</w:t>
      </w:r>
    </w:p>
    <w:p w14:paraId="26E1401B">
      <w:pPr>
        <w:ind w:firstLine="600"/>
        <w:rPr>
          <w:sz w:val="28"/>
          <w:szCs w:val="28"/>
        </w:rPr>
      </w:pPr>
      <w:r>
        <w:rPr>
          <w:rFonts w:hint="eastAsia"/>
          <w:sz w:val="28"/>
          <w:szCs w:val="28"/>
        </w:rPr>
        <w:t>XXXX</w:t>
      </w:r>
      <w:r>
        <w:rPr>
          <w:sz w:val="28"/>
          <w:szCs w:val="28"/>
        </w:rPr>
        <w:t>（</w:t>
      </w:r>
      <w:r>
        <w:rPr>
          <w:rFonts w:hint="eastAsia"/>
          <w:sz w:val="28"/>
          <w:szCs w:val="28"/>
        </w:rPr>
        <w:t>XXXX</w:t>
      </w:r>
      <w:r>
        <w:rPr>
          <w:sz w:val="28"/>
          <w:szCs w:val="28"/>
        </w:rPr>
        <w:t>）</w:t>
      </w:r>
    </w:p>
    <w:p w14:paraId="4B4865FE">
      <w:pPr>
        <w:ind w:firstLine="600"/>
        <w:rPr>
          <w:sz w:val="28"/>
          <w:szCs w:val="28"/>
        </w:rPr>
      </w:pPr>
      <w:r>
        <w:rPr>
          <w:rFonts w:hint="eastAsia"/>
          <w:sz w:val="28"/>
          <w:szCs w:val="28"/>
        </w:rPr>
        <w:t>XXXX</w:t>
      </w:r>
      <w:r>
        <w:rPr>
          <w:sz w:val="28"/>
          <w:szCs w:val="28"/>
        </w:rPr>
        <w:t>（</w:t>
      </w:r>
      <w:r>
        <w:rPr>
          <w:rFonts w:hint="eastAsia"/>
          <w:sz w:val="28"/>
          <w:szCs w:val="28"/>
        </w:rPr>
        <w:t>XXXX</w:t>
      </w:r>
      <w:r>
        <w:rPr>
          <w:sz w:val="28"/>
          <w:szCs w:val="28"/>
        </w:rPr>
        <w:t>）</w:t>
      </w:r>
    </w:p>
    <w:p w14:paraId="28138B9E">
      <w:pPr>
        <w:ind w:firstLine="600"/>
        <w:rPr>
          <w:sz w:val="28"/>
          <w:szCs w:val="28"/>
        </w:rPr>
      </w:pPr>
      <w:r>
        <w:rPr>
          <w:rFonts w:hint="eastAsia"/>
          <w:sz w:val="28"/>
          <w:szCs w:val="28"/>
        </w:rPr>
        <w:t>XXXX</w:t>
      </w:r>
      <w:r>
        <w:rPr>
          <w:sz w:val="28"/>
          <w:szCs w:val="28"/>
        </w:rPr>
        <w:t>（</w:t>
      </w:r>
      <w:r>
        <w:rPr>
          <w:rFonts w:hint="eastAsia"/>
          <w:sz w:val="28"/>
          <w:szCs w:val="28"/>
        </w:rPr>
        <w:t>XXXX</w:t>
      </w:r>
      <w:r>
        <w:rPr>
          <w:sz w:val="28"/>
          <w:szCs w:val="28"/>
        </w:rPr>
        <w:t>）</w:t>
      </w:r>
    </w:p>
    <w:p w14:paraId="1EC848D1">
      <w:pPr>
        <w:ind w:firstLine="600"/>
        <w:rPr>
          <w:sz w:val="28"/>
          <w:szCs w:val="28"/>
        </w:rPr>
      </w:pPr>
    </w:p>
    <w:p w14:paraId="6CD7C8EA">
      <w:pPr>
        <w:ind w:firstLine="2880" w:firstLineChars="800"/>
        <w:rPr>
          <w:sz w:val="36"/>
        </w:rPr>
      </w:pPr>
      <w:r>
        <w:rPr>
          <w:sz w:val="36"/>
        </w:rPr>
        <w:br w:type="page"/>
      </w:r>
    </w:p>
    <w:p w14:paraId="01607B06">
      <w:pPr>
        <w:ind w:firstLine="2880" w:firstLineChars="800"/>
        <w:rPr>
          <w:sz w:val="36"/>
        </w:rPr>
      </w:pPr>
      <w:r>
        <w:rPr>
          <w:sz w:val="36"/>
        </w:rPr>
        <w:t>目        录</w:t>
      </w:r>
    </w:p>
    <w:p w14:paraId="03957358">
      <w:pPr>
        <w:rPr>
          <w:sz w:val="24"/>
        </w:rPr>
      </w:pPr>
      <w:r>
        <w:rPr>
          <w:rFonts w:hint="eastAsia"/>
          <w:sz w:val="24"/>
        </w:rPr>
        <w:t xml:space="preserve">1  </w:t>
      </w:r>
      <w:r>
        <w:rPr>
          <w:sz w:val="24"/>
        </w:rPr>
        <w:t>范围……………………………………………………………………………</w:t>
      </w:r>
      <w:r>
        <w:rPr>
          <w:rFonts w:hint="eastAsia"/>
          <w:sz w:val="24"/>
        </w:rPr>
        <w:t>（1）</w:t>
      </w:r>
    </w:p>
    <w:p w14:paraId="005FE5DA">
      <w:pPr>
        <w:rPr>
          <w:sz w:val="24"/>
        </w:rPr>
      </w:pPr>
      <w:r>
        <w:rPr>
          <w:rFonts w:hint="eastAsia"/>
          <w:sz w:val="24"/>
        </w:rPr>
        <w:t xml:space="preserve">2  </w:t>
      </w:r>
      <w:r>
        <w:rPr>
          <w:sz w:val="24"/>
        </w:rPr>
        <w:t>引用文献………………………………………………………………………</w:t>
      </w:r>
      <w:r>
        <w:rPr>
          <w:rFonts w:hint="eastAsia"/>
          <w:sz w:val="24"/>
        </w:rPr>
        <w:t>（1）</w:t>
      </w:r>
    </w:p>
    <w:p w14:paraId="3527F29A">
      <w:pPr>
        <w:rPr>
          <w:sz w:val="24"/>
        </w:rPr>
      </w:pPr>
      <w:r>
        <w:rPr>
          <w:rFonts w:hint="eastAsia"/>
          <w:sz w:val="24"/>
        </w:rPr>
        <w:t xml:space="preserve">3  </w:t>
      </w:r>
      <w:r>
        <w:rPr>
          <w:sz w:val="24"/>
        </w:rPr>
        <w:t>概述……………………………………………………………………………</w:t>
      </w:r>
      <w:r>
        <w:rPr>
          <w:rFonts w:hint="eastAsia"/>
          <w:sz w:val="24"/>
        </w:rPr>
        <w:t>（1）</w:t>
      </w:r>
    </w:p>
    <w:p w14:paraId="0CDFCDC5">
      <w:pPr>
        <w:rPr>
          <w:sz w:val="24"/>
        </w:rPr>
      </w:pPr>
      <w:r>
        <w:rPr>
          <w:rFonts w:hint="eastAsia"/>
          <w:sz w:val="24"/>
        </w:rPr>
        <w:t xml:space="preserve">4  </w:t>
      </w:r>
      <w:r>
        <w:rPr>
          <w:sz w:val="24"/>
        </w:rPr>
        <w:t>计量性能要求…………………………………………………………………</w:t>
      </w:r>
      <w:r>
        <w:rPr>
          <w:rFonts w:hint="eastAsia"/>
          <w:sz w:val="24"/>
        </w:rPr>
        <w:t>（1）</w:t>
      </w:r>
    </w:p>
    <w:p w14:paraId="48CED516">
      <w:pPr>
        <w:rPr>
          <w:sz w:val="24"/>
        </w:rPr>
      </w:pPr>
      <w:r>
        <w:rPr>
          <w:rFonts w:hint="eastAsia"/>
          <w:sz w:val="24"/>
        </w:rPr>
        <w:t xml:space="preserve">4.1  </w:t>
      </w:r>
      <w:r>
        <w:rPr>
          <w:sz w:val="24"/>
        </w:rPr>
        <w:t>灵敏度幅值和相移测量的不确定度………………………………………</w:t>
      </w:r>
      <w:r>
        <w:rPr>
          <w:rFonts w:hint="eastAsia"/>
          <w:sz w:val="24"/>
        </w:rPr>
        <w:t>（1）</w:t>
      </w:r>
    </w:p>
    <w:p w14:paraId="2DF23580">
      <w:pPr>
        <w:rPr>
          <w:sz w:val="24"/>
        </w:rPr>
      </w:pPr>
      <w:r>
        <w:rPr>
          <w:rFonts w:hint="eastAsia"/>
          <w:sz w:val="24"/>
        </w:rPr>
        <w:t xml:space="preserve">4.2  </w:t>
      </w:r>
      <w:r>
        <w:rPr>
          <w:sz w:val="24"/>
        </w:rPr>
        <w:t>灵敏度频率响应……………………………………………………………</w:t>
      </w:r>
      <w:r>
        <w:rPr>
          <w:rFonts w:hint="eastAsia"/>
          <w:sz w:val="24"/>
        </w:rPr>
        <w:t>（2）</w:t>
      </w:r>
    </w:p>
    <w:p w14:paraId="432B2E56">
      <w:pPr>
        <w:rPr>
          <w:sz w:val="24"/>
        </w:rPr>
      </w:pPr>
      <w:r>
        <w:rPr>
          <w:rFonts w:hint="eastAsia"/>
          <w:sz w:val="24"/>
        </w:rPr>
        <w:t xml:space="preserve">4.3  </w:t>
      </w:r>
      <w:r>
        <w:rPr>
          <w:sz w:val="24"/>
        </w:rPr>
        <w:t>灵敏度幅值线性度…………………………………………………………</w:t>
      </w:r>
      <w:r>
        <w:rPr>
          <w:rFonts w:hint="eastAsia"/>
          <w:sz w:val="24"/>
        </w:rPr>
        <w:t>（2）</w:t>
      </w:r>
    </w:p>
    <w:p w14:paraId="1291E24C">
      <w:pPr>
        <w:rPr>
          <w:sz w:val="24"/>
        </w:rPr>
      </w:pPr>
      <w:r>
        <w:rPr>
          <w:rFonts w:hint="eastAsia"/>
          <w:sz w:val="24"/>
        </w:rPr>
        <w:t xml:space="preserve">4.4  </w:t>
      </w:r>
      <w:r>
        <w:rPr>
          <w:sz w:val="24"/>
        </w:rPr>
        <w:t>参考灵敏度的年稳定度……………………………………………………</w:t>
      </w:r>
      <w:r>
        <w:rPr>
          <w:rFonts w:hint="eastAsia"/>
          <w:sz w:val="24"/>
        </w:rPr>
        <w:t>（2）</w:t>
      </w:r>
    </w:p>
    <w:p w14:paraId="4379E39E">
      <w:pPr>
        <w:rPr>
          <w:sz w:val="24"/>
        </w:rPr>
      </w:pPr>
      <w:r>
        <w:rPr>
          <w:rFonts w:hint="eastAsia"/>
          <w:sz w:val="24"/>
        </w:rPr>
        <w:t xml:space="preserve">4.5  </w:t>
      </w:r>
      <w:r>
        <w:rPr>
          <w:sz w:val="24"/>
        </w:rPr>
        <w:t>其他性能……………………………………………………………………</w:t>
      </w:r>
      <w:r>
        <w:rPr>
          <w:rFonts w:hint="eastAsia"/>
          <w:sz w:val="24"/>
        </w:rPr>
        <w:t>（2）</w:t>
      </w:r>
    </w:p>
    <w:p w14:paraId="5FE470DD">
      <w:pPr>
        <w:rPr>
          <w:sz w:val="24"/>
        </w:rPr>
      </w:pPr>
      <w:r>
        <w:rPr>
          <w:rFonts w:hint="eastAsia"/>
          <w:sz w:val="24"/>
        </w:rPr>
        <w:t xml:space="preserve">5  </w:t>
      </w:r>
      <w:r>
        <w:rPr>
          <w:sz w:val="24"/>
        </w:rPr>
        <w:t>通用技术要求…………………………………………………………………</w:t>
      </w:r>
      <w:r>
        <w:rPr>
          <w:rFonts w:hint="eastAsia"/>
          <w:sz w:val="24"/>
        </w:rPr>
        <w:t>（2）</w:t>
      </w:r>
    </w:p>
    <w:p w14:paraId="60A9C136">
      <w:pPr>
        <w:rPr>
          <w:sz w:val="24"/>
        </w:rPr>
      </w:pPr>
      <w:r>
        <w:rPr>
          <w:rFonts w:hint="eastAsia"/>
          <w:sz w:val="24"/>
        </w:rPr>
        <w:t xml:space="preserve">5.1  </w:t>
      </w:r>
      <w:r>
        <w:rPr>
          <w:sz w:val="24"/>
        </w:rPr>
        <w:t>外观要求……………………………………………………………………</w:t>
      </w:r>
      <w:r>
        <w:rPr>
          <w:rFonts w:hint="eastAsia"/>
          <w:sz w:val="24"/>
        </w:rPr>
        <w:t>（2）</w:t>
      </w:r>
    </w:p>
    <w:p w14:paraId="5E0B440E">
      <w:pPr>
        <w:rPr>
          <w:sz w:val="24"/>
        </w:rPr>
      </w:pPr>
      <w:r>
        <w:rPr>
          <w:rFonts w:hint="eastAsia"/>
          <w:sz w:val="24"/>
        </w:rPr>
        <w:t xml:space="preserve">5.2  </w:t>
      </w:r>
      <w:r>
        <w:rPr>
          <w:sz w:val="24"/>
        </w:rPr>
        <w:t>其他技术要求………………………………………………………………</w:t>
      </w:r>
      <w:r>
        <w:rPr>
          <w:rFonts w:hint="eastAsia"/>
          <w:sz w:val="24"/>
        </w:rPr>
        <w:t>（2）</w:t>
      </w:r>
    </w:p>
    <w:p w14:paraId="43478552">
      <w:pPr>
        <w:rPr>
          <w:sz w:val="24"/>
        </w:rPr>
      </w:pPr>
      <w:r>
        <w:rPr>
          <w:rFonts w:hint="eastAsia"/>
          <w:sz w:val="24"/>
        </w:rPr>
        <w:t xml:space="preserve">6  </w:t>
      </w:r>
      <w:r>
        <w:rPr>
          <w:sz w:val="24"/>
        </w:rPr>
        <w:t>计量器具控制…………………………………………………………………</w:t>
      </w:r>
      <w:r>
        <w:rPr>
          <w:rFonts w:hint="eastAsia"/>
          <w:sz w:val="24"/>
        </w:rPr>
        <w:t>（3）</w:t>
      </w:r>
    </w:p>
    <w:p w14:paraId="74AEABC9">
      <w:pPr>
        <w:rPr>
          <w:sz w:val="24"/>
        </w:rPr>
      </w:pPr>
      <w:r>
        <w:rPr>
          <w:rFonts w:hint="eastAsia"/>
          <w:sz w:val="24"/>
        </w:rPr>
        <w:t xml:space="preserve">6.1  </w:t>
      </w:r>
      <w:r>
        <w:rPr>
          <w:sz w:val="24"/>
        </w:rPr>
        <w:t>检定条件……………………………………………………………………</w:t>
      </w:r>
      <w:r>
        <w:rPr>
          <w:rFonts w:hint="eastAsia"/>
          <w:sz w:val="24"/>
        </w:rPr>
        <w:t>（3）</w:t>
      </w:r>
    </w:p>
    <w:p w14:paraId="3DEFB3D6">
      <w:pPr>
        <w:rPr>
          <w:sz w:val="24"/>
        </w:rPr>
      </w:pPr>
      <w:r>
        <w:rPr>
          <w:rFonts w:hint="eastAsia"/>
          <w:sz w:val="24"/>
        </w:rPr>
        <w:t xml:space="preserve">6.2  </w:t>
      </w:r>
      <w:r>
        <w:rPr>
          <w:sz w:val="24"/>
        </w:rPr>
        <w:t>检定项目……………………………………………………………………</w:t>
      </w:r>
      <w:r>
        <w:rPr>
          <w:rFonts w:hint="eastAsia"/>
          <w:sz w:val="24"/>
        </w:rPr>
        <w:t>（5）</w:t>
      </w:r>
    </w:p>
    <w:p w14:paraId="6A739665">
      <w:pPr>
        <w:rPr>
          <w:sz w:val="24"/>
        </w:rPr>
      </w:pPr>
      <w:r>
        <w:rPr>
          <w:rFonts w:hint="eastAsia"/>
          <w:sz w:val="24"/>
        </w:rPr>
        <w:t xml:space="preserve">6.3  </w:t>
      </w:r>
      <w:r>
        <w:rPr>
          <w:sz w:val="24"/>
        </w:rPr>
        <w:t>检定方法……………………………………………………………………</w:t>
      </w:r>
      <w:r>
        <w:rPr>
          <w:rFonts w:hint="eastAsia"/>
          <w:sz w:val="24"/>
        </w:rPr>
        <w:t>（5）</w:t>
      </w:r>
    </w:p>
    <w:p w14:paraId="0FF86C0B">
      <w:pPr>
        <w:rPr>
          <w:sz w:val="24"/>
        </w:rPr>
      </w:pPr>
      <w:r>
        <w:rPr>
          <w:rFonts w:hint="eastAsia"/>
          <w:sz w:val="24"/>
        </w:rPr>
        <w:t xml:space="preserve">6.4  </w:t>
      </w:r>
      <w:r>
        <w:rPr>
          <w:sz w:val="24"/>
        </w:rPr>
        <w:t>检定结果的处理……………………………………………………………</w:t>
      </w:r>
      <w:r>
        <w:rPr>
          <w:rFonts w:hint="eastAsia"/>
          <w:sz w:val="24"/>
        </w:rPr>
        <w:t>（7）</w:t>
      </w:r>
    </w:p>
    <w:p w14:paraId="68D23AAF">
      <w:pPr>
        <w:rPr>
          <w:sz w:val="24"/>
        </w:rPr>
      </w:pPr>
      <w:r>
        <w:rPr>
          <w:rFonts w:hint="eastAsia"/>
          <w:sz w:val="24"/>
        </w:rPr>
        <w:t xml:space="preserve">6.5  </w:t>
      </w:r>
      <w:r>
        <w:rPr>
          <w:sz w:val="24"/>
        </w:rPr>
        <w:t>检定周期……………………………………………………………………</w:t>
      </w:r>
      <w:r>
        <w:rPr>
          <w:rFonts w:hint="eastAsia"/>
          <w:sz w:val="24"/>
        </w:rPr>
        <w:t>（7）</w:t>
      </w:r>
    </w:p>
    <w:p w14:paraId="375672F5">
      <w:pPr>
        <w:rPr>
          <w:sz w:val="24"/>
        </w:rPr>
      </w:pPr>
      <w:r>
        <w:rPr>
          <w:rFonts w:hint="eastAsia"/>
          <w:sz w:val="24"/>
        </w:rPr>
        <w:t xml:space="preserve">附录A  </w:t>
      </w:r>
      <w:r>
        <w:rPr>
          <w:sz w:val="24"/>
        </w:rPr>
        <w:t>采用激光绝对法检定的方法和数据处理………………………………</w:t>
      </w:r>
      <w:r>
        <w:rPr>
          <w:rFonts w:hint="eastAsia"/>
          <w:sz w:val="24"/>
        </w:rPr>
        <w:t>（8）</w:t>
      </w:r>
    </w:p>
    <w:p w14:paraId="7751C27D">
      <w:pPr>
        <w:rPr>
          <w:sz w:val="24"/>
        </w:rPr>
      </w:pPr>
      <w:r>
        <w:rPr>
          <w:rFonts w:hint="eastAsia"/>
          <w:sz w:val="24"/>
        </w:rPr>
        <w:t xml:space="preserve">附录B  </w:t>
      </w:r>
      <w:r>
        <w:rPr>
          <w:sz w:val="24"/>
        </w:rPr>
        <w:t>加速度计其他性能的检测方法和数据处理……………………………</w:t>
      </w:r>
      <w:r>
        <w:rPr>
          <w:rFonts w:hint="eastAsia"/>
          <w:sz w:val="24"/>
        </w:rPr>
        <w:t>（11）</w:t>
      </w:r>
    </w:p>
    <w:p w14:paraId="0AD82B7D">
      <w:pPr>
        <w:rPr>
          <w:sz w:val="24"/>
        </w:rPr>
      </w:pPr>
      <w:r>
        <w:rPr>
          <w:rFonts w:hint="eastAsia"/>
          <w:sz w:val="24"/>
        </w:rPr>
        <w:t xml:space="preserve">附录C  </w:t>
      </w:r>
      <w:r>
        <w:rPr>
          <w:sz w:val="24"/>
        </w:rPr>
        <w:t>压电加速度计检定证书内页格式………………………………………</w:t>
      </w:r>
      <w:r>
        <w:rPr>
          <w:rFonts w:hint="eastAsia"/>
          <w:sz w:val="24"/>
        </w:rPr>
        <w:t>（14）</w:t>
      </w:r>
    </w:p>
    <w:p w14:paraId="19F84E77">
      <w:pPr>
        <w:rPr>
          <w:sz w:val="24"/>
        </w:rPr>
      </w:pPr>
      <w:r>
        <w:rPr>
          <w:rFonts w:hint="eastAsia"/>
          <w:sz w:val="24"/>
        </w:rPr>
        <w:t xml:space="preserve">附录D  </w:t>
      </w:r>
      <w:r>
        <w:rPr>
          <w:sz w:val="24"/>
        </w:rPr>
        <w:t>压电加速度计检定结果通知书内页格式………………………………</w:t>
      </w:r>
      <w:r>
        <w:rPr>
          <w:rFonts w:hint="eastAsia"/>
          <w:sz w:val="24"/>
        </w:rPr>
        <w:t>（15）</w:t>
      </w:r>
    </w:p>
    <w:p w14:paraId="16054868">
      <w:pPr>
        <w:sectPr>
          <w:footerReference r:id="rId6" w:type="first"/>
          <w:headerReference r:id="rId4" w:type="default"/>
          <w:footerReference r:id="rId5" w:type="default"/>
          <w:pgSz w:w="11906" w:h="16838"/>
          <w:pgMar w:top="1440" w:right="1800" w:bottom="1440" w:left="1800" w:header="851" w:footer="992" w:gutter="0"/>
          <w:pgNumType w:start="1"/>
          <w:cols w:space="425" w:num="1"/>
          <w:titlePg/>
          <w:docGrid w:type="lines" w:linePitch="312" w:charSpace="0"/>
        </w:sectPr>
      </w:pPr>
      <w:r>
        <w:br w:type="page"/>
      </w:r>
    </w:p>
    <w:p w14:paraId="2F9094D2">
      <w:pPr>
        <w:spacing w:before="312" w:after="312" w:afterLines="100"/>
        <w:jc w:val="center"/>
        <w:rPr>
          <w:rFonts w:ascii="黑体" w:hAnsi="黑体" w:eastAsia="黑体"/>
          <w:sz w:val="48"/>
          <w:szCs w:val="48"/>
        </w:rPr>
      </w:pPr>
      <w:r>
        <w:rPr>
          <w:rFonts w:hint="eastAsia" w:eastAsia="黑体"/>
          <w:kern w:val="0"/>
          <w:sz w:val="32"/>
          <w:szCs w:val="32"/>
        </w:rPr>
        <w:t>引 言</w:t>
      </w:r>
    </w:p>
    <w:p w14:paraId="52770E53">
      <w:pPr>
        <w:spacing w:line="360" w:lineRule="auto"/>
        <w:ind w:firstLine="627" w:firstLineChars="245"/>
        <w:jc w:val="left"/>
        <w:rPr>
          <w:spacing w:val="8"/>
          <w:kern w:val="0"/>
          <w:sz w:val="24"/>
        </w:rPr>
      </w:pPr>
      <w:r>
        <w:rPr>
          <w:rFonts w:hint="eastAsia" w:ascii="Times New Roman" w:hAnsi="Times New Roman" w:cs="宋体"/>
          <w:spacing w:val="8"/>
          <w:kern w:val="0"/>
          <w:sz w:val="24"/>
          <w:lang w:bidi="ar"/>
        </w:rPr>
        <w:t>本规程以</w:t>
      </w:r>
      <w:r>
        <w:rPr>
          <w:rFonts w:ascii="Times New Roman" w:hAnsi="Times New Roman" w:cs="Times New Roman"/>
          <w:spacing w:val="8"/>
          <w:kern w:val="0"/>
          <w:sz w:val="24"/>
          <w:lang w:bidi="ar"/>
        </w:rPr>
        <w:t>JJF 1001</w:t>
      </w:r>
      <w:r>
        <w:rPr>
          <w:rFonts w:hint="eastAsia" w:ascii="Times New Roman" w:hAnsi="Times New Roman" w:cs="宋体"/>
          <w:spacing w:val="8"/>
          <w:kern w:val="0"/>
          <w:sz w:val="24"/>
          <w:lang w:bidi="ar"/>
        </w:rPr>
        <w:t>—</w:t>
      </w:r>
      <w:r>
        <w:rPr>
          <w:rFonts w:ascii="Times New Roman" w:hAnsi="Times New Roman" w:cs="Times New Roman"/>
          <w:spacing w:val="8"/>
          <w:kern w:val="0"/>
          <w:sz w:val="24"/>
          <w:lang w:bidi="ar"/>
        </w:rPr>
        <w:t>2001</w:t>
      </w:r>
      <w:r>
        <w:rPr>
          <w:rFonts w:hint="eastAsia" w:ascii="Times New Roman" w:hAnsi="Times New Roman" w:cs="宋体"/>
          <w:spacing w:val="8"/>
          <w:kern w:val="0"/>
          <w:sz w:val="24"/>
          <w:lang w:bidi="ar"/>
        </w:rPr>
        <w:t>《通用计量术语及定义》、</w:t>
      </w:r>
      <w:r>
        <w:rPr>
          <w:rFonts w:ascii="Times New Roman" w:hAnsi="Times New Roman" w:cs="Times New Roman"/>
          <w:spacing w:val="8"/>
          <w:sz w:val="24"/>
          <w:lang w:bidi="ar"/>
        </w:rPr>
        <w:t>JJF 1002</w:t>
      </w:r>
      <w:r>
        <w:rPr>
          <w:rFonts w:hint="eastAsia" w:ascii="Times New Roman" w:hAnsi="Times New Roman" w:cs="宋体"/>
          <w:spacing w:val="8"/>
          <w:sz w:val="24"/>
          <w:lang w:bidi="ar"/>
        </w:rPr>
        <w:t>—</w:t>
      </w:r>
      <w:r>
        <w:rPr>
          <w:rFonts w:ascii="Times New Roman" w:hAnsi="Times New Roman" w:cs="Times New Roman"/>
          <w:spacing w:val="8"/>
          <w:sz w:val="24"/>
          <w:lang w:bidi="ar"/>
        </w:rPr>
        <w:t>2010</w:t>
      </w:r>
      <w:r>
        <w:rPr>
          <w:rFonts w:hint="eastAsia" w:ascii="Times New Roman" w:hAnsi="Times New Roman" w:cs="宋体"/>
          <w:spacing w:val="8"/>
          <w:sz w:val="24"/>
          <w:lang w:bidi="ar"/>
        </w:rPr>
        <w:t>《国家计量检定规程编写规则》</w:t>
      </w:r>
      <w:r>
        <w:rPr>
          <w:rFonts w:hint="eastAsia" w:ascii="Times New Roman" w:hAnsi="Times New Roman" w:cs="宋体"/>
          <w:spacing w:val="8"/>
          <w:kern w:val="0"/>
          <w:sz w:val="24"/>
          <w:lang w:bidi="ar"/>
        </w:rPr>
        <w:t>、</w:t>
      </w:r>
      <w:r>
        <w:rPr>
          <w:rFonts w:ascii="Times New Roman" w:hAnsi="Times New Roman" w:cs="Times New Roman"/>
          <w:spacing w:val="8"/>
          <w:kern w:val="0"/>
          <w:sz w:val="24"/>
          <w:lang w:bidi="ar"/>
        </w:rPr>
        <w:t>JJF 1059.1</w:t>
      </w:r>
      <w:r>
        <w:rPr>
          <w:rFonts w:hint="eastAsia" w:ascii="Times New Roman" w:hAnsi="Times New Roman" w:cs="宋体"/>
          <w:spacing w:val="8"/>
          <w:kern w:val="0"/>
          <w:sz w:val="24"/>
          <w:lang w:bidi="ar"/>
        </w:rPr>
        <w:t>—</w:t>
      </w:r>
      <w:r>
        <w:rPr>
          <w:rFonts w:ascii="Times New Roman" w:hAnsi="Times New Roman" w:cs="Times New Roman"/>
          <w:spacing w:val="8"/>
          <w:kern w:val="0"/>
          <w:sz w:val="24"/>
          <w:lang w:bidi="ar"/>
        </w:rPr>
        <w:t>2011</w:t>
      </w:r>
      <w:r>
        <w:rPr>
          <w:rFonts w:hint="eastAsia" w:ascii="Times New Roman" w:hAnsi="Times New Roman" w:cs="宋体"/>
          <w:spacing w:val="8"/>
          <w:kern w:val="0"/>
          <w:sz w:val="24"/>
          <w:lang w:bidi="ar"/>
        </w:rPr>
        <w:t>《测量不确定度评定与表示》和</w:t>
      </w:r>
      <w:r>
        <w:rPr>
          <w:rFonts w:ascii="Times New Roman" w:hAnsi="Times New Roman" w:cs="Times New Roman"/>
          <w:spacing w:val="8"/>
          <w:kern w:val="0"/>
          <w:sz w:val="24"/>
          <w:lang w:bidi="ar"/>
        </w:rPr>
        <w:t>JJF 1094</w:t>
      </w:r>
      <w:r>
        <w:rPr>
          <w:rFonts w:hint="eastAsia" w:ascii="Times New Roman" w:hAnsi="Times New Roman" w:cs="宋体"/>
          <w:spacing w:val="8"/>
          <w:kern w:val="0"/>
          <w:sz w:val="24"/>
          <w:lang w:bidi="ar"/>
        </w:rPr>
        <w:t>—</w:t>
      </w:r>
      <w:r>
        <w:rPr>
          <w:rFonts w:ascii="Times New Roman" w:hAnsi="Times New Roman" w:cs="Times New Roman"/>
          <w:spacing w:val="8"/>
          <w:kern w:val="0"/>
          <w:sz w:val="24"/>
          <w:lang w:bidi="ar"/>
        </w:rPr>
        <w:t>2002</w:t>
      </w:r>
      <w:r>
        <w:rPr>
          <w:rFonts w:hint="eastAsia" w:ascii="Times New Roman" w:hAnsi="Times New Roman" w:cs="宋体"/>
          <w:spacing w:val="8"/>
          <w:kern w:val="0"/>
          <w:sz w:val="24"/>
          <w:lang w:bidi="ar"/>
        </w:rPr>
        <w:t>《测量仪器特性评定》作为基础性系列规范。</w:t>
      </w:r>
    </w:p>
    <w:p w14:paraId="4080F3CF">
      <w:pPr>
        <w:adjustRightInd w:val="0"/>
        <w:snapToGrid w:val="0"/>
        <w:spacing w:before="156" w:beforeLines="50" w:line="360" w:lineRule="auto"/>
        <w:ind w:firstLine="482"/>
        <w:rPr>
          <w:sz w:val="24"/>
        </w:rPr>
      </w:pPr>
      <w:r>
        <w:rPr>
          <w:rFonts w:hint="eastAsia"/>
          <w:sz w:val="24"/>
        </w:rPr>
        <w:t>与JJG 233-2008《压电加速度计检定规程》相比，除编辑性修改外，主要技术变化如下：</w:t>
      </w:r>
    </w:p>
    <w:p w14:paraId="722B2343">
      <w:pPr>
        <w:numPr>
          <w:ilvl w:val="0"/>
          <w:numId w:val="1"/>
        </w:numPr>
        <w:adjustRightInd w:val="0"/>
        <w:snapToGrid w:val="0"/>
        <w:spacing w:before="156" w:beforeLines="50" w:line="360" w:lineRule="auto"/>
        <w:rPr>
          <w:color w:val="auto"/>
          <w:sz w:val="24"/>
          <w:highlight w:val="none"/>
        </w:rPr>
      </w:pPr>
      <w:r>
        <w:rPr>
          <w:rFonts w:hint="eastAsia"/>
          <w:sz w:val="24"/>
        </w:rPr>
        <w:t>增加了术</w:t>
      </w:r>
      <w:r>
        <w:rPr>
          <w:rFonts w:hint="eastAsia"/>
          <w:color w:val="auto"/>
          <w:sz w:val="24"/>
          <w:highlight w:val="none"/>
        </w:rPr>
        <w:t>语“标准加速度计”：指标准装置中用来量值传递的标准加速度计，或其它场合用作为参考标准的加速度计；</w:t>
      </w:r>
    </w:p>
    <w:p w14:paraId="4B26CF24">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增加了术语“参考灵敏度”：指根据实际工作需要，选取某固定频率或某固定幅值作为参考点时的输出灵敏度。</w:t>
      </w:r>
    </w:p>
    <w:p w14:paraId="1D91FD1E">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增加了标准加速度计的灵敏度横向振动比要求，以及相应检定装置及检定方法的描述。</w:t>
      </w:r>
    </w:p>
    <w:p w14:paraId="4B6F6B06">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删除了原版本中“测量范围”的限制：原版本频率0.4-10kHz扩展到0.005Hz-50 kHz，最大加速度1000m/s</w:t>
      </w:r>
      <w:r>
        <w:rPr>
          <w:rFonts w:hint="eastAsia"/>
          <w:color w:val="auto"/>
          <w:sz w:val="24"/>
          <w:highlight w:val="none"/>
          <w:vertAlign w:val="superscript"/>
        </w:rPr>
        <w:t>2</w:t>
      </w:r>
      <w:r>
        <w:rPr>
          <w:rFonts w:hint="eastAsia"/>
          <w:color w:val="auto"/>
          <w:sz w:val="24"/>
          <w:highlight w:val="none"/>
        </w:rPr>
        <w:t>扩展到50000m/s</w:t>
      </w:r>
      <w:r>
        <w:rPr>
          <w:rFonts w:hint="eastAsia"/>
          <w:color w:val="auto"/>
          <w:sz w:val="24"/>
          <w:highlight w:val="none"/>
          <w:vertAlign w:val="superscript"/>
        </w:rPr>
        <w:t>2</w:t>
      </w:r>
      <w:r>
        <w:rPr>
          <w:rFonts w:hint="eastAsia"/>
          <w:color w:val="auto"/>
          <w:sz w:val="24"/>
          <w:highlight w:val="none"/>
          <w:lang w:eastAsia="zh-CN"/>
        </w:rPr>
        <w:t>。</w:t>
      </w:r>
    </w:p>
    <w:p w14:paraId="7878B3CE">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删除了原版本中“计量性能要求”中，工作加速度计的测量结果不确定度要求。仅对标准加速度计的测量结果不确定度作要求。</w:t>
      </w:r>
    </w:p>
    <w:p w14:paraId="27691442">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删除了原版本中“通用技术要求、外观要求”横向灵敏度标识及粗糙度要求。</w:t>
      </w:r>
    </w:p>
    <w:p w14:paraId="0965845C">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删除了原版本中与冲击加速度计相关的描述。</w:t>
      </w:r>
    </w:p>
    <w:p w14:paraId="716DC1CD">
      <w:pPr>
        <w:numPr>
          <w:ilvl w:val="0"/>
          <w:numId w:val="1"/>
        </w:numPr>
        <w:adjustRightInd w:val="0"/>
        <w:snapToGrid w:val="0"/>
        <w:spacing w:before="156" w:beforeLines="50" w:line="360" w:lineRule="auto"/>
        <w:rPr>
          <w:color w:val="auto"/>
          <w:sz w:val="24"/>
          <w:highlight w:val="none"/>
        </w:rPr>
      </w:pPr>
      <w:r>
        <w:rPr>
          <w:rFonts w:hint="eastAsia"/>
          <w:color w:val="auto"/>
          <w:sz w:val="24"/>
          <w:highlight w:val="none"/>
        </w:rPr>
        <w:t>明确了具体的检定合格判定依据（分频段）。</w:t>
      </w:r>
    </w:p>
    <w:p w14:paraId="425855D5">
      <w:pPr>
        <w:adjustRightInd w:val="0"/>
        <w:snapToGrid w:val="0"/>
        <w:spacing w:before="156" w:beforeLines="50" w:line="360" w:lineRule="auto"/>
        <w:ind w:firstLine="482"/>
        <w:rPr>
          <w:color w:val="auto"/>
          <w:sz w:val="24"/>
          <w:highlight w:val="none"/>
        </w:rPr>
      </w:pPr>
      <w:r>
        <w:rPr>
          <w:rFonts w:hint="eastAsia"/>
          <w:color w:val="auto"/>
          <w:sz w:val="24"/>
          <w:highlight w:val="none"/>
        </w:rPr>
        <w:t>本规程的历次版本发布情况：</w:t>
      </w:r>
    </w:p>
    <w:p w14:paraId="5906709E">
      <w:pPr>
        <w:adjustRightInd w:val="0"/>
        <w:snapToGrid w:val="0"/>
        <w:spacing w:before="156" w:beforeLines="50" w:line="360" w:lineRule="auto"/>
        <w:ind w:firstLine="720" w:firstLineChars="300"/>
        <w:rPr>
          <w:color w:val="auto"/>
          <w:sz w:val="24"/>
          <w:highlight w:val="none"/>
        </w:rPr>
      </w:pPr>
      <w:r>
        <w:rPr>
          <w:color w:val="auto"/>
          <w:sz w:val="24"/>
          <w:highlight w:val="none"/>
        </w:rPr>
        <w:t>——</w:t>
      </w:r>
      <w:r>
        <w:rPr>
          <w:rFonts w:hint="eastAsia"/>
          <w:color w:val="auto"/>
          <w:sz w:val="24"/>
          <w:highlight w:val="none"/>
        </w:rPr>
        <w:t>JJG 233</w:t>
      </w:r>
      <w:r>
        <w:rPr>
          <w:color w:val="auto"/>
          <w:sz w:val="24"/>
          <w:highlight w:val="none"/>
        </w:rPr>
        <w:t>—</w:t>
      </w:r>
      <w:r>
        <w:rPr>
          <w:rFonts w:hint="eastAsia"/>
          <w:color w:val="auto"/>
          <w:sz w:val="24"/>
          <w:highlight w:val="none"/>
        </w:rPr>
        <w:t>2008。</w:t>
      </w:r>
    </w:p>
    <w:p w14:paraId="2F585A7B">
      <w:pPr>
        <w:adjustRightInd w:val="0"/>
        <w:snapToGrid w:val="0"/>
        <w:spacing w:line="360" w:lineRule="auto"/>
        <w:ind w:firstLine="240" w:firstLineChars="100"/>
        <w:rPr>
          <w:color w:val="auto"/>
          <w:sz w:val="24"/>
          <w:highlight w:val="none"/>
        </w:rPr>
      </w:pPr>
    </w:p>
    <w:p w14:paraId="112DC55C">
      <w:pPr>
        <w:rPr>
          <w:b/>
          <w:bCs/>
          <w:color w:val="auto"/>
          <w:sz w:val="30"/>
          <w:szCs w:val="30"/>
          <w:highlight w:val="none"/>
        </w:rPr>
      </w:pPr>
      <w:r>
        <w:rPr>
          <w:rFonts w:hint="eastAsia"/>
          <w:b/>
          <w:bCs/>
          <w:color w:val="auto"/>
          <w:sz w:val="30"/>
          <w:szCs w:val="30"/>
          <w:highlight w:val="none"/>
        </w:rPr>
        <w:br w:type="page"/>
      </w:r>
    </w:p>
    <w:p w14:paraId="119C9414">
      <w:pPr>
        <w:widowControl/>
        <w:jc w:val="left"/>
        <w:rPr>
          <w:b/>
          <w:bCs/>
          <w:color w:val="auto"/>
          <w:sz w:val="30"/>
          <w:szCs w:val="30"/>
          <w:highlight w:val="none"/>
        </w:rPr>
      </w:pPr>
    </w:p>
    <w:p w14:paraId="4D26BE53">
      <w:pPr>
        <w:jc w:val="center"/>
        <w:rPr>
          <w:b/>
          <w:bCs/>
          <w:color w:val="auto"/>
          <w:sz w:val="30"/>
          <w:szCs w:val="30"/>
          <w:highlight w:val="none"/>
        </w:rPr>
      </w:pPr>
      <w:r>
        <w:rPr>
          <w:b/>
          <w:bCs/>
          <w:color w:val="auto"/>
          <w:sz w:val="30"/>
          <w:szCs w:val="30"/>
          <w:highlight w:val="none"/>
        </w:rPr>
        <w:t>压电加速度计检定规程</w:t>
      </w:r>
    </w:p>
    <w:p w14:paraId="154C3B5F">
      <w:pPr>
        <w:rPr>
          <w:b/>
          <w:bCs/>
          <w:color w:val="auto"/>
          <w:sz w:val="30"/>
          <w:szCs w:val="30"/>
          <w:highlight w:val="none"/>
        </w:rPr>
      </w:pPr>
    </w:p>
    <w:p w14:paraId="4C062D07">
      <w:pPr>
        <w:rPr>
          <w:b/>
          <w:bCs/>
          <w:color w:val="auto"/>
          <w:sz w:val="24"/>
          <w:highlight w:val="none"/>
        </w:rPr>
      </w:pPr>
      <w:r>
        <w:rPr>
          <w:b/>
          <w:bCs/>
          <w:color w:val="auto"/>
          <w:sz w:val="24"/>
          <w:highlight w:val="none"/>
        </w:rPr>
        <w:t>1</w:t>
      </w:r>
      <w:r>
        <w:rPr>
          <w:rFonts w:hint="eastAsia"/>
          <w:b/>
          <w:bCs/>
          <w:color w:val="auto"/>
          <w:sz w:val="24"/>
          <w:highlight w:val="none"/>
        </w:rPr>
        <w:t xml:space="preserve">  </w:t>
      </w:r>
      <w:r>
        <w:rPr>
          <w:b/>
          <w:bCs/>
          <w:color w:val="auto"/>
          <w:sz w:val="24"/>
          <w:highlight w:val="none"/>
        </w:rPr>
        <w:t>范围</w:t>
      </w:r>
    </w:p>
    <w:p w14:paraId="416FBC59">
      <w:pPr>
        <w:ind w:firstLine="420"/>
        <w:rPr>
          <w:color w:val="auto"/>
          <w:sz w:val="24"/>
          <w:highlight w:val="none"/>
        </w:rPr>
      </w:pPr>
    </w:p>
    <w:p w14:paraId="256FB4AC">
      <w:pPr>
        <w:spacing w:before="156" w:beforeLines="50" w:line="360" w:lineRule="auto"/>
        <w:ind w:firstLine="420"/>
        <w:rPr>
          <w:color w:val="auto"/>
          <w:sz w:val="24"/>
          <w:highlight w:val="none"/>
        </w:rPr>
      </w:pPr>
      <w:r>
        <w:rPr>
          <w:color w:val="auto"/>
          <w:sz w:val="24"/>
          <w:highlight w:val="none"/>
        </w:rPr>
        <w:t>本规程适用于</w:t>
      </w:r>
      <w:r>
        <w:rPr>
          <w:rFonts w:hint="eastAsia"/>
          <w:color w:val="auto"/>
          <w:sz w:val="24"/>
          <w:highlight w:val="none"/>
        </w:rPr>
        <w:t>频率范围为0.005 Hz</w:t>
      </w:r>
      <w:r>
        <w:rPr>
          <w:rFonts w:ascii="Times New Roman" w:hAnsi="Times New Roman" w:cs="Times New Roman"/>
          <w:color w:val="auto"/>
          <w:sz w:val="24"/>
          <w:highlight w:val="none"/>
        </w:rPr>
        <w:t>~</w:t>
      </w:r>
      <w:r>
        <w:rPr>
          <w:rFonts w:hint="eastAsia"/>
          <w:color w:val="auto"/>
          <w:sz w:val="24"/>
          <w:highlight w:val="none"/>
        </w:rPr>
        <w:t>50 kHz，加速度范围不大于50000m/s</w:t>
      </w:r>
      <w:r>
        <w:rPr>
          <w:rFonts w:hint="eastAsia"/>
          <w:color w:val="auto"/>
          <w:sz w:val="24"/>
          <w:highlight w:val="none"/>
          <w:vertAlign w:val="superscript"/>
        </w:rPr>
        <w:t>2</w:t>
      </w:r>
      <w:r>
        <w:rPr>
          <w:rFonts w:hint="eastAsia"/>
          <w:color w:val="auto"/>
          <w:sz w:val="24"/>
          <w:highlight w:val="none"/>
        </w:rPr>
        <w:t>的</w:t>
      </w:r>
      <w:r>
        <w:rPr>
          <w:rFonts w:hint="eastAsia"/>
          <w:color w:val="auto"/>
          <w:sz w:val="24"/>
          <w:highlight w:val="none"/>
          <w:lang w:val="en-US" w:eastAsia="zh-CN"/>
        </w:rPr>
        <w:t>各类</w:t>
      </w:r>
      <w:r>
        <w:rPr>
          <w:color w:val="auto"/>
          <w:sz w:val="24"/>
          <w:highlight w:val="none"/>
        </w:rPr>
        <w:t>加速度计的首次检定、后续检定和使用中检</w:t>
      </w:r>
      <w:r>
        <w:rPr>
          <w:rFonts w:hint="eastAsia"/>
          <w:color w:val="auto"/>
          <w:sz w:val="24"/>
          <w:highlight w:val="none"/>
        </w:rPr>
        <w:t>查</w:t>
      </w:r>
      <w:r>
        <w:rPr>
          <w:color w:val="auto"/>
          <w:sz w:val="24"/>
          <w:highlight w:val="none"/>
        </w:rPr>
        <w:t>。</w:t>
      </w:r>
    </w:p>
    <w:p w14:paraId="1D321C8B">
      <w:pPr>
        <w:rPr>
          <w:color w:val="auto"/>
          <w:sz w:val="24"/>
          <w:highlight w:val="none"/>
        </w:rPr>
      </w:pPr>
    </w:p>
    <w:p w14:paraId="28A8B31C">
      <w:pPr>
        <w:rPr>
          <w:b/>
          <w:bCs/>
          <w:color w:val="auto"/>
          <w:sz w:val="24"/>
          <w:highlight w:val="none"/>
        </w:rPr>
      </w:pPr>
      <w:r>
        <w:rPr>
          <w:b/>
          <w:bCs/>
          <w:color w:val="auto"/>
          <w:sz w:val="24"/>
          <w:highlight w:val="none"/>
        </w:rPr>
        <w:t>2</w:t>
      </w:r>
      <w:r>
        <w:rPr>
          <w:rFonts w:hint="eastAsia"/>
          <w:b/>
          <w:bCs/>
          <w:color w:val="auto"/>
          <w:sz w:val="24"/>
          <w:highlight w:val="none"/>
        </w:rPr>
        <w:t xml:space="preserve">  </w:t>
      </w:r>
      <w:r>
        <w:rPr>
          <w:b/>
          <w:bCs/>
          <w:color w:val="auto"/>
          <w:sz w:val="24"/>
          <w:highlight w:val="none"/>
        </w:rPr>
        <w:t>引用文</w:t>
      </w:r>
      <w:r>
        <w:rPr>
          <w:rFonts w:hint="eastAsia"/>
          <w:b/>
          <w:bCs/>
          <w:color w:val="auto"/>
          <w:sz w:val="24"/>
          <w:highlight w:val="none"/>
        </w:rPr>
        <w:t>件</w:t>
      </w:r>
    </w:p>
    <w:p w14:paraId="47BAE65E">
      <w:pPr>
        <w:ind w:firstLine="420"/>
        <w:rPr>
          <w:color w:val="auto"/>
          <w:sz w:val="24"/>
          <w:highlight w:val="none"/>
        </w:rPr>
      </w:pPr>
    </w:p>
    <w:p w14:paraId="137BFC3F">
      <w:pPr>
        <w:spacing w:before="156" w:beforeLines="50" w:line="360" w:lineRule="auto"/>
        <w:ind w:firstLine="420"/>
        <w:rPr>
          <w:color w:val="auto"/>
          <w:sz w:val="24"/>
          <w:highlight w:val="none"/>
        </w:rPr>
      </w:pPr>
      <w:r>
        <w:rPr>
          <w:color w:val="auto"/>
          <w:sz w:val="24"/>
          <w:highlight w:val="none"/>
        </w:rPr>
        <w:t>本规程引用下列文献：</w:t>
      </w:r>
    </w:p>
    <w:p w14:paraId="0582A05E">
      <w:pPr>
        <w:spacing w:before="156" w:beforeLines="50" w:line="360" w:lineRule="auto"/>
        <w:ind w:firstLine="420"/>
        <w:rPr>
          <w:color w:val="auto"/>
          <w:sz w:val="24"/>
          <w:highlight w:val="none"/>
        </w:rPr>
      </w:pPr>
      <w:r>
        <w:rPr>
          <w:color w:val="auto"/>
          <w:sz w:val="24"/>
          <w:highlight w:val="none"/>
        </w:rPr>
        <w:t>GB/T20485.1-2008/ISO16063-1:1998《振动与冲击传感器校准方法第1部分基本概念》</w:t>
      </w:r>
    </w:p>
    <w:p w14:paraId="46E05FB2">
      <w:pPr>
        <w:spacing w:before="156" w:beforeLines="50" w:line="360" w:lineRule="auto"/>
        <w:ind w:firstLine="420"/>
        <w:rPr>
          <w:color w:val="auto"/>
          <w:sz w:val="24"/>
          <w:highlight w:val="none"/>
        </w:rPr>
      </w:pPr>
      <w:r>
        <w:rPr>
          <w:color w:val="auto"/>
          <w:sz w:val="24"/>
          <w:highlight w:val="none"/>
        </w:rPr>
        <w:t>GB/T20485.11-2006/ISO16063-11:1999《振动与冲击传感器校准方法第11部分</w:t>
      </w:r>
      <w:r>
        <w:rPr>
          <w:rFonts w:hint="eastAsia"/>
          <w:color w:val="auto"/>
          <w:sz w:val="24"/>
          <w:highlight w:val="none"/>
        </w:rPr>
        <w:t xml:space="preserve"> </w:t>
      </w:r>
      <w:r>
        <w:rPr>
          <w:color w:val="auto"/>
          <w:sz w:val="24"/>
          <w:highlight w:val="none"/>
        </w:rPr>
        <w:t>激光干涉法振动绝对校准》</w:t>
      </w:r>
    </w:p>
    <w:p w14:paraId="28174C20">
      <w:pPr>
        <w:spacing w:before="156" w:beforeLines="50" w:line="360" w:lineRule="auto"/>
        <w:ind w:firstLine="420"/>
        <w:rPr>
          <w:color w:val="auto"/>
          <w:sz w:val="24"/>
          <w:highlight w:val="none"/>
        </w:rPr>
      </w:pPr>
      <w:r>
        <w:rPr>
          <w:color w:val="auto"/>
          <w:sz w:val="24"/>
          <w:highlight w:val="none"/>
        </w:rPr>
        <w:t>GB/T 20485.21-2007/ISO16063-21:2003《振动与冲击传感器校准方法第21部分 比较法振动校准》</w:t>
      </w:r>
    </w:p>
    <w:p w14:paraId="57C69EED">
      <w:pPr>
        <w:ind w:firstLine="420"/>
        <w:rPr>
          <w:color w:val="auto"/>
          <w:sz w:val="24"/>
          <w:highlight w:val="none"/>
        </w:rPr>
      </w:pPr>
      <w:r>
        <w:rPr>
          <w:color w:val="auto"/>
          <w:sz w:val="24"/>
          <w:highlight w:val="none"/>
        </w:rPr>
        <w:t>JJG 298-2015 标准振动台</w:t>
      </w:r>
      <w:r>
        <w:rPr>
          <w:rFonts w:hint="eastAsia"/>
          <w:color w:val="auto"/>
          <w:sz w:val="24"/>
          <w:highlight w:val="none"/>
        </w:rPr>
        <w:t>检定规程</w:t>
      </w:r>
    </w:p>
    <w:p w14:paraId="2B2D1F80">
      <w:pPr>
        <w:spacing w:before="156" w:beforeLines="50" w:line="360" w:lineRule="auto"/>
        <w:ind w:firstLine="420"/>
        <w:rPr>
          <w:color w:val="auto"/>
          <w:sz w:val="24"/>
          <w:highlight w:val="none"/>
        </w:rPr>
      </w:pPr>
      <w:r>
        <w:rPr>
          <w:color w:val="auto"/>
          <w:sz w:val="24"/>
          <w:highlight w:val="none"/>
        </w:rPr>
        <w:t>JJF 1156-2006 《</w:t>
      </w:r>
      <w:r>
        <w:rPr>
          <w:rFonts w:hint="eastAsia"/>
          <w:color w:val="auto"/>
          <w:sz w:val="24"/>
          <w:highlight w:val="none"/>
        </w:rPr>
        <w:t>振动、冲击、转速计量术语及定义</w:t>
      </w:r>
      <w:r>
        <w:rPr>
          <w:color w:val="auto"/>
          <w:sz w:val="24"/>
          <w:highlight w:val="none"/>
        </w:rPr>
        <w:t>》</w:t>
      </w:r>
    </w:p>
    <w:p w14:paraId="37639D86">
      <w:pPr>
        <w:spacing w:before="156" w:beforeLines="50" w:line="360" w:lineRule="auto"/>
        <w:ind w:firstLine="420"/>
        <w:rPr>
          <w:color w:val="auto"/>
          <w:sz w:val="24"/>
          <w:highlight w:val="none"/>
        </w:rPr>
      </w:pPr>
      <w:r>
        <w:rPr>
          <w:color w:val="auto"/>
          <w:sz w:val="24"/>
          <w:highlight w:val="none"/>
        </w:rPr>
        <w:t>使用本规程时应注意使用上述引用文献的现行有效版本。</w:t>
      </w:r>
    </w:p>
    <w:p w14:paraId="65DC5877">
      <w:pPr>
        <w:pStyle w:val="2"/>
        <w:spacing w:before="156" w:after="156"/>
        <w:rPr>
          <w:color w:val="auto"/>
          <w:highlight w:val="none"/>
        </w:rPr>
      </w:pPr>
      <w:bookmarkStart w:id="0" w:name="_Toc27069"/>
      <w:r>
        <w:rPr>
          <w:color w:val="auto"/>
          <w:highlight w:val="none"/>
        </w:rPr>
        <w:t>3</w:t>
      </w:r>
      <w:r>
        <w:rPr>
          <w:rFonts w:hint="eastAsia"/>
          <w:color w:val="auto"/>
          <w:highlight w:val="none"/>
        </w:rPr>
        <w:t>术语</w:t>
      </w:r>
      <w:bookmarkEnd w:id="0"/>
    </w:p>
    <w:p w14:paraId="5EB1038B">
      <w:pPr>
        <w:spacing w:before="156" w:beforeLines="50" w:line="360" w:lineRule="auto"/>
        <w:ind w:firstLine="420"/>
        <w:rPr>
          <w:color w:val="auto"/>
          <w:sz w:val="24"/>
          <w:highlight w:val="none"/>
        </w:rPr>
      </w:pPr>
      <w:bookmarkStart w:id="1" w:name="_Toc11333"/>
      <w:r>
        <w:rPr>
          <w:rFonts w:hint="eastAsia"/>
          <w:color w:val="auto"/>
          <w:sz w:val="24"/>
          <w:highlight w:val="none"/>
        </w:rPr>
        <w:t>凡是涉及</w:t>
      </w:r>
      <w:r>
        <w:rPr>
          <w:color w:val="auto"/>
          <w:sz w:val="24"/>
          <w:highlight w:val="none"/>
        </w:rPr>
        <w:t>JJF 1156-2006 《</w:t>
      </w:r>
      <w:r>
        <w:rPr>
          <w:rFonts w:hint="eastAsia"/>
          <w:color w:val="auto"/>
          <w:sz w:val="24"/>
          <w:highlight w:val="none"/>
        </w:rPr>
        <w:t>振动、冲击、转速计量术语及定义</w:t>
      </w:r>
      <w:r>
        <w:rPr>
          <w:color w:val="auto"/>
          <w:sz w:val="24"/>
          <w:highlight w:val="none"/>
        </w:rPr>
        <w:t>》</w:t>
      </w:r>
      <w:r>
        <w:rPr>
          <w:rFonts w:hint="eastAsia"/>
          <w:color w:val="auto"/>
          <w:sz w:val="24"/>
          <w:highlight w:val="none"/>
        </w:rPr>
        <w:t>中的术语，适合本规程。</w:t>
      </w:r>
    </w:p>
    <w:p w14:paraId="029F91DA">
      <w:pPr>
        <w:spacing w:before="156" w:beforeLines="50" w:line="360" w:lineRule="auto"/>
        <w:rPr>
          <w:color w:val="auto"/>
          <w:sz w:val="24"/>
          <w:highlight w:val="none"/>
        </w:rPr>
      </w:pPr>
      <w:r>
        <w:rPr>
          <w:rFonts w:hint="eastAsia"/>
          <w:color w:val="auto"/>
          <w:sz w:val="24"/>
          <w:highlight w:val="none"/>
        </w:rPr>
        <w:t>3.1标准加速度计</w:t>
      </w:r>
    </w:p>
    <w:p w14:paraId="4CBBAEA0">
      <w:pPr>
        <w:spacing w:before="156" w:beforeLines="50" w:line="360" w:lineRule="auto"/>
        <w:ind w:firstLine="480" w:firstLineChars="200"/>
        <w:rPr>
          <w:color w:val="auto"/>
          <w:highlight w:val="none"/>
        </w:rPr>
      </w:pPr>
      <w:r>
        <w:rPr>
          <w:rFonts w:hint="eastAsia" w:cs="宋体"/>
          <w:color w:val="auto"/>
          <w:sz w:val="24"/>
          <w:highlight w:val="none"/>
        </w:rPr>
        <w:t>标准加速度计是指在一定的频率或加速度范围内，具有稳定的灵敏度幅值和相位响应特性，且用于</w:t>
      </w:r>
      <w:r>
        <w:rPr>
          <w:rFonts w:hint="eastAsia" w:cs="宋体"/>
          <w:color w:val="auto"/>
          <w:sz w:val="24"/>
          <w:highlight w:val="none"/>
          <w:lang w:val="en-US" w:eastAsia="zh-CN"/>
        </w:rPr>
        <w:t>振动</w:t>
      </w:r>
      <w:r>
        <w:rPr>
          <w:rFonts w:hint="eastAsia" w:cs="宋体"/>
          <w:color w:val="auto"/>
          <w:sz w:val="24"/>
          <w:highlight w:val="none"/>
        </w:rPr>
        <w:t>标准装置中充当主标准器的加速度计。</w:t>
      </w:r>
    </w:p>
    <w:p w14:paraId="536B6D5C">
      <w:pPr>
        <w:spacing w:before="156" w:beforeLines="50" w:line="360" w:lineRule="auto"/>
        <w:rPr>
          <w:color w:val="auto"/>
          <w:sz w:val="24"/>
          <w:highlight w:val="none"/>
        </w:rPr>
      </w:pPr>
      <w:r>
        <w:rPr>
          <w:rFonts w:hint="eastAsia"/>
          <w:color w:val="auto"/>
          <w:sz w:val="24"/>
          <w:highlight w:val="none"/>
        </w:rPr>
        <w:t>3.2参考灵敏度</w:t>
      </w:r>
      <w:bookmarkEnd w:id="1"/>
    </w:p>
    <w:p w14:paraId="450D95D7">
      <w:pPr>
        <w:spacing w:before="156" w:beforeLines="50" w:line="360" w:lineRule="auto"/>
        <w:ind w:firstLine="480" w:firstLineChars="200"/>
        <w:rPr>
          <w:rFonts w:cs="宋体"/>
          <w:color w:val="auto"/>
          <w:sz w:val="24"/>
          <w:highlight w:val="none"/>
        </w:rPr>
      </w:pPr>
      <w:r>
        <w:rPr>
          <w:rFonts w:hint="eastAsia" w:cs="宋体"/>
          <w:color w:val="auto"/>
          <w:sz w:val="24"/>
          <w:highlight w:val="none"/>
        </w:rPr>
        <w:t>参考灵敏度是指在一定的频率或幅值范围内，选取固定的频率或加速度作为参考点，加速度计在该参考点的输出灵敏度。</w:t>
      </w:r>
    </w:p>
    <w:p w14:paraId="0A04B0B5">
      <w:pPr>
        <w:pStyle w:val="2"/>
        <w:spacing w:before="156" w:after="156"/>
        <w:rPr>
          <w:color w:val="auto"/>
          <w:highlight w:val="none"/>
        </w:rPr>
      </w:pPr>
      <w:bookmarkStart w:id="2" w:name="_Toc21787"/>
      <w:r>
        <w:rPr>
          <w:rFonts w:hint="eastAsia"/>
          <w:color w:val="auto"/>
          <w:highlight w:val="none"/>
        </w:rPr>
        <w:t>4概述</w:t>
      </w:r>
      <w:bookmarkEnd w:id="2"/>
    </w:p>
    <w:p w14:paraId="104F3B21">
      <w:pPr>
        <w:pStyle w:val="12"/>
        <w:spacing w:line="360" w:lineRule="auto"/>
        <w:ind w:right="-1" w:firstLine="480"/>
        <w:rPr>
          <w:color w:val="auto"/>
          <w:sz w:val="24"/>
          <w:highlight w:val="none"/>
        </w:rPr>
      </w:pPr>
      <w:r>
        <w:rPr>
          <w:color w:val="auto"/>
          <w:sz w:val="24"/>
          <w:highlight w:val="none"/>
        </w:rPr>
        <w:t>加速度计</w:t>
      </w:r>
      <w:r>
        <w:rPr>
          <w:rFonts w:hint="eastAsia"/>
          <w:color w:val="auto"/>
          <w:sz w:val="24"/>
          <w:highlight w:val="none"/>
        </w:rPr>
        <w:t>有</w:t>
      </w:r>
      <w:r>
        <w:rPr>
          <w:color w:val="auto"/>
          <w:sz w:val="24"/>
          <w:highlight w:val="none"/>
        </w:rPr>
        <w:t>压电式、压阻式、变电容式和MEMS等不同</w:t>
      </w:r>
      <w:r>
        <w:rPr>
          <w:rFonts w:hint="eastAsia"/>
          <w:color w:val="auto"/>
          <w:sz w:val="24"/>
          <w:highlight w:val="none"/>
        </w:rPr>
        <w:t>的产生</w:t>
      </w:r>
      <w:r>
        <w:rPr>
          <w:color w:val="auto"/>
          <w:sz w:val="24"/>
          <w:highlight w:val="none"/>
        </w:rPr>
        <w:t>原理</w:t>
      </w:r>
      <w:r>
        <w:rPr>
          <w:rFonts w:hint="eastAsia"/>
          <w:color w:val="auto"/>
          <w:sz w:val="24"/>
          <w:highlight w:val="none"/>
          <w:lang w:eastAsia="zh-CN"/>
        </w:rPr>
        <w:t>，</w:t>
      </w:r>
      <w:r>
        <w:rPr>
          <w:rFonts w:hint="eastAsia"/>
          <w:color w:val="auto"/>
          <w:sz w:val="24"/>
          <w:highlight w:val="none"/>
        </w:rPr>
        <w:t>其</w:t>
      </w:r>
      <w:r>
        <w:rPr>
          <w:color w:val="auto"/>
          <w:sz w:val="24"/>
          <w:highlight w:val="none"/>
        </w:rPr>
        <w:t>作用是将感受到的加速度机械信号转化为电信号</w:t>
      </w:r>
      <w:r>
        <w:rPr>
          <w:rFonts w:hint="eastAsia"/>
          <w:color w:val="auto"/>
          <w:sz w:val="24"/>
          <w:highlight w:val="none"/>
          <w:lang w:eastAsia="zh-CN"/>
        </w:rPr>
        <w:t>，</w:t>
      </w:r>
      <w:r>
        <w:rPr>
          <w:color w:val="auto"/>
          <w:sz w:val="24"/>
          <w:szCs w:val="24"/>
          <w:highlight w:val="none"/>
        </w:rPr>
        <w:t>通常与适调仪（如电荷放大器）</w:t>
      </w:r>
      <w:r>
        <w:rPr>
          <w:rFonts w:hint="eastAsia"/>
          <w:color w:val="auto"/>
          <w:sz w:val="24"/>
          <w:szCs w:val="24"/>
          <w:highlight w:val="none"/>
          <w:lang w:val="en-US" w:eastAsia="zh-CN"/>
        </w:rPr>
        <w:t>搭配使用（也可以</w:t>
      </w:r>
      <w:r>
        <w:rPr>
          <w:color w:val="auto"/>
          <w:sz w:val="24"/>
          <w:szCs w:val="24"/>
          <w:highlight w:val="none"/>
        </w:rPr>
        <w:t>内置放大电路、电荷</w:t>
      </w:r>
      <w:r>
        <w:rPr>
          <w:rFonts w:hint="eastAsia"/>
          <w:color w:val="auto"/>
          <w:sz w:val="24"/>
          <w:szCs w:val="24"/>
          <w:highlight w:val="none"/>
        </w:rPr>
        <w:t>-</w:t>
      </w:r>
      <w:r>
        <w:rPr>
          <w:color w:val="auto"/>
          <w:sz w:val="24"/>
          <w:szCs w:val="24"/>
          <w:highlight w:val="none"/>
        </w:rPr>
        <w:t>电压转换器等</w:t>
      </w:r>
      <w:r>
        <w:rPr>
          <w:rFonts w:hint="eastAsia"/>
          <w:color w:val="auto"/>
          <w:sz w:val="24"/>
          <w:szCs w:val="24"/>
          <w:highlight w:val="none"/>
          <w:lang w:eastAsia="zh-CN"/>
        </w:rPr>
        <w:t>）</w:t>
      </w:r>
      <w:r>
        <w:rPr>
          <w:color w:val="auto"/>
          <w:sz w:val="24"/>
          <w:szCs w:val="24"/>
          <w:highlight w:val="none"/>
        </w:rPr>
        <w:t>，</w:t>
      </w:r>
      <w:r>
        <w:rPr>
          <w:rFonts w:hint="eastAsia"/>
          <w:color w:val="auto"/>
          <w:sz w:val="24"/>
          <w:szCs w:val="24"/>
          <w:highlight w:val="none"/>
          <w:lang w:val="en-US" w:eastAsia="zh-CN"/>
        </w:rPr>
        <w:t>常</w:t>
      </w:r>
      <w:r>
        <w:rPr>
          <w:color w:val="auto"/>
          <w:sz w:val="24"/>
          <w:szCs w:val="24"/>
          <w:highlight w:val="none"/>
        </w:rPr>
        <w:t>用于</w:t>
      </w:r>
      <w:r>
        <w:rPr>
          <w:color w:val="auto"/>
          <w:sz w:val="24"/>
          <w:highlight w:val="none"/>
        </w:rPr>
        <w:t>国防、汽车、消费电子、地质灾害监测等国民生产的各领域的振动和冲击测</w:t>
      </w:r>
      <w:r>
        <w:rPr>
          <w:rFonts w:hint="eastAsia"/>
          <w:color w:val="auto"/>
          <w:sz w:val="24"/>
          <w:highlight w:val="none"/>
          <w:lang w:val="en-US" w:eastAsia="zh-CN"/>
        </w:rPr>
        <w:t>量</w:t>
      </w:r>
      <w:r>
        <w:rPr>
          <w:color w:val="auto"/>
          <w:sz w:val="24"/>
          <w:highlight w:val="none"/>
        </w:rPr>
        <w:t>。</w:t>
      </w:r>
    </w:p>
    <w:p w14:paraId="1F755572">
      <w:pPr>
        <w:spacing w:before="156" w:beforeLines="50" w:line="360" w:lineRule="auto"/>
        <w:ind w:firstLine="420"/>
        <w:rPr>
          <w:color w:val="auto"/>
          <w:sz w:val="24"/>
          <w:highlight w:val="none"/>
        </w:rPr>
      </w:pPr>
      <w:r>
        <w:rPr>
          <w:rFonts w:hint="eastAsia"/>
          <w:color w:val="auto"/>
          <w:sz w:val="24"/>
          <w:highlight w:val="none"/>
        </w:rPr>
        <w:t>标准</w:t>
      </w:r>
      <w:r>
        <w:rPr>
          <w:color w:val="auto"/>
          <w:sz w:val="24"/>
          <w:highlight w:val="none"/>
        </w:rPr>
        <w:t>加速度计必须经过绝对法检定，作为比较法检定</w:t>
      </w:r>
      <w:r>
        <w:rPr>
          <w:rFonts w:hint="eastAsia"/>
          <w:color w:val="auto"/>
          <w:sz w:val="24"/>
          <w:highlight w:val="none"/>
        </w:rPr>
        <w:t>工作加速度计的传递标准（装置的主标准器）。其它工作加速度计可以</w:t>
      </w:r>
      <w:r>
        <w:rPr>
          <w:rFonts w:hint="eastAsia"/>
          <w:color w:val="auto"/>
          <w:sz w:val="24"/>
          <w:highlight w:val="none"/>
          <w:lang w:val="en-US" w:eastAsia="zh-CN"/>
        </w:rPr>
        <w:t>选择</w:t>
      </w:r>
      <w:r>
        <w:rPr>
          <w:rFonts w:hint="eastAsia"/>
          <w:color w:val="auto"/>
          <w:sz w:val="24"/>
          <w:highlight w:val="none"/>
        </w:rPr>
        <w:t>绝对法检定，也可以</w:t>
      </w:r>
      <w:r>
        <w:rPr>
          <w:rFonts w:hint="eastAsia"/>
          <w:color w:val="auto"/>
          <w:sz w:val="24"/>
          <w:highlight w:val="none"/>
          <w:lang w:val="en-US" w:eastAsia="zh-CN"/>
        </w:rPr>
        <w:t>选择</w:t>
      </w:r>
      <w:r>
        <w:rPr>
          <w:rFonts w:hint="eastAsia"/>
          <w:color w:val="auto"/>
          <w:sz w:val="24"/>
          <w:highlight w:val="none"/>
        </w:rPr>
        <w:t>比较法检定。</w:t>
      </w:r>
    </w:p>
    <w:p w14:paraId="187FEAA2">
      <w:pPr>
        <w:rPr>
          <w:color w:val="auto"/>
          <w:highlight w:val="none"/>
        </w:rPr>
      </w:pPr>
    </w:p>
    <w:p w14:paraId="10F4EE11">
      <w:pPr>
        <w:rPr>
          <w:b/>
          <w:bCs/>
          <w:color w:val="auto"/>
          <w:highlight w:val="none"/>
        </w:rPr>
      </w:pPr>
      <w:r>
        <w:rPr>
          <w:rFonts w:hint="eastAsia"/>
          <w:b/>
          <w:bCs/>
          <w:color w:val="auto"/>
          <w:highlight w:val="none"/>
        </w:rPr>
        <w:t xml:space="preserve">5 </w:t>
      </w:r>
      <w:r>
        <w:rPr>
          <w:b/>
          <w:bCs/>
          <w:color w:val="auto"/>
          <w:highlight w:val="none"/>
        </w:rPr>
        <w:t>计量性能要求</w:t>
      </w:r>
    </w:p>
    <w:p w14:paraId="029E0A45">
      <w:pPr>
        <w:spacing w:before="156" w:beforeLines="50" w:line="360" w:lineRule="auto"/>
        <w:rPr>
          <w:color w:val="auto"/>
          <w:sz w:val="24"/>
          <w:highlight w:val="none"/>
        </w:rPr>
      </w:pPr>
      <w:r>
        <w:rPr>
          <w:rFonts w:hint="eastAsia"/>
          <w:color w:val="auto"/>
          <w:sz w:val="24"/>
          <w:highlight w:val="none"/>
        </w:rPr>
        <w:t>5.1  灵敏度的频率响应</w:t>
      </w:r>
    </w:p>
    <w:p w14:paraId="1330D91F">
      <w:pPr>
        <w:spacing w:before="156" w:beforeLines="50" w:line="360" w:lineRule="auto"/>
        <w:ind w:firstLine="480" w:firstLineChars="200"/>
        <w:rPr>
          <w:color w:val="auto"/>
          <w:sz w:val="24"/>
          <w:highlight w:val="none"/>
        </w:rPr>
      </w:pPr>
      <w:r>
        <w:rPr>
          <w:rFonts w:hint="eastAsia" w:cs="宋体"/>
          <w:color w:val="auto"/>
          <w:sz w:val="24"/>
          <w:highlight w:val="none"/>
        </w:rPr>
        <w:t>根据实际使用的加速度频率范围，</w:t>
      </w:r>
      <w:r>
        <w:rPr>
          <w:rFonts w:cs="宋体"/>
          <w:color w:val="auto"/>
          <w:sz w:val="24"/>
          <w:highlight w:val="none"/>
        </w:rPr>
        <w:t>检定</w:t>
      </w:r>
      <w:r>
        <w:rPr>
          <w:rFonts w:hint="eastAsia" w:cs="宋体"/>
          <w:color w:val="auto"/>
          <w:sz w:val="24"/>
          <w:highlight w:val="none"/>
        </w:rPr>
        <w:t>加速度计灵敏度频率响应。</w:t>
      </w:r>
      <w:r>
        <w:rPr>
          <w:rFonts w:cs="宋体"/>
          <w:color w:val="auto"/>
          <w:sz w:val="24"/>
          <w:highlight w:val="none"/>
        </w:rPr>
        <w:t>灵敏度频率响应包括</w:t>
      </w:r>
      <w:r>
        <w:rPr>
          <w:rFonts w:hint="eastAsia" w:cs="宋体"/>
          <w:color w:val="auto"/>
          <w:sz w:val="24"/>
          <w:highlight w:val="none"/>
        </w:rPr>
        <w:t>灵敏度幅频响应和灵敏度相频响应。并</w:t>
      </w:r>
      <w:r>
        <w:rPr>
          <w:rFonts w:hint="eastAsia"/>
          <w:color w:val="auto"/>
          <w:sz w:val="24"/>
          <w:highlight w:val="none"/>
        </w:rPr>
        <w:t>按表1分段给出灵敏度频率响应的工作频率范围。</w:t>
      </w:r>
    </w:p>
    <w:p w14:paraId="569AF900">
      <w:pPr>
        <w:jc w:val="center"/>
        <w:rPr>
          <w:b/>
          <w:bCs/>
          <w:color w:val="auto"/>
          <w:highlight w:val="none"/>
        </w:rPr>
      </w:pPr>
      <w:r>
        <w:rPr>
          <w:b/>
          <w:bCs/>
          <w:color w:val="auto"/>
          <w:highlight w:val="none"/>
        </w:rPr>
        <w:t>表</w:t>
      </w:r>
      <w:r>
        <w:rPr>
          <w:rFonts w:hint="eastAsia"/>
          <w:b/>
          <w:bCs/>
          <w:color w:val="auto"/>
          <w:highlight w:val="none"/>
        </w:rPr>
        <w:t xml:space="preserve">1  </w:t>
      </w:r>
      <w:r>
        <w:rPr>
          <w:b/>
          <w:bCs/>
          <w:color w:val="auto"/>
          <w:highlight w:val="none"/>
        </w:rPr>
        <w:t>灵敏度频率响应</w:t>
      </w:r>
    </w:p>
    <w:tbl>
      <w:tblPr>
        <w:tblStyle w:val="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105"/>
        <w:gridCol w:w="1529"/>
        <w:gridCol w:w="1938"/>
        <w:gridCol w:w="2044"/>
      </w:tblGrid>
      <w:tr w14:paraId="17BF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14:paraId="574FD47F">
            <w:pPr>
              <w:jc w:val="center"/>
              <w:rPr>
                <w:color w:val="auto"/>
                <w:highlight w:val="none"/>
              </w:rPr>
            </w:pPr>
            <w:r>
              <w:rPr>
                <w:color w:val="auto"/>
                <w:highlight w:val="none"/>
              </w:rPr>
              <w:t>传感器类型</w:t>
            </w:r>
          </w:p>
        </w:tc>
        <w:tc>
          <w:tcPr>
            <w:tcW w:w="5572" w:type="dxa"/>
            <w:gridSpan w:val="3"/>
          </w:tcPr>
          <w:p w14:paraId="5C74A844">
            <w:pPr>
              <w:jc w:val="center"/>
              <w:rPr>
                <w:color w:val="auto"/>
                <w:highlight w:val="none"/>
              </w:rPr>
            </w:pPr>
            <w:r>
              <w:rPr>
                <w:color w:val="auto"/>
                <w:highlight w:val="none"/>
              </w:rPr>
              <w:t>灵敏度频率响应</w:t>
            </w:r>
          </w:p>
        </w:tc>
        <w:tc>
          <w:tcPr>
            <w:tcW w:w="2044" w:type="dxa"/>
            <w:vMerge w:val="restart"/>
          </w:tcPr>
          <w:p w14:paraId="401FDD7C">
            <w:pPr>
              <w:jc w:val="center"/>
              <w:rPr>
                <w:color w:val="auto"/>
                <w:highlight w:val="none"/>
              </w:rPr>
            </w:pPr>
            <w:r>
              <w:rPr>
                <w:rFonts w:hint="eastAsia"/>
                <w:color w:val="auto"/>
                <w:highlight w:val="none"/>
              </w:rPr>
              <w:t>参考频率/Hz</w:t>
            </w:r>
          </w:p>
        </w:tc>
      </w:tr>
      <w:tr w14:paraId="5180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05246E71">
            <w:pPr>
              <w:jc w:val="center"/>
              <w:rPr>
                <w:color w:val="auto"/>
                <w:highlight w:val="none"/>
              </w:rPr>
            </w:pPr>
          </w:p>
        </w:tc>
        <w:tc>
          <w:tcPr>
            <w:tcW w:w="2105" w:type="dxa"/>
          </w:tcPr>
          <w:p w14:paraId="3CBF64DD">
            <w:pPr>
              <w:jc w:val="center"/>
              <w:rPr>
                <w:color w:val="auto"/>
                <w:highlight w:val="none"/>
              </w:rPr>
            </w:pPr>
          </w:p>
        </w:tc>
        <w:tc>
          <w:tcPr>
            <w:tcW w:w="1529" w:type="dxa"/>
          </w:tcPr>
          <w:p w14:paraId="0BD1C244">
            <w:pPr>
              <w:jc w:val="center"/>
              <w:rPr>
                <w:color w:val="auto"/>
                <w:highlight w:val="none"/>
              </w:rPr>
            </w:pPr>
            <w:r>
              <w:rPr>
                <w:color w:val="auto"/>
                <w:highlight w:val="none"/>
              </w:rPr>
              <w:t>幅值/%</w:t>
            </w:r>
          </w:p>
        </w:tc>
        <w:tc>
          <w:tcPr>
            <w:tcW w:w="1938" w:type="dxa"/>
          </w:tcPr>
          <w:p w14:paraId="7DD2A04F">
            <w:pPr>
              <w:jc w:val="center"/>
              <w:rPr>
                <w:color w:val="auto"/>
                <w:highlight w:val="none"/>
              </w:rPr>
            </w:pPr>
            <w:r>
              <w:rPr>
                <w:color w:val="auto"/>
                <w:highlight w:val="none"/>
              </w:rPr>
              <w:t>相移/（°）</w:t>
            </w:r>
          </w:p>
        </w:tc>
        <w:tc>
          <w:tcPr>
            <w:tcW w:w="2044" w:type="dxa"/>
            <w:vMerge w:val="continue"/>
          </w:tcPr>
          <w:p w14:paraId="1002DED6">
            <w:pPr>
              <w:jc w:val="center"/>
              <w:rPr>
                <w:color w:val="auto"/>
                <w:highlight w:val="none"/>
              </w:rPr>
            </w:pPr>
          </w:p>
        </w:tc>
      </w:tr>
      <w:tr w14:paraId="19C3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Align w:val="center"/>
          </w:tcPr>
          <w:p w14:paraId="7054A803">
            <w:pPr>
              <w:jc w:val="center"/>
              <w:rPr>
                <w:color w:val="auto"/>
                <w:highlight w:val="none"/>
              </w:rPr>
            </w:pPr>
            <w:r>
              <w:rPr>
                <w:rFonts w:hint="eastAsia"/>
                <w:color w:val="auto"/>
                <w:highlight w:val="none"/>
              </w:rPr>
              <w:t>标准</w:t>
            </w:r>
            <w:r>
              <w:rPr>
                <w:color w:val="auto"/>
                <w:highlight w:val="none"/>
              </w:rPr>
              <w:t>加速度计</w:t>
            </w:r>
          </w:p>
        </w:tc>
        <w:tc>
          <w:tcPr>
            <w:tcW w:w="2105" w:type="dxa"/>
          </w:tcPr>
          <w:p w14:paraId="68D1D104">
            <w:pPr>
              <w:jc w:val="center"/>
              <w:rPr>
                <w:color w:val="auto"/>
                <w:highlight w:val="none"/>
              </w:rPr>
            </w:pPr>
            <w:bookmarkStart w:id="3" w:name="OLE_LINK7"/>
            <w:r>
              <w:rPr>
                <w:rFonts w:hint="eastAsia"/>
                <w:color w:val="auto"/>
                <w:highlight w:val="none"/>
              </w:rPr>
              <w:t>（0.005-20</w:t>
            </w:r>
            <w:r>
              <w:rPr>
                <w:color w:val="auto"/>
                <w:highlight w:val="none"/>
              </w:rPr>
              <w:t>）</w:t>
            </w:r>
            <w:r>
              <w:rPr>
                <w:rFonts w:hint="eastAsia"/>
                <w:color w:val="auto"/>
                <w:highlight w:val="none"/>
              </w:rPr>
              <w:t>Hz</w:t>
            </w:r>
          </w:p>
          <w:p w14:paraId="231DD0B6">
            <w:pPr>
              <w:jc w:val="center"/>
              <w:rPr>
                <w:color w:val="auto"/>
                <w:highlight w:val="none"/>
              </w:rPr>
            </w:pPr>
            <w:r>
              <w:rPr>
                <w:rFonts w:hint="eastAsia"/>
                <w:color w:val="auto"/>
                <w:highlight w:val="none"/>
              </w:rPr>
              <w:t>（0.1-200</w:t>
            </w:r>
            <w:r>
              <w:rPr>
                <w:color w:val="auto"/>
                <w:highlight w:val="none"/>
              </w:rPr>
              <w:t>）</w:t>
            </w:r>
            <w:r>
              <w:rPr>
                <w:rFonts w:hint="eastAsia"/>
                <w:color w:val="auto"/>
                <w:highlight w:val="none"/>
              </w:rPr>
              <w:t>Hz</w:t>
            </w:r>
          </w:p>
          <w:p w14:paraId="7E5834E1">
            <w:pPr>
              <w:jc w:val="center"/>
              <w:rPr>
                <w:color w:val="auto"/>
                <w:highlight w:val="none"/>
              </w:rPr>
            </w:pPr>
            <w:r>
              <w:rPr>
                <w:rFonts w:hint="eastAsia"/>
                <w:color w:val="auto"/>
                <w:highlight w:val="none"/>
              </w:rPr>
              <w:t>（</w:t>
            </w:r>
            <w:r>
              <w:rPr>
                <w:rFonts w:hint="eastAsia"/>
                <w:color w:val="auto"/>
                <w:highlight w:val="none"/>
                <w:lang w:val="en-US" w:eastAsia="zh-CN"/>
              </w:rPr>
              <w:t>10</w:t>
            </w:r>
            <w:r>
              <w:rPr>
                <w:rFonts w:hint="eastAsia"/>
                <w:color w:val="auto"/>
                <w:highlight w:val="none"/>
              </w:rPr>
              <w:t>-2000）Hz</w:t>
            </w:r>
          </w:p>
          <w:p w14:paraId="66BF5005">
            <w:pPr>
              <w:jc w:val="center"/>
              <w:rPr>
                <w:color w:val="auto"/>
                <w:highlight w:val="none"/>
              </w:rPr>
            </w:pPr>
            <w:r>
              <w:rPr>
                <w:rFonts w:hint="eastAsia"/>
                <w:color w:val="auto"/>
                <w:highlight w:val="none"/>
              </w:rPr>
              <w:t>（10-5000</w:t>
            </w:r>
            <w:r>
              <w:rPr>
                <w:color w:val="auto"/>
                <w:highlight w:val="none"/>
              </w:rPr>
              <w:t>）</w:t>
            </w:r>
            <w:r>
              <w:rPr>
                <w:rFonts w:hint="eastAsia"/>
                <w:color w:val="auto"/>
                <w:highlight w:val="none"/>
              </w:rPr>
              <w:t>Hz</w:t>
            </w:r>
          </w:p>
          <w:p w14:paraId="78384D45">
            <w:pPr>
              <w:jc w:val="center"/>
              <w:rPr>
                <w:color w:val="auto"/>
                <w:highlight w:val="none"/>
              </w:rPr>
            </w:pPr>
            <w:r>
              <w:rPr>
                <w:rFonts w:hint="eastAsia"/>
                <w:color w:val="auto"/>
                <w:highlight w:val="none"/>
              </w:rPr>
              <w:t>（10-10000）Hz</w:t>
            </w:r>
          </w:p>
          <w:p w14:paraId="78C71DDB">
            <w:pPr>
              <w:jc w:val="center"/>
              <w:rPr>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0-20000）Hz</w:t>
            </w:r>
          </w:p>
        </w:tc>
        <w:tc>
          <w:tcPr>
            <w:tcW w:w="1529" w:type="dxa"/>
            <w:vAlign w:val="center"/>
          </w:tcPr>
          <w:p w14:paraId="651CCC1D">
            <w:pPr>
              <w:jc w:val="center"/>
              <w:rPr>
                <w:color w:val="auto"/>
                <w:highlight w:val="none"/>
              </w:rPr>
            </w:pPr>
            <w:r>
              <w:rPr>
                <w:rFonts w:hint="eastAsia"/>
                <w:color w:val="auto"/>
                <w:highlight w:val="none"/>
              </w:rPr>
              <w:t>±2</w:t>
            </w:r>
          </w:p>
          <w:p w14:paraId="537E9B5F">
            <w:pPr>
              <w:jc w:val="center"/>
              <w:rPr>
                <w:color w:val="auto"/>
                <w:highlight w:val="none"/>
              </w:rPr>
            </w:pPr>
            <w:r>
              <w:rPr>
                <w:rFonts w:hint="eastAsia"/>
                <w:color w:val="auto"/>
                <w:highlight w:val="none"/>
              </w:rPr>
              <w:t>±2</w:t>
            </w:r>
          </w:p>
          <w:p w14:paraId="607D87C4">
            <w:pPr>
              <w:jc w:val="center"/>
              <w:rPr>
                <w:color w:val="auto"/>
                <w:highlight w:val="none"/>
              </w:rPr>
            </w:pPr>
            <w:r>
              <w:rPr>
                <w:rFonts w:hint="eastAsia"/>
                <w:color w:val="auto"/>
                <w:highlight w:val="none"/>
              </w:rPr>
              <w:t>±2</w:t>
            </w:r>
          </w:p>
          <w:bookmarkEnd w:id="3"/>
          <w:p w14:paraId="2854F66B">
            <w:pPr>
              <w:jc w:val="center"/>
              <w:rPr>
                <w:color w:val="auto"/>
                <w:highlight w:val="none"/>
              </w:rPr>
            </w:pPr>
            <w:bookmarkStart w:id="4" w:name="OLE_LINK8"/>
            <w:r>
              <w:rPr>
                <w:rFonts w:hint="eastAsia" w:ascii="宋体" w:hAnsi="宋体" w:eastAsia="宋体" w:cs="宋体"/>
                <w:color w:val="auto"/>
                <w:highlight w:val="none"/>
              </w:rPr>
              <w:t>－</w:t>
            </w:r>
            <w:r>
              <w:rPr>
                <w:rFonts w:hint="eastAsia"/>
                <w:color w:val="auto"/>
                <w:highlight w:val="none"/>
                <w:lang w:val="en-US" w:eastAsia="zh-CN"/>
              </w:rPr>
              <w:t>2</w:t>
            </w:r>
            <w:r>
              <w:rPr>
                <w:rFonts w:hint="eastAsia" w:ascii="宋体" w:hAnsi="宋体" w:eastAsia="宋体" w:cs="宋体"/>
                <w:color w:val="auto"/>
                <w:highlight w:val="none"/>
                <w:lang w:val="en-US" w:eastAsia="zh-CN"/>
              </w:rPr>
              <w:t>～+</w:t>
            </w:r>
            <w:r>
              <w:rPr>
                <w:rFonts w:hint="eastAsia"/>
                <w:color w:val="auto"/>
                <w:highlight w:val="none"/>
              </w:rPr>
              <w:t>3</w:t>
            </w:r>
          </w:p>
          <w:p w14:paraId="483DE802">
            <w:pPr>
              <w:jc w:val="center"/>
              <w:rPr>
                <w:color w:val="auto"/>
                <w:highlight w:val="none"/>
              </w:rPr>
            </w:pPr>
            <w:r>
              <w:rPr>
                <w:rFonts w:hint="eastAsia" w:ascii="宋体" w:hAnsi="宋体" w:eastAsia="宋体" w:cs="宋体"/>
                <w:color w:val="auto"/>
                <w:highlight w:val="none"/>
              </w:rPr>
              <w:t>－</w:t>
            </w:r>
            <w:r>
              <w:rPr>
                <w:rFonts w:hint="eastAsia"/>
                <w:color w:val="auto"/>
                <w:highlight w:val="none"/>
                <w:lang w:val="en-US" w:eastAsia="zh-CN"/>
              </w:rPr>
              <w:t>2</w:t>
            </w:r>
            <w:r>
              <w:rPr>
                <w:rFonts w:hint="eastAsia" w:ascii="宋体" w:hAnsi="宋体" w:eastAsia="宋体" w:cs="宋体"/>
                <w:color w:val="auto"/>
                <w:highlight w:val="none"/>
                <w:lang w:val="en-US" w:eastAsia="zh-CN"/>
              </w:rPr>
              <w:t>～+</w:t>
            </w:r>
            <w:r>
              <w:rPr>
                <w:rFonts w:hint="eastAsia"/>
                <w:color w:val="auto"/>
                <w:highlight w:val="none"/>
                <w:lang w:val="en-US" w:eastAsia="zh-CN"/>
              </w:rPr>
              <w:t>10</w:t>
            </w:r>
          </w:p>
          <w:p w14:paraId="161BD0D8">
            <w:pPr>
              <w:jc w:val="center"/>
              <w:rPr>
                <w:color w:val="auto"/>
                <w:highlight w:val="none"/>
              </w:rPr>
            </w:pPr>
            <w:r>
              <w:rPr>
                <w:rFonts w:hint="eastAsia" w:ascii="宋体" w:hAnsi="宋体" w:eastAsia="宋体" w:cs="宋体"/>
                <w:color w:val="auto"/>
                <w:highlight w:val="none"/>
              </w:rPr>
              <w:t>－</w:t>
            </w:r>
            <w:r>
              <w:rPr>
                <w:rFonts w:hint="eastAsia"/>
                <w:color w:val="auto"/>
                <w:highlight w:val="none"/>
                <w:lang w:val="en-US" w:eastAsia="zh-CN"/>
              </w:rPr>
              <w:t>2</w:t>
            </w:r>
            <w:r>
              <w:rPr>
                <w:rFonts w:hint="eastAsia" w:ascii="宋体" w:hAnsi="宋体" w:eastAsia="宋体" w:cs="宋体"/>
                <w:color w:val="auto"/>
                <w:highlight w:val="none"/>
                <w:lang w:val="en-US" w:eastAsia="zh-CN"/>
              </w:rPr>
              <w:t>～+</w:t>
            </w:r>
            <w:r>
              <w:rPr>
                <w:rFonts w:hint="eastAsia"/>
                <w:color w:val="auto"/>
                <w:highlight w:val="none"/>
                <w:lang w:val="en-US" w:eastAsia="zh-CN"/>
              </w:rPr>
              <w:t>20</w:t>
            </w:r>
            <w:bookmarkEnd w:id="4"/>
          </w:p>
        </w:tc>
        <w:tc>
          <w:tcPr>
            <w:tcW w:w="1938" w:type="dxa"/>
            <w:vAlign w:val="center"/>
          </w:tcPr>
          <w:p w14:paraId="3B71F51D">
            <w:pPr>
              <w:jc w:val="center"/>
              <w:rPr>
                <w:rFonts w:hint="eastAsia" w:eastAsia="宋体"/>
                <w:color w:val="auto"/>
                <w:highlight w:val="none"/>
                <w:lang w:eastAsia="zh-CN"/>
              </w:rPr>
            </w:pPr>
            <w:bookmarkStart w:id="5" w:name="OLE_LINK5"/>
            <w:r>
              <w:rPr>
                <w:rFonts w:hint="eastAsia"/>
                <w:color w:val="auto"/>
                <w:highlight w:val="none"/>
              </w:rPr>
              <w:t>±</w:t>
            </w:r>
            <w:r>
              <w:rPr>
                <w:rFonts w:hint="eastAsia"/>
                <w:color w:val="auto"/>
                <w:highlight w:val="none"/>
                <w:lang w:val="en-US" w:eastAsia="zh-CN"/>
              </w:rPr>
              <w:t>1</w:t>
            </w:r>
          </w:p>
          <w:bookmarkEnd w:id="5"/>
          <w:p w14:paraId="5B88AAC6">
            <w:pPr>
              <w:jc w:val="center"/>
              <w:rPr>
                <w:rFonts w:hint="eastAsia" w:eastAsia="宋体"/>
                <w:color w:val="auto"/>
                <w:highlight w:val="none"/>
                <w:lang w:eastAsia="zh-CN"/>
              </w:rPr>
            </w:pPr>
            <w:r>
              <w:rPr>
                <w:rFonts w:hint="eastAsia"/>
                <w:color w:val="auto"/>
                <w:highlight w:val="none"/>
              </w:rPr>
              <w:t>±</w:t>
            </w:r>
            <w:r>
              <w:rPr>
                <w:rFonts w:hint="eastAsia"/>
                <w:color w:val="auto"/>
                <w:highlight w:val="none"/>
                <w:lang w:val="en-US" w:eastAsia="zh-CN"/>
              </w:rPr>
              <w:t>1</w:t>
            </w:r>
          </w:p>
          <w:p w14:paraId="2649ED4E">
            <w:pPr>
              <w:jc w:val="center"/>
              <w:rPr>
                <w:rFonts w:hint="eastAsia" w:eastAsia="宋体"/>
                <w:color w:val="auto"/>
                <w:highlight w:val="none"/>
                <w:lang w:eastAsia="zh-CN"/>
              </w:rPr>
            </w:pPr>
            <w:r>
              <w:rPr>
                <w:rFonts w:hint="eastAsia"/>
                <w:color w:val="auto"/>
                <w:highlight w:val="none"/>
              </w:rPr>
              <w:t>±</w:t>
            </w:r>
            <w:r>
              <w:rPr>
                <w:rFonts w:hint="eastAsia"/>
                <w:color w:val="auto"/>
                <w:highlight w:val="none"/>
                <w:lang w:val="en-US" w:eastAsia="zh-CN"/>
              </w:rPr>
              <w:t>1</w:t>
            </w:r>
          </w:p>
          <w:p w14:paraId="1FE892F0">
            <w:pPr>
              <w:jc w:val="center"/>
              <w:rPr>
                <w:rFonts w:hint="eastAsia" w:eastAsia="宋体"/>
                <w:color w:val="auto"/>
                <w:highlight w:val="none"/>
                <w:lang w:eastAsia="zh-CN"/>
              </w:rPr>
            </w:pPr>
            <w:r>
              <w:rPr>
                <w:rFonts w:hint="eastAsia"/>
                <w:color w:val="auto"/>
                <w:highlight w:val="none"/>
              </w:rPr>
              <w:t>±</w:t>
            </w:r>
            <w:r>
              <w:rPr>
                <w:rFonts w:hint="eastAsia"/>
                <w:color w:val="auto"/>
                <w:highlight w:val="none"/>
                <w:lang w:val="en-US" w:eastAsia="zh-CN"/>
              </w:rPr>
              <w:t>1</w:t>
            </w:r>
          </w:p>
          <w:p w14:paraId="37DDA549">
            <w:pPr>
              <w:jc w:val="center"/>
              <w:rPr>
                <w:rFonts w:hint="eastAsia" w:eastAsia="宋体"/>
                <w:color w:val="auto"/>
                <w:highlight w:val="none"/>
                <w:lang w:eastAsia="zh-CN"/>
              </w:rPr>
            </w:pPr>
            <w:r>
              <w:rPr>
                <w:rFonts w:hint="eastAsia"/>
                <w:color w:val="auto"/>
                <w:highlight w:val="none"/>
              </w:rPr>
              <w:t>±</w:t>
            </w:r>
            <w:r>
              <w:rPr>
                <w:rFonts w:hint="eastAsia"/>
                <w:color w:val="auto"/>
                <w:highlight w:val="none"/>
                <w:lang w:val="en-US" w:eastAsia="zh-CN"/>
              </w:rPr>
              <w:t>2</w:t>
            </w:r>
          </w:p>
          <w:p w14:paraId="031DC1C1">
            <w:pPr>
              <w:jc w:val="center"/>
              <w:rPr>
                <w:color w:val="auto"/>
                <w:highlight w:val="none"/>
              </w:rPr>
            </w:pPr>
            <w:r>
              <w:rPr>
                <w:rFonts w:hint="eastAsia"/>
                <w:color w:val="auto"/>
                <w:highlight w:val="none"/>
              </w:rPr>
              <w:t>±</w:t>
            </w:r>
            <w:r>
              <w:rPr>
                <w:rFonts w:hint="eastAsia"/>
                <w:color w:val="auto"/>
                <w:highlight w:val="none"/>
                <w:lang w:val="en-US" w:eastAsia="zh-CN"/>
              </w:rPr>
              <w:t>2</w:t>
            </w:r>
          </w:p>
        </w:tc>
        <w:tc>
          <w:tcPr>
            <w:tcW w:w="2044" w:type="dxa"/>
            <w:vAlign w:val="center"/>
          </w:tcPr>
          <w:p w14:paraId="3A925175">
            <w:pPr>
              <w:jc w:val="center"/>
              <w:rPr>
                <w:color w:val="auto"/>
                <w:highlight w:val="none"/>
              </w:rPr>
            </w:pPr>
            <w:r>
              <w:rPr>
                <w:rFonts w:hint="eastAsia"/>
                <w:color w:val="auto"/>
                <w:highlight w:val="none"/>
              </w:rPr>
              <w:t>1</w:t>
            </w:r>
          </w:p>
          <w:p w14:paraId="29B0DEF7">
            <w:pPr>
              <w:jc w:val="center"/>
              <w:rPr>
                <w:color w:val="auto"/>
                <w:highlight w:val="none"/>
              </w:rPr>
            </w:pPr>
            <w:r>
              <w:rPr>
                <w:rFonts w:hint="eastAsia"/>
                <w:color w:val="auto"/>
                <w:highlight w:val="none"/>
              </w:rPr>
              <w:t>16</w:t>
            </w:r>
          </w:p>
          <w:p w14:paraId="04A3F845">
            <w:pPr>
              <w:jc w:val="center"/>
              <w:rPr>
                <w:color w:val="auto"/>
                <w:highlight w:val="none"/>
              </w:rPr>
            </w:pPr>
            <w:r>
              <w:rPr>
                <w:rFonts w:hint="eastAsia"/>
                <w:color w:val="auto"/>
                <w:highlight w:val="none"/>
              </w:rPr>
              <w:t>160</w:t>
            </w:r>
          </w:p>
          <w:p w14:paraId="487C8B6C">
            <w:pPr>
              <w:jc w:val="center"/>
              <w:rPr>
                <w:color w:val="auto"/>
                <w:highlight w:val="none"/>
              </w:rPr>
            </w:pPr>
            <w:r>
              <w:rPr>
                <w:rFonts w:hint="eastAsia"/>
                <w:color w:val="auto"/>
                <w:highlight w:val="none"/>
              </w:rPr>
              <w:t>160</w:t>
            </w:r>
          </w:p>
          <w:p w14:paraId="49D45767">
            <w:pPr>
              <w:jc w:val="center"/>
              <w:rPr>
                <w:color w:val="auto"/>
                <w:highlight w:val="none"/>
              </w:rPr>
            </w:pPr>
            <w:r>
              <w:rPr>
                <w:rFonts w:hint="eastAsia"/>
                <w:color w:val="auto"/>
                <w:highlight w:val="none"/>
                <w:lang w:val="en-US" w:eastAsia="zh-CN"/>
              </w:rPr>
              <w:t>4000</w:t>
            </w:r>
          </w:p>
          <w:p w14:paraId="71FB9E26">
            <w:pPr>
              <w:jc w:val="center"/>
              <w:rPr>
                <w:color w:val="auto"/>
                <w:highlight w:val="none"/>
              </w:rPr>
            </w:pPr>
            <w:r>
              <w:rPr>
                <w:rFonts w:hint="eastAsia"/>
                <w:color w:val="auto"/>
                <w:highlight w:val="none"/>
              </w:rPr>
              <w:t>4000</w:t>
            </w:r>
          </w:p>
        </w:tc>
      </w:tr>
      <w:tr w14:paraId="73F4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Align w:val="center"/>
          </w:tcPr>
          <w:p w14:paraId="7EC2D122">
            <w:pPr>
              <w:jc w:val="center"/>
              <w:rPr>
                <w:color w:val="auto"/>
                <w:highlight w:val="none"/>
              </w:rPr>
            </w:pPr>
            <w:r>
              <w:rPr>
                <w:color w:val="auto"/>
                <w:highlight w:val="none"/>
              </w:rPr>
              <w:t>工作加速度计</w:t>
            </w:r>
          </w:p>
        </w:tc>
        <w:tc>
          <w:tcPr>
            <w:tcW w:w="2105" w:type="dxa"/>
          </w:tcPr>
          <w:p w14:paraId="13C74F2B">
            <w:pPr>
              <w:jc w:val="center"/>
              <w:rPr>
                <w:color w:val="auto"/>
                <w:highlight w:val="none"/>
              </w:rPr>
            </w:pPr>
            <w:r>
              <w:rPr>
                <w:rFonts w:hint="eastAsia"/>
                <w:color w:val="auto"/>
                <w:highlight w:val="none"/>
              </w:rPr>
              <w:t>（0.005-20</w:t>
            </w:r>
            <w:r>
              <w:rPr>
                <w:color w:val="auto"/>
                <w:highlight w:val="none"/>
              </w:rPr>
              <w:t>）</w:t>
            </w:r>
            <w:r>
              <w:rPr>
                <w:rFonts w:hint="eastAsia"/>
                <w:color w:val="auto"/>
                <w:highlight w:val="none"/>
              </w:rPr>
              <w:t>Hz</w:t>
            </w:r>
          </w:p>
          <w:p w14:paraId="48605AF9">
            <w:pPr>
              <w:jc w:val="center"/>
              <w:rPr>
                <w:color w:val="auto"/>
                <w:highlight w:val="none"/>
              </w:rPr>
            </w:pPr>
            <w:r>
              <w:rPr>
                <w:rFonts w:hint="eastAsia"/>
                <w:color w:val="auto"/>
                <w:highlight w:val="none"/>
              </w:rPr>
              <w:t>（0.1-200</w:t>
            </w:r>
            <w:r>
              <w:rPr>
                <w:color w:val="auto"/>
                <w:highlight w:val="none"/>
              </w:rPr>
              <w:t>）</w:t>
            </w:r>
            <w:r>
              <w:rPr>
                <w:rFonts w:hint="eastAsia"/>
                <w:color w:val="auto"/>
                <w:highlight w:val="none"/>
              </w:rPr>
              <w:t>Hz</w:t>
            </w:r>
          </w:p>
          <w:p w14:paraId="37990D99">
            <w:pPr>
              <w:jc w:val="center"/>
              <w:rPr>
                <w:color w:val="auto"/>
                <w:highlight w:val="none"/>
              </w:rPr>
            </w:pPr>
            <w:r>
              <w:rPr>
                <w:rFonts w:hint="eastAsia"/>
                <w:color w:val="auto"/>
                <w:highlight w:val="none"/>
              </w:rPr>
              <w:t>（10-2000）Hz</w:t>
            </w:r>
          </w:p>
          <w:p w14:paraId="65281241">
            <w:pPr>
              <w:jc w:val="center"/>
              <w:rPr>
                <w:color w:val="auto"/>
                <w:highlight w:val="none"/>
              </w:rPr>
            </w:pPr>
            <w:r>
              <w:rPr>
                <w:rFonts w:hint="eastAsia"/>
                <w:color w:val="auto"/>
                <w:highlight w:val="none"/>
              </w:rPr>
              <w:t>（10-5000</w:t>
            </w:r>
            <w:r>
              <w:rPr>
                <w:color w:val="auto"/>
                <w:highlight w:val="none"/>
              </w:rPr>
              <w:t>）</w:t>
            </w:r>
            <w:r>
              <w:rPr>
                <w:rFonts w:hint="eastAsia"/>
                <w:color w:val="auto"/>
                <w:highlight w:val="none"/>
              </w:rPr>
              <w:t>Hz</w:t>
            </w:r>
          </w:p>
          <w:p w14:paraId="6D988CAC">
            <w:pPr>
              <w:jc w:val="center"/>
              <w:rPr>
                <w:color w:val="auto"/>
                <w:highlight w:val="none"/>
              </w:rPr>
            </w:pPr>
            <w:r>
              <w:rPr>
                <w:rFonts w:hint="eastAsia"/>
                <w:color w:val="auto"/>
                <w:highlight w:val="none"/>
              </w:rPr>
              <w:t>（10-10000）Hz</w:t>
            </w:r>
          </w:p>
          <w:p w14:paraId="1AA34F62">
            <w:pPr>
              <w:jc w:val="center"/>
              <w:rPr>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0-20000）Hz</w:t>
            </w:r>
          </w:p>
        </w:tc>
        <w:tc>
          <w:tcPr>
            <w:tcW w:w="1529" w:type="dxa"/>
            <w:vAlign w:val="center"/>
          </w:tcPr>
          <w:p w14:paraId="2A72E2E0">
            <w:pPr>
              <w:jc w:val="center"/>
              <w:rPr>
                <w:color w:val="auto"/>
                <w:highlight w:val="none"/>
              </w:rPr>
            </w:pPr>
            <w:r>
              <w:rPr>
                <w:rFonts w:hint="eastAsia"/>
                <w:color w:val="auto"/>
                <w:highlight w:val="none"/>
              </w:rPr>
              <w:t>±10%</w:t>
            </w:r>
          </w:p>
          <w:p w14:paraId="69760C2A">
            <w:pPr>
              <w:jc w:val="center"/>
              <w:rPr>
                <w:color w:val="auto"/>
                <w:highlight w:val="none"/>
              </w:rPr>
            </w:pPr>
            <w:r>
              <w:rPr>
                <w:rFonts w:hint="eastAsia"/>
                <w:color w:val="auto"/>
                <w:highlight w:val="none"/>
              </w:rPr>
              <w:t>±10%</w:t>
            </w:r>
          </w:p>
          <w:p w14:paraId="01D2B411">
            <w:pPr>
              <w:jc w:val="center"/>
              <w:rPr>
                <w:color w:val="auto"/>
                <w:highlight w:val="none"/>
              </w:rPr>
            </w:pPr>
            <w:r>
              <w:rPr>
                <w:rFonts w:hint="eastAsia"/>
                <w:color w:val="auto"/>
                <w:highlight w:val="none"/>
              </w:rPr>
              <w:t>±10%</w:t>
            </w:r>
          </w:p>
          <w:p w14:paraId="29885B2F">
            <w:pPr>
              <w:jc w:val="center"/>
              <w:rPr>
                <w:color w:val="auto"/>
                <w:highlight w:val="none"/>
              </w:rPr>
            </w:pPr>
            <w:r>
              <w:rPr>
                <w:rFonts w:hint="eastAsia"/>
                <w:color w:val="auto"/>
                <w:highlight w:val="none"/>
              </w:rPr>
              <w:t>±10%</w:t>
            </w:r>
          </w:p>
          <w:p w14:paraId="3C1B5327">
            <w:pPr>
              <w:jc w:val="center"/>
              <w:rPr>
                <w:color w:val="auto"/>
                <w:highlight w:val="none"/>
              </w:rPr>
            </w:pPr>
            <w:r>
              <w:rPr>
                <w:rFonts w:hint="eastAsia"/>
                <w:color w:val="auto"/>
                <w:highlight w:val="none"/>
              </w:rPr>
              <w:t>±15</w:t>
            </w:r>
          </w:p>
          <w:p w14:paraId="374684A2">
            <w:pPr>
              <w:jc w:val="center"/>
              <w:rPr>
                <w:color w:val="auto"/>
                <w:highlight w:val="none"/>
              </w:rPr>
            </w:pPr>
            <w:r>
              <w:rPr>
                <w:rFonts w:hint="eastAsia"/>
                <w:color w:val="auto"/>
                <w:highlight w:val="none"/>
              </w:rPr>
              <w:t>±20</w:t>
            </w:r>
          </w:p>
        </w:tc>
        <w:tc>
          <w:tcPr>
            <w:tcW w:w="1938" w:type="dxa"/>
            <w:vAlign w:val="center"/>
          </w:tcPr>
          <w:p w14:paraId="4A4ADFA1">
            <w:pPr>
              <w:jc w:val="center"/>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（选测）</w:t>
            </w:r>
          </w:p>
        </w:tc>
        <w:tc>
          <w:tcPr>
            <w:tcW w:w="2044" w:type="dxa"/>
            <w:vAlign w:val="center"/>
          </w:tcPr>
          <w:p w14:paraId="75B7E70C">
            <w:pPr>
              <w:jc w:val="center"/>
              <w:rPr>
                <w:color w:val="auto"/>
                <w:highlight w:val="none"/>
              </w:rPr>
            </w:pPr>
            <w:r>
              <w:rPr>
                <w:rFonts w:hint="eastAsia"/>
                <w:color w:val="auto"/>
                <w:highlight w:val="none"/>
              </w:rPr>
              <w:t>1</w:t>
            </w:r>
          </w:p>
          <w:p w14:paraId="33C5FE33">
            <w:pPr>
              <w:jc w:val="center"/>
              <w:rPr>
                <w:color w:val="auto"/>
                <w:highlight w:val="none"/>
              </w:rPr>
            </w:pPr>
            <w:r>
              <w:rPr>
                <w:rFonts w:hint="eastAsia"/>
                <w:color w:val="auto"/>
                <w:highlight w:val="none"/>
              </w:rPr>
              <w:t>16</w:t>
            </w:r>
          </w:p>
          <w:p w14:paraId="32367E8A">
            <w:pPr>
              <w:jc w:val="center"/>
              <w:rPr>
                <w:color w:val="auto"/>
                <w:highlight w:val="none"/>
              </w:rPr>
            </w:pPr>
            <w:r>
              <w:rPr>
                <w:rFonts w:hint="eastAsia"/>
                <w:color w:val="auto"/>
                <w:highlight w:val="none"/>
              </w:rPr>
              <w:t>160</w:t>
            </w:r>
          </w:p>
          <w:p w14:paraId="04A5B496">
            <w:pPr>
              <w:jc w:val="center"/>
              <w:rPr>
                <w:color w:val="auto"/>
                <w:highlight w:val="none"/>
              </w:rPr>
            </w:pPr>
            <w:r>
              <w:rPr>
                <w:rFonts w:hint="eastAsia"/>
                <w:color w:val="auto"/>
                <w:highlight w:val="none"/>
              </w:rPr>
              <w:t>160</w:t>
            </w:r>
          </w:p>
          <w:p w14:paraId="479DE63D">
            <w:pPr>
              <w:jc w:val="center"/>
              <w:rPr>
                <w:color w:val="auto"/>
                <w:highlight w:val="none"/>
              </w:rPr>
            </w:pPr>
            <w:r>
              <w:rPr>
                <w:rFonts w:hint="eastAsia"/>
                <w:color w:val="auto"/>
                <w:highlight w:val="none"/>
              </w:rPr>
              <w:t>160</w:t>
            </w:r>
          </w:p>
          <w:p w14:paraId="69875796">
            <w:pPr>
              <w:jc w:val="center"/>
              <w:rPr>
                <w:color w:val="auto"/>
                <w:highlight w:val="none"/>
              </w:rPr>
            </w:pPr>
            <w:r>
              <w:rPr>
                <w:rFonts w:hint="eastAsia"/>
                <w:color w:val="auto"/>
                <w:highlight w:val="none"/>
              </w:rPr>
              <w:t>4000</w:t>
            </w:r>
          </w:p>
        </w:tc>
      </w:tr>
    </w:tbl>
    <w:p w14:paraId="5DDDFE7D">
      <w:pPr>
        <w:spacing w:line="360" w:lineRule="auto"/>
        <w:ind w:firstLine="480"/>
        <w:jc w:val="left"/>
        <w:rPr>
          <w:rFonts w:cs="宋体"/>
          <w:color w:val="auto"/>
          <w:sz w:val="18"/>
          <w:szCs w:val="18"/>
          <w:highlight w:val="none"/>
        </w:rPr>
      </w:pPr>
      <w:r>
        <w:rPr>
          <w:rFonts w:hint="eastAsia" w:cs="宋体"/>
          <w:color w:val="auto"/>
          <w:sz w:val="18"/>
          <w:szCs w:val="18"/>
          <w:highlight w:val="none"/>
        </w:rPr>
        <w:t>注1：可根据实际使用需要，选取合适频率作为参考点。推荐使用检定系统表中列出的频率参考点。</w:t>
      </w:r>
    </w:p>
    <w:p w14:paraId="15897BD2">
      <w:pPr>
        <w:spacing w:line="360" w:lineRule="auto"/>
        <w:ind w:firstLine="480"/>
        <w:jc w:val="left"/>
        <w:rPr>
          <w:rFonts w:cs="宋体"/>
          <w:color w:val="auto"/>
          <w:sz w:val="18"/>
          <w:szCs w:val="18"/>
          <w:highlight w:val="none"/>
        </w:rPr>
      </w:pPr>
      <w:r>
        <w:rPr>
          <w:rFonts w:hint="eastAsia" w:cs="宋体"/>
          <w:color w:val="auto"/>
          <w:sz w:val="18"/>
          <w:szCs w:val="18"/>
          <w:highlight w:val="none"/>
        </w:rPr>
        <w:t>注2：推荐使用检定系统表中列出的幅值参考点。</w:t>
      </w:r>
    </w:p>
    <w:p w14:paraId="782DD697">
      <w:pPr>
        <w:spacing w:before="156" w:beforeLines="50" w:line="360" w:lineRule="auto"/>
        <w:rPr>
          <w:color w:val="auto"/>
          <w:sz w:val="24"/>
          <w:highlight w:val="none"/>
        </w:rPr>
      </w:pPr>
      <w:r>
        <w:rPr>
          <w:rFonts w:hint="eastAsia"/>
          <w:color w:val="auto"/>
          <w:sz w:val="24"/>
          <w:highlight w:val="none"/>
        </w:rPr>
        <w:t>5.2灵敏度的幅值线性度</w:t>
      </w:r>
    </w:p>
    <w:p w14:paraId="34E9CCFC">
      <w:pPr>
        <w:spacing w:before="156" w:beforeLines="50" w:line="360" w:lineRule="auto"/>
        <w:ind w:firstLine="480" w:firstLineChars="200"/>
        <w:rPr>
          <w:color w:val="auto"/>
          <w:sz w:val="24"/>
          <w:highlight w:val="none"/>
        </w:rPr>
      </w:pPr>
      <w:r>
        <w:rPr>
          <w:rFonts w:hint="eastAsia"/>
          <w:color w:val="auto"/>
          <w:sz w:val="24"/>
          <w:highlight w:val="none"/>
        </w:rPr>
        <w:t>根据实际使用的加速度幅值范围，可选用振动或冲击方法检定加速度计的灵敏度幅值线性度，并按表2分段给出灵敏度幅值线性度的工作加速度范围。</w:t>
      </w:r>
    </w:p>
    <w:p w14:paraId="652CCA3C">
      <w:pPr>
        <w:jc w:val="center"/>
        <w:rPr>
          <w:b/>
          <w:bCs/>
          <w:color w:val="auto"/>
          <w:highlight w:val="none"/>
        </w:rPr>
      </w:pPr>
      <w:r>
        <w:rPr>
          <w:b/>
          <w:bCs/>
          <w:color w:val="auto"/>
          <w:highlight w:val="none"/>
        </w:rPr>
        <w:t>表</w:t>
      </w:r>
      <w:r>
        <w:rPr>
          <w:rFonts w:hint="eastAsia"/>
          <w:b/>
          <w:bCs/>
          <w:color w:val="auto"/>
          <w:highlight w:val="none"/>
        </w:rPr>
        <w:t xml:space="preserve">2  </w:t>
      </w:r>
      <w:r>
        <w:rPr>
          <w:b/>
          <w:bCs/>
          <w:color w:val="auto"/>
          <w:highlight w:val="none"/>
        </w:rPr>
        <w:t>灵敏度幅值线性度</w:t>
      </w:r>
    </w:p>
    <w:tbl>
      <w:tblPr>
        <w:tblStyle w:val="7"/>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2843"/>
        <w:gridCol w:w="2795"/>
      </w:tblGrid>
      <w:tr w14:paraId="41F2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961" w:type="dxa"/>
            <w:vMerge w:val="restart"/>
          </w:tcPr>
          <w:p w14:paraId="2F6B88C5">
            <w:pPr>
              <w:jc w:val="center"/>
              <w:rPr>
                <w:color w:val="auto"/>
                <w:highlight w:val="none"/>
              </w:rPr>
            </w:pPr>
            <w:r>
              <w:rPr>
                <w:rFonts w:hint="eastAsia"/>
                <w:color w:val="auto"/>
                <w:highlight w:val="none"/>
              </w:rPr>
              <w:t>加速度范围</w:t>
            </w:r>
          </w:p>
          <w:p w14:paraId="526A5C40">
            <w:pPr>
              <w:jc w:val="center"/>
              <w:rPr>
                <w:color w:val="auto"/>
                <w:highlight w:val="none"/>
              </w:rPr>
            </w:pPr>
            <w:r>
              <w:rPr>
                <w:rFonts w:hint="eastAsia"/>
                <w:color w:val="auto"/>
                <w:highlight w:val="none"/>
              </w:rPr>
              <w:t>（m/s</w:t>
            </w:r>
            <w:r>
              <w:rPr>
                <w:rFonts w:hint="eastAsia"/>
                <w:color w:val="auto"/>
                <w:highlight w:val="none"/>
                <w:vertAlign w:val="superscript"/>
              </w:rPr>
              <w:t>2</w:t>
            </w:r>
            <w:r>
              <w:rPr>
                <w:color w:val="auto"/>
                <w:highlight w:val="none"/>
              </w:rPr>
              <w:t>）</w:t>
            </w:r>
          </w:p>
        </w:tc>
        <w:tc>
          <w:tcPr>
            <w:tcW w:w="5638" w:type="dxa"/>
            <w:gridSpan w:val="2"/>
          </w:tcPr>
          <w:p w14:paraId="3DF9B8B0">
            <w:pPr>
              <w:jc w:val="center"/>
              <w:rPr>
                <w:color w:val="auto"/>
                <w:highlight w:val="none"/>
              </w:rPr>
            </w:pPr>
            <w:r>
              <w:rPr>
                <w:color w:val="auto"/>
                <w:highlight w:val="none"/>
              </w:rPr>
              <w:t>灵敏度幅值线性度/%</w:t>
            </w:r>
          </w:p>
        </w:tc>
      </w:tr>
      <w:tr w14:paraId="6231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61" w:type="dxa"/>
            <w:vMerge w:val="continue"/>
          </w:tcPr>
          <w:p w14:paraId="22E0A1E2">
            <w:pPr>
              <w:jc w:val="center"/>
              <w:rPr>
                <w:color w:val="auto"/>
                <w:highlight w:val="none"/>
              </w:rPr>
            </w:pPr>
          </w:p>
        </w:tc>
        <w:tc>
          <w:tcPr>
            <w:tcW w:w="2843" w:type="dxa"/>
          </w:tcPr>
          <w:p w14:paraId="1C8DE2E4">
            <w:pPr>
              <w:jc w:val="center"/>
              <w:rPr>
                <w:color w:val="auto"/>
                <w:highlight w:val="none"/>
              </w:rPr>
            </w:pPr>
            <w:r>
              <w:rPr>
                <w:rFonts w:hint="eastAsia"/>
                <w:color w:val="auto"/>
                <w:highlight w:val="none"/>
              </w:rPr>
              <w:t>标准</w:t>
            </w:r>
            <w:r>
              <w:rPr>
                <w:color w:val="auto"/>
                <w:highlight w:val="none"/>
              </w:rPr>
              <w:t>加速度计</w:t>
            </w:r>
          </w:p>
        </w:tc>
        <w:tc>
          <w:tcPr>
            <w:tcW w:w="2795" w:type="dxa"/>
          </w:tcPr>
          <w:p w14:paraId="59D2C45D">
            <w:pPr>
              <w:jc w:val="center"/>
              <w:rPr>
                <w:color w:val="auto"/>
                <w:highlight w:val="none"/>
              </w:rPr>
            </w:pPr>
            <w:r>
              <w:rPr>
                <w:color w:val="auto"/>
                <w:highlight w:val="none"/>
              </w:rPr>
              <w:t>工作加速度计</w:t>
            </w:r>
          </w:p>
        </w:tc>
      </w:tr>
      <w:tr w14:paraId="044C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61" w:type="dxa"/>
          </w:tcPr>
          <w:p w14:paraId="0C17F0EB">
            <w:pPr>
              <w:jc w:val="center"/>
              <w:rPr>
                <w:color w:val="auto"/>
                <w:highlight w:val="none"/>
              </w:rPr>
            </w:pPr>
            <w:r>
              <w:rPr>
                <w:rFonts w:hint="eastAsia" w:ascii="Arial" w:hAnsi="Arial" w:cs="Arial"/>
                <w:color w:val="auto"/>
                <w:highlight w:val="none"/>
              </w:rPr>
              <w:t>≤</w:t>
            </w:r>
            <w:r>
              <w:rPr>
                <w:rFonts w:hint="eastAsia"/>
                <w:color w:val="auto"/>
                <w:highlight w:val="none"/>
              </w:rPr>
              <w:t>200</w:t>
            </w:r>
          </w:p>
        </w:tc>
        <w:tc>
          <w:tcPr>
            <w:tcW w:w="2843" w:type="dxa"/>
          </w:tcPr>
          <w:p w14:paraId="60A64E12">
            <w:pPr>
              <w:jc w:val="center"/>
              <w:rPr>
                <w:color w:val="auto"/>
                <w:highlight w:val="none"/>
              </w:rPr>
            </w:pPr>
            <w:r>
              <w:rPr>
                <w:rFonts w:hint="eastAsia"/>
                <w:color w:val="auto"/>
                <w:highlight w:val="none"/>
              </w:rPr>
              <w:t>±1</w:t>
            </w:r>
          </w:p>
        </w:tc>
        <w:tc>
          <w:tcPr>
            <w:tcW w:w="2795" w:type="dxa"/>
          </w:tcPr>
          <w:p w14:paraId="2000C0D5">
            <w:pPr>
              <w:jc w:val="center"/>
              <w:rPr>
                <w:color w:val="auto"/>
                <w:highlight w:val="none"/>
              </w:rPr>
            </w:pPr>
            <w:r>
              <w:rPr>
                <w:rFonts w:hint="eastAsia"/>
                <w:color w:val="auto"/>
                <w:highlight w:val="none"/>
              </w:rPr>
              <w:t>±2</w:t>
            </w:r>
          </w:p>
        </w:tc>
      </w:tr>
      <w:tr w14:paraId="3896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961" w:type="dxa"/>
          </w:tcPr>
          <w:p w14:paraId="66F10F57">
            <w:pPr>
              <w:jc w:val="center"/>
              <w:rPr>
                <w:rFonts w:ascii="Arial" w:hAnsi="Arial" w:cs="Arial"/>
                <w:color w:val="auto"/>
                <w:highlight w:val="none"/>
              </w:rPr>
            </w:pPr>
            <w:r>
              <w:rPr>
                <w:rFonts w:hint="eastAsia" w:ascii="Arial" w:hAnsi="Arial" w:cs="Arial"/>
                <w:color w:val="auto"/>
                <w:highlight w:val="none"/>
              </w:rPr>
              <w:t>≤5</w:t>
            </w:r>
            <w:r>
              <w:rPr>
                <w:rFonts w:hint="eastAsia"/>
                <w:color w:val="auto"/>
                <w:highlight w:val="none"/>
              </w:rPr>
              <w:t>0000</w:t>
            </w:r>
          </w:p>
        </w:tc>
        <w:tc>
          <w:tcPr>
            <w:tcW w:w="2843" w:type="dxa"/>
          </w:tcPr>
          <w:p w14:paraId="67FEE3B0">
            <w:pPr>
              <w:jc w:val="center"/>
              <w:rPr>
                <w:color w:val="auto"/>
                <w:highlight w:val="none"/>
              </w:rPr>
            </w:pPr>
            <w:bookmarkStart w:id="6" w:name="OLE_LINK13"/>
            <w:r>
              <w:rPr>
                <w:rFonts w:hint="eastAsia"/>
                <w:color w:val="auto"/>
                <w:highlight w:val="none"/>
              </w:rPr>
              <w:t>±</w:t>
            </w:r>
            <w:bookmarkEnd w:id="6"/>
            <w:r>
              <w:rPr>
                <w:rFonts w:hint="eastAsia"/>
                <w:color w:val="auto"/>
                <w:highlight w:val="none"/>
              </w:rPr>
              <w:t>3</w:t>
            </w:r>
          </w:p>
        </w:tc>
        <w:tc>
          <w:tcPr>
            <w:tcW w:w="2795" w:type="dxa"/>
          </w:tcPr>
          <w:p w14:paraId="7C8CB280">
            <w:pPr>
              <w:jc w:val="center"/>
              <w:rPr>
                <w:color w:val="auto"/>
                <w:highlight w:val="none"/>
              </w:rPr>
            </w:pPr>
            <w:r>
              <w:rPr>
                <w:rFonts w:hint="eastAsia"/>
                <w:color w:val="auto"/>
                <w:highlight w:val="none"/>
              </w:rPr>
              <w:t>±5</w:t>
            </w:r>
          </w:p>
        </w:tc>
      </w:tr>
    </w:tbl>
    <w:p w14:paraId="06192830">
      <w:pPr>
        <w:spacing w:before="156" w:beforeLines="50" w:line="360" w:lineRule="auto"/>
        <w:rPr>
          <w:color w:val="auto"/>
          <w:sz w:val="24"/>
          <w:highlight w:val="none"/>
        </w:rPr>
      </w:pPr>
      <w:r>
        <w:rPr>
          <w:rFonts w:hint="eastAsia"/>
          <w:color w:val="auto"/>
          <w:sz w:val="24"/>
          <w:highlight w:val="none"/>
        </w:rPr>
        <w:t>5.3参考灵敏度的年稳定度（选用、仅对标准加速度计）</w:t>
      </w:r>
    </w:p>
    <w:p w14:paraId="50A8A3E0">
      <w:pPr>
        <w:spacing w:before="156" w:beforeLines="50" w:line="360" w:lineRule="auto"/>
        <w:ind w:firstLine="480" w:firstLineChars="200"/>
        <w:rPr>
          <w:color w:val="auto"/>
          <w:sz w:val="24"/>
          <w:highlight w:val="none"/>
        </w:rPr>
      </w:pPr>
      <w:r>
        <w:rPr>
          <w:rFonts w:hint="eastAsia"/>
          <w:color w:val="auto"/>
          <w:sz w:val="24"/>
          <w:highlight w:val="none"/>
        </w:rPr>
        <w:t>标准加速度计参考灵敏度幅值的年稳定度应小于0.5%。</w:t>
      </w:r>
    </w:p>
    <w:p w14:paraId="00A76D18">
      <w:pPr>
        <w:spacing w:before="156" w:beforeLines="50" w:line="360" w:lineRule="auto"/>
        <w:rPr>
          <w:color w:val="auto"/>
          <w:highlight w:val="none"/>
        </w:rPr>
      </w:pPr>
      <w:bookmarkStart w:id="7" w:name="_Toc178270825"/>
      <w:r>
        <w:rPr>
          <w:color w:val="auto"/>
          <w:sz w:val="24"/>
          <w:highlight w:val="none"/>
        </w:rPr>
        <w:t>5.</w:t>
      </w:r>
      <w:r>
        <w:rPr>
          <w:rFonts w:hint="eastAsia"/>
          <w:color w:val="auto"/>
          <w:sz w:val="24"/>
          <w:highlight w:val="none"/>
          <w:lang w:val="en-US" w:eastAsia="zh-CN"/>
        </w:rPr>
        <w:t>4</w:t>
      </w:r>
      <w:r>
        <w:rPr>
          <w:rFonts w:hint="eastAsia"/>
          <w:color w:val="auto"/>
          <w:sz w:val="24"/>
          <w:highlight w:val="none"/>
        </w:rPr>
        <w:t>参考灵敏度的横向振动</w:t>
      </w:r>
      <w:bookmarkEnd w:id="7"/>
      <w:r>
        <w:rPr>
          <w:rFonts w:hint="eastAsia"/>
          <w:color w:val="auto"/>
          <w:sz w:val="24"/>
          <w:highlight w:val="none"/>
        </w:rPr>
        <w:t>比（选用、仅对标准加速度计）</w:t>
      </w:r>
    </w:p>
    <w:p w14:paraId="2A832D06">
      <w:pPr>
        <w:spacing w:before="156" w:beforeLines="50" w:line="360" w:lineRule="auto"/>
        <w:ind w:firstLine="480" w:firstLineChars="200"/>
        <w:rPr>
          <w:color w:val="auto"/>
          <w:sz w:val="24"/>
          <w:highlight w:val="none"/>
        </w:rPr>
      </w:pPr>
      <w:r>
        <w:rPr>
          <w:color w:val="auto"/>
          <w:sz w:val="24"/>
          <w:highlight w:val="none"/>
        </w:rPr>
        <w:t>根据实际使用的</w:t>
      </w:r>
      <w:r>
        <w:rPr>
          <w:rFonts w:hint="eastAsia"/>
          <w:color w:val="auto"/>
          <w:sz w:val="24"/>
          <w:highlight w:val="none"/>
        </w:rPr>
        <w:t>频率</w:t>
      </w:r>
      <w:r>
        <w:rPr>
          <w:color w:val="auto"/>
          <w:sz w:val="24"/>
          <w:highlight w:val="none"/>
        </w:rPr>
        <w:t>范围</w:t>
      </w:r>
      <w:r>
        <w:rPr>
          <w:rFonts w:hint="eastAsia"/>
          <w:color w:val="auto"/>
          <w:sz w:val="24"/>
          <w:highlight w:val="none"/>
        </w:rPr>
        <w:t>，</w:t>
      </w:r>
      <w:r>
        <w:rPr>
          <w:color w:val="auto"/>
          <w:sz w:val="24"/>
          <w:highlight w:val="none"/>
        </w:rPr>
        <w:t>加速度计</w:t>
      </w:r>
      <w:r>
        <w:rPr>
          <w:rFonts w:hint="eastAsia"/>
          <w:color w:val="auto"/>
          <w:sz w:val="24"/>
          <w:highlight w:val="none"/>
        </w:rPr>
        <w:t>参考灵敏度的横向振动比要求见表4。</w:t>
      </w:r>
    </w:p>
    <w:p w14:paraId="6E6FEF22">
      <w:pPr>
        <w:jc w:val="center"/>
        <w:rPr>
          <w:b/>
          <w:bCs/>
          <w:color w:val="auto"/>
          <w:highlight w:val="none"/>
        </w:rPr>
      </w:pPr>
      <w:r>
        <w:rPr>
          <w:color w:val="auto"/>
          <w:highlight w:val="none"/>
        </w:rPr>
        <w:t>表</w:t>
      </w:r>
      <w:r>
        <w:rPr>
          <w:rFonts w:hint="eastAsia"/>
          <w:color w:val="auto"/>
          <w:highlight w:val="none"/>
        </w:rPr>
        <w:t>4  灵敏度横向振动比</w:t>
      </w:r>
    </w:p>
    <w:tbl>
      <w:tblPr>
        <w:tblStyle w:val="6"/>
        <w:tblW w:w="8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4070"/>
      </w:tblGrid>
      <w:tr w14:paraId="3B21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4069" w:type="dxa"/>
          </w:tcPr>
          <w:p w14:paraId="2F8B9781">
            <w:pPr>
              <w:jc w:val="center"/>
              <w:rPr>
                <w:color w:val="auto"/>
                <w:highlight w:val="none"/>
              </w:rPr>
            </w:pPr>
            <w:r>
              <w:rPr>
                <w:rFonts w:hint="eastAsia"/>
                <w:color w:val="auto"/>
                <w:highlight w:val="none"/>
              </w:rPr>
              <w:t>参考频率点（Hz)</w:t>
            </w:r>
          </w:p>
        </w:tc>
        <w:tc>
          <w:tcPr>
            <w:tcW w:w="4070" w:type="dxa"/>
          </w:tcPr>
          <w:p w14:paraId="2C99283C">
            <w:pPr>
              <w:jc w:val="center"/>
              <w:rPr>
                <w:color w:val="auto"/>
                <w:highlight w:val="none"/>
              </w:rPr>
            </w:pPr>
            <w:r>
              <w:rPr>
                <w:rFonts w:hint="eastAsia"/>
                <w:color w:val="auto"/>
                <w:highlight w:val="none"/>
              </w:rPr>
              <w:t>横向振动比</w:t>
            </w:r>
            <w:r>
              <w:rPr>
                <w:color w:val="auto"/>
                <w:highlight w:val="none"/>
              </w:rPr>
              <w:t>/%</w:t>
            </w:r>
          </w:p>
        </w:tc>
      </w:tr>
      <w:tr w14:paraId="2E9B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69" w:type="dxa"/>
          </w:tcPr>
          <w:p w14:paraId="3CA3B7FF">
            <w:pPr>
              <w:jc w:val="center"/>
              <w:rPr>
                <w:rFonts w:hint="default" w:eastAsia="宋体"/>
                <w:color w:val="auto"/>
                <w:highlight w:val="none"/>
                <w:lang w:val="en-US" w:eastAsia="zh-CN"/>
              </w:rPr>
            </w:pPr>
            <w:r>
              <w:rPr>
                <w:rFonts w:hint="eastAsia"/>
                <w:color w:val="auto"/>
                <w:highlight w:val="none"/>
              </w:rPr>
              <w:t>16或</w:t>
            </w:r>
            <w:r>
              <w:rPr>
                <w:rFonts w:hint="eastAsia"/>
                <w:color w:val="auto"/>
                <w:highlight w:val="none"/>
                <w:lang w:val="en-US" w:eastAsia="zh-CN"/>
              </w:rPr>
              <w:t>40</w:t>
            </w:r>
          </w:p>
        </w:tc>
        <w:tc>
          <w:tcPr>
            <w:tcW w:w="4070" w:type="dxa"/>
          </w:tcPr>
          <w:p w14:paraId="6D19A5EB">
            <w:pPr>
              <w:jc w:val="center"/>
              <w:rPr>
                <w:color w:val="auto"/>
                <w:highlight w:val="none"/>
              </w:rPr>
            </w:pPr>
            <w:r>
              <w:rPr>
                <w:rFonts w:hint="eastAsia"/>
                <w:color w:val="auto"/>
                <w:highlight w:val="none"/>
              </w:rPr>
              <w:t>2</w:t>
            </w:r>
          </w:p>
        </w:tc>
      </w:tr>
    </w:tbl>
    <w:p w14:paraId="42E225D9">
      <w:pPr>
        <w:spacing w:line="400" w:lineRule="exact"/>
        <w:ind w:firstLine="480" w:firstLineChars="200"/>
        <w:rPr>
          <w:color w:val="auto"/>
          <w:sz w:val="24"/>
          <w:highlight w:val="none"/>
        </w:rPr>
      </w:pPr>
    </w:p>
    <w:p w14:paraId="5867B031">
      <w:pPr>
        <w:spacing w:before="156" w:beforeLines="50" w:line="360" w:lineRule="auto"/>
        <w:rPr>
          <w:color w:val="auto"/>
          <w:sz w:val="24"/>
          <w:highlight w:val="none"/>
        </w:rPr>
      </w:pPr>
      <w:r>
        <w:rPr>
          <w:rFonts w:hint="eastAsia"/>
          <w:color w:val="auto"/>
          <w:sz w:val="24"/>
          <w:highlight w:val="none"/>
        </w:rPr>
        <w:t>5.</w:t>
      </w:r>
      <w:r>
        <w:rPr>
          <w:rFonts w:hint="eastAsia"/>
          <w:color w:val="auto"/>
          <w:sz w:val="24"/>
          <w:highlight w:val="none"/>
          <w:lang w:val="en-US" w:eastAsia="zh-CN"/>
        </w:rPr>
        <w:t>5</w:t>
      </w:r>
      <w:r>
        <w:rPr>
          <w:rFonts w:hint="eastAsia"/>
          <w:color w:val="auto"/>
          <w:sz w:val="24"/>
          <w:highlight w:val="none"/>
        </w:rPr>
        <w:t>其他性能（选用）</w:t>
      </w:r>
    </w:p>
    <w:p w14:paraId="443142D6">
      <w:pPr>
        <w:spacing w:before="156" w:beforeLines="50" w:line="360" w:lineRule="auto"/>
        <w:ind w:firstLine="480" w:firstLineChars="200"/>
        <w:rPr>
          <w:color w:val="auto"/>
          <w:sz w:val="24"/>
          <w:highlight w:val="none"/>
        </w:rPr>
      </w:pPr>
      <w:r>
        <w:rPr>
          <w:rFonts w:hint="eastAsia"/>
          <w:color w:val="auto"/>
          <w:sz w:val="24"/>
          <w:highlight w:val="none"/>
        </w:rPr>
        <w:t>加速度计的其他性能（包括安装谐振频率、声灵敏度、磁灵敏度、基座应变灵敏度、安装力矩灵敏度、瞬变温度灵敏度、温度响应、横向振动灵敏度比），应满足生产厂家的出厂指标。</w:t>
      </w:r>
    </w:p>
    <w:p w14:paraId="212CBFCF">
      <w:pPr>
        <w:spacing w:before="156" w:beforeLines="50" w:line="360" w:lineRule="auto"/>
        <w:rPr>
          <w:b/>
          <w:bCs/>
          <w:color w:val="auto"/>
          <w:sz w:val="24"/>
          <w:highlight w:val="none"/>
        </w:rPr>
      </w:pPr>
      <w:r>
        <w:rPr>
          <w:rFonts w:hint="eastAsia"/>
          <w:b/>
          <w:bCs/>
          <w:color w:val="auto"/>
          <w:sz w:val="24"/>
          <w:highlight w:val="none"/>
        </w:rPr>
        <w:t>6 通用技术要求</w:t>
      </w:r>
    </w:p>
    <w:p w14:paraId="3ABFA49D">
      <w:pPr>
        <w:spacing w:before="156" w:beforeLines="50" w:line="360" w:lineRule="auto"/>
        <w:rPr>
          <w:color w:val="auto"/>
          <w:sz w:val="24"/>
          <w:highlight w:val="none"/>
        </w:rPr>
      </w:pPr>
      <w:r>
        <w:rPr>
          <w:rFonts w:hint="eastAsia"/>
          <w:color w:val="auto"/>
          <w:sz w:val="24"/>
          <w:highlight w:val="none"/>
        </w:rPr>
        <w:t>6.1  外观要求</w:t>
      </w:r>
    </w:p>
    <w:p w14:paraId="5D3061AE">
      <w:pPr>
        <w:spacing w:before="156" w:beforeLines="50" w:line="360" w:lineRule="auto"/>
        <w:ind w:firstLine="480" w:firstLineChars="200"/>
        <w:rPr>
          <w:color w:val="auto"/>
          <w:sz w:val="24"/>
          <w:highlight w:val="none"/>
        </w:rPr>
      </w:pPr>
      <w:r>
        <w:rPr>
          <w:rFonts w:hint="eastAsia"/>
          <w:color w:val="auto"/>
          <w:sz w:val="24"/>
          <w:highlight w:val="none"/>
        </w:rPr>
        <w:t xml:space="preserve">6.1.1  加速度计上应标出型号、编号、商标等唯一性标识。 </w:t>
      </w:r>
    </w:p>
    <w:p w14:paraId="7434E5DC">
      <w:pPr>
        <w:spacing w:before="156" w:beforeLines="50" w:line="360" w:lineRule="auto"/>
        <w:ind w:firstLine="480" w:firstLineChars="200"/>
        <w:rPr>
          <w:color w:val="auto"/>
          <w:sz w:val="24"/>
          <w:highlight w:val="none"/>
        </w:rPr>
      </w:pPr>
      <w:r>
        <w:rPr>
          <w:rFonts w:hint="eastAsia"/>
          <w:color w:val="auto"/>
          <w:sz w:val="24"/>
          <w:highlight w:val="none"/>
        </w:rPr>
        <w:t xml:space="preserve">6.1.2  加速度计壳体应无明显的机械损伤及影响安装的表面毛刺及其他瑕疵。 </w:t>
      </w:r>
    </w:p>
    <w:p w14:paraId="4955449E">
      <w:pPr>
        <w:spacing w:before="156" w:beforeLines="50" w:line="360" w:lineRule="auto"/>
        <w:rPr>
          <w:color w:val="auto"/>
          <w:sz w:val="24"/>
          <w:highlight w:val="none"/>
        </w:rPr>
      </w:pPr>
      <w:r>
        <w:rPr>
          <w:rFonts w:hint="eastAsia"/>
          <w:color w:val="auto"/>
          <w:sz w:val="24"/>
          <w:highlight w:val="none"/>
        </w:rPr>
        <w:t xml:space="preserve">6.2  其他技术要求               </w:t>
      </w:r>
    </w:p>
    <w:p w14:paraId="012531FD">
      <w:pPr>
        <w:spacing w:before="156" w:beforeLines="50" w:line="360" w:lineRule="auto"/>
        <w:ind w:firstLine="480" w:firstLineChars="200"/>
        <w:rPr>
          <w:color w:val="auto"/>
          <w:sz w:val="24"/>
          <w:highlight w:val="none"/>
        </w:rPr>
      </w:pPr>
      <w:r>
        <w:rPr>
          <w:rFonts w:hint="eastAsia"/>
          <w:color w:val="auto"/>
          <w:sz w:val="24"/>
          <w:highlight w:val="none"/>
        </w:rPr>
        <w:t>加速度计制造厂应给出其量程范围、工作温度范围、绝缘电阻、电容、推荐安装力矩、质量、壳体材料、安装方式、外形尺寸和结构形式等。</w:t>
      </w:r>
    </w:p>
    <w:p w14:paraId="4B7B5252">
      <w:pPr>
        <w:spacing w:before="156" w:beforeLines="50" w:line="360" w:lineRule="auto"/>
        <w:rPr>
          <w:b/>
          <w:bCs/>
          <w:color w:val="auto"/>
          <w:sz w:val="24"/>
          <w:highlight w:val="none"/>
        </w:rPr>
      </w:pPr>
      <w:r>
        <w:rPr>
          <w:rFonts w:hint="eastAsia"/>
          <w:b/>
          <w:bCs/>
          <w:color w:val="auto"/>
          <w:sz w:val="24"/>
          <w:highlight w:val="none"/>
        </w:rPr>
        <w:t>7  计量器具控制</w:t>
      </w:r>
    </w:p>
    <w:p w14:paraId="2D67CC43">
      <w:pPr>
        <w:spacing w:before="156" w:beforeLines="50" w:line="360" w:lineRule="auto"/>
        <w:ind w:firstLine="480" w:firstLineChars="200"/>
        <w:rPr>
          <w:color w:val="auto"/>
          <w:sz w:val="24"/>
          <w:highlight w:val="none"/>
        </w:rPr>
      </w:pPr>
      <w:r>
        <w:rPr>
          <w:rFonts w:hint="eastAsia"/>
          <w:color w:val="auto"/>
          <w:sz w:val="24"/>
          <w:highlight w:val="none"/>
        </w:rPr>
        <w:t>计量器具控制包括：首次检定、后续检定和使用中检查。</w:t>
      </w:r>
    </w:p>
    <w:p w14:paraId="0B331B49">
      <w:pPr>
        <w:spacing w:before="156" w:beforeLines="50" w:line="360" w:lineRule="auto"/>
        <w:rPr>
          <w:color w:val="auto"/>
          <w:sz w:val="24"/>
          <w:highlight w:val="none"/>
        </w:rPr>
      </w:pPr>
      <w:r>
        <w:rPr>
          <w:rFonts w:hint="eastAsia"/>
          <w:color w:val="auto"/>
          <w:sz w:val="24"/>
          <w:highlight w:val="none"/>
        </w:rPr>
        <w:t>7.1  检定条件</w:t>
      </w:r>
    </w:p>
    <w:p w14:paraId="6C7D29B0">
      <w:pPr>
        <w:spacing w:before="156" w:beforeLines="50" w:line="360" w:lineRule="auto"/>
        <w:ind w:firstLine="0" w:firstLineChars="0"/>
        <w:rPr>
          <w:color w:val="auto"/>
          <w:sz w:val="24"/>
          <w:highlight w:val="none"/>
        </w:rPr>
      </w:pPr>
      <w:r>
        <w:rPr>
          <w:rFonts w:hint="eastAsia"/>
          <w:color w:val="auto"/>
          <w:sz w:val="24"/>
          <w:highlight w:val="none"/>
        </w:rPr>
        <w:t>7.1.1  检定环境条件</w:t>
      </w:r>
    </w:p>
    <w:p w14:paraId="6D9E9C25">
      <w:pPr>
        <w:spacing w:before="156" w:beforeLines="50" w:line="360" w:lineRule="auto"/>
        <w:ind w:firstLine="480" w:firstLineChars="200"/>
        <w:rPr>
          <w:color w:val="auto"/>
          <w:sz w:val="24"/>
          <w:highlight w:val="none"/>
        </w:rPr>
      </w:pPr>
      <w:r>
        <w:rPr>
          <w:rFonts w:hint="eastAsia"/>
          <w:color w:val="auto"/>
          <w:sz w:val="24"/>
          <w:highlight w:val="none"/>
        </w:rPr>
        <w:t>7.1.1.1  温度：采用绝对法为（23±3)℃，采用比较法为（23±5)；相对湿度：不大于75%。</w:t>
      </w:r>
    </w:p>
    <w:p w14:paraId="2107C30C">
      <w:pPr>
        <w:spacing w:before="156" w:beforeLines="50" w:line="360" w:lineRule="auto"/>
        <w:ind w:firstLine="480" w:firstLineChars="200"/>
        <w:rPr>
          <w:color w:val="auto"/>
          <w:sz w:val="24"/>
          <w:highlight w:val="none"/>
        </w:rPr>
      </w:pPr>
      <w:r>
        <w:rPr>
          <w:rFonts w:hint="eastAsia"/>
          <w:color w:val="auto"/>
          <w:sz w:val="24"/>
          <w:highlight w:val="none"/>
        </w:rPr>
        <w:t>7.1.1.2  电源电压的变化应在额定电压的±10%范围内，实验室及其周围环境应无振动和冲击源无强电场、强磁场强声场的干扰。</w:t>
      </w:r>
    </w:p>
    <w:p w14:paraId="7B3B37CC">
      <w:pPr>
        <w:spacing w:before="156" w:beforeLines="50" w:line="360" w:lineRule="auto"/>
        <w:rPr>
          <w:color w:val="auto"/>
          <w:sz w:val="24"/>
          <w:highlight w:val="none"/>
        </w:rPr>
      </w:pPr>
      <w:r>
        <w:rPr>
          <w:rFonts w:hint="eastAsia"/>
          <w:color w:val="auto"/>
          <w:sz w:val="24"/>
          <w:highlight w:val="none"/>
        </w:rPr>
        <w:t>7.1.2检定用仪器的技术要求</w:t>
      </w:r>
    </w:p>
    <w:p w14:paraId="7CC12B53">
      <w:pPr>
        <w:spacing w:before="156" w:beforeLines="50" w:line="360" w:lineRule="auto"/>
        <w:ind w:firstLine="480" w:firstLineChars="200"/>
        <w:rPr>
          <w:color w:val="auto"/>
          <w:sz w:val="24"/>
          <w:highlight w:val="none"/>
        </w:rPr>
      </w:pPr>
      <w:r>
        <w:rPr>
          <w:rFonts w:hint="eastAsia"/>
          <w:color w:val="auto"/>
          <w:sz w:val="24"/>
          <w:highlight w:val="none"/>
        </w:rPr>
        <w:t>7.1.2.1  标准加速度计套组（标准加速度计和适调仪）</w:t>
      </w:r>
    </w:p>
    <w:p w14:paraId="0BEA4EB9">
      <w:pPr>
        <w:spacing w:before="156" w:beforeLines="50" w:line="360" w:lineRule="auto"/>
        <w:ind w:firstLine="480" w:firstLineChars="200"/>
        <w:rPr>
          <w:color w:val="auto"/>
          <w:sz w:val="24"/>
          <w:highlight w:val="none"/>
        </w:rPr>
      </w:pPr>
      <w:r>
        <w:rPr>
          <w:rFonts w:hint="eastAsia"/>
          <w:color w:val="auto"/>
          <w:sz w:val="24"/>
          <w:highlight w:val="none"/>
        </w:rPr>
        <w:t>应在选定的参考加速度值和频率值下，采用绝对法进行检定、其灵敏度幅值和相移测量的不确定度应满足表1的要求。</w:t>
      </w:r>
    </w:p>
    <w:p w14:paraId="3142A7FC">
      <w:pPr>
        <w:spacing w:before="156" w:beforeLines="50" w:line="360" w:lineRule="auto"/>
        <w:ind w:firstLine="480" w:firstLineChars="200"/>
        <w:rPr>
          <w:color w:val="auto"/>
          <w:sz w:val="24"/>
          <w:highlight w:val="none"/>
        </w:rPr>
      </w:pPr>
      <w:r>
        <w:rPr>
          <w:rFonts w:hint="eastAsia"/>
          <w:color w:val="auto"/>
          <w:sz w:val="24"/>
          <w:highlight w:val="none"/>
        </w:rPr>
        <w:t>7.1.2.2  振动激励系统（振动台、功率放大器和</w:t>
      </w:r>
      <w:r>
        <w:rPr>
          <w:rFonts w:hint="eastAsia"/>
          <w:color w:val="auto"/>
          <w:sz w:val="24"/>
          <w:highlight w:val="none"/>
          <w:lang w:val="en-US" w:eastAsia="zh-CN"/>
        </w:rPr>
        <w:t>信号</w:t>
      </w:r>
      <w:r>
        <w:rPr>
          <w:rFonts w:hint="eastAsia"/>
          <w:color w:val="auto"/>
          <w:sz w:val="24"/>
          <w:highlight w:val="none"/>
        </w:rPr>
        <w:t>发生器）</w:t>
      </w:r>
    </w:p>
    <w:p w14:paraId="0D7FCC3A">
      <w:pPr>
        <w:spacing w:before="156" w:beforeLines="50" w:line="360" w:lineRule="auto"/>
        <w:ind w:firstLine="480" w:firstLineChars="200"/>
        <w:rPr>
          <w:color w:val="auto"/>
          <w:sz w:val="24"/>
          <w:highlight w:val="none"/>
        </w:rPr>
      </w:pPr>
      <w:r>
        <w:rPr>
          <w:rFonts w:hint="eastAsia"/>
          <w:color w:val="auto"/>
          <w:sz w:val="24"/>
          <w:highlight w:val="none"/>
        </w:rPr>
        <w:t>振动激励系统的要求见表4。</w:t>
      </w:r>
    </w:p>
    <w:p w14:paraId="1CDDCFE9">
      <w:pPr>
        <w:jc w:val="center"/>
        <w:rPr>
          <w:b/>
          <w:bCs/>
          <w:color w:val="auto"/>
          <w:szCs w:val="21"/>
          <w:highlight w:val="none"/>
        </w:rPr>
      </w:pPr>
      <w:r>
        <w:rPr>
          <w:b/>
          <w:bCs/>
          <w:color w:val="auto"/>
          <w:szCs w:val="21"/>
          <w:highlight w:val="none"/>
        </w:rPr>
        <w:t>表</w:t>
      </w:r>
      <w:r>
        <w:rPr>
          <w:rFonts w:hint="eastAsia"/>
          <w:b/>
          <w:bCs/>
          <w:color w:val="auto"/>
          <w:szCs w:val="21"/>
          <w:highlight w:val="none"/>
        </w:rPr>
        <w:t xml:space="preserve">5 </w:t>
      </w:r>
      <w:r>
        <w:rPr>
          <w:b/>
          <w:bCs/>
          <w:color w:val="auto"/>
          <w:szCs w:val="21"/>
          <w:highlight w:val="none"/>
        </w:rPr>
        <w:t>振动激励系统</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7"/>
        <w:gridCol w:w="2410"/>
        <w:gridCol w:w="2489"/>
      </w:tblGrid>
      <w:tr w14:paraId="427E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1AE31A4C">
            <w:pPr>
              <w:jc w:val="center"/>
              <w:rPr>
                <w:color w:val="auto"/>
                <w:szCs w:val="21"/>
                <w:highlight w:val="none"/>
              </w:rPr>
            </w:pPr>
            <w:r>
              <w:rPr>
                <w:color w:val="auto"/>
                <w:szCs w:val="21"/>
                <w:highlight w:val="none"/>
              </w:rPr>
              <w:t>技术指标项</w:t>
            </w:r>
          </w:p>
        </w:tc>
        <w:tc>
          <w:tcPr>
            <w:tcW w:w="2410" w:type="dxa"/>
            <w:vAlign w:val="center"/>
          </w:tcPr>
          <w:p w14:paraId="72E8FC6D">
            <w:pPr>
              <w:jc w:val="center"/>
              <w:rPr>
                <w:color w:val="auto"/>
                <w:szCs w:val="21"/>
                <w:highlight w:val="none"/>
              </w:rPr>
            </w:pPr>
            <w:r>
              <w:rPr>
                <w:color w:val="auto"/>
                <w:szCs w:val="21"/>
                <w:highlight w:val="none"/>
              </w:rPr>
              <w:t>绝对法检定装</w:t>
            </w:r>
            <w:r>
              <w:rPr>
                <w:rFonts w:hint="eastAsia"/>
                <w:color w:val="auto"/>
                <w:szCs w:val="21"/>
                <w:highlight w:val="none"/>
              </w:rPr>
              <w:t>置</w:t>
            </w:r>
          </w:p>
        </w:tc>
        <w:tc>
          <w:tcPr>
            <w:tcW w:w="2489" w:type="dxa"/>
            <w:vAlign w:val="center"/>
          </w:tcPr>
          <w:p w14:paraId="240E0264">
            <w:pPr>
              <w:jc w:val="center"/>
              <w:rPr>
                <w:color w:val="auto"/>
                <w:szCs w:val="21"/>
                <w:highlight w:val="none"/>
              </w:rPr>
            </w:pPr>
            <w:r>
              <w:rPr>
                <w:color w:val="auto"/>
                <w:szCs w:val="21"/>
                <w:highlight w:val="none"/>
              </w:rPr>
              <w:t>比较法检定装置</w:t>
            </w:r>
          </w:p>
        </w:tc>
      </w:tr>
      <w:tr w14:paraId="6AC9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722F2517">
            <w:pPr>
              <w:jc w:val="center"/>
              <w:rPr>
                <w:color w:val="auto"/>
                <w:szCs w:val="21"/>
                <w:highlight w:val="none"/>
              </w:rPr>
            </w:pPr>
            <w:r>
              <w:rPr>
                <w:color w:val="auto"/>
                <w:szCs w:val="21"/>
                <w:highlight w:val="none"/>
              </w:rPr>
              <w:t>频率的最大允许误</w:t>
            </w:r>
            <w:r>
              <w:rPr>
                <w:rFonts w:hint="eastAsia"/>
                <w:color w:val="auto"/>
                <w:szCs w:val="21"/>
                <w:highlight w:val="none"/>
              </w:rPr>
              <w:t>差</w:t>
            </w:r>
          </w:p>
        </w:tc>
        <w:tc>
          <w:tcPr>
            <w:tcW w:w="2410" w:type="dxa"/>
            <w:vAlign w:val="center"/>
          </w:tcPr>
          <w:p w14:paraId="77D0B007">
            <w:pPr>
              <w:jc w:val="center"/>
              <w:rPr>
                <w:color w:val="auto"/>
                <w:szCs w:val="21"/>
                <w:highlight w:val="none"/>
              </w:rPr>
            </w:pPr>
            <w:r>
              <w:rPr>
                <w:rFonts w:hint="eastAsia"/>
                <w:color w:val="auto"/>
                <w:szCs w:val="21"/>
                <w:highlight w:val="none"/>
              </w:rPr>
              <w:t>±</w:t>
            </w:r>
            <w:r>
              <w:rPr>
                <w:color w:val="auto"/>
                <w:szCs w:val="21"/>
                <w:highlight w:val="none"/>
              </w:rPr>
              <w:t>0.05%</w:t>
            </w:r>
          </w:p>
        </w:tc>
        <w:tc>
          <w:tcPr>
            <w:tcW w:w="2489" w:type="dxa"/>
            <w:vAlign w:val="center"/>
          </w:tcPr>
          <w:p w14:paraId="3761C6EC">
            <w:pPr>
              <w:jc w:val="center"/>
              <w:rPr>
                <w:color w:val="auto"/>
                <w:szCs w:val="21"/>
                <w:highlight w:val="none"/>
              </w:rPr>
            </w:pPr>
            <w:r>
              <w:rPr>
                <w:color w:val="auto"/>
                <w:szCs w:val="21"/>
                <w:highlight w:val="none"/>
              </w:rPr>
              <w:t>±0.1%</w:t>
            </w:r>
          </w:p>
        </w:tc>
      </w:tr>
      <w:tr w14:paraId="35B0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4F061802">
            <w:pPr>
              <w:jc w:val="center"/>
              <w:rPr>
                <w:color w:val="auto"/>
                <w:szCs w:val="21"/>
                <w:highlight w:val="none"/>
              </w:rPr>
            </w:pPr>
            <w:r>
              <w:rPr>
                <w:color w:val="auto"/>
                <w:szCs w:val="21"/>
                <w:highlight w:val="none"/>
              </w:rPr>
              <w:t>频率稳定度（测量周期内读数</w:t>
            </w:r>
            <w:r>
              <w:rPr>
                <w:rFonts w:hint="eastAsia"/>
                <w:color w:val="auto"/>
                <w:szCs w:val="21"/>
                <w:highlight w:val="none"/>
              </w:rPr>
              <w:t>的）</w:t>
            </w:r>
          </w:p>
        </w:tc>
        <w:tc>
          <w:tcPr>
            <w:tcW w:w="2410" w:type="dxa"/>
            <w:vAlign w:val="center"/>
          </w:tcPr>
          <w:p w14:paraId="2CFE5A2C">
            <w:pPr>
              <w:jc w:val="center"/>
              <w:rPr>
                <w:color w:val="auto"/>
                <w:szCs w:val="21"/>
                <w:highlight w:val="none"/>
              </w:rPr>
            </w:pPr>
            <w:r>
              <w:rPr>
                <w:rFonts w:hint="eastAsia"/>
                <w:color w:val="auto"/>
                <w:szCs w:val="21"/>
                <w:highlight w:val="none"/>
              </w:rPr>
              <w:t>±</w:t>
            </w:r>
            <w:r>
              <w:rPr>
                <w:color w:val="auto"/>
                <w:szCs w:val="21"/>
                <w:highlight w:val="none"/>
              </w:rPr>
              <w:t>0.05%</w:t>
            </w:r>
          </w:p>
        </w:tc>
        <w:tc>
          <w:tcPr>
            <w:tcW w:w="2489" w:type="dxa"/>
            <w:vAlign w:val="center"/>
          </w:tcPr>
          <w:p w14:paraId="264AFFE7">
            <w:pPr>
              <w:jc w:val="center"/>
              <w:rPr>
                <w:color w:val="auto"/>
                <w:szCs w:val="21"/>
                <w:highlight w:val="none"/>
              </w:rPr>
            </w:pPr>
            <w:r>
              <w:rPr>
                <w:color w:val="auto"/>
                <w:szCs w:val="21"/>
                <w:highlight w:val="none"/>
              </w:rPr>
              <w:t>±0.1%</w:t>
            </w:r>
          </w:p>
        </w:tc>
      </w:tr>
      <w:tr w14:paraId="5295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265EBD02">
            <w:pPr>
              <w:jc w:val="center"/>
              <w:rPr>
                <w:color w:val="auto"/>
                <w:szCs w:val="21"/>
                <w:highlight w:val="none"/>
              </w:rPr>
            </w:pPr>
            <w:r>
              <w:rPr>
                <w:color w:val="auto"/>
                <w:szCs w:val="21"/>
                <w:highlight w:val="none"/>
              </w:rPr>
              <w:t>加速度幅值稳定性（测量周期内读数的）</w:t>
            </w:r>
          </w:p>
        </w:tc>
        <w:tc>
          <w:tcPr>
            <w:tcW w:w="2410" w:type="dxa"/>
            <w:vAlign w:val="center"/>
          </w:tcPr>
          <w:p w14:paraId="4A491DF4">
            <w:pPr>
              <w:jc w:val="center"/>
              <w:rPr>
                <w:color w:val="auto"/>
                <w:szCs w:val="21"/>
                <w:highlight w:val="none"/>
              </w:rPr>
            </w:pPr>
            <w:r>
              <w:rPr>
                <w:rFonts w:hint="eastAsia"/>
                <w:color w:val="auto"/>
                <w:szCs w:val="21"/>
                <w:highlight w:val="none"/>
              </w:rPr>
              <w:t>±</w:t>
            </w:r>
            <w:r>
              <w:rPr>
                <w:color w:val="auto"/>
                <w:szCs w:val="21"/>
                <w:highlight w:val="none"/>
              </w:rPr>
              <w:t>0.05%</w:t>
            </w:r>
          </w:p>
        </w:tc>
        <w:tc>
          <w:tcPr>
            <w:tcW w:w="2489" w:type="dxa"/>
            <w:vAlign w:val="center"/>
          </w:tcPr>
          <w:p w14:paraId="5D233AE6">
            <w:pPr>
              <w:jc w:val="center"/>
              <w:rPr>
                <w:color w:val="auto"/>
                <w:szCs w:val="21"/>
                <w:highlight w:val="none"/>
              </w:rPr>
            </w:pPr>
            <w:r>
              <w:rPr>
                <w:color w:val="auto"/>
                <w:szCs w:val="21"/>
                <w:highlight w:val="none"/>
              </w:rPr>
              <w:t>±0.1%</w:t>
            </w:r>
          </w:p>
        </w:tc>
      </w:tr>
      <w:tr w14:paraId="7A2E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538D6E6A">
            <w:pPr>
              <w:jc w:val="center"/>
              <w:rPr>
                <w:color w:val="auto"/>
                <w:szCs w:val="21"/>
                <w:highlight w:val="none"/>
              </w:rPr>
            </w:pPr>
            <w:r>
              <w:rPr>
                <w:color w:val="auto"/>
                <w:szCs w:val="21"/>
                <w:highlight w:val="none"/>
              </w:rPr>
              <w:t>总谐波失真度</w:t>
            </w:r>
          </w:p>
        </w:tc>
        <w:tc>
          <w:tcPr>
            <w:tcW w:w="2410" w:type="dxa"/>
            <w:vAlign w:val="center"/>
          </w:tcPr>
          <w:p w14:paraId="7704376B">
            <w:pPr>
              <w:jc w:val="center"/>
              <w:rPr>
                <w:color w:val="auto"/>
                <w:szCs w:val="21"/>
                <w:highlight w:val="none"/>
              </w:rPr>
            </w:pPr>
            <w:r>
              <w:rPr>
                <w:color w:val="auto"/>
                <w:szCs w:val="21"/>
                <w:highlight w:val="none"/>
              </w:rPr>
              <w:t>≤2%</w:t>
            </w:r>
          </w:p>
        </w:tc>
        <w:tc>
          <w:tcPr>
            <w:tcW w:w="2489" w:type="dxa"/>
            <w:vAlign w:val="center"/>
          </w:tcPr>
          <w:p w14:paraId="3C0C3718">
            <w:pPr>
              <w:jc w:val="center"/>
              <w:rPr>
                <w:color w:val="auto"/>
                <w:szCs w:val="21"/>
                <w:highlight w:val="none"/>
              </w:rPr>
            </w:pPr>
            <w:r>
              <w:rPr>
                <w:color w:val="auto"/>
                <w:szCs w:val="21"/>
                <w:highlight w:val="none"/>
              </w:rPr>
              <w:t>≤5%（f&gt;20</w:t>
            </w:r>
            <w:r>
              <w:rPr>
                <w:rFonts w:hint="eastAsia"/>
                <w:color w:val="auto"/>
                <w:szCs w:val="21"/>
                <w:highlight w:val="none"/>
              </w:rPr>
              <w:t>Hz</w:t>
            </w:r>
            <w:r>
              <w:rPr>
                <w:color w:val="auto"/>
                <w:szCs w:val="21"/>
                <w:highlight w:val="none"/>
              </w:rPr>
              <w:t>)</w:t>
            </w:r>
          </w:p>
          <w:p w14:paraId="70D675FE">
            <w:pPr>
              <w:jc w:val="center"/>
              <w:rPr>
                <w:color w:val="auto"/>
                <w:szCs w:val="21"/>
                <w:highlight w:val="none"/>
              </w:rPr>
            </w:pPr>
            <w:r>
              <w:rPr>
                <w:color w:val="auto"/>
                <w:szCs w:val="21"/>
                <w:highlight w:val="none"/>
              </w:rPr>
              <w:t>≤10%（全频率范围内）</w:t>
            </w:r>
          </w:p>
        </w:tc>
      </w:tr>
      <w:tr w14:paraId="129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52A4E4EB">
            <w:pPr>
              <w:jc w:val="center"/>
              <w:rPr>
                <w:color w:val="auto"/>
                <w:szCs w:val="21"/>
                <w:highlight w:val="none"/>
              </w:rPr>
            </w:pPr>
            <w:r>
              <w:rPr>
                <w:color w:val="auto"/>
                <w:szCs w:val="21"/>
                <w:highlight w:val="none"/>
              </w:rPr>
              <w:t>横向振动比</w:t>
            </w:r>
          </w:p>
        </w:tc>
        <w:tc>
          <w:tcPr>
            <w:tcW w:w="2410" w:type="dxa"/>
            <w:vAlign w:val="center"/>
          </w:tcPr>
          <w:p w14:paraId="2F84F973">
            <w:pPr>
              <w:rPr>
                <w:color w:val="auto"/>
                <w:szCs w:val="21"/>
                <w:highlight w:val="none"/>
              </w:rPr>
            </w:pPr>
            <w:r>
              <w:rPr>
                <w:color w:val="auto"/>
                <w:szCs w:val="21"/>
                <w:highlight w:val="none"/>
              </w:rPr>
              <w:t>≤10%（f≤1kHz)</w:t>
            </w:r>
          </w:p>
          <w:p w14:paraId="26DE9ED2">
            <w:pPr>
              <w:rPr>
                <w:color w:val="auto"/>
                <w:szCs w:val="21"/>
                <w:highlight w:val="none"/>
              </w:rPr>
            </w:pPr>
            <w:r>
              <w:rPr>
                <w:color w:val="auto"/>
                <w:szCs w:val="21"/>
                <w:highlight w:val="none"/>
              </w:rPr>
              <w:t>≤20%（f&gt;1kHz)</w:t>
            </w:r>
          </w:p>
        </w:tc>
        <w:tc>
          <w:tcPr>
            <w:tcW w:w="2489" w:type="dxa"/>
            <w:vAlign w:val="center"/>
          </w:tcPr>
          <w:p w14:paraId="7D05E1D8">
            <w:pPr>
              <w:jc w:val="center"/>
              <w:rPr>
                <w:color w:val="auto"/>
                <w:szCs w:val="21"/>
                <w:highlight w:val="none"/>
              </w:rPr>
            </w:pPr>
            <w:r>
              <w:rPr>
                <w:color w:val="auto"/>
                <w:szCs w:val="21"/>
                <w:highlight w:val="none"/>
              </w:rPr>
              <w:t>≤10%（f≤1kHz)</w:t>
            </w:r>
          </w:p>
          <w:p w14:paraId="1F67A7FA">
            <w:pPr>
              <w:jc w:val="center"/>
              <w:rPr>
                <w:color w:val="auto"/>
                <w:szCs w:val="21"/>
                <w:highlight w:val="none"/>
              </w:rPr>
            </w:pPr>
            <w:r>
              <w:rPr>
                <w:color w:val="auto"/>
                <w:szCs w:val="21"/>
                <w:highlight w:val="none"/>
              </w:rPr>
              <w:t>≤30%（f&gt;1kHz)</w:t>
            </w:r>
          </w:p>
        </w:tc>
      </w:tr>
      <w:tr w14:paraId="3DF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7" w:type="dxa"/>
            <w:vAlign w:val="center"/>
          </w:tcPr>
          <w:p w14:paraId="0C58C432">
            <w:pPr>
              <w:jc w:val="center"/>
              <w:rPr>
                <w:color w:val="auto"/>
                <w:szCs w:val="21"/>
                <w:highlight w:val="none"/>
              </w:rPr>
            </w:pPr>
            <w:r>
              <w:rPr>
                <w:color w:val="auto"/>
                <w:szCs w:val="21"/>
                <w:highlight w:val="none"/>
              </w:rPr>
              <w:t>信噪比</w:t>
            </w:r>
          </w:p>
        </w:tc>
        <w:tc>
          <w:tcPr>
            <w:tcW w:w="2410" w:type="dxa"/>
            <w:vAlign w:val="center"/>
          </w:tcPr>
          <w:p w14:paraId="7842157E">
            <w:pPr>
              <w:jc w:val="center"/>
              <w:rPr>
                <w:color w:val="auto"/>
                <w:szCs w:val="21"/>
                <w:highlight w:val="none"/>
              </w:rPr>
            </w:pPr>
            <w:r>
              <w:rPr>
                <w:color w:val="auto"/>
                <w:szCs w:val="21"/>
                <w:highlight w:val="none"/>
              </w:rPr>
              <w:t xml:space="preserve">≥70 dB  </w:t>
            </w:r>
          </w:p>
        </w:tc>
        <w:tc>
          <w:tcPr>
            <w:tcW w:w="2489" w:type="dxa"/>
            <w:vAlign w:val="center"/>
          </w:tcPr>
          <w:p w14:paraId="21122CA7">
            <w:pPr>
              <w:jc w:val="center"/>
              <w:rPr>
                <w:color w:val="auto"/>
                <w:szCs w:val="21"/>
                <w:highlight w:val="none"/>
              </w:rPr>
            </w:pPr>
            <w:r>
              <w:rPr>
                <w:color w:val="auto"/>
                <w:szCs w:val="21"/>
                <w:highlight w:val="none"/>
              </w:rPr>
              <w:t>≥50dB(f≥10Iz)</w:t>
            </w:r>
          </w:p>
          <w:p w14:paraId="0025019C">
            <w:pPr>
              <w:jc w:val="center"/>
              <w:rPr>
                <w:color w:val="auto"/>
                <w:szCs w:val="21"/>
                <w:highlight w:val="none"/>
              </w:rPr>
            </w:pPr>
            <w:r>
              <w:rPr>
                <w:color w:val="auto"/>
                <w:szCs w:val="21"/>
                <w:highlight w:val="none"/>
              </w:rPr>
              <w:t>≥20 dB(f&lt;10 Hz)</w:t>
            </w:r>
          </w:p>
          <w:p w14:paraId="0E55E824">
            <w:pPr>
              <w:jc w:val="center"/>
              <w:rPr>
                <w:color w:val="auto"/>
                <w:szCs w:val="21"/>
                <w:highlight w:val="none"/>
              </w:rPr>
            </w:pPr>
          </w:p>
        </w:tc>
      </w:tr>
    </w:tbl>
    <w:p w14:paraId="301E49ED">
      <w:pPr>
        <w:spacing w:before="156" w:beforeLines="50" w:line="360" w:lineRule="auto"/>
        <w:ind w:firstLine="480" w:firstLineChars="200"/>
        <w:rPr>
          <w:color w:val="auto"/>
          <w:sz w:val="24"/>
          <w:highlight w:val="none"/>
        </w:rPr>
      </w:pPr>
      <w:r>
        <w:rPr>
          <w:rFonts w:hint="eastAsia"/>
          <w:color w:val="auto"/>
          <w:sz w:val="24"/>
          <w:highlight w:val="none"/>
        </w:rPr>
        <w:t>7.1.2.3  电压表</w:t>
      </w:r>
    </w:p>
    <w:p w14:paraId="2BBB6FAB">
      <w:pPr>
        <w:spacing w:before="156" w:beforeLines="50" w:line="360" w:lineRule="auto"/>
        <w:ind w:firstLine="480" w:firstLineChars="200"/>
        <w:rPr>
          <w:color w:val="auto"/>
          <w:sz w:val="24"/>
          <w:highlight w:val="none"/>
        </w:rPr>
      </w:pPr>
      <w:r>
        <w:rPr>
          <w:rFonts w:hint="eastAsia"/>
          <w:color w:val="auto"/>
          <w:sz w:val="24"/>
          <w:highlight w:val="none"/>
        </w:rPr>
        <w:t>电压表的要求见表5。</w:t>
      </w:r>
    </w:p>
    <w:p w14:paraId="5943F420">
      <w:pPr>
        <w:jc w:val="center"/>
        <w:rPr>
          <w:b/>
          <w:bCs/>
          <w:color w:val="auto"/>
          <w:highlight w:val="none"/>
        </w:rPr>
      </w:pPr>
      <w:r>
        <w:rPr>
          <w:b/>
          <w:bCs/>
          <w:color w:val="auto"/>
          <w:highlight w:val="none"/>
        </w:rPr>
        <w:t>表</w:t>
      </w:r>
      <w:r>
        <w:rPr>
          <w:rFonts w:hint="eastAsia"/>
          <w:b/>
          <w:bCs/>
          <w:color w:val="auto"/>
          <w:highlight w:val="none"/>
        </w:rPr>
        <w:t xml:space="preserve">6 </w:t>
      </w:r>
      <w:r>
        <w:rPr>
          <w:b/>
          <w:bCs/>
          <w:color w:val="auto"/>
          <w:highlight w:val="none"/>
        </w:rPr>
        <w:t>电压表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14:paraId="6078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70F33A20">
            <w:pPr>
              <w:jc w:val="center"/>
              <w:rPr>
                <w:color w:val="auto"/>
                <w:highlight w:val="none"/>
              </w:rPr>
            </w:pPr>
            <w:r>
              <w:rPr>
                <w:color w:val="auto"/>
                <w:highlight w:val="none"/>
              </w:rPr>
              <w:t>技术指标</w:t>
            </w:r>
          </w:p>
        </w:tc>
        <w:tc>
          <w:tcPr>
            <w:tcW w:w="2765" w:type="dxa"/>
          </w:tcPr>
          <w:p w14:paraId="3B231809">
            <w:pPr>
              <w:jc w:val="center"/>
              <w:rPr>
                <w:color w:val="auto"/>
                <w:highlight w:val="none"/>
              </w:rPr>
            </w:pPr>
            <w:r>
              <w:rPr>
                <w:color w:val="auto"/>
                <w:highlight w:val="none"/>
              </w:rPr>
              <w:t>绝对法检定装置</w:t>
            </w:r>
          </w:p>
        </w:tc>
        <w:tc>
          <w:tcPr>
            <w:tcW w:w="2766" w:type="dxa"/>
          </w:tcPr>
          <w:p w14:paraId="379D515E">
            <w:pPr>
              <w:jc w:val="center"/>
              <w:rPr>
                <w:color w:val="auto"/>
                <w:highlight w:val="none"/>
              </w:rPr>
            </w:pPr>
            <w:r>
              <w:rPr>
                <w:color w:val="auto"/>
                <w:highlight w:val="none"/>
              </w:rPr>
              <w:t>比较法检定装置</w:t>
            </w:r>
          </w:p>
        </w:tc>
      </w:tr>
      <w:tr w14:paraId="3221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0E960908">
            <w:pPr>
              <w:jc w:val="center"/>
              <w:rPr>
                <w:color w:val="auto"/>
                <w:highlight w:val="none"/>
              </w:rPr>
            </w:pPr>
            <w:r>
              <w:rPr>
                <w:color w:val="auto"/>
                <w:highlight w:val="none"/>
              </w:rPr>
              <w:t>频率范围</w:t>
            </w:r>
          </w:p>
        </w:tc>
        <w:tc>
          <w:tcPr>
            <w:tcW w:w="2765" w:type="dxa"/>
          </w:tcPr>
          <w:p w14:paraId="6EF0E150">
            <w:pPr>
              <w:jc w:val="center"/>
              <w:rPr>
                <w:color w:val="auto"/>
                <w:highlight w:val="none"/>
              </w:rPr>
            </w:pPr>
            <w:r>
              <w:rPr>
                <w:color w:val="auto"/>
                <w:highlight w:val="none"/>
              </w:rPr>
              <w:t xml:space="preserve">  20 Hz</w:t>
            </w:r>
            <w:r>
              <w:rPr>
                <w:rFonts w:hint="eastAsia"/>
                <w:color w:val="auto"/>
                <w:highlight w:val="none"/>
              </w:rPr>
              <w:t>-5</w:t>
            </w:r>
            <w:r>
              <w:rPr>
                <w:color w:val="auto"/>
                <w:highlight w:val="none"/>
              </w:rPr>
              <w:t>0 kHz</w:t>
            </w:r>
          </w:p>
        </w:tc>
        <w:tc>
          <w:tcPr>
            <w:tcW w:w="2766" w:type="dxa"/>
          </w:tcPr>
          <w:p w14:paraId="75096B11">
            <w:pPr>
              <w:jc w:val="center"/>
              <w:rPr>
                <w:color w:val="auto"/>
                <w:highlight w:val="none"/>
              </w:rPr>
            </w:pPr>
            <w:r>
              <w:rPr>
                <w:color w:val="auto"/>
                <w:highlight w:val="none"/>
              </w:rPr>
              <w:t>20 Hz-10 kHz</w:t>
            </w:r>
          </w:p>
        </w:tc>
      </w:tr>
      <w:tr w14:paraId="7696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F13942C">
            <w:pPr>
              <w:jc w:val="center"/>
              <w:rPr>
                <w:color w:val="auto"/>
                <w:highlight w:val="none"/>
              </w:rPr>
            </w:pPr>
            <w:r>
              <w:rPr>
                <w:color w:val="auto"/>
                <w:highlight w:val="none"/>
              </w:rPr>
              <w:t>最大允许误差</w:t>
            </w:r>
          </w:p>
        </w:tc>
        <w:tc>
          <w:tcPr>
            <w:tcW w:w="2765" w:type="dxa"/>
          </w:tcPr>
          <w:p w14:paraId="43CA46D3">
            <w:pPr>
              <w:jc w:val="center"/>
              <w:rPr>
                <w:color w:val="auto"/>
                <w:highlight w:val="none"/>
              </w:rPr>
            </w:pPr>
            <w:r>
              <w:rPr>
                <w:color w:val="auto"/>
                <w:highlight w:val="none"/>
              </w:rPr>
              <w:t>±0.1%</w:t>
            </w:r>
          </w:p>
        </w:tc>
        <w:tc>
          <w:tcPr>
            <w:tcW w:w="2766" w:type="dxa"/>
          </w:tcPr>
          <w:p w14:paraId="528E08B1">
            <w:pPr>
              <w:jc w:val="center"/>
              <w:rPr>
                <w:color w:val="auto"/>
                <w:highlight w:val="none"/>
              </w:rPr>
            </w:pPr>
            <w:r>
              <w:rPr>
                <w:color w:val="auto"/>
                <w:highlight w:val="none"/>
              </w:rPr>
              <w:t>±0.2%</w:t>
            </w:r>
          </w:p>
        </w:tc>
      </w:tr>
      <w:tr w14:paraId="4C4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70E4CCFD">
            <w:pPr>
              <w:ind w:firstLine="420"/>
              <w:rPr>
                <w:color w:val="auto"/>
                <w:highlight w:val="none"/>
              </w:rPr>
            </w:pPr>
            <w:r>
              <w:rPr>
                <w:color w:val="auto"/>
                <w:highlight w:val="none"/>
              </w:rPr>
              <w:t>注；20 Hz以下可参考电压表说明书。</w:t>
            </w:r>
          </w:p>
        </w:tc>
      </w:tr>
    </w:tbl>
    <w:p w14:paraId="062D533C">
      <w:pPr>
        <w:spacing w:before="156" w:beforeLines="50" w:line="360" w:lineRule="auto"/>
        <w:ind w:firstLine="480" w:firstLineChars="200"/>
        <w:rPr>
          <w:color w:val="auto"/>
          <w:sz w:val="24"/>
          <w:highlight w:val="none"/>
        </w:rPr>
      </w:pPr>
      <w:r>
        <w:rPr>
          <w:rFonts w:hint="eastAsia"/>
          <w:color w:val="auto"/>
          <w:sz w:val="24"/>
          <w:highlight w:val="none"/>
        </w:rPr>
        <w:t>7.1.2.4  失真度仪（选用）</w:t>
      </w:r>
    </w:p>
    <w:p w14:paraId="07F42292">
      <w:pPr>
        <w:spacing w:before="156" w:beforeLines="50" w:line="360" w:lineRule="auto"/>
        <w:ind w:firstLine="480" w:firstLineChars="200"/>
        <w:rPr>
          <w:color w:val="auto"/>
          <w:sz w:val="24"/>
          <w:highlight w:val="none"/>
        </w:rPr>
      </w:pPr>
      <w:r>
        <w:rPr>
          <w:rFonts w:hint="eastAsia"/>
          <w:color w:val="auto"/>
          <w:sz w:val="24"/>
          <w:highlight w:val="none"/>
        </w:rPr>
        <w:t>失真度仪的要求见表6。</w:t>
      </w:r>
    </w:p>
    <w:p w14:paraId="189EDEE9">
      <w:pPr>
        <w:jc w:val="center"/>
        <w:rPr>
          <w:b/>
          <w:bCs/>
          <w:color w:val="auto"/>
          <w:highlight w:val="none"/>
        </w:rPr>
      </w:pPr>
      <w:r>
        <w:rPr>
          <w:b/>
          <w:bCs/>
          <w:color w:val="auto"/>
          <w:highlight w:val="none"/>
        </w:rPr>
        <w:t>表</w:t>
      </w:r>
      <w:r>
        <w:rPr>
          <w:rFonts w:hint="eastAsia"/>
          <w:b/>
          <w:bCs/>
          <w:color w:val="auto"/>
          <w:highlight w:val="none"/>
        </w:rPr>
        <w:t xml:space="preserve"> 7 </w:t>
      </w:r>
      <w:r>
        <w:rPr>
          <w:b/>
          <w:bCs/>
          <w:color w:val="auto"/>
          <w:highlight w:val="none"/>
        </w:rPr>
        <w:t>失真度仪</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3969"/>
        <w:gridCol w:w="2205"/>
      </w:tblGrid>
      <w:tr w14:paraId="59F5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ADD7EB9">
            <w:pPr>
              <w:jc w:val="center"/>
              <w:rPr>
                <w:b/>
                <w:bCs/>
                <w:color w:val="auto"/>
                <w:highlight w:val="none"/>
              </w:rPr>
            </w:pPr>
            <w:r>
              <w:rPr>
                <w:color w:val="auto"/>
                <w:highlight w:val="none"/>
              </w:rPr>
              <w:t>技术指标</w:t>
            </w:r>
          </w:p>
        </w:tc>
        <w:tc>
          <w:tcPr>
            <w:tcW w:w="3969" w:type="dxa"/>
          </w:tcPr>
          <w:p w14:paraId="5A62E863">
            <w:pPr>
              <w:jc w:val="center"/>
              <w:rPr>
                <w:b/>
                <w:bCs/>
                <w:color w:val="auto"/>
                <w:highlight w:val="none"/>
              </w:rPr>
            </w:pPr>
            <w:r>
              <w:rPr>
                <w:color w:val="auto"/>
                <w:highlight w:val="none"/>
              </w:rPr>
              <w:t>绝对法检定装置</w:t>
            </w:r>
          </w:p>
        </w:tc>
        <w:tc>
          <w:tcPr>
            <w:tcW w:w="2205" w:type="dxa"/>
          </w:tcPr>
          <w:p w14:paraId="3612A394">
            <w:pPr>
              <w:ind w:firstLine="420"/>
              <w:rPr>
                <w:color w:val="auto"/>
                <w:highlight w:val="none"/>
              </w:rPr>
            </w:pPr>
            <w:r>
              <w:rPr>
                <w:color w:val="auto"/>
                <w:highlight w:val="none"/>
              </w:rPr>
              <w:t>比较法检定装置</w:t>
            </w:r>
          </w:p>
        </w:tc>
      </w:tr>
      <w:tr w14:paraId="40E9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7B5927ED">
            <w:pPr>
              <w:jc w:val="center"/>
              <w:rPr>
                <w:b/>
                <w:bCs/>
                <w:color w:val="auto"/>
                <w:highlight w:val="none"/>
              </w:rPr>
            </w:pPr>
            <w:r>
              <w:rPr>
                <w:color w:val="auto"/>
                <w:highlight w:val="none"/>
              </w:rPr>
              <w:t>频率范围</w:t>
            </w:r>
          </w:p>
        </w:tc>
        <w:tc>
          <w:tcPr>
            <w:tcW w:w="3969" w:type="dxa"/>
          </w:tcPr>
          <w:p w14:paraId="51298278">
            <w:pPr>
              <w:jc w:val="center"/>
              <w:rPr>
                <w:b/>
                <w:bCs/>
                <w:color w:val="auto"/>
                <w:highlight w:val="none"/>
              </w:rPr>
            </w:pPr>
            <w:r>
              <w:rPr>
                <w:color w:val="auto"/>
                <w:highlight w:val="none"/>
              </w:rPr>
              <w:t>l Hz</w:t>
            </w:r>
            <w:r>
              <w:rPr>
                <w:rFonts w:hint="eastAsia"/>
                <w:color w:val="auto"/>
                <w:highlight w:val="none"/>
              </w:rPr>
              <w:t>-</w:t>
            </w:r>
            <w:r>
              <w:rPr>
                <w:color w:val="auto"/>
                <w:highlight w:val="none"/>
              </w:rPr>
              <w:t>50 kHz</w:t>
            </w:r>
          </w:p>
        </w:tc>
        <w:tc>
          <w:tcPr>
            <w:tcW w:w="2205" w:type="dxa"/>
          </w:tcPr>
          <w:p w14:paraId="25874D52">
            <w:pPr>
              <w:jc w:val="center"/>
              <w:rPr>
                <w:b/>
                <w:bCs/>
                <w:color w:val="auto"/>
                <w:highlight w:val="none"/>
              </w:rPr>
            </w:pPr>
            <w:r>
              <w:rPr>
                <w:color w:val="auto"/>
                <w:highlight w:val="none"/>
              </w:rPr>
              <w:t>l Hz-10 kHz</w:t>
            </w:r>
          </w:p>
        </w:tc>
      </w:tr>
      <w:tr w14:paraId="5961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153BB12">
            <w:pPr>
              <w:jc w:val="center"/>
              <w:rPr>
                <w:b/>
                <w:bCs/>
                <w:color w:val="auto"/>
                <w:highlight w:val="none"/>
              </w:rPr>
            </w:pPr>
            <w:r>
              <w:rPr>
                <w:color w:val="auto"/>
                <w:highlight w:val="none"/>
              </w:rPr>
              <w:t>测量能力</w:t>
            </w:r>
          </w:p>
        </w:tc>
        <w:tc>
          <w:tcPr>
            <w:tcW w:w="3969" w:type="dxa"/>
          </w:tcPr>
          <w:p w14:paraId="04551FF1">
            <w:pPr>
              <w:jc w:val="center"/>
              <w:rPr>
                <w:b w:val="0"/>
                <w:bCs w:val="0"/>
                <w:color w:val="auto"/>
                <w:highlight w:val="none"/>
              </w:rPr>
            </w:pPr>
            <w:r>
              <w:rPr>
                <w:color w:val="auto"/>
                <w:highlight w:val="none"/>
              </w:rPr>
              <w:t>远小于1%</w:t>
            </w:r>
            <w:r>
              <w:rPr>
                <w:rFonts w:hint="eastAsia"/>
                <w:color w:val="auto"/>
                <w:highlight w:val="none"/>
              </w:rPr>
              <w:t>-</w:t>
            </w:r>
            <w:r>
              <w:rPr>
                <w:color w:val="auto"/>
                <w:highlight w:val="none"/>
              </w:rPr>
              <w:t>5%</w:t>
            </w:r>
          </w:p>
        </w:tc>
        <w:tc>
          <w:tcPr>
            <w:tcW w:w="2205" w:type="dxa"/>
          </w:tcPr>
          <w:p w14:paraId="7A335515">
            <w:pPr>
              <w:jc w:val="center"/>
              <w:rPr>
                <w:b/>
                <w:bCs/>
                <w:color w:val="auto"/>
                <w:highlight w:val="none"/>
              </w:rPr>
            </w:pPr>
            <w:r>
              <w:rPr>
                <w:color w:val="auto"/>
                <w:highlight w:val="none"/>
              </w:rPr>
              <w:t>1%</w:t>
            </w:r>
            <w:r>
              <w:rPr>
                <w:rFonts w:hint="eastAsia"/>
                <w:color w:val="auto"/>
                <w:highlight w:val="none"/>
              </w:rPr>
              <w:t>-</w:t>
            </w:r>
            <w:r>
              <w:rPr>
                <w:color w:val="auto"/>
                <w:highlight w:val="none"/>
              </w:rPr>
              <w:t>10%</w:t>
            </w:r>
          </w:p>
        </w:tc>
      </w:tr>
      <w:tr w14:paraId="677A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4710AB78">
            <w:pPr>
              <w:jc w:val="center"/>
              <w:rPr>
                <w:b/>
                <w:bCs/>
                <w:color w:val="auto"/>
                <w:highlight w:val="none"/>
              </w:rPr>
            </w:pPr>
            <w:r>
              <w:rPr>
                <w:color w:val="auto"/>
                <w:highlight w:val="none"/>
              </w:rPr>
              <w:t>最大允许误差</w:t>
            </w:r>
          </w:p>
        </w:tc>
        <w:tc>
          <w:tcPr>
            <w:tcW w:w="3969" w:type="dxa"/>
          </w:tcPr>
          <w:p w14:paraId="26C2DF14">
            <w:pPr>
              <w:jc w:val="center"/>
              <w:rPr>
                <w:b/>
                <w:bCs/>
                <w:color w:val="auto"/>
                <w:highlight w:val="none"/>
              </w:rPr>
            </w:pPr>
            <w:r>
              <w:rPr>
                <w:color w:val="auto"/>
                <w:highlight w:val="none"/>
              </w:rPr>
              <w:t>读数的</w:t>
            </w:r>
            <w:r>
              <w:rPr>
                <w:rFonts w:hint="eastAsia"/>
                <w:color w:val="auto"/>
                <w:highlight w:val="none"/>
              </w:rPr>
              <w:t>±</w:t>
            </w:r>
            <w:r>
              <w:rPr>
                <w:color w:val="auto"/>
                <w:highlight w:val="none"/>
              </w:rPr>
              <w:t>10%（失真度范围在0.5%</w:t>
            </w:r>
            <w:r>
              <w:rPr>
                <w:rFonts w:hint="eastAsia"/>
                <w:color w:val="auto"/>
                <w:highlight w:val="none"/>
              </w:rPr>
              <w:t>-</w:t>
            </w:r>
            <w:r>
              <w:rPr>
                <w:color w:val="auto"/>
                <w:highlight w:val="none"/>
              </w:rPr>
              <w:t>5%）</w:t>
            </w:r>
          </w:p>
        </w:tc>
        <w:tc>
          <w:tcPr>
            <w:tcW w:w="2205" w:type="dxa"/>
          </w:tcPr>
          <w:p w14:paraId="13F84838">
            <w:pPr>
              <w:jc w:val="center"/>
              <w:rPr>
                <w:b/>
                <w:bCs/>
                <w:color w:val="auto"/>
                <w:highlight w:val="none"/>
              </w:rPr>
            </w:pPr>
            <w:r>
              <w:rPr>
                <w:color w:val="auto"/>
                <w:highlight w:val="none"/>
              </w:rPr>
              <w:t>读数的</w:t>
            </w:r>
            <w:r>
              <w:rPr>
                <w:rFonts w:hint="eastAsia"/>
                <w:color w:val="auto"/>
                <w:highlight w:val="none"/>
              </w:rPr>
              <w:t>±</w:t>
            </w:r>
            <w:r>
              <w:rPr>
                <w:color w:val="auto"/>
                <w:highlight w:val="none"/>
              </w:rPr>
              <w:t>10%</w:t>
            </w:r>
          </w:p>
        </w:tc>
      </w:tr>
    </w:tbl>
    <w:p w14:paraId="5E95D05C">
      <w:pPr>
        <w:spacing w:before="156" w:beforeLines="50" w:line="360" w:lineRule="auto"/>
        <w:ind w:firstLine="480" w:firstLineChars="200"/>
        <w:rPr>
          <w:rFonts w:cs="宋体"/>
          <w:color w:val="auto"/>
          <w:sz w:val="24"/>
          <w:highlight w:val="none"/>
        </w:rPr>
      </w:pPr>
      <w:r>
        <w:rPr>
          <w:rFonts w:hint="eastAsia" w:cs="宋体"/>
          <w:color w:val="auto"/>
          <w:sz w:val="24"/>
          <w:highlight w:val="none"/>
        </w:rPr>
        <w:t>7.1.2.5  激光干涉仪</w:t>
      </w:r>
    </w:p>
    <w:p w14:paraId="24B734FF">
      <w:pPr>
        <w:spacing w:before="156" w:beforeLines="50" w:line="360" w:lineRule="auto"/>
        <w:ind w:firstLine="420"/>
        <w:rPr>
          <w:rFonts w:cs="宋体"/>
          <w:color w:val="auto"/>
          <w:sz w:val="24"/>
          <w:highlight w:val="none"/>
        </w:rPr>
      </w:pPr>
      <w:r>
        <w:rPr>
          <w:rFonts w:hint="eastAsia" w:cs="宋体"/>
          <w:color w:val="auto"/>
          <w:sz w:val="24"/>
          <w:highlight w:val="none"/>
        </w:rPr>
        <w:t>应使用633nm(频率稳定性小于10</w:t>
      </w:r>
      <w:r>
        <w:rPr>
          <w:rFonts w:cs="宋体"/>
          <w:color w:val="auto"/>
          <w:sz w:val="24"/>
          <w:highlight w:val="none"/>
          <w:vertAlign w:val="superscript"/>
        </w:rPr>
        <w:t>-6</w:t>
      </w:r>
      <w:r>
        <w:rPr>
          <w:rFonts w:hint="eastAsia" w:cs="宋体"/>
          <w:color w:val="auto"/>
          <w:sz w:val="24"/>
          <w:highlight w:val="none"/>
          <w:vertAlign w:val="baseline"/>
        </w:rPr>
        <w:t>）</w:t>
      </w:r>
      <w:r>
        <w:rPr>
          <w:rFonts w:hint="eastAsia" w:cs="宋体"/>
          <w:color w:val="auto"/>
          <w:sz w:val="24"/>
          <w:highlight w:val="none"/>
        </w:rPr>
        <w:t>的氦氖或其他波长的稳定单频激光器。</w:t>
      </w:r>
    </w:p>
    <w:p w14:paraId="1C74F02A">
      <w:pPr>
        <w:spacing w:before="156" w:beforeLines="50" w:line="360" w:lineRule="auto"/>
        <w:ind w:firstLine="420"/>
        <w:rPr>
          <w:rFonts w:cs="宋体"/>
          <w:color w:val="auto"/>
          <w:sz w:val="24"/>
          <w:highlight w:val="none"/>
        </w:rPr>
      </w:pPr>
      <w:r>
        <w:rPr>
          <w:rFonts w:hint="eastAsia" w:cs="宋体"/>
          <w:color w:val="auto"/>
          <w:sz w:val="24"/>
          <w:highlight w:val="none"/>
        </w:rPr>
        <w:t>激光干涉仪光电接收器频率响应的最大带宽f</w:t>
      </w:r>
      <w:r>
        <w:rPr>
          <w:rFonts w:hint="eastAsia" w:cs="宋体"/>
          <w:color w:val="auto"/>
          <w:sz w:val="24"/>
          <w:highlight w:val="none"/>
          <w:vertAlign w:val="subscript"/>
        </w:rPr>
        <w:t>max</w:t>
      </w:r>
      <w:r>
        <w:rPr>
          <w:rFonts w:hint="eastAsia" w:cs="宋体"/>
          <w:color w:val="auto"/>
          <w:sz w:val="24"/>
          <w:highlight w:val="none"/>
        </w:rPr>
        <w:t>，可由速度幅值v</w:t>
      </w:r>
      <w:r>
        <w:rPr>
          <w:rFonts w:hint="eastAsia" w:cs="宋体"/>
          <w:color w:val="auto"/>
          <w:sz w:val="24"/>
          <w:highlight w:val="none"/>
          <w:vertAlign w:val="subscript"/>
        </w:rPr>
        <w:t>max</w:t>
      </w:r>
      <w:r>
        <w:rPr>
          <w:rFonts w:hint="eastAsia" w:cs="宋体"/>
          <w:color w:val="auto"/>
          <w:sz w:val="24"/>
          <w:highlight w:val="none"/>
        </w:rPr>
        <w:t>和激光波长λ得到：</w:t>
      </w: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f</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num>
          <m:den>
            <m:r>
              <m:rPr/>
              <w:rPr>
                <w:rFonts w:hint="eastAsia" w:ascii="Cambria Math" w:hAnsi="Cambria Math" w:cs="宋体"/>
                <w:color w:val="auto"/>
                <w:sz w:val="24"/>
                <w:highlight w:val="none"/>
              </w:rPr>
              <m:t>λ</m:t>
            </m:r>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m:t>
        </m:r>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v</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oMath>
      <w:r>
        <w:rPr>
          <w:rFonts w:hint="eastAsia" w:cs="宋体"/>
          <w:color w:val="auto"/>
          <w:sz w:val="24"/>
          <w:highlight w:val="none"/>
        </w:rPr>
        <w:t>。</w:t>
      </w:r>
    </w:p>
    <w:p w14:paraId="71C9588D">
      <w:pPr>
        <w:spacing w:before="156" w:beforeLines="50" w:line="360" w:lineRule="auto"/>
        <w:ind w:firstLine="420"/>
        <w:rPr>
          <w:rFonts w:cs="宋体"/>
          <w:color w:val="auto"/>
          <w:sz w:val="24"/>
          <w:highlight w:val="none"/>
        </w:rPr>
      </w:pPr>
      <w:r>
        <w:rPr>
          <w:rFonts w:hint="eastAsia" w:cs="宋体"/>
          <w:color w:val="auto"/>
          <w:sz w:val="24"/>
          <w:highlight w:val="none"/>
        </w:rPr>
        <w:t>在激光绝对法中，条纹计数法和贝塞尔（Bessel)函数法采用具有单个光电接收器的普通迈克尔逊（Michelson)干涉仪。正弦逼近法则采用具有正交信号输出、并带有两个光电接收器的改进型迈克尔逊干涉仪。</w:t>
      </w:r>
    </w:p>
    <w:p w14:paraId="15C0E9EF">
      <w:pPr>
        <w:spacing w:before="156" w:beforeLines="50" w:line="360" w:lineRule="auto"/>
        <w:ind w:firstLine="420"/>
        <w:rPr>
          <w:rFonts w:cs="宋体"/>
          <w:color w:val="auto"/>
          <w:sz w:val="24"/>
          <w:highlight w:val="none"/>
        </w:rPr>
      </w:pPr>
      <w:r>
        <w:rPr>
          <w:rFonts w:hint="eastAsia" w:cs="宋体"/>
          <w:color w:val="auto"/>
          <w:sz w:val="24"/>
          <w:highlight w:val="none"/>
        </w:rPr>
        <w:t>对于改进的迈克尔逊干涉仪，在位移小于2μm时，要求其两路输出幅值的偏移量应不超过±5%，相对幅值偏差应不超过±5%，与90°名义角度的偏差应不超过±5°。当位移较大时，允许增大这些允差的要求。</w:t>
      </w:r>
    </w:p>
    <w:p w14:paraId="5AAB85C0">
      <w:pPr>
        <w:spacing w:before="156" w:beforeLines="50" w:line="360" w:lineRule="auto"/>
        <w:ind w:firstLine="420"/>
        <w:rPr>
          <w:rFonts w:cs="宋体"/>
          <w:color w:val="auto"/>
          <w:sz w:val="24"/>
          <w:highlight w:val="none"/>
        </w:rPr>
      </w:pPr>
      <w:r>
        <w:rPr>
          <w:rFonts w:hint="eastAsia" w:cs="宋体"/>
          <w:color w:val="auto"/>
          <w:sz w:val="24"/>
          <w:highlight w:val="none"/>
        </w:rPr>
        <w:t>注：改进的迈克尔逊干涉仪可用其他适当的两光束干涉仪代替，如改进的马赫泽德（Mach-Zehnder)干涉仪。</w:t>
      </w:r>
    </w:p>
    <w:p w14:paraId="5EAED40E">
      <w:pPr>
        <w:spacing w:before="156" w:beforeLines="50" w:line="360" w:lineRule="auto"/>
        <w:ind w:firstLine="480" w:firstLineChars="200"/>
        <w:rPr>
          <w:rFonts w:cs="宋体"/>
          <w:color w:val="auto"/>
          <w:sz w:val="24"/>
          <w:highlight w:val="none"/>
        </w:rPr>
      </w:pPr>
      <w:r>
        <w:rPr>
          <w:rFonts w:hint="eastAsia" w:cs="宋体"/>
          <w:color w:val="auto"/>
          <w:sz w:val="24"/>
          <w:highlight w:val="none"/>
        </w:rPr>
        <w:t>7.1.2.6  频比计数器（用于条纹计数法）</w:t>
      </w:r>
    </w:p>
    <w:p w14:paraId="657986F3">
      <w:pPr>
        <w:spacing w:before="156" w:beforeLines="50" w:line="360" w:lineRule="auto"/>
        <w:ind w:firstLine="420"/>
        <w:rPr>
          <w:rFonts w:cs="宋体"/>
          <w:color w:val="auto"/>
          <w:sz w:val="24"/>
          <w:highlight w:val="none"/>
        </w:rPr>
      </w:pPr>
      <w:r>
        <w:rPr>
          <w:rFonts w:hint="eastAsia" w:cs="宋体"/>
          <w:color w:val="auto"/>
          <w:sz w:val="24"/>
          <w:highlight w:val="none"/>
        </w:rPr>
        <w:t>频率范围：1Hz到最大所需频率（使用的典型值为20 MHz)；</w:t>
      </w:r>
    </w:p>
    <w:p w14:paraId="22E295CD">
      <w:pPr>
        <w:spacing w:before="156" w:beforeLines="50" w:line="360" w:lineRule="auto"/>
        <w:ind w:firstLine="420"/>
        <w:rPr>
          <w:rFonts w:cs="宋体"/>
          <w:color w:val="auto"/>
          <w:sz w:val="24"/>
          <w:highlight w:val="none"/>
        </w:rPr>
      </w:pPr>
      <w:r>
        <w:rPr>
          <w:rFonts w:hint="eastAsia" w:cs="宋体"/>
          <w:color w:val="auto"/>
          <w:sz w:val="24"/>
          <w:highlight w:val="none"/>
        </w:rPr>
        <w:t>最大允许误差：读数的±0.01%。</w:t>
      </w:r>
    </w:p>
    <w:p w14:paraId="0D57B625">
      <w:pPr>
        <w:spacing w:before="156" w:beforeLines="50" w:line="360" w:lineRule="auto"/>
        <w:ind w:firstLine="480" w:firstLineChars="200"/>
        <w:rPr>
          <w:rFonts w:cs="宋体"/>
          <w:color w:val="auto"/>
          <w:sz w:val="24"/>
          <w:highlight w:val="none"/>
        </w:rPr>
      </w:pPr>
      <w:r>
        <w:rPr>
          <w:rFonts w:hint="eastAsia" w:cs="宋体"/>
          <w:color w:val="auto"/>
          <w:sz w:val="24"/>
          <w:highlight w:val="none"/>
        </w:rPr>
        <w:t>7.1.2.7  可调谐的带通滤波器或谱分析仪（用于贝塞尔函数法）</w:t>
      </w:r>
    </w:p>
    <w:p w14:paraId="3690997A">
      <w:pPr>
        <w:spacing w:before="156" w:beforeLines="50" w:line="360" w:lineRule="auto"/>
        <w:ind w:firstLine="420"/>
        <w:rPr>
          <w:rFonts w:cs="宋体"/>
          <w:color w:val="auto"/>
          <w:sz w:val="24"/>
          <w:highlight w:val="none"/>
        </w:rPr>
      </w:pPr>
      <w:r>
        <w:rPr>
          <w:rFonts w:hint="eastAsia" w:cs="宋体"/>
          <w:color w:val="auto"/>
          <w:sz w:val="24"/>
          <w:highlight w:val="none"/>
        </w:rPr>
        <w:t>频率范围：</w:t>
      </w:r>
      <w:r>
        <w:rPr>
          <w:rFonts w:hint="eastAsia" w:cs="宋体"/>
          <w:color w:val="auto"/>
          <w:sz w:val="24"/>
          <w:highlight w:val="none"/>
          <w:lang w:val="en-US" w:eastAsia="zh-CN"/>
        </w:rPr>
        <w:t xml:space="preserve">不低于 </w:t>
      </w:r>
      <w:r>
        <w:rPr>
          <w:rFonts w:hint="eastAsia" w:cs="宋体"/>
          <w:color w:val="auto"/>
          <w:sz w:val="24"/>
          <w:highlight w:val="none"/>
        </w:rPr>
        <w:t>200</w:t>
      </w:r>
      <w:r>
        <w:rPr>
          <w:rFonts w:hint="eastAsia" w:cs="宋体"/>
          <w:color w:val="auto"/>
          <w:sz w:val="24"/>
          <w:highlight w:val="none"/>
          <w:lang w:val="en-US" w:eastAsia="zh-CN"/>
        </w:rPr>
        <w:t>0</w:t>
      </w:r>
      <w:r>
        <w:rPr>
          <w:rFonts w:cs="宋体"/>
          <w:color w:val="auto"/>
          <w:sz w:val="24"/>
          <w:highlight w:val="none"/>
        </w:rPr>
        <w:t xml:space="preserve"> </w:t>
      </w:r>
      <w:r>
        <w:rPr>
          <w:rFonts w:hint="eastAsia" w:cs="宋体"/>
          <w:color w:val="auto"/>
          <w:sz w:val="24"/>
          <w:highlight w:val="none"/>
        </w:rPr>
        <w:t>kHz;</w:t>
      </w:r>
    </w:p>
    <w:p w14:paraId="53DBAF36">
      <w:pPr>
        <w:spacing w:before="156" w:beforeLines="50" w:line="360" w:lineRule="auto"/>
        <w:ind w:firstLine="420"/>
        <w:rPr>
          <w:rFonts w:cs="宋体"/>
          <w:color w:val="auto"/>
          <w:sz w:val="24"/>
          <w:highlight w:val="none"/>
        </w:rPr>
      </w:pPr>
      <w:r>
        <w:rPr>
          <w:rFonts w:hint="eastAsia" w:cs="宋体"/>
          <w:color w:val="auto"/>
          <w:sz w:val="24"/>
          <w:highlight w:val="none"/>
        </w:rPr>
        <w:t>带宽：小于中心频率的12%；</w:t>
      </w:r>
    </w:p>
    <w:p w14:paraId="2DB5058F">
      <w:pPr>
        <w:spacing w:before="156" w:beforeLines="50" w:line="360" w:lineRule="auto"/>
        <w:ind w:firstLine="420"/>
        <w:rPr>
          <w:rFonts w:cs="宋体"/>
          <w:color w:val="auto"/>
          <w:sz w:val="24"/>
          <w:highlight w:val="none"/>
        </w:rPr>
      </w:pPr>
      <w:r>
        <w:rPr>
          <w:rFonts w:hint="eastAsia" w:cs="宋体"/>
          <w:color w:val="auto"/>
          <w:sz w:val="24"/>
          <w:highlight w:val="none"/>
        </w:rPr>
        <w:t>滤波器斜率：大于24 dB/oct;</w:t>
      </w:r>
    </w:p>
    <w:p w14:paraId="35A5AC36">
      <w:pPr>
        <w:spacing w:before="156" w:beforeLines="50" w:line="360" w:lineRule="auto"/>
        <w:ind w:firstLine="420"/>
        <w:rPr>
          <w:rFonts w:cs="宋体"/>
          <w:color w:val="auto"/>
          <w:sz w:val="24"/>
          <w:highlight w:val="none"/>
        </w:rPr>
      </w:pPr>
      <w:r>
        <w:rPr>
          <w:rFonts w:hint="eastAsia" w:cs="宋体"/>
          <w:color w:val="auto"/>
          <w:sz w:val="24"/>
          <w:highlight w:val="none"/>
        </w:rPr>
        <w:t>信噪比：最大信号时，大于70 dB;</w:t>
      </w:r>
    </w:p>
    <w:p w14:paraId="53873B80">
      <w:pPr>
        <w:spacing w:before="156" w:beforeLines="50" w:line="360" w:lineRule="auto"/>
        <w:ind w:firstLine="420"/>
        <w:rPr>
          <w:rFonts w:cs="宋体"/>
          <w:color w:val="auto"/>
          <w:sz w:val="24"/>
          <w:highlight w:val="none"/>
        </w:rPr>
      </w:pPr>
      <w:r>
        <w:rPr>
          <w:rFonts w:hint="eastAsia" w:cs="宋体"/>
          <w:color w:val="auto"/>
          <w:sz w:val="24"/>
          <w:highlight w:val="none"/>
        </w:rPr>
        <w:t>动态范围：大于60 dB。</w:t>
      </w:r>
    </w:p>
    <w:p w14:paraId="4B452EFF">
      <w:pPr>
        <w:spacing w:before="156" w:beforeLines="50" w:line="360" w:lineRule="auto"/>
        <w:ind w:firstLine="480" w:firstLineChars="200"/>
        <w:rPr>
          <w:rFonts w:cs="宋体"/>
          <w:color w:val="auto"/>
          <w:sz w:val="24"/>
          <w:highlight w:val="none"/>
        </w:rPr>
      </w:pPr>
      <w:r>
        <w:rPr>
          <w:rFonts w:hint="eastAsia" w:cs="宋体"/>
          <w:color w:val="auto"/>
          <w:sz w:val="24"/>
          <w:highlight w:val="none"/>
        </w:rPr>
        <w:t>7.1.2.8  零值检测仪（用于贝塞尔函数法）</w:t>
      </w:r>
    </w:p>
    <w:p w14:paraId="4EECF16E">
      <w:pPr>
        <w:spacing w:before="156" w:beforeLines="50" w:line="360" w:lineRule="auto"/>
        <w:ind w:firstLine="420"/>
        <w:rPr>
          <w:rFonts w:cs="宋体"/>
          <w:color w:val="auto"/>
          <w:sz w:val="24"/>
          <w:highlight w:val="none"/>
        </w:rPr>
      </w:pPr>
      <w:r>
        <w:rPr>
          <w:rFonts w:hint="eastAsia" w:cs="宋体"/>
          <w:color w:val="auto"/>
          <w:sz w:val="24"/>
          <w:highlight w:val="none"/>
        </w:rPr>
        <w:t>在2000 Hz-10 kHz频率范围内，应满足检测带通滤波器输出噪声的要求。系统如有频谱分析仪，可以不用。</w:t>
      </w:r>
    </w:p>
    <w:p w14:paraId="5F8F0082">
      <w:pPr>
        <w:spacing w:before="156" w:beforeLines="50" w:line="360" w:lineRule="auto"/>
        <w:ind w:firstLine="480" w:firstLineChars="200"/>
        <w:rPr>
          <w:rFonts w:cs="宋体"/>
          <w:color w:val="auto"/>
          <w:sz w:val="24"/>
          <w:highlight w:val="none"/>
        </w:rPr>
      </w:pPr>
      <w:r>
        <w:rPr>
          <w:rFonts w:hint="eastAsia" w:cs="宋体"/>
          <w:color w:val="auto"/>
          <w:sz w:val="24"/>
          <w:highlight w:val="none"/>
        </w:rPr>
        <w:t>6.1.2.9  示波器（选用）</w:t>
      </w:r>
    </w:p>
    <w:p w14:paraId="2873A0AA">
      <w:pPr>
        <w:spacing w:before="156" w:beforeLines="50" w:line="360" w:lineRule="auto"/>
        <w:ind w:firstLine="960" w:firstLineChars="400"/>
        <w:rPr>
          <w:rFonts w:cs="宋体"/>
          <w:color w:val="auto"/>
          <w:sz w:val="24"/>
          <w:highlight w:val="none"/>
        </w:rPr>
      </w:pPr>
      <w:r>
        <w:rPr>
          <w:rFonts w:hint="eastAsia" w:cs="宋体"/>
          <w:color w:val="auto"/>
          <w:sz w:val="24"/>
          <w:highlight w:val="none"/>
        </w:rPr>
        <w:t>选用下限频率不大于1 Hz、上限频率不小于20 MHz的示波器，确定干涉仪的最佳特性，以及观察干涉仪和传感器输出信号的波形。</w:t>
      </w:r>
    </w:p>
    <w:p w14:paraId="7C8C006D">
      <w:pPr>
        <w:spacing w:before="156" w:beforeLines="50" w:line="360" w:lineRule="auto"/>
        <w:ind w:firstLine="480" w:firstLineChars="200"/>
        <w:rPr>
          <w:rFonts w:cs="宋体"/>
          <w:color w:val="auto"/>
          <w:sz w:val="24"/>
          <w:highlight w:val="none"/>
        </w:rPr>
      </w:pPr>
      <w:r>
        <w:rPr>
          <w:rFonts w:hint="eastAsia" w:cs="宋体"/>
          <w:color w:val="auto"/>
          <w:sz w:val="24"/>
          <w:highlight w:val="none"/>
        </w:rPr>
        <w:t>7.1.2.</w:t>
      </w:r>
      <w:r>
        <w:rPr>
          <w:rFonts w:hint="eastAsia" w:cs="宋体"/>
          <w:color w:val="auto"/>
          <w:sz w:val="24"/>
          <w:highlight w:val="none"/>
          <w:lang w:val="en-US" w:eastAsia="zh-CN"/>
        </w:rPr>
        <w:t>10</w:t>
      </w:r>
      <w:r>
        <w:rPr>
          <w:rFonts w:hint="eastAsia" w:cs="宋体"/>
          <w:color w:val="auto"/>
          <w:sz w:val="24"/>
          <w:highlight w:val="none"/>
        </w:rPr>
        <w:t xml:space="preserve">  数据采集系统（用于正弦逼近法）</w:t>
      </w:r>
    </w:p>
    <w:p w14:paraId="5B524F40">
      <w:pPr>
        <w:spacing w:before="156" w:beforeLines="50" w:line="360" w:lineRule="auto"/>
        <w:ind w:firstLine="420"/>
        <w:rPr>
          <w:rFonts w:cs="宋体"/>
          <w:color w:val="auto"/>
          <w:sz w:val="24"/>
          <w:highlight w:val="none"/>
        </w:rPr>
      </w:pPr>
      <w:r>
        <w:rPr>
          <w:rFonts w:hint="eastAsia" w:cs="宋体"/>
          <w:color w:val="auto"/>
          <w:sz w:val="24"/>
          <w:highlight w:val="none"/>
        </w:rPr>
        <w:t>数据采集系统或波形记录仪的幅值分辨力、采样率及存储量应满足需要。通常，用于加速度计输出幅值的分辨力应不小于10位；用于干涉仪正交输出信号的分辨力应不小于8位。加速度计输出电压的模数转换可以采用与干涉仪输出信号模-数转换相同或较低的采样速率。三路信号的采样应同时开始，同时结束，至少应保证两路干涉仪输出信号用同一系统时钟进行同步采样。其技术指标应该使测量的不确定度符合4.1的规定。</w:t>
      </w:r>
    </w:p>
    <w:p w14:paraId="33F4C9CC">
      <w:pPr>
        <w:spacing w:before="156" w:beforeLines="50" w:line="360" w:lineRule="auto"/>
        <w:ind w:firstLine="480" w:firstLineChars="200"/>
        <w:rPr>
          <w:rFonts w:cs="宋体"/>
          <w:color w:val="auto"/>
          <w:sz w:val="24"/>
          <w:highlight w:val="none"/>
        </w:rPr>
      </w:pPr>
      <w:r>
        <w:rPr>
          <w:rFonts w:hint="eastAsia" w:cs="宋体"/>
          <w:color w:val="auto"/>
          <w:sz w:val="24"/>
          <w:highlight w:val="none"/>
        </w:rPr>
        <w:t>7.1.2.1</w:t>
      </w:r>
      <w:r>
        <w:rPr>
          <w:rFonts w:hint="eastAsia" w:cs="宋体"/>
          <w:color w:val="auto"/>
          <w:sz w:val="24"/>
          <w:highlight w:val="none"/>
          <w:lang w:val="en-US" w:eastAsia="zh-CN"/>
        </w:rPr>
        <w:t>1</w:t>
      </w:r>
      <w:r>
        <w:rPr>
          <w:rFonts w:hint="eastAsia" w:cs="宋体"/>
          <w:color w:val="auto"/>
          <w:sz w:val="24"/>
          <w:highlight w:val="none"/>
        </w:rPr>
        <w:t xml:space="preserve"> 横向灵敏度检定装置</w:t>
      </w:r>
    </w:p>
    <w:p w14:paraId="1E47725C">
      <w:pPr>
        <w:spacing w:before="156" w:beforeLines="50" w:line="360" w:lineRule="auto"/>
        <w:ind w:firstLine="420"/>
        <w:rPr>
          <w:rFonts w:cs="宋体"/>
          <w:color w:val="auto"/>
          <w:sz w:val="24"/>
          <w:highlight w:val="none"/>
        </w:rPr>
      </w:pPr>
      <w:r>
        <w:rPr>
          <w:rFonts w:hint="eastAsia" w:cs="宋体"/>
          <w:color w:val="auto"/>
          <w:sz w:val="24"/>
          <w:highlight w:val="none"/>
        </w:rPr>
        <w:t>横向灵敏度检定装置在参考频率点的横向振动比应≤1%。其技术指标应该使测量的不确定度符合4.1的规定。</w:t>
      </w:r>
    </w:p>
    <w:p w14:paraId="4D601C15">
      <w:pPr>
        <w:spacing w:before="156" w:beforeLines="50" w:line="360" w:lineRule="auto"/>
        <w:ind w:firstLine="480" w:firstLineChars="200"/>
        <w:rPr>
          <w:rFonts w:cs="宋体"/>
          <w:color w:val="auto"/>
          <w:sz w:val="24"/>
          <w:highlight w:val="none"/>
        </w:rPr>
      </w:pPr>
      <w:r>
        <w:rPr>
          <w:rFonts w:hint="eastAsia" w:cs="宋体"/>
          <w:color w:val="auto"/>
          <w:sz w:val="24"/>
          <w:highlight w:val="none"/>
        </w:rPr>
        <w:t>7.1.2.1</w:t>
      </w:r>
      <w:r>
        <w:rPr>
          <w:rFonts w:hint="eastAsia" w:cs="宋体"/>
          <w:color w:val="auto"/>
          <w:sz w:val="24"/>
          <w:highlight w:val="none"/>
          <w:lang w:val="en-US" w:eastAsia="zh-CN"/>
        </w:rPr>
        <w:t>2</w:t>
      </w:r>
      <w:r>
        <w:rPr>
          <w:rFonts w:hint="eastAsia" w:cs="宋体"/>
          <w:color w:val="auto"/>
          <w:sz w:val="24"/>
          <w:highlight w:val="none"/>
        </w:rPr>
        <w:t xml:space="preserve">  其他性能检测设备（选用）</w:t>
      </w:r>
    </w:p>
    <w:p w14:paraId="1CE355FF">
      <w:pPr>
        <w:spacing w:before="156" w:beforeLines="50" w:line="360" w:lineRule="auto"/>
        <w:ind w:firstLine="420"/>
        <w:rPr>
          <w:rFonts w:cs="宋体"/>
          <w:color w:val="auto"/>
          <w:sz w:val="24"/>
          <w:highlight w:val="none"/>
        </w:rPr>
      </w:pPr>
      <w:r>
        <w:rPr>
          <w:rFonts w:hint="eastAsia" w:cs="宋体"/>
          <w:color w:val="auto"/>
          <w:sz w:val="24"/>
          <w:highlight w:val="none"/>
        </w:rPr>
        <w:t>对其他性能检测设备的要求，见附录B和国家标准GB/T 20485“振动与冲击传感器校准方法”系列中的相关标准。</w:t>
      </w:r>
    </w:p>
    <w:p w14:paraId="05D6118B">
      <w:pPr>
        <w:spacing w:before="156" w:beforeLines="50" w:line="360" w:lineRule="auto"/>
        <w:rPr>
          <w:rFonts w:cs="宋体"/>
          <w:color w:val="auto"/>
          <w:sz w:val="24"/>
          <w:highlight w:val="none"/>
        </w:rPr>
      </w:pPr>
      <w:r>
        <w:rPr>
          <w:rFonts w:hint="eastAsia" w:cs="宋体"/>
          <w:color w:val="auto"/>
          <w:sz w:val="24"/>
          <w:highlight w:val="none"/>
        </w:rPr>
        <w:t>7.1.3  检定参数设置的选择</w:t>
      </w:r>
    </w:p>
    <w:p w14:paraId="5CF938DF">
      <w:pPr>
        <w:spacing w:before="156" w:beforeLines="50" w:line="360" w:lineRule="auto"/>
        <w:ind w:firstLine="420"/>
        <w:rPr>
          <w:rFonts w:cs="宋体"/>
          <w:color w:val="auto"/>
          <w:sz w:val="24"/>
          <w:highlight w:val="none"/>
        </w:rPr>
      </w:pPr>
      <w:r>
        <w:rPr>
          <w:rFonts w:hint="eastAsia" w:cs="宋体"/>
          <w:color w:val="auto"/>
          <w:sz w:val="24"/>
          <w:highlight w:val="none"/>
        </w:rPr>
        <w:t>应优先选用下列频率和加速度值：</w:t>
      </w:r>
    </w:p>
    <w:p w14:paraId="04649B4B">
      <w:pPr>
        <w:spacing w:before="156" w:beforeLines="50" w:line="360" w:lineRule="auto"/>
        <w:ind w:firstLine="420"/>
        <w:rPr>
          <w:rFonts w:cs="宋体"/>
          <w:color w:val="auto"/>
          <w:sz w:val="24"/>
          <w:highlight w:val="none"/>
        </w:rPr>
      </w:pPr>
      <w:r>
        <w:rPr>
          <w:rFonts w:hint="eastAsia" w:cs="宋体"/>
          <w:color w:val="auto"/>
          <w:sz w:val="24"/>
          <w:highlight w:val="none"/>
        </w:rPr>
        <w:t>a)加速度值（除贝塞尔函数法外），m/s²：</w:t>
      </w:r>
    </w:p>
    <w:p w14:paraId="5EF731DB">
      <w:pPr>
        <w:spacing w:before="156" w:beforeLines="50" w:line="360" w:lineRule="auto"/>
        <w:ind w:firstLine="420"/>
        <w:rPr>
          <w:rFonts w:cs="宋体"/>
          <w:color w:val="auto"/>
          <w:sz w:val="24"/>
          <w:highlight w:val="none"/>
        </w:rPr>
      </w:pPr>
      <w:r>
        <w:rPr>
          <w:rFonts w:hint="eastAsia" w:cs="宋体"/>
          <w:color w:val="auto"/>
          <w:sz w:val="24"/>
          <w:highlight w:val="none"/>
        </w:rPr>
        <w:t>…，0.1,0.2,0.5,1,2,5,10,20,50,100,200,500,1000,…；</w:t>
      </w:r>
    </w:p>
    <w:p w14:paraId="729F8D8F">
      <w:pPr>
        <w:spacing w:before="156" w:beforeLines="50" w:line="360" w:lineRule="auto"/>
        <w:ind w:firstLine="420"/>
        <w:rPr>
          <w:rFonts w:cs="宋体"/>
          <w:color w:val="auto"/>
          <w:sz w:val="24"/>
          <w:highlight w:val="none"/>
        </w:rPr>
      </w:pPr>
      <w:r>
        <w:rPr>
          <w:rFonts w:hint="eastAsia" w:cs="宋体"/>
          <w:color w:val="auto"/>
          <w:sz w:val="24"/>
          <w:highlight w:val="none"/>
        </w:rPr>
        <w:t>b)频率，Hz:</w:t>
      </w:r>
    </w:p>
    <w:p w14:paraId="23AE7E47">
      <w:pPr>
        <w:spacing w:before="156" w:beforeLines="50" w:line="360" w:lineRule="auto"/>
        <w:ind w:firstLine="420"/>
        <w:rPr>
          <w:rFonts w:cs="宋体"/>
          <w:color w:val="auto"/>
          <w:sz w:val="24"/>
          <w:highlight w:val="none"/>
        </w:rPr>
      </w:pPr>
      <w:r>
        <w:rPr>
          <w:rFonts w:hint="eastAsia" w:cs="宋体"/>
          <w:color w:val="auto"/>
          <w:sz w:val="24"/>
          <w:highlight w:val="none"/>
        </w:rPr>
        <w:t>按标准1/3倍频程频率（…，20,31.5,40,50,63,80,100,125,160,200,…）（或ω=1000 rad/s推算的角频率）序列选取。</w:t>
      </w:r>
    </w:p>
    <w:p w14:paraId="22848303">
      <w:pPr>
        <w:spacing w:before="156" w:beforeLines="50" w:line="360" w:lineRule="auto"/>
        <w:ind w:firstLine="420"/>
        <w:rPr>
          <w:rFonts w:cs="宋体"/>
          <w:color w:val="auto"/>
          <w:sz w:val="24"/>
          <w:highlight w:val="none"/>
        </w:rPr>
      </w:pPr>
      <w:r>
        <w:rPr>
          <w:rFonts w:hint="eastAsia" w:cs="宋体"/>
          <w:color w:val="auto"/>
          <w:sz w:val="24"/>
          <w:highlight w:val="none"/>
        </w:rPr>
        <w:t>采用比较法检定时，最好选取与标准加速度计检定条件相同的加速度和频率值。</w:t>
      </w:r>
    </w:p>
    <w:p w14:paraId="74745D88">
      <w:pPr>
        <w:spacing w:before="156" w:beforeLines="50" w:line="360" w:lineRule="auto"/>
        <w:rPr>
          <w:rFonts w:cs="宋体"/>
          <w:color w:val="auto"/>
          <w:sz w:val="24"/>
          <w:highlight w:val="none"/>
        </w:rPr>
      </w:pPr>
      <w:r>
        <w:rPr>
          <w:rFonts w:hint="eastAsia" w:cs="宋体"/>
          <w:color w:val="auto"/>
          <w:sz w:val="24"/>
          <w:highlight w:val="none"/>
        </w:rPr>
        <w:t>7.1.4  其他要求</w:t>
      </w:r>
    </w:p>
    <w:p w14:paraId="442EF64C">
      <w:pPr>
        <w:spacing w:before="156" w:beforeLines="50" w:line="360" w:lineRule="auto"/>
        <w:ind w:firstLine="420"/>
        <w:rPr>
          <w:rFonts w:cs="宋体"/>
          <w:color w:val="auto"/>
          <w:sz w:val="24"/>
          <w:highlight w:val="none"/>
        </w:rPr>
      </w:pPr>
      <w:r>
        <w:rPr>
          <w:rFonts w:hint="eastAsia" w:cs="宋体"/>
          <w:color w:val="auto"/>
          <w:sz w:val="24"/>
          <w:highlight w:val="none"/>
        </w:rPr>
        <w:t>(1)为获得所要求的测量不确定度，最好将加速度计和配用的适调仪作为一个整体同时进行检定。否则应在所有测量频率点对适调仪进行检定，确定其增益和灵敏度幅值的频率响应（必要时，还应包括相移）。</w:t>
      </w:r>
    </w:p>
    <w:p w14:paraId="1F83F0BE">
      <w:pPr>
        <w:spacing w:before="156" w:beforeLines="50" w:line="360" w:lineRule="auto"/>
        <w:ind w:firstLine="420"/>
        <w:rPr>
          <w:rFonts w:cs="宋体"/>
          <w:color w:val="auto"/>
          <w:sz w:val="24"/>
          <w:highlight w:val="none"/>
        </w:rPr>
      </w:pPr>
      <w:r>
        <w:rPr>
          <w:rFonts w:hint="eastAsia" w:cs="宋体"/>
          <w:color w:val="auto"/>
          <w:sz w:val="24"/>
          <w:highlight w:val="none"/>
        </w:rPr>
        <w:t>(2)采用比较法检定时，被检加速度计与标准加速度计应背靠背安装，也可采用被检加速度计与固定装置内装标准加速度计同轴安装的方式。建议不使用加速度计肩并肩的安装方式。</w:t>
      </w:r>
    </w:p>
    <w:p w14:paraId="71900373">
      <w:pPr>
        <w:spacing w:before="156" w:beforeLines="50" w:line="360" w:lineRule="auto"/>
        <w:ind w:firstLine="420"/>
        <w:rPr>
          <w:rFonts w:cs="宋体"/>
          <w:color w:val="auto"/>
          <w:sz w:val="24"/>
          <w:highlight w:val="none"/>
        </w:rPr>
      </w:pPr>
      <w:r>
        <w:rPr>
          <w:rFonts w:hint="eastAsia" w:cs="宋体"/>
          <w:color w:val="auto"/>
          <w:sz w:val="24"/>
          <w:highlight w:val="none"/>
        </w:rPr>
        <w:t>(3)绝对法检定双端标准加速度计灵敏度幅值和相位时，应加装一个模拟质量块。其质量应约等于比较法检定时被检加速度计的质量。通常用20g的质量块作为模拟质量块。激光可以射在模拟质量块的上表面，或者通过模拟质量块上的通孔射在标准加速度计的上表面。对于第一种情况，模拟质量块的上表面应抛光，并且激光的光点位置应靠近该表面的几何中心。</w:t>
      </w:r>
    </w:p>
    <w:p w14:paraId="474E33E7">
      <w:pPr>
        <w:spacing w:before="156" w:beforeLines="50" w:line="360" w:lineRule="auto"/>
        <w:ind w:firstLine="420"/>
        <w:rPr>
          <w:rFonts w:cs="宋体"/>
          <w:color w:val="auto"/>
          <w:sz w:val="24"/>
          <w:highlight w:val="none"/>
        </w:rPr>
      </w:pPr>
      <w:r>
        <w:rPr>
          <w:rFonts w:hint="eastAsia" w:cs="宋体"/>
          <w:color w:val="auto"/>
          <w:sz w:val="24"/>
          <w:highlight w:val="none"/>
        </w:rPr>
        <w:t>(4)应尽可能减小电缆抖动和基座应变对测量结果的影响，特别是在低频段更应注意。</w:t>
      </w:r>
    </w:p>
    <w:p w14:paraId="58B5F183">
      <w:pPr>
        <w:spacing w:before="156" w:beforeLines="50" w:line="360" w:lineRule="auto"/>
        <w:ind w:firstLine="420"/>
        <w:rPr>
          <w:rFonts w:cs="宋体"/>
          <w:color w:val="auto"/>
          <w:sz w:val="24"/>
          <w:highlight w:val="none"/>
        </w:rPr>
      </w:pPr>
      <w:r>
        <w:rPr>
          <w:rFonts w:hint="eastAsia" w:cs="宋体"/>
          <w:color w:val="auto"/>
          <w:sz w:val="24"/>
          <w:highlight w:val="none"/>
        </w:rPr>
        <w:t>(5)用螺钉安装加速度计时，应在加速度计与振动台安装表面之间均匀涂抹蜂蜡或硅脂薄膜，以增加接触刚度。</w:t>
      </w:r>
    </w:p>
    <w:p w14:paraId="54824DAE">
      <w:pPr>
        <w:spacing w:before="156" w:beforeLines="50" w:line="360" w:lineRule="auto"/>
        <w:ind w:firstLine="420"/>
        <w:rPr>
          <w:rFonts w:cs="宋体"/>
          <w:color w:val="auto"/>
          <w:sz w:val="24"/>
          <w:highlight w:val="none"/>
        </w:rPr>
      </w:pPr>
      <w:r>
        <w:rPr>
          <w:rFonts w:hint="eastAsia" w:cs="宋体"/>
          <w:color w:val="auto"/>
          <w:sz w:val="24"/>
          <w:highlight w:val="none"/>
        </w:rPr>
        <w:t>(6)如果受振动台和测量能力的限制，不能在一套装置上完成被检加速度计全频段的检定，则允许在多套装置上检定，以覆盖所需的频率测量范围。</w:t>
      </w:r>
    </w:p>
    <w:p w14:paraId="3885C783">
      <w:pPr>
        <w:spacing w:before="156" w:beforeLines="50" w:line="360" w:lineRule="auto"/>
        <w:rPr>
          <w:rFonts w:cs="宋体"/>
          <w:color w:val="auto"/>
          <w:sz w:val="24"/>
          <w:highlight w:val="none"/>
        </w:rPr>
      </w:pPr>
      <w:r>
        <w:rPr>
          <w:rFonts w:hint="eastAsia" w:cs="宋体"/>
          <w:color w:val="auto"/>
          <w:sz w:val="24"/>
          <w:highlight w:val="none"/>
        </w:rPr>
        <w:t>7.2  检定项目</w:t>
      </w:r>
    </w:p>
    <w:p w14:paraId="105F447F">
      <w:pPr>
        <w:spacing w:before="156" w:beforeLines="50" w:line="360" w:lineRule="auto"/>
        <w:rPr>
          <w:rFonts w:cs="宋体"/>
          <w:color w:val="auto"/>
          <w:sz w:val="24"/>
          <w:highlight w:val="none"/>
        </w:rPr>
      </w:pPr>
      <w:r>
        <w:rPr>
          <w:rFonts w:hint="eastAsia" w:cs="宋体"/>
          <w:color w:val="auto"/>
          <w:sz w:val="24"/>
          <w:highlight w:val="none"/>
        </w:rPr>
        <w:t>7.2.1  常规检定项目</w:t>
      </w:r>
    </w:p>
    <w:p w14:paraId="529880B7">
      <w:pPr>
        <w:spacing w:before="156" w:beforeLines="50" w:line="360" w:lineRule="auto"/>
        <w:ind w:firstLine="420"/>
        <w:rPr>
          <w:rFonts w:cs="宋体"/>
          <w:b/>
          <w:bCs/>
          <w:color w:val="auto"/>
          <w:sz w:val="24"/>
          <w:highlight w:val="none"/>
        </w:rPr>
      </w:pPr>
      <w:r>
        <w:rPr>
          <w:rFonts w:hint="eastAsia" w:cs="宋体"/>
          <w:color w:val="auto"/>
          <w:sz w:val="24"/>
          <w:highlight w:val="none"/>
        </w:rPr>
        <w:t>常规检定项目见表</w:t>
      </w:r>
    </w:p>
    <w:p w14:paraId="59A85876">
      <w:pPr>
        <w:jc w:val="center"/>
        <w:rPr>
          <w:b/>
          <w:bCs/>
          <w:color w:val="auto"/>
          <w:highlight w:val="none"/>
        </w:rPr>
      </w:pPr>
      <w:r>
        <w:rPr>
          <w:b/>
          <w:bCs/>
          <w:color w:val="auto"/>
          <w:highlight w:val="none"/>
        </w:rPr>
        <w:t>表</w:t>
      </w:r>
      <w:r>
        <w:rPr>
          <w:rFonts w:hint="eastAsia"/>
          <w:b/>
          <w:bCs/>
          <w:color w:val="auto"/>
          <w:highlight w:val="none"/>
        </w:rPr>
        <w:t>8  常</w:t>
      </w:r>
      <w:r>
        <w:rPr>
          <w:b/>
          <w:bCs/>
          <w:color w:val="auto"/>
          <w:highlight w:val="none"/>
        </w:rPr>
        <w:t>规检定项目表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280"/>
        <w:gridCol w:w="1130"/>
        <w:gridCol w:w="851"/>
        <w:gridCol w:w="850"/>
        <w:gridCol w:w="992"/>
        <w:gridCol w:w="851"/>
        <w:gridCol w:w="858"/>
        <w:gridCol w:w="922"/>
      </w:tblGrid>
      <w:tr w14:paraId="625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2DAB7C3A">
            <w:pPr>
              <w:jc w:val="center"/>
              <w:rPr>
                <w:color w:val="auto"/>
                <w:highlight w:val="none"/>
              </w:rPr>
            </w:pPr>
            <w:r>
              <w:rPr>
                <w:color w:val="auto"/>
                <w:highlight w:val="none"/>
              </w:rPr>
              <w:t>序号</w:t>
            </w:r>
          </w:p>
        </w:tc>
        <w:tc>
          <w:tcPr>
            <w:tcW w:w="2410" w:type="dxa"/>
            <w:gridSpan w:val="2"/>
            <w:vMerge w:val="restart"/>
            <w:vAlign w:val="center"/>
          </w:tcPr>
          <w:p w14:paraId="57A26038">
            <w:pPr>
              <w:jc w:val="center"/>
              <w:rPr>
                <w:color w:val="auto"/>
                <w:highlight w:val="none"/>
              </w:rPr>
            </w:pPr>
            <w:r>
              <w:rPr>
                <w:color w:val="auto"/>
                <w:highlight w:val="none"/>
              </w:rPr>
              <w:t>检定项日</w:t>
            </w:r>
          </w:p>
        </w:tc>
        <w:tc>
          <w:tcPr>
            <w:tcW w:w="2693" w:type="dxa"/>
            <w:gridSpan w:val="3"/>
            <w:vAlign w:val="center"/>
          </w:tcPr>
          <w:p w14:paraId="62255AB4">
            <w:pPr>
              <w:jc w:val="center"/>
              <w:rPr>
                <w:color w:val="auto"/>
                <w:highlight w:val="none"/>
              </w:rPr>
            </w:pPr>
            <w:r>
              <w:rPr>
                <w:rFonts w:hint="eastAsia"/>
                <w:color w:val="auto"/>
                <w:highlight w:val="none"/>
              </w:rPr>
              <w:t>标准加速度计</w:t>
            </w:r>
          </w:p>
        </w:tc>
        <w:tc>
          <w:tcPr>
            <w:tcW w:w="2631" w:type="dxa"/>
            <w:gridSpan w:val="3"/>
            <w:vAlign w:val="center"/>
          </w:tcPr>
          <w:p w14:paraId="6A8A6B14">
            <w:pPr>
              <w:jc w:val="center"/>
              <w:rPr>
                <w:color w:val="auto"/>
                <w:highlight w:val="none"/>
              </w:rPr>
            </w:pPr>
            <w:r>
              <w:rPr>
                <w:rFonts w:hint="eastAsia"/>
                <w:color w:val="auto"/>
                <w:highlight w:val="none"/>
              </w:rPr>
              <w:t>工</w:t>
            </w:r>
            <w:r>
              <w:rPr>
                <w:color w:val="auto"/>
                <w:highlight w:val="none"/>
              </w:rPr>
              <w:t>作加速度计</w:t>
            </w:r>
          </w:p>
        </w:tc>
      </w:tr>
      <w:tr w14:paraId="20C7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BFB6CB3">
            <w:pPr>
              <w:jc w:val="center"/>
              <w:rPr>
                <w:color w:val="auto"/>
                <w:highlight w:val="none"/>
              </w:rPr>
            </w:pPr>
          </w:p>
        </w:tc>
        <w:tc>
          <w:tcPr>
            <w:tcW w:w="2410" w:type="dxa"/>
            <w:gridSpan w:val="2"/>
            <w:vMerge w:val="continue"/>
            <w:vAlign w:val="center"/>
          </w:tcPr>
          <w:p w14:paraId="6110D2AF">
            <w:pPr>
              <w:jc w:val="center"/>
              <w:rPr>
                <w:color w:val="auto"/>
                <w:highlight w:val="none"/>
              </w:rPr>
            </w:pPr>
          </w:p>
        </w:tc>
        <w:tc>
          <w:tcPr>
            <w:tcW w:w="851" w:type="dxa"/>
            <w:vAlign w:val="center"/>
          </w:tcPr>
          <w:p w14:paraId="10F16DA8">
            <w:pPr>
              <w:jc w:val="center"/>
              <w:rPr>
                <w:color w:val="auto"/>
                <w:highlight w:val="none"/>
              </w:rPr>
            </w:pPr>
            <w:r>
              <w:rPr>
                <w:color w:val="auto"/>
                <w:highlight w:val="none"/>
              </w:rPr>
              <w:t>首次检定</w:t>
            </w:r>
          </w:p>
        </w:tc>
        <w:tc>
          <w:tcPr>
            <w:tcW w:w="850" w:type="dxa"/>
            <w:vAlign w:val="center"/>
          </w:tcPr>
          <w:p w14:paraId="287BA108">
            <w:pPr>
              <w:jc w:val="center"/>
              <w:rPr>
                <w:color w:val="auto"/>
                <w:highlight w:val="none"/>
              </w:rPr>
            </w:pPr>
            <w:r>
              <w:rPr>
                <w:color w:val="auto"/>
                <w:highlight w:val="none"/>
              </w:rPr>
              <w:t>后续检定</w:t>
            </w:r>
          </w:p>
        </w:tc>
        <w:tc>
          <w:tcPr>
            <w:tcW w:w="992" w:type="dxa"/>
            <w:vAlign w:val="center"/>
          </w:tcPr>
          <w:p w14:paraId="2E33EBF2">
            <w:pPr>
              <w:jc w:val="center"/>
              <w:rPr>
                <w:color w:val="auto"/>
                <w:highlight w:val="none"/>
              </w:rPr>
            </w:pPr>
            <w:r>
              <w:rPr>
                <w:color w:val="auto"/>
                <w:highlight w:val="none"/>
              </w:rPr>
              <w:t>使用中检验</w:t>
            </w:r>
          </w:p>
        </w:tc>
        <w:tc>
          <w:tcPr>
            <w:tcW w:w="851" w:type="dxa"/>
            <w:vAlign w:val="center"/>
          </w:tcPr>
          <w:p w14:paraId="327583D1">
            <w:pPr>
              <w:jc w:val="center"/>
              <w:rPr>
                <w:color w:val="auto"/>
                <w:highlight w:val="none"/>
              </w:rPr>
            </w:pPr>
            <w:r>
              <w:rPr>
                <w:color w:val="auto"/>
                <w:highlight w:val="none"/>
              </w:rPr>
              <w:t>首次检定</w:t>
            </w:r>
          </w:p>
        </w:tc>
        <w:tc>
          <w:tcPr>
            <w:tcW w:w="858" w:type="dxa"/>
            <w:vAlign w:val="center"/>
          </w:tcPr>
          <w:p w14:paraId="3F100A07">
            <w:pPr>
              <w:jc w:val="center"/>
              <w:rPr>
                <w:color w:val="auto"/>
                <w:highlight w:val="none"/>
              </w:rPr>
            </w:pPr>
            <w:r>
              <w:rPr>
                <w:color w:val="auto"/>
                <w:highlight w:val="none"/>
              </w:rPr>
              <w:t>后续检定</w:t>
            </w:r>
          </w:p>
        </w:tc>
        <w:tc>
          <w:tcPr>
            <w:tcW w:w="922" w:type="dxa"/>
            <w:vAlign w:val="center"/>
          </w:tcPr>
          <w:p w14:paraId="2D3C0C6D">
            <w:pPr>
              <w:jc w:val="center"/>
              <w:rPr>
                <w:color w:val="auto"/>
                <w:highlight w:val="none"/>
              </w:rPr>
            </w:pPr>
            <w:r>
              <w:rPr>
                <w:color w:val="auto"/>
                <w:highlight w:val="none"/>
              </w:rPr>
              <w:t>使用中检验</w:t>
            </w:r>
          </w:p>
        </w:tc>
      </w:tr>
      <w:tr w14:paraId="4D0C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601CE0D">
            <w:pPr>
              <w:jc w:val="center"/>
              <w:rPr>
                <w:color w:val="auto"/>
                <w:highlight w:val="none"/>
              </w:rPr>
            </w:pPr>
            <w:r>
              <w:rPr>
                <w:rFonts w:hint="eastAsia"/>
                <w:color w:val="auto"/>
                <w:highlight w:val="none"/>
              </w:rPr>
              <w:t>1</w:t>
            </w:r>
          </w:p>
        </w:tc>
        <w:tc>
          <w:tcPr>
            <w:tcW w:w="2410" w:type="dxa"/>
            <w:gridSpan w:val="2"/>
            <w:vAlign w:val="center"/>
          </w:tcPr>
          <w:p w14:paraId="0EBC4160">
            <w:pPr>
              <w:jc w:val="center"/>
              <w:rPr>
                <w:color w:val="auto"/>
                <w:highlight w:val="none"/>
              </w:rPr>
            </w:pPr>
            <w:r>
              <w:rPr>
                <w:color w:val="auto"/>
                <w:highlight w:val="none"/>
              </w:rPr>
              <w:t>外观检查</w:t>
            </w:r>
          </w:p>
        </w:tc>
        <w:tc>
          <w:tcPr>
            <w:tcW w:w="851" w:type="dxa"/>
            <w:vAlign w:val="center"/>
          </w:tcPr>
          <w:p w14:paraId="6EBD7C24">
            <w:pPr>
              <w:jc w:val="center"/>
              <w:rPr>
                <w:color w:val="auto"/>
                <w:highlight w:val="none"/>
              </w:rPr>
            </w:pPr>
            <w:r>
              <w:rPr>
                <w:rFonts w:hint="eastAsia"/>
                <w:color w:val="auto"/>
                <w:highlight w:val="none"/>
              </w:rPr>
              <w:t>+</w:t>
            </w:r>
          </w:p>
        </w:tc>
        <w:tc>
          <w:tcPr>
            <w:tcW w:w="850" w:type="dxa"/>
            <w:vAlign w:val="center"/>
          </w:tcPr>
          <w:p w14:paraId="6B205EDF">
            <w:pPr>
              <w:jc w:val="center"/>
              <w:rPr>
                <w:color w:val="auto"/>
                <w:highlight w:val="none"/>
              </w:rPr>
            </w:pPr>
            <w:r>
              <w:rPr>
                <w:rFonts w:hint="eastAsia"/>
                <w:color w:val="auto"/>
                <w:highlight w:val="none"/>
              </w:rPr>
              <w:t>+</w:t>
            </w:r>
          </w:p>
        </w:tc>
        <w:tc>
          <w:tcPr>
            <w:tcW w:w="992" w:type="dxa"/>
            <w:vAlign w:val="center"/>
          </w:tcPr>
          <w:p w14:paraId="1359442A">
            <w:pPr>
              <w:jc w:val="center"/>
              <w:rPr>
                <w:color w:val="auto"/>
                <w:highlight w:val="none"/>
              </w:rPr>
            </w:pPr>
            <w:r>
              <w:rPr>
                <w:rFonts w:hint="eastAsia"/>
                <w:color w:val="auto"/>
                <w:highlight w:val="none"/>
              </w:rPr>
              <w:t>+</w:t>
            </w:r>
          </w:p>
        </w:tc>
        <w:tc>
          <w:tcPr>
            <w:tcW w:w="851" w:type="dxa"/>
            <w:vAlign w:val="center"/>
          </w:tcPr>
          <w:p w14:paraId="12826A6D">
            <w:pPr>
              <w:jc w:val="center"/>
              <w:rPr>
                <w:color w:val="auto"/>
                <w:highlight w:val="none"/>
              </w:rPr>
            </w:pPr>
            <w:r>
              <w:rPr>
                <w:rFonts w:hint="eastAsia"/>
                <w:color w:val="auto"/>
                <w:highlight w:val="none"/>
              </w:rPr>
              <w:t>+</w:t>
            </w:r>
          </w:p>
        </w:tc>
        <w:tc>
          <w:tcPr>
            <w:tcW w:w="858" w:type="dxa"/>
            <w:vAlign w:val="center"/>
          </w:tcPr>
          <w:p w14:paraId="5AC109E5">
            <w:pPr>
              <w:jc w:val="center"/>
              <w:rPr>
                <w:color w:val="auto"/>
                <w:highlight w:val="none"/>
              </w:rPr>
            </w:pPr>
            <w:r>
              <w:rPr>
                <w:rFonts w:hint="eastAsia"/>
                <w:color w:val="auto"/>
                <w:highlight w:val="none"/>
              </w:rPr>
              <w:t>+</w:t>
            </w:r>
          </w:p>
        </w:tc>
        <w:tc>
          <w:tcPr>
            <w:tcW w:w="922" w:type="dxa"/>
            <w:vAlign w:val="center"/>
          </w:tcPr>
          <w:p w14:paraId="7028C089">
            <w:pPr>
              <w:jc w:val="center"/>
              <w:rPr>
                <w:color w:val="auto"/>
                <w:highlight w:val="none"/>
              </w:rPr>
            </w:pPr>
            <w:r>
              <w:rPr>
                <w:rFonts w:hint="eastAsia"/>
                <w:color w:val="auto"/>
                <w:highlight w:val="none"/>
              </w:rPr>
              <w:t>+</w:t>
            </w:r>
          </w:p>
        </w:tc>
      </w:tr>
      <w:tr w14:paraId="637A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2C061E6C">
            <w:pPr>
              <w:jc w:val="center"/>
              <w:rPr>
                <w:color w:val="auto"/>
                <w:highlight w:val="none"/>
              </w:rPr>
            </w:pPr>
            <w:r>
              <w:rPr>
                <w:rFonts w:hint="eastAsia"/>
                <w:color w:val="auto"/>
                <w:highlight w:val="none"/>
              </w:rPr>
              <w:t>2</w:t>
            </w:r>
          </w:p>
        </w:tc>
        <w:tc>
          <w:tcPr>
            <w:tcW w:w="1280" w:type="dxa"/>
            <w:vMerge w:val="restart"/>
            <w:vAlign w:val="center"/>
          </w:tcPr>
          <w:p w14:paraId="288E4487">
            <w:pPr>
              <w:jc w:val="center"/>
              <w:rPr>
                <w:color w:val="auto"/>
                <w:highlight w:val="none"/>
              </w:rPr>
            </w:pPr>
            <w:r>
              <w:rPr>
                <w:color w:val="auto"/>
                <w:highlight w:val="none"/>
              </w:rPr>
              <w:t>参考灵敏</w:t>
            </w:r>
            <w:r>
              <w:rPr>
                <w:rFonts w:hint="eastAsia"/>
                <w:color w:val="auto"/>
                <w:highlight w:val="none"/>
              </w:rPr>
              <w:t>度</w:t>
            </w:r>
          </w:p>
        </w:tc>
        <w:tc>
          <w:tcPr>
            <w:tcW w:w="1130" w:type="dxa"/>
            <w:vAlign w:val="center"/>
          </w:tcPr>
          <w:p w14:paraId="721662A1">
            <w:pPr>
              <w:jc w:val="center"/>
              <w:rPr>
                <w:color w:val="auto"/>
                <w:highlight w:val="none"/>
              </w:rPr>
            </w:pPr>
            <w:r>
              <w:rPr>
                <w:color w:val="auto"/>
                <w:highlight w:val="none"/>
              </w:rPr>
              <w:t>幅值</w:t>
            </w:r>
          </w:p>
        </w:tc>
        <w:tc>
          <w:tcPr>
            <w:tcW w:w="851" w:type="dxa"/>
            <w:vAlign w:val="center"/>
          </w:tcPr>
          <w:p w14:paraId="7592237F">
            <w:pPr>
              <w:jc w:val="center"/>
              <w:rPr>
                <w:color w:val="auto"/>
                <w:highlight w:val="none"/>
              </w:rPr>
            </w:pPr>
            <w:r>
              <w:rPr>
                <w:rFonts w:hint="eastAsia"/>
                <w:color w:val="auto"/>
                <w:highlight w:val="none"/>
              </w:rPr>
              <w:t>+</w:t>
            </w:r>
          </w:p>
        </w:tc>
        <w:tc>
          <w:tcPr>
            <w:tcW w:w="850" w:type="dxa"/>
            <w:vAlign w:val="center"/>
          </w:tcPr>
          <w:p w14:paraId="6FEBA9D5">
            <w:pPr>
              <w:jc w:val="center"/>
              <w:rPr>
                <w:color w:val="auto"/>
                <w:highlight w:val="none"/>
              </w:rPr>
            </w:pPr>
            <w:r>
              <w:rPr>
                <w:rFonts w:hint="eastAsia"/>
                <w:color w:val="auto"/>
                <w:highlight w:val="none"/>
              </w:rPr>
              <w:t>+</w:t>
            </w:r>
          </w:p>
        </w:tc>
        <w:tc>
          <w:tcPr>
            <w:tcW w:w="992" w:type="dxa"/>
            <w:vAlign w:val="center"/>
          </w:tcPr>
          <w:p w14:paraId="127BBB09">
            <w:pPr>
              <w:jc w:val="center"/>
              <w:rPr>
                <w:color w:val="auto"/>
                <w:highlight w:val="none"/>
              </w:rPr>
            </w:pPr>
            <w:r>
              <w:rPr>
                <w:rFonts w:hint="eastAsia"/>
                <w:color w:val="auto"/>
                <w:highlight w:val="none"/>
              </w:rPr>
              <w:t>+</w:t>
            </w:r>
          </w:p>
        </w:tc>
        <w:tc>
          <w:tcPr>
            <w:tcW w:w="851" w:type="dxa"/>
            <w:vAlign w:val="center"/>
          </w:tcPr>
          <w:p w14:paraId="49ECEAD3">
            <w:pPr>
              <w:jc w:val="center"/>
              <w:rPr>
                <w:color w:val="auto"/>
                <w:highlight w:val="none"/>
              </w:rPr>
            </w:pPr>
            <w:r>
              <w:rPr>
                <w:rFonts w:hint="eastAsia"/>
                <w:color w:val="auto"/>
                <w:highlight w:val="none"/>
              </w:rPr>
              <w:t>+</w:t>
            </w:r>
          </w:p>
        </w:tc>
        <w:tc>
          <w:tcPr>
            <w:tcW w:w="858" w:type="dxa"/>
            <w:vAlign w:val="center"/>
          </w:tcPr>
          <w:p w14:paraId="2727D171">
            <w:pPr>
              <w:jc w:val="center"/>
              <w:rPr>
                <w:color w:val="auto"/>
                <w:highlight w:val="none"/>
              </w:rPr>
            </w:pPr>
            <w:r>
              <w:rPr>
                <w:rFonts w:hint="eastAsia"/>
                <w:color w:val="auto"/>
                <w:highlight w:val="none"/>
              </w:rPr>
              <w:t>+</w:t>
            </w:r>
          </w:p>
        </w:tc>
        <w:tc>
          <w:tcPr>
            <w:tcW w:w="922" w:type="dxa"/>
            <w:vAlign w:val="center"/>
          </w:tcPr>
          <w:p w14:paraId="083964E7">
            <w:pPr>
              <w:jc w:val="center"/>
              <w:rPr>
                <w:color w:val="auto"/>
                <w:highlight w:val="none"/>
              </w:rPr>
            </w:pPr>
            <w:r>
              <w:rPr>
                <w:rFonts w:hint="eastAsia"/>
                <w:color w:val="auto"/>
                <w:highlight w:val="none"/>
              </w:rPr>
              <w:t>+</w:t>
            </w:r>
          </w:p>
        </w:tc>
      </w:tr>
      <w:tr w14:paraId="17B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2673F424">
            <w:pPr>
              <w:jc w:val="center"/>
              <w:rPr>
                <w:color w:val="auto"/>
                <w:highlight w:val="none"/>
              </w:rPr>
            </w:pPr>
          </w:p>
        </w:tc>
        <w:tc>
          <w:tcPr>
            <w:tcW w:w="1280" w:type="dxa"/>
            <w:vMerge w:val="continue"/>
            <w:vAlign w:val="center"/>
          </w:tcPr>
          <w:p w14:paraId="51402002">
            <w:pPr>
              <w:jc w:val="center"/>
              <w:rPr>
                <w:color w:val="auto"/>
                <w:highlight w:val="none"/>
              </w:rPr>
            </w:pPr>
          </w:p>
        </w:tc>
        <w:tc>
          <w:tcPr>
            <w:tcW w:w="1130" w:type="dxa"/>
            <w:vAlign w:val="center"/>
          </w:tcPr>
          <w:p w14:paraId="6F71D2BD">
            <w:pPr>
              <w:jc w:val="center"/>
              <w:rPr>
                <w:color w:val="auto"/>
                <w:highlight w:val="none"/>
              </w:rPr>
            </w:pPr>
            <w:r>
              <w:rPr>
                <w:color w:val="auto"/>
                <w:highlight w:val="none"/>
              </w:rPr>
              <w:t>相移</w:t>
            </w:r>
          </w:p>
        </w:tc>
        <w:tc>
          <w:tcPr>
            <w:tcW w:w="851" w:type="dxa"/>
            <w:vAlign w:val="center"/>
          </w:tcPr>
          <w:p w14:paraId="790F1B6D">
            <w:pPr>
              <w:jc w:val="center"/>
              <w:rPr>
                <w:color w:val="auto"/>
                <w:highlight w:val="none"/>
              </w:rPr>
            </w:pPr>
            <w:r>
              <w:rPr>
                <w:rFonts w:hint="eastAsia"/>
                <w:color w:val="auto"/>
                <w:highlight w:val="none"/>
              </w:rPr>
              <w:t>+</w:t>
            </w:r>
          </w:p>
        </w:tc>
        <w:tc>
          <w:tcPr>
            <w:tcW w:w="850" w:type="dxa"/>
            <w:vAlign w:val="center"/>
          </w:tcPr>
          <w:p w14:paraId="1AEA98C1">
            <w:pPr>
              <w:jc w:val="center"/>
              <w:rPr>
                <w:color w:val="auto"/>
                <w:highlight w:val="none"/>
              </w:rPr>
            </w:pPr>
            <w:r>
              <w:rPr>
                <w:rFonts w:hint="eastAsia"/>
                <w:color w:val="auto"/>
                <w:highlight w:val="none"/>
              </w:rPr>
              <w:t>-</w:t>
            </w:r>
          </w:p>
        </w:tc>
        <w:tc>
          <w:tcPr>
            <w:tcW w:w="992" w:type="dxa"/>
            <w:vAlign w:val="center"/>
          </w:tcPr>
          <w:p w14:paraId="26F9E705">
            <w:pPr>
              <w:jc w:val="center"/>
              <w:rPr>
                <w:color w:val="auto"/>
                <w:highlight w:val="none"/>
              </w:rPr>
            </w:pPr>
            <w:r>
              <w:rPr>
                <w:rFonts w:hint="eastAsia"/>
                <w:color w:val="auto"/>
                <w:highlight w:val="none"/>
              </w:rPr>
              <w:t>-</w:t>
            </w:r>
          </w:p>
        </w:tc>
        <w:tc>
          <w:tcPr>
            <w:tcW w:w="851" w:type="dxa"/>
            <w:vAlign w:val="center"/>
          </w:tcPr>
          <w:p w14:paraId="75729667">
            <w:pPr>
              <w:jc w:val="center"/>
              <w:rPr>
                <w:color w:val="auto"/>
                <w:highlight w:val="none"/>
              </w:rPr>
            </w:pPr>
            <w:r>
              <w:rPr>
                <w:rFonts w:hint="eastAsia"/>
                <w:color w:val="auto"/>
                <w:highlight w:val="none"/>
              </w:rPr>
              <w:t>-</w:t>
            </w:r>
          </w:p>
        </w:tc>
        <w:tc>
          <w:tcPr>
            <w:tcW w:w="858" w:type="dxa"/>
            <w:vAlign w:val="center"/>
          </w:tcPr>
          <w:p w14:paraId="5AC2A97D">
            <w:pPr>
              <w:jc w:val="center"/>
              <w:rPr>
                <w:color w:val="auto"/>
                <w:highlight w:val="none"/>
              </w:rPr>
            </w:pPr>
            <w:r>
              <w:rPr>
                <w:rFonts w:hint="eastAsia"/>
                <w:color w:val="auto"/>
                <w:highlight w:val="none"/>
              </w:rPr>
              <w:t>-</w:t>
            </w:r>
          </w:p>
        </w:tc>
        <w:tc>
          <w:tcPr>
            <w:tcW w:w="922" w:type="dxa"/>
            <w:vAlign w:val="center"/>
          </w:tcPr>
          <w:p w14:paraId="1DC65F70">
            <w:pPr>
              <w:jc w:val="center"/>
              <w:rPr>
                <w:color w:val="auto"/>
                <w:highlight w:val="none"/>
              </w:rPr>
            </w:pPr>
            <w:r>
              <w:rPr>
                <w:rFonts w:hint="eastAsia"/>
                <w:color w:val="auto"/>
                <w:highlight w:val="none"/>
              </w:rPr>
              <w:t>-</w:t>
            </w:r>
          </w:p>
        </w:tc>
      </w:tr>
      <w:tr w14:paraId="4D4E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7D36F64F">
            <w:pPr>
              <w:jc w:val="center"/>
              <w:rPr>
                <w:color w:val="auto"/>
                <w:highlight w:val="none"/>
              </w:rPr>
            </w:pPr>
            <w:r>
              <w:rPr>
                <w:rFonts w:hint="eastAsia"/>
                <w:color w:val="auto"/>
                <w:highlight w:val="none"/>
              </w:rPr>
              <w:t>3</w:t>
            </w:r>
          </w:p>
        </w:tc>
        <w:tc>
          <w:tcPr>
            <w:tcW w:w="1280" w:type="dxa"/>
            <w:vMerge w:val="restart"/>
            <w:vAlign w:val="center"/>
          </w:tcPr>
          <w:p w14:paraId="60157FA8">
            <w:pPr>
              <w:jc w:val="center"/>
              <w:rPr>
                <w:color w:val="auto"/>
                <w:highlight w:val="none"/>
              </w:rPr>
            </w:pPr>
            <w:r>
              <w:rPr>
                <w:color w:val="auto"/>
                <w:highlight w:val="none"/>
              </w:rPr>
              <w:t>灵敏度频率</w:t>
            </w:r>
            <w:r>
              <w:rPr>
                <w:rFonts w:hint="eastAsia"/>
                <w:color w:val="auto"/>
                <w:highlight w:val="none"/>
              </w:rPr>
              <w:t>响应</w:t>
            </w:r>
          </w:p>
        </w:tc>
        <w:tc>
          <w:tcPr>
            <w:tcW w:w="1130" w:type="dxa"/>
            <w:vAlign w:val="center"/>
          </w:tcPr>
          <w:p w14:paraId="7298BB02">
            <w:pPr>
              <w:jc w:val="center"/>
              <w:rPr>
                <w:color w:val="auto"/>
                <w:highlight w:val="none"/>
              </w:rPr>
            </w:pPr>
            <w:r>
              <w:rPr>
                <w:color w:val="auto"/>
                <w:highlight w:val="none"/>
              </w:rPr>
              <w:t>幅值</w:t>
            </w:r>
          </w:p>
        </w:tc>
        <w:tc>
          <w:tcPr>
            <w:tcW w:w="851" w:type="dxa"/>
            <w:vAlign w:val="center"/>
          </w:tcPr>
          <w:p w14:paraId="0ACFAF4B">
            <w:pPr>
              <w:jc w:val="center"/>
              <w:rPr>
                <w:color w:val="auto"/>
                <w:highlight w:val="none"/>
              </w:rPr>
            </w:pPr>
            <w:r>
              <w:rPr>
                <w:rFonts w:hint="eastAsia"/>
                <w:color w:val="auto"/>
                <w:highlight w:val="none"/>
              </w:rPr>
              <w:t>+</w:t>
            </w:r>
          </w:p>
        </w:tc>
        <w:tc>
          <w:tcPr>
            <w:tcW w:w="850" w:type="dxa"/>
            <w:vAlign w:val="center"/>
          </w:tcPr>
          <w:p w14:paraId="29E13990">
            <w:pPr>
              <w:jc w:val="center"/>
              <w:rPr>
                <w:color w:val="auto"/>
                <w:highlight w:val="none"/>
              </w:rPr>
            </w:pPr>
            <w:r>
              <w:rPr>
                <w:rFonts w:hint="eastAsia"/>
                <w:color w:val="auto"/>
                <w:highlight w:val="none"/>
              </w:rPr>
              <w:t>+</w:t>
            </w:r>
          </w:p>
        </w:tc>
        <w:tc>
          <w:tcPr>
            <w:tcW w:w="992" w:type="dxa"/>
            <w:vAlign w:val="center"/>
          </w:tcPr>
          <w:p w14:paraId="3D6AE4BA">
            <w:pPr>
              <w:jc w:val="center"/>
              <w:rPr>
                <w:color w:val="auto"/>
                <w:highlight w:val="none"/>
              </w:rPr>
            </w:pPr>
            <w:r>
              <w:rPr>
                <w:rFonts w:hint="eastAsia"/>
                <w:color w:val="auto"/>
                <w:highlight w:val="none"/>
              </w:rPr>
              <w:t>+</w:t>
            </w:r>
          </w:p>
        </w:tc>
        <w:tc>
          <w:tcPr>
            <w:tcW w:w="851" w:type="dxa"/>
            <w:vAlign w:val="center"/>
          </w:tcPr>
          <w:p w14:paraId="02766EF6">
            <w:pPr>
              <w:jc w:val="center"/>
              <w:rPr>
                <w:color w:val="auto"/>
                <w:highlight w:val="none"/>
              </w:rPr>
            </w:pPr>
            <w:r>
              <w:rPr>
                <w:rFonts w:hint="eastAsia"/>
                <w:color w:val="auto"/>
                <w:highlight w:val="none"/>
              </w:rPr>
              <w:t>+</w:t>
            </w:r>
          </w:p>
        </w:tc>
        <w:tc>
          <w:tcPr>
            <w:tcW w:w="858" w:type="dxa"/>
            <w:vAlign w:val="center"/>
          </w:tcPr>
          <w:p w14:paraId="31D9A43B">
            <w:pPr>
              <w:jc w:val="center"/>
              <w:rPr>
                <w:color w:val="auto"/>
                <w:highlight w:val="none"/>
              </w:rPr>
            </w:pPr>
            <w:r>
              <w:rPr>
                <w:rFonts w:hint="eastAsia"/>
                <w:color w:val="auto"/>
                <w:highlight w:val="none"/>
              </w:rPr>
              <w:t>+</w:t>
            </w:r>
          </w:p>
        </w:tc>
        <w:tc>
          <w:tcPr>
            <w:tcW w:w="922" w:type="dxa"/>
            <w:vAlign w:val="center"/>
          </w:tcPr>
          <w:p w14:paraId="7BEDF6BB">
            <w:pPr>
              <w:jc w:val="center"/>
              <w:rPr>
                <w:color w:val="auto"/>
                <w:highlight w:val="none"/>
              </w:rPr>
            </w:pPr>
            <w:r>
              <w:rPr>
                <w:rFonts w:hint="eastAsia"/>
                <w:color w:val="auto"/>
                <w:highlight w:val="none"/>
              </w:rPr>
              <w:t>+</w:t>
            </w:r>
          </w:p>
        </w:tc>
      </w:tr>
      <w:tr w14:paraId="36AB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FCE2FBB">
            <w:pPr>
              <w:jc w:val="center"/>
              <w:rPr>
                <w:color w:val="auto"/>
                <w:highlight w:val="none"/>
              </w:rPr>
            </w:pPr>
          </w:p>
        </w:tc>
        <w:tc>
          <w:tcPr>
            <w:tcW w:w="1280" w:type="dxa"/>
            <w:vMerge w:val="continue"/>
            <w:vAlign w:val="center"/>
          </w:tcPr>
          <w:p w14:paraId="7BB4AE37">
            <w:pPr>
              <w:jc w:val="center"/>
              <w:rPr>
                <w:color w:val="auto"/>
                <w:highlight w:val="none"/>
              </w:rPr>
            </w:pPr>
          </w:p>
        </w:tc>
        <w:tc>
          <w:tcPr>
            <w:tcW w:w="1130" w:type="dxa"/>
            <w:vAlign w:val="center"/>
          </w:tcPr>
          <w:p w14:paraId="7BDB2E8F">
            <w:pPr>
              <w:jc w:val="center"/>
              <w:rPr>
                <w:color w:val="auto"/>
                <w:highlight w:val="none"/>
              </w:rPr>
            </w:pPr>
            <w:r>
              <w:rPr>
                <w:color w:val="auto"/>
                <w:highlight w:val="none"/>
              </w:rPr>
              <w:t>相移</w:t>
            </w:r>
          </w:p>
        </w:tc>
        <w:tc>
          <w:tcPr>
            <w:tcW w:w="851" w:type="dxa"/>
            <w:vAlign w:val="center"/>
          </w:tcPr>
          <w:p w14:paraId="1FDCB565">
            <w:pPr>
              <w:jc w:val="center"/>
              <w:rPr>
                <w:color w:val="auto"/>
                <w:highlight w:val="none"/>
              </w:rPr>
            </w:pPr>
            <w:r>
              <w:rPr>
                <w:rFonts w:hint="eastAsia"/>
                <w:color w:val="auto"/>
                <w:highlight w:val="none"/>
              </w:rPr>
              <w:t>+</w:t>
            </w:r>
          </w:p>
        </w:tc>
        <w:tc>
          <w:tcPr>
            <w:tcW w:w="850" w:type="dxa"/>
            <w:vAlign w:val="center"/>
          </w:tcPr>
          <w:p w14:paraId="3BCAF847">
            <w:pPr>
              <w:jc w:val="center"/>
              <w:rPr>
                <w:color w:val="auto"/>
                <w:highlight w:val="none"/>
              </w:rPr>
            </w:pPr>
            <w:r>
              <w:rPr>
                <w:rFonts w:hint="eastAsia"/>
                <w:color w:val="auto"/>
                <w:highlight w:val="none"/>
              </w:rPr>
              <w:t>-</w:t>
            </w:r>
          </w:p>
        </w:tc>
        <w:tc>
          <w:tcPr>
            <w:tcW w:w="992" w:type="dxa"/>
            <w:vAlign w:val="center"/>
          </w:tcPr>
          <w:p w14:paraId="50043DC0">
            <w:pPr>
              <w:jc w:val="center"/>
              <w:rPr>
                <w:color w:val="auto"/>
                <w:highlight w:val="none"/>
              </w:rPr>
            </w:pPr>
            <w:r>
              <w:rPr>
                <w:rFonts w:hint="eastAsia"/>
                <w:color w:val="auto"/>
                <w:highlight w:val="none"/>
              </w:rPr>
              <w:t>-</w:t>
            </w:r>
          </w:p>
        </w:tc>
        <w:tc>
          <w:tcPr>
            <w:tcW w:w="851" w:type="dxa"/>
            <w:vAlign w:val="center"/>
          </w:tcPr>
          <w:p w14:paraId="1E09D5DB">
            <w:pPr>
              <w:jc w:val="center"/>
              <w:rPr>
                <w:color w:val="auto"/>
                <w:highlight w:val="none"/>
              </w:rPr>
            </w:pPr>
            <w:r>
              <w:rPr>
                <w:rFonts w:hint="eastAsia"/>
                <w:color w:val="auto"/>
                <w:highlight w:val="none"/>
              </w:rPr>
              <w:t>-</w:t>
            </w:r>
          </w:p>
        </w:tc>
        <w:tc>
          <w:tcPr>
            <w:tcW w:w="858" w:type="dxa"/>
            <w:vAlign w:val="center"/>
          </w:tcPr>
          <w:p w14:paraId="3A341255">
            <w:pPr>
              <w:jc w:val="center"/>
              <w:rPr>
                <w:color w:val="auto"/>
                <w:highlight w:val="none"/>
              </w:rPr>
            </w:pPr>
            <w:r>
              <w:rPr>
                <w:rFonts w:hint="eastAsia"/>
                <w:color w:val="auto"/>
                <w:highlight w:val="none"/>
              </w:rPr>
              <w:t>-</w:t>
            </w:r>
          </w:p>
        </w:tc>
        <w:tc>
          <w:tcPr>
            <w:tcW w:w="922" w:type="dxa"/>
            <w:vAlign w:val="center"/>
          </w:tcPr>
          <w:p w14:paraId="774639A1">
            <w:pPr>
              <w:jc w:val="center"/>
              <w:rPr>
                <w:color w:val="auto"/>
                <w:highlight w:val="none"/>
              </w:rPr>
            </w:pPr>
            <w:r>
              <w:rPr>
                <w:rFonts w:hint="eastAsia"/>
                <w:color w:val="auto"/>
                <w:highlight w:val="none"/>
              </w:rPr>
              <w:t>-</w:t>
            </w:r>
          </w:p>
        </w:tc>
      </w:tr>
      <w:tr w14:paraId="42DC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0209358">
            <w:pPr>
              <w:jc w:val="center"/>
              <w:rPr>
                <w:color w:val="auto"/>
                <w:highlight w:val="none"/>
              </w:rPr>
            </w:pPr>
            <w:r>
              <w:rPr>
                <w:rFonts w:hint="eastAsia"/>
                <w:color w:val="auto"/>
                <w:highlight w:val="none"/>
              </w:rPr>
              <w:t>4</w:t>
            </w:r>
          </w:p>
        </w:tc>
        <w:tc>
          <w:tcPr>
            <w:tcW w:w="2410" w:type="dxa"/>
            <w:gridSpan w:val="2"/>
            <w:vAlign w:val="center"/>
          </w:tcPr>
          <w:p w14:paraId="28E23347">
            <w:pPr>
              <w:jc w:val="center"/>
              <w:rPr>
                <w:color w:val="auto"/>
                <w:highlight w:val="none"/>
              </w:rPr>
            </w:pPr>
            <w:r>
              <w:rPr>
                <w:color w:val="auto"/>
                <w:highlight w:val="none"/>
              </w:rPr>
              <w:t>灵敏度幅值线性度</w:t>
            </w:r>
          </w:p>
        </w:tc>
        <w:tc>
          <w:tcPr>
            <w:tcW w:w="851" w:type="dxa"/>
            <w:vAlign w:val="center"/>
          </w:tcPr>
          <w:p w14:paraId="4807DE7B">
            <w:pPr>
              <w:jc w:val="center"/>
              <w:rPr>
                <w:color w:val="auto"/>
                <w:highlight w:val="none"/>
              </w:rPr>
            </w:pPr>
            <w:r>
              <w:rPr>
                <w:rFonts w:hint="eastAsia"/>
                <w:color w:val="auto"/>
                <w:highlight w:val="none"/>
              </w:rPr>
              <w:t>+</w:t>
            </w:r>
          </w:p>
        </w:tc>
        <w:tc>
          <w:tcPr>
            <w:tcW w:w="850" w:type="dxa"/>
            <w:vAlign w:val="center"/>
          </w:tcPr>
          <w:p w14:paraId="46CD62F0">
            <w:pPr>
              <w:jc w:val="center"/>
              <w:rPr>
                <w:color w:val="auto"/>
                <w:highlight w:val="none"/>
              </w:rPr>
            </w:pPr>
            <w:r>
              <w:rPr>
                <w:rFonts w:hint="eastAsia"/>
                <w:color w:val="auto"/>
                <w:highlight w:val="none"/>
              </w:rPr>
              <w:t>+</w:t>
            </w:r>
          </w:p>
        </w:tc>
        <w:tc>
          <w:tcPr>
            <w:tcW w:w="992" w:type="dxa"/>
            <w:vAlign w:val="center"/>
          </w:tcPr>
          <w:p w14:paraId="5F3E086A">
            <w:pPr>
              <w:jc w:val="center"/>
              <w:rPr>
                <w:color w:val="auto"/>
                <w:highlight w:val="none"/>
              </w:rPr>
            </w:pPr>
            <w:r>
              <w:rPr>
                <w:rFonts w:hint="eastAsia"/>
                <w:color w:val="auto"/>
                <w:highlight w:val="none"/>
              </w:rPr>
              <w:t>+</w:t>
            </w:r>
          </w:p>
        </w:tc>
        <w:tc>
          <w:tcPr>
            <w:tcW w:w="851" w:type="dxa"/>
            <w:vAlign w:val="center"/>
          </w:tcPr>
          <w:p w14:paraId="549C599E">
            <w:pPr>
              <w:jc w:val="center"/>
              <w:rPr>
                <w:color w:val="auto"/>
                <w:highlight w:val="none"/>
              </w:rPr>
            </w:pPr>
            <w:r>
              <w:rPr>
                <w:rFonts w:hint="eastAsia"/>
                <w:color w:val="auto"/>
                <w:highlight w:val="none"/>
              </w:rPr>
              <w:t>+</w:t>
            </w:r>
          </w:p>
        </w:tc>
        <w:tc>
          <w:tcPr>
            <w:tcW w:w="858" w:type="dxa"/>
            <w:vAlign w:val="center"/>
          </w:tcPr>
          <w:p w14:paraId="464AB3AB">
            <w:pPr>
              <w:jc w:val="center"/>
              <w:rPr>
                <w:color w:val="auto"/>
                <w:highlight w:val="none"/>
              </w:rPr>
            </w:pPr>
            <w:r>
              <w:rPr>
                <w:rFonts w:hint="eastAsia"/>
                <w:color w:val="auto"/>
                <w:highlight w:val="none"/>
              </w:rPr>
              <w:t>+</w:t>
            </w:r>
          </w:p>
        </w:tc>
        <w:tc>
          <w:tcPr>
            <w:tcW w:w="922" w:type="dxa"/>
            <w:vAlign w:val="center"/>
          </w:tcPr>
          <w:p w14:paraId="2ACDD5BF">
            <w:pPr>
              <w:jc w:val="center"/>
              <w:rPr>
                <w:color w:val="auto"/>
                <w:highlight w:val="none"/>
              </w:rPr>
            </w:pPr>
            <w:r>
              <w:rPr>
                <w:rFonts w:hint="eastAsia"/>
                <w:color w:val="auto"/>
                <w:highlight w:val="none"/>
              </w:rPr>
              <w:t>-</w:t>
            </w:r>
          </w:p>
        </w:tc>
      </w:tr>
      <w:tr w14:paraId="36DC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0A54A33">
            <w:pPr>
              <w:jc w:val="center"/>
              <w:rPr>
                <w:color w:val="auto"/>
                <w:highlight w:val="none"/>
              </w:rPr>
            </w:pPr>
            <w:r>
              <w:rPr>
                <w:rFonts w:hint="eastAsia"/>
                <w:color w:val="auto"/>
                <w:highlight w:val="none"/>
              </w:rPr>
              <w:t>5</w:t>
            </w:r>
          </w:p>
        </w:tc>
        <w:tc>
          <w:tcPr>
            <w:tcW w:w="2410" w:type="dxa"/>
            <w:gridSpan w:val="2"/>
            <w:vAlign w:val="center"/>
          </w:tcPr>
          <w:p w14:paraId="7F644290">
            <w:pPr>
              <w:jc w:val="center"/>
              <w:rPr>
                <w:color w:val="auto"/>
                <w:highlight w:val="none"/>
              </w:rPr>
            </w:pPr>
            <w:r>
              <w:rPr>
                <w:color w:val="auto"/>
                <w:highlight w:val="none"/>
              </w:rPr>
              <w:t>灵敏度幅值年稳定度</w:t>
            </w:r>
          </w:p>
        </w:tc>
        <w:tc>
          <w:tcPr>
            <w:tcW w:w="851" w:type="dxa"/>
            <w:vAlign w:val="center"/>
          </w:tcPr>
          <w:p w14:paraId="381B2F85">
            <w:pPr>
              <w:jc w:val="center"/>
              <w:rPr>
                <w:color w:val="auto"/>
                <w:highlight w:val="none"/>
              </w:rPr>
            </w:pPr>
            <w:r>
              <w:rPr>
                <w:rFonts w:hint="eastAsia"/>
                <w:color w:val="auto"/>
                <w:highlight w:val="none"/>
              </w:rPr>
              <w:t>-</w:t>
            </w:r>
          </w:p>
        </w:tc>
        <w:tc>
          <w:tcPr>
            <w:tcW w:w="850" w:type="dxa"/>
            <w:vAlign w:val="center"/>
          </w:tcPr>
          <w:p w14:paraId="380C6F90">
            <w:pPr>
              <w:jc w:val="center"/>
              <w:rPr>
                <w:color w:val="auto"/>
                <w:highlight w:val="none"/>
              </w:rPr>
            </w:pPr>
            <w:r>
              <w:rPr>
                <w:rFonts w:hint="eastAsia"/>
                <w:color w:val="auto"/>
                <w:highlight w:val="none"/>
              </w:rPr>
              <w:t>+</w:t>
            </w:r>
          </w:p>
        </w:tc>
        <w:tc>
          <w:tcPr>
            <w:tcW w:w="992" w:type="dxa"/>
            <w:vAlign w:val="center"/>
          </w:tcPr>
          <w:p w14:paraId="45609113">
            <w:pPr>
              <w:jc w:val="center"/>
              <w:rPr>
                <w:color w:val="auto"/>
                <w:highlight w:val="none"/>
              </w:rPr>
            </w:pPr>
            <w:r>
              <w:rPr>
                <w:rFonts w:hint="eastAsia"/>
                <w:color w:val="auto"/>
                <w:highlight w:val="none"/>
              </w:rPr>
              <w:t>-</w:t>
            </w:r>
          </w:p>
        </w:tc>
        <w:tc>
          <w:tcPr>
            <w:tcW w:w="851" w:type="dxa"/>
            <w:vAlign w:val="center"/>
          </w:tcPr>
          <w:p w14:paraId="62C3A1E4">
            <w:pPr>
              <w:jc w:val="center"/>
              <w:rPr>
                <w:color w:val="auto"/>
                <w:highlight w:val="none"/>
              </w:rPr>
            </w:pPr>
            <w:r>
              <w:rPr>
                <w:rFonts w:hint="eastAsia"/>
                <w:color w:val="auto"/>
                <w:highlight w:val="none"/>
              </w:rPr>
              <w:t>-</w:t>
            </w:r>
          </w:p>
        </w:tc>
        <w:tc>
          <w:tcPr>
            <w:tcW w:w="858" w:type="dxa"/>
            <w:vAlign w:val="center"/>
          </w:tcPr>
          <w:p w14:paraId="15B9A61A">
            <w:pPr>
              <w:jc w:val="center"/>
              <w:rPr>
                <w:color w:val="auto"/>
                <w:highlight w:val="none"/>
              </w:rPr>
            </w:pPr>
            <w:r>
              <w:rPr>
                <w:rFonts w:hint="eastAsia"/>
                <w:color w:val="auto"/>
                <w:highlight w:val="none"/>
              </w:rPr>
              <w:t>-</w:t>
            </w:r>
          </w:p>
        </w:tc>
        <w:tc>
          <w:tcPr>
            <w:tcW w:w="922" w:type="dxa"/>
            <w:vAlign w:val="center"/>
          </w:tcPr>
          <w:p w14:paraId="1CA7352C">
            <w:pPr>
              <w:jc w:val="center"/>
              <w:rPr>
                <w:color w:val="auto"/>
                <w:highlight w:val="none"/>
              </w:rPr>
            </w:pPr>
            <w:r>
              <w:rPr>
                <w:rFonts w:hint="eastAsia"/>
                <w:color w:val="auto"/>
                <w:highlight w:val="none"/>
              </w:rPr>
              <w:t>-</w:t>
            </w:r>
          </w:p>
        </w:tc>
      </w:tr>
      <w:tr w14:paraId="7E3C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475FC93">
            <w:pPr>
              <w:jc w:val="center"/>
              <w:rPr>
                <w:color w:val="auto"/>
                <w:highlight w:val="none"/>
              </w:rPr>
            </w:pPr>
            <w:r>
              <w:rPr>
                <w:rFonts w:hint="eastAsia"/>
                <w:color w:val="auto"/>
                <w:highlight w:val="none"/>
              </w:rPr>
              <w:t>6</w:t>
            </w:r>
          </w:p>
        </w:tc>
        <w:tc>
          <w:tcPr>
            <w:tcW w:w="2410" w:type="dxa"/>
            <w:gridSpan w:val="2"/>
            <w:vAlign w:val="center"/>
          </w:tcPr>
          <w:p w14:paraId="26BEAFDC">
            <w:pPr>
              <w:jc w:val="center"/>
              <w:rPr>
                <w:color w:val="auto"/>
                <w:highlight w:val="none"/>
              </w:rPr>
            </w:pPr>
            <w:r>
              <w:rPr>
                <w:rFonts w:hint="eastAsia"/>
                <w:color w:val="auto"/>
                <w:highlight w:val="none"/>
              </w:rPr>
              <w:t>灵敏度横向振动比</w:t>
            </w:r>
          </w:p>
        </w:tc>
        <w:tc>
          <w:tcPr>
            <w:tcW w:w="851" w:type="dxa"/>
            <w:vAlign w:val="center"/>
          </w:tcPr>
          <w:p w14:paraId="5FD01AE9">
            <w:pPr>
              <w:jc w:val="center"/>
              <w:rPr>
                <w:color w:val="auto"/>
                <w:highlight w:val="none"/>
              </w:rPr>
            </w:pPr>
            <w:r>
              <w:rPr>
                <w:rFonts w:hint="eastAsia"/>
                <w:color w:val="auto"/>
                <w:highlight w:val="none"/>
              </w:rPr>
              <w:t>+</w:t>
            </w:r>
          </w:p>
        </w:tc>
        <w:tc>
          <w:tcPr>
            <w:tcW w:w="850" w:type="dxa"/>
            <w:vAlign w:val="center"/>
          </w:tcPr>
          <w:p w14:paraId="6A7DEB87">
            <w:pPr>
              <w:jc w:val="center"/>
              <w:rPr>
                <w:color w:val="auto"/>
                <w:highlight w:val="none"/>
              </w:rPr>
            </w:pPr>
            <w:r>
              <w:rPr>
                <w:rFonts w:hint="eastAsia"/>
                <w:color w:val="auto"/>
                <w:highlight w:val="none"/>
              </w:rPr>
              <w:t>+</w:t>
            </w:r>
          </w:p>
        </w:tc>
        <w:tc>
          <w:tcPr>
            <w:tcW w:w="992" w:type="dxa"/>
            <w:vAlign w:val="center"/>
          </w:tcPr>
          <w:p w14:paraId="056BB65D">
            <w:pPr>
              <w:jc w:val="center"/>
              <w:rPr>
                <w:color w:val="auto"/>
                <w:highlight w:val="none"/>
              </w:rPr>
            </w:pPr>
            <w:r>
              <w:rPr>
                <w:rFonts w:hint="eastAsia"/>
                <w:color w:val="auto"/>
                <w:highlight w:val="none"/>
              </w:rPr>
              <w:t>-</w:t>
            </w:r>
          </w:p>
        </w:tc>
        <w:tc>
          <w:tcPr>
            <w:tcW w:w="851" w:type="dxa"/>
            <w:vAlign w:val="center"/>
          </w:tcPr>
          <w:p w14:paraId="3F0847D5">
            <w:pPr>
              <w:jc w:val="center"/>
              <w:rPr>
                <w:color w:val="auto"/>
                <w:highlight w:val="none"/>
              </w:rPr>
            </w:pPr>
            <w:r>
              <w:rPr>
                <w:rFonts w:hint="eastAsia"/>
                <w:color w:val="auto"/>
                <w:highlight w:val="none"/>
              </w:rPr>
              <w:t>-</w:t>
            </w:r>
          </w:p>
        </w:tc>
        <w:tc>
          <w:tcPr>
            <w:tcW w:w="858" w:type="dxa"/>
            <w:vAlign w:val="center"/>
          </w:tcPr>
          <w:p w14:paraId="4EA380D7">
            <w:pPr>
              <w:jc w:val="center"/>
              <w:rPr>
                <w:color w:val="auto"/>
                <w:highlight w:val="none"/>
              </w:rPr>
            </w:pPr>
            <w:r>
              <w:rPr>
                <w:rFonts w:hint="eastAsia"/>
                <w:color w:val="auto"/>
                <w:highlight w:val="none"/>
              </w:rPr>
              <w:t>-</w:t>
            </w:r>
          </w:p>
        </w:tc>
        <w:tc>
          <w:tcPr>
            <w:tcW w:w="922" w:type="dxa"/>
            <w:vAlign w:val="center"/>
          </w:tcPr>
          <w:p w14:paraId="129CD033">
            <w:pPr>
              <w:jc w:val="center"/>
              <w:rPr>
                <w:color w:val="auto"/>
                <w:highlight w:val="none"/>
              </w:rPr>
            </w:pPr>
            <w:r>
              <w:rPr>
                <w:rFonts w:hint="eastAsia"/>
                <w:color w:val="auto"/>
                <w:highlight w:val="none"/>
              </w:rPr>
              <w:t>-</w:t>
            </w:r>
          </w:p>
        </w:tc>
      </w:tr>
      <w:tr w14:paraId="0BF2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9"/>
            <w:vAlign w:val="center"/>
          </w:tcPr>
          <w:p w14:paraId="3F108A22">
            <w:pPr>
              <w:ind w:firstLine="420"/>
              <w:rPr>
                <w:color w:val="auto"/>
                <w:highlight w:val="none"/>
              </w:rPr>
            </w:pPr>
            <w:r>
              <w:rPr>
                <w:color w:val="auto"/>
                <w:highlight w:val="none"/>
              </w:rPr>
              <w:t>注：表中“</w:t>
            </w:r>
            <w:r>
              <w:rPr>
                <w:rFonts w:hint="eastAsia"/>
                <w:color w:val="auto"/>
                <w:highlight w:val="none"/>
              </w:rPr>
              <w:t>+</w:t>
            </w:r>
            <w:r>
              <w:rPr>
                <w:color w:val="auto"/>
                <w:highlight w:val="none"/>
              </w:rPr>
              <w:t>”表示</w:t>
            </w:r>
            <w:r>
              <w:rPr>
                <w:rFonts w:hint="eastAsia"/>
                <w:color w:val="auto"/>
                <w:highlight w:val="none"/>
              </w:rPr>
              <w:t>需要</w:t>
            </w:r>
            <w:r>
              <w:rPr>
                <w:color w:val="auto"/>
                <w:highlight w:val="none"/>
              </w:rPr>
              <w:t>检定的项目；</w:t>
            </w:r>
            <w:r>
              <w:rPr>
                <w:rFonts w:hint="eastAsia"/>
                <w:color w:val="auto"/>
                <w:highlight w:val="none"/>
              </w:rPr>
              <w:t>“-”</w:t>
            </w:r>
            <w:r>
              <w:rPr>
                <w:color w:val="auto"/>
                <w:highlight w:val="none"/>
              </w:rPr>
              <w:t>表示不需要</w:t>
            </w:r>
            <w:r>
              <w:rPr>
                <w:rFonts w:hint="eastAsia"/>
                <w:color w:val="auto"/>
                <w:highlight w:val="none"/>
              </w:rPr>
              <w:t>检定</w:t>
            </w:r>
            <w:r>
              <w:rPr>
                <w:color w:val="auto"/>
                <w:highlight w:val="none"/>
              </w:rPr>
              <w:t>的项目。</w:t>
            </w:r>
          </w:p>
        </w:tc>
      </w:tr>
    </w:tbl>
    <w:p w14:paraId="34AA84A2">
      <w:pPr>
        <w:spacing w:before="156" w:beforeLines="50" w:line="360" w:lineRule="auto"/>
        <w:rPr>
          <w:rFonts w:cs="宋体"/>
          <w:color w:val="auto"/>
          <w:sz w:val="24"/>
          <w:highlight w:val="none"/>
        </w:rPr>
      </w:pPr>
      <w:r>
        <w:rPr>
          <w:rFonts w:hint="eastAsia" w:cs="宋体"/>
          <w:color w:val="auto"/>
          <w:sz w:val="24"/>
          <w:highlight w:val="none"/>
        </w:rPr>
        <w:t>7.2.2  加速度计其他性能检测项目</w:t>
      </w:r>
    </w:p>
    <w:p w14:paraId="56FA7A82">
      <w:pPr>
        <w:spacing w:before="156" w:beforeLines="50" w:line="360" w:lineRule="auto"/>
        <w:ind w:firstLine="420"/>
        <w:rPr>
          <w:rFonts w:cs="宋体"/>
          <w:color w:val="auto"/>
          <w:sz w:val="24"/>
          <w:highlight w:val="none"/>
        </w:rPr>
      </w:pPr>
      <w:r>
        <w:rPr>
          <w:rFonts w:hint="eastAsia" w:cs="宋体"/>
          <w:color w:val="auto"/>
          <w:sz w:val="24"/>
          <w:highlight w:val="none"/>
        </w:rPr>
        <w:t>根据用户的要求，可选择性地对被检加速度计进行安装谐振频率、声灵敏度、磁灵敏度、基座应变灵敏度、安装力矩、灵敏度、瞬变温度灵敏度、温度响应、横向振动灵敏度比其他性能的检测。</w:t>
      </w:r>
    </w:p>
    <w:p w14:paraId="0901D262">
      <w:pPr>
        <w:spacing w:before="156" w:beforeLines="50" w:line="360" w:lineRule="auto"/>
        <w:rPr>
          <w:rFonts w:cs="宋体"/>
          <w:color w:val="auto"/>
          <w:sz w:val="24"/>
          <w:highlight w:val="none"/>
        </w:rPr>
      </w:pPr>
      <w:r>
        <w:rPr>
          <w:rFonts w:hint="eastAsia" w:cs="宋体"/>
          <w:color w:val="auto"/>
          <w:sz w:val="24"/>
          <w:highlight w:val="none"/>
        </w:rPr>
        <w:t>7.3  检定方法</w:t>
      </w:r>
    </w:p>
    <w:p w14:paraId="0D77484F">
      <w:pPr>
        <w:spacing w:before="156" w:beforeLines="50" w:line="360" w:lineRule="auto"/>
        <w:rPr>
          <w:rFonts w:cs="宋体"/>
          <w:color w:val="auto"/>
          <w:sz w:val="24"/>
          <w:highlight w:val="none"/>
        </w:rPr>
      </w:pPr>
      <w:r>
        <w:rPr>
          <w:rFonts w:hint="eastAsia" w:cs="宋体"/>
          <w:color w:val="auto"/>
          <w:sz w:val="24"/>
          <w:highlight w:val="none"/>
        </w:rPr>
        <w:t>7.3.1  外观等一般性检查</w:t>
      </w:r>
    </w:p>
    <w:p w14:paraId="1B6C8B62">
      <w:pPr>
        <w:spacing w:before="156" w:beforeLines="50" w:line="360" w:lineRule="auto"/>
        <w:ind w:firstLine="420"/>
        <w:rPr>
          <w:rFonts w:cs="宋体"/>
          <w:color w:val="auto"/>
          <w:sz w:val="24"/>
          <w:highlight w:val="none"/>
        </w:rPr>
      </w:pPr>
      <w:r>
        <w:rPr>
          <w:rFonts w:hint="eastAsia" w:cs="宋体"/>
          <w:color w:val="auto"/>
          <w:sz w:val="24"/>
          <w:highlight w:val="none"/>
        </w:rPr>
        <w:t>通用技术要求的检查应满足第5条的要求。</w:t>
      </w:r>
    </w:p>
    <w:p w14:paraId="6B19D175">
      <w:pPr>
        <w:spacing w:before="156" w:beforeLines="50" w:line="360" w:lineRule="auto"/>
        <w:rPr>
          <w:rFonts w:cs="宋体"/>
          <w:color w:val="auto"/>
          <w:sz w:val="24"/>
          <w:highlight w:val="none"/>
        </w:rPr>
      </w:pPr>
      <w:r>
        <w:rPr>
          <w:rFonts w:hint="eastAsia" w:cs="宋体"/>
          <w:color w:val="auto"/>
          <w:sz w:val="24"/>
          <w:highlight w:val="none"/>
        </w:rPr>
        <w:t>7.3.2  参考灵敏度幅值和相移的检定</w:t>
      </w:r>
    </w:p>
    <w:p w14:paraId="6CAF6FFB">
      <w:pPr>
        <w:spacing w:before="156" w:beforeLines="50" w:line="360" w:lineRule="auto"/>
        <w:ind w:firstLine="480" w:firstLineChars="200"/>
        <w:rPr>
          <w:rFonts w:cs="宋体"/>
          <w:color w:val="auto"/>
          <w:sz w:val="24"/>
          <w:highlight w:val="none"/>
        </w:rPr>
      </w:pPr>
      <w:r>
        <w:rPr>
          <w:rFonts w:hint="eastAsia" w:cs="宋体"/>
          <w:color w:val="auto"/>
          <w:sz w:val="24"/>
          <w:highlight w:val="none"/>
        </w:rPr>
        <w:t>7.3.2.1  比较法</w:t>
      </w:r>
    </w:p>
    <w:p w14:paraId="4A9F43D7">
      <w:pPr>
        <w:spacing w:before="156" w:beforeLines="50" w:line="360" w:lineRule="auto"/>
        <w:ind w:firstLine="420"/>
        <w:rPr>
          <w:rFonts w:hint="eastAsia" w:cs="宋体"/>
          <w:color w:val="auto"/>
          <w:sz w:val="24"/>
          <w:highlight w:val="none"/>
        </w:rPr>
      </w:pPr>
      <w:r>
        <w:rPr>
          <w:rFonts w:hint="eastAsia" w:cs="宋体"/>
          <w:color w:val="auto"/>
          <w:sz w:val="24"/>
          <w:highlight w:val="none"/>
        </w:rPr>
        <w:t>使用制造商推荐的扭矩值，将被检加速度计与标准加速度计背靠背刚性地安装在振动台台面中心位置，或将其与振动台内装传感器同轴安装，或与装在振动台台面上附加固定装置内的标准加速度计同轴安装。检定频率小于5 kHz时，可采用附加固定装置的安装方式；检定频率大于5kHz时，则应采用背靠背或振动台内装标准加速度计的安装方式。</w:t>
      </w:r>
    </w:p>
    <w:p w14:paraId="64006E20">
      <w:pPr>
        <w:spacing w:before="156" w:beforeLines="50" w:line="360" w:lineRule="auto"/>
        <w:ind w:firstLine="420"/>
        <w:rPr>
          <w:rFonts w:cs="宋体"/>
          <w:color w:val="auto"/>
          <w:sz w:val="24"/>
          <w:highlight w:val="none"/>
        </w:rPr>
      </w:pPr>
      <w:r>
        <w:rPr>
          <w:rFonts w:hint="eastAsia" w:cs="宋体"/>
          <w:color w:val="auto"/>
          <w:sz w:val="24"/>
          <w:highlight w:val="none"/>
        </w:rPr>
        <w:t>在参考频率和参考加速度条件下确定被检加速度计的灵敏度。被检加速度计的输出与所承受的加速度值之比即为参考灵敏度幅值。需要时应测量两只加速度计的输出比。</w:t>
      </w:r>
    </w:p>
    <w:p w14:paraId="27B1B0CB">
      <w:pPr>
        <w:spacing w:before="156" w:beforeLines="50" w:line="360" w:lineRule="auto"/>
        <w:ind w:firstLine="420"/>
        <w:rPr>
          <w:rFonts w:cs="宋体"/>
          <w:color w:val="auto"/>
          <w:sz w:val="24"/>
          <w:highlight w:val="none"/>
        </w:rPr>
      </w:pPr>
      <w:r>
        <w:rPr>
          <w:rFonts w:hint="eastAsia" w:cs="宋体"/>
          <w:color w:val="auto"/>
          <w:sz w:val="24"/>
          <w:highlight w:val="none"/>
        </w:rPr>
        <w:t>被检加速度计灵敏度幅值S</w:t>
      </w:r>
      <w:r>
        <w:rPr>
          <w:rFonts w:hint="eastAsia" w:cs="宋体"/>
          <w:color w:val="auto"/>
          <w:sz w:val="24"/>
          <w:highlight w:val="none"/>
          <w:vertAlign w:val="subscript"/>
        </w:rPr>
        <w:t>2</w:t>
      </w:r>
      <w:r>
        <w:rPr>
          <w:rFonts w:hint="eastAsia" w:cs="宋体"/>
          <w:color w:val="auto"/>
          <w:sz w:val="24"/>
          <w:highlight w:val="none"/>
        </w:rPr>
        <w:t>,按下式计算：</w:t>
      </w:r>
    </w:p>
    <w:p w14:paraId="076C36BA">
      <w:pPr>
        <w:spacing w:before="156" w:beforeLines="50" w:line="360" w:lineRule="auto"/>
        <w:ind w:firstLine="1920" w:firstLineChars="800"/>
        <w:rPr>
          <w:rFonts w:cs="宋体"/>
          <w:color w:val="auto"/>
          <w:sz w:val="24"/>
          <w:highlight w:val="none"/>
        </w:rPr>
      </w:pPr>
      <m:oMath>
        <m:r>
          <m:rPr/>
          <w:rPr>
            <w:rFonts w:hint="eastAsia" w:ascii="Cambria Math" w:hAnsi="Cambria Math" w:cs="宋体"/>
            <w:color w:val="auto"/>
            <w:sz w:val="24"/>
            <w:highlight w:val="none"/>
          </w:rPr>
          <m:t xml:space="preserve">                                              </m:t>
        </m:r>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X</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X</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1</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1</m:t>
            </m:r>
            <m:ctrlPr>
              <w:rPr>
                <w:rFonts w:hint="eastAsia" w:ascii="Cambria Math" w:hAnsi="Cambria Math" w:cs="宋体"/>
                <w:i/>
                <w:color w:val="auto"/>
                <w:sz w:val="24"/>
                <w:highlight w:val="none"/>
              </w:rPr>
            </m:ctrlPr>
          </m:sub>
        </m:sSub>
      </m:oMath>
      <w:r>
        <w:rPr>
          <w:rFonts w:hint="eastAsia" w:cs="宋体"/>
          <w:color w:val="auto"/>
          <w:sz w:val="24"/>
          <w:highlight w:val="none"/>
        </w:rPr>
        <w:t xml:space="preserve">                  （1）</w:t>
      </w:r>
    </w:p>
    <w:p w14:paraId="2B7507BB">
      <w:pPr>
        <w:spacing w:before="156" w:beforeLines="50" w:line="360" w:lineRule="auto"/>
        <w:rPr>
          <w:rFonts w:cs="宋体"/>
          <w:color w:val="auto"/>
          <w:sz w:val="24"/>
          <w:highlight w:val="none"/>
        </w:rPr>
      </w:pPr>
      <w:r>
        <w:rPr>
          <w:rFonts w:hint="eastAsia" w:cs="宋体"/>
          <w:color w:val="auto"/>
          <w:sz w:val="24"/>
          <w:highlight w:val="none"/>
        </w:rPr>
        <w:t>式中  S</w:t>
      </w:r>
      <w:r>
        <w:rPr>
          <w:rFonts w:hint="eastAsia" w:cs="宋体"/>
          <w:color w:val="auto"/>
          <w:sz w:val="24"/>
          <w:highlight w:val="none"/>
          <w:vertAlign w:val="subscript"/>
        </w:rPr>
        <w:t>1</w:t>
      </w:r>
      <w:r>
        <w:rPr>
          <w:rFonts w:hint="eastAsia" w:cs="宋体"/>
          <w:color w:val="auto"/>
          <w:sz w:val="24"/>
          <w:highlight w:val="none"/>
        </w:rPr>
        <w:t>——标准加速度计灵敏度幅值，mV/（m·s</w:t>
      </w:r>
      <w:r>
        <w:rPr>
          <w:rFonts w:hint="eastAsia" w:cs="宋体"/>
          <w:color w:val="auto"/>
          <w:sz w:val="24"/>
          <w:highlight w:val="none"/>
          <w:vertAlign w:val="superscript"/>
        </w:rPr>
        <w:t>-</w:t>
      </w:r>
      <w:r>
        <w:rPr>
          <w:rFonts w:hint="eastAsia" w:cs="宋体"/>
          <w:color w:val="auto"/>
          <w:sz w:val="24"/>
          <w:highlight w:val="none"/>
        </w:rPr>
        <w:t>²）或pC/（m·s</w:t>
      </w:r>
      <w:r>
        <w:rPr>
          <w:rFonts w:hint="eastAsia" w:cs="宋体"/>
          <w:color w:val="auto"/>
          <w:sz w:val="24"/>
          <w:highlight w:val="none"/>
          <w:vertAlign w:val="superscript"/>
        </w:rPr>
        <w:t>-</w:t>
      </w:r>
      <w:r>
        <w:rPr>
          <w:rFonts w:hint="eastAsia" w:cs="宋体"/>
          <w:color w:val="auto"/>
          <w:sz w:val="24"/>
          <w:highlight w:val="none"/>
        </w:rPr>
        <w:t>²）；</w:t>
      </w:r>
    </w:p>
    <w:p w14:paraId="7A1AFF6C">
      <w:pPr>
        <w:spacing w:before="156" w:beforeLines="50" w:line="360" w:lineRule="auto"/>
        <w:ind w:firstLine="720" w:firstLineChars="300"/>
        <w:rPr>
          <w:rFonts w:cs="宋体"/>
          <w:color w:val="auto"/>
          <w:sz w:val="24"/>
          <w:highlight w:val="none"/>
        </w:rPr>
      </w:pPr>
      <w:r>
        <w:rPr>
          <w:rFonts w:hint="eastAsia" w:cs="宋体"/>
          <w:color w:val="auto"/>
          <w:sz w:val="24"/>
          <w:highlight w:val="none"/>
        </w:rPr>
        <w:t>X</w:t>
      </w:r>
      <w:r>
        <w:rPr>
          <w:rFonts w:hint="eastAsia" w:cs="宋体"/>
          <w:color w:val="auto"/>
          <w:sz w:val="24"/>
          <w:highlight w:val="none"/>
          <w:vertAlign w:val="subscript"/>
        </w:rPr>
        <w:t>1</w:t>
      </w:r>
      <w:r>
        <w:rPr>
          <w:rFonts w:hint="eastAsia" w:cs="宋体"/>
          <w:color w:val="auto"/>
          <w:sz w:val="24"/>
          <w:highlight w:val="none"/>
        </w:rPr>
        <w:t>——标准加速度计输出值，mV或pC；</w:t>
      </w:r>
    </w:p>
    <w:p w14:paraId="33B24108">
      <w:pPr>
        <w:spacing w:before="156" w:beforeLines="50" w:line="360" w:lineRule="auto"/>
        <w:ind w:firstLine="720" w:firstLineChars="300"/>
        <w:rPr>
          <w:rFonts w:cs="宋体"/>
          <w:color w:val="auto"/>
          <w:sz w:val="24"/>
          <w:highlight w:val="none"/>
        </w:rPr>
      </w:pPr>
      <w:r>
        <w:rPr>
          <w:rFonts w:hint="eastAsia" w:cs="宋体"/>
          <w:color w:val="auto"/>
          <w:sz w:val="24"/>
          <w:highlight w:val="none"/>
        </w:rPr>
        <w:t>X</w:t>
      </w:r>
      <w:r>
        <w:rPr>
          <w:rFonts w:hint="eastAsia" w:cs="宋体"/>
          <w:color w:val="auto"/>
          <w:sz w:val="24"/>
          <w:highlight w:val="none"/>
          <w:vertAlign w:val="subscript"/>
        </w:rPr>
        <w:t>2</w:t>
      </w:r>
      <w:r>
        <w:rPr>
          <w:rFonts w:hint="eastAsia" w:cs="宋体"/>
          <w:color w:val="auto"/>
          <w:sz w:val="24"/>
          <w:highlight w:val="none"/>
        </w:rPr>
        <w:t>——被检加速度计输出值，mV或pC。</w:t>
      </w:r>
    </w:p>
    <w:p w14:paraId="2F249208">
      <w:pPr>
        <w:spacing w:before="156" w:beforeLines="50" w:line="360" w:lineRule="auto"/>
        <w:ind w:firstLine="420"/>
        <w:rPr>
          <w:rFonts w:cs="宋体"/>
          <w:color w:val="auto"/>
          <w:sz w:val="24"/>
          <w:highlight w:val="none"/>
        </w:rPr>
      </w:pPr>
      <w:r>
        <w:rPr>
          <w:rFonts w:hint="eastAsia" w:cs="宋体"/>
          <w:color w:val="auto"/>
          <w:sz w:val="24"/>
          <w:highlight w:val="none"/>
        </w:rPr>
        <w:t>检定结果应满足</w:t>
      </w:r>
      <w:r>
        <w:rPr>
          <w:rFonts w:cs="宋体"/>
          <w:color w:val="auto"/>
          <w:sz w:val="24"/>
          <w:highlight w:val="none"/>
        </w:rPr>
        <w:t>5</w:t>
      </w:r>
      <w:r>
        <w:rPr>
          <w:rFonts w:hint="eastAsia" w:cs="宋体"/>
          <w:color w:val="auto"/>
          <w:sz w:val="24"/>
          <w:highlight w:val="none"/>
        </w:rPr>
        <w:t>.1的要求。</w:t>
      </w:r>
    </w:p>
    <w:p w14:paraId="34F986C1">
      <w:pPr>
        <w:spacing w:before="156" w:beforeLines="50" w:line="360" w:lineRule="auto"/>
        <w:ind w:firstLine="480" w:firstLineChars="200"/>
        <w:rPr>
          <w:rFonts w:cs="宋体"/>
          <w:color w:val="auto"/>
          <w:sz w:val="24"/>
          <w:highlight w:val="none"/>
        </w:rPr>
      </w:pPr>
      <w:r>
        <w:rPr>
          <w:rFonts w:hint="eastAsia" w:cs="宋体"/>
          <w:color w:val="auto"/>
          <w:sz w:val="24"/>
          <w:highlight w:val="none"/>
        </w:rPr>
        <w:t>7.3.2.2  绝对法</w:t>
      </w:r>
    </w:p>
    <w:p w14:paraId="0263EDA9">
      <w:pPr>
        <w:spacing w:before="156" w:beforeLines="50" w:line="360" w:lineRule="auto"/>
        <w:ind w:firstLine="420"/>
        <w:rPr>
          <w:rFonts w:cs="宋体"/>
          <w:color w:val="auto"/>
          <w:sz w:val="24"/>
          <w:highlight w:val="none"/>
        </w:rPr>
      </w:pPr>
      <w:r>
        <w:rPr>
          <w:rFonts w:hint="eastAsia" w:cs="宋体"/>
          <w:color w:val="auto"/>
          <w:sz w:val="24"/>
          <w:highlight w:val="none"/>
        </w:rPr>
        <w:t>激光绝对测量方法包括条纹计数法、贝塞尔函数法和正弦逼近法等。条纹计数法适用于频率范围0.1Hz-2 kHz的加速度计参考灵敏度幅值检定：贝塞尔函数法适用于频率范围为20</w:t>
      </w:r>
      <w:r>
        <w:rPr>
          <w:rFonts w:cs="宋体"/>
          <w:color w:val="auto"/>
          <w:sz w:val="24"/>
          <w:highlight w:val="none"/>
        </w:rPr>
        <w:t>00 Hz-50 kHz的加速度计参考灵敏度幅值检定；正弦逼近法适用于频率范围</w:t>
      </w:r>
      <w:r>
        <w:rPr>
          <w:rFonts w:hint="eastAsia" w:cs="宋体"/>
          <w:color w:val="auto"/>
          <w:sz w:val="24"/>
          <w:highlight w:val="none"/>
        </w:rPr>
        <w:t>为</w:t>
      </w:r>
      <w:r>
        <w:rPr>
          <w:rFonts w:cs="宋体"/>
          <w:color w:val="auto"/>
          <w:sz w:val="24"/>
          <w:highlight w:val="none"/>
        </w:rPr>
        <w:t>0.005 Hz-</w:t>
      </w:r>
      <w:r>
        <w:rPr>
          <w:rFonts w:hint="eastAsia" w:cs="宋体"/>
          <w:color w:val="auto"/>
          <w:sz w:val="24"/>
          <w:highlight w:val="none"/>
        </w:rPr>
        <w:t>5</w:t>
      </w:r>
      <w:r>
        <w:rPr>
          <w:rFonts w:cs="宋体"/>
          <w:color w:val="auto"/>
          <w:sz w:val="24"/>
          <w:highlight w:val="none"/>
        </w:rPr>
        <w:t>0kHz</w:t>
      </w:r>
      <w:r>
        <w:rPr>
          <w:rFonts w:hint="eastAsia" w:cs="宋体"/>
          <w:color w:val="auto"/>
          <w:sz w:val="24"/>
          <w:highlight w:val="none"/>
        </w:rPr>
        <w:t>的加速度计参考灵敏度幅值和相移的检定。采用激光绝对法检定的方法和数据处理见附录A。检定结果应满足</w:t>
      </w:r>
      <w:r>
        <w:rPr>
          <w:rFonts w:cs="宋体"/>
          <w:color w:val="auto"/>
          <w:sz w:val="24"/>
          <w:highlight w:val="none"/>
        </w:rPr>
        <w:t>5</w:t>
      </w:r>
      <w:r>
        <w:rPr>
          <w:rFonts w:hint="eastAsia" w:cs="宋体"/>
          <w:color w:val="auto"/>
          <w:sz w:val="24"/>
          <w:highlight w:val="none"/>
        </w:rPr>
        <w:t>.1的要求。</w:t>
      </w:r>
    </w:p>
    <w:p w14:paraId="7424DAC9">
      <w:pPr>
        <w:spacing w:before="156" w:beforeLines="50" w:line="360" w:lineRule="auto"/>
        <w:rPr>
          <w:rFonts w:cs="宋体"/>
          <w:color w:val="auto"/>
          <w:sz w:val="24"/>
          <w:highlight w:val="none"/>
        </w:rPr>
      </w:pPr>
      <w:r>
        <w:rPr>
          <w:rFonts w:hint="eastAsia" w:cs="宋体"/>
          <w:color w:val="auto"/>
          <w:sz w:val="24"/>
          <w:highlight w:val="none"/>
        </w:rPr>
        <w:t>7.3.3  灵敏度幅频和相频响应的检定</w:t>
      </w:r>
    </w:p>
    <w:p w14:paraId="1E67CDDC">
      <w:pPr>
        <w:spacing w:before="156" w:beforeLines="50" w:line="360" w:lineRule="auto"/>
        <w:ind w:firstLine="420"/>
        <w:rPr>
          <w:rFonts w:cs="宋体"/>
          <w:color w:val="auto"/>
          <w:sz w:val="24"/>
          <w:highlight w:val="none"/>
        </w:rPr>
      </w:pPr>
      <w:r>
        <w:rPr>
          <w:rFonts w:hint="eastAsia" w:cs="宋体"/>
          <w:color w:val="auto"/>
          <w:sz w:val="24"/>
          <w:highlight w:val="none"/>
        </w:rPr>
        <w:t>可采用振动连续逐点法在工作频率范围内，包括参考点在内选取至少7个频率点。用6.3.2（7</w:t>
      </w:r>
      <w:r>
        <w:rPr>
          <w:rFonts w:cs="宋体"/>
          <w:color w:val="auto"/>
          <w:sz w:val="24"/>
          <w:highlight w:val="none"/>
        </w:rPr>
        <w:t>.3.2</w:t>
      </w:r>
      <w:r>
        <w:rPr>
          <w:rFonts w:hint="eastAsia" w:cs="宋体"/>
          <w:color w:val="auto"/>
          <w:sz w:val="24"/>
          <w:highlight w:val="none"/>
        </w:rPr>
        <w:t>）方法测出不同频率下的灵敏度幅值和相移。灵敏度幅频响应以参考灵敏度幅值的相对偏差表示，灵敏度相频响应以参考灵敏度相移的绝对偏差表示。检定结果应满足</w:t>
      </w:r>
      <w:r>
        <w:rPr>
          <w:rFonts w:cs="宋体"/>
          <w:color w:val="auto"/>
          <w:sz w:val="24"/>
          <w:highlight w:val="none"/>
        </w:rPr>
        <w:t>5</w:t>
      </w:r>
      <w:r>
        <w:rPr>
          <w:rFonts w:hint="eastAsia" w:cs="宋体"/>
          <w:color w:val="auto"/>
          <w:sz w:val="24"/>
          <w:highlight w:val="none"/>
        </w:rPr>
        <w:t>.2的要求。</w:t>
      </w:r>
    </w:p>
    <w:p w14:paraId="612A732C">
      <w:pPr>
        <w:spacing w:before="156" w:beforeLines="50" w:line="360" w:lineRule="auto"/>
        <w:rPr>
          <w:rFonts w:cs="宋体"/>
          <w:color w:val="auto"/>
          <w:sz w:val="24"/>
          <w:highlight w:val="none"/>
        </w:rPr>
      </w:pPr>
      <w:r>
        <w:rPr>
          <w:rFonts w:hint="eastAsia" w:cs="宋体"/>
          <w:color w:val="auto"/>
          <w:sz w:val="24"/>
          <w:highlight w:val="none"/>
        </w:rPr>
        <w:t>7.3.4  灵敏度幅值线性度的检定</w:t>
      </w:r>
    </w:p>
    <w:p w14:paraId="22FF6D8B">
      <w:pPr>
        <w:spacing w:before="156" w:beforeLines="50" w:line="360" w:lineRule="auto"/>
        <w:ind w:firstLine="420"/>
        <w:rPr>
          <w:rFonts w:cs="宋体"/>
          <w:color w:val="auto"/>
          <w:sz w:val="24"/>
          <w:highlight w:val="none"/>
        </w:rPr>
      </w:pPr>
      <w:r>
        <w:rPr>
          <w:rFonts w:hint="eastAsia" w:cs="宋体"/>
          <w:color w:val="auto"/>
          <w:sz w:val="24"/>
          <w:highlight w:val="none"/>
        </w:rPr>
        <w:t>采用振动方法，在实际使用的加速度幅值范围内选取5-10个点（包括最大和最小加速度），进行灵敏度幅值线性度的检定</w:t>
      </w:r>
    </w:p>
    <w:p w14:paraId="202BE605">
      <w:pPr>
        <w:spacing w:before="156" w:beforeLines="50" w:line="360" w:lineRule="auto"/>
        <w:ind w:firstLine="420"/>
        <w:rPr>
          <w:rFonts w:cs="宋体"/>
          <w:color w:val="auto"/>
          <w:sz w:val="24"/>
          <w:highlight w:val="none"/>
        </w:rPr>
      </w:pPr>
      <w:r>
        <w:rPr>
          <w:rFonts w:hint="eastAsia" w:cs="宋体"/>
          <w:color w:val="auto"/>
          <w:sz w:val="24"/>
          <w:highlight w:val="none"/>
        </w:rPr>
        <w:t>对加速度幅值范围不大的情况。进行</w:t>
      </w:r>
      <w:r>
        <w:rPr>
          <w:rFonts w:cs="宋体"/>
          <w:color w:val="auto"/>
          <w:sz w:val="24"/>
          <w:highlight w:val="none"/>
        </w:rPr>
        <w:t>7</w:t>
      </w:r>
      <w:r>
        <w:rPr>
          <w:rFonts w:hint="eastAsia" w:cs="宋体"/>
          <w:color w:val="auto"/>
          <w:sz w:val="24"/>
          <w:highlight w:val="none"/>
        </w:rPr>
        <w:t>.3.2的相关振动检定灵敏度的幅值线性度用检定点的灵敏度幅值相对于参考灵敏度幅值的相对偏差表示检定结果应满足</w:t>
      </w:r>
      <w:r>
        <w:rPr>
          <w:rFonts w:cs="宋体"/>
          <w:color w:val="auto"/>
          <w:sz w:val="24"/>
          <w:highlight w:val="none"/>
        </w:rPr>
        <w:t>5</w:t>
      </w:r>
      <w:r>
        <w:rPr>
          <w:rFonts w:hint="eastAsia" w:cs="宋体"/>
          <w:color w:val="auto"/>
          <w:sz w:val="24"/>
          <w:highlight w:val="none"/>
        </w:rPr>
        <w:t>.3的要求。</w:t>
      </w:r>
    </w:p>
    <w:p w14:paraId="58C55ED9">
      <w:pPr>
        <w:spacing w:before="156" w:beforeLines="50" w:line="360" w:lineRule="auto"/>
        <w:ind w:firstLine="420"/>
        <w:rPr>
          <w:rFonts w:cs="宋体"/>
          <w:color w:val="auto"/>
          <w:sz w:val="24"/>
          <w:highlight w:val="none"/>
        </w:rPr>
      </w:pPr>
      <w:r>
        <w:rPr>
          <w:rFonts w:cs="宋体"/>
          <w:color w:val="auto"/>
          <w:sz w:val="24"/>
          <w:highlight w:val="none"/>
        </w:rPr>
        <w:t>对加速度幅值范围较大的情况，并用最小二乘法计算灵敏度幅值线性度。由n次检定的加速度a</w:t>
      </w:r>
      <w:r>
        <w:rPr>
          <w:rFonts w:cs="宋体"/>
          <w:color w:val="auto"/>
          <w:sz w:val="24"/>
          <w:highlight w:val="none"/>
          <w:vertAlign w:val="subscript"/>
        </w:rPr>
        <w:t>i</w:t>
      </w:r>
      <w:r>
        <w:rPr>
          <w:rFonts w:cs="宋体"/>
          <w:color w:val="auto"/>
          <w:sz w:val="24"/>
          <w:highlight w:val="none"/>
        </w:rPr>
        <w:t>和灵敏度S</w:t>
      </w:r>
      <w:r>
        <w:rPr>
          <w:rFonts w:cs="宋体"/>
          <w:color w:val="auto"/>
          <w:sz w:val="24"/>
          <w:highlight w:val="none"/>
          <w:vertAlign w:val="subscript"/>
        </w:rPr>
        <w:t>i</w:t>
      </w:r>
      <w:r>
        <w:rPr>
          <w:rFonts w:cs="宋体"/>
          <w:color w:val="auto"/>
          <w:sz w:val="24"/>
          <w:highlight w:val="none"/>
        </w:rPr>
        <w:t>求出回归</w:t>
      </w:r>
      <w:r>
        <w:rPr>
          <w:rFonts w:hint="eastAsia" w:cs="宋体"/>
          <w:color w:val="auto"/>
          <w:sz w:val="24"/>
          <w:highlight w:val="none"/>
        </w:rPr>
        <w:t>直</w:t>
      </w:r>
      <w:r>
        <w:rPr>
          <w:rFonts w:cs="宋体"/>
          <w:color w:val="auto"/>
          <w:sz w:val="24"/>
          <w:highlight w:val="none"/>
        </w:rPr>
        <w:t>线：</w:t>
      </w:r>
    </w:p>
    <w:p w14:paraId="557853B3">
      <w:pPr>
        <w:spacing w:before="156" w:beforeLines="50" w:line="360" w:lineRule="auto"/>
        <w:ind w:firstLine="720" w:firstLineChars="300"/>
        <w:rPr>
          <w:rFonts w:cs="宋体"/>
          <w:color w:val="auto"/>
          <w:sz w:val="24"/>
          <w:highlight w:val="none"/>
        </w:rPr>
      </w:pPr>
      <m:oMath>
        <m:r>
          <m:rPr/>
          <w:rPr>
            <w:rFonts w:hint="eastAsia" w:ascii="Cambria Math" w:hAnsi="Cambria Math" w:cs="宋体"/>
            <w:color w:val="auto"/>
            <w:sz w:val="24"/>
            <w:highlight w:val="none"/>
          </w:rPr>
          <m:t>S=</m:t>
        </m:r>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0</m:t>
            </m:r>
            <m:ctrlPr>
              <w:rPr>
                <w:rFonts w:hint="eastAsia" w:ascii="Cambria Math" w:hAnsi="Cambria Math" w:cs="宋体"/>
                <w:i/>
                <w:color w:val="auto"/>
                <w:sz w:val="24"/>
                <w:highlight w:val="none"/>
              </w:rPr>
            </m:ctrlPr>
          </m:sub>
        </m:sSub>
        <m:r>
          <m:rPr/>
          <w:rPr>
            <w:rFonts w:ascii="Cambria Math" w:hAnsi="Cambria Math" w:cs="宋体"/>
            <w:color w:val="auto"/>
            <w:sz w:val="24"/>
            <w:highlight w:val="none"/>
          </w:rPr>
          <m:t>+K∙a</m:t>
        </m:r>
      </m:oMath>
      <w:r>
        <w:rPr>
          <w:rFonts w:cs="宋体"/>
          <w:color w:val="auto"/>
          <w:sz w:val="24"/>
          <w:highlight w:val="none"/>
        </w:rPr>
        <w:t xml:space="preserve">                                                 (2)</w:t>
      </w:r>
    </w:p>
    <w:p w14:paraId="6944FD4F">
      <w:pPr>
        <w:spacing w:before="156" w:beforeLines="50" w:line="360" w:lineRule="auto"/>
        <w:rPr>
          <w:rFonts w:cs="宋体"/>
          <w:color w:val="auto"/>
          <w:sz w:val="24"/>
          <w:highlight w:val="none"/>
        </w:rPr>
      </w:pPr>
      <w:r>
        <w:rPr>
          <w:rFonts w:cs="宋体"/>
          <w:color w:val="auto"/>
          <w:sz w:val="24"/>
          <w:highlight w:val="none"/>
        </w:rPr>
        <w:t>式中：斜率</w:t>
      </w:r>
      <w:r>
        <w:rPr>
          <w:rFonts w:hint="eastAsia" w:cs="宋体"/>
          <w:color w:val="auto"/>
          <w:sz w:val="24"/>
          <w:highlight w:val="none"/>
        </w:rPr>
        <w:t>：</w:t>
      </w:r>
      <m:oMath>
        <m:r>
          <m:rPr/>
          <w:rPr>
            <w:rFonts w:hint="eastAsia" w:ascii="Cambria Math" w:hAnsi="Cambria Math" w:cs="宋体"/>
            <w:color w:val="auto"/>
            <w:sz w:val="24"/>
            <w:highlight w:val="none"/>
          </w:rPr>
          <m:t>K=</m:t>
        </m:r>
        <m:f>
          <m:fPr>
            <m:ctrlPr>
              <w:rPr>
                <w:rFonts w:hint="eastAsia" w:ascii="Cambria Math" w:hAnsi="Cambria Math" w:cs="宋体"/>
                <w:i/>
                <w:color w:val="auto"/>
                <w:sz w:val="24"/>
                <w:highlight w:val="none"/>
              </w:rPr>
            </m:ctrlPr>
          </m:fPr>
          <m:num>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nary>
            <m:r>
              <m:rPr/>
              <w:rPr>
                <w:rFonts w:ascii="Cambria Math" w:hAnsi="Cambria Math" w:cs="宋体"/>
                <w:color w:val="auto"/>
                <w:sz w:val="24"/>
                <w:highlight w:val="none"/>
              </w:rPr>
              <m:t>−</m:t>
            </m:r>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acc>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nary>
            <m:ctrlPr>
              <w:rPr>
                <w:rFonts w:hint="eastAsia" w:ascii="Cambria Math" w:hAnsi="Cambria Math" w:cs="宋体"/>
                <w:i/>
                <w:color w:val="auto"/>
                <w:sz w:val="24"/>
                <w:highlight w:val="none"/>
              </w:rPr>
            </m:ctrlPr>
          </m:num>
          <m:den>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Sup>
                  <m:sSubSupPr>
                    <m:ctrlPr>
                      <w:rPr>
                        <w:rFonts w:hint="eastAsia" w:ascii="Cambria Math" w:hAnsi="Cambria Math" w:cs="宋体"/>
                        <w:i/>
                        <w:color w:val="auto"/>
                        <w:sz w:val="24"/>
                        <w:highlight w:val="none"/>
                      </w:rPr>
                    </m:ctrlPr>
                  </m:sSubSup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sup>
                </m:sSubSup>
                <m:ctrlPr>
                  <w:rPr>
                    <w:rFonts w:hint="eastAsia" w:ascii="Cambria Math" w:hAnsi="Cambria Math" w:cs="宋体"/>
                    <w:i/>
                    <w:color w:val="auto"/>
                    <w:sz w:val="24"/>
                    <w:highlight w:val="none"/>
                  </w:rPr>
                </m:ctrlPr>
              </m:e>
            </m:nary>
            <m:r>
              <m:rPr/>
              <w:rPr>
                <w:rFonts w:ascii="Cambria Math" w:hAnsi="Cambria Math" w:cs="宋体"/>
                <w:color w:val="auto"/>
                <w:sz w:val="24"/>
                <w:highlight w:val="none"/>
              </w:rPr>
              <m:t>−</m:t>
            </m:r>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acc>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nary>
            <m:ctrlPr>
              <w:rPr>
                <w:rFonts w:hint="eastAsia" w:ascii="Cambria Math" w:hAnsi="Cambria Math" w:cs="宋体"/>
                <w:i/>
                <w:color w:val="auto"/>
                <w:sz w:val="24"/>
                <w:highlight w:val="none"/>
              </w:rPr>
            </m:ctrlPr>
          </m:den>
        </m:f>
      </m:oMath>
    </w:p>
    <w:p w14:paraId="3FDC81B2">
      <w:pPr>
        <w:spacing w:before="156" w:beforeLines="50" w:line="360" w:lineRule="auto"/>
        <w:ind w:firstLine="720" w:firstLineChars="300"/>
        <w:rPr>
          <w:rFonts w:cs="宋体"/>
          <w:color w:val="auto"/>
          <w:sz w:val="24"/>
          <w:highlight w:val="none"/>
        </w:rPr>
      </w:pPr>
      <w:r>
        <w:rPr>
          <w:rFonts w:cs="宋体"/>
          <w:color w:val="auto"/>
          <w:sz w:val="24"/>
          <w:highlight w:val="none"/>
        </w:rPr>
        <w:t>截距：</w:t>
      </w: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0</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acc>
        <m:r>
          <m:rPr/>
          <w:rPr>
            <w:rFonts w:ascii="Cambria Math" w:hAnsi="Cambria Math" w:cs="宋体"/>
            <w:color w:val="auto"/>
            <w:sz w:val="24"/>
            <w:highlight w:val="none"/>
          </w:rPr>
          <m:t>−K</m:t>
        </m:r>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acc>
      </m:oMath>
      <w:r>
        <w:rPr>
          <w:rFonts w:cs="宋体"/>
          <w:color w:val="auto"/>
          <w:sz w:val="24"/>
          <w:highlight w:val="none"/>
        </w:rPr>
        <w:t xml:space="preserve">                                           (3)</w:t>
      </w:r>
    </w:p>
    <w:p w14:paraId="2D681254">
      <w:pPr>
        <w:spacing w:before="156" w:beforeLines="50" w:line="360" w:lineRule="auto"/>
        <w:ind w:firstLine="720" w:firstLineChars="300"/>
        <w:rPr>
          <w:rFonts w:cs="宋体"/>
          <w:color w:val="auto"/>
          <w:sz w:val="24"/>
          <w:highlight w:val="none"/>
        </w:rPr>
      </w:pPr>
      <w:r>
        <w:rPr>
          <w:rFonts w:cs="宋体"/>
          <w:color w:val="auto"/>
          <w:sz w:val="24"/>
          <w:highlight w:val="none"/>
        </w:rPr>
        <w:t>加速度平均值：</w:t>
      </w:r>
      <m:oMath>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acc>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nary>
            <m:ctrlPr>
              <w:rPr>
                <w:rFonts w:hint="eastAsia" w:ascii="Cambria Math" w:hAnsi="Cambria Math" w:cs="宋体"/>
                <w:i/>
                <w:color w:val="auto"/>
                <w:sz w:val="24"/>
                <w:highlight w:val="none"/>
              </w:rPr>
            </m:ctrlPr>
          </m:num>
          <m:den>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den>
        </m:f>
      </m:oMath>
    </w:p>
    <w:p w14:paraId="10AD0C07">
      <w:pPr>
        <w:spacing w:before="156" w:beforeLines="50" w:line="360" w:lineRule="auto"/>
        <w:ind w:firstLine="720" w:firstLineChars="300"/>
        <w:rPr>
          <w:rFonts w:cs="宋体"/>
          <w:color w:val="auto"/>
          <w:sz w:val="24"/>
          <w:highlight w:val="none"/>
        </w:rPr>
      </w:pPr>
      <w:r>
        <w:rPr>
          <w:rFonts w:cs="宋体"/>
          <w:color w:val="auto"/>
          <w:sz w:val="24"/>
          <w:highlight w:val="none"/>
        </w:rPr>
        <w:t>灵敏度平均值：</w:t>
      </w:r>
      <m:oMath>
        <m:acc>
          <m:accPr>
            <m:chr m:val="̅"/>
            <m:ctrlPr>
              <w:rPr>
                <w:rFonts w:hint="eastAsia" w:ascii="Cambria Math" w:hAnsi="Cambria Math" w:cs="宋体"/>
                <w:i/>
                <w:color w:val="auto"/>
                <w:sz w:val="24"/>
                <w:highlight w:val="none"/>
              </w:rPr>
            </m:ctrlPr>
          </m:acc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acc>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nary>
              <m:naryPr>
                <m:chr m:val="∑"/>
                <m:limLoc m:val="undOvr"/>
                <m:ctrlPr>
                  <w:rPr>
                    <w:rFonts w:hint="eastAsia" w:ascii="Cambria Math" w:hAnsi="Cambria Math" w:cs="宋体"/>
                    <w:i/>
                    <w:color w:val="auto"/>
                    <w:sz w:val="24"/>
                    <w:highlight w:val="none"/>
                  </w:rPr>
                </m:ctrlPr>
              </m:naryPr>
              <m:sub>
                <m:r>
                  <m:rPr/>
                  <w:rPr>
                    <w:rFonts w:hint="eastAsia" w:ascii="Cambria Math" w:hAnsi="Cambria Math" w:cs="宋体"/>
                    <w:color w:val="auto"/>
                    <w:sz w:val="24"/>
                    <w:highlight w:val="none"/>
                  </w:rPr>
                  <m:t>i=1</m:t>
                </m:r>
                <m:ctrlPr>
                  <w:rPr>
                    <w:rFonts w:hint="eastAsia" w:ascii="Cambria Math" w:hAnsi="Cambria Math" w:cs="宋体"/>
                    <w:i/>
                    <w:color w:val="auto"/>
                    <w:sz w:val="24"/>
                    <w:highlight w:val="none"/>
                  </w:rPr>
                </m:ctrlPr>
              </m:sub>
              <m:sup>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sup>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i</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nary>
            <m:ctrlPr>
              <w:rPr>
                <w:rFonts w:hint="eastAsia" w:ascii="Cambria Math" w:hAnsi="Cambria Math" w:cs="宋体"/>
                <w:i/>
                <w:color w:val="auto"/>
                <w:sz w:val="24"/>
                <w:highlight w:val="none"/>
              </w:rPr>
            </m:ctrlPr>
          </m:num>
          <m:den>
            <m:r>
              <m:rPr/>
              <w:rPr>
                <w:rFonts w:hint="eastAsia" w:ascii="Cambria Math" w:hAnsi="Cambria Math" w:cs="宋体"/>
                <w:color w:val="auto"/>
                <w:sz w:val="24"/>
                <w:highlight w:val="none"/>
              </w:rPr>
              <m:t>n</m:t>
            </m:r>
            <m:ctrlPr>
              <w:rPr>
                <w:rFonts w:hint="eastAsia" w:ascii="Cambria Math" w:hAnsi="Cambria Math" w:cs="宋体"/>
                <w:i/>
                <w:color w:val="auto"/>
                <w:sz w:val="24"/>
                <w:highlight w:val="none"/>
              </w:rPr>
            </m:ctrlPr>
          </m:den>
        </m:f>
      </m:oMath>
    </w:p>
    <w:p w14:paraId="668CF639">
      <w:pPr>
        <w:spacing w:before="156" w:beforeLines="50" w:line="360" w:lineRule="auto"/>
        <w:ind w:firstLine="720" w:firstLineChars="300"/>
        <w:rPr>
          <w:rFonts w:cs="宋体"/>
          <w:color w:val="auto"/>
          <w:sz w:val="24"/>
          <w:highlight w:val="none"/>
        </w:rPr>
      </w:pPr>
      <w:r>
        <w:rPr>
          <w:rFonts w:cs="宋体"/>
          <w:color w:val="auto"/>
          <w:sz w:val="24"/>
          <w:highlight w:val="none"/>
        </w:rPr>
        <w:t>加速度幅值线性度为：</w:t>
      </w:r>
    </w:p>
    <w:p w14:paraId="783B89E8">
      <w:pPr>
        <w:spacing w:before="156" w:beforeLines="50" w:line="360" w:lineRule="auto"/>
        <w:ind w:firstLine="1440" w:firstLineChars="600"/>
        <w:rPr>
          <w:rFonts w:cs="宋体"/>
          <w:color w:val="auto"/>
          <w:sz w:val="24"/>
          <w:highlight w:val="none"/>
        </w:rPr>
      </w:pPr>
      <w:r>
        <w:rPr>
          <w:rFonts w:cs="宋体"/>
          <w:color w:val="auto"/>
          <w:sz w:val="24"/>
          <w:highlight w:val="none"/>
        </w:rPr>
        <w:t xml:space="preserve"> </w:t>
      </w:r>
      <m:oMath>
        <m:r>
          <m:rPr/>
          <w:rPr>
            <w:rFonts w:hint="eastAsia" w:ascii="Cambria Math" w:hAnsi="Cambria Math" w:cs="宋体"/>
            <w:color w:val="auto"/>
            <w:sz w:val="24"/>
            <w:highlight w:val="none"/>
          </w:rPr>
          <m:t>γ=</m:t>
        </m:r>
        <m:sSub>
          <m:sSubPr>
            <m:ctrlPr>
              <w:rPr>
                <w:rFonts w:hint="eastAsia" w:ascii="Cambria Math" w:hAnsi="Cambria Math" w:cs="宋体"/>
                <w:i/>
                <w:color w:val="auto"/>
                <w:sz w:val="24"/>
                <w:highlight w:val="none"/>
              </w:rPr>
            </m:ctrlPr>
          </m:sSubPr>
          <m:e>
            <m:d>
              <m:dPr>
                <m:begChr m:val=""/>
                <m:endChr m:val="|"/>
                <m:ctrlPr>
                  <w:rPr>
                    <w:rFonts w:hint="eastAsia" w:ascii="Cambria Math" w:hAnsi="Cambria Math" w:cs="宋体"/>
                    <w:i/>
                    <w:color w:val="auto"/>
                    <w:sz w:val="24"/>
                    <w:highlight w:val="none"/>
                  </w:rPr>
                </m:ctrlPr>
              </m:dPr>
              <m:e>
                <m:f>
                  <m:fPr>
                    <m:ctrlPr>
                      <w:rPr>
                        <w:rFonts w:hint="eastAsia" w:ascii="Cambria Math" w:hAnsi="Cambria Math" w:cs="宋体"/>
                        <w:i/>
                        <w:color w:val="auto"/>
                        <w:sz w:val="24"/>
                        <w:highlight w:val="none"/>
                      </w:rPr>
                    </m:ctrlPr>
                  </m:fPr>
                  <m:num>
                    <m:r>
                      <m:rPr/>
                      <w:rPr>
                        <w:rFonts w:hint="eastAsia" w:ascii="Cambria Math" w:hAnsi="Cambria Math" w:cs="宋体"/>
                        <w:color w:val="auto"/>
                        <w:sz w:val="24"/>
                        <w:highlight w:val="none"/>
                      </w:rPr>
                      <m:t>K</m:t>
                    </m:r>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0</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×100%</m:t>
                </m:r>
                <m:ctrlPr>
                  <w:rPr>
                    <w:rFonts w:hint="eastAsia" w:ascii="Cambria Math" w:hAnsi="Cambria Math" w:cs="宋体"/>
                    <w:i/>
                    <w:color w:val="auto"/>
                    <w:sz w:val="24"/>
                    <w:highlight w:val="none"/>
                  </w:rPr>
                </m:ctrlPr>
              </m:e>
            </m:d>
            <m:ctrlPr>
              <w:rPr>
                <w:rFonts w:hint="eastAsia" w:ascii="Cambria Math" w:hAnsi="Cambria Math" w:cs="宋体"/>
                <w:i/>
                <w:color w:val="auto"/>
                <w:sz w:val="24"/>
                <w:highlight w:val="none"/>
              </w:rPr>
            </m:ctrlPr>
          </m:e>
          <m:sub>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sub>
        </m:sSub>
      </m:oMath>
      <w:r>
        <w:rPr>
          <w:rFonts w:hint="eastAsia" w:cs="宋体"/>
          <w:color w:val="auto"/>
          <w:sz w:val="24"/>
          <w:highlight w:val="none"/>
        </w:rPr>
        <w:t>或</w:t>
      </w:r>
      <m:oMath>
        <m:r>
          <m:rPr/>
          <w:rPr>
            <w:rFonts w:hint="eastAsia" w:ascii="Cambria Math" w:hAnsi="Cambria Math" w:cs="宋体"/>
            <w:color w:val="auto"/>
            <w:sz w:val="24"/>
            <w:highlight w:val="none"/>
          </w:rPr>
          <m:t>γ=</m:t>
        </m:r>
        <m:sSub>
          <m:sSubPr>
            <m:ctrlPr>
              <w:rPr>
                <w:rFonts w:hint="eastAsia" w:ascii="Cambria Math" w:hAnsi="Cambria Math" w:cs="宋体"/>
                <w:i/>
                <w:color w:val="auto"/>
                <w:sz w:val="24"/>
                <w:highlight w:val="none"/>
              </w:rPr>
            </m:ctrlPr>
          </m:sSubPr>
          <m:e>
            <m:d>
              <m:dPr>
                <m:begChr m:val=""/>
                <m:endChr m:val="|"/>
                <m:ctrlPr>
                  <w:rPr>
                    <w:rFonts w:hint="eastAsia" w:ascii="Cambria Math" w:hAnsi="Cambria Math" w:cs="宋体"/>
                    <w:i/>
                    <w:color w:val="auto"/>
                    <w:sz w:val="24"/>
                    <w:highlight w:val="none"/>
                  </w:rPr>
                </m:ctrlPr>
              </m:dPr>
              <m:e>
                <m:f>
                  <m:fPr>
                    <m:ctrlPr>
                      <w:rPr>
                        <w:rFonts w:hint="eastAsia" w:ascii="Cambria Math" w:hAnsi="Cambria Math" w:cs="宋体"/>
                        <w:i/>
                        <w:color w:val="auto"/>
                        <w:sz w:val="24"/>
                        <w:highlight w:val="none"/>
                      </w:rPr>
                    </m:ctrlPr>
                  </m:fPr>
                  <m:num>
                    <m:r>
                      <m:rPr/>
                      <w:rPr>
                        <w:rFonts w:ascii="Cambria Math" w:hAnsi="Cambria Math" w:cs="宋体"/>
                        <w:color w:val="auto"/>
                        <w:sz w:val="24"/>
                        <w:highlight w:val="none"/>
                      </w:rPr>
                      <m:t>K∙10000</m:t>
                    </m:r>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0</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×100%</m:t>
                </m:r>
                <m:ctrlPr>
                  <w:rPr>
                    <w:rFonts w:hint="eastAsia" w:ascii="Cambria Math" w:hAnsi="Cambria Math" w:cs="宋体"/>
                    <w:i/>
                    <w:color w:val="auto"/>
                    <w:sz w:val="24"/>
                    <w:highlight w:val="none"/>
                  </w:rPr>
                </m:ctrlPr>
              </m:e>
            </m:d>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10000m/</m:t>
            </m:r>
            <m:sSup>
              <m:sSupPr>
                <m:ctrlPr>
                  <w:rPr>
                    <w:rFonts w:hint="eastAsia" w:ascii="Cambria Math" w:hAnsi="Cambria Math" w:cs="宋体"/>
                    <w:i/>
                    <w:color w:val="auto"/>
                    <w:sz w:val="24"/>
                    <w:highlight w:val="none"/>
                  </w:rPr>
                </m:ctrlPr>
              </m:sSup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p>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sup>
            </m:sSup>
            <m:ctrlPr>
              <w:rPr>
                <w:rFonts w:hint="eastAsia" w:ascii="Cambria Math" w:hAnsi="Cambria Math" w:cs="宋体"/>
                <w:i/>
                <w:color w:val="auto"/>
                <w:sz w:val="24"/>
                <w:highlight w:val="none"/>
              </w:rPr>
            </m:ctrlPr>
          </m:sub>
        </m:sSub>
      </m:oMath>
      <w:r>
        <w:rPr>
          <w:rFonts w:cs="宋体"/>
          <w:color w:val="auto"/>
          <w:sz w:val="24"/>
          <w:highlight w:val="none"/>
        </w:rPr>
        <w:t xml:space="preserve">      (4)</w:t>
      </w:r>
    </w:p>
    <w:p w14:paraId="0AD7F7CA">
      <w:pPr>
        <w:spacing w:before="156" w:beforeLines="50" w:line="360" w:lineRule="auto"/>
        <w:ind w:firstLine="420"/>
        <w:rPr>
          <w:rFonts w:cs="宋体"/>
          <w:color w:val="auto"/>
          <w:sz w:val="24"/>
          <w:highlight w:val="none"/>
        </w:rPr>
      </w:pPr>
      <w:r>
        <w:rPr>
          <w:rFonts w:cs="宋体"/>
          <w:color w:val="auto"/>
          <w:sz w:val="24"/>
          <w:highlight w:val="none"/>
        </w:rPr>
        <w:t>式</w:t>
      </w:r>
      <w:r>
        <w:rPr>
          <w:rFonts w:hint="eastAsia" w:cs="宋体"/>
          <w:color w:val="auto"/>
          <w:sz w:val="24"/>
          <w:highlight w:val="none"/>
        </w:rPr>
        <w:t>（</w:t>
      </w:r>
      <w:r>
        <w:rPr>
          <w:rFonts w:cs="宋体"/>
          <w:color w:val="auto"/>
          <w:sz w:val="24"/>
          <w:highlight w:val="none"/>
        </w:rPr>
        <w:t>4）中前式表示最大加速度处的幅值线性度，后式表示每10000 m/s²幅值线性变化百分数。</w:t>
      </w:r>
    </w:p>
    <w:p w14:paraId="424383B3">
      <w:pPr>
        <w:spacing w:before="156" w:beforeLines="50" w:line="360" w:lineRule="auto"/>
        <w:ind w:firstLine="420"/>
        <w:rPr>
          <w:rFonts w:cs="宋体"/>
          <w:color w:val="auto"/>
          <w:sz w:val="24"/>
          <w:highlight w:val="none"/>
        </w:rPr>
      </w:pPr>
      <w:r>
        <w:rPr>
          <w:rFonts w:cs="宋体"/>
          <w:color w:val="auto"/>
          <w:sz w:val="24"/>
          <w:highlight w:val="none"/>
        </w:rPr>
        <w:t>检定结果应满足4.3的要求。</w:t>
      </w:r>
    </w:p>
    <w:p w14:paraId="696F60FD">
      <w:pPr>
        <w:spacing w:before="156" w:beforeLines="50" w:line="360" w:lineRule="auto"/>
        <w:rPr>
          <w:rFonts w:cs="宋体"/>
          <w:color w:val="auto"/>
          <w:sz w:val="24"/>
          <w:highlight w:val="none"/>
        </w:rPr>
      </w:pPr>
      <w:r>
        <w:rPr>
          <w:rFonts w:hint="eastAsia" w:cs="宋体"/>
          <w:color w:val="auto"/>
          <w:sz w:val="24"/>
          <w:highlight w:val="none"/>
        </w:rPr>
        <w:t>7.3.5  参考灵敏度幅值年稳定度的检定</w:t>
      </w:r>
    </w:p>
    <w:p w14:paraId="046CEA6F">
      <w:pPr>
        <w:spacing w:before="156" w:beforeLines="50" w:line="360" w:lineRule="auto"/>
        <w:ind w:firstLine="420"/>
        <w:rPr>
          <w:rFonts w:cs="宋体"/>
          <w:color w:val="auto"/>
          <w:sz w:val="24"/>
          <w:highlight w:val="none"/>
        </w:rPr>
      </w:pPr>
      <w:r>
        <w:rPr>
          <w:rFonts w:hint="eastAsia" w:cs="宋体"/>
          <w:color w:val="auto"/>
          <w:sz w:val="24"/>
          <w:highlight w:val="none"/>
        </w:rPr>
        <w:t>通常用灵敏度的年稳定度评价加速度计的稳定度。即：在相同参考频率、参考加速度和适调仪设置的检定条件下，加速度计灵敏度幅值逐年的变化量。</w:t>
      </w:r>
    </w:p>
    <w:p w14:paraId="40DE2ED5">
      <w:pPr>
        <w:spacing w:before="156" w:beforeLines="50" w:line="360" w:lineRule="auto"/>
        <w:ind w:firstLine="1440" w:firstLineChars="600"/>
        <w:rPr>
          <w:rFonts w:cs="宋体"/>
          <w:color w:val="auto"/>
          <w:sz w:val="24"/>
          <w:highlight w:val="none"/>
        </w:rPr>
      </w:pP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ω</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2</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1</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1</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×100%</m:t>
        </m:r>
      </m:oMath>
      <w:r>
        <w:rPr>
          <w:rFonts w:hint="eastAsia" w:cs="宋体"/>
          <w:color w:val="auto"/>
          <w:sz w:val="24"/>
          <w:highlight w:val="none"/>
        </w:rPr>
        <w:t xml:space="preserve">                       (5)</w:t>
      </w:r>
    </w:p>
    <w:p w14:paraId="6FB85D7E">
      <w:pPr>
        <w:spacing w:before="156" w:beforeLines="50" w:line="360" w:lineRule="auto"/>
        <w:rPr>
          <w:rFonts w:cs="宋体"/>
          <w:color w:val="auto"/>
          <w:sz w:val="24"/>
          <w:highlight w:val="none"/>
        </w:rPr>
      </w:pPr>
      <w:r>
        <w:rPr>
          <w:rFonts w:hint="eastAsia" w:cs="宋体"/>
          <w:color w:val="auto"/>
          <w:sz w:val="24"/>
          <w:highlight w:val="none"/>
        </w:rPr>
        <w:t>式中  w</w:t>
      </w:r>
      <w:r>
        <w:rPr>
          <w:rFonts w:hint="eastAsia" w:cs="宋体"/>
          <w:color w:val="auto"/>
          <w:sz w:val="24"/>
          <w:highlight w:val="none"/>
          <w:vertAlign w:val="subscript"/>
        </w:rPr>
        <w:t>s</w:t>
      </w:r>
      <w:r>
        <w:rPr>
          <w:rFonts w:hint="eastAsia" w:cs="宋体"/>
          <w:color w:val="auto"/>
          <w:sz w:val="24"/>
          <w:highlight w:val="none"/>
        </w:rPr>
        <w:t>——灵敏度幅值的年稳定度，%；</w:t>
      </w:r>
    </w:p>
    <w:p w14:paraId="215AD80E">
      <w:pPr>
        <w:spacing w:before="156" w:beforeLines="50" w:line="360" w:lineRule="auto"/>
        <w:ind w:firstLine="720" w:firstLineChars="300"/>
        <w:rPr>
          <w:rFonts w:cs="宋体"/>
          <w:color w:val="auto"/>
          <w:sz w:val="24"/>
          <w:highlight w:val="none"/>
        </w:rPr>
      </w:pPr>
      <w:r>
        <w:rPr>
          <w:rFonts w:hint="eastAsia" w:cs="宋体"/>
          <w:color w:val="auto"/>
          <w:sz w:val="24"/>
          <w:highlight w:val="none"/>
        </w:rPr>
        <w:t>S</w:t>
      </w:r>
      <w:r>
        <w:rPr>
          <w:rFonts w:hint="eastAsia" w:cs="宋体"/>
          <w:color w:val="auto"/>
          <w:sz w:val="24"/>
          <w:highlight w:val="none"/>
          <w:vertAlign w:val="subscript"/>
        </w:rPr>
        <w:t>2</w:t>
      </w:r>
      <w:r>
        <w:rPr>
          <w:rFonts w:hint="eastAsia" w:cs="宋体"/>
          <w:color w:val="auto"/>
          <w:sz w:val="24"/>
          <w:highlight w:val="none"/>
        </w:rPr>
        <w:t>——当年检定的灵敏度幅值，mV/（m·s</w:t>
      </w:r>
      <w:r>
        <w:rPr>
          <w:rFonts w:hint="eastAsia" w:cs="宋体"/>
          <w:color w:val="auto"/>
          <w:sz w:val="24"/>
          <w:highlight w:val="none"/>
          <w:vertAlign w:val="superscript"/>
        </w:rPr>
        <w:t>-2</w:t>
      </w:r>
      <w:r>
        <w:rPr>
          <w:rFonts w:hint="eastAsia" w:cs="宋体"/>
          <w:color w:val="auto"/>
          <w:sz w:val="24"/>
          <w:highlight w:val="none"/>
        </w:rPr>
        <w:t>）或pC/（m·s</w:t>
      </w:r>
      <w:r>
        <w:rPr>
          <w:rFonts w:hint="eastAsia" w:cs="宋体"/>
          <w:color w:val="auto"/>
          <w:sz w:val="24"/>
          <w:highlight w:val="none"/>
          <w:vertAlign w:val="superscript"/>
        </w:rPr>
        <w:t>-2</w:t>
      </w:r>
      <w:r>
        <w:rPr>
          <w:rFonts w:hint="eastAsia" w:cs="宋体"/>
          <w:color w:val="auto"/>
          <w:sz w:val="24"/>
          <w:highlight w:val="none"/>
        </w:rPr>
        <w:t>）；</w:t>
      </w:r>
    </w:p>
    <w:p w14:paraId="2AB1D4C5">
      <w:pPr>
        <w:spacing w:before="156" w:beforeLines="50" w:line="360" w:lineRule="auto"/>
        <w:ind w:firstLine="720" w:firstLineChars="300"/>
        <w:rPr>
          <w:rFonts w:cs="宋体"/>
          <w:color w:val="auto"/>
          <w:sz w:val="24"/>
          <w:highlight w:val="none"/>
        </w:rPr>
      </w:pPr>
      <w:r>
        <w:rPr>
          <w:rFonts w:hint="eastAsia" w:cs="宋体"/>
          <w:color w:val="auto"/>
          <w:sz w:val="24"/>
          <w:highlight w:val="none"/>
        </w:rPr>
        <w:t>S</w:t>
      </w:r>
      <w:r>
        <w:rPr>
          <w:rFonts w:hint="eastAsia" w:cs="宋体"/>
          <w:color w:val="auto"/>
          <w:sz w:val="24"/>
          <w:highlight w:val="none"/>
          <w:vertAlign w:val="subscript"/>
        </w:rPr>
        <w:t>1</w:t>
      </w:r>
      <w:r>
        <w:rPr>
          <w:rFonts w:hint="eastAsia" w:cs="宋体"/>
          <w:color w:val="auto"/>
          <w:sz w:val="24"/>
          <w:highlight w:val="none"/>
        </w:rPr>
        <w:t>——上一年检定的灵敏度幅值，mV/（m·s</w:t>
      </w:r>
      <w:r>
        <w:rPr>
          <w:rFonts w:hint="eastAsia" w:cs="宋体"/>
          <w:color w:val="auto"/>
          <w:sz w:val="24"/>
          <w:highlight w:val="none"/>
          <w:vertAlign w:val="superscript"/>
        </w:rPr>
        <w:t>-2</w:t>
      </w:r>
      <w:r>
        <w:rPr>
          <w:rFonts w:hint="eastAsia" w:cs="宋体"/>
          <w:color w:val="auto"/>
          <w:sz w:val="24"/>
          <w:highlight w:val="none"/>
        </w:rPr>
        <w:t>）或pC/（m·s</w:t>
      </w:r>
      <w:r>
        <w:rPr>
          <w:rFonts w:hint="eastAsia" w:cs="宋体"/>
          <w:color w:val="auto"/>
          <w:sz w:val="24"/>
          <w:highlight w:val="none"/>
          <w:vertAlign w:val="superscript"/>
        </w:rPr>
        <w:t>-2</w:t>
      </w:r>
      <w:r>
        <w:rPr>
          <w:rFonts w:hint="eastAsia" w:cs="宋体"/>
          <w:color w:val="auto"/>
          <w:sz w:val="24"/>
          <w:highlight w:val="none"/>
        </w:rPr>
        <w:t>）。</w:t>
      </w:r>
    </w:p>
    <w:p w14:paraId="5C14BD1B">
      <w:pPr>
        <w:spacing w:before="156" w:beforeLines="50" w:line="360" w:lineRule="auto"/>
        <w:ind w:firstLine="420"/>
        <w:rPr>
          <w:rFonts w:cs="宋体"/>
          <w:color w:val="auto"/>
          <w:sz w:val="24"/>
          <w:highlight w:val="none"/>
        </w:rPr>
      </w:pPr>
      <w:r>
        <w:rPr>
          <w:rFonts w:hint="eastAsia" w:cs="宋体"/>
          <w:color w:val="auto"/>
          <w:sz w:val="24"/>
          <w:highlight w:val="none"/>
        </w:rPr>
        <w:t>检定结果应满足</w:t>
      </w:r>
      <w:r>
        <w:rPr>
          <w:rFonts w:cs="宋体"/>
          <w:color w:val="auto"/>
          <w:sz w:val="24"/>
          <w:highlight w:val="none"/>
        </w:rPr>
        <w:t>5</w:t>
      </w:r>
      <w:r>
        <w:rPr>
          <w:rFonts w:hint="eastAsia" w:cs="宋体"/>
          <w:color w:val="auto"/>
          <w:sz w:val="24"/>
          <w:highlight w:val="none"/>
        </w:rPr>
        <w:t>.4的要求。</w:t>
      </w:r>
    </w:p>
    <w:p w14:paraId="5563BB72">
      <w:pPr>
        <w:spacing w:before="156" w:beforeLines="50" w:line="360" w:lineRule="auto"/>
        <w:rPr>
          <w:rFonts w:cs="宋体"/>
          <w:color w:val="auto"/>
          <w:sz w:val="24"/>
          <w:highlight w:val="none"/>
        </w:rPr>
      </w:pPr>
      <w:r>
        <w:rPr>
          <w:rFonts w:hint="eastAsia" w:cs="宋体"/>
          <w:color w:val="auto"/>
          <w:sz w:val="24"/>
          <w:highlight w:val="none"/>
        </w:rPr>
        <w:t>7.3.6  参考灵敏度横向振动比的检定</w:t>
      </w:r>
    </w:p>
    <w:p w14:paraId="6F03F464">
      <w:pPr>
        <w:spacing w:line="360" w:lineRule="auto"/>
        <w:ind w:firstLine="420"/>
        <w:rPr>
          <w:rFonts w:cs="宋体"/>
          <w:color w:val="auto"/>
          <w:sz w:val="24"/>
          <w:highlight w:val="none"/>
        </w:rPr>
      </w:pPr>
      <w:r>
        <w:rPr>
          <w:rFonts w:cs="宋体"/>
          <w:color w:val="auto"/>
          <w:sz w:val="24"/>
          <w:highlight w:val="none"/>
        </w:rPr>
        <w:t>将被检加速度计刚性安装在</w:t>
      </w:r>
      <w:r>
        <w:rPr>
          <w:rFonts w:hint="eastAsia" w:cs="宋体"/>
          <w:color w:val="auto"/>
          <w:sz w:val="24"/>
          <w:highlight w:val="none"/>
        </w:rPr>
        <w:t>横向灵敏度检定</w:t>
      </w:r>
      <w:r>
        <w:rPr>
          <w:rFonts w:cs="宋体"/>
          <w:color w:val="auto"/>
          <w:sz w:val="24"/>
          <w:highlight w:val="none"/>
        </w:rPr>
        <w:t>装置台面中心，在参考幅值和频率下激振并测出加速度计灵敏轴方向的灵敏度，在相同的幅值和频率下沿垂直于灵敏轴方向起振，并使被检加速度计绕其自身灵敏度轴转动，或使横向振动方向绕被检加速度计的灵敏度轴转动（在360°范围内以45°或小于45°为增量逐次旋转），找出横向振动灵敏度最大值及其方向，并作出标记。</w:t>
      </w:r>
    </w:p>
    <w:p w14:paraId="0129257F">
      <w:pPr>
        <w:spacing w:line="360" w:lineRule="auto"/>
        <w:ind w:firstLine="420"/>
        <w:rPr>
          <w:rFonts w:cs="宋体"/>
          <w:color w:val="auto"/>
          <w:sz w:val="24"/>
          <w:highlight w:val="none"/>
        </w:rPr>
      </w:pPr>
      <w:r>
        <w:rPr>
          <w:rFonts w:cs="宋体"/>
          <w:color w:val="auto"/>
          <w:sz w:val="24"/>
          <w:highlight w:val="none"/>
        </w:rPr>
        <w:t>也可以采用垂直于加速度计灵敏轴的可变正交激励拟合出圆形的运动轨迹，找出横向振动灵敏度最大值及其的方向，并作出标记。</w:t>
      </w:r>
    </w:p>
    <w:p w14:paraId="47076ED2">
      <w:pPr>
        <w:spacing w:line="360" w:lineRule="auto"/>
        <w:ind w:firstLine="420"/>
        <w:rPr>
          <w:rFonts w:cs="宋体"/>
          <w:color w:val="auto"/>
          <w:sz w:val="24"/>
          <w:highlight w:val="none"/>
        </w:rPr>
      </w:pPr>
      <w:r>
        <w:rPr>
          <w:rFonts w:cs="宋体"/>
          <w:color w:val="auto"/>
          <w:sz w:val="24"/>
          <w:highlight w:val="none"/>
        </w:rPr>
        <w:t>横向灵敏度的计算公式为：</w:t>
      </w:r>
    </w:p>
    <w:p w14:paraId="5106A725">
      <w:pPr>
        <w:spacing w:line="360" w:lineRule="auto"/>
        <w:jc w:val="right"/>
        <w:rPr>
          <w:rFonts w:cs="宋体"/>
          <w:color w:val="auto"/>
          <w:sz w:val="24"/>
          <w:highlight w:val="none"/>
        </w:rPr>
      </w:pPr>
      <m:oMath>
        <m:sSub>
          <m:sSubPr>
            <m:ctrlPr>
              <w:rPr>
                <w:rFonts w:hint="eastAsia" w:ascii="Cambria Math" w:hAnsi="Cambria Math" w:cs="宋体"/>
                <w:i/>
                <w:color w:val="auto"/>
                <w:sz w:val="24"/>
                <w:highlight w:val="none"/>
              </w:rPr>
            </m:ctrlPr>
          </m:sSubPr>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r>
          <m:rPr/>
          <w:rPr>
            <w:rFonts w:hint="eastAsia" w:ascii="Cambria Math" w:hAnsi="Cambria Math" w:cs="宋体"/>
            <w:color w:val="auto"/>
            <w:sz w:val="24"/>
            <w:highlight w:val="none"/>
          </w:rPr>
          <m:t>=</m:t>
        </m:r>
        <m:f>
          <m:fPr>
            <m:ctrlPr>
              <w:rPr>
                <w:rFonts w:hint="eastAsia" w:ascii="Cambria Math" w:hAnsi="Cambria Math" w:cs="宋体"/>
                <w:i/>
                <w:color w:val="auto"/>
                <w:sz w:val="24"/>
                <w:highlight w:val="none"/>
              </w:rPr>
            </m:ctrlPr>
          </m:fPr>
          <m:num>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U</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 xml:space="preserve">×100%   </m:t>
        </m:r>
      </m:oMath>
      <w:r>
        <w:rPr>
          <w:rFonts w:cs="宋体"/>
          <w:color w:val="auto"/>
          <w:sz w:val="24"/>
          <w:highlight w:val="none"/>
        </w:rPr>
        <w:t xml:space="preserve">                          (B.1)</w:t>
      </w:r>
    </w:p>
    <w:p w14:paraId="095BDB1A">
      <w:pPr>
        <w:spacing w:line="360" w:lineRule="auto"/>
        <w:rPr>
          <w:rFonts w:cs="宋体"/>
          <w:color w:val="auto"/>
          <w:sz w:val="24"/>
          <w:highlight w:val="none"/>
        </w:rPr>
      </w:pPr>
      <w:r>
        <w:rPr>
          <w:rFonts w:cs="宋体"/>
          <w:color w:val="auto"/>
          <w:sz w:val="24"/>
          <w:highlight w:val="none"/>
        </w:rPr>
        <w:t xml:space="preserve">式中  </w:t>
      </w:r>
      <m:oMath>
        <m:sSub>
          <m:sSubPr>
            <m:ctrlPr>
              <w:rPr>
                <w:rFonts w:hint="eastAsia" w:ascii="Cambria Math" w:hAnsi="Cambria Math" w:cs="宋体"/>
                <w:i/>
                <w:color w:val="auto"/>
                <w:sz w:val="24"/>
                <w:highlight w:val="none"/>
              </w:rPr>
            </m:ctrlPr>
          </m:sSubPr>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oMath>
      <w:r>
        <w:rPr>
          <w:rFonts w:hint="eastAsia" w:cs="宋体"/>
          <w:color w:val="auto"/>
          <w:sz w:val="24"/>
          <w:highlight w:val="none"/>
        </w:rPr>
        <w:t>——</w:t>
      </w:r>
      <w:r>
        <w:rPr>
          <w:rFonts w:cs="宋体"/>
          <w:color w:val="auto"/>
          <w:sz w:val="24"/>
          <w:highlight w:val="none"/>
        </w:rPr>
        <w:t>被检加速度计的最大横向灵敏度值，mV/（m·s</w:t>
      </w:r>
      <w:r>
        <w:rPr>
          <w:rFonts w:cs="宋体"/>
          <w:color w:val="auto"/>
          <w:sz w:val="24"/>
          <w:highlight w:val="none"/>
          <w:vertAlign w:val="superscript"/>
        </w:rPr>
        <w:t>-2</w:t>
      </w:r>
      <w:r>
        <w:rPr>
          <w:rFonts w:cs="宋体"/>
          <w:color w:val="auto"/>
          <w:sz w:val="24"/>
          <w:highlight w:val="none"/>
        </w:rPr>
        <w:t>）或pC/（m·s</w:t>
      </w:r>
      <w:r>
        <w:rPr>
          <w:rFonts w:cs="宋体"/>
          <w:color w:val="auto"/>
          <w:sz w:val="24"/>
          <w:highlight w:val="none"/>
          <w:vertAlign w:val="superscript"/>
        </w:rPr>
        <w:t>-2</w:t>
      </w:r>
      <w:r>
        <w:rPr>
          <w:rFonts w:cs="宋体"/>
          <w:color w:val="auto"/>
          <w:sz w:val="24"/>
          <w:highlight w:val="none"/>
        </w:rPr>
        <w:t>）；</w:t>
      </w:r>
    </w:p>
    <w:p w14:paraId="3DBA06B5">
      <w:pPr>
        <w:spacing w:line="360" w:lineRule="auto"/>
        <w:ind w:firstLine="720" w:firstLineChars="300"/>
        <w:rPr>
          <w:rFonts w:cs="宋体"/>
          <w:color w:val="auto"/>
          <w:sz w:val="24"/>
          <w:highlight w:val="none"/>
        </w:rPr>
      </w:pP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U</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oMath>
      <w:r>
        <w:rPr>
          <w:rFonts w:hint="eastAsia" w:cs="宋体"/>
          <w:color w:val="auto"/>
          <w:sz w:val="24"/>
          <w:highlight w:val="none"/>
        </w:rPr>
        <w:t>——加速度计的输出值</w:t>
      </w:r>
      <w:r>
        <w:rPr>
          <w:rFonts w:cs="宋体"/>
          <w:color w:val="auto"/>
          <w:sz w:val="24"/>
          <w:highlight w:val="none"/>
        </w:rPr>
        <w:t>，mV/或pC；</w:t>
      </w:r>
    </w:p>
    <w:p w14:paraId="454851B5">
      <w:pPr>
        <w:spacing w:line="360" w:lineRule="auto"/>
        <w:ind w:firstLine="720" w:firstLineChars="300"/>
        <w:rPr>
          <w:rFonts w:cs="宋体"/>
          <w:color w:val="auto"/>
          <w:sz w:val="24"/>
          <w:highlight w:val="none"/>
        </w:rPr>
      </w:pP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a</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oMath>
      <w:r>
        <w:rPr>
          <w:rFonts w:hint="eastAsia" w:cs="宋体"/>
          <w:color w:val="auto"/>
          <w:sz w:val="24"/>
          <w:highlight w:val="none"/>
        </w:rPr>
        <w:t>——测试方向上的加速度幅值</w:t>
      </w:r>
      <w:r>
        <w:rPr>
          <w:rFonts w:cs="宋体"/>
          <w:color w:val="auto"/>
          <w:sz w:val="24"/>
          <w:highlight w:val="none"/>
        </w:rPr>
        <w:t>，m/s</w:t>
      </w:r>
      <w:r>
        <w:rPr>
          <w:rFonts w:cs="宋体"/>
          <w:color w:val="auto"/>
          <w:sz w:val="24"/>
          <w:highlight w:val="none"/>
          <w:vertAlign w:val="superscript"/>
        </w:rPr>
        <w:t>2</w:t>
      </w:r>
      <w:r>
        <w:rPr>
          <w:rFonts w:cs="宋体"/>
          <w:color w:val="auto"/>
          <w:sz w:val="24"/>
          <w:highlight w:val="none"/>
        </w:rPr>
        <w:t>。</w:t>
      </w:r>
    </w:p>
    <w:p w14:paraId="1C7F0B58">
      <w:pPr>
        <w:spacing w:line="360" w:lineRule="auto"/>
        <w:ind w:firstLine="420"/>
        <w:rPr>
          <w:rFonts w:cs="宋体"/>
          <w:color w:val="auto"/>
          <w:sz w:val="24"/>
          <w:highlight w:val="none"/>
        </w:rPr>
      </w:pPr>
      <w:r>
        <w:rPr>
          <w:rFonts w:cs="宋体"/>
          <w:color w:val="auto"/>
          <w:sz w:val="24"/>
          <w:highlight w:val="none"/>
        </w:rPr>
        <w:t>横向振动灵敏度比计算公式为：</w:t>
      </w:r>
    </w:p>
    <w:p w14:paraId="43859AF7">
      <w:pPr>
        <w:spacing w:line="360" w:lineRule="auto"/>
        <w:jc w:val="right"/>
        <w:rPr>
          <w:rFonts w:cs="宋体"/>
          <w:color w:val="auto"/>
          <w:sz w:val="24"/>
          <w:highlight w:val="none"/>
        </w:rPr>
      </w:pPr>
      <m:oMath>
        <m:r>
          <m:rPr/>
          <w:rPr>
            <w:rFonts w:hint="eastAsia" w:ascii="Cambria Math" w:hAnsi="Cambria Math" w:cs="宋体"/>
            <w:color w:val="auto"/>
            <w:sz w:val="24"/>
            <w:highlight w:val="none"/>
          </w:rPr>
          <m:t>TSR=</m:t>
        </m:r>
        <m:f>
          <m:fPr>
            <m:ctrlPr>
              <w:rPr>
                <w:rFonts w:hint="eastAsia" w:ascii="Cambria Math" w:hAnsi="Cambria Math" w:cs="宋体"/>
                <w:i/>
                <w:color w:val="auto"/>
                <w:sz w:val="24"/>
                <w:highlight w:val="none"/>
              </w:rPr>
            </m:ctrlPr>
          </m:fPr>
          <m:num>
            <m:sSub>
              <m:sSubPr>
                <m:ctrlPr>
                  <w:rPr>
                    <w:rFonts w:hint="eastAsia" w:ascii="Cambria Math" w:hAnsi="Cambria Math" w:cs="宋体"/>
                    <w:i/>
                    <w:color w:val="auto"/>
                    <w:sz w:val="24"/>
                    <w:highlight w:val="none"/>
                  </w:rPr>
                </m:ctrlPr>
              </m:sSubPr>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num>
          <m:den>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z</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den>
        </m:f>
        <m:r>
          <m:rPr/>
          <w:rPr>
            <w:rFonts w:hint="eastAsia" w:ascii="Cambria Math" w:hAnsi="Cambria Math" w:cs="宋体"/>
            <w:color w:val="auto"/>
            <w:sz w:val="24"/>
            <w:highlight w:val="none"/>
          </w:rPr>
          <m:t xml:space="preserve">×100%                   </m:t>
        </m:r>
      </m:oMath>
      <w:r>
        <w:rPr>
          <w:rFonts w:cs="宋体"/>
          <w:color w:val="auto"/>
          <w:sz w:val="24"/>
          <w:highlight w:val="none"/>
        </w:rPr>
        <w:t xml:space="preserve">                    (B.2)</w:t>
      </w:r>
    </w:p>
    <w:p w14:paraId="0E73CC38">
      <w:pPr>
        <w:spacing w:line="360" w:lineRule="auto"/>
        <w:rPr>
          <w:rFonts w:cs="宋体"/>
          <w:color w:val="auto"/>
          <w:sz w:val="24"/>
          <w:highlight w:val="none"/>
        </w:rPr>
      </w:pPr>
      <w:r>
        <w:rPr>
          <w:rFonts w:cs="宋体"/>
          <w:color w:val="auto"/>
          <w:sz w:val="24"/>
          <w:highlight w:val="none"/>
        </w:rPr>
        <w:t>式中  TSR</w:t>
      </w:r>
      <w:r>
        <w:rPr>
          <w:rFonts w:hint="eastAsia" w:cs="宋体"/>
          <w:color w:val="auto"/>
          <w:sz w:val="24"/>
          <w:highlight w:val="none"/>
        </w:rPr>
        <w:t>——</w:t>
      </w:r>
      <w:r>
        <w:rPr>
          <w:rFonts w:cs="宋体"/>
          <w:color w:val="auto"/>
          <w:sz w:val="24"/>
          <w:highlight w:val="none"/>
        </w:rPr>
        <w:t>横向振动灵敏度比，%；</w:t>
      </w:r>
    </w:p>
    <w:p w14:paraId="6D10F3FD">
      <w:pPr>
        <w:spacing w:line="360" w:lineRule="auto"/>
        <w:ind w:firstLine="720" w:firstLineChars="300"/>
        <w:rPr>
          <w:rFonts w:cs="宋体"/>
          <w:color w:val="auto"/>
          <w:sz w:val="24"/>
          <w:highlight w:val="none"/>
        </w:rPr>
      </w:pPr>
      <m:oMath>
        <m:sSub>
          <m:sSubPr>
            <m:ctrlPr>
              <w:rPr>
                <w:rFonts w:hint="eastAsia" w:ascii="Cambria Math" w:hAnsi="Cambria Math" w:cs="宋体"/>
                <w:i/>
                <w:color w:val="auto"/>
                <w:sz w:val="24"/>
                <w:highlight w:val="none"/>
              </w:rPr>
            </m:ctrlPr>
          </m:sSubPr>
          <m:e>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T</m:t>
                </m:r>
                <m:ctrlPr>
                  <w:rPr>
                    <w:rFonts w:hint="eastAsia" w:ascii="Cambria Math" w:hAnsi="Cambria Math" w:cs="宋体"/>
                    <w:i/>
                    <w:color w:val="auto"/>
                    <w:sz w:val="24"/>
                    <w:highlight w:val="none"/>
                  </w:rPr>
                </m:ctrlPr>
              </m:sub>
            </m:sSub>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max</m:t>
            </m:r>
            <m:ctrlPr>
              <w:rPr>
                <w:rFonts w:hint="eastAsia" w:ascii="Cambria Math" w:hAnsi="Cambria Math" w:cs="宋体"/>
                <w:i/>
                <w:color w:val="auto"/>
                <w:sz w:val="24"/>
                <w:highlight w:val="none"/>
              </w:rPr>
            </m:ctrlPr>
          </m:sub>
        </m:sSub>
      </m:oMath>
      <w:r>
        <w:rPr>
          <w:rFonts w:hint="eastAsia" w:cs="宋体"/>
          <w:color w:val="auto"/>
          <w:sz w:val="24"/>
          <w:highlight w:val="none"/>
        </w:rPr>
        <w:t>——</w:t>
      </w:r>
      <w:r>
        <w:rPr>
          <w:rFonts w:cs="宋体"/>
          <w:color w:val="auto"/>
          <w:sz w:val="24"/>
          <w:highlight w:val="none"/>
        </w:rPr>
        <w:t>被检加速度计的最大横向灵敏度值，mV/（m·s</w:t>
      </w:r>
      <w:r>
        <w:rPr>
          <w:rFonts w:cs="宋体"/>
          <w:color w:val="auto"/>
          <w:sz w:val="24"/>
          <w:highlight w:val="none"/>
          <w:vertAlign w:val="superscript"/>
        </w:rPr>
        <w:t>-2</w:t>
      </w:r>
      <w:r>
        <w:rPr>
          <w:rFonts w:cs="宋体"/>
          <w:color w:val="auto"/>
          <w:sz w:val="24"/>
          <w:highlight w:val="none"/>
        </w:rPr>
        <w:t>）或pC/（m·s</w:t>
      </w:r>
      <w:r>
        <w:rPr>
          <w:rFonts w:cs="宋体"/>
          <w:color w:val="auto"/>
          <w:sz w:val="24"/>
          <w:highlight w:val="none"/>
          <w:vertAlign w:val="superscript"/>
        </w:rPr>
        <w:t>-2</w:t>
      </w:r>
      <w:r>
        <w:rPr>
          <w:rFonts w:cs="宋体"/>
          <w:color w:val="auto"/>
          <w:sz w:val="24"/>
          <w:highlight w:val="none"/>
        </w:rPr>
        <w:t>）；</w:t>
      </w:r>
    </w:p>
    <w:p w14:paraId="6B2F8B39">
      <w:pPr>
        <w:spacing w:line="360" w:lineRule="auto"/>
        <w:ind w:firstLine="720" w:firstLineChars="300"/>
        <w:rPr>
          <w:rFonts w:cs="宋体"/>
          <w:color w:val="auto"/>
          <w:sz w:val="24"/>
          <w:highlight w:val="none"/>
        </w:rPr>
      </w:pPr>
      <m:oMath>
        <m:sSub>
          <m:sSubPr>
            <m:ctrlPr>
              <w:rPr>
                <w:rFonts w:hint="eastAsia" w:ascii="Cambria Math" w:hAnsi="Cambria Math" w:cs="宋体"/>
                <w:i/>
                <w:color w:val="auto"/>
                <w:sz w:val="24"/>
                <w:highlight w:val="none"/>
              </w:rPr>
            </m:ctrlPr>
          </m:sSubPr>
          <m:e>
            <m:r>
              <m:rPr/>
              <w:rPr>
                <w:rFonts w:hint="eastAsia" w:ascii="Cambria Math" w:hAnsi="Cambria Math" w:cs="宋体"/>
                <w:color w:val="auto"/>
                <w:sz w:val="24"/>
                <w:highlight w:val="none"/>
              </w:rPr>
              <m:t>S</m:t>
            </m:r>
            <m:ctrlPr>
              <w:rPr>
                <w:rFonts w:hint="eastAsia" w:ascii="Cambria Math" w:hAnsi="Cambria Math" w:cs="宋体"/>
                <w:i/>
                <w:color w:val="auto"/>
                <w:sz w:val="24"/>
                <w:highlight w:val="none"/>
              </w:rPr>
            </m:ctrlPr>
          </m:e>
          <m:sub>
            <m:r>
              <m:rPr/>
              <w:rPr>
                <w:rFonts w:hint="eastAsia" w:ascii="Cambria Math" w:hAnsi="Cambria Math" w:cs="宋体"/>
                <w:color w:val="auto"/>
                <w:sz w:val="24"/>
                <w:highlight w:val="none"/>
              </w:rPr>
              <m:t>z</m:t>
            </m:r>
            <m:ctrlPr>
              <w:rPr>
                <w:rFonts w:hint="eastAsia" w:ascii="Cambria Math" w:hAnsi="Cambria Math" w:cs="宋体"/>
                <w:i/>
                <w:color w:val="auto"/>
                <w:sz w:val="24"/>
                <w:highlight w:val="none"/>
              </w:rPr>
            </m:ctrlPr>
          </m:sub>
        </m:sSub>
      </m:oMath>
      <w:r>
        <w:rPr>
          <w:rFonts w:hint="eastAsia" w:cs="宋体"/>
          <w:color w:val="auto"/>
          <w:sz w:val="24"/>
          <w:highlight w:val="none"/>
        </w:rPr>
        <w:t>——</w:t>
      </w:r>
      <w:r>
        <w:rPr>
          <w:rFonts w:cs="宋体"/>
          <w:color w:val="auto"/>
          <w:sz w:val="24"/>
          <w:highlight w:val="none"/>
        </w:rPr>
        <w:t>被检加速度计的轴向灵敏度值，mV/（m·s</w:t>
      </w:r>
      <w:r>
        <w:rPr>
          <w:rFonts w:cs="宋体"/>
          <w:color w:val="auto"/>
          <w:sz w:val="24"/>
          <w:highlight w:val="none"/>
          <w:vertAlign w:val="superscript"/>
        </w:rPr>
        <w:t>-2</w:t>
      </w:r>
      <w:r>
        <w:rPr>
          <w:rFonts w:cs="宋体"/>
          <w:color w:val="auto"/>
          <w:sz w:val="24"/>
          <w:highlight w:val="none"/>
        </w:rPr>
        <w:t>）或pC/（m·s</w:t>
      </w:r>
      <w:r>
        <w:rPr>
          <w:rFonts w:cs="宋体"/>
          <w:color w:val="auto"/>
          <w:sz w:val="24"/>
          <w:highlight w:val="none"/>
          <w:vertAlign w:val="superscript"/>
        </w:rPr>
        <w:t>-2</w:t>
      </w:r>
      <w:r>
        <w:rPr>
          <w:rFonts w:cs="宋体"/>
          <w:color w:val="auto"/>
          <w:sz w:val="24"/>
          <w:highlight w:val="none"/>
        </w:rPr>
        <w:t>）。</w:t>
      </w:r>
    </w:p>
    <w:p w14:paraId="3C76216E">
      <w:pPr>
        <w:spacing w:before="156" w:beforeLines="50" w:line="360" w:lineRule="auto"/>
        <w:ind w:firstLine="420"/>
        <w:rPr>
          <w:rFonts w:cs="宋体"/>
          <w:color w:val="auto"/>
          <w:sz w:val="24"/>
          <w:highlight w:val="none"/>
        </w:rPr>
      </w:pPr>
    </w:p>
    <w:p w14:paraId="0780728F">
      <w:pPr>
        <w:spacing w:before="156" w:beforeLines="50" w:line="360" w:lineRule="auto"/>
        <w:rPr>
          <w:rFonts w:cs="宋体"/>
          <w:color w:val="auto"/>
          <w:sz w:val="24"/>
          <w:highlight w:val="none"/>
        </w:rPr>
      </w:pPr>
      <w:r>
        <w:rPr>
          <w:rFonts w:hint="eastAsia" w:cs="宋体"/>
          <w:color w:val="auto"/>
          <w:sz w:val="24"/>
          <w:highlight w:val="none"/>
        </w:rPr>
        <w:t>7.3.7  其他性能（根据用户需求）</w:t>
      </w:r>
    </w:p>
    <w:p w14:paraId="5DB74E0B">
      <w:pPr>
        <w:spacing w:before="156" w:beforeLines="50" w:line="360" w:lineRule="auto"/>
        <w:ind w:firstLine="420"/>
        <w:rPr>
          <w:rFonts w:cs="宋体"/>
          <w:color w:val="auto"/>
          <w:sz w:val="24"/>
          <w:highlight w:val="none"/>
        </w:rPr>
      </w:pPr>
      <w:r>
        <w:rPr>
          <w:rFonts w:hint="eastAsia" w:cs="宋体"/>
          <w:color w:val="auto"/>
          <w:sz w:val="24"/>
          <w:highlight w:val="none"/>
        </w:rPr>
        <w:t>加速度计的其他性能（包括安装谐振频率、横向振动灵敏度比、温度响应、瞬变温度灵敏度、声灵敏度、磁灵敏度、基座应变灵敏度、安装力矩灵敏度）的检测方法和数据处理见附录B,结果应满足生产厂家的出厂指标。</w:t>
      </w:r>
    </w:p>
    <w:p w14:paraId="43E34E5E">
      <w:pPr>
        <w:spacing w:before="156" w:beforeLines="50" w:line="360" w:lineRule="auto"/>
        <w:rPr>
          <w:rFonts w:cs="宋体"/>
          <w:color w:val="auto"/>
          <w:sz w:val="24"/>
          <w:highlight w:val="none"/>
        </w:rPr>
      </w:pPr>
      <w:r>
        <w:rPr>
          <w:rFonts w:hint="eastAsia" w:cs="宋体"/>
          <w:color w:val="auto"/>
          <w:sz w:val="24"/>
          <w:highlight w:val="none"/>
        </w:rPr>
        <w:t>7.4  检定结果的处理</w:t>
      </w:r>
    </w:p>
    <w:p w14:paraId="24C14006">
      <w:pPr>
        <w:spacing w:before="156" w:beforeLines="50" w:line="360" w:lineRule="auto"/>
        <w:ind w:firstLine="420"/>
        <w:rPr>
          <w:rFonts w:cs="宋体"/>
          <w:color w:val="auto"/>
          <w:sz w:val="24"/>
          <w:highlight w:val="none"/>
        </w:rPr>
      </w:pPr>
      <w:r>
        <w:rPr>
          <w:rFonts w:hint="eastAsia" w:cs="宋体"/>
          <w:color w:val="auto"/>
          <w:sz w:val="24"/>
          <w:highlight w:val="none"/>
        </w:rPr>
        <w:t>经检定符合本规程要求的加速度计发给检定证书，检定证书内页格式见附录C;经检定不符合本规程要求的发给检定结果通知书，并应注明不合格项，检定结果通知书内页格式见附录D。</w:t>
      </w:r>
    </w:p>
    <w:p w14:paraId="68132732">
      <w:pPr>
        <w:spacing w:before="156" w:beforeLines="50" w:line="360" w:lineRule="auto"/>
        <w:rPr>
          <w:rFonts w:cs="宋体"/>
          <w:color w:val="auto"/>
          <w:sz w:val="24"/>
          <w:highlight w:val="none"/>
        </w:rPr>
      </w:pPr>
      <w:r>
        <w:rPr>
          <w:rFonts w:hint="eastAsia" w:cs="宋体"/>
          <w:color w:val="auto"/>
          <w:sz w:val="24"/>
          <w:highlight w:val="none"/>
        </w:rPr>
        <w:t>7.5  检定周期</w:t>
      </w:r>
    </w:p>
    <w:p w14:paraId="5D6CBB01">
      <w:pPr>
        <w:spacing w:before="156" w:beforeLines="50" w:line="360" w:lineRule="auto"/>
        <w:ind w:firstLine="420"/>
        <w:rPr>
          <w:rFonts w:cs="宋体"/>
          <w:color w:val="auto"/>
          <w:sz w:val="24"/>
          <w:highlight w:val="none"/>
        </w:rPr>
      </w:pPr>
      <w:r>
        <w:rPr>
          <w:rFonts w:hint="eastAsia" w:cs="宋体"/>
          <w:color w:val="auto"/>
          <w:sz w:val="24"/>
          <w:highlight w:val="none"/>
        </w:rPr>
        <w:t>加速度计的检定周期为1年。</w:t>
      </w:r>
    </w:p>
    <w:p w14:paraId="4E815FA3">
      <w:pPr>
        <w:rPr>
          <w:color w:val="auto"/>
          <w:highlight w:val="none"/>
        </w:rPr>
      </w:pPr>
      <w:r>
        <w:rPr>
          <w:color w:val="auto"/>
          <w:highlight w:val="none"/>
        </w:rPr>
        <w:br w:type="page"/>
      </w:r>
    </w:p>
    <w:p w14:paraId="5BBD2858">
      <w:pPr>
        <w:rPr>
          <w:b/>
          <w:bCs/>
          <w:color w:val="auto"/>
          <w:sz w:val="24"/>
          <w:highlight w:val="none"/>
        </w:rPr>
      </w:pPr>
      <w:r>
        <w:rPr>
          <w:b/>
          <w:bCs/>
          <w:color w:val="auto"/>
          <w:sz w:val="24"/>
          <w:highlight w:val="none"/>
        </w:rPr>
        <w:t>附录A</w:t>
      </w:r>
    </w:p>
    <w:p w14:paraId="58F3403A">
      <w:pPr>
        <w:rPr>
          <w:b/>
          <w:bCs/>
          <w:color w:val="auto"/>
          <w:sz w:val="24"/>
          <w:highlight w:val="none"/>
        </w:rPr>
      </w:pPr>
    </w:p>
    <w:p w14:paraId="257756BB">
      <w:pPr>
        <w:jc w:val="center"/>
        <w:rPr>
          <w:b/>
          <w:bCs/>
          <w:color w:val="auto"/>
          <w:sz w:val="24"/>
          <w:highlight w:val="none"/>
        </w:rPr>
      </w:pPr>
      <w:r>
        <w:rPr>
          <w:b/>
          <w:bCs/>
          <w:color w:val="auto"/>
          <w:sz w:val="24"/>
          <w:highlight w:val="none"/>
        </w:rPr>
        <w:t>采用激光绝对法检定的方法和数据处理</w:t>
      </w:r>
    </w:p>
    <w:p w14:paraId="733651E8">
      <w:pPr>
        <w:rPr>
          <w:color w:val="auto"/>
          <w:sz w:val="24"/>
          <w:highlight w:val="none"/>
        </w:rPr>
      </w:pPr>
    </w:p>
    <w:p w14:paraId="06BCF73E">
      <w:pPr>
        <w:rPr>
          <w:color w:val="auto"/>
          <w:highlight w:val="none"/>
        </w:rPr>
      </w:pPr>
      <w:r>
        <w:rPr>
          <w:color w:val="auto"/>
          <w:highlight w:val="none"/>
        </w:rPr>
        <w:t>A.l</w:t>
      </w:r>
      <w:r>
        <w:rPr>
          <w:rFonts w:hint="eastAsia"/>
          <w:color w:val="auto"/>
          <w:highlight w:val="none"/>
        </w:rPr>
        <w:t xml:space="preserve">  </w:t>
      </w:r>
      <w:r>
        <w:rPr>
          <w:color w:val="auto"/>
          <w:highlight w:val="none"/>
        </w:rPr>
        <w:t>条纹计数法</w:t>
      </w:r>
    </w:p>
    <w:p w14:paraId="2D91976E">
      <w:pPr>
        <w:ind w:firstLine="420"/>
        <w:rPr>
          <w:color w:val="auto"/>
          <w:highlight w:val="none"/>
        </w:rPr>
      </w:pPr>
      <w:r>
        <w:rPr>
          <w:color w:val="auto"/>
          <w:highlight w:val="none"/>
        </w:rPr>
        <w:t>调整激光干涉仪到最佳状态，选择参考频率和参考加速度，调整好适调仪增益等设置，使用频比计数器测量干涉条纹频率和振动频率比值，或使用计数器测量干涉条纹频率，并从电压表读取被检加速度计的输出电压，按照下列方法确定参考加速度灵敏度幅值。</w:t>
      </w:r>
    </w:p>
    <w:p w14:paraId="1270FD82">
      <w:pPr>
        <w:ind w:firstLine="420"/>
        <w:rPr>
          <w:color w:val="auto"/>
          <w:highlight w:val="none"/>
        </w:rPr>
      </w:pPr>
      <w:r>
        <w:rPr>
          <w:color w:val="auto"/>
          <w:highlight w:val="none"/>
        </w:rPr>
        <w:t>振动位移：</w:t>
      </w:r>
      <m:oMath>
        <m:r>
          <m:rPr/>
          <w:rPr>
            <w:rFonts w:ascii="Cambria Math" w:hAnsi="Cambria Math"/>
            <w:color w:val="auto"/>
            <w:highlight w:val="none"/>
          </w:rPr>
          <m:t>A=</m:t>
        </m:r>
        <m:f>
          <m:fPr>
            <m:ctrlPr>
              <w:rPr>
                <w:rFonts w:ascii="Cambria Math" w:hAnsi="Cambria Math"/>
                <w:i/>
                <w:color w:val="auto"/>
                <w:highlight w:val="none"/>
              </w:rPr>
            </m:ctrlPr>
          </m:fPr>
          <m:num>
            <m:r>
              <m:rPr/>
              <w:rPr>
                <w:rFonts w:ascii="Cambria Math" w:hAnsi="Cambria Math"/>
                <w:color w:val="auto"/>
                <w:highlight w:val="none"/>
              </w:rPr>
              <m:t>1</m:t>
            </m:r>
            <m:ctrlPr>
              <w:rPr>
                <w:rFonts w:ascii="Cambria Math" w:hAnsi="Cambria Math"/>
                <w:i/>
                <w:color w:val="auto"/>
                <w:highlight w:val="none"/>
              </w:rPr>
            </m:ctrlPr>
          </m:num>
          <m:den>
            <m:r>
              <m:rPr/>
              <w:rPr>
                <w:rFonts w:ascii="Cambria Math" w:hAnsi="Cambria Math"/>
                <w:color w:val="auto"/>
                <w:highlight w:val="none"/>
              </w:rPr>
              <m:t>8</m:t>
            </m:r>
            <m:ctrlPr>
              <w:rPr>
                <w:rFonts w:ascii="Cambria Math" w:hAnsi="Cambria Math"/>
                <w:i/>
                <w:color w:val="auto"/>
                <w:highlight w:val="none"/>
              </w:rPr>
            </m:ctrlPr>
          </m:den>
        </m:f>
        <m:r>
          <m:rPr/>
          <w:rPr>
            <w:rFonts w:ascii="Cambria Math" w:hAnsi="Cambria Math"/>
            <w:color w:val="auto"/>
            <w:highlight w:val="none"/>
          </w:rPr>
          <m:t>λ×N</m:t>
        </m:r>
      </m:oMath>
      <w:r>
        <w:rPr>
          <w:color w:val="auto"/>
          <w:highlight w:val="none"/>
        </w:rPr>
        <w:t xml:space="preserve">                                         </w:t>
      </w:r>
      <w:r>
        <w:rPr>
          <w:rFonts w:hint="eastAsia"/>
          <w:color w:val="auto"/>
          <w:highlight w:val="none"/>
        </w:rPr>
        <w:t xml:space="preserve"> </w:t>
      </w:r>
      <w:r>
        <w:rPr>
          <w:color w:val="auto"/>
          <w:highlight w:val="none"/>
        </w:rPr>
        <w:t xml:space="preserve">       (A.1)式中</w:t>
      </w:r>
      <w:r>
        <w:rPr>
          <w:rFonts w:hint="eastAsia"/>
          <w:color w:val="auto"/>
          <w:highlight w:val="none"/>
        </w:rPr>
        <w:t xml:space="preserve">  </w:t>
      </w:r>
      <w:r>
        <w:rPr>
          <w:color w:val="auto"/>
          <w:highlight w:val="none"/>
        </w:rPr>
        <w:t>A</w:t>
      </w:r>
      <w:r>
        <w:rPr>
          <w:rFonts w:hint="eastAsia"/>
          <w:color w:val="auto"/>
          <w:highlight w:val="none"/>
        </w:rPr>
        <w:t>——</w:t>
      </w:r>
      <w:r>
        <w:rPr>
          <w:color w:val="auto"/>
          <w:highlight w:val="none"/>
        </w:rPr>
        <w:t>正弦振动位移单峰值，m;</w:t>
      </w:r>
    </w:p>
    <w:p w14:paraId="7243DC45">
      <w:pPr>
        <w:ind w:firstLine="630" w:firstLineChars="300"/>
        <w:rPr>
          <w:color w:val="auto"/>
          <w:highlight w:val="none"/>
        </w:rPr>
      </w:pPr>
      <w:r>
        <w:rPr>
          <w:color w:val="auto"/>
          <w:highlight w:val="none"/>
        </w:rPr>
        <w:t>Λ</w:t>
      </w:r>
      <w:r>
        <w:rPr>
          <w:rFonts w:hint="eastAsia"/>
          <w:color w:val="auto"/>
          <w:highlight w:val="none"/>
        </w:rPr>
        <w:t>——</w:t>
      </w:r>
      <w:r>
        <w:rPr>
          <w:color w:val="auto"/>
          <w:highlight w:val="none"/>
        </w:rPr>
        <w:t>激光波长，m;</w:t>
      </w:r>
    </w:p>
    <w:p w14:paraId="030EC82F">
      <w:pPr>
        <w:ind w:firstLine="630" w:firstLineChars="300"/>
        <w:rPr>
          <w:color w:val="auto"/>
          <w:highlight w:val="none"/>
        </w:rPr>
      </w:pPr>
      <w:r>
        <w:rPr>
          <w:color w:val="auto"/>
          <w:highlight w:val="none"/>
        </w:rPr>
        <w:t>N</w:t>
      </w:r>
      <w:r>
        <w:rPr>
          <w:rFonts w:hint="eastAsia"/>
          <w:color w:val="auto"/>
          <w:highlight w:val="none"/>
        </w:rPr>
        <w:t>——</w:t>
      </w:r>
      <w:r>
        <w:rPr>
          <w:color w:val="auto"/>
          <w:highlight w:val="none"/>
        </w:rPr>
        <w:t>1个振动周期的干涉条纹数。</w:t>
      </w:r>
    </w:p>
    <w:p w14:paraId="4F46361D">
      <w:pPr>
        <w:ind w:firstLine="420"/>
        <w:rPr>
          <w:color w:val="auto"/>
          <w:highlight w:val="none"/>
        </w:rPr>
      </w:pPr>
      <w:r>
        <w:rPr>
          <w:color w:val="auto"/>
          <w:highlight w:val="none"/>
        </w:rPr>
        <w:t>(1)使用频比计数器</w:t>
      </w:r>
      <w:r>
        <w:rPr>
          <w:rFonts w:hint="eastAsia"/>
          <w:color w:val="auto"/>
          <w:highlight w:val="none"/>
        </w:rPr>
        <w:t>（或数采）</w:t>
      </w:r>
      <w:r>
        <w:rPr>
          <w:color w:val="auto"/>
          <w:highlight w:val="none"/>
        </w:rPr>
        <w:t>，由下式计算加速度幅值a:</w:t>
      </w:r>
    </w:p>
    <w:p w14:paraId="2A0E3BF7">
      <w:pPr>
        <w:ind w:firstLine="420"/>
        <w:rPr>
          <w:color w:val="auto"/>
          <w:highlight w:val="none"/>
        </w:rPr>
      </w:pPr>
      <w:r>
        <w:rPr>
          <w:color w:val="auto"/>
          <w:highlight w:val="none"/>
        </w:rPr>
        <w:t>用振动信号作为闸门信号（输出接通道b)，读取的通道a信号周期数即为条纹数N,</w:t>
      </w:r>
      <m:oMath>
        <m:r>
          <m:rPr/>
          <w:rPr>
            <w:rFonts w:ascii="Cambria Math" w:hAnsi="Cambria Math"/>
            <w:color w:val="auto"/>
            <w:highlight w:val="none"/>
          </w:rPr>
          <m:t>N=</m:t>
        </m:r>
        <m:sSub>
          <m:sSubPr>
            <m:ctrlPr>
              <w:rPr>
                <w:rFonts w:ascii="Cambria Math" w:hAnsi="Cambria Math"/>
                <w:i/>
                <w:color w:val="auto"/>
                <w:highlight w:val="none"/>
              </w:rPr>
            </m:ctrlPr>
          </m:sSubPr>
          <m:e>
            <m:r>
              <m:rPr/>
              <w:rPr>
                <w:rFonts w:ascii="Cambria Math" w:hAnsi="Cambria Math"/>
                <w:color w:val="auto"/>
                <w:highlight w:val="none"/>
              </w:rPr>
              <m:t>R</m:t>
            </m:r>
            <m:ctrlPr>
              <w:rPr>
                <w:rFonts w:ascii="Cambria Math" w:hAnsi="Cambria Math"/>
                <w:i/>
                <w:color w:val="auto"/>
                <w:highlight w:val="none"/>
              </w:rPr>
            </m:ctrlPr>
          </m:e>
          <m:sub>
            <m:r>
              <m:rPr/>
              <w:rPr>
                <w:rFonts w:hint="eastAsia" w:ascii="Cambria Math" w:hAnsi="Cambria Math"/>
                <w:color w:val="auto"/>
                <w:highlight w:val="none"/>
              </w:rPr>
              <m:t>f</m:t>
            </m:r>
            <m:ctrlPr>
              <w:rPr>
                <w:rFonts w:ascii="Cambria Math" w:hAnsi="Cambria Math"/>
                <w:i/>
                <w:color w:val="auto"/>
                <w:highlight w:val="none"/>
              </w:rPr>
            </m:ctrlPr>
          </m:sub>
        </m:sSub>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f</m:t>
            </m:r>
            <m:ctrlPr>
              <w:rPr>
                <w:rFonts w:ascii="Cambria Math" w:hAnsi="Cambria Math"/>
                <w:i/>
                <w:color w:val="auto"/>
                <w:highlight w:val="none"/>
              </w:rPr>
            </m:ctrlPr>
          </m:e>
          <m:sub>
            <m:r>
              <m:rPr/>
              <w:rPr>
                <w:rFonts w:ascii="Cambria Math" w:hAnsi="Cambria Math"/>
                <w:color w:val="auto"/>
                <w:highlight w:val="none"/>
              </w:rPr>
              <m:t>r</m:t>
            </m:r>
            <m:ctrlPr>
              <w:rPr>
                <w:rFonts w:ascii="Cambria Math" w:hAnsi="Cambria Math"/>
                <w:i/>
                <w:color w:val="auto"/>
                <w:highlight w:val="none"/>
              </w:rPr>
            </m:ctrlPr>
          </m:sub>
        </m:sSub>
        <m:r>
          <m:rPr/>
          <w:rPr>
            <w:rFonts w:ascii="Cambria Math" w:hAnsi="Cambria Math"/>
            <w:color w:val="auto"/>
            <w:highlight w:val="none"/>
          </w:rPr>
          <m:t>/f</m:t>
        </m:r>
      </m:oMath>
      <w:r>
        <w:rPr>
          <w:rFonts w:hint="eastAsia"/>
          <w:color w:val="auto"/>
          <w:highlight w:val="none"/>
        </w:rPr>
        <w:t>。</w:t>
      </w:r>
    </w:p>
    <w:p w14:paraId="7368078B">
      <w:pPr>
        <w:ind w:firstLine="3150" w:firstLineChars="1500"/>
        <w:rPr>
          <w:color w:val="auto"/>
          <w:highlight w:val="none"/>
        </w:rPr>
      </w:pPr>
      <m:oMath>
        <m:r>
          <m:rPr/>
          <w:rPr>
            <w:rFonts w:ascii="Cambria Math" w:hAnsi="Cambria Math"/>
            <w:color w:val="auto"/>
            <w:highlight w:val="none"/>
          </w:rPr>
          <m:t>a=</m:t>
        </m:r>
        <m:sSup>
          <m:sSupPr>
            <m:ctrlPr>
              <w:rPr>
                <w:rFonts w:ascii="Cambria Math" w:hAnsi="Cambria Math"/>
                <w:i/>
                <w:color w:val="auto"/>
                <w:highlight w:val="none"/>
              </w:rPr>
            </m:ctrlPr>
          </m:sSupPr>
          <m:e>
            <m:r>
              <m:rPr/>
              <w:rPr>
                <w:rFonts w:ascii="Cambria Math" w:hAnsi="Cambria Math"/>
                <w:color w:val="auto"/>
                <w:highlight w:val="none"/>
              </w:rPr>
              <m:t>(2xf)</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A=</m:t>
        </m:r>
        <m:f>
          <m:fPr>
            <m:ctrlPr>
              <w:rPr>
                <w:rFonts w:ascii="Cambria Math" w:hAnsi="Cambria Math"/>
                <w:i/>
                <w:color w:val="auto"/>
                <w:highlight w:val="none"/>
              </w:rPr>
            </m:ctrlPr>
          </m:fPr>
          <m:num>
            <m:r>
              <m:rPr/>
              <w:rPr>
                <w:rFonts w:ascii="Cambria Math" w:hAnsi="Cambria Math"/>
                <w:color w:val="auto"/>
                <w:highlight w:val="none"/>
              </w:rPr>
              <m:t>1</m:t>
            </m:r>
            <m:ctrlPr>
              <w:rPr>
                <w:rFonts w:ascii="Cambria Math" w:hAnsi="Cambria Math"/>
                <w:i/>
                <w:color w:val="auto"/>
                <w:highlight w:val="none"/>
              </w:rPr>
            </m:ctrlPr>
          </m:num>
          <m:den>
            <m:r>
              <m:rPr/>
              <w:rPr>
                <w:rFonts w:ascii="Cambria Math" w:hAnsi="Cambria Math"/>
                <w:color w:val="auto"/>
                <w:highlight w:val="none"/>
              </w:rPr>
              <m:t>2</m:t>
            </m:r>
            <m:ctrlPr>
              <w:rPr>
                <w:rFonts w:ascii="Cambria Math" w:hAnsi="Cambria Math"/>
                <w:i/>
                <w:color w:val="auto"/>
                <w:highlight w:val="none"/>
              </w:rPr>
            </m:ctrlPr>
          </m:den>
        </m:f>
        <m:sSup>
          <m:sSupPr>
            <m:ctrlPr>
              <w:rPr>
                <w:rFonts w:ascii="Cambria Math" w:hAnsi="Cambria Math"/>
                <w:i/>
                <w:color w:val="auto"/>
                <w:highlight w:val="none"/>
              </w:rPr>
            </m:ctrlPr>
          </m:sSupPr>
          <m:e>
            <m:r>
              <m:rPr/>
              <w:rPr>
                <w:rFonts w:ascii="Cambria Math" w:hAnsi="Cambria Math"/>
                <w:color w:val="auto"/>
                <w:highlight w:val="none"/>
              </w:rPr>
              <m:t>π</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λ</m:t>
        </m:r>
        <m:sSup>
          <m:sSupPr>
            <m:ctrlPr>
              <w:rPr>
                <w:rFonts w:ascii="Cambria Math" w:hAnsi="Cambria Math"/>
                <w:i/>
                <w:color w:val="auto"/>
                <w:highlight w:val="none"/>
              </w:rPr>
            </m:ctrlPr>
          </m:sSupPr>
          <m:e>
            <m:r>
              <m:rPr/>
              <w:rPr>
                <w:rFonts w:ascii="Cambria Math" w:hAnsi="Cambria Math"/>
                <w:color w:val="auto"/>
                <w:highlight w:val="none"/>
              </w:rPr>
              <m:t>f</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sSub>
          <m:sSubPr>
            <m:ctrlPr>
              <w:rPr>
                <w:rFonts w:ascii="Cambria Math" w:hAnsi="Cambria Math"/>
                <w:i/>
                <w:color w:val="auto"/>
                <w:highlight w:val="none"/>
              </w:rPr>
            </m:ctrlPr>
          </m:sSubPr>
          <m:e>
            <m:r>
              <m:rPr/>
              <w:rPr>
                <w:rFonts w:ascii="Cambria Math" w:hAnsi="Cambria Math"/>
                <w:color w:val="auto"/>
                <w:highlight w:val="none"/>
              </w:rPr>
              <m:t>R</m:t>
            </m:r>
            <m:ctrlPr>
              <w:rPr>
                <w:rFonts w:ascii="Cambria Math" w:hAnsi="Cambria Math"/>
                <w:i/>
                <w:color w:val="auto"/>
                <w:highlight w:val="none"/>
              </w:rPr>
            </m:ctrlPr>
          </m:e>
          <m:sub>
            <m:r>
              <m:rPr/>
              <w:rPr>
                <w:rFonts w:ascii="Cambria Math" w:hAnsi="Cambria Math"/>
                <w:color w:val="auto"/>
                <w:highlight w:val="none"/>
              </w:rPr>
              <m:t>f</m:t>
            </m:r>
            <m:ctrlPr>
              <w:rPr>
                <w:rFonts w:ascii="Cambria Math" w:hAnsi="Cambria Math"/>
                <w:i/>
                <w:color w:val="auto"/>
                <w:highlight w:val="none"/>
              </w:rPr>
            </m:ctrlPr>
          </m:sub>
        </m:sSub>
      </m:oMath>
      <w:r>
        <w:rPr>
          <w:color w:val="auto"/>
          <w:highlight w:val="none"/>
        </w:rPr>
        <w:t xml:space="preserve">              </w:t>
      </w:r>
      <w:r>
        <w:rPr>
          <w:rFonts w:hint="eastAsia"/>
          <w:color w:val="auto"/>
          <w:highlight w:val="none"/>
        </w:rPr>
        <w:t xml:space="preserve"> </w:t>
      </w:r>
      <w:r>
        <w:rPr>
          <w:color w:val="auto"/>
          <w:highlight w:val="none"/>
        </w:rPr>
        <w:t xml:space="preserve">       (A.2)式中  </w:t>
      </w:r>
      <w:r>
        <w:rPr>
          <w:rFonts w:hint="eastAsia"/>
          <w:color w:val="auto"/>
          <w:highlight w:val="none"/>
        </w:rPr>
        <w:t>a——</w:t>
      </w:r>
      <w:r>
        <w:rPr>
          <w:color w:val="auto"/>
          <w:highlight w:val="none"/>
        </w:rPr>
        <w:t>振动加速度幅值（单幅值），m/s²；</w:t>
      </w:r>
    </w:p>
    <w:p w14:paraId="05EE648D">
      <w:pPr>
        <w:ind w:firstLine="630" w:firstLineChars="300"/>
        <w:rPr>
          <w:color w:val="auto"/>
          <w:highlight w:val="none"/>
        </w:rPr>
      </w:pPr>
      <w:r>
        <w:rPr>
          <w:rFonts w:hint="eastAsia"/>
          <w:color w:val="auto"/>
          <w:highlight w:val="none"/>
        </w:rPr>
        <w:t>f——</w:t>
      </w:r>
      <w:r>
        <w:rPr>
          <w:color w:val="auto"/>
          <w:highlight w:val="none"/>
        </w:rPr>
        <w:t>振动台振动频率，Hz;</w:t>
      </w:r>
    </w:p>
    <w:p w14:paraId="7DB3FD65">
      <w:pPr>
        <w:ind w:firstLine="630" w:firstLineChars="300"/>
        <w:rPr>
          <w:color w:val="auto"/>
          <w:highlight w:val="none"/>
        </w:rPr>
      </w:pPr>
      <w:r>
        <w:rPr>
          <w:color w:val="auto"/>
          <w:highlight w:val="none"/>
        </w:rPr>
        <w:t>R</w:t>
      </w:r>
      <w:r>
        <w:rPr>
          <w:rFonts w:hint="eastAsia"/>
          <w:color w:val="auto"/>
          <w:highlight w:val="none"/>
          <w:vertAlign w:val="subscript"/>
        </w:rPr>
        <w:t>f</w:t>
      </w:r>
      <w:r>
        <w:rPr>
          <w:color w:val="auto"/>
          <w:highlight w:val="none"/>
        </w:rPr>
        <w:t>,干涉条纹频率f</w:t>
      </w:r>
      <w:r>
        <w:rPr>
          <w:rFonts w:hint="eastAsia"/>
          <w:color w:val="auto"/>
          <w:highlight w:val="none"/>
          <w:vertAlign w:val="subscript"/>
        </w:rPr>
        <w:t>f</w:t>
      </w:r>
      <w:r>
        <w:rPr>
          <w:color w:val="auto"/>
          <w:highlight w:val="none"/>
        </w:rPr>
        <w:t>与振动频率f的比值。</w:t>
      </w:r>
    </w:p>
    <w:p w14:paraId="427468E5">
      <w:pPr>
        <w:ind w:firstLine="420"/>
        <w:rPr>
          <w:color w:val="auto"/>
          <w:highlight w:val="none"/>
        </w:rPr>
      </w:pPr>
      <w:r>
        <w:rPr>
          <w:color w:val="auto"/>
          <w:highlight w:val="none"/>
        </w:rPr>
        <w:t>(2)使用频率计，由下式计算加速度幅值a:</w:t>
      </w:r>
    </w:p>
    <w:p w14:paraId="20B675CA">
      <w:pPr>
        <w:rPr>
          <w:color w:val="auto"/>
          <w:highlight w:val="none"/>
        </w:rPr>
      </w:pPr>
      <w:r>
        <w:rPr>
          <w:rFonts w:hint="eastAsia"/>
          <w:color w:val="auto"/>
          <w:highlight w:val="none"/>
        </w:rPr>
        <w:t xml:space="preserve">                              </w:t>
      </w:r>
      <m:oMath>
        <m:r>
          <m:rPr/>
          <w:rPr>
            <w:rFonts w:ascii="Cambria Math" w:hAnsi="Cambria Math"/>
            <w:color w:val="auto"/>
            <w:highlight w:val="none"/>
          </w:rPr>
          <m:t>a=</m:t>
        </m:r>
        <m:sSup>
          <m:sSupPr>
            <m:ctrlPr>
              <w:rPr>
                <w:rFonts w:ascii="Cambria Math" w:hAnsi="Cambria Math"/>
                <w:i/>
                <w:color w:val="auto"/>
                <w:highlight w:val="none"/>
              </w:rPr>
            </m:ctrlPr>
          </m:sSupPr>
          <m:e>
            <m:d>
              <m:dPr>
                <m:ctrlPr>
                  <w:rPr>
                    <w:rFonts w:ascii="Cambria Math" w:hAnsi="Cambria Math"/>
                    <w:i/>
                    <w:color w:val="auto"/>
                    <w:highlight w:val="none"/>
                  </w:rPr>
                </m:ctrlPr>
              </m:dPr>
              <m:e>
                <m:r>
                  <m:rPr/>
                  <w:rPr>
                    <w:rFonts w:ascii="Cambria Math" w:hAnsi="Cambria Math"/>
                    <w:color w:val="auto"/>
                    <w:highlight w:val="none"/>
                  </w:rPr>
                  <m:t>2πf</m:t>
                </m:r>
                <m:ctrlPr>
                  <w:rPr>
                    <w:rFonts w:ascii="Cambria Math" w:hAnsi="Cambria Math"/>
                    <w:i/>
                    <w:color w:val="auto"/>
                    <w:highlight w:val="none"/>
                  </w:rPr>
                </m:ctrlPr>
              </m:e>
            </m:d>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A=</m:t>
        </m:r>
        <m:f>
          <m:fPr>
            <m:ctrlPr>
              <w:rPr>
                <w:rFonts w:ascii="Cambria Math" w:hAnsi="Cambria Math"/>
                <w:i/>
                <w:color w:val="auto"/>
                <w:highlight w:val="none"/>
              </w:rPr>
            </m:ctrlPr>
          </m:fPr>
          <m:num>
            <m:r>
              <m:rPr/>
              <w:rPr>
                <w:rFonts w:ascii="Cambria Math" w:hAnsi="Cambria Math"/>
                <w:color w:val="auto"/>
                <w:highlight w:val="none"/>
              </w:rPr>
              <m:t>1</m:t>
            </m:r>
            <m:ctrlPr>
              <w:rPr>
                <w:rFonts w:ascii="Cambria Math" w:hAnsi="Cambria Math"/>
                <w:i/>
                <w:color w:val="auto"/>
                <w:highlight w:val="none"/>
              </w:rPr>
            </m:ctrlPr>
          </m:num>
          <m:den>
            <m:r>
              <m:rPr/>
              <w:rPr>
                <w:rFonts w:ascii="Cambria Math" w:hAnsi="Cambria Math"/>
                <w:color w:val="auto"/>
                <w:highlight w:val="none"/>
              </w:rPr>
              <m:t>2</m:t>
            </m:r>
            <m:ctrlPr>
              <w:rPr>
                <w:rFonts w:ascii="Cambria Math" w:hAnsi="Cambria Math"/>
                <w:i/>
                <w:color w:val="auto"/>
                <w:highlight w:val="none"/>
              </w:rPr>
            </m:ctrlPr>
          </m:den>
        </m:f>
        <m:sSup>
          <m:sSupPr>
            <m:ctrlPr>
              <w:rPr>
                <w:rFonts w:ascii="Cambria Math" w:hAnsi="Cambria Math"/>
                <w:i/>
                <w:color w:val="auto"/>
                <w:highlight w:val="none"/>
              </w:rPr>
            </m:ctrlPr>
          </m:sSupPr>
          <m:e>
            <m:r>
              <m:rPr/>
              <w:rPr>
                <w:rFonts w:ascii="Cambria Math" w:hAnsi="Cambria Math"/>
                <w:color w:val="auto"/>
                <w:highlight w:val="none"/>
              </w:rPr>
              <m:t>π</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λf</m:t>
        </m:r>
        <m:sSub>
          <m:sSubPr>
            <m:ctrlPr>
              <w:rPr>
                <w:rFonts w:ascii="Cambria Math" w:hAnsi="Cambria Math"/>
                <w:i/>
                <w:color w:val="auto"/>
                <w:highlight w:val="none"/>
              </w:rPr>
            </m:ctrlPr>
          </m:sSubPr>
          <m:e>
            <m:r>
              <m:rPr/>
              <w:rPr>
                <w:rFonts w:ascii="Cambria Math" w:hAnsi="Cambria Math"/>
                <w:color w:val="auto"/>
                <w:highlight w:val="none"/>
              </w:rPr>
              <m:t>f</m:t>
            </m:r>
            <m:ctrlPr>
              <w:rPr>
                <w:rFonts w:ascii="Cambria Math" w:hAnsi="Cambria Math"/>
                <w:i/>
                <w:color w:val="auto"/>
                <w:highlight w:val="none"/>
              </w:rPr>
            </m:ctrlPr>
          </m:e>
          <m:sub>
            <m:r>
              <m:rPr/>
              <w:rPr>
                <w:rFonts w:ascii="Cambria Math" w:hAnsi="Cambria Math"/>
                <w:color w:val="auto"/>
                <w:highlight w:val="none"/>
              </w:rPr>
              <m:t>f</m:t>
            </m:r>
            <m:ctrlPr>
              <w:rPr>
                <w:rFonts w:ascii="Cambria Math" w:hAnsi="Cambria Math"/>
                <w:i/>
                <w:color w:val="auto"/>
                <w:highlight w:val="none"/>
              </w:rPr>
            </m:ctrlPr>
          </m:sub>
        </m:sSub>
      </m:oMath>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(A.3)式中</w:t>
      </w:r>
      <w:r>
        <w:rPr>
          <w:rFonts w:hint="eastAsia"/>
          <w:color w:val="auto"/>
          <w:highlight w:val="none"/>
        </w:rPr>
        <w:t xml:space="preserve">  </w:t>
      </w:r>
      <w:r>
        <w:rPr>
          <w:color w:val="auto"/>
          <w:highlight w:val="none"/>
        </w:rPr>
        <w:t>f</w:t>
      </w:r>
      <w:r>
        <w:rPr>
          <w:rFonts w:hint="eastAsia"/>
          <w:color w:val="auto"/>
          <w:highlight w:val="none"/>
          <w:vertAlign w:val="subscript"/>
        </w:rPr>
        <w:t>f</w:t>
      </w:r>
      <w:r>
        <w:rPr>
          <w:rFonts w:hint="eastAsia"/>
          <w:color w:val="auto"/>
          <w:highlight w:val="none"/>
        </w:rPr>
        <w:t>——</w:t>
      </w:r>
      <w:r>
        <w:rPr>
          <w:color w:val="auto"/>
          <w:highlight w:val="none"/>
        </w:rPr>
        <w:t>干涉条纹频率，即干涉条纹数除以时间间隔，Hz。</w:t>
      </w:r>
    </w:p>
    <w:p w14:paraId="39507B59">
      <w:pPr>
        <w:ind w:firstLine="420"/>
        <w:rPr>
          <w:color w:val="auto"/>
          <w:highlight w:val="none"/>
        </w:rPr>
      </w:pPr>
      <w:r>
        <w:rPr>
          <w:color w:val="auto"/>
          <w:highlight w:val="none"/>
        </w:rPr>
        <w:t>采用条纹计数法测量振动位移时，从频比计数器（或频率计）连续读取10次频比数（或条纹数），同时从电压表读取10次被检加速度计输出电压值，计算算术平均值，并用下式计算加速度计灵敏度：</w:t>
      </w:r>
    </w:p>
    <w:p w14:paraId="1B8D2E6B">
      <w:pPr>
        <w:ind w:firstLine="3570" w:firstLineChars="1700"/>
        <w:rPr>
          <w:color w:val="auto"/>
          <w:highlight w:val="none"/>
        </w:rPr>
      </w:pPr>
      <m:oMath>
        <m:r>
          <m:rPr/>
          <w:rPr>
            <w:rFonts w:ascii="Cambria Math" w:hAnsi="Cambria Math"/>
            <w:color w:val="auto"/>
            <w:highlight w:val="none"/>
          </w:rPr>
          <m:t>S=</m:t>
        </m:r>
        <m:f>
          <m:fPr>
            <m:ctrlPr>
              <w:rPr>
                <w:rFonts w:ascii="Cambria Math" w:hAnsi="Cambria Math"/>
                <w:i/>
                <w:color w:val="auto"/>
                <w:highlight w:val="none"/>
              </w:rPr>
            </m:ctrlPr>
          </m:fPr>
          <m:num>
            <m:r>
              <m:rPr/>
              <w:rPr>
                <w:rFonts w:ascii="Cambria Math" w:hAnsi="Cambria Math"/>
                <w:color w:val="auto"/>
                <w:highlight w:val="none"/>
              </w:rPr>
              <m:t>u</m:t>
            </m:r>
            <m:ctrlPr>
              <w:rPr>
                <w:rFonts w:ascii="Cambria Math" w:hAnsi="Cambria Math"/>
                <w:i/>
                <w:color w:val="auto"/>
                <w:highlight w:val="none"/>
              </w:rPr>
            </m:ctrlPr>
          </m:num>
          <m:den>
            <m:r>
              <m:rPr/>
              <w:rPr>
                <w:rFonts w:ascii="Cambria Math" w:hAnsi="Cambria Math"/>
                <w:color w:val="auto"/>
                <w:highlight w:val="none"/>
              </w:rPr>
              <m:t>a</m:t>
            </m:r>
            <m:ctrlPr>
              <w:rPr>
                <w:rFonts w:ascii="Cambria Math" w:hAnsi="Cambria Math"/>
                <w:i/>
                <w:color w:val="auto"/>
                <w:highlight w:val="none"/>
              </w:rPr>
            </m:ctrlPr>
          </m:den>
        </m:f>
      </m:oMath>
      <w:r>
        <w:rPr>
          <w:color w:val="auto"/>
          <w:highlight w:val="none"/>
        </w:rPr>
        <w:t>或</w:t>
      </w:r>
      <m:oMath>
        <m:r>
          <m:rPr/>
          <w:rPr>
            <w:rFonts w:ascii="Cambria Math" w:hAnsi="Cambria Math"/>
            <w:color w:val="auto"/>
            <w:highlight w:val="none"/>
          </w:rPr>
          <m:t>S=</m:t>
        </m:r>
        <m:f>
          <m:fPr>
            <m:ctrlPr>
              <w:rPr>
                <w:rFonts w:ascii="Cambria Math" w:hAnsi="Cambria Math"/>
                <w:i/>
                <w:color w:val="auto"/>
                <w:highlight w:val="none"/>
              </w:rPr>
            </m:ctrlPr>
          </m:fPr>
          <m:num>
            <m:r>
              <m:rPr/>
              <w:rPr>
                <w:rFonts w:ascii="Cambria Math" w:hAnsi="Cambria Math"/>
                <w:color w:val="auto"/>
                <w:highlight w:val="none"/>
              </w:rPr>
              <m:t>Q</m:t>
            </m:r>
            <m:ctrlPr>
              <w:rPr>
                <w:rFonts w:ascii="Cambria Math" w:hAnsi="Cambria Math"/>
                <w:i/>
                <w:color w:val="auto"/>
                <w:highlight w:val="none"/>
              </w:rPr>
            </m:ctrlPr>
          </m:num>
          <m:den>
            <m:r>
              <m:rPr/>
              <w:rPr>
                <w:rFonts w:ascii="Cambria Math" w:hAnsi="Cambria Math"/>
                <w:color w:val="auto"/>
                <w:highlight w:val="none"/>
              </w:rPr>
              <m:t>a</m:t>
            </m:r>
            <m:ctrlPr>
              <w:rPr>
                <w:rFonts w:ascii="Cambria Math" w:hAnsi="Cambria Math"/>
                <w:i/>
                <w:color w:val="auto"/>
                <w:highlight w:val="none"/>
              </w:rPr>
            </m:ctrlPr>
          </m:den>
        </m:f>
      </m:oMath>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(A.4)</w:t>
      </w:r>
    </w:p>
    <w:p w14:paraId="7E428581">
      <w:pPr>
        <w:rPr>
          <w:color w:val="auto"/>
          <w:highlight w:val="none"/>
        </w:rPr>
      </w:pPr>
      <w:r>
        <w:rPr>
          <w:color w:val="auto"/>
          <w:highlight w:val="none"/>
        </w:rPr>
        <w:t>式中</w:t>
      </w:r>
      <w:r>
        <w:rPr>
          <w:rFonts w:hint="eastAsia"/>
          <w:color w:val="auto"/>
          <w:highlight w:val="none"/>
        </w:rPr>
        <w:t xml:space="preserve">  </w:t>
      </w:r>
      <w:r>
        <w:rPr>
          <w:color w:val="auto"/>
          <w:highlight w:val="none"/>
        </w:rPr>
        <w:t>S</w:t>
      </w:r>
      <w:r>
        <w:rPr>
          <w:rFonts w:hint="eastAsia"/>
          <w:color w:val="auto"/>
          <w:highlight w:val="none"/>
        </w:rPr>
        <w:t>——</w:t>
      </w:r>
      <w:r>
        <w:rPr>
          <w:color w:val="auto"/>
          <w:highlight w:val="none"/>
        </w:rPr>
        <w:t>加速度计灵敏度，mV/（m·s</w:t>
      </w:r>
      <w:r>
        <w:rPr>
          <w:rFonts w:hint="eastAsia"/>
          <w:color w:val="auto"/>
          <w:highlight w:val="none"/>
          <w:vertAlign w:val="superscript"/>
        </w:rPr>
        <w:t>-2</w:t>
      </w:r>
      <w:r>
        <w:rPr>
          <w:color w:val="auto"/>
          <w:highlight w:val="none"/>
        </w:rPr>
        <w:t>）或pC/（m·s</w:t>
      </w:r>
      <w:r>
        <w:rPr>
          <w:rFonts w:hint="eastAsia"/>
          <w:color w:val="auto"/>
          <w:highlight w:val="none"/>
          <w:vertAlign w:val="superscript"/>
        </w:rPr>
        <w:t>-2</w:t>
      </w:r>
      <w:r>
        <w:rPr>
          <w:color w:val="auto"/>
          <w:highlight w:val="none"/>
        </w:rPr>
        <w:t>）；</w:t>
      </w:r>
    </w:p>
    <w:p w14:paraId="7C0D205F">
      <w:pPr>
        <w:ind w:firstLine="630" w:firstLineChars="300"/>
        <w:rPr>
          <w:color w:val="auto"/>
          <w:highlight w:val="none"/>
        </w:rPr>
      </w:pPr>
      <w:r>
        <w:rPr>
          <w:rFonts w:hint="eastAsia"/>
          <w:color w:val="auto"/>
          <w:highlight w:val="none"/>
        </w:rPr>
        <w:t>u——</w:t>
      </w:r>
      <w:r>
        <w:rPr>
          <w:color w:val="auto"/>
          <w:highlight w:val="none"/>
        </w:rPr>
        <w:t>加速度计输出电压（单幅值），mV;</w:t>
      </w:r>
    </w:p>
    <w:p w14:paraId="08F02BF3">
      <w:pPr>
        <w:ind w:firstLine="630" w:firstLineChars="300"/>
        <w:rPr>
          <w:color w:val="auto"/>
          <w:highlight w:val="none"/>
        </w:rPr>
      </w:pPr>
      <w:r>
        <w:rPr>
          <w:color w:val="auto"/>
          <w:highlight w:val="none"/>
        </w:rPr>
        <w:t>Q</w:t>
      </w:r>
      <w:r>
        <w:rPr>
          <w:rFonts w:hint="eastAsia"/>
          <w:color w:val="auto"/>
          <w:highlight w:val="none"/>
        </w:rPr>
        <w:t>——</w:t>
      </w:r>
      <w:r>
        <w:rPr>
          <w:color w:val="auto"/>
          <w:highlight w:val="none"/>
        </w:rPr>
        <w:t>加速度计输出电荷（单幅值），pC。</w:t>
      </w:r>
    </w:p>
    <w:p w14:paraId="1E04CDA2">
      <w:pPr>
        <w:rPr>
          <w:color w:val="auto"/>
          <w:highlight w:val="none"/>
        </w:rPr>
      </w:pPr>
      <w:r>
        <w:rPr>
          <w:color w:val="auto"/>
          <w:highlight w:val="none"/>
        </w:rPr>
        <w:t>A.2</w:t>
      </w:r>
      <w:r>
        <w:rPr>
          <w:rFonts w:hint="eastAsia"/>
          <w:color w:val="auto"/>
          <w:highlight w:val="none"/>
        </w:rPr>
        <w:t xml:space="preserve">  </w:t>
      </w:r>
      <w:r>
        <w:rPr>
          <w:color w:val="auto"/>
          <w:highlight w:val="none"/>
        </w:rPr>
        <w:t>贝塞尔函数一类一阶法（最小点法）</w:t>
      </w:r>
    </w:p>
    <w:p w14:paraId="3ECA604F">
      <w:pPr>
        <w:ind w:firstLine="420"/>
        <w:rPr>
          <w:color w:val="auto"/>
          <w:highlight w:val="none"/>
        </w:rPr>
      </w:pPr>
      <w:r>
        <w:rPr>
          <w:color w:val="auto"/>
          <w:highlight w:val="none"/>
        </w:rPr>
        <w:t>设置校准频率，光电接收器输出接频率分析仪，调节中心频率到振动台振动频率。开启振动台并逐渐增大振幅，使滤波后的光电信号在达到第一个最大值（位移0.0927μm)后返回到一个最小值（第1个最小点），该点对应的振幅为0.1930μm。重复10次测量取其平均值。</w:t>
      </w:r>
    </w:p>
    <w:p w14:paraId="5F8DC945">
      <w:pPr>
        <w:ind w:firstLine="420"/>
        <w:rPr>
          <w:color w:val="auto"/>
          <w:highlight w:val="none"/>
        </w:rPr>
      </w:pPr>
      <w:r>
        <w:rPr>
          <w:color w:val="auto"/>
          <w:highlight w:val="none"/>
        </w:rPr>
        <w:t>用中心频率等于振动台频率的带通滤波器，对光电接收器输出信号进行滤波。滤波后得到的信号包含系列加速度计位移幅值的最小值点，见表A.1。</w:t>
      </w:r>
    </w:p>
    <w:p w14:paraId="758D9E75">
      <w:pPr>
        <w:jc w:val="center"/>
        <w:rPr>
          <w:b/>
          <w:bCs/>
          <w:color w:val="auto"/>
          <w:highlight w:val="none"/>
        </w:rPr>
      </w:pPr>
      <w:r>
        <w:rPr>
          <w:b/>
          <w:bCs/>
          <w:color w:val="auto"/>
          <w:highlight w:val="none"/>
        </w:rPr>
        <w:t>表A.1</w:t>
      </w:r>
      <w:r>
        <w:rPr>
          <w:rFonts w:hint="eastAsia"/>
          <w:b/>
          <w:bCs/>
          <w:color w:val="auto"/>
          <w:highlight w:val="none"/>
        </w:rPr>
        <w:t xml:space="preserve">  </w:t>
      </w:r>
      <w:r>
        <w:rPr>
          <w:b/>
          <w:bCs/>
          <w:color w:val="auto"/>
          <w:highlight w:val="none"/>
        </w:rPr>
        <w:t>最小点对应的位移幅值（λ-0.63281μm)</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432B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6CB8FD2F">
            <w:pPr>
              <w:jc w:val="center"/>
              <w:rPr>
                <w:color w:val="auto"/>
                <w:highlight w:val="none"/>
              </w:rPr>
            </w:pPr>
            <w:r>
              <w:rPr>
                <w:color w:val="auto"/>
                <w:highlight w:val="none"/>
              </w:rPr>
              <w:t>最小点No.</w:t>
            </w:r>
          </w:p>
        </w:tc>
        <w:tc>
          <w:tcPr>
            <w:tcW w:w="2074" w:type="dxa"/>
          </w:tcPr>
          <w:p w14:paraId="0EDB0589">
            <w:pPr>
              <w:jc w:val="center"/>
              <w:rPr>
                <w:color w:val="auto"/>
                <w:highlight w:val="none"/>
              </w:rPr>
            </w:pPr>
            <w:r>
              <w:rPr>
                <w:color w:val="auto"/>
                <w:highlight w:val="none"/>
              </w:rPr>
              <w:t>位移幅值A/μm</w:t>
            </w:r>
          </w:p>
        </w:tc>
        <w:tc>
          <w:tcPr>
            <w:tcW w:w="2074" w:type="dxa"/>
          </w:tcPr>
          <w:p w14:paraId="13D5EAC5">
            <w:pPr>
              <w:jc w:val="center"/>
              <w:rPr>
                <w:color w:val="auto"/>
                <w:highlight w:val="none"/>
              </w:rPr>
            </w:pPr>
            <w:r>
              <w:rPr>
                <w:color w:val="auto"/>
                <w:highlight w:val="none"/>
              </w:rPr>
              <w:t>最小点No.</w:t>
            </w:r>
          </w:p>
        </w:tc>
        <w:tc>
          <w:tcPr>
            <w:tcW w:w="2074" w:type="dxa"/>
          </w:tcPr>
          <w:p w14:paraId="430B7E64">
            <w:pPr>
              <w:jc w:val="center"/>
              <w:rPr>
                <w:color w:val="auto"/>
                <w:highlight w:val="none"/>
              </w:rPr>
            </w:pPr>
            <w:r>
              <w:rPr>
                <w:color w:val="auto"/>
                <w:highlight w:val="none"/>
              </w:rPr>
              <w:t>位移幅值A/μm</w:t>
            </w:r>
          </w:p>
        </w:tc>
      </w:tr>
      <w:tr w14:paraId="046B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39782B64">
            <w:pPr>
              <w:jc w:val="center"/>
              <w:rPr>
                <w:color w:val="auto"/>
                <w:highlight w:val="none"/>
              </w:rPr>
            </w:pPr>
            <w:r>
              <w:rPr>
                <w:rFonts w:hint="eastAsia"/>
                <w:color w:val="auto"/>
                <w:highlight w:val="none"/>
              </w:rPr>
              <w:t>0</w:t>
            </w:r>
          </w:p>
        </w:tc>
        <w:tc>
          <w:tcPr>
            <w:tcW w:w="2074" w:type="dxa"/>
          </w:tcPr>
          <w:p w14:paraId="36585D94">
            <w:pPr>
              <w:jc w:val="center"/>
              <w:rPr>
                <w:color w:val="auto"/>
                <w:highlight w:val="none"/>
              </w:rPr>
            </w:pPr>
            <w:r>
              <w:rPr>
                <w:rFonts w:hint="eastAsia"/>
                <w:color w:val="auto"/>
                <w:highlight w:val="none"/>
              </w:rPr>
              <w:t>0</w:t>
            </w:r>
          </w:p>
        </w:tc>
        <w:tc>
          <w:tcPr>
            <w:tcW w:w="2074" w:type="dxa"/>
          </w:tcPr>
          <w:p w14:paraId="29D62A8C">
            <w:pPr>
              <w:jc w:val="center"/>
              <w:rPr>
                <w:color w:val="auto"/>
                <w:highlight w:val="none"/>
              </w:rPr>
            </w:pPr>
            <w:r>
              <w:rPr>
                <w:rFonts w:hint="eastAsia"/>
                <w:color w:val="auto"/>
                <w:highlight w:val="none"/>
              </w:rPr>
              <w:t>16</w:t>
            </w:r>
          </w:p>
        </w:tc>
        <w:tc>
          <w:tcPr>
            <w:tcW w:w="2074" w:type="dxa"/>
          </w:tcPr>
          <w:p w14:paraId="277C37CA">
            <w:pPr>
              <w:jc w:val="center"/>
              <w:rPr>
                <w:color w:val="auto"/>
                <w:highlight w:val="none"/>
              </w:rPr>
            </w:pPr>
            <w:r>
              <w:rPr>
                <w:rFonts w:hint="eastAsia"/>
                <w:color w:val="auto"/>
                <w:highlight w:val="none"/>
              </w:rPr>
              <w:t>2.5704</w:t>
            </w:r>
          </w:p>
        </w:tc>
      </w:tr>
      <w:tr w14:paraId="4AD8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7232B726">
            <w:pPr>
              <w:jc w:val="center"/>
              <w:rPr>
                <w:color w:val="auto"/>
                <w:highlight w:val="none"/>
              </w:rPr>
            </w:pPr>
            <w:r>
              <w:rPr>
                <w:rFonts w:hint="eastAsia"/>
                <w:color w:val="auto"/>
                <w:highlight w:val="none"/>
              </w:rPr>
              <w:t>1</w:t>
            </w:r>
          </w:p>
        </w:tc>
        <w:tc>
          <w:tcPr>
            <w:tcW w:w="2074" w:type="dxa"/>
          </w:tcPr>
          <w:p w14:paraId="300838F0">
            <w:pPr>
              <w:jc w:val="center"/>
              <w:rPr>
                <w:color w:val="auto"/>
                <w:highlight w:val="none"/>
              </w:rPr>
            </w:pPr>
            <w:r>
              <w:rPr>
                <w:rFonts w:hint="eastAsia"/>
                <w:color w:val="auto"/>
                <w:highlight w:val="none"/>
              </w:rPr>
              <w:t>0.1930</w:t>
            </w:r>
          </w:p>
        </w:tc>
        <w:tc>
          <w:tcPr>
            <w:tcW w:w="2074" w:type="dxa"/>
          </w:tcPr>
          <w:p w14:paraId="5D2D123B">
            <w:pPr>
              <w:jc w:val="center"/>
              <w:rPr>
                <w:color w:val="auto"/>
                <w:highlight w:val="none"/>
              </w:rPr>
            </w:pPr>
            <w:r>
              <w:rPr>
                <w:rFonts w:hint="eastAsia"/>
                <w:color w:val="auto"/>
                <w:highlight w:val="none"/>
              </w:rPr>
              <w:t>17</w:t>
            </w:r>
          </w:p>
        </w:tc>
        <w:tc>
          <w:tcPr>
            <w:tcW w:w="2074" w:type="dxa"/>
          </w:tcPr>
          <w:p w14:paraId="60EA6747">
            <w:pPr>
              <w:jc w:val="center"/>
              <w:rPr>
                <w:color w:val="auto"/>
                <w:highlight w:val="none"/>
              </w:rPr>
            </w:pPr>
            <w:r>
              <w:rPr>
                <w:rFonts w:hint="eastAsia"/>
                <w:color w:val="auto"/>
                <w:highlight w:val="none"/>
              </w:rPr>
              <w:t>2.7286</w:t>
            </w:r>
          </w:p>
        </w:tc>
      </w:tr>
      <w:tr w14:paraId="1BD0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2BC90A82">
            <w:pPr>
              <w:jc w:val="center"/>
              <w:rPr>
                <w:color w:val="auto"/>
                <w:highlight w:val="none"/>
              </w:rPr>
            </w:pPr>
            <w:r>
              <w:rPr>
                <w:rFonts w:hint="eastAsia"/>
                <w:color w:val="auto"/>
                <w:highlight w:val="none"/>
              </w:rPr>
              <w:t>2</w:t>
            </w:r>
          </w:p>
        </w:tc>
        <w:tc>
          <w:tcPr>
            <w:tcW w:w="2074" w:type="dxa"/>
          </w:tcPr>
          <w:p w14:paraId="6FC4AF54">
            <w:pPr>
              <w:jc w:val="center"/>
              <w:rPr>
                <w:color w:val="auto"/>
                <w:highlight w:val="none"/>
              </w:rPr>
            </w:pPr>
            <w:r>
              <w:rPr>
                <w:rFonts w:hint="eastAsia"/>
                <w:color w:val="auto"/>
                <w:highlight w:val="none"/>
              </w:rPr>
              <w:t>0.3583</w:t>
            </w:r>
          </w:p>
        </w:tc>
        <w:tc>
          <w:tcPr>
            <w:tcW w:w="2074" w:type="dxa"/>
          </w:tcPr>
          <w:p w14:paraId="597A1A43">
            <w:pPr>
              <w:jc w:val="center"/>
              <w:rPr>
                <w:color w:val="auto"/>
                <w:highlight w:val="none"/>
              </w:rPr>
            </w:pPr>
            <w:r>
              <w:rPr>
                <w:rFonts w:hint="eastAsia"/>
                <w:color w:val="auto"/>
                <w:highlight w:val="none"/>
              </w:rPr>
              <w:t>18</w:t>
            </w:r>
          </w:p>
        </w:tc>
        <w:tc>
          <w:tcPr>
            <w:tcW w:w="2074" w:type="dxa"/>
          </w:tcPr>
          <w:p w14:paraId="1F4C83B9">
            <w:pPr>
              <w:jc w:val="center"/>
              <w:rPr>
                <w:color w:val="auto"/>
                <w:highlight w:val="none"/>
              </w:rPr>
            </w:pPr>
            <w:r>
              <w:rPr>
                <w:rFonts w:hint="eastAsia"/>
                <w:color w:val="auto"/>
                <w:highlight w:val="none"/>
              </w:rPr>
              <w:t>2.8868</w:t>
            </w:r>
          </w:p>
        </w:tc>
      </w:tr>
      <w:tr w14:paraId="1F2F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38A811DC">
            <w:pPr>
              <w:jc w:val="center"/>
              <w:rPr>
                <w:color w:val="auto"/>
                <w:highlight w:val="none"/>
              </w:rPr>
            </w:pPr>
            <w:r>
              <w:rPr>
                <w:rFonts w:hint="eastAsia"/>
                <w:color w:val="auto"/>
                <w:highlight w:val="none"/>
              </w:rPr>
              <w:t>3</w:t>
            </w:r>
          </w:p>
        </w:tc>
        <w:tc>
          <w:tcPr>
            <w:tcW w:w="2074" w:type="dxa"/>
          </w:tcPr>
          <w:p w14:paraId="3DBB526A">
            <w:pPr>
              <w:jc w:val="center"/>
              <w:rPr>
                <w:color w:val="auto"/>
                <w:highlight w:val="none"/>
              </w:rPr>
            </w:pPr>
            <w:r>
              <w:rPr>
                <w:rFonts w:hint="eastAsia"/>
                <w:color w:val="auto"/>
                <w:highlight w:val="none"/>
              </w:rPr>
              <w:t>0.5123</w:t>
            </w:r>
          </w:p>
        </w:tc>
        <w:tc>
          <w:tcPr>
            <w:tcW w:w="2074" w:type="dxa"/>
          </w:tcPr>
          <w:p w14:paraId="40D9E8FF">
            <w:pPr>
              <w:jc w:val="center"/>
              <w:rPr>
                <w:color w:val="auto"/>
                <w:highlight w:val="none"/>
              </w:rPr>
            </w:pPr>
            <w:r>
              <w:rPr>
                <w:rFonts w:hint="eastAsia"/>
                <w:color w:val="auto"/>
                <w:highlight w:val="none"/>
              </w:rPr>
              <w:t>19</w:t>
            </w:r>
          </w:p>
        </w:tc>
        <w:tc>
          <w:tcPr>
            <w:tcW w:w="2074" w:type="dxa"/>
          </w:tcPr>
          <w:p w14:paraId="55B6DC76">
            <w:pPr>
              <w:jc w:val="center"/>
              <w:rPr>
                <w:color w:val="auto"/>
                <w:highlight w:val="none"/>
              </w:rPr>
            </w:pPr>
            <w:r>
              <w:rPr>
                <w:rFonts w:hint="eastAsia"/>
                <w:color w:val="auto"/>
                <w:highlight w:val="none"/>
              </w:rPr>
              <w:t>3.0450</w:t>
            </w:r>
          </w:p>
        </w:tc>
      </w:tr>
      <w:tr w14:paraId="2159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16F95B5D">
            <w:pPr>
              <w:jc w:val="center"/>
              <w:rPr>
                <w:color w:val="auto"/>
                <w:highlight w:val="none"/>
              </w:rPr>
            </w:pPr>
            <w:r>
              <w:rPr>
                <w:rFonts w:hint="eastAsia"/>
                <w:color w:val="auto"/>
                <w:highlight w:val="none"/>
              </w:rPr>
              <w:t>4</w:t>
            </w:r>
          </w:p>
        </w:tc>
        <w:tc>
          <w:tcPr>
            <w:tcW w:w="2074" w:type="dxa"/>
          </w:tcPr>
          <w:p w14:paraId="751F3CD4">
            <w:pPr>
              <w:jc w:val="center"/>
              <w:rPr>
                <w:color w:val="auto"/>
                <w:highlight w:val="none"/>
              </w:rPr>
            </w:pPr>
            <w:r>
              <w:rPr>
                <w:rFonts w:hint="eastAsia"/>
                <w:color w:val="auto"/>
                <w:highlight w:val="none"/>
              </w:rPr>
              <w:t>0.6709</w:t>
            </w:r>
          </w:p>
        </w:tc>
        <w:tc>
          <w:tcPr>
            <w:tcW w:w="2074" w:type="dxa"/>
          </w:tcPr>
          <w:p w14:paraId="40B906BD">
            <w:pPr>
              <w:jc w:val="center"/>
              <w:rPr>
                <w:color w:val="auto"/>
                <w:highlight w:val="none"/>
              </w:rPr>
            </w:pPr>
            <w:r>
              <w:rPr>
                <w:rFonts w:hint="eastAsia"/>
                <w:color w:val="auto"/>
                <w:highlight w:val="none"/>
              </w:rPr>
              <w:t>20</w:t>
            </w:r>
          </w:p>
        </w:tc>
        <w:tc>
          <w:tcPr>
            <w:tcW w:w="2074" w:type="dxa"/>
          </w:tcPr>
          <w:p w14:paraId="29EC0D14">
            <w:pPr>
              <w:jc w:val="center"/>
              <w:rPr>
                <w:color w:val="auto"/>
                <w:highlight w:val="none"/>
              </w:rPr>
            </w:pPr>
            <w:r>
              <w:rPr>
                <w:rFonts w:hint="eastAsia"/>
                <w:color w:val="auto"/>
                <w:highlight w:val="none"/>
              </w:rPr>
              <w:t>3.2033</w:t>
            </w:r>
          </w:p>
        </w:tc>
      </w:tr>
      <w:tr w14:paraId="110F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5F896A7A">
            <w:pPr>
              <w:jc w:val="center"/>
              <w:rPr>
                <w:color w:val="auto"/>
                <w:highlight w:val="none"/>
              </w:rPr>
            </w:pPr>
            <w:r>
              <w:rPr>
                <w:rFonts w:hint="eastAsia"/>
                <w:color w:val="auto"/>
                <w:highlight w:val="none"/>
              </w:rPr>
              <w:t>5</w:t>
            </w:r>
          </w:p>
        </w:tc>
        <w:tc>
          <w:tcPr>
            <w:tcW w:w="2074" w:type="dxa"/>
          </w:tcPr>
          <w:p w14:paraId="79EA4F2D">
            <w:pPr>
              <w:jc w:val="center"/>
              <w:rPr>
                <w:color w:val="auto"/>
                <w:highlight w:val="none"/>
              </w:rPr>
            </w:pPr>
            <w:r>
              <w:rPr>
                <w:rFonts w:hint="eastAsia"/>
                <w:color w:val="auto"/>
                <w:highlight w:val="none"/>
              </w:rPr>
              <w:t>0.8294</w:t>
            </w:r>
          </w:p>
        </w:tc>
        <w:tc>
          <w:tcPr>
            <w:tcW w:w="2074" w:type="dxa"/>
          </w:tcPr>
          <w:p w14:paraId="3719B57C">
            <w:pPr>
              <w:jc w:val="center"/>
              <w:rPr>
                <w:color w:val="auto"/>
                <w:highlight w:val="none"/>
              </w:rPr>
            </w:pPr>
            <w:r>
              <w:rPr>
                <w:rFonts w:hint="eastAsia"/>
                <w:color w:val="auto"/>
                <w:highlight w:val="none"/>
              </w:rPr>
              <w:t>21</w:t>
            </w:r>
          </w:p>
        </w:tc>
        <w:tc>
          <w:tcPr>
            <w:tcW w:w="2074" w:type="dxa"/>
          </w:tcPr>
          <w:p w14:paraId="38BAF151">
            <w:pPr>
              <w:jc w:val="center"/>
              <w:rPr>
                <w:color w:val="auto"/>
                <w:highlight w:val="none"/>
              </w:rPr>
            </w:pPr>
            <w:r>
              <w:rPr>
                <w:rFonts w:hint="eastAsia"/>
                <w:color w:val="auto"/>
                <w:highlight w:val="none"/>
              </w:rPr>
              <w:t>3.3615</w:t>
            </w:r>
          </w:p>
        </w:tc>
      </w:tr>
      <w:tr w14:paraId="6A45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048F109F">
            <w:pPr>
              <w:jc w:val="center"/>
              <w:rPr>
                <w:color w:val="auto"/>
                <w:highlight w:val="none"/>
              </w:rPr>
            </w:pPr>
            <w:r>
              <w:rPr>
                <w:rFonts w:hint="eastAsia"/>
                <w:color w:val="auto"/>
                <w:highlight w:val="none"/>
              </w:rPr>
              <w:t>6</w:t>
            </w:r>
          </w:p>
        </w:tc>
        <w:tc>
          <w:tcPr>
            <w:tcW w:w="2074" w:type="dxa"/>
          </w:tcPr>
          <w:p w14:paraId="000D8617">
            <w:pPr>
              <w:jc w:val="center"/>
              <w:rPr>
                <w:color w:val="auto"/>
                <w:highlight w:val="none"/>
              </w:rPr>
            </w:pPr>
            <w:r>
              <w:rPr>
                <w:rFonts w:hint="eastAsia"/>
                <w:color w:val="auto"/>
                <w:highlight w:val="none"/>
              </w:rPr>
              <w:t>0.9878</w:t>
            </w:r>
          </w:p>
        </w:tc>
        <w:tc>
          <w:tcPr>
            <w:tcW w:w="2074" w:type="dxa"/>
          </w:tcPr>
          <w:p w14:paraId="35BF89BA">
            <w:pPr>
              <w:jc w:val="center"/>
              <w:rPr>
                <w:color w:val="auto"/>
                <w:highlight w:val="none"/>
              </w:rPr>
            </w:pPr>
            <w:r>
              <w:rPr>
                <w:rFonts w:hint="eastAsia"/>
                <w:color w:val="auto"/>
                <w:highlight w:val="none"/>
              </w:rPr>
              <w:t>22</w:t>
            </w:r>
          </w:p>
        </w:tc>
        <w:tc>
          <w:tcPr>
            <w:tcW w:w="2074" w:type="dxa"/>
          </w:tcPr>
          <w:p w14:paraId="1F41BAAB">
            <w:pPr>
              <w:jc w:val="center"/>
              <w:rPr>
                <w:color w:val="auto"/>
                <w:highlight w:val="none"/>
              </w:rPr>
            </w:pPr>
            <w:r>
              <w:rPr>
                <w:rFonts w:hint="eastAsia"/>
                <w:color w:val="auto"/>
                <w:highlight w:val="none"/>
              </w:rPr>
              <w:t>3.5197</w:t>
            </w:r>
          </w:p>
        </w:tc>
      </w:tr>
      <w:tr w14:paraId="7685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00F4A9AD">
            <w:pPr>
              <w:jc w:val="center"/>
              <w:rPr>
                <w:color w:val="auto"/>
                <w:highlight w:val="none"/>
              </w:rPr>
            </w:pPr>
            <w:r>
              <w:rPr>
                <w:rFonts w:hint="eastAsia"/>
                <w:color w:val="auto"/>
                <w:highlight w:val="none"/>
              </w:rPr>
              <w:t>7</w:t>
            </w:r>
          </w:p>
        </w:tc>
        <w:tc>
          <w:tcPr>
            <w:tcW w:w="2074" w:type="dxa"/>
          </w:tcPr>
          <w:p w14:paraId="16516091">
            <w:pPr>
              <w:jc w:val="center"/>
              <w:rPr>
                <w:color w:val="auto"/>
                <w:highlight w:val="none"/>
              </w:rPr>
            </w:pPr>
            <w:r>
              <w:rPr>
                <w:rFonts w:hint="eastAsia"/>
                <w:color w:val="auto"/>
                <w:highlight w:val="none"/>
              </w:rPr>
              <w:t>1.1461</w:t>
            </w:r>
          </w:p>
        </w:tc>
        <w:tc>
          <w:tcPr>
            <w:tcW w:w="2074" w:type="dxa"/>
          </w:tcPr>
          <w:p w14:paraId="5B88804F">
            <w:pPr>
              <w:jc w:val="center"/>
              <w:rPr>
                <w:color w:val="auto"/>
                <w:highlight w:val="none"/>
              </w:rPr>
            </w:pPr>
            <w:r>
              <w:rPr>
                <w:rFonts w:hint="eastAsia"/>
                <w:color w:val="auto"/>
                <w:highlight w:val="none"/>
              </w:rPr>
              <w:t>23</w:t>
            </w:r>
          </w:p>
        </w:tc>
        <w:tc>
          <w:tcPr>
            <w:tcW w:w="2074" w:type="dxa"/>
          </w:tcPr>
          <w:p w14:paraId="56B86C59">
            <w:pPr>
              <w:jc w:val="center"/>
              <w:rPr>
                <w:color w:val="auto"/>
                <w:highlight w:val="none"/>
              </w:rPr>
            </w:pPr>
            <w:r>
              <w:rPr>
                <w:rFonts w:hint="eastAsia"/>
                <w:color w:val="auto"/>
                <w:highlight w:val="none"/>
              </w:rPr>
              <w:t>3.6779</w:t>
            </w:r>
          </w:p>
        </w:tc>
      </w:tr>
      <w:tr w14:paraId="4DB7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237DAE66">
            <w:pPr>
              <w:jc w:val="center"/>
              <w:rPr>
                <w:color w:val="auto"/>
                <w:highlight w:val="none"/>
              </w:rPr>
            </w:pPr>
            <w:r>
              <w:rPr>
                <w:rFonts w:hint="eastAsia"/>
                <w:color w:val="auto"/>
                <w:highlight w:val="none"/>
              </w:rPr>
              <w:t>8</w:t>
            </w:r>
          </w:p>
        </w:tc>
        <w:tc>
          <w:tcPr>
            <w:tcW w:w="2074" w:type="dxa"/>
          </w:tcPr>
          <w:p w14:paraId="3440F630">
            <w:pPr>
              <w:jc w:val="center"/>
              <w:rPr>
                <w:color w:val="auto"/>
                <w:highlight w:val="none"/>
              </w:rPr>
            </w:pPr>
            <w:r>
              <w:rPr>
                <w:rFonts w:hint="eastAsia"/>
                <w:color w:val="auto"/>
                <w:highlight w:val="none"/>
              </w:rPr>
              <w:t>1.3044</w:t>
            </w:r>
          </w:p>
        </w:tc>
        <w:tc>
          <w:tcPr>
            <w:tcW w:w="2074" w:type="dxa"/>
          </w:tcPr>
          <w:p w14:paraId="2313F1D4">
            <w:pPr>
              <w:jc w:val="center"/>
              <w:rPr>
                <w:color w:val="auto"/>
                <w:highlight w:val="none"/>
              </w:rPr>
            </w:pPr>
            <w:r>
              <w:rPr>
                <w:rFonts w:hint="eastAsia"/>
                <w:color w:val="auto"/>
                <w:highlight w:val="none"/>
              </w:rPr>
              <w:t>24</w:t>
            </w:r>
          </w:p>
        </w:tc>
        <w:tc>
          <w:tcPr>
            <w:tcW w:w="2074" w:type="dxa"/>
          </w:tcPr>
          <w:p w14:paraId="7207C737">
            <w:pPr>
              <w:jc w:val="center"/>
              <w:rPr>
                <w:color w:val="auto"/>
                <w:highlight w:val="none"/>
              </w:rPr>
            </w:pPr>
            <w:r>
              <w:rPr>
                <w:rFonts w:hint="eastAsia"/>
                <w:color w:val="auto"/>
                <w:highlight w:val="none"/>
              </w:rPr>
              <w:t>3.8361</w:t>
            </w:r>
          </w:p>
        </w:tc>
      </w:tr>
      <w:tr w14:paraId="36AD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6255EF04">
            <w:pPr>
              <w:jc w:val="center"/>
              <w:rPr>
                <w:color w:val="auto"/>
                <w:highlight w:val="none"/>
              </w:rPr>
            </w:pPr>
            <w:r>
              <w:rPr>
                <w:rFonts w:hint="eastAsia"/>
                <w:color w:val="auto"/>
                <w:highlight w:val="none"/>
              </w:rPr>
              <w:t>9</w:t>
            </w:r>
          </w:p>
        </w:tc>
        <w:tc>
          <w:tcPr>
            <w:tcW w:w="2074" w:type="dxa"/>
          </w:tcPr>
          <w:p w14:paraId="2B910DD7">
            <w:pPr>
              <w:jc w:val="center"/>
              <w:rPr>
                <w:color w:val="auto"/>
                <w:highlight w:val="none"/>
              </w:rPr>
            </w:pPr>
            <w:r>
              <w:rPr>
                <w:rFonts w:hint="eastAsia"/>
                <w:color w:val="auto"/>
                <w:highlight w:val="none"/>
              </w:rPr>
              <w:t>1.4627</w:t>
            </w:r>
          </w:p>
        </w:tc>
        <w:tc>
          <w:tcPr>
            <w:tcW w:w="2074" w:type="dxa"/>
          </w:tcPr>
          <w:p w14:paraId="463371B9">
            <w:pPr>
              <w:jc w:val="center"/>
              <w:rPr>
                <w:color w:val="auto"/>
                <w:highlight w:val="none"/>
              </w:rPr>
            </w:pPr>
            <w:r>
              <w:rPr>
                <w:rFonts w:hint="eastAsia"/>
                <w:color w:val="auto"/>
                <w:highlight w:val="none"/>
              </w:rPr>
              <w:t>25</w:t>
            </w:r>
          </w:p>
        </w:tc>
        <w:tc>
          <w:tcPr>
            <w:tcW w:w="2074" w:type="dxa"/>
          </w:tcPr>
          <w:p w14:paraId="44482A0B">
            <w:pPr>
              <w:jc w:val="center"/>
              <w:rPr>
                <w:color w:val="auto"/>
                <w:highlight w:val="none"/>
              </w:rPr>
            </w:pPr>
            <w:r>
              <w:rPr>
                <w:rFonts w:hint="eastAsia"/>
                <w:color w:val="auto"/>
                <w:highlight w:val="none"/>
              </w:rPr>
              <w:t>3.9943</w:t>
            </w:r>
          </w:p>
        </w:tc>
      </w:tr>
      <w:tr w14:paraId="12A6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1D754556">
            <w:pPr>
              <w:jc w:val="center"/>
              <w:rPr>
                <w:color w:val="auto"/>
                <w:highlight w:val="none"/>
              </w:rPr>
            </w:pPr>
            <w:r>
              <w:rPr>
                <w:rFonts w:hint="eastAsia"/>
                <w:color w:val="auto"/>
                <w:highlight w:val="none"/>
              </w:rPr>
              <w:t>10</w:t>
            </w:r>
          </w:p>
        </w:tc>
        <w:tc>
          <w:tcPr>
            <w:tcW w:w="2074" w:type="dxa"/>
          </w:tcPr>
          <w:p w14:paraId="30799A2F">
            <w:pPr>
              <w:jc w:val="center"/>
              <w:rPr>
                <w:color w:val="auto"/>
                <w:highlight w:val="none"/>
              </w:rPr>
            </w:pPr>
            <w:r>
              <w:rPr>
                <w:rFonts w:hint="eastAsia"/>
                <w:color w:val="auto"/>
                <w:highlight w:val="none"/>
              </w:rPr>
              <w:t>1.6210</w:t>
            </w:r>
          </w:p>
        </w:tc>
        <w:tc>
          <w:tcPr>
            <w:tcW w:w="2074" w:type="dxa"/>
          </w:tcPr>
          <w:p w14:paraId="5FCEA03E">
            <w:pPr>
              <w:jc w:val="center"/>
              <w:rPr>
                <w:color w:val="auto"/>
                <w:highlight w:val="none"/>
              </w:rPr>
            </w:pPr>
            <w:r>
              <w:rPr>
                <w:rFonts w:hint="eastAsia"/>
                <w:color w:val="auto"/>
                <w:highlight w:val="none"/>
              </w:rPr>
              <w:t>26</w:t>
            </w:r>
          </w:p>
        </w:tc>
        <w:tc>
          <w:tcPr>
            <w:tcW w:w="2074" w:type="dxa"/>
          </w:tcPr>
          <w:p w14:paraId="35F046B6">
            <w:pPr>
              <w:jc w:val="center"/>
              <w:rPr>
                <w:color w:val="auto"/>
                <w:highlight w:val="none"/>
              </w:rPr>
            </w:pPr>
            <w:r>
              <w:rPr>
                <w:rFonts w:hint="eastAsia"/>
                <w:color w:val="auto"/>
                <w:highlight w:val="none"/>
              </w:rPr>
              <w:t>4.1525</w:t>
            </w:r>
          </w:p>
        </w:tc>
      </w:tr>
      <w:tr w14:paraId="0EF4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4492A447">
            <w:pPr>
              <w:jc w:val="center"/>
              <w:rPr>
                <w:color w:val="auto"/>
                <w:highlight w:val="none"/>
              </w:rPr>
            </w:pPr>
            <w:r>
              <w:rPr>
                <w:rFonts w:hint="eastAsia"/>
                <w:color w:val="auto"/>
                <w:highlight w:val="none"/>
              </w:rPr>
              <w:t>11</w:t>
            </w:r>
          </w:p>
        </w:tc>
        <w:tc>
          <w:tcPr>
            <w:tcW w:w="2074" w:type="dxa"/>
          </w:tcPr>
          <w:p w14:paraId="17A6998B">
            <w:pPr>
              <w:jc w:val="center"/>
              <w:rPr>
                <w:color w:val="auto"/>
                <w:highlight w:val="none"/>
              </w:rPr>
            </w:pPr>
            <w:r>
              <w:rPr>
                <w:rFonts w:hint="eastAsia"/>
                <w:color w:val="auto"/>
                <w:highlight w:val="none"/>
              </w:rPr>
              <w:t>1.7792</w:t>
            </w:r>
          </w:p>
        </w:tc>
        <w:tc>
          <w:tcPr>
            <w:tcW w:w="2074" w:type="dxa"/>
          </w:tcPr>
          <w:p w14:paraId="681A90A3">
            <w:pPr>
              <w:jc w:val="center"/>
              <w:rPr>
                <w:color w:val="auto"/>
                <w:highlight w:val="none"/>
              </w:rPr>
            </w:pPr>
            <w:r>
              <w:rPr>
                <w:rFonts w:hint="eastAsia"/>
                <w:color w:val="auto"/>
                <w:highlight w:val="none"/>
              </w:rPr>
              <w:t>27</w:t>
            </w:r>
          </w:p>
        </w:tc>
        <w:tc>
          <w:tcPr>
            <w:tcW w:w="2074" w:type="dxa"/>
          </w:tcPr>
          <w:p w14:paraId="2869E37C">
            <w:pPr>
              <w:jc w:val="center"/>
              <w:rPr>
                <w:color w:val="auto"/>
                <w:highlight w:val="none"/>
              </w:rPr>
            </w:pPr>
            <w:r>
              <w:rPr>
                <w:rFonts w:hint="eastAsia"/>
                <w:color w:val="auto"/>
                <w:highlight w:val="none"/>
              </w:rPr>
              <w:t>4.3107</w:t>
            </w:r>
          </w:p>
        </w:tc>
      </w:tr>
      <w:tr w14:paraId="4A69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68622226">
            <w:pPr>
              <w:jc w:val="center"/>
              <w:rPr>
                <w:color w:val="auto"/>
                <w:highlight w:val="none"/>
              </w:rPr>
            </w:pPr>
            <w:r>
              <w:rPr>
                <w:rFonts w:hint="eastAsia"/>
                <w:color w:val="auto"/>
                <w:highlight w:val="none"/>
              </w:rPr>
              <w:t>12</w:t>
            </w:r>
          </w:p>
        </w:tc>
        <w:tc>
          <w:tcPr>
            <w:tcW w:w="2074" w:type="dxa"/>
          </w:tcPr>
          <w:p w14:paraId="197A4B37">
            <w:pPr>
              <w:jc w:val="center"/>
              <w:rPr>
                <w:color w:val="auto"/>
                <w:highlight w:val="none"/>
              </w:rPr>
            </w:pPr>
            <w:r>
              <w:rPr>
                <w:rFonts w:hint="eastAsia"/>
                <w:color w:val="auto"/>
                <w:highlight w:val="none"/>
              </w:rPr>
              <w:t>1.9375</w:t>
            </w:r>
          </w:p>
        </w:tc>
        <w:tc>
          <w:tcPr>
            <w:tcW w:w="2074" w:type="dxa"/>
          </w:tcPr>
          <w:p w14:paraId="6BFA2926">
            <w:pPr>
              <w:jc w:val="center"/>
              <w:rPr>
                <w:color w:val="auto"/>
                <w:highlight w:val="none"/>
              </w:rPr>
            </w:pPr>
            <w:r>
              <w:rPr>
                <w:rFonts w:hint="eastAsia"/>
                <w:color w:val="auto"/>
                <w:highlight w:val="none"/>
              </w:rPr>
              <w:t>28</w:t>
            </w:r>
          </w:p>
        </w:tc>
        <w:tc>
          <w:tcPr>
            <w:tcW w:w="2074" w:type="dxa"/>
          </w:tcPr>
          <w:p w14:paraId="6B0D5086">
            <w:pPr>
              <w:jc w:val="center"/>
              <w:rPr>
                <w:color w:val="auto"/>
                <w:highlight w:val="none"/>
              </w:rPr>
            </w:pPr>
            <w:r>
              <w:rPr>
                <w:rFonts w:hint="eastAsia"/>
                <w:color w:val="auto"/>
                <w:highlight w:val="none"/>
              </w:rPr>
              <w:t>4.4689</w:t>
            </w:r>
          </w:p>
        </w:tc>
      </w:tr>
      <w:tr w14:paraId="685A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002283C3">
            <w:pPr>
              <w:jc w:val="center"/>
              <w:rPr>
                <w:color w:val="auto"/>
                <w:highlight w:val="none"/>
              </w:rPr>
            </w:pPr>
            <w:r>
              <w:rPr>
                <w:rFonts w:hint="eastAsia"/>
                <w:color w:val="auto"/>
                <w:highlight w:val="none"/>
              </w:rPr>
              <w:t>13</w:t>
            </w:r>
          </w:p>
        </w:tc>
        <w:tc>
          <w:tcPr>
            <w:tcW w:w="2074" w:type="dxa"/>
          </w:tcPr>
          <w:p w14:paraId="433EC1E3">
            <w:pPr>
              <w:jc w:val="center"/>
              <w:rPr>
                <w:color w:val="auto"/>
                <w:highlight w:val="none"/>
              </w:rPr>
            </w:pPr>
            <w:r>
              <w:rPr>
                <w:rFonts w:hint="eastAsia"/>
                <w:color w:val="auto"/>
                <w:highlight w:val="none"/>
              </w:rPr>
              <w:t>2.0957</w:t>
            </w:r>
          </w:p>
        </w:tc>
        <w:tc>
          <w:tcPr>
            <w:tcW w:w="2074" w:type="dxa"/>
          </w:tcPr>
          <w:p w14:paraId="3BF95E6A">
            <w:pPr>
              <w:jc w:val="center"/>
              <w:rPr>
                <w:color w:val="auto"/>
                <w:highlight w:val="none"/>
              </w:rPr>
            </w:pPr>
            <w:r>
              <w:rPr>
                <w:rFonts w:hint="eastAsia"/>
                <w:color w:val="auto"/>
                <w:highlight w:val="none"/>
              </w:rPr>
              <w:t>29</w:t>
            </w:r>
          </w:p>
        </w:tc>
        <w:tc>
          <w:tcPr>
            <w:tcW w:w="2074" w:type="dxa"/>
          </w:tcPr>
          <w:p w14:paraId="6617F34C">
            <w:pPr>
              <w:jc w:val="center"/>
              <w:rPr>
                <w:color w:val="auto"/>
                <w:highlight w:val="none"/>
              </w:rPr>
            </w:pPr>
            <w:r>
              <w:rPr>
                <w:rFonts w:hint="eastAsia"/>
                <w:color w:val="auto"/>
                <w:highlight w:val="none"/>
              </w:rPr>
              <w:t>4.6271</w:t>
            </w:r>
          </w:p>
        </w:tc>
      </w:tr>
      <w:tr w14:paraId="3B9B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55805357">
            <w:pPr>
              <w:jc w:val="center"/>
              <w:rPr>
                <w:color w:val="auto"/>
                <w:highlight w:val="none"/>
              </w:rPr>
            </w:pPr>
            <w:r>
              <w:rPr>
                <w:rFonts w:hint="eastAsia"/>
                <w:color w:val="auto"/>
                <w:highlight w:val="none"/>
              </w:rPr>
              <w:t>14</w:t>
            </w:r>
          </w:p>
        </w:tc>
        <w:tc>
          <w:tcPr>
            <w:tcW w:w="2074" w:type="dxa"/>
          </w:tcPr>
          <w:p w14:paraId="4147B571">
            <w:pPr>
              <w:jc w:val="center"/>
              <w:rPr>
                <w:color w:val="auto"/>
                <w:highlight w:val="none"/>
              </w:rPr>
            </w:pPr>
            <w:r>
              <w:rPr>
                <w:rFonts w:hint="eastAsia"/>
                <w:color w:val="auto"/>
                <w:highlight w:val="none"/>
              </w:rPr>
              <w:t>2.2539</w:t>
            </w:r>
          </w:p>
        </w:tc>
        <w:tc>
          <w:tcPr>
            <w:tcW w:w="2074" w:type="dxa"/>
          </w:tcPr>
          <w:p w14:paraId="0C7745D9">
            <w:pPr>
              <w:jc w:val="center"/>
              <w:rPr>
                <w:color w:val="auto"/>
                <w:highlight w:val="none"/>
              </w:rPr>
            </w:pPr>
            <w:r>
              <w:rPr>
                <w:rFonts w:hint="eastAsia"/>
                <w:color w:val="auto"/>
                <w:highlight w:val="none"/>
              </w:rPr>
              <w:t>30</w:t>
            </w:r>
          </w:p>
        </w:tc>
        <w:tc>
          <w:tcPr>
            <w:tcW w:w="2074" w:type="dxa"/>
          </w:tcPr>
          <w:p w14:paraId="7B9423EC">
            <w:pPr>
              <w:jc w:val="center"/>
              <w:rPr>
                <w:color w:val="auto"/>
                <w:highlight w:val="none"/>
              </w:rPr>
            </w:pPr>
            <w:r>
              <w:rPr>
                <w:rFonts w:hint="eastAsia"/>
                <w:color w:val="auto"/>
                <w:highlight w:val="none"/>
              </w:rPr>
              <w:t>4.7853</w:t>
            </w:r>
          </w:p>
        </w:tc>
      </w:tr>
      <w:tr w14:paraId="76B3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62B44801">
            <w:pPr>
              <w:jc w:val="center"/>
              <w:rPr>
                <w:color w:val="auto"/>
                <w:highlight w:val="none"/>
              </w:rPr>
            </w:pPr>
            <w:r>
              <w:rPr>
                <w:rFonts w:hint="eastAsia"/>
                <w:color w:val="auto"/>
                <w:highlight w:val="none"/>
              </w:rPr>
              <w:t>15</w:t>
            </w:r>
          </w:p>
        </w:tc>
        <w:tc>
          <w:tcPr>
            <w:tcW w:w="2074" w:type="dxa"/>
          </w:tcPr>
          <w:p w14:paraId="7FCADB01">
            <w:pPr>
              <w:jc w:val="center"/>
              <w:rPr>
                <w:color w:val="auto"/>
                <w:highlight w:val="none"/>
              </w:rPr>
            </w:pPr>
            <w:r>
              <w:rPr>
                <w:rFonts w:hint="eastAsia"/>
                <w:color w:val="auto"/>
                <w:highlight w:val="none"/>
              </w:rPr>
              <w:t>2.4122</w:t>
            </w:r>
          </w:p>
        </w:tc>
        <w:tc>
          <w:tcPr>
            <w:tcW w:w="2074" w:type="dxa"/>
          </w:tcPr>
          <w:p w14:paraId="76DFB670">
            <w:pPr>
              <w:jc w:val="center"/>
              <w:rPr>
                <w:color w:val="auto"/>
                <w:highlight w:val="none"/>
              </w:rPr>
            </w:pPr>
          </w:p>
        </w:tc>
        <w:tc>
          <w:tcPr>
            <w:tcW w:w="2074" w:type="dxa"/>
          </w:tcPr>
          <w:p w14:paraId="34515546">
            <w:pPr>
              <w:jc w:val="center"/>
              <w:rPr>
                <w:color w:val="auto"/>
                <w:highlight w:val="none"/>
              </w:rPr>
            </w:pPr>
          </w:p>
        </w:tc>
      </w:tr>
    </w:tbl>
    <w:p w14:paraId="7E23E6CF">
      <w:pPr>
        <w:rPr>
          <w:color w:val="auto"/>
          <w:highlight w:val="none"/>
        </w:rPr>
      </w:pPr>
      <w:r>
        <w:rPr>
          <w:color w:val="auto"/>
          <w:highlight w:val="none"/>
        </w:rPr>
        <w:t>加速度幅值：</w:t>
      </w:r>
    </w:p>
    <w:p w14:paraId="194F55AF">
      <w:pPr>
        <w:ind w:firstLine="420" w:firstLineChars="200"/>
        <w:rPr>
          <w:color w:val="auto"/>
          <w:highlight w:val="none"/>
        </w:rPr>
      </w:pPr>
      <m:oMath>
        <m:r>
          <m:rPr/>
          <w:rPr>
            <w:rFonts w:ascii="Cambria Math" w:hAnsi="Cambria Math"/>
            <w:color w:val="auto"/>
            <w:highlight w:val="none"/>
          </w:rPr>
          <m:t>a=(2πf)×A</m:t>
        </m:r>
      </m:oMath>
      <w:r>
        <w:rPr>
          <w:color w:val="auto"/>
          <w:highlight w:val="none"/>
        </w:rPr>
        <w:t xml:space="preserve">                         </w:t>
      </w:r>
      <w:r>
        <w:rPr>
          <w:rFonts w:hint="eastAsia"/>
          <w:color w:val="auto"/>
          <w:highlight w:val="none"/>
        </w:rPr>
        <w:t xml:space="preserve">     </w:t>
      </w:r>
      <w:r>
        <w:rPr>
          <w:color w:val="auto"/>
          <w:highlight w:val="none"/>
        </w:rPr>
        <w:t xml:space="preserve">                     (A.5)</w:t>
      </w:r>
    </w:p>
    <w:p w14:paraId="05D5EE4D">
      <w:pPr>
        <w:ind w:firstLine="420"/>
        <w:rPr>
          <w:color w:val="auto"/>
          <w:highlight w:val="none"/>
        </w:rPr>
      </w:pPr>
      <w:r>
        <w:rPr>
          <w:color w:val="auto"/>
          <w:highlight w:val="none"/>
        </w:rPr>
        <w:t>将（A.5)式计算得到的加速度幅值代入（A.4)式得出加速度计灵敏度。式中A为对应于附录B中各最小点的位移幅值。</w:t>
      </w:r>
    </w:p>
    <w:p w14:paraId="38E77149">
      <w:pPr>
        <w:ind w:firstLine="420"/>
        <w:rPr>
          <w:color w:val="auto"/>
          <w:sz w:val="18"/>
          <w:szCs w:val="18"/>
          <w:highlight w:val="none"/>
        </w:rPr>
      </w:pPr>
      <w:r>
        <w:rPr>
          <w:color w:val="auto"/>
          <w:sz w:val="18"/>
          <w:szCs w:val="18"/>
          <w:highlight w:val="none"/>
        </w:rPr>
        <w:t>注：也可使用一类零阶法。</w:t>
      </w:r>
    </w:p>
    <w:p w14:paraId="0279F55F">
      <w:pPr>
        <w:rPr>
          <w:color w:val="auto"/>
          <w:highlight w:val="none"/>
        </w:rPr>
      </w:pPr>
      <w:r>
        <w:rPr>
          <w:color w:val="auto"/>
          <w:highlight w:val="none"/>
        </w:rPr>
        <w:t>A.3</w:t>
      </w:r>
      <w:r>
        <w:rPr>
          <w:rFonts w:hint="eastAsia"/>
          <w:color w:val="auto"/>
          <w:highlight w:val="none"/>
        </w:rPr>
        <w:t xml:space="preserve">  </w:t>
      </w:r>
      <w:r>
        <w:rPr>
          <w:color w:val="auto"/>
          <w:highlight w:val="none"/>
        </w:rPr>
        <w:t>正弦逼近法</w:t>
      </w:r>
    </w:p>
    <w:p w14:paraId="505987E0">
      <w:pPr>
        <w:ind w:firstLine="420"/>
        <w:rPr>
          <w:color w:val="auto"/>
          <w:highlight w:val="none"/>
        </w:rPr>
      </w:pPr>
      <w:r>
        <w:rPr>
          <w:color w:val="auto"/>
          <w:highlight w:val="none"/>
        </w:rPr>
        <w:t>调整干涉仪到最佳工作状态，使其正交输出信号的幅值u</w:t>
      </w:r>
      <w:r>
        <w:rPr>
          <w:rFonts w:hint="eastAsia"/>
          <w:color w:val="auto"/>
          <w:highlight w:val="none"/>
          <w:vertAlign w:val="subscript"/>
        </w:rPr>
        <w:t>1</w:t>
      </w:r>
      <w:r>
        <w:rPr>
          <w:color w:val="auto"/>
          <w:highlight w:val="none"/>
        </w:rPr>
        <w:t>和u</w:t>
      </w:r>
      <w:r>
        <w:rPr>
          <w:rFonts w:hint="eastAsia"/>
          <w:color w:val="auto"/>
          <w:highlight w:val="none"/>
          <w:vertAlign w:val="subscript"/>
        </w:rPr>
        <w:t>2</w:t>
      </w:r>
      <w:r>
        <w:rPr>
          <w:color w:val="auto"/>
          <w:highlight w:val="none"/>
        </w:rPr>
        <w:t>满足6.1.2.5的规定。选择参考频率和参考加速度，调整好适调仪的设置。</w:t>
      </w:r>
    </w:p>
    <w:p w14:paraId="56E1E67F">
      <w:pPr>
        <w:ind w:firstLine="420"/>
        <w:rPr>
          <w:color w:val="auto"/>
          <w:highlight w:val="none"/>
        </w:rPr>
      </w:pPr>
      <w:r>
        <w:rPr>
          <w:color w:val="auto"/>
          <w:highlight w:val="none"/>
        </w:rPr>
        <w:t>在t</w:t>
      </w:r>
      <w:r>
        <w:rPr>
          <w:rFonts w:hint="eastAsia"/>
          <w:color w:val="auto"/>
          <w:highlight w:val="none"/>
          <w:vertAlign w:val="subscript"/>
        </w:rPr>
        <w:t>0</w:t>
      </w:r>
      <w:r>
        <w:rPr>
          <w:color w:val="auto"/>
          <w:highlight w:val="none"/>
        </w:rPr>
        <w:t>&lt;t&lt;t</w:t>
      </w:r>
      <w:r>
        <w:rPr>
          <w:rFonts w:hint="eastAsia"/>
          <w:color w:val="auto"/>
          <w:highlight w:val="none"/>
          <w:vertAlign w:val="subscript"/>
        </w:rPr>
        <w:t>0</w:t>
      </w:r>
      <w:r>
        <w:rPr>
          <w:color w:val="auto"/>
          <w:highlight w:val="none"/>
        </w:rPr>
        <w:t>+T</w:t>
      </w:r>
      <w:r>
        <w:rPr>
          <w:rFonts w:hint="eastAsia"/>
          <w:color w:val="auto"/>
          <w:highlight w:val="none"/>
          <w:vertAlign w:val="subscript"/>
        </w:rPr>
        <w:t>Meas</w:t>
      </w:r>
      <w:r>
        <w:rPr>
          <w:color w:val="auto"/>
          <w:highlight w:val="none"/>
        </w:rPr>
        <w:t>测量周期内（注：T</w:t>
      </w:r>
      <w:r>
        <w:rPr>
          <w:rFonts w:hint="eastAsia"/>
          <w:color w:val="auto"/>
          <w:highlight w:val="none"/>
          <w:vertAlign w:val="subscript"/>
        </w:rPr>
        <w:t>Meas</w:t>
      </w:r>
      <w:r>
        <w:rPr>
          <w:color w:val="auto"/>
          <w:highlight w:val="none"/>
        </w:rPr>
        <w:t>为测量持续时间），对激光信号进行等间隔采样、获得{u</w:t>
      </w:r>
      <w:r>
        <w:rPr>
          <w:rFonts w:hint="eastAsia"/>
          <w:color w:val="auto"/>
          <w:highlight w:val="none"/>
          <w:vertAlign w:val="subscript"/>
        </w:rPr>
        <w:t>1</w:t>
      </w:r>
      <w:r>
        <w:rPr>
          <w:color w:val="auto"/>
          <w:highlight w:val="none"/>
        </w:rPr>
        <w:t>(</w:t>
      </w:r>
      <w:r>
        <w:rPr>
          <w:rFonts w:hint="eastAsia"/>
          <w:color w:val="auto"/>
          <w:highlight w:val="none"/>
        </w:rPr>
        <w:t>t</w:t>
      </w:r>
      <w:r>
        <w:rPr>
          <w:rFonts w:hint="eastAsia"/>
          <w:color w:val="auto"/>
          <w:highlight w:val="none"/>
          <w:vertAlign w:val="subscript"/>
        </w:rPr>
        <w:t>i</w:t>
      </w:r>
      <w:r>
        <w:rPr>
          <w:rFonts w:hint="eastAsia"/>
          <w:color w:val="auto"/>
          <w:highlight w:val="none"/>
        </w:rPr>
        <w:t>)</w:t>
      </w:r>
      <w:r>
        <w:rPr>
          <w:color w:val="auto"/>
          <w:highlight w:val="none"/>
        </w:rPr>
        <w:t>}和{u</w:t>
      </w:r>
      <w:r>
        <w:rPr>
          <w:rFonts w:hint="eastAsia"/>
          <w:color w:val="auto"/>
          <w:highlight w:val="none"/>
          <w:vertAlign w:val="subscript"/>
        </w:rPr>
        <w:t>2</w:t>
      </w:r>
      <w:r>
        <w:rPr>
          <w:color w:val="auto"/>
          <w:highlight w:val="none"/>
        </w:rPr>
        <w:t>(t</w:t>
      </w:r>
      <w:r>
        <w:rPr>
          <w:rFonts w:hint="eastAsia"/>
          <w:color w:val="auto"/>
          <w:highlight w:val="none"/>
          <w:vertAlign w:val="subscript"/>
        </w:rPr>
        <w:t>i</w:t>
      </w:r>
      <w:r>
        <w:rPr>
          <w:rFonts w:hint="eastAsia"/>
          <w:color w:val="auto"/>
          <w:highlight w:val="none"/>
        </w:rPr>
        <w:t>)</w:t>
      </w:r>
      <w:r>
        <w:rPr>
          <w:color w:val="auto"/>
          <w:highlight w:val="none"/>
        </w:rPr>
        <w:t>}测量值序列，采样间隔△</w:t>
      </w:r>
      <w:r>
        <w:rPr>
          <w:rFonts w:hint="eastAsia"/>
          <w:color w:val="auto"/>
          <w:highlight w:val="none"/>
        </w:rPr>
        <w:t>t</w:t>
      </w:r>
      <w:r>
        <w:rPr>
          <w:color w:val="auto"/>
          <w:highlight w:val="none"/>
        </w:rPr>
        <w:t>=t</w:t>
      </w:r>
      <w:r>
        <w:rPr>
          <w:rFonts w:hint="eastAsia"/>
          <w:color w:val="auto"/>
          <w:highlight w:val="none"/>
          <w:vertAlign w:val="subscript"/>
        </w:rPr>
        <w:t>i</w:t>
      </w:r>
      <w:r>
        <w:rPr>
          <w:color w:val="auto"/>
          <w:highlight w:val="none"/>
        </w:rPr>
        <w:t>-t</w:t>
      </w:r>
      <w:r>
        <w:rPr>
          <w:rFonts w:hint="eastAsia"/>
          <w:color w:val="auto"/>
          <w:highlight w:val="none"/>
          <w:vertAlign w:val="subscript"/>
        </w:rPr>
        <w:t>i-1</w:t>
      </w:r>
      <w:r>
        <w:rPr>
          <w:color w:val="auto"/>
          <w:highlight w:val="none"/>
        </w:rPr>
        <w:t>为常数。加速度计输出值的采样序列为{u(t</w:t>
      </w:r>
      <w:r>
        <w:rPr>
          <w:rFonts w:hint="eastAsia"/>
          <w:color w:val="auto"/>
          <w:highlight w:val="none"/>
          <w:vertAlign w:val="subscript"/>
        </w:rPr>
        <w:t>i</w:t>
      </w:r>
      <w:r>
        <w:rPr>
          <w:rFonts w:hint="eastAsia"/>
          <w:color w:val="auto"/>
          <w:highlight w:val="none"/>
        </w:rPr>
        <w:t>)</w:t>
      </w:r>
      <w:r>
        <w:rPr>
          <w:color w:val="auto"/>
          <w:highlight w:val="none"/>
        </w:rPr>
        <w:t>}。</w:t>
      </w:r>
    </w:p>
    <w:p w14:paraId="2CB635B5">
      <w:pPr>
        <w:ind w:firstLine="420"/>
        <w:rPr>
          <w:color w:val="auto"/>
          <w:highlight w:val="none"/>
        </w:rPr>
      </w:pPr>
      <w:r>
        <w:rPr>
          <w:color w:val="auto"/>
          <w:highlight w:val="none"/>
        </w:rPr>
        <w:t>按照下列步骤计算加速度计灵敏度幅值和相移：</w:t>
      </w:r>
    </w:p>
    <w:p w14:paraId="531B9292">
      <w:pPr>
        <w:ind w:firstLine="420"/>
        <w:rPr>
          <w:color w:val="auto"/>
          <w:highlight w:val="none"/>
        </w:rPr>
      </w:pPr>
      <w:r>
        <w:rPr>
          <w:color w:val="auto"/>
          <w:highlight w:val="none"/>
        </w:rPr>
        <w:t>(1)利用干涉仪输出的{u</w:t>
      </w:r>
      <w:r>
        <w:rPr>
          <w:rFonts w:hint="eastAsia"/>
          <w:color w:val="auto"/>
          <w:highlight w:val="none"/>
          <w:vertAlign w:val="subscript"/>
        </w:rPr>
        <w:t>1</w:t>
      </w:r>
      <w:r>
        <w:rPr>
          <w:color w:val="auto"/>
          <w:highlight w:val="none"/>
        </w:rPr>
        <w:t>(</w:t>
      </w:r>
      <w:r>
        <w:rPr>
          <w:rFonts w:hint="eastAsia"/>
          <w:color w:val="auto"/>
          <w:highlight w:val="none"/>
        </w:rPr>
        <w:t>t</w:t>
      </w:r>
      <w:r>
        <w:rPr>
          <w:rFonts w:hint="eastAsia"/>
          <w:color w:val="auto"/>
          <w:highlight w:val="none"/>
          <w:vertAlign w:val="subscript"/>
        </w:rPr>
        <w:t>i</w:t>
      </w:r>
      <w:r>
        <w:rPr>
          <w:rFonts w:hint="eastAsia"/>
          <w:color w:val="auto"/>
          <w:highlight w:val="none"/>
        </w:rPr>
        <w:t>)</w:t>
      </w:r>
      <w:r>
        <w:rPr>
          <w:color w:val="auto"/>
          <w:highlight w:val="none"/>
        </w:rPr>
        <w:t>}和{u</w:t>
      </w:r>
      <w:r>
        <w:rPr>
          <w:rFonts w:hint="eastAsia"/>
          <w:color w:val="auto"/>
          <w:highlight w:val="none"/>
          <w:vertAlign w:val="subscript"/>
        </w:rPr>
        <w:t>2</w:t>
      </w:r>
      <w:r>
        <w:rPr>
          <w:color w:val="auto"/>
          <w:highlight w:val="none"/>
        </w:rPr>
        <w:t>(t</w:t>
      </w:r>
      <w:r>
        <w:rPr>
          <w:rFonts w:hint="eastAsia"/>
          <w:color w:val="auto"/>
          <w:highlight w:val="none"/>
          <w:vertAlign w:val="subscript"/>
        </w:rPr>
        <w:t>i</w:t>
      </w:r>
      <w:r>
        <w:rPr>
          <w:rFonts w:hint="eastAsia"/>
          <w:color w:val="auto"/>
          <w:highlight w:val="none"/>
        </w:rPr>
        <w:t>)</w:t>
      </w:r>
      <w:r>
        <w:rPr>
          <w:color w:val="auto"/>
          <w:highlight w:val="none"/>
        </w:rPr>
        <w:t>}，计算调相值序列</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Mod</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oMath>
      <w:r>
        <w:rPr>
          <w:color w:val="auto"/>
          <w:highlight w:val="none"/>
        </w:rPr>
        <w:t>：</w:t>
      </w:r>
    </w:p>
    <w:p w14:paraId="681B3C6E">
      <w:pPr>
        <w:rPr>
          <w:color w:val="auto"/>
          <w:highlight w:val="none"/>
        </w:rPr>
      </w:pPr>
      <w:r>
        <w:rPr>
          <w:color w:val="auto"/>
          <w:highlight w:val="none"/>
        </w:rPr>
        <w:t>10</w:t>
      </w:r>
    </w:p>
    <w:p w14:paraId="2362099F">
      <w:pPr>
        <w:ind w:firstLine="2730" w:firstLineChars="13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Mod</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r>
          <m:rPr/>
          <w:rPr>
            <w:rFonts w:ascii="Cambria Math" w:hAnsi="Cambria Math"/>
            <w:color w:val="auto"/>
            <w:highlight w:val="none"/>
          </w:rPr>
          <m:t>=arctan</m:t>
        </m:r>
        <m:f>
          <m:fPr>
            <m:ctrlPr>
              <w:rPr>
                <w:rFonts w:ascii="Cambria Math" w:hAnsi="Cambria Math"/>
                <w:i/>
                <w:color w:val="auto"/>
                <w:highlight w:val="none"/>
              </w:rPr>
            </m:ctrlPr>
          </m:fPr>
          <m:num>
            <m:sSub>
              <m:sSubPr>
                <m:ctrlPr>
                  <w:rPr>
                    <w:rFonts w:ascii="Cambria Math" w:hAnsi="Cambria Math"/>
                    <w:i/>
                    <w:color w:val="auto"/>
                    <w:highlight w:val="none"/>
                  </w:rPr>
                </m:ctrlPr>
              </m:sSubPr>
              <m:e>
                <m:r>
                  <m:rPr/>
                  <w:rPr>
                    <w:rFonts w:ascii="Cambria Math" w:hAnsi="Cambria Math"/>
                    <w:color w:val="auto"/>
                    <w:highlight w:val="none"/>
                  </w:rPr>
                  <m:t>u</m:t>
                </m:r>
                <m:ctrlPr>
                  <w:rPr>
                    <w:rFonts w:ascii="Cambria Math" w:hAnsi="Cambria Math"/>
                    <w:i/>
                    <w:color w:val="auto"/>
                    <w:highlight w:val="none"/>
                  </w:rPr>
                </m:ctrlPr>
              </m:e>
              <m:sub>
                <m:r>
                  <m:rPr/>
                  <w:rPr>
                    <w:rFonts w:ascii="Cambria Math" w:hAnsi="Cambria Math"/>
                    <w:color w:val="auto"/>
                    <w:highlight w:val="none"/>
                  </w:rPr>
                  <m:t>2</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ctrlPr>
              <w:rPr>
                <w:rFonts w:ascii="Cambria Math" w:hAnsi="Cambria Math"/>
                <w:i/>
                <w:color w:val="auto"/>
                <w:highlight w:val="none"/>
              </w:rPr>
            </m:ctrlPr>
          </m:num>
          <m:den>
            <m:sSub>
              <m:sSubPr>
                <m:ctrlPr>
                  <w:rPr>
                    <w:rFonts w:ascii="Cambria Math" w:hAnsi="Cambria Math"/>
                    <w:i/>
                    <w:color w:val="auto"/>
                    <w:highlight w:val="none"/>
                  </w:rPr>
                </m:ctrlPr>
              </m:sSubPr>
              <m:e>
                <m:r>
                  <m:rPr/>
                  <w:rPr>
                    <w:rFonts w:ascii="Cambria Math" w:hAnsi="Cambria Math"/>
                    <w:color w:val="auto"/>
                    <w:highlight w:val="none"/>
                  </w:rPr>
                  <m:t>u</m:t>
                </m:r>
                <m:ctrlPr>
                  <w:rPr>
                    <w:rFonts w:ascii="Cambria Math" w:hAnsi="Cambria Math"/>
                    <w:i/>
                    <w:color w:val="auto"/>
                    <w:highlight w:val="none"/>
                  </w:rPr>
                </m:ctrlPr>
              </m:e>
              <m:sub>
                <m:r>
                  <m:rPr/>
                  <w:rPr>
                    <w:rFonts w:ascii="Cambria Math" w:hAnsi="Cambria Math"/>
                    <w:color w:val="auto"/>
                    <w:highlight w:val="none"/>
                  </w:rPr>
                  <m:t>1</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ctrlPr>
              <w:rPr>
                <w:rFonts w:ascii="Cambria Math" w:hAnsi="Cambria Math"/>
                <w:i/>
                <w:color w:val="auto"/>
                <w:highlight w:val="none"/>
              </w:rPr>
            </m:ctrlPr>
          </m:den>
        </m:f>
        <m:r>
          <m:rPr/>
          <w:rPr>
            <w:rFonts w:ascii="Cambria Math" w:hAnsi="Cambria Math"/>
            <w:color w:val="auto"/>
            <w:highlight w:val="none"/>
          </w:rPr>
          <m:t>+nπ</m:t>
        </m:r>
      </m:oMath>
      <w:r>
        <w:rPr>
          <w:rFonts w:hint="eastAsia"/>
          <w:color w:val="auto"/>
          <w:highlight w:val="none"/>
        </w:rPr>
        <w:t xml:space="preserve">                       </w:t>
      </w:r>
      <w:r>
        <w:rPr>
          <w:color w:val="auto"/>
          <w:highlight w:val="none"/>
        </w:rPr>
        <w:t>(A.6)</w:t>
      </w:r>
    </w:p>
    <w:p w14:paraId="5AC14445">
      <w:pPr>
        <w:rPr>
          <w:color w:val="auto"/>
          <w:highlight w:val="none"/>
        </w:rPr>
      </w:pPr>
      <w:r>
        <w:rPr>
          <w:color w:val="auto"/>
          <w:highlight w:val="none"/>
        </w:rPr>
        <w:t>式中：n=0,1,2,…。为使{</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Mod</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oMath>
      <w:r>
        <w:rPr>
          <w:color w:val="auto"/>
          <w:highlight w:val="none"/>
        </w:rPr>
        <w:t>}连续，n取整数。</w:t>
      </w:r>
    </w:p>
    <w:p w14:paraId="1AAF3672">
      <w:pPr>
        <w:ind w:firstLine="420"/>
        <w:rPr>
          <w:color w:val="auto"/>
          <w:highlight w:val="none"/>
        </w:rPr>
      </w:pPr>
      <w:r>
        <w:rPr>
          <w:color w:val="auto"/>
          <w:highlight w:val="none"/>
        </w:rPr>
        <w:t>(2)用最小二乘法，通过解算下列N+1个方程组，求调相值序列{</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Mod</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oMath>
      <w:r>
        <w:rPr>
          <w:color w:val="auto"/>
          <w:highlight w:val="none"/>
        </w:rPr>
        <w:t>}：</w:t>
      </w:r>
    </w:p>
    <w:p w14:paraId="6FB21F74">
      <w:pPr>
        <w:ind w:firstLine="2520" w:firstLineChars="12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Mod</m:t>
            </m:r>
            <m:ctrlPr>
              <w:rPr>
                <w:rFonts w:ascii="Cambria Math" w:hAnsi="Cambria Math"/>
                <w:i/>
                <w:color w:val="auto"/>
                <w:highlight w:val="none"/>
              </w:rPr>
            </m:ctrlPr>
          </m:sub>
        </m:sSub>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r>
          <m:rPr/>
          <w:rPr>
            <w:rFonts w:ascii="Cambria Math" w:hAnsi="Cambria Math"/>
            <w:color w:val="auto"/>
            <w:highlight w:val="none"/>
          </w:rPr>
          <m:t>=Acosω</m:t>
        </m:r>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r>
          <m:rPr/>
          <w:rPr>
            <w:rFonts w:ascii="Cambria Math" w:hAnsi="Cambria Math"/>
            <w:color w:val="auto"/>
            <w:highlight w:val="none"/>
          </w:rPr>
          <m:t>−Bsinω</m:t>
        </m:r>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r>
          <m:rPr/>
          <w:rPr>
            <w:rFonts w:ascii="Cambria Math" w:hAnsi="Cambria Math"/>
            <w:color w:val="auto"/>
            <w:highlight w:val="none"/>
          </w:rPr>
          <m:t xml:space="preserve">+C </m:t>
        </m:r>
      </m:oMath>
      <w:r>
        <w:rPr>
          <w:color w:val="auto"/>
          <w:highlight w:val="none"/>
        </w:rPr>
        <w:t xml:space="preserve">       </w:t>
      </w:r>
      <w:r>
        <w:rPr>
          <w:rFonts w:hint="eastAsia"/>
          <w:color w:val="auto"/>
          <w:highlight w:val="none"/>
        </w:rPr>
        <w:t xml:space="preserve"> </w:t>
      </w:r>
      <w:r>
        <w:rPr>
          <w:color w:val="auto"/>
          <w:highlight w:val="none"/>
        </w:rPr>
        <w:t xml:space="preserve">            (A.7)</w:t>
      </w:r>
    </w:p>
    <w:p w14:paraId="30264D59">
      <w:pPr>
        <w:ind w:firstLine="420"/>
        <w:rPr>
          <w:color w:val="auto"/>
          <w:highlight w:val="none"/>
        </w:rPr>
      </w:pPr>
      <w:r>
        <w:rPr>
          <w:color w:val="auto"/>
          <w:highlight w:val="none"/>
        </w:rPr>
        <w:t>式中</w:t>
      </w:r>
      <w:r>
        <w:rPr>
          <w:rFonts w:hint="eastAsia"/>
          <w:color w:val="auto"/>
          <w:highlight w:val="none"/>
        </w:rPr>
        <w:t xml:space="preserve">  i = </w:t>
      </w:r>
      <w:r>
        <w:rPr>
          <w:color w:val="auto"/>
          <w:highlight w:val="none"/>
        </w:rPr>
        <w:t>0,1,2,…，N;</w:t>
      </w:r>
    </w:p>
    <w:p w14:paraId="7216176E">
      <w:pPr>
        <w:ind w:firstLine="1050" w:firstLineChars="500"/>
        <w:rPr>
          <w:color w:val="auto"/>
          <w:highlight w:val="none"/>
        </w:rPr>
      </w:pPr>
      <m:oMath>
        <m:r>
          <m:rPr/>
          <w:rPr>
            <w:rFonts w:ascii="Cambria Math" w:hAnsi="Cambria Math"/>
            <w:color w:val="auto"/>
            <w:highlight w:val="none"/>
          </w:rPr>
          <m:t>A=</m:t>
        </m:r>
        <m:sSub>
          <m:sSubPr>
            <m:ctrlPr>
              <w:rPr>
                <w:rFonts w:ascii="Cambria Math" w:hAnsi="Cambria Math"/>
                <w:i/>
                <w:color w:val="auto"/>
                <w:highlight w:val="none"/>
              </w:rPr>
            </m:ctrlPr>
          </m:sSubPr>
          <m:e>
            <m:acc>
              <m:accPr>
                <m:ctrlPr>
                  <w:rPr>
                    <w:rFonts w:ascii="Cambria Math" w:hAnsi="Cambria Math"/>
                    <w:i/>
                    <w:color w:val="auto"/>
                    <w:highlight w:val="none"/>
                  </w:rPr>
                </m:ctrlPr>
              </m:accPr>
              <m:e>
                <m:r>
                  <m:rPr/>
                  <w:rPr>
                    <w:rFonts w:ascii="Cambria Math" w:hAnsi="Cambria Math"/>
                    <w:color w:val="auto"/>
                    <w:highlight w:val="none"/>
                  </w:rPr>
                  <m:t>φ</m:t>
                </m:r>
                <m:ctrlPr>
                  <w:rPr>
                    <w:rFonts w:ascii="Cambria Math" w:hAnsi="Cambria Math"/>
                    <w:i/>
                    <w:color w:val="auto"/>
                    <w:highlight w:val="none"/>
                  </w:rPr>
                </m:ctrlPr>
              </m:e>
            </m:acc>
            <m:ctrlPr>
              <w:rPr>
                <w:rFonts w:ascii="Cambria Math" w:hAnsi="Cambria Math"/>
                <w:i/>
                <w:color w:val="auto"/>
                <w:highlight w:val="none"/>
              </w:rPr>
            </m:ctrlPr>
          </m:e>
          <m:sub>
            <m:r>
              <m:rPr/>
              <w:rPr>
                <w:rFonts w:ascii="Cambria Math" w:hAnsi="Cambria Math"/>
                <w:color w:val="auto"/>
                <w:highlight w:val="none"/>
              </w:rPr>
              <m:t>M</m:t>
            </m:r>
            <m:ctrlPr>
              <w:rPr>
                <w:rFonts w:ascii="Cambria Math" w:hAnsi="Cambria Math"/>
                <w:i/>
                <w:color w:val="auto"/>
                <w:highlight w:val="none"/>
              </w:rPr>
            </m:ctrlPr>
          </m:sub>
        </m:sSub>
        <m:r>
          <m:rPr/>
          <w:rPr>
            <w:rFonts w:ascii="Cambria Math" w:hAnsi="Cambria Math"/>
            <w:color w:val="auto"/>
            <w:highlight w:val="none"/>
          </w:rPr>
          <m:t>cos</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oMath>
      <w:r>
        <w:rPr>
          <w:color w:val="auto"/>
          <w:highlight w:val="none"/>
        </w:rPr>
        <w:t>；</w:t>
      </w:r>
    </w:p>
    <w:p w14:paraId="0D5FD601">
      <w:pPr>
        <w:ind w:firstLine="1050" w:firstLineChars="500"/>
        <w:rPr>
          <w:color w:val="auto"/>
          <w:highlight w:val="none"/>
        </w:rPr>
      </w:pPr>
      <m:oMath>
        <m:r>
          <m:rPr/>
          <w:rPr>
            <w:rFonts w:ascii="Cambria Math" w:hAnsi="Cambria Math"/>
            <w:color w:val="auto"/>
            <w:highlight w:val="none"/>
          </w:rPr>
          <m:t>B=</m:t>
        </m:r>
        <m:sSub>
          <m:sSubPr>
            <m:ctrlPr>
              <w:rPr>
                <w:rFonts w:ascii="Cambria Math" w:hAnsi="Cambria Math"/>
                <w:i/>
                <w:color w:val="auto"/>
                <w:highlight w:val="none"/>
              </w:rPr>
            </m:ctrlPr>
          </m:sSubPr>
          <m:e>
            <m:acc>
              <m:accPr>
                <m:ctrlPr>
                  <w:rPr>
                    <w:rFonts w:ascii="Cambria Math" w:hAnsi="Cambria Math"/>
                    <w:i/>
                    <w:color w:val="auto"/>
                    <w:highlight w:val="none"/>
                  </w:rPr>
                </m:ctrlPr>
              </m:accPr>
              <m:e>
                <m:r>
                  <m:rPr/>
                  <w:rPr>
                    <w:rFonts w:ascii="Cambria Math" w:hAnsi="Cambria Math"/>
                    <w:color w:val="auto"/>
                    <w:highlight w:val="none"/>
                  </w:rPr>
                  <m:t>φ</m:t>
                </m:r>
                <m:ctrlPr>
                  <w:rPr>
                    <w:rFonts w:ascii="Cambria Math" w:hAnsi="Cambria Math"/>
                    <w:i/>
                    <w:color w:val="auto"/>
                    <w:highlight w:val="none"/>
                  </w:rPr>
                </m:ctrlPr>
              </m:e>
            </m:acc>
            <m:ctrlPr>
              <w:rPr>
                <w:rFonts w:ascii="Cambria Math" w:hAnsi="Cambria Math"/>
                <w:i/>
                <w:color w:val="auto"/>
                <w:highlight w:val="none"/>
              </w:rPr>
            </m:ctrlPr>
          </m:e>
          <m:sub>
            <m:r>
              <m:rPr/>
              <w:rPr>
                <w:rFonts w:ascii="Cambria Math" w:hAnsi="Cambria Math"/>
                <w:color w:val="auto"/>
                <w:highlight w:val="none"/>
              </w:rPr>
              <m:t>M</m:t>
            </m:r>
            <m:ctrlPr>
              <w:rPr>
                <w:rFonts w:ascii="Cambria Math" w:hAnsi="Cambria Math"/>
                <w:i/>
                <w:color w:val="auto"/>
                <w:highlight w:val="none"/>
              </w:rPr>
            </m:ctrlPr>
          </m:sub>
        </m:sSub>
        <m:r>
          <m:rPr/>
          <w:rPr>
            <w:rFonts w:ascii="Cambria Math" w:hAnsi="Cambria Math"/>
            <w:color w:val="auto"/>
            <w:highlight w:val="none"/>
          </w:rPr>
          <m:t>sin</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oMath>
      <w:r>
        <w:rPr>
          <w:color w:val="auto"/>
          <w:highlight w:val="none"/>
        </w:rPr>
        <w:t>；</w:t>
      </w:r>
    </w:p>
    <w:p w14:paraId="6D360D7F">
      <w:pPr>
        <w:ind w:firstLine="1050" w:firstLineChars="500"/>
        <w:rPr>
          <w:color w:val="auto"/>
          <w:highlight w:val="none"/>
        </w:rPr>
      </w:pPr>
      <w:r>
        <w:rPr>
          <w:color w:val="auto"/>
          <w:highlight w:val="none"/>
        </w:rPr>
        <w:t>C</w:t>
      </w:r>
      <w:r>
        <w:rPr>
          <w:rFonts w:hint="eastAsia"/>
          <w:color w:val="auto"/>
          <w:highlight w:val="none"/>
        </w:rPr>
        <w:t>——</w:t>
      </w:r>
      <w:r>
        <w:rPr>
          <w:color w:val="auto"/>
          <w:highlight w:val="none"/>
        </w:rPr>
        <w:t>常数，在正弦逼近法求解中不用；</w:t>
      </w:r>
    </w:p>
    <w:p w14:paraId="1D5D1218">
      <w:pPr>
        <w:ind w:firstLine="1050" w:firstLineChars="500"/>
        <w:rPr>
          <w:color w:val="auto"/>
          <w:highlight w:val="none"/>
        </w:rPr>
      </w:pPr>
      <m:oMath>
        <m:r>
          <m:rPr/>
          <w:rPr>
            <w:rFonts w:ascii="Cambria Math" w:hAnsi="Cambria Math"/>
            <w:color w:val="auto"/>
            <w:highlight w:val="none"/>
          </w:rPr>
          <m:t>ω</m:t>
        </m:r>
      </m:oMath>
      <w:r>
        <w:rPr>
          <w:rFonts w:hint="eastAsia"/>
          <w:color w:val="auto"/>
          <w:highlight w:val="none"/>
        </w:rPr>
        <w:t>——</w:t>
      </w:r>
      <w:r>
        <w:rPr>
          <w:color w:val="auto"/>
          <w:highlight w:val="none"/>
        </w:rPr>
        <w:t>振动角频率，</w:t>
      </w:r>
      <m:oMath>
        <m:r>
          <m:rPr/>
          <w:rPr>
            <w:rFonts w:ascii="Cambria Math" w:hAnsi="Cambria Math"/>
            <w:color w:val="auto"/>
            <w:highlight w:val="none"/>
          </w:rPr>
          <m:t>ω=2πf</m:t>
        </m:r>
      </m:oMath>
      <w:r>
        <w:rPr>
          <w:color w:val="auto"/>
          <w:highlight w:val="none"/>
        </w:rPr>
        <w:t>;</w:t>
      </w:r>
    </w:p>
    <w:p w14:paraId="3A99A5C9">
      <w:pPr>
        <w:ind w:firstLine="1050" w:firstLineChars="5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oMath>
      <w:r>
        <w:rPr>
          <w:rFonts w:hint="eastAsia"/>
          <w:color w:val="auto"/>
          <w:highlight w:val="none"/>
        </w:rPr>
        <w:t>——</w:t>
      </w:r>
      <w:r>
        <w:rPr>
          <w:color w:val="auto"/>
          <w:highlight w:val="none"/>
        </w:rPr>
        <w:t>位移初相位；</w:t>
      </w:r>
    </w:p>
    <w:p w14:paraId="5FDFBF71">
      <w:pPr>
        <w:ind w:firstLine="1050" w:firstLineChars="500"/>
        <w:rPr>
          <w:color w:val="auto"/>
          <w:highlight w:val="none"/>
        </w:rPr>
      </w:pPr>
      <w:r>
        <w:rPr>
          <w:color w:val="auto"/>
          <w:highlight w:val="none"/>
        </w:rPr>
        <w:t>N+1</w:t>
      </w:r>
      <w:r>
        <w:rPr>
          <w:rFonts w:hint="eastAsia"/>
          <w:color w:val="auto"/>
          <w:highlight w:val="none"/>
        </w:rPr>
        <w:t>——</w:t>
      </w:r>
      <w:r>
        <w:rPr>
          <w:color w:val="auto"/>
          <w:highlight w:val="none"/>
        </w:rPr>
        <w:t>在测量周期内，同步采样得到的采样点数。</w:t>
      </w:r>
    </w:p>
    <w:p w14:paraId="385E8DE8">
      <w:pPr>
        <w:ind w:firstLine="420"/>
        <w:rPr>
          <w:color w:val="auto"/>
          <w:highlight w:val="none"/>
        </w:rPr>
      </w:pPr>
      <w:r>
        <w:rPr>
          <w:color w:val="auto"/>
          <w:highlight w:val="none"/>
        </w:rPr>
        <w:t>(3)计算相位调制项幅值</w:t>
      </w:r>
      <m:oMath>
        <m:sSub>
          <m:sSubPr>
            <m:ctrlPr>
              <w:rPr>
                <w:rFonts w:ascii="Cambria Math" w:hAnsi="Cambria Math"/>
                <w:i/>
                <w:color w:val="auto"/>
                <w:highlight w:val="none"/>
              </w:rPr>
            </m:ctrlPr>
          </m:sSubPr>
          <m:e>
            <m:acc>
              <m:accPr>
                <m:ctrlPr>
                  <w:rPr>
                    <w:rFonts w:ascii="Cambria Math" w:hAnsi="Cambria Math"/>
                    <w:i/>
                    <w:color w:val="auto"/>
                    <w:highlight w:val="none"/>
                  </w:rPr>
                </m:ctrlPr>
              </m:accPr>
              <m:e>
                <m:r>
                  <m:rPr/>
                  <w:rPr>
                    <w:rFonts w:ascii="Cambria Math" w:hAnsi="Cambria Math"/>
                    <w:color w:val="auto"/>
                    <w:highlight w:val="none"/>
                  </w:rPr>
                  <m:t>φ</m:t>
                </m:r>
                <m:ctrlPr>
                  <w:rPr>
                    <w:rFonts w:ascii="Cambria Math" w:hAnsi="Cambria Math"/>
                    <w:i/>
                    <w:color w:val="auto"/>
                    <w:highlight w:val="none"/>
                  </w:rPr>
                </m:ctrlPr>
              </m:e>
            </m:acc>
            <m:ctrlPr>
              <w:rPr>
                <w:rFonts w:ascii="Cambria Math" w:hAnsi="Cambria Math"/>
                <w:i/>
                <w:color w:val="auto"/>
                <w:highlight w:val="none"/>
              </w:rPr>
            </m:ctrlPr>
          </m:e>
          <m:sub>
            <m:r>
              <m:rPr/>
              <w:rPr>
                <w:rFonts w:ascii="Cambria Math" w:hAnsi="Cambria Math"/>
                <w:color w:val="auto"/>
                <w:highlight w:val="none"/>
              </w:rPr>
              <m:t>M</m:t>
            </m:r>
            <m:ctrlPr>
              <w:rPr>
                <w:rFonts w:ascii="Cambria Math" w:hAnsi="Cambria Math"/>
                <w:i/>
                <w:color w:val="auto"/>
                <w:highlight w:val="none"/>
              </w:rPr>
            </m:ctrlPr>
          </m:sub>
        </m:sSub>
      </m:oMath>
      <w:r>
        <w:rPr>
          <w:color w:val="auto"/>
          <w:highlight w:val="none"/>
        </w:rPr>
        <w:t>和位移初相位</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oMath>
      <w:r>
        <w:rPr>
          <w:color w:val="auto"/>
          <w:highlight w:val="none"/>
        </w:rPr>
        <w:t>：</w:t>
      </w:r>
    </w:p>
    <w:p w14:paraId="5BE2396F">
      <w:pPr>
        <w:ind w:firstLine="2100" w:firstLineChars="1000"/>
        <w:rPr>
          <w:color w:val="auto"/>
          <w:highlight w:val="none"/>
        </w:rPr>
      </w:pPr>
      <w:r>
        <w:rPr>
          <w:rFonts w:hint="eastAsia"/>
          <w:color w:val="auto"/>
          <w:highlight w:val="none"/>
        </w:rPr>
        <w:t xml:space="preserve">     </w:t>
      </w:r>
      <m:oMath>
        <m:sSub>
          <m:sSubPr>
            <m:ctrlPr>
              <w:rPr>
                <w:rFonts w:ascii="Cambria Math" w:hAnsi="Cambria Math"/>
                <w:i/>
                <w:color w:val="auto"/>
                <w:highlight w:val="none"/>
              </w:rPr>
            </m:ctrlPr>
          </m:sSubPr>
          <m:e>
            <m:acc>
              <m:accPr>
                <m:ctrlPr>
                  <w:rPr>
                    <w:rFonts w:ascii="Cambria Math" w:hAnsi="Cambria Math"/>
                    <w:i/>
                    <w:color w:val="auto"/>
                    <w:highlight w:val="none"/>
                  </w:rPr>
                </m:ctrlPr>
              </m:accPr>
              <m:e>
                <m:r>
                  <m:rPr/>
                  <w:rPr>
                    <w:rFonts w:ascii="Cambria Math" w:hAnsi="Cambria Math"/>
                    <w:color w:val="auto"/>
                    <w:highlight w:val="none"/>
                  </w:rPr>
                  <m:t>φ</m:t>
                </m:r>
                <m:ctrlPr>
                  <w:rPr>
                    <w:rFonts w:ascii="Cambria Math" w:hAnsi="Cambria Math"/>
                    <w:i/>
                    <w:color w:val="auto"/>
                    <w:highlight w:val="none"/>
                  </w:rPr>
                </m:ctrlPr>
              </m:e>
            </m:acc>
            <m:ctrlPr>
              <w:rPr>
                <w:rFonts w:ascii="Cambria Math" w:hAnsi="Cambria Math"/>
                <w:i/>
                <w:color w:val="auto"/>
                <w:highlight w:val="none"/>
              </w:rPr>
            </m:ctrlPr>
          </m:e>
          <m:sub>
            <m:r>
              <m:rPr/>
              <w:rPr>
                <w:rFonts w:ascii="Cambria Math" w:hAnsi="Cambria Math"/>
                <w:color w:val="auto"/>
                <w:highlight w:val="none"/>
              </w:rPr>
              <m:t>M</m:t>
            </m:r>
            <m:ctrlPr>
              <w:rPr>
                <w:rFonts w:ascii="Cambria Math" w:hAnsi="Cambria Math"/>
                <w:i/>
                <w:color w:val="auto"/>
                <w:highlight w:val="none"/>
              </w:rPr>
            </m:ctrlPr>
          </m:sub>
        </m:sSub>
        <m:r>
          <m:rPr/>
          <w:rPr>
            <w:rFonts w:ascii="Cambria Math" w:hAnsi="Cambria Math"/>
            <w:color w:val="auto"/>
            <w:highlight w:val="none"/>
          </w:rPr>
          <m:t>=</m:t>
        </m:r>
        <m:rad>
          <m:radPr>
            <m:degHide m:val="1"/>
            <m:ctrlPr>
              <w:rPr>
                <w:rFonts w:ascii="Cambria Math" w:hAnsi="Cambria Math"/>
                <w:i/>
                <w:color w:val="auto"/>
                <w:highlight w:val="none"/>
              </w:rPr>
            </m:ctrlPr>
          </m:radPr>
          <m:deg>
            <m:ctrlPr>
              <w:rPr>
                <w:rFonts w:ascii="Cambria Math" w:hAnsi="Cambria Math"/>
                <w:i/>
                <w:color w:val="auto"/>
                <w:highlight w:val="none"/>
              </w:rPr>
            </m:ctrlPr>
          </m:deg>
          <m:e>
            <m:sSup>
              <m:sSupPr>
                <m:ctrlPr>
                  <w:rPr>
                    <w:rFonts w:ascii="Cambria Math" w:hAnsi="Cambria Math"/>
                    <w:i/>
                    <w:color w:val="auto"/>
                    <w:highlight w:val="none"/>
                  </w:rPr>
                </m:ctrlPr>
              </m:sSupPr>
              <m:e>
                <m:r>
                  <m:rPr/>
                  <w:rPr>
                    <w:rFonts w:hint="eastAsia" w:ascii="Cambria Math" w:hAnsi="Cambria Math"/>
                    <w:color w:val="auto"/>
                    <w:highlight w:val="none"/>
                  </w:rPr>
                  <m:t>A</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m:t>
            </m:r>
            <m:sSup>
              <m:sSupPr>
                <m:ctrlPr>
                  <w:rPr>
                    <w:rFonts w:ascii="Cambria Math" w:hAnsi="Cambria Math"/>
                    <w:i/>
                    <w:color w:val="auto"/>
                    <w:highlight w:val="none"/>
                  </w:rPr>
                </m:ctrlPr>
              </m:sSupPr>
              <m:e>
                <m:r>
                  <m:rPr/>
                  <w:rPr>
                    <w:rFonts w:ascii="Cambria Math" w:hAnsi="Cambria Math"/>
                    <w:color w:val="auto"/>
                    <w:highlight w:val="none"/>
                  </w:rPr>
                  <m:t>B</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ctrlPr>
              <w:rPr>
                <w:rFonts w:ascii="Cambria Math" w:hAnsi="Cambria Math"/>
                <w:i/>
                <w:color w:val="auto"/>
                <w:highlight w:val="none"/>
              </w:rPr>
            </m:ctrlPr>
          </m:e>
        </m:rad>
        <m:r>
          <m:rPr/>
          <w:rPr>
            <w:rFonts w:ascii="Cambria Math" w:hAnsi="Cambria Math"/>
            <w:color w:val="auto"/>
            <w:highlight w:val="none"/>
          </w:rPr>
          <m:t xml:space="preserve">      </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r>
          <m:rPr/>
          <w:rPr>
            <w:rFonts w:ascii="Cambria Math" w:hAnsi="Cambria Math"/>
            <w:color w:val="auto"/>
            <w:highlight w:val="none"/>
          </w:rPr>
          <m:t>=arctan</m:t>
        </m:r>
        <m:f>
          <m:fPr>
            <m:ctrlPr>
              <w:rPr>
                <w:rFonts w:ascii="Cambria Math" w:hAnsi="Cambria Math"/>
                <w:i/>
                <w:color w:val="auto"/>
                <w:highlight w:val="none"/>
              </w:rPr>
            </m:ctrlPr>
          </m:fPr>
          <m:num>
            <m:r>
              <m:rPr/>
              <w:rPr>
                <w:rFonts w:ascii="Cambria Math" w:hAnsi="Cambria Math"/>
                <w:color w:val="auto"/>
                <w:highlight w:val="none"/>
              </w:rPr>
              <m:t xml:space="preserve">B </m:t>
            </m:r>
            <m:ctrlPr>
              <w:rPr>
                <w:rFonts w:ascii="Cambria Math" w:hAnsi="Cambria Math"/>
                <w:i/>
                <w:color w:val="auto"/>
                <w:highlight w:val="none"/>
              </w:rPr>
            </m:ctrlPr>
          </m:num>
          <m:den>
            <m:r>
              <m:rPr/>
              <w:rPr>
                <w:rFonts w:hint="eastAsia" w:ascii="Cambria Math" w:hAnsi="Cambria Math"/>
                <w:color w:val="auto"/>
                <w:highlight w:val="none"/>
              </w:rPr>
              <m:t>A</m:t>
            </m:r>
            <m:ctrlPr>
              <w:rPr>
                <w:rFonts w:ascii="Cambria Math" w:hAnsi="Cambria Math"/>
                <w:i/>
                <w:color w:val="auto"/>
                <w:highlight w:val="none"/>
              </w:rPr>
            </m:ctrlPr>
          </m:den>
        </m:f>
      </m:oMath>
      <w:r>
        <w:rPr>
          <w:color w:val="auto"/>
          <w:highlight w:val="none"/>
        </w:rPr>
        <w:t xml:space="preserve"> </w:t>
      </w:r>
      <w:r>
        <w:rPr>
          <w:rFonts w:hint="eastAsia"/>
          <w:color w:val="auto"/>
          <w:highlight w:val="none"/>
        </w:rPr>
        <w:t xml:space="preserve">                    </w:t>
      </w:r>
      <w:r>
        <w:rPr>
          <w:color w:val="auto"/>
          <w:highlight w:val="none"/>
        </w:rPr>
        <w:t>(A.8)</w:t>
      </w:r>
    </w:p>
    <w:p w14:paraId="384D9580">
      <w:pPr>
        <w:ind w:firstLine="420"/>
        <w:rPr>
          <w:color w:val="auto"/>
          <w:highlight w:val="none"/>
        </w:rPr>
      </w:pPr>
      <w:r>
        <w:rPr>
          <w:color w:val="auto"/>
          <w:highlight w:val="none"/>
        </w:rPr>
        <w:t>(4)计算加速度幅值</w:t>
      </w:r>
      <m:oMath>
        <m:acc>
          <m:accPr>
            <m:ctrlPr>
              <w:rPr>
                <w:rFonts w:ascii="Cambria Math" w:hAnsi="Cambria Math"/>
                <w:i/>
                <w:color w:val="auto"/>
                <w:highlight w:val="none"/>
              </w:rPr>
            </m:ctrlPr>
          </m:accPr>
          <m:e>
            <m:r>
              <m:rPr/>
              <w:rPr>
                <w:rFonts w:ascii="Cambria Math" w:hAnsi="Cambria Math"/>
                <w:color w:val="auto"/>
                <w:highlight w:val="none"/>
              </w:rPr>
              <m:t>a</m:t>
            </m:r>
            <m:ctrlPr>
              <w:rPr>
                <w:rFonts w:ascii="Cambria Math" w:hAnsi="Cambria Math"/>
                <w:i/>
                <w:color w:val="auto"/>
                <w:highlight w:val="none"/>
              </w:rPr>
            </m:ctrlPr>
          </m:e>
        </m:acc>
      </m:oMath>
      <w:r>
        <w:rPr>
          <w:color w:val="auto"/>
          <w:highlight w:val="none"/>
        </w:rPr>
        <w:t>和加速度初相位角</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a</m:t>
            </m:r>
            <m:ctrlPr>
              <w:rPr>
                <w:rFonts w:ascii="Cambria Math" w:hAnsi="Cambria Math"/>
                <w:i/>
                <w:color w:val="auto"/>
                <w:highlight w:val="none"/>
              </w:rPr>
            </m:ctrlPr>
          </m:sub>
        </m:sSub>
      </m:oMath>
      <w:r>
        <w:rPr>
          <w:color w:val="auto"/>
          <w:highlight w:val="none"/>
        </w:rPr>
        <w:t>：</w:t>
      </w:r>
      <w:r>
        <w:rPr>
          <w:rFonts w:hint="eastAsia"/>
          <w:color w:val="auto"/>
          <w:highlight w:val="none"/>
        </w:rPr>
        <w:t xml:space="preserve"> </w:t>
      </w:r>
    </w:p>
    <w:p w14:paraId="2309B3B2">
      <w:pPr>
        <w:ind w:firstLine="2940" w:firstLineChars="1400"/>
        <w:rPr>
          <w:color w:val="auto"/>
          <w:highlight w:val="none"/>
        </w:rPr>
      </w:pPr>
      <m:oMath>
        <m:acc>
          <m:accPr>
            <m:ctrlPr>
              <w:rPr>
                <w:rFonts w:ascii="Cambria Math" w:hAnsi="Cambria Math"/>
                <w:i/>
                <w:color w:val="auto"/>
                <w:highlight w:val="none"/>
              </w:rPr>
            </m:ctrlPr>
          </m:accPr>
          <m:e>
            <m:r>
              <m:rPr/>
              <w:rPr>
                <w:rFonts w:ascii="Cambria Math" w:hAnsi="Cambria Math"/>
                <w:color w:val="auto"/>
                <w:highlight w:val="none"/>
              </w:rPr>
              <m:t>a</m:t>
            </m:r>
            <m:ctrlPr>
              <w:rPr>
                <w:rFonts w:ascii="Cambria Math" w:hAnsi="Cambria Math"/>
                <w:i/>
                <w:color w:val="auto"/>
                <w:highlight w:val="none"/>
              </w:rPr>
            </m:ctrlPr>
          </m:e>
        </m:acc>
        <m:r>
          <m:rPr/>
          <w:rPr>
            <w:rFonts w:ascii="Cambria Math" w:hAnsi="Cambria Math"/>
            <w:color w:val="auto"/>
            <w:highlight w:val="none"/>
          </w:rPr>
          <m:t>=πλf²</m:t>
        </m:r>
        <m:sSub>
          <m:sSubPr>
            <m:ctrlPr>
              <w:rPr>
                <w:rFonts w:ascii="Cambria Math" w:hAnsi="Cambria Math"/>
                <w:i/>
                <w:color w:val="auto"/>
                <w:highlight w:val="none"/>
              </w:rPr>
            </m:ctrlPr>
          </m:sSubPr>
          <m:e>
            <m:acc>
              <m:accPr>
                <m:ctrlPr>
                  <w:rPr>
                    <w:rFonts w:ascii="Cambria Math" w:hAnsi="Cambria Math"/>
                    <w:i/>
                    <w:color w:val="auto"/>
                    <w:highlight w:val="none"/>
                  </w:rPr>
                </m:ctrlPr>
              </m:accPr>
              <m:e>
                <m:r>
                  <m:rPr/>
                  <w:rPr>
                    <w:rFonts w:ascii="Cambria Math" w:hAnsi="Cambria Math"/>
                    <w:color w:val="auto"/>
                    <w:highlight w:val="none"/>
                  </w:rPr>
                  <m:t>φ</m:t>
                </m:r>
                <m:ctrlPr>
                  <w:rPr>
                    <w:rFonts w:ascii="Cambria Math" w:hAnsi="Cambria Math"/>
                    <w:i/>
                    <w:color w:val="auto"/>
                    <w:highlight w:val="none"/>
                  </w:rPr>
                </m:ctrlPr>
              </m:e>
            </m:acc>
            <m:ctrlPr>
              <w:rPr>
                <w:rFonts w:ascii="Cambria Math" w:hAnsi="Cambria Math"/>
                <w:i/>
                <w:color w:val="auto"/>
                <w:highlight w:val="none"/>
              </w:rPr>
            </m:ctrlPr>
          </m:e>
          <m:sub>
            <m:r>
              <m:rPr/>
              <w:rPr>
                <w:rFonts w:ascii="Cambria Math" w:hAnsi="Cambria Math"/>
                <w:color w:val="auto"/>
                <w:highlight w:val="none"/>
              </w:rPr>
              <m:t>M</m:t>
            </m:r>
            <m:ctrlPr>
              <w:rPr>
                <w:rFonts w:ascii="Cambria Math" w:hAnsi="Cambria Math"/>
                <w:i/>
                <w:color w:val="auto"/>
                <w:highlight w:val="none"/>
              </w:rPr>
            </m:ctrlPr>
          </m:sub>
        </m:sSub>
        <m:r>
          <m:rPr/>
          <w:rPr>
            <w:rFonts w:ascii="Cambria Math" w:hAnsi="Cambria Math"/>
            <w:color w:val="auto"/>
            <w:highlight w:val="none"/>
          </w:rPr>
          <m:t xml:space="preserve">     </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a</m:t>
            </m:r>
            <m:ctrlPr>
              <w:rPr>
                <w:rFonts w:ascii="Cambria Math" w:hAnsi="Cambria Math"/>
                <w:i/>
                <w:color w:val="auto"/>
                <w:highlight w:val="none"/>
              </w:rPr>
            </m:ctrlPr>
          </m:sub>
        </m:sSub>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s</m:t>
            </m:r>
            <m:ctrlPr>
              <w:rPr>
                <w:rFonts w:ascii="Cambria Math" w:hAnsi="Cambria Math"/>
                <w:i/>
                <w:color w:val="auto"/>
                <w:highlight w:val="none"/>
              </w:rPr>
            </m:ctrlPr>
          </m:sub>
        </m:sSub>
        <m:r>
          <m:rPr/>
          <w:rPr>
            <w:rFonts w:ascii="Cambria Math" w:hAnsi="Cambria Math"/>
            <w:color w:val="auto"/>
            <w:highlight w:val="none"/>
          </w:rPr>
          <m:t xml:space="preserve">+π </m:t>
        </m:r>
      </m:oMath>
      <w:r>
        <w:rPr>
          <w:color w:val="auto"/>
          <w:highlight w:val="none"/>
        </w:rPr>
        <w:t xml:space="preserve">                 </w:t>
      </w:r>
      <w:r>
        <w:rPr>
          <w:rFonts w:hint="eastAsia"/>
          <w:color w:val="auto"/>
          <w:highlight w:val="none"/>
        </w:rPr>
        <w:t xml:space="preserve">  </w:t>
      </w:r>
      <w:r>
        <w:rPr>
          <w:color w:val="auto"/>
          <w:highlight w:val="none"/>
        </w:rPr>
        <w:t xml:space="preserve">    (A.9)</w:t>
      </w:r>
    </w:p>
    <w:p w14:paraId="27605D50">
      <w:pPr>
        <w:ind w:firstLine="420"/>
        <w:rPr>
          <w:color w:val="auto"/>
          <w:highlight w:val="none"/>
        </w:rPr>
      </w:pPr>
      <w:r>
        <w:rPr>
          <w:color w:val="auto"/>
          <w:highlight w:val="none"/>
        </w:rPr>
        <w:t>(5)同上，将加速度计输出采样序列{u(t</w:t>
      </w:r>
      <w:r>
        <w:rPr>
          <w:rFonts w:hint="eastAsia"/>
          <w:color w:val="auto"/>
          <w:highlight w:val="none"/>
          <w:vertAlign w:val="subscript"/>
        </w:rPr>
        <w:t>i</w:t>
      </w:r>
      <w:r>
        <w:rPr>
          <w:rFonts w:hint="eastAsia"/>
          <w:color w:val="auto"/>
          <w:highlight w:val="none"/>
        </w:rPr>
        <w:t>)</w:t>
      </w:r>
      <w:r>
        <w:rPr>
          <w:color w:val="auto"/>
          <w:highlight w:val="none"/>
        </w:rPr>
        <w:t>}代入（A.7)式改写，对下列N+1个方程组求解：</w:t>
      </w:r>
      <w:r>
        <w:rPr>
          <w:rFonts w:hint="eastAsia"/>
          <w:color w:val="auto"/>
          <w:highlight w:val="none"/>
        </w:rPr>
        <w:t xml:space="preserve">     </w:t>
      </w:r>
    </w:p>
    <w:p w14:paraId="09FCE095">
      <w:pPr>
        <w:ind w:firstLine="2730" w:firstLineChars="1300"/>
        <w:rPr>
          <w:color w:val="auto"/>
          <w:highlight w:val="none"/>
        </w:rPr>
      </w:pPr>
      <m:oMath>
        <m:r>
          <m:rPr/>
          <w:rPr>
            <w:rFonts w:ascii="Cambria Math" w:hAnsi="Cambria Math"/>
            <w:color w:val="auto"/>
            <w:highlight w:val="none"/>
          </w:rPr>
          <m:t xml:space="preserve"> u</m:t>
        </m:r>
        <m:d>
          <m:dPr>
            <m:ctrlPr>
              <w:rPr>
                <w:rFonts w:ascii="Cambria Math" w:hAnsi="Cambria Math"/>
                <w:i/>
                <w:color w:val="auto"/>
                <w:highlight w:val="none"/>
              </w:rPr>
            </m:ctrlPr>
          </m:dPr>
          <m:e>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ctrlPr>
              <w:rPr>
                <w:rFonts w:ascii="Cambria Math" w:hAnsi="Cambria Math"/>
                <w:i/>
                <w:color w:val="auto"/>
                <w:highlight w:val="none"/>
              </w:rPr>
            </m:ctrlPr>
          </m:e>
        </m:d>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cosω</m:t>
        </m:r>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B</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sinω</m:t>
        </m:r>
        <m:sSub>
          <m:sSubPr>
            <m:ctrlPr>
              <w:rPr>
                <w:rFonts w:ascii="Cambria Math" w:hAnsi="Cambria Math"/>
                <w:i/>
                <w:color w:val="auto"/>
                <w:highlight w:val="none"/>
              </w:rPr>
            </m:ctrlPr>
          </m:sSubPr>
          <m:e>
            <m:r>
              <m:rPr/>
              <w:rPr>
                <w:rFonts w:ascii="Cambria Math" w:hAnsi="Cambria Math"/>
                <w:color w:val="auto"/>
                <w:highlight w:val="none"/>
              </w:rPr>
              <m:t>t</m:t>
            </m:r>
            <m:ctrlPr>
              <w:rPr>
                <w:rFonts w:ascii="Cambria Math" w:hAnsi="Cambria Math"/>
                <w:i/>
                <w:color w:val="auto"/>
                <w:highlight w:val="none"/>
              </w:rPr>
            </m:ctrlPr>
          </m:e>
          <m:sub>
            <m:r>
              <m:rPr/>
              <w:rPr>
                <w:rFonts w:ascii="Cambria Math" w:hAnsi="Cambria Math"/>
                <w:color w:val="auto"/>
                <w:highlight w:val="none"/>
              </w:rPr>
              <m:t>i</m:t>
            </m:r>
            <m:ctrlPr>
              <w:rPr>
                <w:rFonts w:ascii="Cambria Math" w:hAnsi="Cambria Math"/>
                <w:i/>
                <w:color w:val="auto"/>
                <w:highlight w:val="none"/>
              </w:rPr>
            </m:ctrlPr>
          </m:sub>
        </m:sSub>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C</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oMath>
      <w:r>
        <w:rPr>
          <w:color w:val="auto"/>
          <w:highlight w:val="none"/>
        </w:rPr>
        <w:t xml:space="preserve">              </w:t>
      </w:r>
      <w:r>
        <w:rPr>
          <w:rFonts w:hint="eastAsia"/>
          <w:color w:val="auto"/>
          <w:highlight w:val="none"/>
        </w:rPr>
        <w:t xml:space="preserve"> </w:t>
      </w:r>
      <w:r>
        <w:rPr>
          <w:color w:val="auto"/>
          <w:highlight w:val="none"/>
        </w:rPr>
        <w:t xml:space="preserve">   (A.10)</w:t>
      </w:r>
    </w:p>
    <w:p w14:paraId="663CF55D">
      <w:pPr>
        <w:rPr>
          <w:color w:val="auto"/>
          <w:highlight w:val="none"/>
        </w:rPr>
      </w:pPr>
      <w:r>
        <w:rPr>
          <w:color w:val="auto"/>
          <w:highlight w:val="none"/>
        </w:rPr>
        <w:t>式中</w:t>
      </w:r>
      <w:r>
        <w:rPr>
          <w:rFonts w:hint="eastAsia"/>
          <w:color w:val="auto"/>
          <w:highlight w:val="none"/>
        </w:rPr>
        <w:t xml:space="preserve">  </w:t>
      </w:r>
      <m:oMath>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m:t>
        </m:r>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r>
          <m:rPr/>
          <w:rPr>
            <w:rFonts w:ascii="Cambria Math" w:hAnsi="Cambria Math"/>
            <w:color w:val="auto"/>
            <w:highlight w:val="none"/>
          </w:rPr>
          <m:t>cos</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oMath>
      <w:r>
        <w:rPr>
          <w:color w:val="auto"/>
          <w:highlight w:val="none"/>
        </w:rPr>
        <w:t>；</w:t>
      </w:r>
    </w:p>
    <w:p w14:paraId="6D1E2D85">
      <w:pPr>
        <w:ind w:firstLine="630" w:firstLineChars="3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B</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m:t>
        </m:r>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r>
          <m:rPr/>
          <w:rPr>
            <w:rFonts w:ascii="Cambria Math" w:hAnsi="Cambria Math"/>
            <w:color w:val="auto"/>
            <w:highlight w:val="none"/>
          </w:rPr>
          <m:t>sin</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oMath>
      <w:r>
        <w:rPr>
          <w:color w:val="auto"/>
          <w:highlight w:val="none"/>
        </w:rPr>
        <w:t>；</w:t>
      </w:r>
    </w:p>
    <w:p w14:paraId="2B6D190A">
      <w:pPr>
        <w:ind w:firstLine="630" w:firstLineChars="3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C</m:t>
            </m:r>
            <m:ctrlPr>
              <w:rPr>
                <w:rFonts w:ascii="Cambria Math" w:hAnsi="Cambria Math"/>
                <w:i/>
                <w:color w:val="auto"/>
                <w:highlight w:val="none"/>
              </w:rPr>
            </m:ctrlPr>
          </m:e>
          <m:sub>
            <m:r>
              <m:rPr/>
              <w:rPr>
                <w:rFonts w:hint="eastAsia" w:ascii="Cambria Math" w:hAnsi="Cambria Math"/>
                <w:color w:val="auto"/>
                <w:highlight w:val="none"/>
              </w:rPr>
              <m:t>u</m:t>
            </m:r>
            <m:ctrlPr>
              <w:rPr>
                <w:rFonts w:ascii="Cambria Math" w:hAnsi="Cambria Math"/>
                <w:i/>
                <w:color w:val="auto"/>
                <w:highlight w:val="none"/>
              </w:rPr>
            </m:ctrlPr>
          </m:sub>
        </m:sSub>
      </m:oMath>
      <w:r>
        <w:rPr>
          <w:rFonts w:hint="eastAsia"/>
          <w:color w:val="auto"/>
          <w:highlight w:val="none"/>
        </w:rPr>
        <w:t>——</w:t>
      </w:r>
      <w:r>
        <w:rPr>
          <w:color w:val="auto"/>
          <w:highlight w:val="none"/>
        </w:rPr>
        <w:t>常数；</w:t>
      </w:r>
    </w:p>
    <w:p w14:paraId="04B1E387">
      <w:pPr>
        <w:ind w:firstLine="630" w:firstLineChars="300"/>
        <w:rPr>
          <w:color w:val="auto"/>
          <w:highlight w:val="none"/>
        </w:rPr>
      </w:pPr>
      <m:oMath>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oMath>
      <w:r>
        <w:rPr>
          <w:rFonts w:hint="eastAsia"/>
          <w:color w:val="auto"/>
          <w:highlight w:val="none"/>
        </w:rPr>
        <w:t>——</w:t>
      </w:r>
      <w:r>
        <w:rPr>
          <w:color w:val="auto"/>
          <w:highlight w:val="none"/>
        </w:rPr>
        <w:t>加速度计输出的幅值；</w:t>
      </w:r>
    </w:p>
    <w:p w14:paraId="29305A1D">
      <w:pPr>
        <w:ind w:firstLine="630" w:firstLineChars="3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oMath>
      <w:r>
        <w:rPr>
          <w:rFonts w:hint="eastAsia"/>
          <w:color w:val="auto"/>
          <w:highlight w:val="none"/>
        </w:rPr>
        <w:t>——</w:t>
      </w:r>
      <w:r>
        <w:rPr>
          <w:color w:val="auto"/>
          <w:highlight w:val="none"/>
        </w:rPr>
        <w:t>加速度计输出的初相位。</w:t>
      </w:r>
    </w:p>
    <w:p w14:paraId="2719F2CC">
      <w:pPr>
        <w:ind w:firstLine="420"/>
        <w:rPr>
          <w:color w:val="auto"/>
          <w:highlight w:val="none"/>
        </w:rPr>
      </w:pPr>
      <w:r>
        <w:rPr>
          <w:color w:val="auto"/>
          <w:highlight w:val="none"/>
        </w:rPr>
        <w:t>(6)计算加速度计输出信号的幅值</w:t>
      </w:r>
      <m:oMath>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oMath>
      <w:r>
        <w:rPr>
          <w:color w:val="auto"/>
          <w:highlight w:val="none"/>
        </w:rPr>
        <w:t>和初相位角</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u</m:t>
            </m:r>
            <m:ctrlPr>
              <w:rPr>
                <w:rFonts w:ascii="Cambria Math" w:hAnsi="Cambria Math"/>
                <w:i/>
                <w:color w:val="auto"/>
                <w:highlight w:val="none"/>
              </w:rPr>
            </m:ctrlPr>
          </m:sub>
        </m:sSub>
      </m:oMath>
      <w:r>
        <w:rPr>
          <w:color w:val="auto"/>
          <w:highlight w:val="none"/>
        </w:rPr>
        <w:t>:</w:t>
      </w:r>
    </w:p>
    <w:p w14:paraId="0838EC33">
      <w:pPr>
        <w:rPr>
          <w:color w:val="auto"/>
          <w:highlight w:val="none"/>
        </w:rPr>
      </w:pPr>
      <w:r>
        <w:rPr>
          <w:rFonts w:hint="eastAsia"/>
          <w:color w:val="auto"/>
          <w:highlight w:val="none"/>
        </w:rPr>
        <w:t xml:space="preserve">                          </w:t>
      </w:r>
      <m:oMath>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r>
          <m:rPr/>
          <w:rPr>
            <w:rFonts w:ascii="Cambria Math" w:hAnsi="Cambria Math"/>
            <w:color w:val="auto"/>
            <w:highlight w:val="none"/>
          </w:rPr>
          <m:t>=</m:t>
        </m:r>
        <m:rad>
          <m:radPr>
            <m:degHide m:val="1"/>
            <m:ctrlPr>
              <w:rPr>
                <w:rFonts w:ascii="Cambria Math" w:hAnsi="Cambria Math"/>
                <w:i/>
                <w:color w:val="auto"/>
                <w:highlight w:val="none"/>
              </w:rPr>
            </m:ctrlPr>
          </m:radPr>
          <m:deg>
            <m:ctrlPr>
              <w:rPr>
                <w:rFonts w:ascii="Cambria Math" w:hAnsi="Cambria Math"/>
                <w:i/>
                <w:color w:val="auto"/>
                <w:highlight w:val="none"/>
              </w:rPr>
            </m:ctrlPr>
          </m:deg>
          <m:e>
            <m:sSup>
              <m:sSupPr>
                <m:ctrlPr>
                  <w:rPr>
                    <w:rFonts w:ascii="Cambria Math" w:hAnsi="Cambria Math"/>
                    <w:i/>
                    <w:color w:val="auto"/>
                    <w:highlight w:val="none"/>
                  </w:rPr>
                </m:ctrlPr>
              </m:sSupPr>
              <m:e>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B</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ctrlPr>
              <w:rPr>
                <w:rFonts w:ascii="Cambria Math" w:hAnsi="Cambria Math"/>
                <w:i/>
                <w:color w:val="auto"/>
                <w:highlight w:val="none"/>
              </w:rPr>
            </m:ctrlPr>
          </m:e>
        </m:rad>
        <m:r>
          <m:rPr/>
          <w:rPr>
            <w:rFonts w:ascii="Cambria Math" w:hAnsi="Cambria Math"/>
            <w:color w:val="auto"/>
            <w:highlight w:val="none"/>
          </w:rPr>
          <m:t xml:space="preserve">      </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=arctan</m:t>
        </m:r>
        <m:f>
          <m:fPr>
            <m:ctrlPr>
              <w:rPr>
                <w:rFonts w:ascii="Cambria Math" w:hAnsi="Cambria Math"/>
                <w:i/>
                <w:color w:val="auto"/>
                <w:highlight w:val="none"/>
              </w:rPr>
            </m:ctrlPr>
          </m:fPr>
          <m:num>
            <m:sSub>
              <m:sSubPr>
                <m:ctrlPr>
                  <w:rPr>
                    <w:rFonts w:ascii="Cambria Math" w:hAnsi="Cambria Math"/>
                    <w:i/>
                    <w:color w:val="auto"/>
                    <w:highlight w:val="none"/>
                  </w:rPr>
                </m:ctrlPr>
              </m:sSubPr>
              <m:e>
                <m:r>
                  <m:rPr/>
                  <w:rPr>
                    <w:rFonts w:ascii="Cambria Math" w:hAnsi="Cambria Math"/>
                    <w:color w:val="auto"/>
                    <w:highlight w:val="none"/>
                  </w:rPr>
                  <m:t>B</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 xml:space="preserve"> </m:t>
            </m:r>
            <m:ctrlPr>
              <w:rPr>
                <w:rFonts w:ascii="Cambria Math" w:hAnsi="Cambria Math"/>
                <w:i/>
                <w:color w:val="auto"/>
                <w:highlight w:val="none"/>
              </w:rPr>
            </m:ctrlPr>
          </m:num>
          <m:den>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u</m:t>
                </m:r>
                <m:ctrlPr>
                  <w:rPr>
                    <w:rFonts w:ascii="Cambria Math" w:hAnsi="Cambria Math"/>
                    <w:i/>
                    <w:color w:val="auto"/>
                    <w:highlight w:val="none"/>
                  </w:rPr>
                </m:ctrlPr>
              </m:sub>
            </m:sSub>
            <m:ctrlPr>
              <w:rPr>
                <w:rFonts w:ascii="Cambria Math" w:hAnsi="Cambria Math"/>
                <w:i/>
                <w:color w:val="auto"/>
                <w:highlight w:val="none"/>
              </w:rPr>
            </m:ctrlPr>
          </m:den>
        </m:f>
      </m:oMath>
      <w:r>
        <w:rPr>
          <w:color w:val="auto"/>
          <w:highlight w:val="none"/>
        </w:rPr>
        <w:t xml:space="preserve"> </w:t>
      </w:r>
      <w:r>
        <w:rPr>
          <w:rFonts w:hint="eastAsia"/>
          <w:color w:val="auto"/>
          <w:highlight w:val="none"/>
        </w:rPr>
        <w:t xml:space="preserve">                  </w:t>
      </w:r>
      <w:r>
        <w:rPr>
          <w:color w:val="auto"/>
          <w:highlight w:val="none"/>
        </w:rPr>
        <w:t>(A.11)</w:t>
      </w:r>
    </w:p>
    <w:p w14:paraId="7D47451A">
      <w:pPr>
        <w:ind w:firstLine="420"/>
        <w:rPr>
          <w:color w:val="auto"/>
          <w:highlight w:val="none"/>
        </w:rPr>
      </w:pPr>
      <w:r>
        <w:rPr>
          <w:color w:val="auto"/>
          <w:highlight w:val="none"/>
        </w:rPr>
        <w:t>(7)由求得的</w:t>
      </w:r>
      <m:oMath>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oMath>
      <w:r>
        <w:rPr>
          <w:color w:val="auto"/>
          <w:highlight w:val="none"/>
        </w:rPr>
        <w:t>、</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u</m:t>
            </m:r>
            <m:ctrlPr>
              <w:rPr>
                <w:rFonts w:ascii="Cambria Math" w:hAnsi="Cambria Math"/>
                <w:i/>
                <w:color w:val="auto"/>
                <w:highlight w:val="none"/>
              </w:rPr>
            </m:ctrlPr>
          </m:sub>
        </m:sSub>
      </m:oMath>
      <w:r>
        <w:rPr>
          <w:color w:val="auto"/>
          <w:highlight w:val="none"/>
        </w:rPr>
        <w:t>、</w:t>
      </w:r>
      <m:oMath>
        <m:acc>
          <m:accPr>
            <m:ctrlPr>
              <w:rPr>
                <w:rFonts w:ascii="Cambria Math" w:hAnsi="Cambria Math"/>
                <w:i/>
                <w:color w:val="auto"/>
                <w:highlight w:val="none"/>
              </w:rPr>
            </m:ctrlPr>
          </m:accPr>
          <m:e>
            <m:r>
              <m:rPr/>
              <w:rPr>
                <w:rFonts w:ascii="Cambria Math" w:hAnsi="Cambria Math"/>
                <w:color w:val="auto"/>
                <w:highlight w:val="none"/>
              </w:rPr>
              <m:t>a</m:t>
            </m:r>
            <m:ctrlPr>
              <w:rPr>
                <w:rFonts w:ascii="Cambria Math" w:hAnsi="Cambria Math"/>
                <w:i/>
                <w:color w:val="auto"/>
                <w:highlight w:val="none"/>
              </w:rPr>
            </m:ctrlPr>
          </m:e>
        </m:acc>
      </m:oMath>
      <w:r>
        <w:rPr>
          <w:color w:val="auto"/>
          <w:highlight w:val="none"/>
        </w:rPr>
        <w:t>和</w:t>
      </w:r>
      <m:oMath>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a</m:t>
            </m:r>
            <m:ctrlPr>
              <w:rPr>
                <w:rFonts w:ascii="Cambria Math" w:hAnsi="Cambria Math"/>
                <w:i/>
                <w:color w:val="auto"/>
                <w:highlight w:val="none"/>
              </w:rPr>
            </m:ctrlPr>
          </m:sub>
        </m:sSub>
      </m:oMath>
      <w:r>
        <w:rPr>
          <w:color w:val="auto"/>
          <w:highlight w:val="none"/>
        </w:rPr>
        <w:t>的值，计算加速度计复灵敏度幅值</w:t>
      </w:r>
      <m:oMath>
        <m:acc>
          <m:accPr>
            <m:ctrlPr>
              <w:rPr>
                <w:rFonts w:ascii="Cambria Math" w:hAnsi="Cambria Math"/>
                <w:i/>
                <w:color w:val="auto"/>
                <w:highlight w:val="none"/>
              </w:rPr>
            </m:ctrlPr>
          </m:accPr>
          <m:e>
            <m:r>
              <m:rPr/>
              <w:rPr>
                <w:rFonts w:ascii="Cambria Math" w:hAnsi="Cambria Math"/>
                <w:color w:val="auto"/>
                <w:highlight w:val="none"/>
              </w:rPr>
              <m:t>S</m:t>
            </m:r>
            <m:ctrlPr>
              <w:rPr>
                <w:rFonts w:ascii="Cambria Math" w:hAnsi="Cambria Math"/>
                <w:i/>
                <w:color w:val="auto"/>
                <w:highlight w:val="none"/>
              </w:rPr>
            </m:ctrlPr>
          </m:e>
        </m:acc>
      </m:oMath>
      <w:r>
        <w:rPr>
          <w:color w:val="auto"/>
          <w:highlight w:val="none"/>
        </w:rPr>
        <w:t>和相移</w:t>
      </w:r>
      <m:oMath>
        <m:r>
          <m:rPr/>
          <w:rPr>
            <w:rFonts w:ascii="Cambria Math" w:hAnsi="Cambria Math"/>
            <w:color w:val="auto"/>
            <w:highlight w:val="none"/>
          </w:rPr>
          <m:t>∆φ</m:t>
        </m:r>
      </m:oMath>
      <w:r>
        <w:rPr>
          <w:color w:val="auto"/>
          <w:highlight w:val="none"/>
        </w:rPr>
        <w:t>：</w:t>
      </w:r>
    </w:p>
    <w:p w14:paraId="64ED86D2">
      <w:pPr>
        <w:rPr>
          <w:color w:val="auto"/>
          <w:highlight w:val="none"/>
        </w:rPr>
      </w:pP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w:t>
      </w:r>
      <m:oMath>
        <m:acc>
          <m:accPr>
            <m:ctrlPr>
              <w:rPr>
                <w:rFonts w:ascii="Cambria Math" w:hAnsi="Cambria Math"/>
                <w:i/>
                <w:color w:val="auto"/>
                <w:highlight w:val="none"/>
              </w:rPr>
            </m:ctrlPr>
          </m:accPr>
          <m:e>
            <m:r>
              <m:rPr/>
              <w:rPr>
                <w:rFonts w:ascii="Cambria Math" w:hAnsi="Cambria Math"/>
                <w:color w:val="auto"/>
                <w:highlight w:val="none"/>
              </w:rPr>
              <m:t>S</m:t>
            </m:r>
            <m:ctrlPr>
              <w:rPr>
                <w:rFonts w:ascii="Cambria Math" w:hAnsi="Cambria Math"/>
                <w:i/>
                <w:color w:val="auto"/>
                <w:highlight w:val="none"/>
              </w:rPr>
            </m:ctrlPr>
          </m:e>
        </m:acc>
        <m:r>
          <m:rPr/>
          <w:rPr>
            <w:rFonts w:ascii="Cambria Math" w:hAnsi="Cambria Math"/>
            <w:color w:val="auto"/>
            <w:highlight w:val="none"/>
          </w:rPr>
          <m:t>=</m:t>
        </m:r>
        <m:f>
          <m:fPr>
            <m:ctrlPr>
              <w:rPr>
                <w:rFonts w:ascii="Cambria Math" w:hAnsi="Cambria Math"/>
                <w:i/>
                <w:color w:val="auto"/>
                <w:highlight w:val="none"/>
              </w:rPr>
            </m:ctrlPr>
          </m:fPr>
          <m:num>
            <m:acc>
              <m:accPr>
                <m:ctrlPr>
                  <w:rPr>
                    <w:rFonts w:ascii="Cambria Math" w:hAnsi="Cambria Math"/>
                    <w:i/>
                    <w:color w:val="auto"/>
                    <w:highlight w:val="none"/>
                  </w:rPr>
                </m:ctrlPr>
              </m:accPr>
              <m:e>
                <m:r>
                  <m:rPr/>
                  <w:rPr>
                    <w:rFonts w:ascii="Cambria Math" w:hAnsi="Cambria Math"/>
                    <w:color w:val="auto"/>
                    <w:highlight w:val="none"/>
                  </w:rPr>
                  <m:t>u</m:t>
                </m:r>
                <m:ctrlPr>
                  <w:rPr>
                    <w:rFonts w:ascii="Cambria Math" w:hAnsi="Cambria Math"/>
                    <w:i/>
                    <w:color w:val="auto"/>
                    <w:highlight w:val="none"/>
                  </w:rPr>
                </m:ctrlPr>
              </m:e>
            </m:acc>
            <m:ctrlPr>
              <w:rPr>
                <w:rFonts w:ascii="Cambria Math" w:hAnsi="Cambria Math"/>
                <w:i/>
                <w:color w:val="auto"/>
                <w:highlight w:val="none"/>
              </w:rPr>
            </m:ctrlPr>
          </m:num>
          <m:den>
            <m:acc>
              <m:accPr>
                <m:ctrlPr>
                  <w:rPr>
                    <w:rFonts w:ascii="Cambria Math" w:hAnsi="Cambria Math"/>
                    <w:i/>
                    <w:color w:val="auto"/>
                    <w:highlight w:val="none"/>
                  </w:rPr>
                </m:ctrlPr>
              </m:accPr>
              <m:e>
                <m:r>
                  <m:rPr/>
                  <w:rPr>
                    <w:rFonts w:ascii="Cambria Math" w:hAnsi="Cambria Math"/>
                    <w:color w:val="auto"/>
                    <w:highlight w:val="none"/>
                  </w:rPr>
                  <m:t>a</m:t>
                </m:r>
                <m:ctrlPr>
                  <w:rPr>
                    <w:rFonts w:ascii="Cambria Math" w:hAnsi="Cambria Math"/>
                    <w:i/>
                    <w:color w:val="auto"/>
                    <w:highlight w:val="none"/>
                  </w:rPr>
                </m:ctrlPr>
              </m:e>
            </m:acc>
            <m:ctrlPr>
              <w:rPr>
                <w:rFonts w:ascii="Cambria Math" w:hAnsi="Cambria Math"/>
                <w:i/>
                <w:color w:val="auto"/>
                <w:highlight w:val="none"/>
              </w:rPr>
            </m:ctrlPr>
          </m:den>
        </m:f>
        <m:r>
          <m:rPr/>
          <w:rPr>
            <w:rFonts w:ascii="Cambria Math" w:hAnsi="Cambria Math"/>
            <w:color w:val="auto"/>
            <w:highlight w:val="none"/>
          </w:rPr>
          <m:t xml:space="preserve">     ∆φ=</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hint="eastAsia" w:ascii="Cambria Math" w:hAnsi="Cambria Math"/>
                <w:color w:val="auto"/>
                <w:highlight w:val="none"/>
              </w:rPr>
              <m:t>u</m:t>
            </m:r>
            <m:ctrlPr>
              <w:rPr>
                <w:rFonts w:ascii="Cambria Math" w:hAnsi="Cambria Math"/>
                <w:i/>
                <w:color w:val="auto"/>
                <w:highlight w:val="none"/>
              </w:rPr>
            </m:ctrlPr>
          </m:sub>
        </m:sSub>
        <m:r>
          <m:rPr/>
          <w:rPr>
            <w:rFonts w:ascii="Cambria Math" w:hAnsi="Cambria Math"/>
            <w:color w:val="auto"/>
            <w:highlight w:val="none"/>
          </w:rPr>
          <m:t>−</m:t>
        </m:r>
        <m:sSub>
          <m:sSubPr>
            <m:ctrlPr>
              <w:rPr>
                <w:rFonts w:ascii="Cambria Math" w:hAnsi="Cambria Math"/>
                <w:i/>
                <w:color w:val="auto"/>
                <w:highlight w:val="none"/>
              </w:rPr>
            </m:ctrlPr>
          </m:sSubPr>
          <m:e>
            <m:r>
              <m:rPr/>
              <w:rPr>
                <w:rFonts w:ascii="Cambria Math" w:hAnsi="Cambria Math"/>
                <w:color w:val="auto"/>
                <w:highlight w:val="none"/>
              </w:rPr>
              <m:t>φ</m:t>
            </m:r>
            <m:ctrlPr>
              <w:rPr>
                <w:rFonts w:ascii="Cambria Math" w:hAnsi="Cambria Math"/>
                <w:i/>
                <w:color w:val="auto"/>
                <w:highlight w:val="none"/>
              </w:rPr>
            </m:ctrlPr>
          </m:e>
          <m:sub>
            <m:r>
              <m:rPr/>
              <w:rPr>
                <w:rFonts w:ascii="Cambria Math" w:hAnsi="Cambria Math"/>
                <w:color w:val="auto"/>
                <w:highlight w:val="none"/>
              </w:rPr>
              <m:t>a</m:t>
            </m:r>
            <m:ctrlPr>
              <w:rPr>
                <w:rFonts w:ascii="Cambria Math" w:hAnsi="Cambria Math"/>
                <w:i/>
                <w:color w:val="auto"/>
                <w:highlight w:val="none"/>
              </w:rPr>
            </m:ctrlPr>
          </m:sub>
        </m:sSub>
      </m:oMath>
      <w:r>
        <w:rPr>
          <w:color w:val="auto"/>
          <w:highlight w:val="none"/>
        </w:rPr>
        <w:t xml:space="preserve">           </w:t>
      </w:r>
      <w:r>
        <w:rPr>
          <w:rFonts w:hint="eastAsia"/>
          <w:color w:val="auto"/>
          <w:highlight w:val="none"/>
        </w:rPr>
        <w:t xml:space="preserve">        </w:t>
      </w:r>
      <w:r>
        <w:rPr>
          <w:color w:val="auto"/>
          <w:highlight w:val="none"/>
        </w:rPr>
        <w:t xml:space="preserve">    (A.12)</w:t>
      </w:r>
    </w:p>
    <w:p w14:paraId="7CAFD404">
      <w:pPr>
        <w:rPr>
          <w:color w:val="auto"/>
          <w:highlight w:val="none"/>
        </w:rPr>
      </w:pPr>
      <w:r>
        <w:rPr>
          <w:color w:val="auto"/>
          <w:highlight w:val="none"/>
        </w:rPr>
        <w:br w:type="page"/>
      </w:r>
    </w:p>
    <w:p w14:paraId="60AAD662">
      <w:pPr>
        <w:rPr>
          <w:b/>
          <w:bCs/>
          <w:color w:val="auto"/>
          <w:sz w:val="24"/>
          <w:highlight w:val="none"/>
        </w:rPr>
      </w:pPr>
      <w:r>
        <w:rPr>
          <w:b/>
          <w:bCs/>
          <w:color w:val="auto"/>
          <w:sz w:val="24"/>
          <w:highlight w:val="none"/>
        </w:rPr>
        <w:t>附录B</w:t>
      </w:r>
    </w:p>
    <w:p w14:paraId="47A2E2D0">
      <w:pPr>
        <w:rPr>
          <w:b/>
          <w:bCs/>
          <w:color w:val="auto"/>
          <w:sz w:val="24"/>
          <w:highlight w:val="none"/>
        </w:rPr>
      </w:pPr>
    </w:p>
    <w:p w14:paraId="2B2AB61A">
      <w:pPr>
        <w:jc w:val="center"/>
        <w:rPr>
          <w:b/>
          <w:bCs/>
          <w:color w:val="auto"/>
          <w:sz w:val="24"/>
          <w:highlight w:val="none"/>
        </w:rPr>
      </w:pPr>
      <w:r>
        <w:rPr>
          <w:b/>
          <w:bCs/>
          <w:color w:val="auto"/>
          <w:sz w:val="24"/>
          <w:highlight w:val="none"/>
        </w:rPr>
        <w:t>加速度计其他性能的检测方法和数据处理</w:t>
      </w:r>
    </w:p>
    <w:p w14:paraId="12E6A14D">
      <w:pPr>
        <w:rPr>
          <w:b/>
          <w:bCs/>
          <w:color w:val="auto"/>
          <w:sz w:val="24"/>
          <w:highlight w:val="none"/>
        </w:rPr>
      </w:pPr>
    </w:p>
    <w:p w14:paraId="3905119F">
      <w:pPr>
        <w:rPr>
          <w:color w:val="auto"/>
          <w:highlight w:val="none"/>
        </w:rPr>
      </w:pPr>
      <w:r>
        <w:rPr>
          <w:color w:val="auto"/>
          <w:highlight w:val="none"/>
        </w:rPr>
        <w:t>B.1</w:t>
      </w:r>
      <w:r>
        <w:rPr>
          <w:rFonts w:hint="eastAsia"/>
          <w:color w:val="auto"/>
          <w:highlight w:val="none"/>
        </w:rPr>
        <w:t xml:space="preserve">  </w:t>
      </w:r>
      <w:r>
        <w:rPr>
          <w:color w:val="auto"/>
          <w:highlight w:val="none"/>
        </w:rPr>
        <w:t>安装谐振频率‘</w:t>
      </w:r>
    </w:p>
    <w:p w14:paraId="5BB7016D">
      <w:pPr>
        <w:ind w:firstLine="420"/>
        <w:rPr>
          <w:color w:val="auto"/>
          <w:highlight w:val="none"/>
        </w:rPr>
      </w:pPr>
      <w:r>
        <w:rPr>
          <w:color w:val="auto"/>
          <w:highlight w:val="none"/>
        </w:rPr>
        <w:t>(1)连续扫描法</w:t>
      </w:r>
    </w:p>
    <w:p w14:paraId="02EDACCB">
      <w:pPr>
        <w:ind w:firstLine="420"/>
        <w:rPr>
          <w:color w:val="auto"/>
          <w:highlight w:val="none"/>
        </w:rPr>
      </w:pPr>
      <w:r>
        <w:rPr>
          <w:color w:val="auto"/>
          <w:highlight w:val="none"/>
        </w:rPr>
        <w:t>用自动扫描装置，使被检加速度计承受恒定加速度，变频扫描并记录其输出随频率变化的曲线，确定出安装谐振频率。</w:t>
      </w:r>
    </w:p>
    <w:p w14:paraId="0A9EDF69">
      <w:pPr>
        <w:ind w:firstLine="420"/>
        <w:rPr>
          <w:color w:val="auto"/>
          <w:highlight w:val="none"/>
        </w:rPr>
      </w:pPr>
      <w:r>
        <w:rPr>
          <w:color w:val="auto"/>
          <w:highlight w:val="none"/>
        </w:rPr>
        <w:t>(2)冲击法</w:t>
      </w:r>
    </w:p>
    <w:p w14:paraId="33AF689D">
      <w:pPr>
        <w:ind w:firstLine="420"/>
        <w:rPr>
          <w:rFonts w:ascii="Times New Roman"/>
          <w:color w:val="auto"/>
          <w:szCs w:val="21"/>
          <w:highlight w:val="none"/>
        </w:rPr>
      </w:pPr>
      <w:r>
        <w:rPr>
          <w:color w:val="auto"/>
          <w:highlight w:val="none"/>
        </w:rPr>
        <w:t>按规定的安装力矩将被检加速度计安装在钢砧上，并将其悬挂，用力锤敲击钢砧产生激励作为冲击源；或者可以</w:t>
      </w:r>
      <w:r>
        <w:rPr>
          <w:rFonts w:hint="eastAsia" w:ascii="Times New Roman"/>
          <w:color w:val="auto"/>
          <w:szCs w:val="21"/>
          <w:highlight w:val="none"/>
        </w:rPr>
        <w:t>通过使玻璃或石墨棒在棒的一端断裂产生激励作为冲击源；也可以通过两个球的碰撞产生激励作为冲击源</w:t>
      </w:r>
      <w:r>
        <w:rPr>
          <w:color w:val="auto"/>
          <w:highlight w:val="none"/>
        </w:rPr>
        <w:t>；通过测量传递函数或分析被检加速度计的输出，获得加速度计的安装谐振频率。</w:t>
      </w:r>
    </w:p>
    <w:p w14:paraId="02101110">
      <w:pPr>
        <w:rPr>
          <w:color w:val="auto"/>
          <w:highlight w:val="none"/>
        </w:rPr>
      </w:pPr>
      <w:r>
        <w:rPr>
          <w:color w:val="auto"/>
          <w:highlight w:val="none"/>
        </w:rPr>
        <w:t>B.</w:t>
      </w:r>
      <w:r>
        <w:rPr>
          <w:rFonts w:hint="eastAsia"/>
          <w:color w:val="auto"/>
          <w:highlight w:val="none"/>
        </w:rPr>
        <w:t xml:space="preserve">2  </w:t>
      </w:r>
      <w:r>
        <w:rPr>
          <w:color w:val="auto"/>
          <w:highlight w:val="none"/>
        </w:rPr>
        <w:t>温度响应</w:t>
      </w:r>
    </w:p>
    <w:p w14:paraId="60F76B6A">
      <w:pPr>
        <w:ind w:firstLine="420"/>
        <w:rPr>
          <w:color w:val="auto"/>
          <w:highlight w:val="none"/>
        </w:rPr>
      </w:pPr>
      <w:r>
        <w:rPr>
          <w:color w:val="auto"/>
          <w:highlight w:val="none"/>
        </w:rPr>
        <w:t>通常采用绝对法或比较法进行温度响应测试。绝对法测试可以采用条纹计数法（给出灵敏度幅值）或正弦逼近法（给出灵敏度幅值和相移），该方法适用的温度范围为-190℃</w:t>
      </w:r>
      <w:r>
        <w:rPr>
          <w:rFonts w:hint="eastAsia"/>
          <w:color w:val="auto"/>
          <w:highlight w:val="none"/>
        </w:rPr>
        <w:t>～8</w:t>
      </w:r>
      <w:r>
        <w:rPr>
          <w:color w:val="auto"/>
          <w:highlight w:val="none"/>
        </w:rPr>
        <w:t>00℃，频率范围为</w:t>
      </w:r>
      <w:r>
        <w:rPr>
          <w:rFonts w:hint="eastAsia"/>
          <w:color w:val="auto"/>
          <w:highlight w:val="none"/>
        </w:rPr>
        <w:t>1</w:t>
      </w:r>
      <w:r>
        <w:rPr>
          <w:color w:val="auto"/>
          <w:highlight w:val="none"/>
        </w:rPr>
        <w:t>0Hz</w:t>
      </w:r>
      <w:r>
        <w:rPr>
          <w:rFonts w:hint="eastAsia"/>
          <w:color w:val="auto"/>
          <w:highlight w:val="none"/>
        </w:rPr>
        <w:t>～3</w:t>
      </w:r>
      <w:r>
        <w:rPr>
          <w:color w:val="auto"/>
          <w:highlight w:val="none"/>
        </w:rPr>
        <w:t>000Hz</w:t>
      </w:r>
      <w:r>
        <w:rPr>
          <w:rFonts w:hint="eastAsia"/>
          <w:color w:val="auto"/>
          <w:highlight w:val="none"/>
        </w:rPr>
        <w:t>。</w:t>
      </w:r>
      <w:r>
        <w:rPr>
          <w:color w:val="auto"/>
          <w:highlight w:val="none"/>
        </w:rPr>
        <w:t>比较法测试可以采用</w:t>
      </w:r>
      <w:r>
        <w:rPr>
          <w:rFonts w:hint="eastAsia"/>
          <w:color w:val="auto"/>
          <w:highlight w:val="none"/>
        </w:rPr>
        <w:t>标准</w:t>
      </w:r>
      <w:r>
        <w:rPr>
          <w:color w:val="auto"/>
          <w:highlight w:val="none"/>
        </w:rPr>
        <w:t>加速度计在温度试验箱内的比较法，该方法要求使用的</w:t>
      </w:r>
      <w:r>
        <w:rPr>
          <w:rFonts w:hint="eastAsia"/>
          <w:color w:val="auto"/>
          <w:highlight w:val="none"/>
        </w:rPr>
        <w:t>标准</w:t>
      </w:r>
      <w:r>
        <w:rPr>
          <w:color w:val="auto"/>
          <w:highlight w:val="none"/>
        </w:rPr>
        <w:t>加速度计温度响应已知，可以给出被检加速度计复灵敏度的偏差，适用的温度范围为-70℃</w:t>
      </w:r>
      <w:r>
        <w:rPr>
          <w:rFonts w:hint="eastAsia"/>
          <w:color w:val="auto"/>
          <w:highlight w:val="none"/>
        </w:rPr>
        <w:t>～</w:t>
      </w:r>
      <w:r>
        <w:rPr>
          <w:color w:val="auto"/>
          <w:highlight w:val="none"/>
        </w:rPr>
        <w:t>500℃，频率范围为</w:t>
      </w:r>
      <w:r>
        <w:rPr>
          <w:rFonts w:hint="eastAsia"/>
          <w:color w:val="auto"/>
          <w:highlight w:val="none"/>
        </w:rPr>
        <w:t>1</w:t>
      </w:r>
      <w:r>
        <w:rPr>
          <w:color w:val="auto"/>
          <w:highlight w:val="none"/>
        </w:rPr>
        <w:t>0Hz</w:t>
      </w:r>
      <w:r>
        <w:rPr>
          <w:rFonts w:hint="eastAsia"/>
          <w:color w:val="auto"/>
          <w:highlight w:val="none"/>
        </w:rPr>
        <w:t>～</w:t>
      </w:r>
      <w:r>
        <w:rPr>
          <w:color w:val="auto"/>
          <w:highlight w:val="none"/>
        </w:rPr>
        <w:t>1000Hz；也可以采用</w:t>
      </w:r>
      <w:r>
        <w:rPr>
          <w:rFonts w:hint="eastAsia"/>
          <w:color w:val="auto"/>
          <w:highlight w:val="none"/>
        </w:rPr>
        <w:t>标准</w:t>
      </w:r>
      <w:r>
        <w:rPr>
          <w:color w:val="auto"/>
          <w:highlight w:val="none"/>
        </w:rPr>
        <w:t>加速度计在温度试验箱外的比较法，可以给出被检加速度计复灵敏度的偏差，适用的温度范围为-190℃</w:t>
      </w:r>
      <w:r>
        <w:rPr>
          <w:rFonts w:hint="eastAsia"/>
          <w:color w:val="auto"/>
          <w:highlight w:val="none"/>
        </w:rPr>
        <w:t>～</w:t>
      </w:r>
      <w:r>
        <w:rPr>
          <w:color w:val="auto"/>
          <w:highlight w:val="none"/>
        </w:rPr>
        <w:t>800℃，频率范围为</w:t>
      </w:r>
      <w:r>
        <w:rPr>
          <w:rFonts w:hint="eastAsia"/>
          <w:color w:val="auto"/>
          <w:highlight w:val="none"/>
        </w:rPr>
        <w:t>1</w:t>
      </w:r>
      <w:r>
        <w:rPr>
          <w:color w:val="auto"/>
          <w:highlight w:val="none"/>
        </w:rPr>
        <w:t>0Hz</w:t>
      </w:r>
      <w:r>
        <w:rPr>
          <w:rFonts w:hint="eastAsia"/>
          <w:color w:val="auto"/>
          <w:highlight w:val="none"/>
        </w:rPr>
        <w:t>～</w:t>
      </w:r>
      <w:r>
        <w:rPr>
          <w:color w:val="auto"/>
          <w:highlight w:val="none"/>
        </w:rPr>
        <w:t>1000Hz。</w:t>
      </w:r>
    </w:p>
    <w:p w14:paraId="2E5059C6">
      <w:pPr>
        <w:ind w:firstLine="420"/>
        <w:rPr>
          <w:color w:val="auto"/>
          <w:highlight w:val="none"/>
        </w:rPr>
      </w:pPr>
      <w:r>
        <w:rPr>
          <w:color w:val="auto"/>
          <w:highlight w:val="none"/>
        </w:rPr>
        <w:t>测试时，通过隔热的试验夹具（陶瓷杆），将被检加速度计刚性地安装到振动台上并置于温度试验箱之内，试验夹具</w:t>
      </w:r>
      <w:r>
        <w:rPr>
          <w:rFonts w:hint="eastAsia"/>
          <w:color w:val="auto"/>
          <w:highlight w:val="none"/>
        </w:rPr>
        <w:t>的最低谐振频率应远大于测试频率上限。</w:t>
      </w:r>
      <w:r>
        <w:rPr>
          <w:color w:val="auto"/>
          <w:highlight w:val="none"/>
        </w:rPr>
        <w:t>若使用绝对法测试需在温度试验箱开窗，使用激光测振仪测量陶瓷杆安装面的振动；若采用比较法校准，可以将被检加速度计和</w:t>
      </w:r>
      <w:r>
        <w:rPr>
          <w:rFonts w:hint="eastAsia"/>
          <w:color w:val="auto"/>
          <w:highlight w:val="none"/>
        </w:rPr>
        <w:t>标准</w:t>
      </w:r>
      <w:r>
        <w:rPr>
          <w:color w:val="auto"/>
          <w:highlight w:val="none"/>
        </w:rPr>
        <w:t>加速度同轴安装在陶瓷杆的两端，</w:t>
      </w:r>
      <w:r>
        <w:rPr>
          <w:rFonts w:hint="eastAsia"/>
          <w:color w:val="auto"/>
          <w:highlight w:val="none"/>
        </w:rPr>
        <w:t>标准</w:t>
      </w:r>
      <w:r>
        <w:rPr>
          <w:color w:val="auto"/>
          <w:highlight w:val="none"/>
        </w:rPr>
        <w:t>加速度计置于温度试验箱之外，也可以将被检加速度计与</w:t>
      </w:r>
      <w:r>
        <w:rPr>
          <w:rFonts w:hint="eastAsia"/>
          <w:color w:val="auto"/>
          <w:highlight w:val="none"/>
        </w:rPr>
        <w:t>标准</w:t>
      </w:r>
      <w:r>
        <w:rPr>
          <w:color w:val="auto"/>
          <w:highlight w:val="none"/>
        </w:rPr>
        <w:t>加速度计一同安装在温度箱内的夹具上。测试时，调节温度试验箱内的温度到选定温度值，为使被检加速度计温度达到稳定，对于质量小于100g的加速度计至少恒温15 min,质量大于100g小于500g的加速度计至少恒温30 min。</w:t>
      </w:r>
    </w:p>
    <w:p w14:paraId="0D8EBF7E">
      <w:pPr>
        <w:ind w:firstLine="420"/>
        <w:rPr>
          <w:color w:val="auto"/>
          <w:highlight w:val="none"/>
        </w:rPr>
      </w:pPr>
      <w:r>
        <w:rPr>
          <w:color w:val="auto"/>
          <w:highlight w:val="none"/>
        </w:rPr>
        <w:t>振动激励系统仅适用于横向振动小于轴向振动25%的已知频率点上的检定。在振动激励系统的选择和夹具的设计中，应考虑在测试的频率点上使被检加速度计与</w:t>
      </w:r>
      <w:r>
        <w:rPr>
          <w:rFonts w:hint="eastAsia"/>
          <w:color w:val="auto"/>
          <w:highlight w:val="none"/>
        </w:rPr>
        <w:t>标准</w:t>
      </w:r>
      <w:r>
        <w:rPr>
          <w:color w:val="auto"/>
          <w:highlight w:val="none"/>
        </w:rPr>
        <w:t>加速度计之间的相对运动小到可以忽略不计。</w:t>
      </w:r>
    </w:p>
    <w:p w14:paraId="59DACA87">
      <w:pPr>
        <w:ind w:firstLine="420"/>
        <w:rPr>
          <w:color w:val="auto"/>
          <w:highlight w:val="none"/>
        </w:rPr>
      </w:pPr>
      <w:r>
        <w:rPr>
          <w:color w:val="auto"/>
          <w:highlight w:val="none"/>
        </w:rPr>
        <w:t>在被检加速度计和信号适调仪一起使用的情况下，应进行系统校准。</w:t>
      </w:r>
    </w:p>
    <w:p w14:paraId="58E1D30B">
      <w:pPr>
        <w:ind w:firstLine="420"/>
        <w:rPr>
          <w:color w:val="auto"/>
          <w:highlight w:val="none"/>
        </w:rPr>
      </w:pPr>
      <w:r>
        <w:rPr>
          <w:color w:val="auto"/>
          <w:highlight w:val="none"/>
        </w:rPr>
        <w:t>对某一频率下的温度响应曲线，温度响应偏差用测试温度下的灵敏度与室温（23℃）下的灵敏度之差相对于室温灵敏度的百分数给出。在期望使用的温度范围内，所选择加速度计的温度响应偏差不超过15%。</w:t>
      </w:r>
    </w:p>
    <w:p w14:paraId="32A812B4">
      <w:pPr>
        <w:ind w:firstLine="420"/>
        <w:rPr>
          <w:color w:val="auto"/>
          <w:highlight w:val="none"/>
        </w:rPr>
      </w:pPr>
      <w:r>
        <w:rPr>
          <w:color w:val="auto"/>
          <w:highlight w:val="none"/>
        </w:rPr>
        <w:t>对某一温度下的频响曲线，灵敏度频响偏差用频率160Hz时的灵敏度与其他频率下灵敏度的偏差相对于它的百分数给出。</w:t>
      </w:r>
    </w:p>
    <w:p w14:paraId="14A11B1D">
      <w:pPr>
        <w:rPr>
          <w:color w:val="auto"/>
          <w:highlight w:val="none"/>
        </w:rPr>
      </w:pPr>
      <w:r>
        <w:rPr>
          <w:color w:val="auto"/>
          <w:highlight w:val="none"/>
        </w:rPr>
        <w:t>B.</w:t>
      </w:r>
      <w:r>
        <w:rPr>
          <w:rFonts w:hint="eastAsia"/>
          <w:color w:val="auto"/>
          <w:highlight w:val="none"/>
        </w:rPr>
        <w:t xml:space="preserve">3 </w:t>
      </w:r>
      <w:r>
        <w:rPr>
          <w:color w:val="auto"/>
          <w:highlight w:val="none"/>
        </w:rPr>
        <w:t>瞬变温度灵敏度</w:t>
      </w:r>
    </w:p>
    <w:p w14:paraId="4E845E87">
      <w:pPr>
        <w:ind w:firstLine="420"/>
        <w:rPr>
          <w:color w:val="auto"/>
          <w:highlight w:val="none"/>
        </w:rPr>
      </w:pPr>
      <w:r>
        <w:rPr>
          <w:color w:val="auto"/>
          <w:highlight w:val="none"/>
        </w:rPr>
        <w:t>将被检加速度计安装在一个质量约为加速度计质量10倍的铝块上。连接好记录仪，迅速地将加速度计和铝块沿灵敏轴方向浸入一个冰水槽，或与室温相差20℃±1℃的其他适当的液体中（迅速的程度以不引起冲击加速度信号输出为准）。测出加速度计最大输出的幅度和由零到达该幅度所需的时间。</w:t>
      </w:r>
    </w:p>
    <w:p w14:paraId="45819258">
      <w:pPr>
        <w:ind w:firstLine="420"/>
        <w:rPr>
          <w:color w:val="auto"/>
          <w:highlight w:val="none"/>
        </w:rPr>
      </w:pPr>
      <w:r>
        <w:rPr>
          <w:color w:val="auto"/>
          <w:highlight w:val="none"/>
        </w:rPr>
        <w:t>加速度计应与配套的适调仪一起进行试验，并将适调仪的下限频率设置在最低档。</w:t>
      </w:r>
    </w:p>
    <w:p w14:paraId="2F7B1735">
      <w:pPr>
        <w:ind w:firstLine="420"/>
        <w:rPr>
          <w:color w:val="auto"/>
          <w:highlight w:val="none"/>
        </w:rPr>
      </w:pPr>
      <w:r>
        <w:rPr>
          <w:color w:val="auto"/>
          <w:highlight w:val="none"/>
        </w:rPr>
        <w:t>将最大输出的等效加速度值除以容器中液温与室温之差得到瞬变温度灵敏度值，即：</w:t>
      </w:r>
    </w:p>
    <w:p w14:paraId="0BAF8DBD">
      <w:pPr>
        <w:ind w:firstLine="3780" w:firstLineChars="1800"/>
        <w:rPr>
          <w:color w:val="auto"/>
          <w:highlight w:val="none"/>
        </w:rPr>
      </w:pPr>
      <m:oMath>
        <m:sSub>
          <m:sSubPr>
            <m:ctrlPr>
              <w:rPr>
                <w:rFonts w:ascii="Cambria Math" w:hAnsi="Cambria Math"/>
                <w:i/>
                <w:color w:val="auto"/>
                <w:highlight w:val="none"/>
              </w:rPr>
            </m:ctrlPr>
          </m:sSubPr>
          <m:e>
            <m:r>
              <m:rPr/>
              <w:rPr>
                <w:rFonts w:hint="eastAsia"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tr</m:t>
            </m:r>
            <m:ctrlPr>
              <w:rPr>
                <w:rFonts w:ascii="Cambria Math" w:hAnsi="Cambria Math"/>
                <w:i/>
                <w:color w:val="auto"/>
                <w:highlight w:val="none"/>
              </w:rPr>
            </m:ctrlPr>
          </m:sub>
        </m:sSub>
        <m:r>
          <m:rPr/>
          <w:rPr>
            <w:rFonts w:ascii="Cambria Math" w:hAnsi="Cambria Math"/>
            <w:color w:val="auto"/>
            <w:highlight w:val="none"/>
          </w:rPr>
          <m:t>=</m:t>
        </m:r>
        <m:f>
          <m:fPr>
            <m:ctrlPr>
              <w:rPr>
                <w:rFonts w:ascii="Cambria Math" w:hAnsi="Cambria Math"/>
                <w:i/>
                <w:color w:val="auto"/>
                <w:highlight w:val="none"/>
              </w:rPr>
            </m:ctrlPr>
          </m:fPr>
          <m:num>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tr</m:t>
                </m:r>
                <m:ctrlPr>
                  <w:rPr>
                    <w:rFonts w:ascii="Cambria Math" w:hAnsi="Cambria Math"/>
                    <w:i/>
                    <w:color w:val="auto"/>
                    <w:highlight w:val="none"/>
                  </w:rPr>
                </m:ctrlPr>
              </m:sub>
            </m:sSub>
            <m:ctrlPr>
              <w:rPr>
                <w:rFonts w:ascii="Cambria Math" w:hAnsi="Cambria Math"/>
                <w:i/>
                <w:color w:val="auto"/>
                <w:highlight w:val="none"/>
              </w:rPr>
            </m:ctrlPr>
          </m:num>
          <m:den>
            <m:r>
              <m:rPr/>
              <w:rPr>
                <w:rFonts w:ascii="Cambria Math" w:hAnsi="Cambria Math"/>
                <w:color w:val="auto"/>
                <w:highlight w:val="none"/>
              </w:rPr>
              <m:t>∆T</m:t>
            </m:r>
            <m:ctrlPr>
              <w:rPr>
                <w:rFonts w:ascii="Cambria Math" w:hAnsi="Cambria Math"/>
                <w:i/>
                <w:color w:val="auto"/>
                <w:highlight w:val="none"/>
              </w:rPr>
            </m:ctrlPr>
          </m:den>
        </m:f>
      </m:oMath>
      <w:r>
        <w:rPr>
          <w:rFonts w:hint="eastAsia"/>
          <w:color w:val="auto"/>
          <w:highlight w:val="none"/>
        </w:rPr>
        <w:t xml:space="preserve">                               </w:t>
      </w:r>
      <w:r>
        <w:rPr>
          <w:color w:val="auto"/>
          <w:highlight w:val="none"/>
        </w:rPr>
        <w:t>(B.2)</w:t>
      </w:r>
    </w:p>
    <w:p w14:paraId="2C3D93B4">
      <w:pPr>
        <w:rPr>
          <w:color w:val="auto"/>
          <w:highlight w:val="none"/>
        </w:rPr>
      </w:pPr>
      <w:r>
        <w:rPr>
          <w:color w:val="auto"/>
          <w:highlight w:val="none"/>
        </w:rPr>
        <w:t>式中</w:t>
      </w:r>
      <w:r>
        <w:rPr>
          <w:rFonts w:hint="eastAsia"/>
          <w:color w:val="auto"/>
          <w:highlight w:val="none"/>
        </w:rPr>
        <w:t xml:space="preserve">  </w:t>
      </w:r>
      <m:oMath>
        <m:sSub>
          <m:sSubPr>
            <m:ctrlPr>
              <w:rPr>
                <w:rFonts w:ascii="Cambria Math" w:hAnsi="Cambria Math"/>
                <w:i/>
                <w:color w:val="auto"/>
                <w:highlight w:val="none"/>
              </w:rPr>
            </m:ctrlPr>
          </m:sSubPr>
          <m:e>
            <m:r>
              <m:rPr/>
              <w:rPr>
                <w:rFonts w:hint="eastAsia"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tr</m:t>
            </m:r>
            <m:ctrlPr>
              <w:rPr>
                <w:rFonts w:ascii="Cambria Math" w:hAnsi="Cambria Math"/>
                <w:i/>
                <w:color w:val="auto"/>
                <w:highlight w:val="none"/>
              </w:rPr>
            </m:ctrlPr>
          </m:sub>
        </m:sSub>
      </m:oMath>
      <w:r>
        <w:rPr>
          <w:rFonts w:hint="eastAsia"/>
          <w:color w:val="auto"/>
          <w:highlight w:val="none"/>
        </w:rPr>
        <w:t>——</w:t>
      </w:r>
      <w:r>
        <w:rPr>
          <w:color w:val="auto"/>
          <w:highlight w:val="none"/>
        </w:rPr>
        <w:t>瞬变温度灵敏度，（m·s</w:t>
      </w:r>
      <w:r>
        <w:rPr>
          <w:rFonts w:hint="eastAsia"/>
          <w:color w:val="auto"/>
          <w:highlight w:val="none"/>
          <w:vertAlign w:val="superscript"/>
        </w:rPr>
        <w:t>-2</w:t>
      </w:r>
      <w:r>
        <w:rPr>
          <w:color w:val="auto"/>
          <w:highlight w:val="none"/>
        </w:rPr>
        <w:t>）/℃；</w:t>
      </w:r>
    </w:p>
    <w:p w14:paraId="2DD5836B">
      <w:pPr>
        <w:ind w:firstLine="630" w:firstLineChars="3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tr</m:t>
            </m:r>
            <m:ctrlPr>
              <w:rPr>
                <w:rFonts w:ascii="Cambria Math" w:hAnsi="Cambria Math"/>
                <w:i/>
                <w:color w:val="auto"/>
                <w:highlight w:val="none"/>
              </w:rPr>
            </m:ctrlPr>
          </m:sub>
        </m:sSub>
      </m:oMath>
      <w:r>
        <w:rPr>
          <w:rFonts w:hint="eastAsia"/>
          <w:color w:val="auto"/>
          <w:highlight w:val="none"/>
        </w:rPr>
        <w:t>——</w:t>
      </w:r>
      <w:r>
        <w:rPr>
          <w:color w:val="auto"/>
          <w:highlight w:val="none"/>
        </w:rPr>
        <w:t>最大输出的等效加速度值，m/s²；</w:t>
      </w:r>
    </w:p>
    <w:p w14:paraId="275B9BBA">
      <w:pPr>
        <w:ind w:firstLine="630" w:firstLineChars="300"/>
        <w:rPr>
          <w:color w:val="auto"/>
          <w:highlight w:val="none"/>
        </w:rPr>
      </w:pPr>
      <m:oMath>
        <m:r>
          <m:rPr/>
          <w:rPr>
            <w:rFonts w:ascii="Cambria Math" w:hAnsi="Cambria Math"/>
            <w:color w:val="auto"/>
            <w:highlight w:val="none"/>
          </w:rPr>
          <m:t>∆T</m:t>
        </m:r>
      </m:oMath>
      <w:r>
        <w:rPr>
          <w:rFonts w:hint="eastAsia"/>
          <w:color w:val="auto"/>
          <w:highlight w:val="none"/>
        </w:rPr>
        <w:t>——</w:t>
      </w:r>
      <w:r>
        <w:rPr>
          <w:color w:val="auto"/>
          <w:highlight w:val="none"/>
        </w:rPr>
        <w:t>浸入液体前后的温度差，℃。</w:t>
      </w:r>
    </w:p>
    <w:p w14:paraId="01B300B1">
      <w:pPr>
        <w:rPr>
          <w:color w:val="auto"/>
          <w:highlight w:val="none"/>
        </w:rPr>
      </w:pPr>
      <w:r>
        <w:rPr>
          <w:color w:val="auto"/>
          <w:highlight w:val="none"/>
        </w:rPr>
        <w:t>B.</w:t>
      </w:r>
      <w:r>
        <w:rPr>
          <w:rFonts w:hint="eastAsia"/>
          <w:color w:val="auto"/>
          <w:highlight w:val="none"/>
        </w:rPr>
        <w:t xml:space="preserve">4  </w:t>
      </w:r>
      <w:r>
        <w:rPr>
          <w:color w:val="auto"/>
          <w:highlight w:val="none"/>
        </w:rPr>
        <w:t>声灵敏度</w:t>
      </w:r>
    </w:p>
    <w:p w14:paraId="6A8D3BBB">
      <w:pPr>
        <w:ind w:firstLine="420"/>
        <w:rPr>
          <w:color w:val="auto"/>
          <w:highlight w:val="none"/>
        </w:rPr>
      </w:pPr>
      <w:r>
        <w:rPr>
          <w:color w:val="auto"/>
          <w:highlight w:val="none"/>
        </w:rPr>
        <w:t>在接近自由场的消声室或75m</w:t>
      </w:r>
      <w:r>
        <w:rPr>
          <w:rFonts w:hint="eastAsia"/>
          <w:color w:val="auto"/>
          <w:highlight w:val="none"/>
          <w:vertAlign w:val="superscript"/>
        </w:rPr>
        <w:t>3</w:t>
      </w:r>
      <w:r>
        <w:rPr>
          <w:color w:val="auto"/>
          <w:highlight w:val="none"/>
        </w:rPr>
        <w:t>房间的几何中心附近，用一无阻尼固有频率低于20Hz的悬挂系统将被检加速度计悬挂起来，用随机噪声发生器、放大器和扬声器等产生（130±5)dB随机噪声自由场。转动加速度计并测出其最大电压输出值。</w:t>
      </w:r>
    </w:p>
    <w:p w14:paraId="23D850F3">
      <w:pPr>
        <w:ind w:firstLine="420"/>
        <w:rPr>
          <w:color w:val="auto"/>
          <w:highlight w:val="none"/>
        </w:rPr>
      </w:pPr>
      <w:r>
        <w:rPr>
          <w:color w:val="auto"/>
          <w:highlight w:val="none"/>
        </w:rPr>
        <w:t>试验的声谱：125Hz时为（115±6)dB;</w:t>
      </w:r>
    </w:p>
    <w:p w14:paraId="312063AF">
      <w:pPr>
        <w:ind w:firstLine="420"/>
        <w:rPr>
          <w:color w:val="auto"/>
          <w:highlight w:val="none"/>
        </w:rPr>
      </w:pPr>
      <w:r>
        <w:rPr>
          <w:color w:val="auto"/>
          <w:highlight w:val="none"/>
        </w:rPr>
        <w:t>(200~2000)Hz时为（115±5)dB;</w:t>
      </w:r>
    </w:p>
    <w:p w14:paraId="396F2CB6">
      <w:pPr>
        <w:ind w:firstLine="420"/>
        <w:rPr>
          <w:color w:val="auto"/>
          <w:highlight w:val="none"/>
        </w:rPr>
      </w:pPr>
      <w:r>
        <w:rPr>
          <w:color w:val="auto"/>
          <w:highlight w:val="none"/>
        </w:rPr>
        <w:t>4000Hz时为（115±6)dB;</w:t>
      </w:r>
    </w:p>
    <w:p w14:paraId="1C439D8F">
      <w:pPr>
        <w:ind w:firstLine="420"/>
        <w:rPr>
          <w:color w:val="auto"/>
          <w:highlight w:val="none"/>
        </w:rPr>
      </w:pPr>
      <w:r>
        <w:rPr>
          <w:color w:val="auto"/>
          <w:highlight w:val="none"/>
        </w:rPr>
        <w:t>8000Hz时为（105±10)dB。</w:t>
      </w:r>
    </w:p>
    <w:p w14:paraId="441C8EAD">
      <w:pPr>
        <w:ind w:firstLine="420"/>
        <w:rPr>
          <w:color w:val="auto"/>
          <w:highlight w:val="none"/>
        </w:rPr>
      </w:pPr>
      <w:r>
        <w:rPr>
          <w:color w:val="auto"/>
          <w:highlight w:val="none"/>
        </w:rPr>
        <w:t>如果被检加速度计出现共振而随机噪声谱型无误时，则应设法消除共振；或用另一只加速度计来测量共振量，以便扣除；或者用刚性杆、刚性重底座支撑加速度计。当用这些方法时，应指明测试状况与结果。</w:t>
      </w:r>
    </w:p>
    <w:p w14:paraId="73A94650">
      <w:pPr>
        <w:ind w:firstLine="420"/>
        <w:rPr>
          <w:color w:val="auto"/>
          <w:highlight w:val="none"/>
        </w:rPr>
      </w:pPr>
      <w:r>
        <w:rPr>
          <w:color w:val="auto"/>
          <w:highlight w:val="none"/>
        </w:rPr>
        <w:t>根据加速度计的参考灵敏度，将最大输出值换算成等效加速度的有效值，同时应给出此时的声压级。</w:t>
      </w:r>
    </w:p>
    <w:p w14:paraId="5FDBDED5">
      <w:pPr>
        <w:rPr>
          <w:color w:val="auto"/>
          <w:highlight w:val="none"/>
        </w:rPr>
      </w:pPr>
      <w:r>
        <w:rPr>
          <w:color w:val="auto"/>
          <w:highlight w:val="none"/>
        </w:rPr>
        <w:t>B.</w:t>
      </w:r>
      <w:r>
        <w:rPr>
          <w:rFonts w:hint="eastAsia"/>
          <w:color w:val="auto"/>
          <w:highlight w:val="none"/>
        </w:rPr>
        <w:t xml:space="preserve">5  </w:t>
      </w:r>
      <w:r>
        <w:rPr>
          <w:color w:val="auto"/>
          <w:highlight w:val="none"/>
        </w:rPr>
        <w:t>磁灵敏度</w:t>
      </w:r>
    </w:p>
    <w:p w14:paraId="34CC6EA3">
      <w:pPr>
        <w:ind w:firstLine="420"/>
        <w:rPr>
          <w:color w:val="auto"/>
          <w:highlight w:val="none"/>
        </w:rPr>
      </w:pPr>
      <w:r>
        <w:rPr>
          <w:color w:val="auto"/>
          <w:highlight w:val="none"/>
        </w:rPr>
        <w:t>把被检加速度计安装在一个50 Hz或60 Hz的已知磁场内。先用特斯拉计在安装加速度计的位置测出磁场强度B,然后旋转加速度计，找出加速度计输出的最大值，或旋转磁场方向，找出加速度计输出的最大值。实验过程应注意剔除感应的机械振动和寄生的电噪声。</w:t>
      </w:r>
    </w:p>
    <w:p w14:paraId="5E26AE5B">
      <w:pPr>
        <w:ind w:firstLine="420"/>
        <w:rPr>
          <w:color w:val="auto"/>
          <w:szCs w:val="21"/>
          <w:highlight w:val="none"/>
        </w:rPr>
      </w:pPr>
      <w:r>
        <w:rPr>
          <w:rFonts w:hint="eastAsia"/>
          <w:color w:val="auto"/>
          <w:szCs w:val="21"/>
          <w:highlight w:val="none"/>
        </w:rPr>
        <w:t>也可以采用三对相互垂直的亥姆霍兹线圈，通过改变三对线圈的电流合成磁场来进行磁灵敏度的测试</w:t>
      </w:r>
    </w:p>
    <w:p w14:paraId="71B19915">
      <w:pPr>
        <w:ind w:firstLine="420"/>
        <w:rPr>
          <w:color w:val="auto"/>
          <w:highlight w:val="none"/>
        </w:rPr>
      </w:pPr>
      <w:r>
        <w:rPr>
          <w:color w:val="auto"/>
          <w:highlight w:val="none"/>
        </w:rPr>
        <w:t>根据加速度计的参考灵敏度，将最大输出值换算成等效加速度，再除以磁场磁感应强度，即：</w:t>
      </w:r>
    </w:p>
    <w:p w14:paraId="0B606641">
      <w:pPr>
        <w:rPr>
          <w:color w:val="auto"/>
          <w:highlight w:val="none"/>
        </w:rPr>
      </w:pPr>
      <w:r>
        <w:rPr>
          <w:color w:val="auto"/>
          <w:highlight w:val="none"/>
        </w:rPr>
        <w:t xml:space="preserve">         </w:t>
      </w:r>
      <w:r>
        <w:rPr>
          <w:rFonts w:hint="eastAsia"/>
          <w:color w:val="auto"/>
          <w:highlight w:val="none"/>
        </w:rPr>
        <w:t xml:space="preserve">                       </w:t>
      </w:r>
      <w:r>
        <w:rPr>
          <w:color w:val="auto"/>
          <w:highlight w:val="none"/>
        </w:rPr>
        <w:t xml:space="preserve">  </w:t>
      </w:r>
      <m:oMath>
        <m:sSub>
          <m:sSubPr>
            <m:ctrlPr>
              <w:rPr>
                <w:rFonts w:ascii="Cambria Math" w:hAnsi="Cambria Math"/>
                <w:i/>
                <w:color w:val="auto"/>
                <w:highlight w:val="none"/>
              </w:rPr>
            </m:ctrlPr>
          </m:sSubPr>
          <m:e>
            <m:r>
              <m:rPr/>
              <w:rPr>
                <w:rFonts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B</m:t>
            </m:r>
            <m:ctrlPr>
              <w:rPr>
                <w:rFonts w:ascii="Cambria Math" w:hAnsi="Cambria Math"/>
                <w:i/>
                <w:color w:val="auto"/>
                <w:highlight w:val="none"/>
              </w:rPr>
            </m:ctrlPr>
          </m:sub>
        </m:sSub>
        <m:r>
          <m:rPr/>
          <w:rPr>
            <w:rFonts w:ascii="Cambria Math" w:hAnsi="Cambria Math"/>
            <w:color w:val="auto"/>
            <w:highlight w:val="none"/>
          </w:rPr>
          <m:t>=</m:t>
        </m:r>
        <m:f>
          <m:fPr>
            <m:ctrlPr>
              <w:rPr>
                <w:rFonts w:ascii="Cambria Math" w:hAnsi="Cambria Math"/>
                <w:i/>
                <w:color w:val="auto"/>
                <w:highlight w:val="none"/>
              </w:rPr>
            </m:ctrlPr>
          </m:fPr>
          <m:num>
            <m:sSub>
              <m:sSubPr>
                <m:ctrlPr>
                  <w:rPr>
                    <w:rFonts w:ascii="Cambria Math" w:hAnsi="Cambria Math"/>
                    <w:i/>
                    <w:color w:val="auto"/>
                    <w:highlight w:val="none"/>
                  </w:rPr>
                </m:ctrlPr>
              </m:sSubPr>
              <m:e>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B</m:t>
                    </m:r>
                    <m:ctrlPr>
                      <w:rPr>
                        <w:rFonts w:ascii="Cambria Math" w:hAnsi="Cambria Math"/>
                        <w:i/>
                        <w:color w:val="auto"/>
                        <w:highlight w:val="none"/>
                      </w:rPr>
                    </m:ctrlPr>
                  </m:sub>
                </m:sSub>
                <m:ctrlPr>
                  <w:rPr>
                    <w:rFonts w:ascii="Cambria Math" w:hAnsi="Cambria Math"/>
                    <w:i/>
                    <w:color w:val="auto"/>
                    <w:highlight w:val="none"/>
                  </w:rPr>
                </m:ctrlPr>
              </m:e>
              <m:sub>
                <m:r>
                  <m:rPr/>
                  <w:rPr>
                    <w:rFonts w:ascii="Cambria Math" w:hAnsi="Cambria Math"/>
                    <w:color w:val="auto"/>
                    <w:highlight w:val="none"/>
                  </w:rPr>
                  <m:t>max</m:t>
                </m:r>
                <m:ctrlPr>
                  <w:rPr>
                    <w:rFonts w:ascii="Cambria Math" w:hAnsi="Cambria Math"/>
                    <w:i/>
                    <w:color w:val="auto"/>
                    <w:highlight w:val="none"/>
                  </w:rPr>
                </m:ctrlPr>
              </m:sub>
            </m:sSub>
            <m:ctrlPr>
              <w:rPr>
                <w:rFonts w:ascii="Cambria Math" w:hAnsi="Cambria Math"/>
                <w:i/>
                <w:color w:val="auto"/>
                <w:highlight w:val="none"/>
              </w:rPr>
            </m:ctrlPr>
          </m:num>
          <m:den>
            <m:r>
              <m:rPr/>
              <w:rPr>
                <w:rFonts w:ascii="Cambria Math" w:hAnsi="Cambria Math"/>
                <w:color w:val="auto"/>
                <w:highlight w:val="none"/>
              </w:rPr>
              <m:t>B</m:t>
            </m:r>
            <m:ctrlPr>
              <w:rPr>
                <w:rFonts w:ascii="Cambria Math" w:hAnsi="Cambria Math"/>
                <w:i/>
                <w:color w:val="auto"/>
                <w:highlight w:val="none"/>
              </w:rPr>
            </m:ctrlPr>
          </m:den>
        </m:f>
      </m:oMath>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(B.3)</w:t>
      </w:r>
    </w:p>
    <w:p w14:paraId="31746FB3">
      <w:pPr>
        <w:rPr>
          <w:color w:val="auto"/>
          <w:highlight w:val="none"/>
        </w:rPr>
      </w:pPr>
      <w:r>
        <w:rPr>
          <w:color w:val="auto"/>
          <w:highlight w:val="none"/>
        </w:rPr>
        <w:t>式中</w:t>
      </w:r>
      <w:r>
        <w:rPr>
          <w:rFonts w:hint="eastAsia"/>
          <w:color w:val="auto"/>
          <w:highlight w:val="none"/>
        </w:rPr>
        <w:t xml:space="preserve">  </w:t>
      </w:r>
      <m:oMath>
        <m:sSub>
          <m:sSubPr>
            <m:ctrlPr>
              <w:rPr>
                <w:rFonts w:ascii="Cambria Math" w:hAnsi="Cambria Math"/>
                <w:i/>
                <w:color w:val="auto"/>
                <w:highlight w:val="none"/>
              </w:rPr>
            </m:ctrlPr>
          </m:sSubPr>
          <m:e>
            <m:r>
              <m:rPr/>
              <w:rPr>
                <w:rFonts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B</m:t>
            </m:r>
            <m:ctrlPr>
              <w:rPr>
                <w:rFonts w:ascii="Cambria Math" w:hAnsi="Cambria Math"/>
                <w:i/>
                <w:color w:val="auto"/>
                <w:highlight w:val="none"/>
              </w:rPr>
            </m:ctrlPr>
          </m:sub>
        </m:sSub>
      </m:oMath>
      <w:r>
        <w:rPr>
          <w:rFonts w:hint="eastAsia"/>
          <w:color w:val="auto"/>
          <w:highlight w:val="none"/>
        </w:rPr>
        <w:t>——</w:t>
      </w:r>
      <w:r>
        <w:rPr>
          <w:color w:val="auto"/>
          <w:highlight w:val="none"/>
        </w:rPr>
        <w:t>磁灵敏度，（m·s-²）/T;</w:t>
      </w:r>
    </w:p>
    <w:p w14:paraId="632A7CE4">
      <w:pPr>
        <w:ind w:firstLine="630" w:firstLineChars="300"/>
        <w:rPr>
          <w:color w:val="auto"/>
          <w:highlight w:val="none"/>
        </w:rPr>
      </w:pPr>
      <m:oMath>
        <m:sSub>
          <m:sSubPr>
            <m:ctrlPr>
              <w:rPr>
                <w:rFonts w:ascii="Cambria Math" w:hAnsi="Cambria Math"/>
                <w:i/>
                <w:color w:val="auto"/>
                <w:highlight w:val="none"/>
              </w:rPr>
            </m:ctrlPr>
          </m:sSubPr>
          <m:e>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B</m:t>
                </m:r>
                <m:ctrlPr>
                  <w:rPr>
                    <w:rFonts w:ascii="Cambria Math" w:hAnsi="Cambria Math"/>
                    <w:i/>
                    <w:color w:val="auto"/>
                    <w:highlight w:val="none"/>
                  </w:rPr>
                </m:ctrlPr>
              </m:sub>
            </m:sSub>
            <m:ctrlPr>
              <w:rPr>
                <w:rFonts w:ascii="Cambria Math" w:hAnsi="Cambria Math"/>
                <w:i/>
                <w:color w:val="auto"/>
                <w:highlight w:val="none"/>
              </w:rPr>
            </m:ctrlPr>
          </m:e>
          <m:sub>
            <m:r>
              <m:rPr/>
              <w:rPr>
                <w:rFonts w:ascii="Cambria Math" w:hAnsi="Cambria Math"/>
                <w:color w:val="auto"/>
                <w:highlight w:val="none"/>
              </w:rPr>
              <m:t>max</m:t>
            </m:r>
            <m:ctrlPr>
              <w:rPr>
                <w:rFonts w:ascii="Cambria Math" w:hAnsi="Cambria Math"/>
                <w:i/>
                <w:color w:val="auto"/>
                <w:highlight w:val="none"/>
              </w:rPr>
            </m:ctrlPr>
          </m:sub>
        </m:sSub>
      </m:oMath>
      <w:r>
        <w:rPr>
          <w:rFonts w:hint="eastAsia"/>
          <w:color w:val="auto"/>
          <w:highlight w:val="none"/>
        </w:rPr>
        <w:t>——</w:t>
      </w:r>
      <w:r>
        <w:rPr>
          <w:color w:val="auto"/>
          <w:highlight w:val="none"/>
        </w:rPr>
        <w:t>输出最大值的等效加速度，m/s²；</w:t>
      </w:r>
    </w:p>
    <w:p w14:paraId="048C4BBB">
      <w:pPr>
        <w:ind w:firstLine="630" w:firstLineChars="300"/>
        <w:rPr>
          <w:color w:val="auto"/>
          <w:highlight w:val="none"/>
        </w:rPr>
      </w:pPr>
      <w:r>
        <w:rPr>
          <w:color w:val="auto"/>
          <w:highlight w:val="none"/>
        </w:rPr>
        <w:t>B</w:t>
      </w:r>
      <w:r>
        <w:rPr>
          <w:rFonts w:hint="eastAsia"/>
          <w:color w:val="auto"/>
          <w:highlight w:val="none"/>
        </w:rPr>
        <w:t>——</w:t>
      </w:r>
      <w:r>
        <w:rPr>
          <w:color w:val="auto"/>
          <w:highlight w:val="none"/>
        </w:rPr>
        <w:t>检定时交变磁场的磁感应强度，T。</w:t>
      </w:r>
    </w:p>
    <w:p w14:paraId="62110EEE">
      <w:pPr>
        <w:ind w:firstLine="420"/>
        <w:rPr>
          <w:color w:val="auto"/>
          <w:highlight w:val="none"/>
        </w:rPr>
      </w:pPr>
      <w:r>
        <w:rPr>
          <w:color w:val="auto"/>
          <w:highlight w:val="none"/>
        </w:rPr>
        <w:t>检定结果应给出试验条件。</w:t>
      </w:r>
    </w:p>
    <w:p w14:paraId="578727A1">
      <w:pPr>
        <w:rPr>
          <w:color w:val="auto"/>
          <w:highlight w:val="none"/>
        </w:rPr>
      </w:pPr>
      <w:r>
        <w:rPr>
          <w:color w:val="auto"/>
          <w:highlight w:val="none"/>
        </w:rPr>
        <w:t>B.</w:t>
      </w:r>
      <w:r>
        <w:rPr>
          <w:rFonts w:hint="eastAsia"/>
          <w:color w:val="auto"/>
          <w:highlight w:val="none"/>
        </w:rPr>
        <w:t xml:space="preserve">6  </w:t>
      </w:r>
      <w:r>
        <w:rPr>
          <w:color w:val="auto"/>
          <w:highlight w:val="none"/>
        </w:rPr>
        <w:t>基座应变灵敏度</w:t>
      </w:r>
    </w:p>
    <w:p w14:paraId="5AFE9D43">
      <w:pPr>
        <w:ind w:firstLine="420"/>
        <w:rPr>
          <w:color w:val="auto"/>
          <w:highlight w:val="none"/>
        </w:rPr>
      </w:pPr>
      <w:r>
        <w:rPr>
          <w:color w:val="auto"/>
          <w:highlight w:val="none"/>
        </w:rPr>
        <w:t>将被检加速度计安装在可产生25m曲率半径和250×10</w:t>
      </w:r>
      <w:r>
        <w:rPr>
          <w:rFonts w:hint="eastAsia"/>
          <w:color w:val="auto"/>
          <w:highlight w:val="none"/>
          <w:vertAlign w:val="superscript"/>
        </w:rPr>
        <w:t>-6</w:t>
      </w:r>
      <w:r>
        <w:rPr>
          <w:color w:val="auto"/>
          <w:highlight w:val="none"/>
        </w:rPr>
        <w:t>应变的简易悬臂梁上。梁的宽度76 mm,厚度12.5 mm,自由长度1 450 mm。把悬臂梁夹紧于一个刚性支架上。悬臂梁的固有频率接近5Hz。在梁上粘有一个应变片以测量应变量，其安装位置靠近被检加速度计，距离固定端大约40 mm。安装位置处的运动用一个</w:t>
      </w:r>
      <w:r>
        <w:rPr>
          <w:rFonts w:hint="eastAsia"/>
          <w:color w:val="auto"/>
          <w:highlight w:val="none"/>
        </w:rPr>
        <w:t>标准加速度计</w:t>
      </w:r>
      <w:r>
        <w:rPr>
          <w:color w:val="auto"/>
          <w:highlight w:val="none"/>
        </w:rPr>
        <w:t>测量，安装</w:t>
      </w:r>
      <w:r>
        <w:rPr>
          <w:rFonts w:hint="eastAsia"/>
          <w:color w:val="auto"/>
          <w:highlight w:val="none"/>
        </w:rPr>
        <w:t>标准加速度计</w:t>
      </w:r>
      <w:r>
        <w:rPr>
          <w:color w:val="auto"/>
          <w:highlight w:val="none"/>
        </w:rPr>
        <w:t>时应采用附加的隔离方法以避免其基座弯曲。也可以使用激光测振仪替代</w:t>
      </w:r>
      <w:r>
        <w:rPr>
          <w:rFonts w:hint="eastAsia"/>
          <w:color w:val="auto"/>
          <w:highlight w:val="none"/>
        </w:rPr>
        <w:t>标准</w:t>
      </w:r>
      <w:r>
        <w:rPr>
          <w:color w:val="auto"/>
          <w:highlight w:val="none"/>
        </w:rPr>
        <w:t>加速度计测量振动。</w:t>
      </w:r>
    </w:p>
    <w:p w14:paraId="1012E29D">
      <w:pPr>
        <w:ind w:firstLine="420"/>
        <w:rPr>
          <w:color w:val="auto"/>
          <w:highlight w:val="none"/>
        </w:rPr>
      </w:pPr>
      <w:r>
        <w:rPr>
          <w:color w:val="auto"/>
          <w:highlight w:val="none"/>
        </w:rPr>
        <w:t>使梁作自由振动，观察应变值，在应变值为250×10-°时，记下</w:t>
      </w:r>
      <w:r>
        <w:rPr>
          <w:rFonts w:hint="eastAsia"/>
          <w:color w:val="auto"/>
          <w:highlight w:val="none"/>
        </w:rPr>
        <w:t>标准加速度计</w:t>
      </w:r>
      <w:r>
        <w:rPr>
          <w:color w:val="auto"/>
          <w:highlight w:val="none"/>
        </w:rPr>
        <w:t>的输出和被检加速度计的输出。</w:t>
      </w:r>
    </w:p>
    <w:p w14:paraId="1E44CA7F">
      <w:pPr>
        <w:ind w:firstLine="420"/>
        <w:rPr>
          <w:color w:val="auto"/>
          <w:highlight w:val="none"/>
        </w:rPr>
      </w:pPr>
      <w:r>
        <w:rPr>
          <w:color w:val="auto"/>
          <w:highlight w:val="none"/>
        </w:rPr>
        <w:t>由被检加速度计输出最大值减去</w:t>
      </w:r>
      <w:r>
        <w:rPr>
          <w:rFonts w:hint="eastAsia"/>
          <w:color w:val="auto"/>
          <w:highlight w:val="none"/>
        </w:rPr>
        <w:t>标准加速度计</w:t>
      </w:r>
      <w:r>
        <w:rPr>
          <w:color w:val="auto"/>
          <w:highlight w:val="none"/>
        </w:rPr>
        <w:t>的输出，折算成等效加速度a.x(m/s²），再除以所施加的应变值（参考值为250×106)，即：</w:t>
      </w:r>
    </w:p>
    <w:p w14:paraId="1719784A">
      <w:pPr>
        <w:rPr>
          <w:color w:val="auto"/>
          <w:highlight w:val="none"/>
        </w:rPr>
      </w:pPr>
      <w:r>
        <w:rPr>
          <w:rFonts w:hint="eastAsia"/>
          <w:color w:val="auto"/>
          <w:highlight w:val="none"/>
        </w:rPr>
        <w:t xml:space="preserve">                                    </w:t>
      </w:r>
      <m:oMath>
        <m:sSub>
          <m:sSubPr>
            <m:ctrlPr>
              <w:rPr>
                <w:rFonts w:ascii="Cambria Math" w:hAnsi="Cambria Math"/>
                <w:i/>
                <w:color w:val="auto"/>
                <w:highlight w:val="none"/>
              </w:rPr>
            </m:ctrlPr>
          </m:sSubPr>
          <m:e>
            <m:r>
              <m:rPr/>
              <w:rPr>
                <w:rFonts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ε</m:t>
            </m:r>
            <m:ctrlPr>
              <w:rPr>
                <w:rFonts w:ascii="Cambria Math" w:hAnsi="Cambria Math"/>
                <w:i/>
                <w:color w:val="auto"/>
                <w:highlight w:val="none"/>
              </w:rPr>
            </m:ctrlPr>
          </m:sub>
        </m:sSub>
        <m:r>
          <m:rPr/>
          <w:rPr>
            <w:rFonts w:ascii="Cambria Math" w:hAnsi="Cambria Math"/>
            <w:color w:val="auto"/>
            <w:highlight w:val="none"/>
          </w:rPr>
          <m:t>=</m:t>
        </m:r>
        <m:f>
          <m:fPr>
            <m:ctrlPr>
              <w:rPr>
                <w:rFonts w:ascii="Cambria Math" w:hAnsi="Cambria Math"/>
                <w:i/>
                <w:color w:val="auto"/>
                <w:highlight w:val="none"/>
              </w:rPr>
            </m:ctrlPr>
          </m:fPr>
          <m:num>
            <m:sSub>
              <m:sSubPr>
                <m:ctrlPr>
                  <w:rPr>
                    <w:rFonts w:ascii="Cambria Math" w:hAnsi="Cambria Math"/>
                    <w:i/>
                    <w:color w:val="auto"/>
                    <w:highlight w:val="none"/>
                  </w:rPr>
                </m:ctrlPr>
              </m:sSubPr>
              <m:e>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ε</m:t>
                    </m:r>
                    <m:ctrlPr>
                      <w:rPr>
                        <w:rFonts w:ascii="Cambria Math" w:hAnsi="Cambria Math"/>
                        <w:i/>
                        <w:color w:val="auto"/>
                        <w:highlight w:val="none"/>
                      </w:rPr>
                    </m:ctrlPr>
                  </m:sub>
                </m:sSub>
                <m:ctrlPr>
                  <w:rPr>
                    <w:rFonts w:ascii="Cambria Math" w:hAnsi="Cambria Math"/>
                    <w:i/>
                    <w:color w:val="auto"/>
                    <w:highlight w:val="none"/>
                  </w:rPr>
                </m:ctrlPr>
              </m:e>
              <m:sub>
                <m:r>
                  <m:rPr/>
                  <w:rPr>
                    <w:rFonts w:ascii="Cambria Math" w:hAnsi="Cambria Math"/>
                    <w:color w:val="auto"/>
                    <w:highlight w:val="none"/>
                  </w:rPr>
                  <m:t>max</m:t>
                </m:r>
                <m:ctrlPr>
                  <w:rPr>
                    <w:rFonts w:ascii="Cambria Math" w:hAnsi="Cambria Math"/>
                    <w:i/>
                    <w:color w:val="auto"/>
                    <w:highlight w:val="none"/>
                  </w:rPr>
                </m:ctrlPr>
              </m:sub>
            </m:sSub>
            <m:ctrlPr>
              <w:rPr>
                <w:rFonts w:ascii="Cambria Math" w:hAnsi="Cambria Math"/>
                <w:i/>
                <w:color w:val="auto"/>
                <w:highlight w:val="none"/>
              </w:rPr>
            </m:ctrlPr>
          </m:num>
          <m:den>
            <m:r>
              <m:rPr/>
              <w:rPr>
                <w:rFonts w:ascii="Cambria Math" w:hAnsi="Cambria Math"/>
                <w:color w:val="auto"/>
                <w:highlight w:val="none"/>
              </w:rPr>
              <m:t>ε</m:t>
            </m:r>
            <m:ctrlPr>
              <w:rPr>
                <w:rFonts w:ascii="Cambria Math" w:hAnsi="Cambria Math"/>
                <w:i/>
                <w:color w:val="auto"/>
                <w:highlight w:val="none"/>
              </w:rPr>
            </m:ctrlPr>
          </m:den>
        </m:f>
      </m:oMath>
      <w:r>
        <w:rPr>
          <w:color w:val="auto"/>
          <w:highlight w:val="none"/>
        </w:rPr>
        <w:t xml:space="preserve">    </w:t>
      </w:r>
      <w:r>
        <w:rPr>
          <w:rFonts w:hint="eastAsia"/>
          <w:color w:val="auto"/>
          <w:highlight w:val="none"/>
        </w:rPr>
        <w:t xml:space="preserve">                       </w:t>
      </w:r>
      <w:r>
        <w:rPr>
          <w:color w:val="auto"/>
          <w:highlight w:val="none"/>
        </w:rPr>
        <w:t xml:space="preserve">   (B.4)</w:t>
      </w:r>
    </w:p>
    <w:p w14:paraId="6E29EECD">
      <w:pPr>
        <w:rPr>
          <w:color w:val="auto"/>
          <w:highlight w:val="none"/>
        </w:rPr>
      </w:pPr>
      <w:r>
        <w:rPr>
          <w:color w:val="auto"/>
          <w:highlight w:val="none"/>
        </w:rPr>
        <w:t>式中</w:t>
      </w:r>
      <w:r>
        <w:rPr>
          <w:rFonts w:hint="eastAsia"/>
          <w:color w:val="auto"/>
          <w:highlight w:val="none"/>
        </w:rPr>
        <w:t xml:space="preserve">  </w:t>
      </w:r>
      <m:oMath>
        <m:sSub>
          <m:sSubPr>
            <m:ctrlPr>
              <w:rPr>
                <w:rFonts w:ascii="Cambria Math" w:hAnsi="Cambria Math"/>
                <w:i/>
                <w:color w:val="auto"/>
                <w:highlight w:val="none"/>
              </w:rPr>
            </m:ctrlPr>
          </m:sSubPr>
          <m:e>
            <m:r>
              <m:rPr/>
              <w:rPr>
                <w:rFonts w:ascii="Cambria Math" w:hAnsi="Cambria Math"/>
                <w:color w:val="auto"/>
                <w:highlight w:val="none"/>
              </w:rPr>
              <m:t>S</m:t>
            </m:r>
            <m:ctrlPr>
              <w:rPr>
                <w:rFonts w:ascii="Cambria Math" w:hAnsi="Cambria Math"/>
                <w:i/>
                <w:color w:val="auto"/>
                <w:highlight w:val="none"/>
              </w:rPr>
            </m:ctrlPr>
          </m:e>
          <m:sub>
            <m:r>
              <m:rPr/>
              <w:rPr>
                <w:rFonts w:ascii="Cambria Math" w:hAnsi="Cambria Math"/>
                <w:color w:val="auto"/>
                <w:highlight w:val="none"/>
              </w:rPr>
              <m:t>ε</m:t>
            </m:r>
            <m:ctrlPr>
              <w:rPr>
                <w:rFonts w:ascii="Cambria Math" w:hAnsi="Cambria Math"/>
                <w:i/>
                <w:color w:val="auto"/>
                <w:highlight w:val="none"/>
              </w:rPr>
            </m:ctrlPr>
          </m:sub>
        </m:sSub>
      </m:oMath>
      <w:r>
        <w:rPr>
          <w:rFonts w:hint="eastAsia"/>
          <w:color w:val="auto"/>
          <w:highlight w:val="none"/>
        </w:rPr>
        <w:t>——</w:t>
      </w:r>
      <w:r>
        <w:rPr>
          <w:color w:val="auto"/>
          <w:highlight w:val="none"/>
        </w:rPr>
        <w:t>基座应变灵敏度，（m·s</w:t>
      </w:r>
      <w:r>
        <w:rPr>
          <w:rFonts w:hint="eastAsia"/>
          <w:color w:val="auto"/>
          <w:highlight w:val="none"/>
          <w:vertAlign w:val="superscript"/>
        </w:rPr>
        <w:t>-2</w:t>
      </w:r>
      <w:r>
        <w:rPr>
          <w:color w:val="auto"/>
          <w:highlight w:val="none"/>
        </w:rPr>
        <w:t>）/（μm·m</w:t>
      </w:r>
      <w:r>
        <w:rPr>
          <w:rFonts w:hint="eastAsia"/>
          <w:color w:val="auto"/>
          <w:highlight w:val="none"/>
          <w:vertAlign w:val="superscript"/>
        </w:rPr>
        <w:t>-1</w:t>
      </w:r>
      <w:r>
        <w:rPr>
          <w:color w:val="auto"/>
          <w:highlight w:val="none"/>
        </w:rPr>
        <w:t>）；</w:t>
      </w:r>
    </w:p>
    <w:p w14:paraId="6997C34B">
      <w:pPr>
        <w:ind w:firstLine="630" w:firstLineChars="300"/>
        <w:rPr>
          <w:color w:val="auto"/>
          <w:highlight w:val="none"/>
        </w:rPr>
      </w:pPr>
      <m:oMath>
        <m:sSub>
          <m:sSubPr>
            <m:ctrlPr>
              <w:rPr>
                <w:rFonts w:ascii="Cambria Math" w:hAnsi="Cambria Math"/>
                <w:i/>
                <w:color w:val="auto"/>
                <w:highlight w:val="none"/>
              </w:rPr>
            </m:ctrlPr>
          </m:sSubPr>
          <m:e>
            <m:sSub>
              <m:sSubPr>
                <m:ctrlPr>
                  <w:rPr>
                    <w:rFonts w:ascii="Cambria Math" w:hAnsi="Cambria Math"/>
                    <w:i/>
                    <w:color w:val="auto"/>
                    <w:highlight w:val="none"/>
                  </w:rPr>
                </m:ctrlPr>
              </m:sSubPr>
              <m:e>
                <m:r>
                  <m:rPr/>
                  <w:rPr>
                    <w:rFonts w:ascii="Cambria Math" w:hAnsi="Cambria Math"/>
                    <w:color w:val="auto"/>
                    <w:highlight w:val="none"/>
                  </w:rPr>
                  <m:t>a</m:t>
                </m:r>
                <m:ctrlPr>
                  <w:rPr>
                    <w:rFonts w:ascii="Cambria Math" w:hAnsi="Cambria Math"/>
                    <w:i/>
                    <w:color w:val="auto"/>
                    <w:highlight w:val="none"/>
                  </w:rPr>
                </m:ctrlPr>
              </m:e>
              <m:sub>
                <m:r>
                  <m:rPr/>
                  <w:rPr>
                    <w:rFonts w:ascii="Cambria Math" w:hAnsi="Cambria Math"/>
                    <w:color w:val="auto"/>
                    <w:highlight w:val="none"/>
                  </w:rPr>
                  <m:t>ε</m:t>
                </m:r>
                <m:ctrlPr>
                  <w:rPr>
                    <w:rFonts w:ascii="Cambria Math" w:hAnsi="Cambria Math"/>
                    <w:i/>
                    <w:color w:val="auto"/>
                    <w:highlight w:val="none"/>
                  </w:rPr>
                </m:ctrlPr>
              </m:sub>
            </m:sSub>
            <m:ctrlPr>
              <w:rPr>
                <w:rFonts w:ascii="Cambria Math" w:hAnsi="Cambria Math"/>
                <w:i/>
                <w:color w:val="auto"/>
                <w:highlight w:val="none"/>
              </w:rPr>
            </m:ctrlPr>
          </m:e>
          <m:sub>
            <m:r>
              <m:rPr/>
              <w:rPr>
                <w:rFonts w:ascii="Cambria Math" w:hAnsi="Cambria Math"/>
                <w:color w:val="auto"/>
                <w:highlight w:val="none"/>
              </w:rPr>
              <m:t>max</m:t>
            </m:r>
            <m:ctrlPr>
              <w:rPr>
                <w:rFonts w:ascii="Cambria Math" w:hAnsi="Cambria Math"/>
                <w:i/>
                <w:color w:val="auto"/>
                <w:highlight w:val="none"/>
              </w:rPr>
            </m:ctrlPr>
          </m:sub>
        </m:sSub>
      </m:oMath>
      <w:r>
        <w:rPr>
          <w:rFonts w:hint="eastAsia"/>
          <w:color w:val="auto"/>
          <w:highlight w:val="none"/>
        </w:rPr>
        <w:t>——</w:t>
      </w:r>
      <w:r>
        <w:rPr>
          <w:color w:val="auto"/>
          <w:highlight w:val="none"/>
        </w:rPr>
        <w:t>输出最大值的等效加速度，m/s²；</w:t>
      </w:r>
    </w:p>
    <w:p w14:paraId="506911AD">
      <w:pPr>
        <w:ind w:firstLine="630" w:firstLineChars="300"/>
        <w:rPr>
          <w:color w:val="auto"/>
          <w:highlight w:val="none"/>
        </w:rPr>
      </w:pPr>
      <m:oMath>
        <m:r>
          <m:rPr/>
          <w:rPr>
            <w:rFonts w:ascii="Cambria Math" w:hAnsi="Cambria Math"/>
            <w:color w:val="auto"/>
            <w:highlight w:val="none"/>
          </w:rPr>
          <m:t>ε</m:t>
        </m:r>
      </m:oMath>
      <w:r>
        <w:rPr>
          <w:rFonts w:hint="eastAsia"/>
          <w:color w:val="auto"/>
          <w:highlight w:val="none"/>
        </w:rPr>
        <w:t>——</w:t>
      </w:r>
      <w:r>
        <w:rPr>
          <w:color w:val="auto"/>
          <w:highlight w:val="none"/>
        </w:rPr>
        <w:t>测试施加的应变值，μm/m。</w:t>
      </w:r>
    </w:p>
    <w:p w14:paraId="16C8BE02">
      <w:pPr>
        <w:rPr>
          <w:color w:val="auto"/>
          <w:highlight w:val="none"/>
        </w:rPr>
      </w:pPr>
      <w:r>
        <w:rPr>
          <w:color w:val="auto"/>
          <w:highlight w:val="none"/>
        </w:rPr>
        <w:t>B.</w:t>
      </w:r>
      <w:r>
        <w:rPr>
          <w:rFonts w:hint="eastAsia"/>
          <w:color w:val="auto"/>
          <w:highlight w:val="none"/>
        </w:rPr>
        <w:t xml:space="preserve">7  </w:t>
      </w:r>
      <w:r>
        <w:rPr>
          <w:color w:val="auto"/>
          <w:highlight w:val="none"/>
        </w:rPr>
        <w:t>安装力矩灵敏度</w:t>
      </w:r>
    </w:p>
    <w:p w14:paraId="6B8EE365">
      <w:pPr>
        <w:ind w:firstLine="420"/>
        <w:rPr>
          <w:color w:val="auto"/>
          <w:highlight w:val="none"/>
        </w:rPr>
      </w:pPr>
      <w:r>
        <w:rPr>
          <w:color w:val="auto"/>
          <w:highlight w:val="none"/>
        </w:rPr>
        <w:t>可采用比较法和绝对法，分别测量被检加速度计在1/2或2倍规定安装力矩时的灵敏度值。</w:t>
      </w:r>
    </w:p>
    <w:p w14:paraId="0C6A8200">
      <w:pPr>
        <w:ind w:firstLine="420"/>
        <w:rPr>
          <w:color w:val="auto"/>
          <w:highlight w:val="none"/>
        </w:rPr>
      </w:pPr>
      <w:r>
        <w:rPr>
          <w:color w:val="auto"/>
          <w:highlight w:val="none"/>
        </w:rPr>
        <w:t>测试时应注意：安装加速度计的试验表面必须为钢制，且应平整、光滑、没有毛刺和损伤；表面粗糙度R,应优于1μm,平面度应优于5μm。安装螺纹孔应与安装面垂直，其垂直度应优于10μm。对接触面应进行润滑，并给出所用润滑剂。如采用一个以上的螺钉时，每个螺钉都应进行安装力矩的试验。力矩测量仪的最大允许误差为±1.5%。</w:t>
      </w:r>
    </w:p>
    <w:p w14:paraId="4EECB430">
      <w:pPr>
        <w:ind w:firstLine="420"/>
        <w:rPr>
          <w:color w:val="auto"/>
          <w:highlight w:val="none"/>
        </w:rPr>
      </w:pPr>
      <w:r>
        <w:rPr>
          <w:color w:val="auto"/>
          <w:highlight w:val="none"/>
        </w:rPr>
        <w:t>安装力矩灵敏度计算公式：</w:t>
      </w:r>
    </w:p>
    <w:p w14:paraId="68C666D8">
      <w:pPr>
        <w:ind w:firstLine="3360" w:firstLineChars="1600"/>
        <w:rPr>
          <w:color w:val="auto"/>
          <w:highlight w:val="none"/>
        </w:rPr>
      </w:pPr>
      <m:oMath>
        <m:sSub>
          <m:sSubPr>
            <m:ctrlPr>
              <w:rPr>
                <w:rFonts w:ascii="Cambria Math" w:hAnsi="Cambria Math"/>
                <w:i/>
                <w:color w:val="auto"/>
                <w:highlight w:val="none"/>
              </w:rPr>
            </m:ctrlPr>
          </m:sSubPr>
          <m:e>
            <m:r>
              <m:rPr/>
              <w:rPr>
                <w:rFonts w:ascii="Cambria Math" w:hAnsi="Cambria Math"/>
                <w:color w:val="auto"/>
                <w:highlight w:val="none"/>
              </w:rPr>
              <m:t>S</m:t>
            </m:r>
            <m:ctrlPr>
              <w:rPr>
                <w:rFonts w:ascii="Cambria Math" w:hAnsi="Cambria Math"/>
                <w:i/>
                <w:color w:val="auto"/>
                <w:highlight w:val="none"/>
              </w:rPr>
            </m:ctrlPr>
          </m:e>
          <m:sub>
            <m:r>
              <m:rPr/>
              <w:rPr>
                <w:rFonts w:hint="eastAsia" w:ascii="Cambria Math" w:hAnsi="Cambria Math"/>
                <w:color w:val="auto"/>
                <w:highlight w:val="none"/>
              </w:rPr>
              <m:t>T</m:t>
            </m:r>
            <m:ctrlPr>
              <w:rPr>
                <w:rFonts w:ascii="Cambria Math" w:hAnsi="Cambria Math"/>
                <w:i/>
                <w:color w:val="auto"/>
                <w:highlight w:val="none"/>
              </w:rPr>
            </m:ctrlPr>
          </m:sub>
        </m:sSub>
        <m:r>
          <m:rPr/>
          <w:rPr>
            <w:rFonts w:ascii="Cambria Math" w:hAnsi="Cambria Math"/>
            <w:color w:val="auto"/>
            <w:highlight w:val="none"/>
          </w:rPr>
          <m:t>=</m:t>
        </m:r>
        <m:f>
          <m:fPr>
            <m:ctrlPr>
              <w:rPr>
                <w:rFonts w:ascii="Cambria Math" w:hAnsi="Cambria Math"/>
                <w:i/>
                <w:color w:val="auto"/>
                <w:highlight w:val="none"/>
              </w:rPr>
            </m:ctrlPr>
          </m:fPr>
          <m:num>
            <m:sSub>
              <m:sSubPr>
                <m:ctrlPr>
                  <w:rPr>
                    <w:rFonts w:ascii="Cambria Math" w:hAnsi="Cambria Math"/>
                    <w:i/>
                    <w:color w:val="auto"/>
                    <w:highlight w:val="none"/>
                  </w:rPr>
                </m:ctrlPr>
              </m:sSubPr>
              <m:e>
                <m:r>
                  <m:rPr/>
                  <w:rPr>
                    <w:rFonts w:hint="eastAsia" w:ascii="Cambria Math" w:hAnsi="Cambria Math"/>
                    <w:color w:val="auto"/>
                    <w:highlight w:val="none"/>
                  </w:rPr>
                  <m:t>S</m:t>
                </m:r>
                <m:ctrlPr>
                  <w:rPr>
                    <w:rFonts w:ascii="Cambria Math" w:hAnsi="Cambria Math"/>
                    <w:i/>
                    <w:color w:val="auto"/>
                    <w:highlight w:val="none"/>
                  </w:rPr>
                </m:ctrlPr>
              </m:e>
              <m:sub>
                <m:r>
                  <m:rPr/>
                  <w:rPr>
                    <w:rFonts w:hint="eastAsia" w:ascii="Cambria Math" w:hAnsi="Cambria Math"/>
                    <w:color w:val="auto"/>
                    <w:highlight w:val="none"/>
                  </w:rPr>
                  <m:t>X</m:t>
                </m:r>
                <m:ctrlPr>
                  <w:rPr>
                    <w:rFonts w:ascii="Cambria Math" w:hAnsi="Cambria Math"/>
                    <w:i/>
                    <w:color w:val="auto"/>
                    <w:highlight w:val="none"/>
                  </w:rPr>
                </m:ctrlPr>
              </m:sub>
            </m:sSub>
            <m:r>
              <m:rPr/>
              <w:rPr>
                <w:rFonts w:ascii="Cambria Math" w:hAnsi="Cambria Math"/>
                <w:color w:val="auto"/>
                <w:highlight w:val="none"/>
              </w:rPr>
              <m:t>−</m:t>
            </m:r>
            <m:r>
              <m:rPr/>
              <w:rPr>
                <w:rFonts w:hint="eastAsia" w:ascii="Cambria Math" w:hAnsi="Cambria Math"/>
                <w:color w:val="auto"/>
                <w:highlight w:val="none"/>
              </w:rPr>
              <m:t>S</m:t>
            </m:r>
            <m:ctrlPr>
              <w:rPr>
                <w:rFonts w:ascii="Cambria Math" w:hAnsi="Cambria Math"/>
                <w:i/>
                <w:color w:val="auto"/>
                <w:highlight w:val="none"/>
              </w:rPr>
            </m:ctrlPr>
          </m:num>
          <m:den>
            <m:r>
              <m:rPr/>
              <w:rPr>
                <w:rFonts w:hint="eastAsia" w:ascii="Cambria Math" w:hAnsi="Cambria Math"/>
                <w:color w:val="auto"/>
                <w:highlight w:val="none"/>
              </w:rPr>
              <m:t>S</m:t>
            </m:r>
            <m:ctrlPr>
              <w:rPr>
                <w:rFonts w:ascii="Cambria Math" w:hAnsi="Cambria Math"/>
                <w:i/>
                <w:color w:val="auto"/>
                <w:highlight w:val="none"/>
              </w:rPr>
            </m:ctrlPr>
          </m:den>
        </m:f>
        <m:r>
          <m:rPr/>
          <w:rPr>
            <w:rFonts w:ascii="Cambria Math" w:hAnsi="Cambria Math"/>
            <w:color w:val="auto"/>
            <w:highlight w:val="none"/>
          </w:rPr>
          <m:t xml:space="preserve">× 100% </m:t>
        </m:r>
      </m:oMath>
      <w:r>
        <w:rPr>
          <w:color w:val="auto"/>
          <w:highlight w:val="none"/>
        </w:rPr>
        <w:t xml:space="preserve">                  </w:t>
      </w:r>
      <w:r>
        <w:rPr>
          <w:rFonts w:hint="eastAsia"/>
          <w:color w:val="auto"/>
          <w:highlight w:val="none"/>
        </w:rPr>
        <w:t xml:space="preserve">     </w:t>
      </w:r>
      <w:r>
        <w:rPr>
          <w:color w:val="auto"/>
          <w:highlight w:val="none"/>
        </w:rPr>
        <w:t xml:space="preserve">   (B.5)</w:t>
      </w:r>
    </w:p>
    <w:p w14:paraId="3A04464F">
      <w:pPr>
        <w:rPr>
          <w:color w:val="auto"/>
          <w:highlight w:val="none"/>
        </w:rPr>
      </w:pPr>
      <w:r>
        <w:rPr>
          <w:color w:val="auto"/>
          <w:highlight w:val="none"/>
        </w:rPr>
        <w:t>式中</w:t>
      </w:r>
      <w:r>
        <w:rPr>
          <w:rFonts w:hint="eastAsia"/>
          <w:color w:val="auto"/>
          <w:highlight w:val="none"/>
        </w:rPr>
        <w:t xml:space="preserve">  </w:t>
      </w:r>
      <w:r>
        <w:rPr>
          <w:color w:val="auto"/>
          <w:highlight w:val="none"/>
        </w:rPr>
        <w:t>S</w:t>
      </w:r>
      <w:r>
        <w:rPr>
          <w:rFonts w:hint="eastAsia"/>
          <w:color w:val="auto"/>
          <w:highlight w:val="none"/>
          <w:vertAlign w:val="subscript"/>
        </w:rPr>
        <w:t>T</w:t>
      </w:r>
      <w:r>
        <w:rPr>
          <w:rFonts w:hint="eastAsia"/>
          <w:color w:val="auto"/>
          <w:highlight w:val="none"/>
        </w:rPr>
        <w:t>——</w:t>
      </w:r>
      <w:r>
        <w:rPr>
          <w:color w:val="auto"/>
          <w:highlight w:val="none"/>
        </w:rPr>
        <w:t>安装力矩灵敏度，%；</w:t>
      </w:r>
    </w:p>
    <w:p w14:paraId="659B7AA5">
      <w:pPr>
        <w:ind w:firstLine="630" w:firstLineChars="300"/>
        <w:rPr>
          <w:color w:val="auto"/>
          <w:highlight w:val="none"/>
        </w:rPr>
      </w:pPr>
      <w:r>
        <w:rPr>
          <w:color w:val="auto"/>
          <w:highlight w:val="none"/>
        </w:rPr>
        <w:t>S</w:t>
      </w:r>
      <w:r>
        <w:rPr>
          <w:rFonts w:hint="eastAsia"/>
          <w:color w:val="auto"/>
          <w:highlight w:val="none"/>
          <w:vertAlign w:val="subscript"/>
        </w:rPr>
        <w:t>X</w:t>
      </w:r>
      <w:r>
        <w:rPr>
          <w:rFonts w:hint="eastAsia"/>
          <w:color w:val="auto"/>
          <w:highlight w:val="none"/>
        </w:rPr>
        <w:t>——</w:t>
      </w:r>
      <w:r>
        <w:rPr>
          <w:color w:val="auto"/>
          <w:highlight w:val="none"/>
        </w:rPr>
        <w:t>在1/2或2倍规定安装力矩的灵敏度，m</w:t>
      </w:r>
      <w:r>
        <w:rPr>
          <w:rFonts w:hint="eastAsia"/>
          <w:color w:val="auto"/>
          <w:highlight w:val="none"/>
        </w:rPr>
        <w:t>V</w:t>
      </w:r>
      <w:r>
        <w:rPr>
          <w:color w:val="auto"/>
          <w:highlight w:val="none"/>
        </w:rPr>
        <w:t>/（m·s</w:t>
      </w:r>
      <w:r>
        <w:rPr>
          <w:rFonts w:hint="eastAsia"/>
          <w:color w:val="auto"/>
          <w:highlight w:val="none"/>
          <w:vertAlign w:val="superscript"/>
        </w:rPr>
        <w:t>-2</w:t>
      </w:r>
      <w:r>
        <w:rPr>
          <w:color w:val="auto"/>
          <w:highlight w:val="none"/>
        </w:rPr>
        <w:t>）或pC/（m·s</w:t>
      </w:r>
      <w:r>
        <w:rPr>
          <w:rFonts w:hint="eastAsia"/>
          <w:color w:val="auto"/>
          <w:highlight w:val="none"/>
          <w:vertAlign w:val="superscript"/>
        </w:rPr>
        <w:t>-2</w:t>
      </w:r>
      <w:r>
        <w:rPr>
          <w:color w:val="auto"/>
          <w:highlight w:val="none"/>
        </w:rPr>
        <w:t>）；</w:t>
      </w:r>
    </w:p>
    <w:p w14:paraId="4A918419">
      <w:pPr>
        <w:ind w:firstLine="630" w:firstLineChars="300"/>
        <w:rPr>
          <w:color w:val="auto"/>
          <w:highlight w:val="none"/>
        </w:rPr>
      </w:pPr>
      <w:r>
        <w:rPr>
          <w:color w:val="auto"/>
          <w:highlight w:val="none"/>
        </w:rPr>
        <w:t>S</w:t>
      </w:r>
      <w:r>
        <w:rPr>
          <w:rFonts w:hint="eastAsia"/>
          <w:color w:val="auto"/>
          <w:highlight w:val="none"/>
        </w:rPr>
        <w:t>——</w:t>
      </w:r>
      <w:r>
        <w:rPr>
          <w:color w:val="auto"/>
          <w:highlight w:val="none"/>
        </w:rPr>
        <w:t>在规定安装力矩时的参考灵敏度，mV/（m·s</w:t>
      </w:r>
      <w:r>
        <w:rPr>
          <w:rFonts w:hint="eastAsia"/>
          <w:color w:val="auto"/>
          <w:highlight w:val="none"/>
          <w:vertAlign w:val="superscript"/>
        </w:rPr>
        <w:t>-2</w:t>
      </w:r>
      <w:r>
        <w:rPr>
          <w:color w:val="auto"/>
          <w:highlight w:val="none"/>
        </w:rPr>
        <w:t>）或pC/（m·s</w:t>
      </w:r>
      <w:r>
        <w:rPr>
          <w:rFonts w:hint="eastAsia"/>
          <w:color w:val="auto"/>
          <w:highlight w:val="none"/>
          <w:vertAlign w:val="superscript"/>
        </w:rPr>
        <w:t>-2</w:t>
      </w:r>
      <w:r>
        <w:rPr>
          <w:color w:val="auto"/>
          <w:highlight w:val="none"/>
        </w:rPr>
        <w:t>）。</w:t>
      </w:r>
    </w:p>
    <w:p w14:paraId="673A3DC4">
      <w:pPr>
        <w:rPr>
          <w:color w:val="auto"/>
          <w:highlight w:val="none"/>
        </w:rPr>
      </w:pPr>
      <w:r>
        <w:rPr>
          <w:color w:val="auto"/>
          <w:highlight w:val="none"/>
        </w:rPr>
        <w:br w:type="page"/>
      </w:r>
    </w:p>
    <w:p w14:paraId="7874F33F">
      <w:pPr>
        <w:rPr>
          <w:b/>
          <w:bCs/>
          <w:color w:val="auto"/>
          <w:sz w:val="24"/>
          <w:highlight w:val="none"/>
        </w:rPr>
      </w:pPr>
      <w:r>
        <w:rPr>
          <w:b/>
          <w:bCs/>
          <w:color w:val="auto"/>
          <w:sz w:val="24"/>
          <w:highlight w:val="none"/>
        </w:rPr>
        <w:t>附录C</w:t>
      </w:r>
    </w:p>
    <w:p w14:paraId="677B0620">
      <w:pPr>
        <w:rPr>
          <w:b/>
          <w:bCs/>
          <w:color w:val="auto"/>
          <w:sz w:val="24"/>
          <w:highlight w:val="none"/>
        </w:rPr>
      </w:pPr>
    </w:p>
    <w:p w14:paraId="7363DD4C">
      <w:pPr>
        <w:jc w:val="center"/>
        <w:rPr>
          <w:color w:val="auto"/>
          <w:szCs w:val="21"/>
          <w:highlight w:val="none"/>
        </w:rPr>
      </w:pPr>
      <w:r>
        <w:rPr>
          <w:b/>
          <w:bCs/>
          <w:color w:val="auto"/>
          <w:sz w:val="24"/>
          <w:highlight w:val="none"/>
        </w:rPr>
        <w:t>加速度计检定证书内页格式</w:t>
      </w:r>
    </w:p>
    <w:p w14:paraId="0B3D640A">
      <w:pPr>
        <w:spacing w:line="360" w:lineRule="auto"/>
        <w:rPr>
          <w:color w:val="auto"/>
          <w:szCs w:val="21"/>
          <w:highlight w:val="none"/>
        </w:rPr>
      </w:pPr>
    </w:p>
    <w:p w14:paraId="0AEA2530">
      <w:pPr>
        <w:spacing w:line="360" w:lineRule="auto"/>
        <w:rPr>
          <w:color w:val="auto"/>
          <w:szCs w:val="21"/>
          <w:highlight w:val="none"/>
        </w:rPr>
      </w:pPr>
      <w:r>
        <w:rPr>
          <w:color w:val="auto"/>
          <w:szCs w:val="21"/>
          <w:highlight w:val="none"/>
        </w:rPr>
        <w:t>1.参考灵敏度（参考条件：</w:t>
      </w:r>
      <w:r>
        <w:rPr>
          <w:color w:val="auto"/>
          <w:szCs w:val="21"/>
          <w:highlight w:val="none"/>
          <w:u w:val="single"/>
        </w:rPr>
        <w:t xml:space="preserve">          </w:t>
      </w:r>
      <w:r>
        <w:rPr>
          <w:color w:val="auto"/>
          <w:szCs w:val="21"/>
          <w:highlight w:val="none"/>
        </w:rPr>
        <w:t>Hz;</w:t>
      </w:r>
      <w:r>
        <w:rPr>
          <w:color w:val="auto"/>
          <w:szCs w:val="21"/>
          <w:highlight w:val="none"/>
          <w:u w:val="single"/>
        </w:rPr>
        <w:t xml:space="preserve">            </w:t>
      </w:r>
      <w:r>
        <w:rPr>
          <w:color w:val="auto"/>
          <w:szCs w:val="21"/>
          <w:highlight w:val="none"/>
        </w:rPr>
        <w:t>m/s²）</w:t>
      </w:r>
    </w:p>
    <w:p w14:paraId="14D66E0E">
      <w:pPr>
        <w:spacing w:line="360" w:lineRule="auto"/>
        <w:ind w:firstLine="210" w:firstLineChars="100"/>
        <w:rPr>
          <w:color w:val="auto"/>
          <w:szCs w:val="21"/>
          <w:highlight w:val="none"/>
        </w:rPr>
      </w:pPr>
      <w:r>
        <w:rPr>
          <w:color w:val="auto"/>
          <w:szCs w:val="21"/>
          <w:highlight w:val="none"/>
        </w:rPr>
        <w:t>灵敏度幅值</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 xml:space="preserve">； </w:t>
      </w:r>
      <w:r>
        <w:rPr>
          <w:color w:val="auto"/>
          <w:szCs w:val="21"/>
          <w:highlight w:val="none"/>
        </w:rPr>
        <w:t>灵敏度相移</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1FC1932">
      <w:pPr>
        <w:spacing w:line="360" w:lineRule="auto"/>
        <w:rPr>
          <w:color w:val="auto"/>
          <w:szCs w:val="21"/>
          <w:highlight w:val="none"/>
        </w:rPr>
      </w:pPr>
      <w:r>
        <w:rPr>
          <w:color w:val="auto"/>
          <w:szCs w:val="21"/>
          <w:highlight w:val="none"/>
        </w:rPr>
        <w:t>2.灵敏度幅频和相频响应</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1D09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restart"/>
            <w:vAlign w:val="center"/>
          </w:tcPr>
          <w:p w14:paraId="4C9940EC">
            <w:pPr>
              <w:jc w:val="center"/>
              <w:rPr>
                <w:color w:val="auto"/>
                <w:szCs w:val="21"/>
                <w:highlight w:val="none"/>
              </w:rPr>
            </w:pPr>
            <w:r>
              <w:rPr>
                <w:color w:val="auto"/>
                <w:szCs w:val="21"/>
                <w:highlight w:val="none"/>
              </w:rPr>
              <w:t>频率/Hz</w:t>
            </w:r>
          </w:p>
        </w:tc>
        <w:tc>
          <w:tcPr>
            <w:tcW w:w="2074" w:type="dxa"/>
            <w:vMerge w:val="restart"/>
            <w:vAlign w:val="center"/>
          </w:tcPr>
          <w:p w14:paraId="5FDDF026">
            <w:pPr>
              <w:jc w:val="center"/>
              <w:rPr>
                <w:color w:val="auto"/>
                <w:szCs w:val="21"/>
                <w:highlight w:val="none"/>
              </w:rPr>
            </w:pPr>
            <w:r>
              <w:rPr>
                <w:color w:val="auto"/>
                <w:szCs w:val="21"/>
                <w:highlight w:val="none"/>
              </w:rPr>
              <w:t>加速度/（m/s²）</w:t>
            </w:r>
          </w:p>
        </w:tc>
        <w:tc>
          <w:tcPr>
            <w:tcW w:w="4148" w:type="dxa"/>
            <w:gridSpan w:val="2"/>
            <w:vAlign w:val="center"/>
          </w:tcPr>
          <w:p w14:paraId="793DB3EC">
            <w:pPr>
              <w:jc w:val="center"/>
              <w:rPr>
                <w:color w:val="auto"/>
                <w:szCs w:val="21"/>
                <w:highlight w:val="none"/>
              </w:rPr>
            </w:pPr>
            <w:r>
              <w:rPr>
                <w:color w:val="auto"/>
                <w:szCs w:val="21"/>
                <w:highlight w:val="none"/>
              </w:rPr>
              <w:t>灵敏度幅频和相频响应</w:t>
            </w:r>
          </w:p>
        </w:tc>
      </w:tr>
      <w:tr w14:paraId="0B40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Merge w:val="continue"/>
            <w:vAlign w:val="center"/>
          </w:tcPr>
          <w:p w14:paraId="0DEE8F5B">
            <w:pPr>
              <w:jc w:val="center"/>
              <w:rPr>
                <w:color w:val="auto"/>
                <w:szCs w:val="21"/>
                <w:highlight w:val="none"/>
              </w:rPr>
            </w:pPr>
          </w:p>
        </w:tc>
        <w:tc>
          <w:tcPr>
            <w:tcW w:w="2074" w:type="dxa"/>
            <w:vMerge w:val="continue"/>
            <w:vAlign w:val="center"/>
          </w:tcPr>
          <w:p w14:paraId="3E8BABF6">
            <w:pPr>
              <w:jc w:val="center"/>
              <w:rPr>
                <w:color w:val="auto"/>
                <w:szCs w:val="21"/>
                <w:highlight w:val="none"/>
              </w:rPr>
            </w:pPr>
          </w:p>
        </w:tc>
        <w:tc>
          <w:tcPr>
            <w:tcW w:w="2074" w:type="dxa"/>
            <w:vAlign w:val="center"/>
          </w:tcPr>
          <w:p w14:paraId="4BFFAB85">
            <w:pPr>
              <w:jc w:val="center"/>
              <w:rPr>
                <w:color w:val="auto"/>
                <w:szCs w:val="21"/>
                <w:highlight w:val="none"/>
              </w:rPr>
            </w:pPr>
            <w:r>
              <w:rPr>
                <w:color w:val="auto"/>
                <w:szCs w:val="21"/>
                <w:highlight w:val="none"/>
              </w:rPr>
              <w:t>幅频/%</w:t>
            </w:r>
          </w:p>
        </w:tc>
        <w:tc>
          <w:tcPr>
            <w:tcW w:w="2074" w:type="dxa"/>
            <w:vAlign w:val="center"/>
          </w:tcPr>
          <w:p w14:paraId="55EED529">
            <w:pPr>
              <w:jc w:val="center"/>
              <w:rPr>
                <w:color w:val="auto"/>
                <w:szCs w:val="21"/>
                <w:highlight w:val="none"/>
              </w:rPr>
            </w:pPr>
            <w:r>
              <w:rPr>
                <w:color w:val="auto"/>
                <w:szCs w:val="21"/>
                <w:highlight w:val="none"/>
              </w:rPr>
              <w:t>相频/（°）</w:t>
            </w:r>
          </w:p>
        </w:tc>
      </w:tr>
      <w:tr w14:paraId="60F3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05B98DA3">
            <w:pPr>
              <w:jc w:val="center"/>
              <w:rPr>
                <w:color w:val="auto"/>
                <w:szCs w:val="21"/>
                <w:highlight w:val="none"/>
              </w:rPr>
            </w:pPr>
          </w:p>
        </w:tc>
        <w:tc>
          <w:tcPr>
            <w:tcW w:w="2074" w:type="dxa"/>
            <w:vAlign w:val="center"/>
          </w:tcPr>
          <w:p w14:paraId="3D714068">
            <w:pPr>
              <w:jc w:val="center"/>
              <w:rPr>
                <w:color w:val="auto"/>
                <w:szCs w:val="21"/>
                <w:highlight w:val="none"/>
              </w:rPr>
            </w:pPr>
          </w:p>
        </w:tc>
        <w:tc>
          <w:tcPr>
            <w:tcW w:w="2074" w:type="dxa"/>
            <w:vAlign w:val="center"/>
          </w:tcPr>
          <w:p w14:paraId="58D54E0D">
            <w:pPr>
              <w:jc w:val="center"/>
              <w:rPr>
                <w:color w:val="auto"/>
                <w:szCs w:val="21"/>
                <w:highlight w:val="none"/>
              </w:rPr>
            </w:pPr>
          </w:p>
        </w:tc>
        <w:tc>
          <w:tcPr>
            <w:tcW w:w="2074" w:type="dxa"/>
            <w:vAlign w:val="center"/>
          </w:tcPr>
          <w:p w14:paraId="0D648FF4">
            <w:pPr>
              <w:jc w:val="center"/>
              <w:rPr>
                <w:color w:val="auto"/>
                <w:szCs w:val="21"/>
                <w:highlight w:val="none"/>
              </w:rPr>
            </w:pPr>
          </w:p>
        </w:tc>
      </w:tr>
      <w:tr w14:paraId="2570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3AA5DF3">
            <w:pPr>
              <w:jc w:val="center"/>
              <w:rPr>
                <w:color w:val="auto"/>
                <w:szCs w:val="21"/>
                <w:highlight w:val="none"/>
              </w:rPr>
            </w:pPr>
          </w:p>
        </w:tc>
        <w:tc>
          <w:tcPr>
            <w:tcW w:w="2074" w:type="dxa"/>
            <w:vAlign w:val="center"/>
          </w:tcPr>
          <w:p w14:paraId="56003A04">
            <w:pPr>
              <w:jc w:val="center"/>
              <w:rPr>
                <w:color w:val="auto"/>
                <w:szCs w:val="21"/>
                <w:highlight w:val="none"/>
              </w:rPr>
            </w:pPr>
          </w:p>
        </w:tc>
        <w:tc>
          <w:tcPr>
            <w:tcW w:w="2074" w:type="dxa"/>
            <w:vAlign w:val="center"/>
          </w:tcPr>
          <w:p w14:paraId="5F20904E">
            <w:pPr>
              <w:jc w:val="center"/>
              <w:rPr>
                <w:color w:val="auto"/>
                <w:szCs w:val="21"/>
                <w:highlight w:val="none"/>
              </w:rPr>
            </w:pPr>
          </w:p>
        </w:tc>
        <w:tc>
          <w:tcPr>
            <w:tcW w:w="2074" w:type="dxa"/>
            <w:vAlign w:val="center"/>
          </w:tcPr>
          <w:p w14:paraId="73269CA3">
            <w:pPr>
              <w:jc w:val="center"/>
              <w:rPr>
                <w:color w:val="auto"/>
                <w:szCs w:val="21"/>
                <w:highlight w:val="none"/>
              </w:rPr>
            </w:pPr>
          </w:p>
        </w:tc>
      </w:tr>
      <w:tr w14:paraId="67F6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0684C38D">
            <w:pPr>
              <w:jc w:val="center"/>
              <w:rPr>
                <w:color w:val="auto"/>
                <w:szCs w:val="21"/>
                <w:highlight w:val="none"/>
              </w:rPr>
            </w:pPr>
          </w:p>
        </w:tc>
        <w:tc>
          <w:tcPr>
            <w:tcW w:w="2074" w:type="dxa"/>
            <w:vAlign w:val="center"/>
          </w:tcPr>
          <w:p w14:paraId="6CDF6A45">
            <w:pPr>
              <w:jc w:val="center"/>
              <w:rPr>
                <w:color w:val="auto"/>
                <w:szCs w:val="21"/>
                <w:highlight w:val="none"/>
              </w:rPr>
            </w:pPr>
          </w:p>
        </w:tc>
        <w:tc>
          <w:tcPr>
            <w:tcW w:w="2074" w:type="dxa"/>
            <w:vAlign w:val="center"/>
          </w:tcPr>
          <w:p w14:paraId="0329C53B">
            <w:pPr>
              <w:jc w:val="center"/>
              <w:rPr>
                <w:color w:val="auto"/>
                <w:szCs w:val="21"/>
                <w:highlight w:val="none"/>
              </w:rPr>
            </w:pPr>
          </w:p>
        </w:tc>
        <w:tc>
          <w:tcPr>
            <w:tcW w:w="2074" w:type="dxa"/>
            <w:vAlign w:val="center"/>
          </w:tcPr>
          <w:p w14:paraId="067AEED2">
            <w:pPr>
              <w:jc w:val="center"/>
              <w:rPr>
                <w:color w:val="auto"/>
                <w:szCs w:val="21"/>
                <w:highlight w:val="none"/>
              </w:rPr>
            </w:pPr>
          </w:p>
        </w:tc>
      </w:tr>
      <w:tr w14:paraId="3C7E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5603055">
            <w:pPr>
              <w:jc w:val="center"/>
              <w:rPr>
                <w:color w:val="auto"/>
                <w:szCs w:val="21"/>
                <w:highlight w:val="none"/>
              </w:rPr>
            </w:pPr>
          </w:p>
        </w:tc>
        <w:tc>
          <w:tcPr>
            <w:tcW w:w="2074" w:type="dxa"/>
            <w:vAlign w:val="center"/>
          </w:tcPr>
          <w:p w14:paraId="7A49A594">
            <w:pPr>
              <w:jc w:val="center"/>
              <w:rPr>
                <w:color w:val="auto"/>
                <w:szCs w:val="21"/>
                <w:highlight w:val="none"/>
              </w:rPr>
            </w:pPr>
          </w:p>
        </w:tc>
        <w:tc>
          <w:tcPr>
            <w:tcW w:w="2074" w:type="dxa"/>
            <w:vAlign w:val="center"/>
          </w:tcPr>
          <w:p w14:paraId="2DA5C59E">
            <w:pPr>
              <w:jc w:val="center"/>
              <w:rPr>
                <w:color w:val="auto"/>
                <w:szCs w:val="21"/>
                <w:highlight w:val="none"/>
              </w:rPr>
            </w:pPr>
          </w:p>
        </w:tc>
        <w:tc>
          <w:tcPr>
            <w:tcW w:w="2074" w:type="dxa"/>
            <w:vAlign w:val="center"/>
          </w:tcPr>
          <w:p w14:paraId="4CDCEC9B">
            <w:pPr>
              <w:jc w:val="center"/>
              <w:rPr>
                <w:color w:val="auto"/>
                <w:szCs w:val="21"/>
                <w:highlight w:val="none"/>
              </w:rPr>
            </w:pPr>
          </w:p>
        </w:tc>
      </w:tr>
      <w:tr w14:paraId="6908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3C12129">
            <w:pPr>
              <w:jc w:val="center"/>
              <w:rPr>
                <w:color w:val="auto"/>
                <w:szCs w:val="21"/>
                <w:highlight w:val="none"/>
              </w:rPr>
            </w:pPr>
          </w:p>
        </w:tc>
        <w:tc>
          <w:tcPr>
            <w:tcW w:w="2074" w:type="dxa"/>
            <w:vAlign w:val="center"/>
          </w:tcPr>
          <w:p w14:paraId="45544336">
            <w:pPr>
              <w:jc w:val="center"/>
              <w:rPr>
                <w:color w:val="auto"/>
                <w:szCs w:val="21"/>
                <w:highlight w:val="none"/>
              </w:rPr>
            </w:pPr>
          </w:p>
        </w:tc>
        <w:tc>
          <w:tcPr>
            <w:tcW w:w="2074" w:type="dxa"/>
            <w:vAlign w:val="center"/>
          </w:tcPr>
          <w:p w14:paraId="10991004">
            <w:pPr>
              <w:jc w:val="center"/>
              <w:rPr>
                <w:color w:val="auto"/>
                <w:szCs w:val="21"/>
                <w:highlight w:val="none"/>
              </w:rPr>
            </w:pPr>
          </w:p>
        </w:tc>
        <w:tc>
          <w:tcPr>
            <w:tcW w:w="2074" w:type="dxa"/>
            <w:vAlign w:val="center"/>
          </w:tcPr>
          <w:p w14:paraId="66997B01">
            <w:pPr>
              <w:jc w:val="center"/>
              <w:rPr>
                <w:color w:val="auto"/>
                <w:szCs w:val="21"/>
                <w:highlight w:val="none"/>
              </w:rPr>
            </w:pPr>
          </w:p>
        </w:tc>
      </w:tr>
    </w:tbl>
    <w:p w14:paraId="03B923D8">
      <w:pPr>
        <w:spacing w:line="360" w:lineRule="auto"/>
        <w:rPr>
          <w:color w:val="auto"/>
          <w:szCs w:val="21"/>
          <w:highlight w:val="none"/>
        </w:rPr>
      </w:pPr>
      <w:r>
        <w:rPr>
          <w:color w:val="auto"/>
          <w:szCs w:val="21"/>
          <w:highlight w:val="none"/>
        </w:rPr>
        <w:t>3.灵敏度幅值线性度</w:t>
      </w:r>
      <w:r>
        <w:rPr>
          <w:color w:val="auto"/>
          <w:szCs w:val="21"/>
          <w:highlight w:val="none"/>
          <w:u w:val="single"/>
        </w:rPr>
        <w:t xml:space="preserve">          </w:t>
      </w:r>
      <w:r>
        <w:rPr>
          <w:color w:val="auto"/>
          <w:szCs w:val="21"/>
          <w:highlight w:val="none"/>
        </w:rPr>
        <w:t>%</w:t>
      </w:r>
    </w:p>
    <w:p w14:paraId="61EF5B8E">
      <w:pPr>
        <w:spacing w:line="360" w:lineRule="auto"/>
        <w:rPr>
          <w:color w:val="auto"/>
          <w:szCs w:val="21"/>
          <w:highlight w:val="none"/>
        </w:rPr>
      </w:pPr>
      <w:r>
        <w:rPr>
          <w:color w:val="auto"/>
          <w:szCs w:val="21"/>
          <w:highlight w:val="none"/>
        </w:rPr>
        <w:t>4.参考灵敏度幅值年稳定度</w:t>
      </w:r>
      <w:r>
        <w:rPr>
          <w:color w:val="auto"/>
          <w:szCs w:val="21"/>
          <w:highlight w:val="none"/>
          <w:u w:val="single"/>
        </w:rPr>
        <w:t xml:space="preserve">          </w:t>
      </w:r>
      <w:r>
        <w:rPr>
          <w:color w:val="auto"/>
          <w:szCs w:val="21"/>
          <w:highlight w:val="none"/>
        </w:rPr>
        <w:t>%</w:t>
      </w:r>
    </w:p>
    <w:p w14:paraId="19D96153">
      <w:pPr>
        <w:spacing w:line="360" w:lineRule="auto"/>
        <w:rPr>
          <w:color w:val="auto"/>
          <w:szCs w:val="21"/>
          <w:highlight w:val="none"/>
        </w:rPr>
      </w:pPr>
      <w:r>
        <w:rPr>
          <w:rFonts w:hint="eastAsia"/>
          <w:color w:val="auto"/>
          <w:szCs w:val="21"/>
          <w:highlight w:val="none"/>
        </w:rPr>
        <w:t>5.</w:t>
      </w:r>
      <w:r>
        <w:rPr>
          <w:color w:val="auto"/>
          <w:szCs w:val="21"/>
          <w:highlight w:val="none"/>
        </w:rPr>
        <w:t>参考灵敏度</w:t>
      </w:r>
      <w:r>
        <w:rPr>
          <w:rFonts w:hint="eastAsia"/>
          <w:color w:val="auto"/>
          <w:szCs w:val="21"/>
          <w:highlight w:val="none"/>
        </w:rPr>
        <w:t>横向振动比</w:t>
      </w:r>
      <w:r>
        <w:rPr>
          <w:color w:val="auto"/>
          <w:szCs w:val="21"/>
          <w:highlight w:val="none"/>
          <w:u w:val="single"/>
        </w:rPr>
        <w:t xml:space="preserve">          </w:t>
      </w:r>
      <w:r>
        <w:rPr>
          <w:color w:val="auto"/>
          <w:szCs w:val="21"/>
          <w:highlight w:val="none"/>
        </w:rPr>
        <w:t>%</w:t>
      </w:r>
    </w:p>
    <w:p w14:paraId="28C41852">
      <w:pPr>
        <w:spacing w:line="360" w:lineRule="auto"/>
        <w:rPr>
          <w:color w:val="auto"/>
          <w:szCs w:val="21"/>
          <w:highlight w:val="none"/>
        </w:rPr>
      </w:pPr>
      <w:r>
        <w:rPr>
          <w:rFonts w:hint="eastAsia"/>
          <w:color w:val="auto"/>
          <w:szCs w:val="21"/>
          <w:highlight w:val="none"/>
        </w:rPr>
        <w:t>6</w:t>
      </w:r>
      <w:r>
        <w:rPr>
          <w:color w:val="auto"/>
          <w:szCs w:val="21"/>
          <w:highlight w:val="none"/>
        </w:rPr>
        <w:t>.检定条件</w:t>
      </w:r>
    </w:p>
    <w:p w14:paraId="3FBEE1CE">
      <w:pPr>
        <w:spacing w:line="360" w:lineRule="auto"/>
        <w:ind w:firstLine="480"/>
        <w:rPr>
          <w:color w:val="auto"/>
          <w:szCs w:val="21"/>
          <w:highlight w:val="none"/>
        </w:rPr>
      </w:pPr>
      <w:r>
        <w:rPr>
          <w:color w:val="auto"/>
          <w:szCs w:val="21"/>
          <w:highlight w:val="none"/>
        </w:rPr>
        <w:t>(应注明适调仪、模拟质量块、安装条件和激光反射方式等信息）</w:t>
      </w:r>
    </w:p>
    <w:p w14:paraId="4346F26E">
      <w:pPr>
        <w:rPr>
          <w:color w:val="auto"/>
          <w:szCs w:val="21"/>
          <w:highlight w:val="none"/>
        </w:rPr>
      </w:pPr>
      <w:r>
        <w:rPr>
          <w:color w:val="auto"/>
          <w:szCs w:val="21"/>
          <w:highlight w:val="none"/>
        </w:rPr>
        <w:br w:type="page"/>
      </w:r>
    </w:p>
    <w:p w14:paraId="4D7D950F">
      <w:pPr>
        <w:rPr>
          <w:b/>
          <w:bCs/>
          <w:color w:val="auto"/>
          <w:sz w:val="24"/>
          <w:highlight w:val="none"/>
        </w:rPr>
      </w:pPr>
      <w:r>
        <w:rPr>
          <w:b/>
          <w:bCs/>
          <w:color w:val="auto"/>
          <w:sz w:val="24"/>
          <w:highlight w:val="none"/>
        </w:rPr>
        <w:t>附录D</w:t>
      </w:r>
    </w:p>
    <w:p w14:paraId="70041A41">
      <w:pPr>
        <w:rPr>
          <w:b/>
          <w:bCs/>
          <w:color w:val="auto"/>
          <w:sz w:val="24"/>
          <w:highlight w:val="none"/>
        </w:rPr>
      </w:pPr>
    </w:p>
    <w:p w14:paraId="1D09AA27">
      <w:pPr>
        <w:jc w:val="center"/>
        <w:rPr>
          <w:b/>
          <w:bCs/>
          <w:color w:val="auto"/>
          <w:sz w:val="24"/>
          <w:highlight w:val="none"/>
        </w:rPr>
      </w:pPr>
      <w:r>
        <w:rPr>
          <w:b/>
          <w:bCs/>
          <w:color w:val="auto"/>
          <w:sz w:val="24"/>
          <w:highlight w:val="none"/>
        </w:rPr>
        <w:t>加速度计检定结果通知书内页格式</w:t>
      </w:r>
    </w:p>
    <w:p w14:paraId="402660BF">
      <w:pPr>
        <w:rPr>
          <w:color w:val="auto"/>
          <w:szCs w:val="21"/>
          <w:highlight w:val="none"/>
        </w:rPr>
      </w:pPr>
    </w:p>
    <w:p w14:paraId="7FCCE07A">
      <w:pPr>
        <w:spacing w:before="156" w:beforeLines="50" w:after="156" w:afterLines="50" w:line="360" w:lineRule="auto"/>
        <w:rPr>
          <w:color w:val="auto"/>
          <w:szCs w:val="21"/>
          <w:highlight w:val="none"/>
        </w:rPr>
      </w:pPr>
      <w:r>
        <w:rPr>
          <w:color w:val="auto"/>
          <w:szCs w:val="21"/>
          <w:highlight w:val="none"/>
        </w:rPr>
        <w:t>1.检定结果</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560"/>
        <w:gridCol w:w="5607"/>
      </w:tblGrid>
      <w:tr w14:paraId="156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530A3D">
            <w:pPr>
              <w:jc w:val="center"/>
              <w:rPr>
                <w:color w:val="auto"/>
                <w:szCs w:val="21"/>
                <w:highlight w:val="none"/>
              </w:rPr>
            </w:pPr>
            <w:r>
              <w:rPr>
                <w:color w:val="auto"/>
                <w:szCs w:val="21"/>
                <w:highlight w:val="none"/>
              </w:rPr>
              <w:t>序号</w:t>
            </w:r>
          </w:p>
        </w:tc>
        <w:tc>
          <w:tcPr>
            <w:tcW w:w="1560" w:type="dxa"/>
          </w:tcPr>
          <w:p w14:paraId="6C91ED37">
            <w:pPr>
              <w:jc w:val="center"/>
              <w:rPr>
                <w:color w:val="auto"/>
                <w:szCs w:val="21"/>
                <w:highlight w:val="none"/>
              </w:rPr>
            </w:pPr>
            <w:r>
              <w:rPr>
                <w:color w:val="auto"/>
                <w:szCs w:val="21"/>
                <w:highlight w:val="none"/>
              </w:rPr>
              <w:t>不合格项目</w:t>
            </w:r>
          </w:p>
        </w:tc>
        <w:tc>
          <w:tcPr>
            <w:tcW w:w="5607" w:type="dxa"/>
          </w:tcPr>
          <w:p w14:paraId="3AB156E0">
            <w:pPr>
              <w:jc w:val="center"/>
              <w:rPr>
                <w:color w:val="auto"/>
                <w:szCs w:val="21"/>
                <w:highlight w:val="none"/>
              </w:rPr>
            </w:pPr>
            <w:r>
              <w:rPr>
                <w:color w:val="auto"/>
                <w:szCs w:val="21"/>
                <w:highlight w:val="none"/>
              </w:rPr>
              <w:t>实际检定结果</w:t>
            </w:r>
          </w:p>
        </w:tc>
      </w:tr>
      <w:tr w14:paraId="2B84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DA57A1">
            <w:pPr>
              <w:rPr>
                <w:color w:val="auto"/>
                <w:szCs w:val="21"/>
                <w:highlight w:val="none"/>
              </w:rPr>
            </w:pPr>
          </w:p>
        </w:tc>
        <w:tc>
          <w:tcPr>
            <w:tcW w:w="1560" w:type="dxa"/>
          </w:tcPr>
          <w:p w14:paraId="6F0F62AC">
            <w:pPr>
              <w:rPr>
                <w:color w:val="auto"/>
                <w:szCs w:val="21"/>
                <w:highlight w:val="none"/>
              </w:rPr>
            </w:pPr>
          </w:p>
        </w:tc>
        <w:tc>
          <w:tcPr>
            <w:tcW w:w="5607" w:type="dxa"/>
          </w:tcPr>
          <w:p w14:paraId="07034D29">
            <w:pPr>
              <w:rPr>
                <w:color w:val="auto"/>
                <w:szCs w:val="21"/>
                <w:highlight w:val="none"/>
              </w:rPr>
            </w:pPr>
          </w:p>
        </w:tc>
      </w:tr>
      <w:tr w14:paraId="16B4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F4751B">
            <w:pPr>
              <w:rPr>
                <w:color w:val="auto"/>
                <w:szCs w:val="21"/>
                <w:highlight w:val="none"/>
              </w:rPr>
            </w:pPr>
          </w:p>
        </w:tc>
        <w:tc>
          <w:tcPr>
            <w:tcW w:w="1560" w:type="dxa"/>
          </w:tcPr>
          <w:p w14:paraId="0FF53080">
            <w:pPr>
              <w:rPr>
                <w:color w:val="auto"/>
                <w:szCs w:val="21"/>
                <w:highlight w:val="none"/>
              </w:rPr>
            </w:pPr>
          </w:p>
        </w:tc>
        <w:tc>
          <w:tcPr>
            <w:tcW w:w="5607" w:type="dxa"/>
          </w:tcPr>
          <w:p w14:paraId="62157324">
            <w:pPr>
              <w:rPr>
                <w:color w:val="auto"/>
                <w:szCs w:val="21"/>
                <w:highlight w:val="none"/>
              </w:rPr>
            </w:pPr>
          </w:p>
        </w:tc>
      </w:tr>
      <w:tr w14:paraId="2D50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FF7CB8">
            <w:pPr>
              <w:rPr>
                <w:color w:val="auto"/>
                <w:szCs w:val="21"/>
                <w:highlight w:val="none"/>
              </w:rPr>
            </w:pPr>
          </w:p>
        </w:tc>
        <w:tc>
          <w:tcPr>
            <w:tcW w:w="1560" w:type="dxa"/>
          </w:tcPr>
          <w:p w14:paraId="3E926E61">
            <w:pPr>
              <w:rPr>
                <w:color w:val="auto"/>
                <w:szCs w:val="21"/>
                <w:highlight w:val="none"/>
              </w:rPr>
            </w:pPr>
          </w:p>
        </w:tc>
        <w:tc>
          <w:tcPr>
            <w:tcW w:w="5607" w:type="dxa"/>
          </w:tcPr>
          <w:p w14:paraId="147FC733">
            <w:pPr>
              <w:rPr>
                <w:color w:val="auto"/>
                <w:szCs w:val="21"/>
                <w:highlight w:val="none"/>
              </w:rPr>
            </w:pPr>
          </w:p>
        </w:tc>
      </w:tr>
      <w:tr w14:paraId="2468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FA5CD5">
            <w:pPr>
              <w:rPr>
                <w:color w:val="auto"/>
                <w:szCs w:val="21"/>
                <w:highlight w:val="none"/>
              </w:rPr>
            </w:pPr>
          </w:p>
        </w:tc>
        <w:tc>
          <w:tcPr>
            <w:tcW w:w="1560" w:type="dxa"/>
          </w:tcPr>
          <w:p w14:paraId="5CC2720D">
            <w:pPr>
              <w:rPr>
                <w:color w:val="auto"/>
                <w:szCs w:val="21"/>
                <w:highlight w:val="none"/>
              </w:rPr>
            </w:pPr>
          </w:p>
        </w:tc>
        <w:tc>
          <w:tcPr>
            <w:tcW w:w="5607" w:type="dxa"/>
          </w:tcPr>
          <w:p w14:paraId="66CF6104">
            <w:pPr>
              <w:rPr>
                <w:color w:val="auto"/>
                <w:szCs w:val="21"/>
                <w:highlight w:val="none"/>
              </w:rPr>
            </w:pPr>
          </w:p>
        </w:tc>
      </w:tr>
    </w:tbl>
    <w:p w14:paraId="7E69F4F7">
      <w:pPr>
        <w:spacing w:before="156" w:beforeLines="50" w:line="360" w:lineRule="auto"/>
        <w:rPr>
          <w:color w:val="auto"/>
          <w:szCs w:val="21"/>
          <w:highlight w:val="none"/>
        </w:rPr>
      </w:pPr>
      <w:r>
        <w:rPr>
          <w:color w:val="auto"/>
          <w:szCs w:val="21"/>
          <w:highlight w:val="none"/>
        </w:rPr>
        <w:t>2.检定条件</w:t>
      </w:r>
    </w:p>
    <w:p w14:paraId="0E828FA7">
      <w:pPr>
        <w:spacing w:before="156" w:beforeLines="50" w:line="360" w:lineRule="auto"/>
        <w:rPr>
          <w:color w:val="auto"/>
          <w:szCs w:val="21"/>
          <w:highlight w:val="none"/>
        </w:rPr>
      </w:pPr>
      <w:r>
        <w:rPr>
          <w:color w:val="auto"/>
          <w:szCs w:val="21"/>
          <w:highlight w:val="none"/>
        </w:rPr>
        <w:t>(应注明适调仪、模拟质量块、安装条件和激光反射方式等信息)</w:t>
      </w:r>
    </w:p>
    <w:p w14:paraId="2E5FAE32">
      <w:pPr>
        <w:rPr>
          <w:color w:val="auto"/>
          <w:szCs w:val="21"/>
          <w:highlight w:val="none"/>
        </w:rPr>
      </w:pPr>
    </w:p>
    <w:p w14:paraId="1E6ECD01">
      <w:pPr>
        <w:rPr>
          <w:color w:val="auto"/>
          <w:highlight w:val="none"/>
        </w:rPr>
      </w:pPr>
    </w:p>
    <w:sectPr>
      <w:footerReference r:id="rId7" w:type="firs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Malgun Gothic Semilight"/>
    <w:panose1 w:val="00000000000000000000"/>
    <w:charset w:val="86"/>
    <w:family w:val="script"/>
    <w:pitch w:val="default"/>
    <w:sig w:usb0="00000000" w:usb1="00000000" w:usb2="00000010" w:usb3="00000000" w:csb0="00040000" w:csb1="00000000"/>
  </w:font>
  <w:font w:name="Malgun Gothic Semilight">
    <w:panose1 w:val="020B0502040204020203"/>
    <w:charset w:val="86"/>
    <w:family w:val="auto"/>
    <w:pitch w:val="default"/>
    <w:sig w:usb0="900002AF" w:usb1="01D77CFB" w:usb2="00000012" w:usb3="00000000" w:csb0="203E01BD" w:csb1="D7FF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KSOF4A50DA68">
    <w:panose1 w:val="020B0502040204020203"/>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5250197"/>
    </w:sdtPr>
    <w:sdtEndPr>
      <w:rPr>
        <w:color w:val="000000" w:themeColor="text1"/>
        <w14:textFill>
          <w14:solidFill>
            <w14:schemeClr w14:val="tx1"/>
          </w14:solidFill>
        </w14:textFill>
      </w:rPr>
    </w:sdtEndPr>
    <w:sdtContent>
      <w:p w14:paraId="1CF8FC12">
        <w:pPr>
          <w:pStyle w:val="4"/>
          <w:rPr>
            <w:color w:val="000000" w:themeColor="text1"/>
            <w14:textFill>
              <w14:solidFill>
                <w14:schemeClr w14:val="tx1"/>
              </w14:solidFill>
            </w14:textFill>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1580046"/>
    </w:sdtPr>
    <w:sdtContent>
      <w:p w14:paraId="7FCD7776">
        <w:pPr>
          <w:pStyle w:val="4"/>
          <w:jc w:val="right"/>
        </w:pPr>
        <w:r>
          <w:fldChar w:fldCharType="begin"/>
        </w:r>
        <w:r>
          <w:instrText xml:space="preserve">PAGE   \* MERGEFORMAT</w:instrText>
        </w:r>
        <w:r>
          <w:fldChar w:fldCharType="separate"/>
        </w:r>
        <w:r>
          <w:rPr>
            <w:lang w:val="zh-CN"/>
          </w:rPr>
          <w:t>18</w:t>
        </w:r>
        <w:r>
          <w:fldChar w:fldCharType="end"/>
        </w:r>
      </w:p>
    </w:sdtContent>
  </w:sdt>
  <w:p w14:paraId="0B0F1A2C">
    <w:pPr>
      <w:pStyle w:val="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CAC27">
    <w:pPr>
      <w:pStyle w:val="4"/>
      <w:jc w:val="right"/>
    </w:pPr>
  </w:p>
  <w:p w14:paraId="5FC5BF07">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0778713"/>
    </w:sdtPr>
    <w:sdtContent>
      <w:p w14:paraId="1278DCD2">
        <w:pPr>
          <w:pStyle w:val="4"/>
          <w:jc w:val="right"/>
        </w:pPr>
        <w:r>
          <w:fldChar w:fldCharType="begin"/>
        </w:r>
        <w:r>
          <w:instrText xml:space="preserve">PAGE   \* MERGEFORMAT</w:instrText>
        </w:r>
        <w:r>
          <w:fldChar w:fldCharType="separate"/>
        </w:r>
        <w:r>
          <w:rPr>
            <w:lang w:val="zh-CN"/>
          </w:rPr>
          <w:t>1</w:t>
        </w:r>
        <w:r>
          <w:fldChar w:fldCharType="end"/>
        </w:r>
      </w:p>
    </w:sdtContent>
  </w:sdt>
  <w:p w14:paraId="7F8EDA7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9013C">
    <w:pPr>
      <w:pStyle w:val="5"/>
      <w:pBdr>
        <w:bottom w:val="single" w:color="auto" w:sz="4" w:space="1"/>
      </w:pBdr>
      <w:rPr>
        <w:sz w:val="24"/>
      </w:rPr>
    </w:pPr>
    <w:r>
      <w:rPr>
        <w:sz w:val="24"/>
      </w:rPr>
      <w:t>JJG 233</w:t>
    </w:r>
    <w:r>
      <w:rPr>
        <w:rFonts w:hint="eastAsia"/>
        <w:sz w:val="24"/>
      </w:rPr>
      <w:t>-</w:t>
    </w:r>
    <w:r>
      <w:rPr>
        <w:sz w:val="24"/>
      </w:rPr>
      <w:t>20</w:t>
    </w:r>
    <w:r>
      <w:rPr>
        <w:rFonts w:hint="eastAsia"/>
        <w:sz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B21E6"/>
    <w:multiLevelType w:val="multilevel"/>
    <w:tmpl w:val="149B21E6"/>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625"/>
    <w:rsid w:val="00020E10"/>
    <w:rsid w:val="00085CFF"/>
    <w:rsid w:val="000B5C76"/>
    <w:rsid w:val="000C3927"/>
    <w:rsid w:val="000D39FA"/>
    <w:rsid w:val="00115DB5"/>
    <w:rsid w:val="001258BF"/>
    <w:rsid w:val="001338C8"/>
    <w:rsid w:val="00140D2E"/>
    <w:rsid w:val="001F6DE2"/>
    <w:rsid w:val="00255F3D"/>
    <w:rsid w:val="0036774B"/>
    <w:rsid w:val="003900AA"/>
    <w:rsid w:val="003913E2"/>
    <w:rsid w:val="0041412C"/>
    <w:rsid w:val="004A583B"/>
    <w:rsid w:val="00510885"/>
    <w:rsid w:val="005D42D9"/>
    <w:rsid w:val="005F179B"/>
    <w:rsid w:val="006169D3"/>
    <w:rsid w:val="006C0625"/>
    <w:rsid w:val="006E655C"/>
    <w:rsid w:val="007D059E"/>
    <w:rsid w:val="007E0078"/>
    <w:rsid w:val="007E1CAE"/>
    <w:rsid w:val="00884D16"/>
    <w:rsid w:val="008878D1"/>
    <w:rsid w:val="0089779F"/>
    <w:rsid w:val="00897944"/>
    <w:rsid w:val="008C14DC"/>
    <w:rsid w:val="008D5807"/>
    <w:rsid w:val="008D74EE"/>
    <w:rsid w:val="00901E9D"/>
    <w:rsid w:val="00901F0D"/>
    <w:rsid w:val="00980869"/>
    <w:rsid w:val="00990316"/>
    <w:rsid w:val="00A36CFF"/>
    <w:rsid w:val="00AD6C99"/>
    <w:rsid w:val="00B25449"/>
    <w:rsid w:val="00B77AE2"/>
    <w:rsid w:val="00BC1E5B"/>
    <w:rsid w:val="00BC3916"/>
    <w:rsid w:val="00C00AE6"/>
    <w:rsid w:val="00C0752C"/>
    <w:rsid w:val="00C13AAC"/>
    <w:rsid w:val="00C30274"/>
    <w:rsid w:val="00C564BC"/>
    <w:rsid w:val="00C61D28"/>
    <w:rsid w:val="00CA57D6"/>
    <w:rsid w:val="00CD2D95"/>
    <w:rsid w:val="00D81415"/>
    <w:rsid w:val="00D84B32"/>
    <w:rsid w:val="00D90EA3"/>
    <w:rsid w:val="00DA120D"/>
    <w:rsid w:val="00E658B8"/>
    <w:rsid w:val="00E828D8"/>
    <w:rsid w:val="00E96B0D"/>
    <w:rsid w:val="00EB060A"/>
    <w:rsid w:val="00EB5810"/>
    <w:rsid w:val="00ED220A"/>
    <w:rsid w:val="00EF6078"/>
    <w:rsid w:val="00F1727F"/>
    <w:rsid w:val="00F33D80"/>
    <w:rsid w:val="010949BE"/>
    <w:rsid w:val="017165B7"/>
    <w:rsid w:val="0A9F5F70"/>
    <w:rsid w:val="0B95090A"/>
    <w:rsid w:val="0C0306F7"/>
    <w:rsid w:val="0C3C4445"/>
    <w:rsid w:val="0C4D3AAF"/>
    <w:rsid w:val="0D6151BA"/>
    <w:rsid w:val="0F2F1860"/>
    <w:rsid w:val="0F6251CC"/>
    <w:rsid w:val="10761B6A"/>
    <w:rsid w:val="108E6C0C"/>
    <w:rsid w:val="1461426A"/>
    <w:rsid w:val="15807D9C"/>
    <w:rsid w:val="16701994"/>
    <w:rsid w:val="179D41A8"/>
    <w:rsid w:val="199E7D06"/>
    <w:rsid w:val="19BD53D0"/>
    <w:rsid w:val="1E82375A"/>
    <w:rsid w:val="1F18312C"/>
    <w:rsid w:val="1F996FAD"/>
    <w:rsid w:val="20BA367F"/>
    <w:rsid w:val="218F0190"/>
    <w:rsid w:val="21BC51D5"/>
    <w:rsid w:val="23A423C5"/>
    <w:rsid w:val="2413055E"/>
    <w:rsid w:val="25010759"/>
    <w:rsid w:val="253C1DA3"/>
    <w:rsid w:val="26436F15"/>
    <w:rsid w:val="285657B4"/>
    <w:rsid w:val="28BB09CA"/>
    <w:rsid w:val="2A50218F"/>
    <w:rsid w:val="2B0E4642"/>
    <w:rsid w:val="2BD0572B"/>
    <w:rsid w:val="2EAA3EDC"/>
    <w:rsid w:val="2F191EB9"/>
    <w:rsid w:val="2FBD5AB0"/>
    <w:rsid w:val="306859BE"/>
    <w:rsid w:val="32580195"/>
    <w:rsid w:val="32B01E3F"/>
    <w:rsid w:val="34AC0856"/>
    <w:rsid w:val="391367D7"/>
    <w:rsid w:val="39FE4185"/>
    <w:rsid w:val="3D255ECD"/>
    <w:rsid w:val="3F566AD9"/>
    <w:rsid w:val="40583804"/>
    <w:rsid w:val="42F73F7A"/>
    <w:rsid w:val="442F19E9"/>
    <w:rsid w:val="46731B2B"/>
    <w:rsid w:val="480D0FA9"/>
    <w:rsid w:val="4A3D061C"/>
    <w:rsid w:val="4A7527C8"/>
    <w:rsid w:val="4B810673"/>
    <w:rsid w:val="4DDE3711"/>
    <w:rsid w:val="4E045131"/>
    <w:rsid w:val="4E0A1846"/>
    <w:rsid w:val="4FD16ACE"/>
    <w:rsid w:val="520701A0"/>
    <w:rsid w:val="52D95337"/>
    <w:rsid w:val="532D6A6B"/>
    <w:rsid w:val="578472C6"/>
    <w:rsid w:val="58677580"/>
    <w:rsid w:val="5A8624F5"/>
    <w:rsid w:val="5B0E7C57"/>
    <w:rsid w:val="5C0550FF"/>
    <w:rsid w:val="61AF66F0"/>
    <w:rsid w:val="62944DD7"/>
    <w:rsid w:val="63F079CC"/>
    <w:rsid w:val="64C40177"/>
    <w:rsid w:val="65AB4911"/>
    <w:rsid w:val="65E82765"/>
    <w:rsid w:val="67FF4D19"/>
    <w:rsid w:val="70027824"/>
    <w:rsid w:val="70DD3DED"/>
    <w:rsid w:val="70E21403"/>
    <w:rsid w:val="717604C9"/>
    <w:rsid w:val="72A46970"/>
    <w:rsid w:val="72B33057"/>
    <w:rsid w:val="77127C7A"/>
    <w:rsid w:val="794669D3"/>
    <w:rsid w:val="79C50899"/>
    <w:rsid w:val="7C8F5C8A"/>
    <w:rsid w:val="7D9D6DDE"/>
    <w:rsid w:val="7DED7C9E"/>
    <w:rsid w:val="7F125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50" w:afterLines="50" w:line="360" w:lineRule="auto"/>
      <w:ind w:left="851" w:hanging="851"/>
      <w:jc w:val="left"/>
      <w:outlineLvl w:val="0"/>
    </w:pPr>
    <w:rPr>
      <w:rFonts w:ascii="黑体" w:hAnsi="黑体" w:eastAsia="黑体"/>
      <w:kern w:val="44"/>
      <w:sz w:val="24"/>
      <w:lang w:val="zh-CN"/>
    </w:rPr>
  </w:style>
  <w:style w:type="paragraph" w:styleId="3">
    <w:name w:val="heading 2"/>
    <w:basedOn w:val="1"/>
    <w:next w:val="1"/>
    <w:qFormat/>
    <w:uiPriority w:val="0"/>
    <w:pPr>
      <w:keepNext/>
      <w:keepLines/>
      <w:adjustRightInd w:val="0"/>
      <w:snapToGrid w:val="0"/>
      <w:spacing w:beforeLines="10"/>
      <w:outlineLvl w:val="1"/>
    </w:pPr>
    <w:rPr>
      <w:sz w:val="24"/>
      <w:lang w:val="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rFonts w:ascii="宋体" w:hAnsi="宋体" w:eastAsia="宋体"/>
      <w:sz w:val="18"/>
      <w:szCs w:val="18"/>
    </w:rPr>
  </w:style>
  <w:style w:type="character" w:customStyle="1" w:styleId="10">
    <w:name w:val="页脚 Char"/>
    <w:basedOn w:val="8"/>
    <w:link w:val="4"/>
    <w:qFormat/>
    <w:uiPriority w:val="99"/>
    <w:rPr>
      <w:rFonts w:ascii="宋体" w:hAnsi="宋体" w:eastAsia="宋体"/>
      <w:sz w:val="18"/>
      <w:szCs w:val="18"/>
    </w:rPr>
  </w:style>
  <w:style w:type="character" w:styleId="11">
    <w:name w:val="Placeholder Text"/>
    <w:basedOn w:val="8"/>
    <w:semiHidden/>
    <w:qFormat/>
    <w:uiPriority w:val="99"/>
    <w:rPr>
      <w:color w:val="666666"/>
    </w:rPr>
  </w:style>
  <w:style w:type="paragraph" w:customStyle="1" w:styleId="12">
    <w:name w:val="段"/>
    <w:qFormat/>
    <w:uiPriority w:val="0"/>
    <w:pPr>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7187</Words>
  <Characters>8393</Characters>
  <Lines>137</Lines>
  <Paragraphs>38</Paragraphs>
  <TotalTime>4</TotalTime>
  <ScaleCrop>false</ScaleCrop>
  <LinksUpToDate>false</LinksUpToDate>
  <CharactersWithSpaces>8998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2026-08-20T05:27:00Z</dcterms:created>
  <dc:creator>Microsoft Office User</dc:creator>
  <cp:lastModifiedBy>左abin</cp:lastModifiedBy>
  <dcterms:modified xsi:type="dcterms:W3CDTF">2026-08-24T01:47:27Z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eyJoZGlkIjoiODBlZmFmMjVmMTE4NDQ3MjUyMzA3NjAwMDRmYTY0MTgiLCJ1c2VySWQiOiIzMjk3NzgyMTkifQ==</vt:lpwstr>
  </property>
  <property fmtid="{D5CDD505-2E9C-101B-9397-08002B2CF9AE}" pid="3" name="KSOProductBuildVer">
    <vt:lpwstr>2052-12.1.0.28043</vt:lpwstr>
  </property>
  <property fmtid="{D5CDD505-2E9C-101B-9397-08002B2CF9AE}" pid="4" name="ICV">
    <vt:lpwstr>0546FB16F41847D29E447C10E2F50018_13</vt:lpwstr>
  </property>
</Properties>
</file>