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7023D">
      <w:pPr>
        <w:jc w:val="left"/>
        <w:rPr>
          <w:rFonts w:ascii="黑体" w:hAnsi="宋体" w:eastAsia="黑体"/>
          <w:sz w:val="32"/>
          <w:szCs w:val="32"/>
        </w:rPr>
      </w:pPr>
    </w:p>
    <w:p w14:paraId="7CFDB2E7"/>
    <w:p w14:paraId="2BC53278"/>
    <w:p w14:paraId="472DE475"/>
    <w:p w14:paraId="46A2458E"/>
    <w:p w14:paraId="3251168F">
      <w:pPr>
        <w:jc w:val="center"/>
        <w:rPr>
          <w:rFonts w:ascii="黑体" w:eastAsia="黑体"/>
          <w:snapToGrid w:val="0"/>
          <w:sz w:val="44"/>
          <w:szCs w:val="44"/>
        </w:rPr>
      </w:pPr>
      <w:r>
        <w:rPr>
          <w:rFonts w:hint="eastAsia" w:ascii="黑体" w:eastAsia="黑体"/>
          <w:b/>
          <w:snapToGrid w:val="0"/>
          <w:sz w:val="44"/>
          <w:szCs w:val="44"/>
        </w:rPr>
        <w:t>压电加速度计检定规程</w:t>
      </w:r>
    </w:p>
    <w:p w14:paraId="42CE27C6">
      <w:pPr>
        <w:jc w:val="center"/>
        <w:rPr>
          <w:rFonts w:ascii="黑体" w:hAnsi="宋体" w:eastAsia="黑体"/>
          <w:sz w:val="44"/>
          <w:szCs w:val="44"/>
        </w:rPr>
      </w:pPr>
      <w:r>
        <w:rPr>
          <w:rFonts w:hint="eastAsia" w:ascii="黑体" w:hAnsi="宋体" w:eastAsia="黑体"/>
          <w:sz w:val="44"/>
          <w:szCs w:val="44"/>
        </w:rPr>
        <w:t>编 制 说 明</w:t>
      </w:r>
    </w:p>
    <w:p w14:paraId="79D8A47A">
      <w:pPr>
        <w:jc w:val="center"/>
        <w:rPr>
          <w:rFonts w:ascii="黑体" w:hAnsi="宋体" w:eastAsia="黑体"/>
          <w:sz w:val="44"/>
          <w:szCs w:val="44"/>
        </w:rPr>
      </w:pPr>
    </w:p>
    <w:p w14:paraId="072ADC74">
      <w:pPr>
        <w:jc w:val="center"/>
        <w:rPr>
          <w:rFonts w:ascii="黑体" w:hAnsi="宋体" w:eastAsia="黑体"/>
          <w:sz w:val="28"/>
          <w:szCs w:val="28"/>
        </w:rPr>
      </w:pPr>
    </w:p>
    <w:p w14:paraId="1257F2A2">
      <w:pPr>
        <w:jc w:val="center"/>
        <w:rPr>
          <w:rFonts w:ascii="黑体" w:hAnsi="宋体" w:eastAsia="黑体"/>
          <w:sz w:val="30"/>
          <w:szCs w:val="30"/>
        </w:rPr>
      </w:pPr>
    </w:p>
    <w:p w14:paraId="5303F5EF">
      <w:pPr>
        <w:jc w:val="center"/>
        <w:rPr>
          <w:rFonts w:ascii="黑体" w:hAnsi="宋体" w:eastAsia="黑体"/>
          <w:szCs w:val="21"/>
        </w:rPr>
      </w:pPr>
    </w:p>
    <w:p w14:paraId="59FEBDCB">
      <w:pPr>
        <w:jc w:val="center"/>
        <w:rPr>
          <w:szCs w:val="21"/>
        </w:rPr>
      </w:pPr>
    </w:p>
    <w:p w14:paraId="1CC40B23">
      <w:pPr>
        <w:jc w:val="center"/>
        <w:rPr>
          <w:szCs w:val="21"/>
        </w:rPr>
      </w:pPr>
    </w:p>
    <w:p w14:paraId="27EBF0E5">
      <w:pPr>
        <w:jc w:val="center"/>
        <w:rPr>
          <w:szCs w:val="21"/>
        </w:rPr>
      </w:pPr>
    </w:p>
    <w:p w14:paraId="218536FE">
      <w:pPr>
        <w:jc w:val="center"/>
        <w:rPr>
          <w:szCs w:val="21"/>
        </w:rPr>
      </w:pPr>
    </w:p>
    <w:p w14:paraId="0E9B71CA">
      <w:pPr>
        <w:jc w:val="center"/>
        <w:rPr>
          <w:szCs w:val="21"/>
        </w:rPr>
      </w:pPr>
    </w:p>
    <w:p w14:paraId="7C68F8BE">
      <w:pPr>
        <w:jc w:val="center"/>
        <w:rPr>
          <w:szCs w:val="21"/>
        </w:rPr>
      </w:pPr>
    </w:p>
    <w:p w14:paraId="621B9139">
      <w:pPr>
        <w:jc w:val="center"/>
        <w:rPr>
          <w:szCs w:val="21"/>
        </w:rPr>
      </w:pPr>
    </w:p>
    <w:p w14:paraId="569F2FD1">
      <w:pPr>
        <w:jc w:val="center"/>
        <w:rPr>
          <w:szCs w:val="21"/>
        </w:rPr>
      </w:pPr>
    </w:p>
    <w:p w14:paraId="33FA4549">
      <w:pPr>
        <w:jc w:val="center"/>
        <w:rPr>
          <w:szCs w:val="21"/>
        </w:rPr>
      </w:pPr>
    </w:p>
    <w:p w14:paraId="2340CBA0">
      <w:pPr>
        <w:jc w:val="center"/>
        <w:rPr>
          <w:szCs w:val="21"/>
        </w:rPr>
      </w:pPr>
    </w:p>
    <w:p w14:paraId="07D08542">
      <w:pPr>
        <w:jc w:val="center"/>
        <w:rPr>
          <w:szCs w:val="21"/>
        </w:rPr>
      </w:pPr>
    </w:p>
    <w:p w14:paraId="6594D711">
      <w:pPr>
        <w:jc w:val="center"/>
        <w:rPr>
          <w:szCs w:val="21"/>
        </w:rPr>
      </w:pPr>
    </w:p>
    <w:p w14:paraId="1A0B99D2">
      <w:pPr>
        <w:jc w:val="center"/>
        <w:rPr>
          <w:szCs w:val="21"/>
        </w:rPr>
      </w:pPr>
    </w:p>
    <w:p w14:paraId="4A18BD51">
      <w:pPr>
        <w:jc w:val="center"/>
        <w:rPr>
          <w:rFonts w:ascii="宋体" w:hAnsi="宋体"/>
          <w:szCs w:val="21"/>
        </w:rPr>
      </w:pPr>
    </w:p>
    <w:p w14:paraId="3223B6D3">
      <w:pPr>
        <w:jc w:val="center"/>
        <w:rPr>
          <w:rFonts w:ascii="宋体" w:hAnsi="宋体"/>
          <w:szCs w:val="21"/>
        </w:rPr>
      </w:pPr>
    </w:p>
    <w:p w14:paraId="1F2993CC">
      <w:pPr>
        <w:jc w:val="center"/>
        <w:rPr>
          <w:rFonts w:ascii="宋体" w:hAnsi="宋体"/>
          <w:szCs w:val="21"/>
        </w:rPr>
      </w:pPr>
    </w:p>
    <w:p w14:paraId="1917B61B">
      <w:pPr>
        <w:jc w:val="center"/>
        <w:rPr>
          <w:rFonts w:ascii="宋体" w:hAnsi="宋体"/>
          <w:szCs w:val="21"/>
        </w:rPr>
      </w:pPr>
    </w:p>
    <w:p w14:paraId="3DB1D7BD">
      <w:pPr>
        <w:jc w:val="center"/>
        <w:rPr>
          <w:rFonts w:ascii="宋体" w:hAnsi="宋体"/>
          <w:szCs w:val="21"/>
        </w:rPr>
      </w:pPr>
    </w:p>
    <w:p w14:paraId="6AAE54C2">
      <w:pPr>
        <w:jc w:val="center"/>
        <w:rPr>
          <w:rFonts w:ascii="宋体" w:hAnsi="宋体"/>
          <w:szCs w:val="21"/>
        </w:rPr>
      </w:pPr>
    </w:p>
    <w:p w14:paraId="3CF69448">
      <w:pPr>
        <w:jc w:val="center"/>
        <w:rPr>
          <w:rFonts w:ascii="宋体" w:hAnsi="宋体"/>
          <w:szCs w:val="21"/>
        </w:rPr>
      </w:pPr>
    </w:p>
    <w:p w14:paraId="5AA36705">
      <w:pPr>
        <w:jc w:val="center"/>
        <w:rPr>
          <w:rFonts w:ascii="宋体" w:hAnsi="宋体"/>
          <w:szCs w:val="21"/>
        </w:rPr>
      </w:pPr>
    </w:p>
    <w:p w14:paraId="49B414FD">
      <w:pPr>
        <w:ind w:firstLine="750" w:firstLineChars="250"/>
        <w:jc w:val="center"/>
        <w:rPr>
          <w:rFonts w:ascii="宋体" w:hAnsi="宋体"/>
          <w:snapToGrid w:val="0"/>
          <w:sz w:val="30"/>
          <w:szCs w:val="30"/>
        </w:rPr>
      </w:pPr>
      <w:r>
        <w:rPr>
          <w:rFonts w:hint="eastAsia" w:ascii="宋体" w:hAnsi="宋体"/>
          <w:sz w:val="30"/>
          <w:szCs w:val="30"/>
        </w:rPr>
        <w:t>起草：《压电</w:t>
      </w:r>
      <w:r>
        <w:rPr>
          <w:rFonts w:hint="eastAsia" w:ascii="宋体" w:hAnsi="宋体"/>
          <w:smallCaps/>
          <w:color w:val="000000"/>
          <w:sz w:val="32"/>
          <w:szCs w:val="32"/>
        </w:rPr>
        <w:t>加速度计检定规程</w:t>
      </w:r>
      <w:r>
        <w:rPr>
          <w:rFonts w:hint="eastAsia" w:ascii="宋体" w:hAnsi="宋体"/>
          <w:sz w:val="30"/>
          <w:szCs w:val="30"/>
        </w:rPr>
        <w:t>》编写组</w:t>
      </w:r>
    </w:p>
    <w:p w14:paraId="1C961683">
      <w:pPr>
        <w:spacing w:after="120"/>
        <w:outlineLvl w:val="0"/>
        <w:rPr>
          <w:rFonts w:ascii="黑体" w:hAnsi="宋体" w:eastAsia="黑体"/>
          <w:sz w:val="24"/>
        </w:rPr>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pPr>
    </w:p>
    <w:p w14:paraId="44EA68F2">
      <w:pPr>
        <w:pStyle w:val="22"/>
      </w:pPr>
    </w:p>
    <w:p w14:paraId="6FC8DF15">
      <w:pPr>
        <w:pStyle w:val="22"/>
      </w:pPr>
    </w:p>
    <w:p w14:paraId="08231A4D">
      <w:pPr>
        <w:pStyle w:val="22"/>
      </w:pPr>
      <w:r>
        <w:rPr>
          <w:rFonts w:hint="eastAsia"/>
        </w:rPr>
        <w:t>目    录</w:t>
      </w:r>
    </w:p>
    <w:p w14:paraId="45B49E37"/>
    <w:p w14:paraId="3D267E32"/>
    <w:p w14:paraId="4F310D04">
      <w:pPr>
        <w:pStyle w:val="14"/>
        <w:tabs>
          <w:tab w:val="right" w:leader="dot" w:pos="8306"/>
        </w:tabs>
      </w:pPr>
      <w:bookmarkStart w:id="8" w:name="_GoBack"/>
      <w:bookmarkEnd w:id="8"/>
      <w:r>
        <w:rPr>
          <w:rFonts w:hint="eastAsia" w:ascii="宋体" w:eastAsia="宋体"/>
          <w:sz w:val="28"/>
          <w:szCs w:val="28"/>
        </w:rPr>
        <w:fldChar w:fldCharType="begin"/>
      </w:r>
      <w:r>
        <w:rPr>
          <w:rFonts w:hint="eastAsia" w:ascii="宋体" w:eastAsia="宋体"/>
          <w:sz w:val="28"/>
          <w:szCs w:val="28"/>
        </w:rPr>
        <w:instrText xml:space="preserve"> TOC \o "1-3" \h \z \u </w:instrText>
      </w:r>
      <w:r>
        <w:rPr>
          <w:rFonts w:hint="eastAsia" w:ascii="宋体" w:eastAsia="宋体"/>
          <w:sz w:val="28"/>
          <w:szCs w:val="28"/>
        </w:rPr>
        <w:fldChar w:fldCharType="separate"/>
      </w:r>
      <w:r>
        <w:rPr>
          <w:rFonts w:hint="eastAsia" w:ascii="宋体" w:eastAsia="宋体"/>
          <w:szCs w:val="28"/>
        </w:rPr>
        <w:fldChar w:fldCharType="begin"/>
      </w:r>
      <w:r>
        <w:rPr>
          <w:rFonts w:hint="eastAsia" w:ascii="宋体" w:eastAsia="宋体"/>
          <w:szCs w:val="28"/>
        </w:rPr>
        <w:instrText xml:space="preserve"> HYPERLINK \l _Toc6812 </w:instrText>
      </w:r>
      <w:r>
        <w:rPr>
          <w:rFonts w:hint="eastAsia" w:ascii="宋体" w:eastAsia="宋体"/>
          <w:szCs w:val="28"/>
        </w:rPr>
        <w:fldChar w:fldCharType="separate"/>
      </w:r>
      <w:r>
        <w:rPr>
          <w:rFonts w:hint="eastAsia" w:ascii="宋体" w:hAnsi="宋体" w:eastAsia="宋体"/>
          <w:szCs w:val="24"/>
        </w:rPr>
        <w:t>1  任务来源</w:t>
      </w:r>
      <w:r>
        <w:tab/>
      </w:r>
      <w:r>
        <w:fldChar w:fldCharType="begin"/>
      </w:r>
      <w:r>
        <w:instrText xml:space="preserve"> PAGEREF _Toc6812 \h </w:instrText>
      </w:r>
      <w:r>
        <w:fldChar w:fldCharType="separate"/>
      </w:r>
      <w:r>
        <w:t>1</w:t>
      </w:r>
      <w:r>
        <w:fldChar w:fldCharType="end"/>
      </w:r>
      <w:r>
        <w:rPr>
          <w:rFonts w:hint="eastAsia" w:ascii="宋体" w:eastAsia="宋体"/>
          <w:szCs w:val="28"/>
        </w:rPr>
        <w:fldChar w:fldCharType="end"/>
      </w:r>
    </w:p>
    <w:p w14:paraId="3B8C8B95">
      <w:pPr>
        <w:pStyle w:val="14"/>
        <w:tabs>
          <w:tab w:val="right" w:leader="dot" w:pos="8306"/>
        </w:tabs>
      </w:pPr>
      <w:r>
        <w:rPr>
          <w:rFonts w:hint="eastAsia" w:ascii="宋体" w:eastAsia="宋体"/>
          <w:szCs w:val="28"/>
        </w:rPr>
        <w:fldChar w:fldCharType="begin"/>
      </w:r>
      <w:r>
        <w:rPr>
          <w:rFonts w:hint="eastAsia" w:ascii="宋体" w:eastAsia="宋体"/>
          <w:szCs w:val="28"/>
        </w:rPr>
        <w:instrText xml:space="preserve"> HYPERLINK \l _Toc2153 </w:instrText>
      </w:r>
      <w:r>
        <w:rPr>
          <w:rFonts w:hint="eastAsia" w:ascii="宋体" w:eastAsia="宋体"/>
          <w:szCs w:val="28"/>
        </w:rPr>
        <w:fldChar w:fldCharType="separate"/>
      </w:r>
      <w:r>
        <w:rPr>
          <w:rFonts w:hint="eastAsia" w:ascii="宋体" w:hAnsi="宋体" w:eastAsia="宋体"/>
          <w:szCs w:val="24"/>
        </w:rPr>
        <w:t>2  制订依据</w:t>
      </w:r>
      <w:r>
        <w:tab/>
      </w:r>
      <w:r>
        <w:fldChar w:fldCharType="begin"/>
      </w:r>
      <w:r>
        <w:instrText xml:space="preserve"> PAGEREF _Toc2153 \h </w:instrText>
      </w:r>
      <w:r>
        <w:fldChar w:fldCharType="separate"/>
      </w:r>
      <w:r>
        <w:t>1</w:t>
      </w:r>
      <w:r>
        <w:fldChar w:fldCharType="end"/>
      </w:r>
      <w:r>
        <w:rPr>
          <w:rFonts w:hint="eastAsia" w:ascii="宋体" w:eastAsia="宋体"/>
          <w:szCs w:val="28"/>
        </w:rPr>
        <w:fldChar w:fldCharType="end"/>
      </w:r>
    </w:p>
    <w:p w14:paraId="4FB0ABC3">
      <w:pPr>
        <w:pStyle w:val="14"/>
        <w:tabs>
          <w:tab w:val="right" w:leader="dot" w:pos="8306"/>
        </w:tabs>
      </w:pPr>
      <w:r>
        <w:rPr>
          <w:rFonts w:hint="eastAsia" w:ascii="宋体" w:eastAsia="宋体"/>
          <w:szCs w:val="28"/>
        </w:rPr>
        <w:fldChar w:fldCharType="begin"/>
      </w:r>
      <w:r>
        <w:rPr>
          <w:rFonts w:hint="eastAsia" w:ascii="宋体" w:eastAsia="宋体"/>
          <w:szCs w:val="28"/>
        </w:rPr>
        <w:instrText xml:space="preserve"> HYPERLINK \l _Toc15127 </w:instrText>
      </w:r>
      <w:r>
        <w:rPr>
          <w:rFonts w:hint="eastAsia" w:ascii="宋体" w:eastAsia="宋体"/>
          <w:szCs w:val="28"/>
        </w:rPr>
        <w:fldChar w:fldCharType="separate"/>
      </w:r>
      <w:r>
        <w:rPr>
          <w:rFonts w:hint="eastAsia" w:ascii="宋体" w:hAnsi="宋体" w:eastAsia="宋体"/>
          <w:szCs w:val="24"/>
          <w:lang w:val="en-US" w:eastAsia="zh-CN"/>
        </w:rPr>
        <w:t xml:space="preserve">3 </w:t>
      </w:r>
      <w:r>
        <w:rPr>
          <w:rFonts w:hint="eastAsia" w:ascii="宋体" w:hAnsi="宋体" w:eastAsia="宋体"/>
          <w:szCs w:val="24"/>
          <w:lang w:val="en-US"/>
        </w:rPr>
        <w:t xml:space="preserve"> </w:t>
      </w:r>
      <w:r>
        <w:rPr>
          <w:rFonts w:hint="eastAsia" w:ascii="宋体" w:hAnsi="宋体" w:eastAsia="宋体"/>
          <w:szCs w:val="24"/>
          <w:lang w:eastAsia="zh-CN"/>
        </w:rPr>
        <w:t>编制工作过程简介</w:t>
      </w:r>
      <w:r>
        <w:tab/>
      </w:r>
      <w:r>
        <w:fldChar w:fldCharType="begin"/>
      </w:r>
      <w:r>
        <w:instrText xml:space="preserve"> PAGEREF _Toc15127 \h </w:instrText>
      </w:r>
      <w:r>
        <w:fldChar w:fldCharType="separate"/>
      </w:r>
      <w:r>
        <w:t>1</w:t>
      </w:r>
      <w:r>
        <w:fldChar w:fldCharType="end"/>
      </w:r>
      <w:r>
        <w:rPr>
          <w:rFonts w:hint="eastAsia" w:ascii="宋体" w:eastAsia="宋体"/>
          <w:szCs w:val="28"/>
        </w:rPr>
        <w:fldChar w:fldCharType="end"/>
      </w:r>
    </w:p>
    <w:p w14:paraId="65D27346">
      <w:pPr>
        <w:pStyle w:val="14"/>
        <w:tabs>
          <w:tab w:val="right" w:leader="dot" w:pos="8306"/>
        </w:tabs>
      </w:pPr>
      <w:r>
        <w:rPr>
          <w:rFonts w:hint="eastAsia" w:ascii="宋体" w:eastAsia="宋体"/>
          <w:szCs w:val="28"/>
        </w:rPr>
        <w:fldChar w:fldCharType="begin"/>
      </w:r>
      <w:r>
        <w:rPr>
          <w:rFonts w:hint="eastAsia" w:ascii="宋体" w:eastAsia="宋体"/>
          <w:szCs w:val="28"/>
        </w:rPr>
        <w:instrText xml:space="preserve"> HYPERLINK \l _Toc8441 </w:instrText>
      </w:r>
      <w:r>
        <w:rPr>
          <w:rFonts w:hint="eastAsia" w:ascii="宋体" w:eastAsia="宋体"/>
          <w:szCs w:val="28"/>
        </w:rPr>
        <w:fldChar w:fldCharType="separate"/>
      </w:r>
      <w:r>
        <w:rPr>
          <w:rFonts w:hint="eastAsia" w:ascii="宋体" w:hAnsi="宋体" w:eastAsia="宋体"/>
          <w:szCs w:val="24"/>
          <w:lang w:val="en-US" w:eastAsia="zh-CN"/>
        </w:rPr>
        <w:t>4  与国际标准、国内标准的兼容情况</w:t>
      </w:r>
      <w:r>
        <w:tab/>
      </w:r>
      <w:r>
        <w:fldChar w:fldCharType="begin"/>
      </w:r>
      <w:r>
        <w:instrText xml:space="preserve"> PAGEREF _Toc8441 \h </w:instrText>
      </w:r>
      <w:r>
        <w:fldChar w:fldCharType="separate"/>
      </w:r>
      <w:r>
        <w:t>1</w:t>
      </w:r>
      <w:r>
        <w:fldChar w:fldCharType="end"/>
      </w:r>
      <w:r>
        <w:rPr>
          <w:rFonts w:hint="eastAsia" w:ascii="宋体" w:eastAsia="宋体"/>
          <w:szCs w:val="28"/>
        </w:rPr>
        <w:fldChar w:fldCharType="end"/>
      </w:r>
    </w:p>
    <w:p w14:paraId="16CD8F78">
      <w:pPr>
        <w:pStyle w:val="14"/>
        <w:tabs>
          <w:tab w:val="right" w:leader="dot" w:pos="8306"/>
        </w:tabs>
      </w:pPr>
      <w:r>
        <w:rPr>
          <w:rFonts w:hint="eastAsia" w:ascii="宋体" w:eastAsia="宋体"/>
          <w:szCs w:val="28"/>
        </w:rPr>
        <w:fldChar w:fldCharType="begin"/>
      </w:r>
      <w:r>
        <w:rPr>
          <w:rFonts w:hint="eastAsia" w:ascii="宋体" w:eastAsia="宋体"/>
          <w:szCs w:val="28"/>
        </w:rPr>
        <w:instrText xml:space="preserve"> HYPERLINK \l _Toc24321 </w:instrText>
      </w:r>
      <w:r>
        <w:rPr>
          <w:rFonts w:hint="eastAsia" w:ascii="宋体" w:eastAsia="宋体"/>
          <w:szCs w:val="28"/>
        </w:rPr>
        <w:fldChar w:fldCharType="separate"/>
      </w:r>
      <w:r>
        <w:rPr>
          <w:rFonts w:hint="eastAsia" w:ascii="宋体" w:hAnsi="宋体" w:eastAsia="宋体"/>
          <w:szCs w:val="24"/>
          <w:lang w:val="en-US" w:eastAsia="zh-CN"/>
        </w:rPr>
        <w:t>5  编制内容说明</w:t>
      </w:r>
      <w:r>
        <w:tab/>
      </w:r>
      <w:r>
        <w:fldChar w:fldCharType="begin"/>
      </w:r>
      <w:r>
        <w:instrText xml:space="preserve"> PAGEREF _Toc24321 \h </w:instrText>
      </w:r>
      <w:r>
        <w:fldChar w:fldCharType="separate"/>
      </w:r>
      <w:r>
        <w:t>2</w:t>
      </w:r>
      <w:r>
        <w:fldChar w:fldCharType="end"/>
      </w:r>
      <w:r>
        <w:rPr>
          <w:rFonts w:hint="eastAsia" w:ascii="宋体" w:eastAsia="宋体"/>
          <w:szCs w:val="28"/>
        </w:rPr>
        <w:fldChar w:fldCharType="end"/>
      </w:r>
    </w:p>
    <w:p w14:paraId="2018DB48">
      <w:pPr>
        <w:pStyle w:val="14"/>
        <w:tabs>
          <w:tab w:val="right" w:leader="dot" w:pos="8306"/>
        </w:tabs>
      </w:pPr>
      <w:r>
        <w:rPr>
          <w:rFonts w:hint="eastAsia" w:ascii="宋体" w:eastAsia="宋体"/>
          <w:szCs w:val="28"/>
        </w:rPr>
        <w:fldChar w:fldCharType="begin"/>
      </w:r>
      <w:r>
        <w:rPr>
          <w:rFonts w:hint="eastAsia" w:ascii="宋体" w:eastAsia="宋体"/>
          <w:szCs w:val="28"/>
        </w:rPr>
        <w:instrText xml:space="preserve"> HYPERLINK \l _Toc22930 </w:instrText>
      </w:r>
      <w:r>
        <w:rPr>
          <w:rFonts w:hint="eastAsia" w:ascii="宋体" w:eastAsia="宋体"/>
          <w:szCs w:val="28"/>
        </w:rPr>
        <w:fldChar w:fldCharType="separate"/>
      </w:r>
      <w:r>
        <w:rPr>
          <w:rFonts w:hint="eastAsia" w:ascii="宋体" w:hAnsi="宋体" w:eastAsia="宋体"/>
          <w:szCs w:val="24"/>
          <w:lang w:val="en-US" w:eastAsia="zh-CN"/>
        </w:rPr>
        <w:t>6  有关专利的说明</w:t>
      </w:r>
      <w:r>
        <w:tab/>
      </w:r>
      <w:r>
        <w:fldChar w:fldCharType="begin"/>
      </w:r>
      <w:r>
        <w:instrText xml:space="preserve"> PAGEREF _Toc22930 \h </w:instrText>
      </w:r>
      <w:r>
        <w:fldChar w:fldCharType="separate"/>
      </w:r>
      <w:r>
        <w:t>3</w:t>
      </w:r>
      <w:r>
        <w:fldChar w:fldCharType="end"/>
      </w:r>
      <w:r>
        <w:rPr>
          <w:rFonts w:hint="eastAsia" w:ascii="宋体" w:eastAsia="宋体"/>
          <w:szCs w:val="28"/>
        </w:rPr>
        <w:fldChar w:fldCharType="end"/>
      </w:r>
    </w:p>
    <w:p w14:paraId="25DF68BC">
      <w:pPr>
        <w:pStyle w:val="14"/>
        <w:tabs>
          <w:tab w:val="right" w:leader="dot" w:pos="8306"/>
        </w:tabs>
      </w:pPr>
      <w:r>
        <w:rPr>
          <w:rFonts w:hint="eastAsia" w:ascii="宋体" w:eastAsia="宋体"/>
          <w:szCs w:val="28"/>
        </w:rPr>
        <w:fldChar w:fldCharType="begin"/>
      </w:r>
      <w:r>
        <w:rPr>
          <w:rFonts w:hint="eastAsia" w:ascii="宋体" w:eastAsia="宋体"/>
          <w:szCs w:val="28"/>
        </w:rPr>
        <w:instrText xml:space="preserve"> HYPERLINK \l _Toc213 </w:instrText>
      </w:r>
      <w:r>
        <w:rPr>
          <w:rFonts w:hint="eastAsia" w:ascii="宋体" w:eastAsia="宋体"/>
          <w:szCs w:val="28"/>
        </w:rPr>
        <w:fldChar w:fldCharType="separate"/>
      </w:r>
      <w:r>
        <w:rPr>
          <w:rFonts w:hint="eastAsia" w:ascii="宋体" w:hAnsi="宋体" w:eastAsia="宋体"/>
          <w:szCs w:val="24"/>
          <w:lang w:val="en-US" w:eastAsia="zh-CN"/>
        </w:rPr>
        <w:t>7  预期达到的社会效益</w:t>
      </w:r>
      <w:r>
        <w:tab/>
      </w:r>
      <w:r>
        <w:fldChar w:fldCharType="begin"/>
      </w:r>
      <w:r>
        <w:instrText xml:space="preserve"> PAGEREF _Toc213 \h </w:instrText>
      </w:r>
      <w:r>
        <w:fldChar w:fldCharType="separate"/>
      </w:r>
      <w:r>
        <w:t>4</w:t>
      </w:r>
      <w:r>
        <w:fldChar w:fldCharType="end"/>
      </w:r>
      <w:r>
        <w:rPr>
          <w:rFonts w:hint="eastAsia" w:ascii="宋体" w:eastAsia="宋体"/>
          <w:szCs w:val="28"/>
        </w:rPr>
        <w:fldChar w:fldCharType="end"/>
      </w:r>
    </w:p>
    <w:p w14:paraId="6D02C69C">
      <w:pPr>
        <w:pStyle w:val="14"/>
        <w:tabs>
          <w:tab w:val="right" w:leader="dot" w:pos="8306"/>
        </w:tabs>
      </w:pPr>
      <w:r>
        <w:rPr>
          <w:rFonts w:hint="eastAsia" w:ascii="宋体" w:eastAsia="宋体"/>
          <w:szCs w:val="28"/>
        </w:rPr>
        <w:fldChar w:fldCharType="begin"/>
      </w:r>
      <w:r>
        <w:rPr>
          <w:rFonts w:hint="eastAsia" w:ascii="宋体" w:eastAsia="宋体"/>
          <w:szCs w:val="28"/>
        </w:rPr>
        <w:instrText xml:space="preserve"> HYPERLINK \l _Toc26457 </w:instrText>
      </w:r>
      <w:r>
        <w:rPr>
          <w:rFonts w:hint="eastAsia" w:ascii="宋体" w:eastAsia="宋体"/>
          <w:szCs w:val="28"/>
        </w:rPr>
        <w:fldChar w:fldCharType="separate"/>
      </w:r>
      <w:r>
        <w:rPr>
          <w:rFonts w:hint="eastAsia" w:ascii="宋体" w:hAnsi="宋体" w:eastAsia="宋体"/>
          <w:szCs w:val="24"/>
          <w:lang w:val="en-US" w:eastAsia="zh-CN"/>
        </w:rPr>
        <w:t>8  与现行相关规程的关联性建议</w:t>
      </w:r>
      <w:r>
        <w:tab/>
      </w:r>
      <w:r>
        <w:fldChar w:fldCharType="begin"/>
      </w:r>
      <w:r>
        <w:instrText xml:space="preserve"> PAGEREF _Toc26457 \h </w:instrText>
      </w:r>
      <w:r>
        <w:fldChar w:fldCharType="separate"/>
      </w:r>
      <w:r>
        <w:t>4</w:t>
      </w:r>
      <w:r>
        <w:fldChar w:fldCharType="end"/>
      </w:r>
      <w:r>
        <w:rPr>
          <w:rFonts w:hint="eastAsia" w:ascii="宋体" w:eastAsia="宋体"/>
          <w:szCs w:val="28"/>
        </w:rPr>
        <w:fldChar w:fldCharType="end"/>
      </w:r>
    </w:p>
    <w:p w14:paraId="413D8E32">
      <w:pPr>
        <w:pStyle w:val="22"/>
        <w:spacing w:line="480" w:lineRule="auto"/>
        <w:jc w:val="left"/>
        <w:rPr>
          <w:rFonts w:ascii="宋体" w:eastAsia="宋体"/>
          <w:b/>
          <w:bCs/>
          <w:sz w:val="24"/>
          <w:szCs w:val="24"/>
        </w:rPr>
      </w:pPr>
      <w:r>
        <w:rPr>
          <w:rFonts w:hint="eastAsia" w:ascii="宋体" w:eastAsia="宋体"/>
          <w:szCs w:val="28"/>
        </w:rPr>
        <w:fldChar w:fldCharType="end"/>
      </w:r>
    </w:p>
    <w:p w14:paraId="7184DC3E">
      <w:pPr>
        <w:spacing w:line="360" w:lineRule="auto"/>
        <w:rPr>
          <w:b/>
          <w:bCs/>
          <w:sz w:val="32"/>
          <w:szCs w:val="32"/>
        </w:rPr>
      </w:pPr>
      <w:r>
        <w:rPr>
          <w:rFonts w:hint="eastAsia"/>
          <w:b/>
          <w:bCs/>
          <w:sz w:val="32"/>
          <w:szCs w:val="32"/>
        </w:rPr>
        <w:t xml:space="preserve"> </w:t>
      </w:r>
    </w:p>
    <w:p w14:paraId="11022CB0">
      <w:pPr>
        <w:spacing w:after="120"/>
        <w:outlineLvl w:val="0"/>
        <w:rPr>
          <w:rFonts w:ascii="黑体" w:hAnsi="宋体" w:eastAsia="黑体"/>
          <w:sz w:val="24"/>
        </w:rPr>
        <w:sectPr>
          <w:pgSz w:w="11906" w:h="16838"/>
          <w:pgMar w:top="1440" w:right="1800" w:bottom="1440" w:left="1800" w:header="851" w:footer="992" w:gutter="0"/>
          <w:cols w:space="720" w:num="1"/>
          <w:docGrid w:type="lines" w:linePitch="312" w:charSpace="0"/>
        </w:sectPr>
      </w:pPr>
    </w:p>
    <w:p w14:paraId="1B7920A6">
      <w:pPr>
        <w:pStyle w:val="3"/>
        <w:spacing w:line="360" w:lineRule="auto"/>
        <w:rPr>
          <w:rFonts w:ascii="宋体" w:hAnsi="宋体" w:eastAsia="宋体"/>
          <w:sz w:val="24"/>
          <w:szCs w:val="24"/>
        </w:rPr>
      </w:pPr>
      <w:bookmarkStart w:id="0" w:name="_Toc6812"/>
      <w:r>
        <w:rPr>
          <w:rFonts w:hint="eastAsia" w:ascii="宋体" w:hAnsi="宋体" w:eastAsia="宋体"/>
          <w:sz w:val="24"/>
          <w:szCs w:val="24"/>
        </w:rPr>
        <w:t>1  任务来源</w:t>
      </w:r>
      <w:bookmarkEnd w:id="0"/>
    </w:p>
    <w:p w14:paraId="10E64970">
      <w:pPr>
        <w:spacing w:line="360" w:lineRule="auto"/>
        <w:ind w:firstLine="540" w:firstLineChars="225"/>
        <w:rPr>
          <w:sz w:val="24"/>
        </w:rPr>
      </w:pPr>
      <w:r>
        <w:rPr>
          <w:rFonts w:hint="eastAsia"/>
          <w:sz w:val="24"/>
        </w:rPr>
        <w:t>“压电加速度计检定规程”制定项目来源于市监计量发[20</w:t>
      </w:r>
      <w:r>
        <w:rPr>
          <w:sz w:val="24"/>
        </w:rPr>
        <w:t>2</w:t>
      </w:r>
      <w:r>
        <w:rPr>
          <w:rFonts w:hint="eastAsia"/>
          <w:sz w:val="24"/>
        </w:rPr>
        <w:t>1]50号“市场监管总局办公厅印发2</w:t>
      </w:r>
      <w:r>
        <w:rPr>
          <w:sz w:val="24"/>
        </w:rPr>
        <w:t>02</w:t>
      </w:r>
      <w:r>
        <w:rPr>
          <w:rFonts w:hint="eastAsia"/>
          <w:sz w:val="24"/>
        </w:rPr>
        <w:t>1</w:t>
      </w:r>
      <w:r>
        <w:rPr>
          <w:sz w:val="24"/>
        </w:rPr>
        <w:t>年</w:t>
      </w:r>
      <w:r>
        <w:rPr>
          <w:rFonts w:hint="eastAsia"/>
          <w:sz w:val="24"/>
        </w:rPr>
        <w:t>国家计量技术规范项目制定、修订及宣贯计划的通知”。</w:t>
      </w:r>
    </w:p>
    <w:p w14:paraId="6D9C0BF3">
      <w:pPr>
        <w:pStyle w:val="3"/>
        <w:spacing w:line="360" w:lineRule="auto"/>
        <w:rPr>
          <w:rFonts w:hint="eastAsia" w:ascii="宋体" w:hAnsi="宋体" w:eastAsia="宋体"/>
          <w:sz w:val="24"/>
          <w:szCs w:val="24"/>
        </w:rPr>
      </w:pPr>
      <w:bookmarkStart w:id="1" w:name="_Toc2153"/>
      <w:r>
        <w:rPr>
          <w:rFonts w:hint="eastAsia" w:ascii="宋体" w:hAnsi="宋体" w:eastAsia="宋体"/>
          <w:sz w:val="24"/>
          <w:szCs w:val="24"/>
        </w:rPr>
        <w:t>2  制订依据</w:t>
      </w:r>
      <w:bookmarkEnd w:id="1"/>
    </w:p>
    <w:p w14:paraId="1683674F">
      <w:pPr>
        <w:pStyle w:val="29"/>
        <w:ind w:firstLine="480"/>
        <w:rPr>
          <w:rFonts w:hint="eastAsia" w:ascii="宋体" w:hAnsi="宋体"/>
          <w:kern w:val="2"/>
          <w:szCs w:val="24"/>
        </w:rPr>
      </w:pPr>
      <w:r>
        <w:rPr>
          <w:rFonts w:hint="eastAsia"/>
          <w:kern w:val="2"/>
          <w:szCs w:val="24"/>
        </w:rPr>
        <w:t>本规范依据《国家计量检定规程管理办法》、JJF 1001-2011《通用计量术语及定义》、JJF 1071-2010《国家计量校准规范编写规则》和JJF 1059.1-2012《测量不确定度评定与表示》的相关规定编制。结合已经发布的国家计量检定规程JJG</w:t>
      </w:r>
      <w:r>
        <w:rPr>
          <w:kern w:val="2"/>
          <w:szCs w:val="24"/>
        </w:rPr>
        <w:t>233-2008 《压电加速度计检定规程》和</w:t>
      </w:r>
      <w:r>
        <w:rPr>
          <w:rFonts w:hint="eastAsia"/>
          <w:kern w:val="2"/>
          <w:szCs w:val="24"/>
        </w:rPr>
        <w:t>国家标准GB/</w:t>
      </w:r>
      <w:r>
        <w:rPr>
          <w:kern w:val="2"/>
          <w:szCs w:val="24"/>
        </w:rPr>
        <w:t>T</w:t>
      </w:r>
      <w:r>
        <w:rPr>
          <w:rFonts w:hint="eastAsia"/>
          <w:kern w:val="2"/>
          <w:szCs w:val="24"/>
        </w:rPr>
        <w:t xml:space="preserve"> </w:t>
      </w:r>
      <w:r>
        <w:rPr>
          <w:kern w:val="2"/>
          <w:szCs w:val="24"/>
        </w:rPr>
        <w:t>20485系列标准</w:t>
      </w:r>
      <w:r>
        <w:rPr>
          <w:rFonts w:hint="eastAsia"/>
          <w:kern w:val="2"/>
          <w:szCs w:val="24"/>
        </w:rPr>
        <w:t>编写本规范，以满足压电加速度计生产制造企业、</w:t>
      </w:r>
      <w:r>
        <w:rPr>
          <w:rFonts w:hint="eastAsia" w:ascii="宋体" w:hAnsi="宋体"/>
          <w:kern w:val="2"/>
          <w:szCs w:val="24"/>
        </w:rPr>
        <w:t>使用单位和计量技术机构的校准需求。</w:t>
      </w:r>
    </w:p>
    <w:p w14:paraId="001AFBE9">
      <w:pPr>
        <w:pStyle w:val="3"/>
        <w:spacing w:line="360" w:lineRule="auto"/>
        <w:rPr>
          <w:rFonts w:hint="eastAsia" w:ascii="宋体" w:hAnsi="宋体" w:eastAsia="宋体"/>
          <w:sz w:val="24"/>
          <w:szCs w:val="24"/>
          <w:lang w:val="en-US"/>
        </w:rPr>
      </w:pPr>
      <w:bookmarkStart w:id="2" w:name="_Toc15127"/>
      <w:r>
        <w:rPr>
          <w:rFonts w:hint="eastAsia" w:ascii="宋体" w:hAnsi="宋体" w:eastAsia="宋体"/>
          <w:sz w:val="24"/>
          <w:szCs w:val="24"/>
          <w:lang w:val="en-US" w:eastAsia="zh-CN"/>
        </w:rPr>
        <w:t xml:space="preserve">3 </w:t>
      </w:r>
      <w:r>
        <w:rPr>
          <w:rFonts w:hint="eastAsia" w:ascii="宋体" w:hAnsi="宋体" w:eastAsia="宋体"/>
          <w:sz w:val="24"/>
          <w:szCs w:val="24"/>
          <w:lang w:val="en-US"/>
        </w:rPr>
        <w:t xml:space="preserve"> </w:t>
      </w:r>
      <w:r>
        <w:rPr>
          <w:rFonts w:hint="eastAsia" w:ascii="宋体" w:hAnsi="宋体" w:eastAsia="宋体"/>
          <w:sz w:val="24"/>
          <w:szCs w:val="24"/>
          <w:lang w:eastAsia="zh-CN"/>
        </w:rPr>
        <w:t>编制工作过程简介</w:t>
      </w:r>
      <w:bookmarkEnd w:id="2"/>
    </w:p>
    <w:p w14:paraId="309A3386">
      <w:pPr>
        <w:keepNext w:val="0"/>
        <w:keepLines w:val="0"/>
        <w:widowControl w:val="0"/>
        <w:suppressLineNumbers w:val="0"/>
        <w:adjustRightInd w:val="0"/>
        <w:spacing w:before="0" w:beforeAutospacing="0" w:after="0" w:afterAutospacing="0" w:line="360" w:lineRule="auto"/>
        <w:ind w:left="0" w:right="0" w:firstLine="480" w:firstLineChars="200"/>
        <w:jc w:val="left"/>
        <w:rPr>
          <w:rFonts w:hint="default" w:ascii="Times New Roman" w:hAnsi="Times New Roman" w:cs="Times New Roman"/>
          <w:sz w:val="24"/>
          <w:szCs w:val="20"/>
          <w:lang w:val="en-US"/>
        </w:rPr>
      </w:pPr>
      <w:r>
        <w:rPr>
          <w:rFonts w:hint="eastAsia" w:ascii="宋体" w:hAnsi="宋体" w:eastAsia="宋体" w:cs="Times New Roman"/>
          <w:kern w:val="0"/>
          <w:sz w:val="24"/>
          <w:szCs w:val="20"/>
          <w:lang w:val="en-US" w:eastAsia="zh-CN" w:bidi="ar"/>
        </w:rPr>
        <w:t>自本规范计划项目下达后，起草小组就开始收集与“</w:t>
      </w:r>
      <w:r>
        <w:rPr>
          <w:rFonts w:hint="eastAsia" w:ascii="宋体" w:hAnsi="宋体" w:cs="Times New Roman"/>
          <w:kern w:val="0"/>
          <w:sz w:val="24"/>
          <w:szCs w:val="20"/>
          <w:lang w:val="en-US" w:eastAsia="zh-CN" w:bidi="ar"/>
        </w:rPr>
        <w:t>振动传感器</w:t>
      </w:r>
      <w:r>
        <w:rPr>
          <w:rFonts w:hint="eastAsia" w:ascii="宋体" w:hAnsi="宋体" w:eastAsia="宋体" w:cs="Times New Roman"/>
          <w:kern w:val="0"/>
          <w:sz w:val="24"/>
          <w:szCs w:val="20"/>
          <w:lang w:val="en-US" w:eastAsia="zh-CN" w:bidi="ar"/>
        </w:rPr>
        <w:t>”有关的国际标准、国内标准和资料，进行了细致的分析研</w:t>
      </w:r>
      <w:r>
        <w:rPr>
          <w:rFonts w:hint="eastAsia" w:ascii="Times New Roman" w:hAnsi="Times New Roman" w:eastAsia="宋体" w:cs="Times New Roman"/>
          <w:kern w:val="0"/>
          <w:sz w:val="24"/>
          <w:szCs w:val="20"/>
          <w:lang w:val="en-US" w:eastAsia="zh-CN" w:bidi="ar"/>
        </w:rPr>
        <w:t>究。</w:t>
      </w:r>
      <w:r>
        <w:rPr>
          <w:rFonts w:hint="default" w:ascii="Times New Roman" w:hAnsi="Times New Roman" w:eastAsia="宋体" w:cs="Times New Roman"/>
          <w:kern w:val="0"/>
          <w:sz w:val="24"/>
          <w:szCs w:val="20"/>
          <w:lang w:val="en-US" w:eastAsia="zh-CN" w:bidi="ar"/>
        </w:rPr>
        <w:t>20</w:t>
      </w:r>
      <w:r>
        <w:rPr>
          <w:rFonts w:hint="eastAsia" w:cs="Times New Roman"/>
          <w:kern w:val="0"/>
          <w:sz w:val="24"/>
          <w:szCs w:val="20"/>
          <w:lang w:val="en-US" w:eastAsia="zh-CN" w:bidi="ar"/>
        </w:rPr>
        <w:t>21</w:t>
      </w:r>
      <w:r>
        <w:rPr>
          <w:rFonts w:hint="eastAsia" w:ascii="Times New Roman" w:hAnsi="Times New Roman" w:eastAsia="宋体" w:cs="Times New Roman"/>
          <w:kern w:val="0"/>
          <w:sz w:val="24"/>
          <w:szCs w:val="20"/>
          <w:lang w:val="en-US" w:eastAsia="zh-CN" w:bidi="ar"/>
        </w:rPr>
        <w:t>年</w:t>
      </w:r>
      <w:r>
        <w:rPr>
          <w:rFonts w:hint="default" w:ascii="Times New Roman" w:hAnsi="Times New Roman" w:eastAsia="宋体" w:cs="Times New Roman"/>
          <w:kern w:val="0"/>
          <w:sz w:val="24"/>
          <w:szCs w:val="20"/>
          <w:lang w:val="en-US" w:eastAsia="zh-CN" w:bidi="ar"/>
        </w:rPr>
        <w:t>09</w:t>
      </w:r>
      <w:r>
        <w:rPr>
          <w:rFonts w:hint="eastAsia" w:ascii="Times New Roman" w:hAnsi="Times New Roman" w:eastAsia="宋体" w:cs="Times New Roman"/>
          <w:kern w:val="0"/>
          <w:sz w:val="24"/>
          <w:szCs w:val="20"/>
          <w:lang w:val="en-US" w:eastAsia="zh-CN" w:bidi="ar"/>
        </w:rPr>
        <w:t>月，起草单位对振动</w:t>
      </w:r>
      <w:r>
        <w:rPr>
          <w:rFonts w:hint="eastAsia" w:cs="Times New Roman"/>
          <w:kern w:val="0"/>
          <w:sz w:val="24"/>
          <w:szCs w:val="20"/>
          <w:lang w:val="en-US" w:eastAsia="zh-CN" w:bidi="ar"/>
        </w:rPr>
        <w:t>加速度计</w:t>
      </w:r>
      <w:r>
        <w:rPr>
          <w:rFonts w:hint="eastAsia" w:ascii="Times New Roman" w:hAnsi="Times New Roman" w:eastAsia="宋体" w:cs="Times New Roman"/>
          <w:kern w:val="0"/>
          <w:sz w:val="24"/>
          <w:szCs w:val="20"/>
          <w:lang w:val="en-US" w:eastAsia="zh-CN" w:bidi="ar"/>
        </w:rPr>
        <w:t>的生厂商和代理商进行了调研，如</w:t>
      </w:r>
      <w:r>
        <w:rPr>
          <w:rFonts w:hint="eastAsia" w:cs="Times New Roman"/>
          <w:kern w:val="0"/>
          <w:sz w:val="24"/>
          <w:szCs w:val="20"/>
          <w:lang w:val="en-US" w:eastAsia="zh-CN" w:bidi="ar"/>
        </w:rPr>
        <w:t>扬州YMC公司</w:t>
      </w:r>
      <w:r>
        <w:rPr>
          <w:rFonts w:hint="eastAsia" w:ascii="Times New Roman" w:hAnsi="Times New Roman" w:eastAsia="宋体" w:cs="Times New Roman"/>
          <w:kern w:val="0"/>
          <w:sz w:val="24"/>
          <w:szCs w:val="20"/>
          <w:lang w:val="en-US" w:eastAsia="zh-CN" w:bidi="ar"/>
        </w:rPr>
        <w:t>、</w:t>
      </w:r>
      <w:r>
        <w:rPr>
          <w:rFonts w:hint="eastAsia" w:cs="Times New Roman"/>
          <w:kern w:val="0"/>
          <w:sz w:val="24"/>
          <w:szCs w:val="20"/>
          <w:lang w:val="en-US" w:eastAsia="zh-CN" w:bidi="ar"/>
        </w:rPr>
        <w:t>厦门乃尔河北美泰、丹</w:t>
      </w:r>
      <w:r>
        <w:rPr>
          <w:rFonts w:hint="eastAsia" w:ascii="Times New Roman" w:hAnsi="Times New Roman" w:eastAsia="宋体" w:cs="Times New Roman"/>
          <w:kern w:val="0"/>
          <w:sz w:val="24"/>
          <w:szCs w:val="20"/>
          <w:lang w:val="en-US" w:eastAsia="zh-CN" w:bidi="ar"/>
        </w:rPr>
        <w:t>麦BK、美国</w:t>
      </w:r>
      <w:r>
        <w:rPr>
          <w:rFonts w:hint="eastAsia" w:cs="Times New Roman"/>
          <w:kern w:val="0"/>
          <w:sz w:val="24"/>
          <w:szCs w:val="20"/>
          <w:lang w:val="en-US" w:eastAsia="zh-CN" w:bidi="ar"/>
        </w:rPr>
        <w:t>PCB</w:t>
      </w:r>
      <w:r>
        <w:rPr>
          <w:rFonts w:hint="eastAsia" w:ascii="Times New Roman" w:hAnsi="Times New Roman" w:eastAsia="宋体" w:cs="Times New Roman"/>
          <w:kern w:val="0"/>
          <w:sz w:val="24"/>
          <w:szCs w:val="20"/>
          <w:lang w:val="en-US" w:eastAsia="zh-CN" w:bidi="ar"/>
        </w:rPr>
        <w:t>器等。</w:t>
      </w:r>
      <w:r>
        <w:rPr>
          <w:rFonts w:hint="default" w:ascii="Times New Roman" w:hAnsi="Times New Roman" w:eastAsia="宋体" w:cs="Times New Roman"/>
          <w:kern w:val="0"/>
          <w:sz w:val="24"/>
          <w:szCs w:val="20"/>
          <w:lang w:val="en-US" w:eastAsia="zh-CN" w:bidi="ar"/>
        </w:rPr>
        <w:t>20</w:t>
      </w:r>
      <w:r>
        <w:rPr>
          <w:rFonts w:hint="eastAsia" w:ascii="Times New Roman" w:hAnsi="Times New Roman" w:eastAsia="宋体" w:cs="Times New Roman"/>
          <w:kern w:val="0"/>
          <w:sz w:val="24"/>
          <w:szCs w:val="20"/>
          <w:lang w:val="en-US" w:eastAsia="zh-CN" w:bidi="ar"/>
        </w:rPr>
        <w:t>2</w:t>
      </w:r>
      <w:r>
        <w:rPr>
          <w:rFonts w:hint="eastAsia" w:cs="Times New Roman"/>
          <w:kern w:val="0"/>
          <w:sz w:val="24"/>
          <w:szCs w:val="20"/>
          <w:lang w:val="en-US" w:eastAsia="zh-CN" w:bidi="ar"/>
        </w:rPr>
        <w:t>2</w:t>
      </w:r>
      <w:r>
        <w:rPr>
          <w:rFonts w:hint="eastAsia" w:ascii="Times New Roman" w:hAnsi="Times New Roman" w:eastAsia="宋体" w:cs="Times New Roman"/>
          <w:kern w:val="0"/>
          <w:sz w:val="24"/>
          <w:szCs w:val="20"/>
          <w:lang w:val="en-US" w:eastAsia="zh-CN" w:bidi="ar"/>
        </w:rPr>
        <w:t>年2月，按标准的要求制定校准方法，并对校准方法进行试验，总结分析试验结果并改进措施，确保试验方法科学、易操作。</w:t>
      </w:r>
      <w:r>
        <w:rPr>
          <w:rFonts w:hint="default" w:ascii="Times New Roman" w:hAnsi="Times New Roman" w:eastAsia="宋体" w:cs="Times New Roman"/>
          <w:kern w:val="0"/>
          <w:sz w:val="24"/>
          <w:szCs w:val="20"/>
          <w:lang w:val="en-US" w:eastAsia="zh-CN" w:bidi="ar"/>
        </w:rPr>
        <w:t>20</w:t>
      </w:r>
      <w:r>
        <w:rPr>
          <w:rFonts w:hint="eastAsia" w:ascii="Times New Roman" w:hAnsi="Times New Roman" w:eastAsia="宋体" w:cs="Times New Roman"/>
          <w:kern w:val="0"/>
          <w:sz w:val="24"/>
          <w:szCs w:val="20"/>
          <w:lang w:val="en-US" w:eastAsia="zh-CN" w:bidi="ar"/>
        </w:rPr>
        <w:t>24年6月，起草小组开始编写校准规范和试验方法初稿。经过精心分析和讨论，于</w:t>
      </w:r>
      <w:r>
        <w:rPr>
          <w:rFonts w:hint="default" w:ascii="Times New Roman" w:hAnsi="Times New Roman" w:eastAsia="宋体" w:cs="Times New Roman"/>
          <w:kern w:val="0"/>
          <w:sz w:val="24"/>
          <w:szCs w:val="20"/>
          <w:lang w:val="en-US" w:eastAsia="zh-CN" w:bidi="ar"/>
        </w:rPr>
        <w:t>20</w:t>
      </w:r>
      <w:r>
        <w:rPr>
          <w:rFonts w:hint="eastAsia" w:ascii="Times New Roman" w:hAnsi="Times New Roman" w:eastAsia="宋体" w:cs="Times New Roman"/>
          <w:kern w:val="0"/>
          <w:sz w:val="24"/>
          <w:szCs w:val="20"/>
          <w:lang w:val="en-US" w:eastAsia="zh-CN" w:bidi="ar"/>
        </w:rPr>
        <w:t>24年</w:t>
      </w:r>
      <w:r>
        <w:rPr>
          <w:rFonts w:hint="default" w:ascii="Times New Roman" w:hAnsi="Times New Roman" w:eastAsia="宋体" w:cs="Times New Roman"/>
          <w:kern w:val="0"/>
          <w:sz w:val="24"/>
          <w:szCs w:val="20"/>
          <w:lang w:val="en-US" w:eastAsia="zh-CN" w:bidi="ar"/>
        </w:rPr>
        <w:t>1</w:t>
      </w:r>
      <w:r>
        <w:rPr>
          <w:rFonts w:hint="eastAsia" w:ascii="Times New Roman" w:hAnsi="Times New Roman" w:eastAsia="宋体" w:cs="Times New Roman"/>
          <w:kern w:val="0"/>
          <w:sz w:val="24"/>
          <w:szCs w:val="20"/>
          <w:lang w:val="en-US" w:eastAsia="zh-CN" w:bidi="ar"/>
        </w:rPr>
        <w:t>0月完成校准规范初稿的撰写。随后不断完善试验和校准方法。在</w:t>
      </w:r>
      <w:r>
        <w:rPr>
          <w:rFonts w:hint="default" w:ascii="Times New Roman" w:hAnsi="Times New Roman" w:eastAsia="宋体" w:cs="Times New Roman"/>
          <w:kern w:val="0"/>
          <w:sz w:val="24"/>
          <w:szCs w:val="20"/>
          <w:lang w:val="en-US" w:eastAsia="zh-CN" w:bidi="ar"/>
        </w:rPr>
        <w:t>20</w:t>
      </w:r>
      <w:r>
        <w:rPr>
          <w:rFonts w:hint="eastAsia" w:ascii="Times New Roman" w:hAnsi="Times New Roman" w:eastAsia="宋体" w:cs="Times New Roman"/>
          <w:kern w:val="0"/>
          <w:sz w:val="24"/>
          <w:szCs w:val="20"/>
          <w:lang w:val="en-US" w:eastAsia="zh-CN" w:bidi="ar"/>
        </w:rPr>
        <w:t>25年年会上做了预审，专家提出</w:t>
      </w:r>
      <w:r>
        <w:rPr>
          <w:rFonts w:hint="eastAsia" w:cs="Times New Roman"/>
          <w:kern w:val="0"/>
          <w:sz w:val="24"/>
          <w:szCs w:val="20"/>
          <w:lang w:val="en-US" w:eastAsia="zh-CN" w:bidi="ar"/>
        </w:rPr>
        <w:t>5</w:t>
      </w:r>
      <w:r>
        <w:rPr>
          <w:rFonts w:hint="eastAsia" w:ascii="Times New Roman" w:hAnsi="Times New Roman" w:eastAsia="宋体" w:cs="Times New Roman"/>
          <w:kern w:val="0"/>
          <w:sz w:val="24"/>
          <w:szCs w:val="20"/>
          <w:lang w:val="en-US" w:eastAsia="zh-CN" w:bidi="ar"/>
        </w:rPr>
        <w:t>条评审意见，会后和项目组成员针对专家提出的建议，逐条落实、修改，于</w:t>
      </w:r>
      <w:r>
        <w:rPr>
          <w:rFonts w:hint="default" w:ascii="Times New Roman" w:hAnsi="Times New Roman" w:eastAsia="宋体" w:cs="Times New Roman"/>
          <w:kern w:val="0"/>
          <w:sz w:val="24"/>
          <w:szCs w:val="20"/>
          <w:lang w:val="en-US" w:eastAsia="zh-CN" w:bidi="ar"/>
        </w:rPr>
        <w:t>20</w:t>
      </w:r>
      <w:r>
        <w:rPr>
          <w:rFonts w:hint="eastAsia" w:ascii="Times New Roman" w:hAnsi="Times New Roman" w:eastAsia="宋体" w:cs="Times New Roman"/>
          <w:kern w:val="0"/>
          <w:sz w:val="24"/>
          <w:szCs w:val="20"/>
          <w:lang w:val="en-US" w:eastAsia="zh-CN" w:bidi="ar"/>
        </w:rPr>
        <w:t>26年8月形成征求意见稿发给各位委员，汇总意见后形成报审稿。</w:t>
      </w:r>
    </w:p>
    <w:p w14:paraId="61BD1836">
      <w:pPr>
        <w:pStyle w:val="3"/>
        <w:spacing w:line="360" w:lineRule="auto"/>
        <w:rPr>
          <w:rFonts w:hint="eastAsia" w:ascii="宋体" w:hAnsi="宋体" w:eastAsia="宋体"/>
          <w:sz w:val="24"/>
          <w:szCs w:val="24"/>
          <w:lang w:val="en-US" w:eastAsia="zh-CN"/>
        </w:rPr>
      </w:pPr>
      <w:bookmarkStart w:id="3" w:name="_Toc8441"/>
      <w:r>
        <w:rPr>
          <w:rFonts w:hint="eastAsia" w:ascii="宋体" w:hAnsi="宋体" w:eastAsia="宋体"/>
          <w:sz w:val="24"/>
          <w:szCs w:val="24"/>
          <w:lang w:val="en-US" w:eastAsia="zh-CN"/>
        </w:rPr>
        <w:t>4  与国际标准、国内标准的兼容情况</w:t>
      </w:r>
      <w:bookmarkEnd w:id="3"/>
    </w:p>
    <w:p w14:paraId="4CB28531">
      <w:pPr>
        <w:keepNext w:val="0"/>
        <w:keepLines w:val="0"/>
        <w:widowControl w:val="0"/>
        <w:suppressLineNumbers w:val="0"/>
        <w:adjustRightInd w:val="0"/>
        <w:spacing w:before="0" w:beforeAutospacing="0" w:after="0" w:afterAutospacing="0" w:line="360" w:lineRule="auto"/>
        <w:ind w:left="0" w:right="0"/>
        <w:jc w:val="left"/>
        <w:rPr>
          <w:rFonts w:hint="default" w:ascii="Times New Roman" w:hAnsi="Times New Roman" w:cs="Times New Roman"/>
          <w:sz w:val="24"/>
          <w:szCs w:val="24"/>
          <w:lang w:val="en-US"/>
        </w:rPr>
      </w:pPr>
      <w:r>
        <w:rPr>
          <w:rFonts w:hint="eastAsia" w:ascii="Times New Roman" w:hAnsi="Times New Roman" w:eastAsia="宋体" w:cs="Times New Roman"/>
          <w:kern w:val="0"/>
          <w:sz w:val="24"/>
          <w:szCs w:val="24"/>
          <w:lang w:val="en-US" w:eastAsia="zh-CN" w:bidi="ar"/>
        </w:rPr>
        <w:t>本规范在制定过程中参阅了如下国内外文件：</w:t>
      </w:r>
    </w:p>
    <w:p w14:paraId="373D0FDD">
      <w:pPr>
        <w:keepNext w:val="0"/>
        <w:keepLines w:val="0"/>
        <w:widowControl w:val="0"/>
        <w:suppressLineNumbers w:val="0"/>
        <w:tabs>
          <w:tab w:val="left" w:pos="4680"/>
        </w:tabs>
        <w:adjustRightInd w:val="0"/>
        <w:spacing w:before="0" w:beforeAutospacing="0" w:after="0" w:afterAutospacing="0" w:line="360" w:lineRule="auto"/>
        <w:ind w:left="0" w:right="0"/>
        <w:jc w:val="left"/>
        <w:rPr>
          <w:rFonts w:hint="default" w:ascii="Times New Roman" w:hAnsi="Times New Roman" w:cs="Times New Roman"/>
          <w:sz w:val="24"/>
          <w:szCs w:val="20"/>
          <w:lang w:val="en-US"/>
        </w:rPr>
      </w:pPr>
      <w:r>
        <w:rPr>
          <w:rFonts w:hint="default" w:ascii="Times New Roman" w:hAnsi="Times New Roman" w:eastAsia="宋体" w:cs="Times New Roman"/>
          <w:kern w:val="0"/>
          <w:sz w:val="24"/>
          <w:szCs w:val="20"/>
          <w:lang w:val="en-US" w:eastAsia="zh-CN" w:bidi="ar"/>
        </w:rPr>
        <w:t xml:space="preserve">JJG 2054-2015  </w:t>
      </w:r>
      <w:r>
        <w:rPr>
          <w:rFonts w:hint="eastAsia" w:ascii="Times New Roman" w:hAnsi="Times New Roman" w:eastAsia="宋体" w:cs="Times New Roman"/>
          <w:kern w:val="0"/>
          <w:sz w:val="24"/>
          <w:szCs w:val="20"/>
          <w:lang w:val="en-US" w:eastAsia="zh-CN" w:bidi="ar"/>
        </w:rPr>
        <w:t>振动计量器具检定系统表</w:t>
      </w:r>
      <w:r>
        <w:rPr>
          <w:rFonts w:hint="default" w:ascii="Times New Roman" w:hAnsi="Times New Roman" w:eastAsia="宋体" w:cs="Times New Roman"/>
          <w:kern w:val="0"/>
          <w:sz w:val="24"/>
          <w:szCs w:val="20"/>
          <w:lang w:val="en-US" w:eastAsia="zh-CN" w:bidi="ar"/>
        </w:rPr>
        <w:tab/>
      </w:r>
    </w:p>
    <w:p w14:paraId="21363733">
      <w:pPr>
        <w:keepNext w:val="0"/>
        <w:keepLines w:val="0"/>
        <w:widowControl w:val="0"/>
        <w:suppressLineNumbers w:val="0"/>
        <w:adjustRightInd w:val="0"/>
        <w:spacing w:before="0" w:beforeAutospacing="0" w:after="0" w:afterAutospacing="0" w:line="360" w:lineRule="auto"/>
        <w:ind w:left="0" w:right="0"/>
        <w:jc w:val="left"/>
        <w:rPr>
          <w:rFonts w:hint="default" w:ascii="Times New Roman" w:hAnsi="Times New Roman" w:cs="Times New Roman"/>
          <w:sz w:val="24"/>
          <w:szCs w:val="24"/>
          <w:lang w:val="en-US"/>
        </w:rPr>
      </w:pPr>
      <w:r>
        <w:rPr>
          <w:rFonts w:hint="default" w:ascii="Times New Roman" w:hAnsi="Times New Roman" w:eastAsia="宋体" w:cs="Times New Roman"/>
          <w:kern w:val="0"/>
          <w:sz w:val="24"/>
          <w:szCs w:val="24"/>
          <w:lang w:val="en-US" w:eastAsia="zh-CN" w:bidi="ar"/>
        </w:rPr>
        <w:t xml:space="preserve">JJF 1156-2006 </w:t>
      </w:r>
      <w:r>
        <w:rPr>
          <w:rFonts w:hint="eastAsia" w:ascii="Times New Roman" w:hAnsi="Times New Roman" w:eastAsia="宋体" w:cs="Times New Roman"/>
          <w:kern w:val="0"/>
          <w:sz w:val="24"/>
          <w:szCs w:val="24"/>
          <w:lang w:val="en-US" w:eastAsia="zh-CN" w:bidi="ar"/>
        </w:rPr>
        <w:t>振动、冲击、转速计量术语及定义</w:t>
      </w:r>
    </w:p>
    <w:p w14:paraId="1D103A4E">
      <w:pPr>
        <w:keepNext w:val="0"/>
        <w:keepLines w:val="0"/>
        <w:widowControl w:val="0"/>
        <w:suppressLineNumbers w:val="0"/>
        <w:adjustRightInd w:val="0"/>
        <w:spacing w:before="0" w:beforeAutospacing="0" w:after="0" w:afterAutospacing="0" w:line="360" w:lineRule="auto"/>
        <w:ind w:left="0" w:right="0"/>
        <w:jc w:val="left"/>
        <w:rPr>
          <w:rFonts w:hint="default" w:ascii="Times New Roman" w:hAnsi="Times New Roman" w:cs="Times New Roman"/>
          <w:sz w:val="24"/>
          <w:szCs w:val="24"/>
          <w:lang w:val="en-US"/>
        </w:rPr>
      </w:pPr>
      <w:r>
        <w:rPr>
          <w:rFonts w:hint="default" w:ascii="Times New Roman" w:hAnsi="Times New Roman" w:eastAsia="宋体" w:cs="Times New Roman"/>
          <w:kern w:val="0"/>
          <w:sz w:val="24"/>
          <w:szCs w:val="24"/>
          <w:lang w:val="en-US" w:eastAsia="zh-CN" w:bidi="ar"/>
        </w:rPr>
        <w:t>GB/T 20485.11-2006</w:t>
      </w:r>
      <w:r>
        <w:rPr>
          <w:rFonts w:hint="eastAsia" w:ascii="Times New Roman" w:hAnsi="Times New Roman" w:eastAsia="宋体" w:cs="Times New Roman"/>
          <w:kern w:val="0"/>
          <w:sz w:val="24"/>
          <w:szCs w:val="24"/>
          <w:lang w:val="en-US" w:eastAsia="zh-CN" w:bidi="ar"/>
        </w:rPr>
        <w:t>《振动与冲击传感器的校准方法</w:t>
      </w:r>
      <w:r>
        <w:rPr>
          <w:rFonts w:hint="default" w:ascii="Times New Roman" w:hAnsi="Times New Roman" w:eastAsia="宋体" w:cs="Times New Roman"/>
          <w:kern w:val="0"/>
          <w:sz w:val="24"/>
          <w:szCs w:val="24"/>
          <w:lang w:val="en-US" w:eastAsia="zh-CN" w:bidi="ar"/>
        </w:rPr>
        <w:t xml:space="preserve">  </w:t>
      </w:r>
      <w:r>
        <w:rPr>
          <w:rFonts w:hint="eastAsia" w:ascii="Times New Roman" w:hAnsi="Times New Roman" w:eastAsia="宋体" w:cs="Times New Roman"/>
          <w:kern w:val="0"/>
          <w:sz w:val="24"/>
          <w:szCs w:val="24"/>
          <w:lang w:val="en-US" w:eastAsia="zh-CN" w:bidi="ar"/>
        </w:rPr>
        <w:t>第</w:t>
      </w:r>
      <w:r>
        <w:rPr>
          <w:rFonts w:hint="default" w:ascii="Times New Roman" w:hAnsi="Times New Roman" w:eastAsia="宋体" w:cs="Times New Roman"/>
          <w:kern w:val="0"/>
          <w:sz w:val="24"/>
          <w:szCs w:val="24"/>
          <w:lang w:val="en-US" w:eastAsia="zh-CN" w:bidi="ar"/>
        </w:rPr>
        <w:t>11</w:t>
      </w:r>
      <w:r>
        <w:rPr>
          <w:rFonts w:hint="eastAsia" w:ascii="Times New Roman" w:hAnsi="Times New Roman" w:eastAsia="宋体" w:cs="Times New Roman"/>
          <w:kern w:val="0"/>
          <w:sz w:val="24"/>
          <w:szCs w:val="24"/>
          <w:lang w:val="en-US" w:eastAsia="zh-CN" w:bidi="ar"/>
        </w:rPr>
        <w:t>部分：激光干涉法振动绝对校准》</w:t>
      </w:r>
    </w:p>
    <w:p w14:paraId="7378A405">
      <w:pPr>
        <w:keepNext w:val="0"/>
        <w:keepLines w:val="0"/>
        <w:widowControl w:val="0"/>
        <w:suppressLineNumbers w:val="0"/>
        <w:adjustRightInd w:val="0"/>
        <w:spacing w:before="0" w:beforeAutospacing="0" w:after="0" w:afterAutospacing="0" w:line="360" w:lineRule="auto"/>
        <w:ind w:left="0" w:right="0"/>
        <w:jc w:val="left"/>
        <w:rPr>
          <w:rFonts w:hint="default" w:ascii="Times New Roman" w:hAnsi="Times New Roman" w:cs="Times New Roman"/>
          <w:sz w:val="24"/>
          <w:szCs w:val="24"/>
          <w:lang w:val="en-US"/>
        </w:rPr>
      </w:pPr>
      <w:r>
        <w:rPr>
          <w:rFonts w:hint="default" w:ascii="Times New Roman" w:hAnsi="Times New Roman" w:eastAsia="宋体" w:cs="Times New Roman"/>
          <w:kern w:val="0"/>
          <w:sz w:val="24"/>
          <w:szCs w:val="24"/>
          <w:lang w:val="en-US" w:eastAsia="zh-CN" w:bidi="ar"/>
        </w:rPr>
        <w:t xml:space="preserve">GB/T 20485.16-2018 </w:t>
      </w:r>
      <w:r>
        <w:rPr>
          <w:rFonts w:hint="eastAsia" w:ascii="Times New Roman" w:hAnsi="Times New Roman" w:eastAsia="宋体" w:cs="Times New Roman"/>
          <w:kern w:val="0"/>
          <w:sz w:val="24"/>
          <w:szCs w:val="24"/>
          <w:lang w:val="en-US" w:eastAsia="zh-CN" w:bidi="ar"/>
        </w:rPr>
        <w:t>《振动与冲击传感器的校准方法</w:t>
      </w:r>
      <w:r>
        <w:rPr>
          <w:rFonts w:hint="default" w:ascii="Times New Roman" w:hAnsi="Times New Roman" w:eastAsia="宋体" w:cs="Times New Roman"/>
          <w:kern w:val="0"/>
          <w:sz w:val="24"/>
          <w:szCs w:val="24"/>
          <w:lang w:val="en-US" w:eastAsia="zh-CN" w:bidi="ar"/>
        </w:rPr>
        <w:t xml:space="preserve">  </w:t>
      </w:r>
      <w:r>
        <w:rPr>
          <w:rFonts w:hint="eastAsia" w:ascii="Times New Roman" w:hAnsi="Times New Roman" w:eastAsia="宋体" w:cs="Times New Roman"/>
          <w:kern w:val="0"/>
          <w:sz w:val="24"/>
          <w:szCs w:val="24"/>
          <w:lang w:val="en-US" w:eastAsia="zh-CN" w:bidi="ar"/>
        </w:rPr>
        <w:t>第</w:t>
      </w:r>
      <w:r>
        <w:rPr>
          <w:rFonts w:hint="default" w:ascii="Times New Roman" w:hAnsi="Times New Roman" w:eastAsia="宋体" w:cs="Times New Roman"/>
          <w:kern w:val="0"/>
          <w:sz w:val="24"/>
          <w:szCs w:val="24"/>
          <w:lang w:val="en-US" w:eastAsia="zh-CN" w:bidi="ar"/>
        </w:rPr>
        <w:t>16</w:t>
      </w:r>
      <w:r>
        <w:rPr>
          <w:rFonts w:hint="eastAsia" w:ascii="Times New Roman" w:hAnsi="Times New Roman" w:eastAsia="宋体" w:cs="Times New Roman"/>
          <w:kern w:val="0"/>
          <w:sz w:val="24"/>
          <w:szCs w:val="24"/>
          <w:lang w:val="en-US" w:eastAsia="zh-CN" w:bidi="ar"/>
        </w:rPr>
        <w:t>部分：地球重力法校准》</w:t>
      </w:r>
    </w:p>
    <w:p w14:paraId="24C2A843">
      <w:pPr>
        <w:keepNext w:val="0"/>
        <w:keepLines w:val="0"/>
        <w:widowControl w:val="0"/>
        <w:suppressLineNumbers w:val="0"/>
        <w:adjustRightInd w:val="0"/>
        <w:spacing w:before="0" w:beforeAutospacing="0" w:after="0" w:afterAutospacing="0" w:line="360" w:lineRule="auto"/>
        <w:ind w:left="0" w:right="0"/>
        <w:jc w:val="left"/>
        <w:rPr>
          <w:rFonts w:hint="default" w:ascii="Times New Roman" w:hAnsi="Times New Roman" w:cs="Times New Roman"/>
          <w:sz w:val="24"/>
          <w:szCs w:val="24"/>
          <w:lang w:val="en-US"/>
        </w:rPr>
      </w:pPr>
      <w:r>
        <w:rPr>
          <w:rFonts w:hint="default" w:ascii="Times New Roman" w:hAnsi="Times New Roman" w:eastAsia="宋体" w:cs="Times New Roman"/>
          <w:kern w:val="0"/>
          <w:sz w:val="24"/>
          <w:szCs w:val="24"/>
          <w:lang w:val="en-US" w:eastAsia="zh-CN" w:bidi="ar"/>
        </w:rPr>
        <w:t>GB/T 20485.21-2007</w:t>
      </w:r>
      <w:r>
        <w:rPr>
          <w:rFonts w:hint="eastAsia" w:ascii="Times New Roman" w:hAnsi="Times New Roman" w:eastAsia="宋体" w:cs="Times New Roman"/>
          <w:kern w:val="0"/>
          <w:sz w:val="24"/>
          <w:szCs w:val="24"/>
          <w:lang w:val="en-US" w:eastAsia="zh-CN" w:bidi="ar"/>
        </w:rPr>
        <w:t>《振动与冲击传感器的校准方法</w:t>
      </w:r>
      <w:r>
        <w:rPr>
          <w:rFonts w:hint="default" w:ascii="Times New Roman" w:hAnsi="Times New Roman" w:eastAsia="宋体" w:cs="Times New Roman"/>
          <w:kern w:val="0"/>
          <w:sz w:val="24"/>
          <w:szCs w:val="24"/>
          <w:lang w:val="en-US" w:eastAsia="zh-CN" w:bidi="ar"/>
        </w:rPr>
        <w:t xml:space="preserve">  </w:t>
      </w:r>
      <w:r>
        <w:rPr>
          <w:rFonts w:hint="eastAsia" w:ascii="Times New Roman" w:hAnsi="Times New Roman" w:eastAsia="宋体" w:cs="Times New Roman"/>
          <w:kern w:val="0"/>
          <w:sz w:val="24"/>
          <w:szCs w:val="24"/>
          <w:lang w:val="en-US" w:eastAsia="zh-CN" w:bidi="ar"/>
        </w:rPr>
        <w:t>第</w:t>
      </w:r>
      <w:r>
        <w:rPr>
          <w:rFonts w:hint="default" w:ascii="Times New Roman" w:hAnsi="Times New Roman" w:eastAsia="宋体" w:cs="Times New Roman"/>
          <w:kern w:val="0"/>
          <w:sz w:val="24"/>
          <w:szCs w:val="24"/>
          <w:lang w:val="en-US" w:eastAsia="zh-CN" w:bidi="ar"/>
        </w:rPr>
        <w:t>21</w:t>
      </w:r>
      <w:r>
        <w:rPr>
          <w:rFonts w:hint="eastAsia" w:ascii="Times New Roman" w:hAnsi="Times New Roman" w:eastAsia="宋体" w:cs="Times New Roman"/>
          <w:kern w:val="0"/>
          <w:sz w:val="24"/>
          <w:szCs w:val="24"/>
          <w:lang w:val="en-US" w:eastAsia="zh-CN" w:bidi="ar"/>
        </w:rPr>
        <w:t>部分：振动比较法校准》</w:t>
      </w:r>
      <w:r>
        <w:rPr>
          <w:rFonts w:hint="default" w:ascii="Times New Roman" w:hAnsi="Times New Roman" w:eastAsia="宋体" w:cs="Times New Roman"/>
          <w:kern w:val="0"/>
          <w:sz w:val="24"/>
          <w:szCs w:val="24"/>
          <w:lang w:val="en-US" w:eastAsia="zh-CN" w:bidi="ar"/>
        </w:rPr>
        <w:t xml:space="preserve"> </w:t>
      </w:r>
    </w:p>
    <w:p w14:paraId="0BA45C2B">
      <w:pPr>
        <w:pStyle w:val="3"/>
        <w:spacing w:line="360" w:lineRule="auto"/>
        <w:rPr>
          <w:rFonts w:hint="eastAsia" w:ascii="宋体" w:hAnsi="宋体" w:eastAsia="宋体"/>
          <w:sz w:val="24"/>
          <w:szCs w:val="24"/>
          <w:lang w:val="en-US" w:eastAsia="zh-CN"/>
        </w:rPr>
      </w:pPr>
      <w:bookmarkStart w:id="4" w:name="_Toc24321"/>
      <w:r>
        <w:rPr>
          <w:rFonts w:hint="eastAsia" w:ascii="宋体" w:hAnsi="宋体" w:eastAsia="宋体"/>
          <w:sz w:val="24"/>
          <w:szCs w:val="24"/>
          <w:lang w:val="en-US" w:eastAsia="zh-CN"/>
        </w:rPr>
        <w:t xml:space="preserve">5  </w:t>
      </w:r>
      <w:r>
        <w:rPr>
          <w:rFonts w:hint="eastAsia" w:ascii="宋体" w:hAnsi="宋体" w:eastAsia="宋体"/>
          <w:sz w:val="24"/>
          <w:szCs w:val="24"/>
          <w:lang w:val="en-US" w:eastAsia="zh-CN"/>
        </w:rPr>
        <w:t>编制内容说明</w:t>
      </w:r>
      <w:bookmarkEnd w:id="4"/>
    </w:p>
    <w:p w14:paraId="23B2EE5D">
      <w:pPr>
        <w:spacing w:line="360" w:lineRule="auto"/>
        <w:rPr>
          <w:rFonts w:ascii="宋体" w:hAnsi="宋体"/>
          <w:b/>
          <w:bCs/>
          <w:sz w:val="24"/>
        </w:rPr>
      </w:pPr>
      <w:r>
        <w:rPr>
          <w:rFonts w:hint="eastAsia" w:ascii="宋体" w:hAnsi="宋体"/>
          <w:b/>
          <w:bCs/>
          <w:sz w:val="24"/>
          <w:lang w:val="en-US" w:eastAsia="zh-CN"/>
        </w:rPr>
        <w:t>5</w:t>
      </w:r>
      <w:r>
        <w:rPr>
          <w:rFonts w:hint="eastAsia" w:ascii="宋体" w:hAnsi="宋体"/>
          <w:b/>
          <w:bCs/>
          <w:sz w:val="24"/>
        </w:rPr>
        <w:t>.1  关于范围</w:t>
      </w:r>
    </w:p>
    <w:p w14:paraId="2EE664CD">
      <w:pPr>
        <w:spacing w:line="360" w:lineRule="auto"/>
        <w:ind w:right="-57" w:rightChars="-27" w:firstLine="360" w:firstLineChars="150"/>
        <w:rPr>
          <w:rFonts w:ascii="宋体" w:hAnsi="宋体"/>
          <w:color w:val="0000FF"/>
          <w:sz w:val="24"/>
          <w:lang w:bidi="ar"/>
        </w:rPr>
      </w:pPr>
      <w:r>
        <w:rPr>
          <w:rFonts w:hint="eastAsia" w:ascii="宋体" w:hAnsi="宋体"/>
          <w:color w:val="0000FF"/>
          <w:sz w:val="24"/>
          <w:lang w:bidi="ar"/>
        </w:rPr>
        <w:t>删除了原版本中“测量范围”的限制</w:t>
      </w:r>
    </w:p>
    <w:p w14:paraId="1C4E23D3">
      <w:pPr>
        <w:spacing w:line="360" w:lineRule="auto"/>
        <w:ind w:right="-57" w:rightChars="-27"/>
        <w:rPr>
          <w:rFonts w:ascii="宋体" w:hAnsi="宋体"/>
          <w:b/>
          <w:bCs/>
          <w:sz w:val="24"/>
        </w:rPr>
      </w:pPr>
      <w:r>
        <w:rPr>
          <w:rFonts w:hint="eastAsia" w:ascii="宋体" w:hAnsi="宋体"/>
          <w:b/>
          <w:bCs/>
          <w:sz w:val="24"/>
          <w:lang w:val="en-US" w:eastAsia="zh-CN"/>
        </w:rPr>
        <w:t>5</w:t>
      </w:r>
      <w:r>
        <w:rPr>
          <w:rFonts w:hint="eastAsia" w:ascii="宋体" w:hAnsi="宋体"/>
          <w:b/>
          <w:bCs/>
          <w:sz w:val="24"/>
        </w:rPr>
        <w:t>.2  关于引用文件</w:t>
      </w:r>
    </w:p>
    <w:p w14:paraId="7CC10A53">
      <w:pPr>
        <w:spacing w:line="360" w:lineRule="auto"/>
        <w:ind w:firstLine="480" w:firstLineChars="200"/>
        <w:rPr>
          <w:sz w:val="24"/>
        </w:rPr>
      </w:pPr>
      <w:r>
        <w:rPr>
          <w:rFonts w:hint="eastAsia"/>
          <w:sz w:val="24"/>
        </w:rPr>
        <w:t>本规范引用下列文件：</w:t>
      </w:r>
    </w:p>
    <w:p w14:paraId="14B60698">
      <w:pPr>
        <w:spacing w:line="360" w:lineRule="auto"/>
        <w:ind w:firstLine="480" w:firstLineChars="200"/>
        <w:rPr>
          <w:sz w:val="24"/>
        </w:rPr>
      </w:pPr>
      <w:r>
        <w:rPr>
          <w:rFonts w:hint="eastAsia"/>
          <w:sz w:val="24"/>
        </w:rPr>
        <w:t>JJF 1156 振动 冲击 转速计量术语及定义</w:t>
      </w:r>
    </w:p>
    <w:p w14:paraId="2627B330">
      <w:pPr>
        <w:spacing w:line="360" w:lineRule="auto"/>
        <w:ind w:firstLine="480" w:firstLineChars="200"/>
        <w:rPr>
          <w:rFonts w:ascii="宋体" w:hAnsi="宋体" w:cs="黑体"/>
          <w:bCs/>
          <w:kern w:val="0"/>
          <w:sz w:val="24"/>
        </w:rPr>
      </w:pPr>
      <w:r>
        <w:rPr>
          <w:sz w:val="24"/>
        </w:rPr>
        <w:t>GB</w:t>
      </w:r>
      <w:r>
        <w:rPr>
          <w:rFonts w:hint="eastAsia"/>
          <w:sz w:val="24"/>
        </w:rPr>
        <w:t>/</w:t>
      </w:r>
      <w:r>
        <w:rPr>
          <w:sz w:val="24"/>
        </w:rPr>
        <w:t xml:space="preserve">T 20485.1 </w:t>
      </w:r>
      <w:r>
        <w:rPr>
          <w:rFonts w:hint="eastAsia" w:ascii="宋体" w:hAnsi="宋体" w:cs="黑体"/>
          <w:bCs/>
          <w:kern w:val="0"/>
          <w:sz w:val="24"/>
        </w:rPr>
        <w:t>振动与冲击传感器的校准方法 第1</w:t>
      </w:r>
      <w:r>
        <w:rPr>
          <w:rFonts w:ascii="宋体" w:hAnsi="宋体" w:cs="黑体"/>
          <w:bCs/>
          <w:kern w:val="0"/>
          <w:sz w:val="24"/>
        </w:rPr>
        <w:t>部分</w:t>
      </w:r>
      <w:r>
        <w:rPr>
          <w:rFonts w:hint="eastAsia" w:ascii="宋体" w:hAnsi="宋体" w:cs="黑体"/>
          <w:bCs/>
          <w:kern w:val="0"/>
          <w:sz w:val="24"/>
        </w:rPr>
        <w:t>：基本概念</w:t>
      </w:r>
    </w:p>
    <w:p w14:paraId="5C11F43B">
      <w:pPr>
        <w:spacing w:line="360" w:lineRule="auto"/>
        <w:ind w:firstLine="480" w:firstLineChars="200"/>
        <w:rPr>
          <w:rFonts w:ascii="宋体" w:hAnsi="宋体" w:cs="黑体"/>
          <w:bCs/>
          <w:kern w:val="0"/>
          <w:sz w:val="24"/>
        </w:rPr>
      </w:pPr>
      <w:r>
        <w:rPr>
          <w:sz w:val="24"/>
        </w:rPr>
        <w:t>GB</w:t>
      </w:r>
      <w:r>
        <w:rPr>
          <w:rFonts w:hint="eastAsia"/>
          <w:sz w:val="24"/>
        </w:rPr>
        <w:t>/</w:t>
      </w:r>
      <w:r>
        <w:rPr>
          <w:sz w:val="24"/>
        </w:rPr>
        <w:t xml:space="preserve">T 20485.11 </w:t>
      </w:r>
      <w:r>
        <w:rPr>
          <w:rFonts w:hint="eastAsia" w:ascii="宋体" w:hAnsi="宋体" w:cs="黑体"/>
          <w:bCs/>
          <w:kern w:val="0"/>
          <w:sz w:val="24"/>
        </w:rPr>
        <w:t>振动与冲击传感器的校准方法 第11</w:t>
      </w:r>
      <w:r>
        <w:rPr>
          <w:rFonts w:ascii="宋体" w:hAnsi="宋体" w:cs="黑体"/>
          <w:bCs/>
          <w:kern w:val="0"/>
          <w:sz w:val="24"/>
        </w:rPr>
        <w:t>部分</w:t>
      </w:r>
      <w:r>
        <w:rPr>
          <w:rFonts w:hint="eastAsia" w:ascii="宋体" w:hAnsi="宋体" w:cs="黑体"/>
          <w:bCs/>
          <w:kern w:val="0"/>
          <w:sz w:val="24"/>
        </w:rPr>
        <w:t>：激光干涉振动绝对校准</w:t>
      </w:r>
    </w:p>
    <w:p w14:paraId="37D35353">
      <w:pPr>
        <w:spacing w:line="360" w:lineRule="auto"/>
        <w:ind w:firstLine="480" w:firstLineChars="200"/>
        <w:rPr>
          <w:b/>
          <w:sz w:val="24"/>
        </w:rPr>
      </w:pPr>
      <w:r>
        <w:rPr>
          <w:sz w:val="24"/>
        </w:rPr>
        <w:t>GB</w:t>
      </w:r>
      <w:r>
        <w:rPr>
          <w:rFonts w:hint="eastAsia"/>
          <w:sz w:val="24"/>
        </w:rPr>
        <w:t>/</w:t>
      </w:r>
      <w:r>
        <w:rPr>
          <w:sz w:val="24"/>
        </w:rPr>
        <w:t xml:space="preserve">T 20485.13 </w:t>
      </w:r>
      <w:r>
        <w:rPr>
          <w:rFonts w:hint="eastAsia" w:ascii="宋体" w:hAnsi="宋体" w:cs="黑体"/>
          <w:bCs/>
          <w:kern w:val="0"/>
          <w:sz w:val="24"/>
        </w:rPr>
        <w:t>振动与冲击传感器的校准方法 第1</w:t>
      </w:r>
      <w:r>
        <w:rPr>
          <w:rFonts w:ascii="宋体" w:hAnsi="宋体" w:cs="黑体"/>
          <w:bCs/>
          <w:kern w:val="0"/>
          <w:sz w:val="24"/>
        </w:rPr>
        <w:t>3部分</w:t>
      </w:r>
      <w:r>
        <w:rPr>
          <w:rFonts w:hint="eastAsia" w:ascii="宋体" w:hAnsi="宋体" w:cs="黑体"/>
          <w:bCs/>
          <w:kern w:val="0"/>
          <w:sz w:val="24"/>
        </w:rPr>
        <w:t>：激光干涉冲击绝对校准</w:t>
      </w:r>
    </w:p>
    <w:p w14:paraId="1B5B1E52">
      <w:pPr>
        <w:spacing w:line="360" w:lineRule="auto"/>
        <w:ind w:right="-57" w:rightChars="-27" w:firstLine="480" w:firstLineChars="200"/>
        <w:rPr>
          <w:sz w:val="24"/>
        </w:rPr>
      </w:pPr>
      <w:r>
        <w:rPr>
          <w:rFonts w:hint="eastAsia"/>
          <w:sz w:val="24"/>
        </w:rPr>
        <w:t>JJG 2054-2015振动检定计量器具系统表</w:t>
      </w:r>
    </w:p>
    <w:p w14:paraId="0BF710EF">
      <w:pPr>
        <w:spacing w:line="360" w:lineRule="auto"/>
        <w:ind w:right="-57" w:rightChars="-27" w:firstLine="480" w:firstLineChars="200"/>
        <w:rPr>
          <w:sz w:val="24"/>
        </w:rPr>
      </w:pPr>
      <w:r>
        <w:rPr>
          <w:rFonts w:hint="eastAsia"/>
          <w:sz w:val="24"/>
        </w:rPr>
        <w:t>JJG 2072 -2016冲击加速度计量器具检定系统表</w:t>
      </w:r>
    </w:p>
    <w:p w14:paraId="42DE70B2">
      <w:pPr>
        <w:spacing w:line="360" w:lineRule="auto"/>
        <w:ind w:right="-57" w:rightChars="-27" w:firstLine="480" w:firstLineChars="200"/>
        <w:rPr>
          <w:sz w:val="24"/>
        </w:rPr>
      </w:pPr>
      <w:r>
        <w:rPr>
          <w:rFonts w:hint="eastAsia"/>
          <w:sz w:val="24"/>
        </w:rPr>
        <w:t>凡是注日期的引用文件，仅注日期的版本适用于该规范；凡是不注日期的引用文件，其最新版本（包括所有的修改单）适用于本规范</w:t>
      </w:r>
      <w:r>
        <w:rPr>
          <w:sz w:val="24"/>
        </w:rPr>
        <w:t>。</w:t>
      </w:r>
    </w:p>
    <w:p w14:paraId="6A963766">
      <w:pPr>
        <w:spacing w:line="360" w:lineRule="auto"/>
        <w:ind w:right="-336" w:rightChars="-160"/>
        <w:rPr>
          <w:rFonts w:ascii="宋体" w:hAnsi="宋体"/>
          <w:b/>
          <w:sz w:val="24"/>
        </w:rPr>
      </w:pPr>
      <w:r>
        <w:rPr>
          <w:rFonts w:hint="eastAsia" w:ascii="宋体" w:hAnsi="宋体"/>
          <w:b/>
          <w:sz w:val="24"/>
          <w:lang w:val="en-US" w:eastAsia="zh-CN"/>
        </w:rPr>
        <w:t>5</w:t>
      </w:r>
      <w:r>
        <w:rPr>
          <w:rFonts w:hint="eastAsia" w:ascii="宋体" w:hAnsi="宋体"/>
          <w:b/>
          <w:sz w:val="24"/>
        </w:rPr>
        <w:t>.3  关于术语</w:t>
      </w:r>
    </w:p>
    <w:p w14:paraId="5F8542CD">
      <w:pPr>
        <w:numPr>
          <w:ilvl w:val="0"/>
          <w:numId w:val="2"/>
        </w:numPr>
        <w:adjustRightInd w:val="0"/>
        <w:snapToGrid w:val="0"/>
        <w:spacing w:before="156" w:beforeLines="50" w:line="360" w:lineRule="auto"/>
        <w:rPr>
          <w:color w:val="0000FF"/>
          <w:sz w:val="24"/>
        </w:rPr>
      </w:pPr>
      <w:r>
        <w:rPr>
          <w:rFonts w:hint="eastAsia" w:ascii="宋体" w:hAnsi="宋体"/>
          <w:color w:val="0000FF"/>
          <w:sz w:val="24"/>
          <w:lang w:bidi="ar"/>
        </w:rPr>
        <w:t>增加了术语“标准加速度计”：指标准装置中用来量值传递的标准加速度计，或其它场合用作为参考标准的加速度计；</w:t>
      </w:r>
    </w:p>
    <w:p w14:paraId="2A8B1B1C">
      <w:pPr>
        <w:numPr>
          <w:ilvl w:val="0"/>
          <w:numId w:val="2"/>
        </w:numPr>
        <w:adjustRightInd w:val="0"/>
        <w:snapToGrid w:val="0"/>
        <w:spacing w:before="156" w:beforeLines="50" w:line="360" w:lineRule="auto"/>
        <w:rPr>
          <w:color w:val="0000FF"/>
          <w:sz w:val="24"/>
        </w:rPr>
      </w:pPr>
      <w:r>
        <w:rPr>
          <w:rFonts w:hint="eastAsia" w:ascii="宋体" w:hAnsi="宋体"/>
          <w:color w:val="0000FF"/>
          <w:sz w:val="24"/>
          <w:lang w:bidi="ar"/>
        </w:rPr>
        <w:t>增加了术语“参考灵敏度”：指根据实际工作需要，选取某固定频率或某固定幅值作为参考点时的输出灵敏度。</w:t>
      </w:r>
    </w:p>
    <w:p w14:paraId="682831F3">
      <w:pPr>
        <w:spacing w:line="360" w:lineRule="auto"/>
        <w:ind w:right="-57" w:rightChars="-27" w:firstLine="360" w:firstLineChars="150"/>
        <w:rPr>
          <w:rFonts w:hAnsi="宋体"/>
          <w:sz w:val="24"/>
        </w:rPr>
      </w:pPr>
    </w:p>
    <w:p w14:paraId="468E8BD9">
      <w:pPr>
        <w:spacing w:line="360" w:lineRule="auto"/>
        <w:rPr>
          <w:rFonts w:ascii="宋体" w:hAnsi="宋体"/>
          <w:b/>
          <w:sz w:val="24"/>
        </w:rPr>
      </w:pPr>
      <w:r>
        <w:rPr>
          <w:rFonts w:hint="eastAsia" w:ascii="宋体" w:hAnsi="宋体"/>
          <w:b/>
          <w:sz w:val="24"/>
          <w:lang w:val="en-US" w:eastAsia="zh-CN"/>
        </w:rPr>
        <w:t>5</w:t>
      </w:r>
      <w:r>
        <w:rPr>
          <w:rFonts w:hint="eastAsia" w:ascii="宋体" w:hAnsi="宋体"/>
          <w:b/>
          <w:sz w:val="24"/>
        </w:rPr>
        <w:t>.4  关于概述</w:t>
      </w:r>
    </w:p>
    <w:p w14:paraId="6597D68D">
      <w:pPr>
        <w:spacing w:line="360" w:lineRule="auto"/>
        <w:rPr>
          <w:sz w:val="24"/>
        </w:rPr>
      </w:pPr>
      <w:r>
        <w:rPr>
          <w:rFonts w:hint="eastAsia" w:ascii="宋体" w:hAnsi="宋体"/>
          <w:color w:val="0000FF"/>
          <w:sz w:val="24"/>
          <w:lang w:bidi="ar"/>
        </w:rPr>
        <w:t>1）将规程名称“压电加速度计”改为“加速度计”</w:t>
      </w:r>
    </w:p>
    <w:p w14:paraId="0D0ECD72">
      <w:pPr>
        <w:spacing w:line="360" w:lineRule="auto"/>
        <w:rPr>
          <w:b/>
        </w:rPr>
      </w:pPr>
      <w:r>
        <w:rPr>
          <w:rFonts w:hint="eastAsia" w:ascii="宋体" w:hAnsi="宋体"/>
          <w:b/>
          <w:sz w:val="24"/>
          <w:lang w:val="en-US" w:eastAsia="zh-CN"/>
        </w:rPr>
        <w:t>5</w:t>
      </w:r>
      <w:r>
        <w:rPr>
          <w:rFonts w:hint="eastAsia" w:ascii="宋体" w:hAnsi="宋体"/>
          <w:b/>
          <w:sz w:val="24"/>
        </w:rPr>
        <w:t xml:space="preserve">.5 </w:t>
      </w:r>
      <w:r>
        <w:rPr>
          <w:rFonts w:ascii="宋体" w:hAnsi="宋体"/>
          <w:b/>
          <w:sz w:val="24"/>
        </w:rPr>
        <w:t xml:space="preserve"> </w:t>
      </w:r>
      <w:r>
        <w:rPr>
          <w:rFonts w:hint="eastAsia" w:ascii="宋体" w:hAnsi="宋体"/>
          <w:b/>
          <w:sz w:val="24"/>
        </w:rPr>
        <w:t>关于计量特性</w:t>
      </w:r>
    </w:p>
    <w:p w14:paraId="4F5FBB1A">
      <w:pPr>
        <w:numPr>
          <w:ilvl w:val="0"/>
          <w:numId w:val="3"/>
        </w:numPr>
        <w:adjustRightInd w:val="0"/>
        <w:snapToGrid w:val="0"/>
        <w:spacing w:before="156" w:beforeLines="50" w:line="360" w:lineRule="auto"/>
        <w:rPr>
          <w:color w:val="0000FF"/>
          <w:sz w:val="24"/>
        </w:rPr>
      </w:pPr>
      <w:r>
        <w:rPr>
          <w:rFonts w:hint="eastAsia" w:ascii="宋体" w:hAnsi="宋体"/>
          <w:color w:val="0000FF"/>
          <w:sz w:val="24"/>
          <w:lang w:bidi="ar"/>
        </w:rPr>
        <w:t>删除了原版本中“计量性能要求”中，工作加速度计的测量结果不确定度要求。仅对标准加速度计的测量结果不确定度作要求（因标准加速度计要为其它计量作参考值）。</w:t>
      </w:r>
    </w:p>
    <w:p w14:paraId="12377452">
      <w:pPr>
        <w:spacing w:line="360" w:lineRule="auto"/>
        <w:ind w:firstLine="480" w:firstLineChars="200"/>
        <w:rPr>
          <w:sz w:val="24"/>
        </w:rPr>
      </w:pPr>
    </w:p>
    <w:p w14:paraId="02C52CB3">
      <w:pPr>
        <w:spacing w:line="360" w:lineRule="auto"/>
        <w:rPr>
          <w:rFonts w:hAnsi="宋体"/>
          <w:b/>
          <w:sz w:val="24"/>
        </w:rPr>
      </w:pPr>
      <w:r>
        <w:rPr>
          <w:rFonts w:hint="eastAsia" w:ascii="宋体" w:hAnsi="宋体"/>
          <w:b/>
          <w:sz w:val="24"/>
          <w:lang w:val="en-US" w:eastAsia="zh-CN"/>
        </w:rPr>
        <w:t>5</w:t>
      </w:r>
      <w:r>
        <w:rPr>
          <w:rFonts w:hint="eastAsia" w:ascii="宋体" w:hAnsi="宋体"/>
          <w:b/>
          <w:sz w:val="24"/>
        </w:rPr>
        <w:t xml:space="preserve">.6 </w:t>
      </w:r>
      <w:r>
        <w:rPr>
          <w:rFonts w:ascii="宋体" w:hAnsi="宋体"/>
          <w:b/>
          <w:sz w:val="24"/>
        </w:rPr>
        <w:t xml:space="preserve"> </w:t>
      </w:r>
      <w:r>
        <w:rPr>
          <w:rFonts w:hint="eastAsia" w:ascii="宋体" w:hAnsi="宋体"/>
          <w:b/>
          <w:sz w:val="24"/>
        </w:rPr>
        <w:t>关于检定条件</w:t>
      </w:r>
    </w:p>
    <w:p w14:paraId="61509010">
      <w:pPr>
        <w:spacing w:line="360" w:lineRule="auto"/>
        <w:ind w:firstLine="480" w:firstLineChars="200"/>
        <w:rPr>
          <w:color w:val="000000"/>
          <w:sz w:val="24"/>
        </w:rPr>
      </w:pPr>
      <w:r>
        <w:rPr>
          <w:rFonts w:hint="eastAsia"/>
          <w:color w:val="000000"/>
          <w:sz w:val="24"/>
        </w:rPr>
        <w:t>按照对测量不确定度的影响和实验室环境条件，综合给出了检定条件。</w:t>
      </w:r>
    </w:p>
    <w:p w14:paraId="6AB3A921">
      <w:pPr>
        <w:spacing w:line="360" w:lineRule="auto"/>
        <w:rPr>
          <w:b/>
          <w:sz w:val="24"/>
        </w:rPr>
      </w:pPr>
      <w:r>
        <w:rPr>
          <w:rFonts w:hint="eastAsia" w:ascii="宋体" w:hAnsi="宋体"/>
          <w:b/>
          <w:sz w:val="24"/>
          <w:lang w:val="en-US" w:eastAsia="zh-CN"/>
        </w:rPr>
        <w:t>5</w:t>
      </w:r>
      <w:r>
        <w:rPr>
          <w:rFonts w:hint="eastAsia" w:ascii="宋体" w:hAnsi="宋体"/>
          <w:b/>
          <w:sz w:val="24"/>
        </w:rPr>
        <w:t xml:space="preserve">.7 </w:t>
      </w:r>
      <w:r>
        <w:rPr>
          <w:rFonts w:ascii="宋体" w:hAnsi="宋体"/>
          <w:b/>
          <w:sz w:val="24"/>
        </w:rPr>
        <w:t xml:space="preserve"> </w:t>
      </w:r>
      <w:r>
        <w:rPr>
          <w:rFonts w:hint="eastAsia" w:ascii="宋体" w:hAnsi="宋体"/>
          <w:b/>
          <w:sz w:val="24"/>
        </w:rPr>
        <w:t>关于检定项目和检定方法</w:t>
      </w:r>
    </w:p>
    <w:p w14:paraId="13357C0E">
      <w:pPr>
        <w:numPr>
          <w:ilvl w:val="0"/>
          <w:numId w:val="4"/>
        </w:numPr>
        <w:adjustRightInd w:val="0"/>
        <w:snapToGrid w:val="0"/>
        <w:spacing w:before="156" w:beforeLines="50" w:line="360" w:lineRule="auto"/>
        <w:rPr>
          <w:color w:val="0000FF"/>
          <w:sz w:val="24"/>
        </w:rPr>
      </w:pPr>
      <w:r>
        <w:rPr>
          <w:rFonts w:hint="eastAsia" w:ascii="宋体" w:hAnsi="宋体"/>
          <w:color w:val="0000FF"/>
          <w:sz w:val="24"/>
          <w:lang w:bidi="ar"/>
        </w:rPr>
        <w:t>删除了原版本中“通用技术要求、外观要求”横向灵敏度标识及粗糙度要求：原因是在实际操作用不可行。如标准加速度计可保留？</w:t>
      </w:r>
    </w:p>
    <w:p w14:paraId="297C13CB">
      <w:pPr>
        <w:numPr>
          <w:ilvl w:val="0"/>
          <w:numId w:val="4"/>
        </w:numPr>
        <w:adjustRightInd w:val="0"/>
        <w:snapToGrid w:val="0"/>
        <w:spacing w:before="156" w:beforeLines="50" w:line="360" w:lineRule="auto"/>
        <w:rPr>
          <w:color w:val="0000FF"/>
          <w:sz w:val="24"/>
        </w:rPr>
      </w:pPr>
      <w:r>
        <w:rPr>
          <w:rFonts w:hint="eastAsia" w:ascii="宋体" w:hAnsi="宋体"/>
          <w:color w:val="0000FF"/>
          <w:sz w:val="24"/>
          <w:lang w:bidi="ar"/>
        </w:rPr>
        <w:t>明确了工作加速度计具体的合格判定依据。</w:t>
      </w:r>
      <w:r>
        <w:rPr>
          <w:rFonts w:hint="eastAsia" w:ascii="宋体" w:hAnsi="宋体"/>
          <w:color w:val="0000FF"/>
          <w:lang w:bidi="ar"/>
        </w:rPr>
        <w:t>±5或±10？（统一为±10）</w:t>
      </w:r>
    </w:p>
    <w:p w14:paraId="3CA41C2E">
      <w:pPr>
        <w:numPr>
          <w:ilvl w:val="0"/>
          <w:numId w:val="4"/>
        </w:numPr>
        <w:adjustRightInd w:val="0"/>
        <w:snapToGrid w:val="0"/>
        <w:spacing w:before="156" w:beforeLines="50" w:line="360" w:lineRule="auto"/>
        <w:rPr>
          <w:color w:val="0000FF"/>
          <w:sz w:val="24"/>
        </w:rPr>
      </w:pPr>
      <w:r>
        <w:rPr>
          <w:rFonts w:hint="eastAsia" w:ascii="宋体" w:hAnsi="宋体"/>
          <w:color w:val="0000FF"/>
          <w:sz w:val="24"/>
          <w:lang w:bidi="ar"/>
        </w:rPr>
        <w:t>删除了原版本中“计量性能要求”中，工作加速度计的测量结果不确定度要求。仅对标准加速度计的测量结果不确定度作要求（因标准加速度计要为其它计量作参考值）。</w:t>
      </w:r>
    </w:p>
    <w:p w14:paraId="659DF77F">
      <w:pPr>
        <w:spacing w:line="360" w:lineRule="auto"/>
        <w:ind w:firstLine="480" w:firstLineChars="200"/>
        <w:rPr>
          <w:sz w:val="24"/>
        </w:rPr>
      </w:pPr>
    </w:p>
    <w:p w14:paraId="176EBD1F">
      <w:pPr>
        <w:spacing w:line="360" w:lineRule="auto"/>
        <w:rPr>
          <w:b/>
          <w:color w:val="000000"/>
          <w:sz w:val="24"/>
        </w:rPr>
      </w:pPr>
      <w:r>
        <w:rPr>
          <w:rFonts w:hint="eastAsia" w:ascii="宋体" w:hAnsi="宋体"/>
          <w:b/>
          <w:sz w:val="24"/>
          <w:lang w:val="en-US" w:eastAsia="zh-CN"/>
        </w:rPr>
        <w:t>5</w:t>
      </w:r>
      <w:r>
        <w:rPr>
          <w:rFonts w:hint="eastAsia" w:ascii="宋体" w:hAnsi="宋体"/>
          <w:b/>
          <w:sz w:val="24"/>
        </w:rPr>
        <w:t xml:space="preserve">.8 </w:t>
      </w:r>
      <w:r>
        <w:rPr>
          <w:rFonts w:ascii="宋体" w:hAnsi="宋体"/>
          <w:b/>
          <w:sz w:val="24"/>
        </w:rPr>
        <w:t xml:space="preserve"> </w:t>
      </w:r>
      <w:r>
        <w:rPr>
          <w:rFonts w:hint="eastAsia" w:ascii="宋体" w:hAnsi="宋体"/>
          <w:b/>
          <w:sz w:val="24"/>
        </w:rPr>
        <w:t>关于检定结果表达</w:t>
      </w:r>
    </w:p>
    <w:p w14:paraId="0E5A033D">
      <w:pPr>
        <w:spacing w:line="360" w:lineRule="auto"/>
        <w:ind w:firstLine="480" w:firstLineChars="200"/>
        <w:rPr>
          <w:sz w:val="24"/>
        </w:rPr>
      </w:pPr>
      <w:r>
        <w:rPr>
          <w:sz w:val="24"/>
        </w:rPr>
        <w:t>经</w:t>
      </w:r>
      <w:r>
        <w:rPr>
          <w:rFonts w:hint="eastAsia"/>
          <w:sz w:val="24"/>
        </w:rPr>
        <w:t>检定合格</w:t>
      </w:r>
      <w:r>
        <w:rPr>
          <w:sz w:val="24"/>
        </w:rPr>
        <w:t>的出具</w:t>
      </w:r>
      <w:r>
        <w:rPr>
          <w:rFonts w:hint="eastAsia"/>
          <w:sz w:val="24"/>
        </w:rPr>
        <w:t>检定</w:t>
      </w:r>
      <w:r>
        <w:rPr>
          <w:sz w:val="24"/>
        </w:rPr>
        <w:t>证书</w:t>
      </w:r>
      <w:r>
        <w:rPr>
          <w:rFonts w:hint="eastAsia"/>
          <w:sz w:val="24"/>
        </w:rPr>
        <w:t>，不合格的出具检定结果通知书。</w:t>
      </w:r>
    </w:p>
    <w:p w14:paraId="2E3AFEBF">
      <w:pPr>
        <w:spacing w:line="360" w:lineRule="auto"/>
        <w:rPr>
          <w:rFonts w:ascii="宋体" w:hAnsi="宋体"/>
          <w:b/>
          <w:sz w:val="24"/>
        </w:rPr>
      </w:pPr>
      <w:r>
        <w:rPr>
          <w:rFonts w:hint="eastAsia" w:ascii="宋体" w:hAnsi="宋体"/>
          <w:b/>
          <w:sz w:val="24"/>
          <w:lang w:val="en-US" w:eastAsia="zh-CN"/>
        </w:rPr>
        <w:t>5</w:t>
      </w:r>
      <w:r>
        <w:rPr>
          <w:rFonts w:hint="eastAsia" w:ascii="宋体" w:hAnsi="宋体"/>
          <w:b/>
          <w:sz w:val="24"/>
        </w:rPr>
        <w:t xml:space="preserve">.9 </w:t>
      </w:r>
      <w:r>
        <w:rPr>
          <w:rFonts w:ascii="宋体" w:hAnsi="宋体"/>
          <w:b/>
          <w:sz w:val="24"/>
        </w:rPr>
        <w:t xml:space="preserve"> </w:t>
      </w:r>
      <w:r>
        <w:rPr>
          <w:rFonts w:hint="eastAsia" w:ascii="宋体" w:hAnsi="宋体"/>
          <w:b/>
          <w:sz w:val="24"/>
        </w:rPr>
        <w:t>关于附录</w:t>
      </w:r>
    </w:p>
    <w:p w14:paraId="284BB915">
      <w:pPr>
        <w:spacing w:line="360" w:lineRule="auto"/>
        <w:ind w:firstLine="480" w:firstLineChars="200"/>
        <w:rPr>
          <w:sz w:val="24"/>
        </w:rPr>
      </w:pPr>
      <w:r>
        <w:rPr>
          <w:rFonts w:hint="eastAsia"/>
          <w:sz w:val="24"/>
        </w:rPr>
        <w:t>附录A给出了激</w:t>
      </w:r>
      <w:r>
        <w:rPr>
          <w:sz w:val="24"/>
        </w:rPr>
        <w:t>光绝对法检定的方法和数据处理</w:t>
      </w:r>
      <w:r>
        <w:rPr>
          <w:rFonts w:hint="eastAsia"/>
          <w:sz w:val="24"/>
        </w:rPr>
        <w:t>，附录B给出了标准</w:t>
      </w:r>
      <w:r>
        <w:rPr>
          <w:sz w:val="24"/>
        </w:rPr>
        <w:t>加速度计原始记录内页格式</w:t>
      </w:r>
      <w:r>
        <w:rPr>
          <w:rFonts w:hint="eastAsia"/>
          <w:sz w:val="24"/>
        </w:rPr>
        <w:t>，附录C给出了标准</w:t>
      </w:r>
      <w:r>
        <w:rPr>
          <w:sz w:val="24"/>
        </w:rPr>
        <w:t>加速度计检定证书内页格式</w:t>
      </w:r>
      <w:r>
        <w:rPr>
          <w:rFonts w:hint="eastAsia"/>
          <w:sz w:val="24"/>
        </w:rPr>
        <w:t>，附录D给出了标准</w:t>
      </w:r>
      <w:r>
        <w:rPr>
          <w:sz w:val="24"/>
        </w:rPr>
        <w:t>加速度计检定结果通知书内页格式</w:t>
      </w:r>
      <w:r>
        <w:rPr>
          <w:rFonts w:hint="eastAsia"/>
          <w:sz w:val="24"/>
        </w:rPr>
        <w:t>，附录E给出了标准</w:t>
      </w:r>
      <w:r>
        <w:rPr>
          <w:sz w:val="24"/>
        </w:rPr>
        <w:t>加速度计</w:t>
      </w:r>
      <w:r>
        <w:rPr>
          <w:rFonts w:hint="eastAsia"/>
          <w:sz w:val="24"/>
        </w:rPr>
        <w:t>校准结果不确定度实例。</w:t>
      </w:r>
    </w:p>
    <w:p w14:paraId="7C083058">
      <w:pPr>
        <w:pStyle w:val="3"/>
        <w:spacing w:line="360" w:lineRule="auto"/>
        <w:rPr>
          <w:rFonts w:hint="eastAsia" w:ascii="宋体" w:hAnsi="宋体" w:eastAsia="宋体"/>
          <w:sz w:val="24"/>
          <w:szCs w:val="24"/>
          <w:lang w:val="en-US" w:eastAsia="zh-CN"/>
        </w:rPr>
      </w:pPr>
      <w:bookmarkStart w:id="5" w:name="_Toc22930"/>
      <w:r>
        <w:rPr>
          <w:rFonts w:hint="eastAsia" w:ascii="宋体" w:hAnsi="宋体" w:eastAsia="宋体"/>
          <w:sz w:val="24"/>
          <w:szCs w:val="24"/>
          <w:lang w:val="en-US" w:eastAsia="zh-CN"/>
        </w:rPr>
        <w:t>6  有关专利的说明</w:t>
      </w:r>
      <w:bookmarkEnd w:id="5"/>
    </w:p>
    <w:p w14:paraId="61339860">
      <w:pPr>
        <w:spacing w:line="360" w:lineRule="auto"/>
        <w:ind w:firstLine="480" w:firstLineChars="200"/>
        <w:rPr>
          <w:sz w:val="24"/>
        </w:rPr>
      </w:pPr>
      <w:r>
        <w:rPr>
          <w:rFonts w:hint="eastAsia"/>
          <w:sz w:val="24"/>
        </w:rPr>
        <w:t>本规范不涉及知识产权问题。</w:t>
      </w:r>
    </w:p>
    <w:p w14:paraId="1369972F">
      <w:pPr>
        <w:pStyle w:val="3"/>
        <w:spacing w:line="360" w:lineRule="auto"/>
        <w:rPr>
          <w:rFonts w:hint="eastAsia" w:ascii="宋体" w:hAnsi="宋体" w:eastAsia="宋体"/>
          <w:sz w:val="24"/>
          <w:szCs w:val="24"/>
          <w:lang w:val="en-US" w:eastAsia="zh-CN"/>
        </w:rPr>
      </w:pPr>
      <w:bookmarkStart w:id="6" w:name="_Toc213"/>
      <w:r>
        <w:rPr>
          <w:rFonts w:hint="eastAsia" w:ascii="宋体" w:hAnsi="宋体" w:eastAsia="宋体"/>
          <w:sz w:val="24"/>
          <w:szCs w:val="24"/>
          <w:lang w:val="en-US" w:eastAsia="zh-CN"/>
        </w:rPr>
        <w:t>7  预期达到的社会效益</w:t>
      </w:r>
      <w:bookmarkEnd w:id="6"/>
    </w:p>
    <w:p w14:paraId="42BB1252">
      <w:pPr>
        <w:spacing w:line="360" w:lineRule="auto"/>
        <w:ind w:firstLine="480" w:firstLineChars="200"/>
        <w:rPr>
          <w:sz w:val="24"/>
        </w:rPr>
      </w:pPr>
      <w:r>
        <w:rPr>
          <w:rFonts w:hint="eastAsia"/>
          <w:sz w:val="24"/>
        </w:rPr>
        <w:t>振动冲击广泛存在于国民生产的各个领域，振动冲击的测量主要依赖于各类加速度计，其使用量大且种类繁多，制定校准规范并提出方法对工作加速度计进行校准可以统一工作加速度计的测试方法，能够为大量工作加速度计的计量校准提供服务，具有可观的经济效益和社会效益。与此同时可以指导国内工作加速度计的生产厂家提高产品质量，加快赶超国际先进传感器制造企业的步伐，同时该校准规范还可以为国内各校准实验室提供建立校准装置的指导。</w:t>
      </w:r>
    </w:p>
    <w:p w14:paraId="58158968">
      <w:pPr>
        <w:spacing w:line="360" w:lineRule="auto"/>
        <w:ind w:firstLine="480" w:firstLineChars="200"/>
        <w:rPr>
          <w:sz w:val="24"/>
        </w:rPr>
      </w:pPr>
    </w:p>
    <w:p w14:paraId="3CDB9143">
      <w:pPr>
        <w:pStyle w:val="3"/>
        <w:spacing w:line="360" w:lineRule="auto"/>
        <w:rPr>
          <w:rFonts w:hint="eastAsia" w:ascii="宋体" w:hAnsi="宋体" w:eastAsia="宋体"/>
          <w:sz w:val="24"/>
          <w:szCs w:val="24"/>
          <w:lang w:val="en-US" w:eastAsia="zh-CN"/>
        </w:rPr>
      </w:pPr>
      <w:bookmarkStart w:id="7" w:name="_Toc26457"/>
      <w:r>
        <w:rPr>
          <w:rFonts w:hint="eastAsia" w:ascii="宋体" w:hAnsi="宋体" w:eastAsia="宋体"/>
          <w:sz w:val="24"/>
          <w:szCs w:val="24"/>
          <w:lang w:val="en-US" w:eastAsia="zh-CN"/>
        </w:rPr>
        <w:t>8  与现行相关规程的关联性建议</w:t>
      </w:r>
      <w:bookmarkEnd w:id="7"/>
    </w:p>
    <w:p w14:paraId="6AC536D6">
      <w:pPr>
        <w:spacing w:line="360" w:lineRule="auto"/>
        <w:ind w:firstLine="480"/>
        <w:rPr>
          <w:sz w:val="24"/>
        </w:rPr>
      </w:pPr>
      <w:r>
        <w:rPr>
          <w:bCs/>
          <w:kern w:val="0"/>
          <w:sz w:val="24"/>
        </w:rPr>
        <w:t>本规</w:t>
      </w:r>
      <w:r>
        <w:rPr>
          <w:rFonts w:hint="eastAsia"/>
          <w:bCs/>
          <w:kern w:val="0"/>
          <w:sz w:val="24"/>
        </w:rPr>
        <w:t>程</w:t>
      </w:r>
      <w:r>
        <w:rPr>
          <w:bCs/>
          <w:kern w:val="0"/>
          <w:sz w:val="24"/>
        </w:rPr>
        <w:t>替代JJG233-2008《压电加速度计》，实施后建议废止JJG233-2008《压电加速度计》。</w:t>
      </w:r>
    </w:p>
    <w:p w14:paraId="2AD59F63">
      <w:pPr>
        <w:spacing w:before="260" w:after="260" w:line="360" w:lineRule="auto"/>
        <w:rPr>
          <w:rFonts w:ascii="宋体" w:hAnsi="宋体"/>
          <w:sz w:val="24"/>
          <w:szCs w:val="20"/>
        </w:rPr>
      </w:pPr>
    </w:p>
    <w:p w14:paraId="0E9DB781">
      <w:pPr>
        <w:spacing w:before="260" w:after="260" w:line="360" w:lineRule="auto"/>
        <w:rPr>
          <w:rFonts w:ascii="宋体" w:hAnsi="宋体"/>
          <w:sz w:val="24"/>
          <w:szCs w:val="20"/>
        </w:rPr>
      </w:pPr>
    </w:p>
    <w:p w14:paraId="3BC9895E">
      <w:pPr>
        <w:spacing w:before="260" w:after="260" w:line="360" w:lineRule="auto"/>
        <w:rPr>
          <w:rFonts w:ascii="宋体" w:hAnsi="宋体"/>
          <w:sz w:val="24"/>
          <w:szCs w:val="20"/>
        </w:rPr>
      </w:pPr>
    </w:p>
    <w:p w14:paraId="72ED67B0">
      <w:pPr>
        <w:spacing w:before="260" w:after="260" w:line="360" w:lineRule="auto"/>
        <w:rPr>
          <w:rFonts w:ascii="宋体" w:hAnsi="宋体"/>
          <w:sz w:val="24"/>
          <w:szCs w:val="20"/>
        </w:rPr>
      </w:pPr>
    </w:p>
    <w:p w14:paraId="7E549585">
      <w:pPr>
        <w:keepNext w:val="0"/>
        <w:keepLines w:val="0"/>
        <w:widowControl w:val="0"/>
        <w:suppressLineNumbers w:val="0"/>
        <w:adjustRightInd w:val="0"/>
        <w:spacing w:before="120" w:beforeLines="50" w:beforeAutospacing="0" w:after="0" w:afterAutospacing="0" w:line="360" w:lineRule="auto"/>
        <w:ind w:left="0" w:right="0"/>
        <w:jc w:val="right"/>
        <w:rPr>
          <w:rFonts w:hint="eastAsia" w:ascii="Times New Roman" w:hAnsi="Times New Roman" w:eastAsia="宋体" w:cs="Times New Roman"/>
          <w:kern w:val="0"/>
          <w:sz w:val="24"/>
          <w:szCs w:val="20"/>
          <w:lang w:val="en-US" w:eastAsia="zh-CN" w:bidi="ar"/>
        </w:rPr>
      </w:pPr>
      <w:r>
        <w:rPr>
          <w:rFonts w:hint="eastAsia" w:ascii="Times New Roman" w:hAnsi="Times New Roman" w:eastAsia="宋体" w:cs="Times New Roman"/>
          <w:kern w:val="0"/>
          <w:sz w:val="24"/>
          <w:szCs w:val="20"/>
          <w:lang w:val="en-US" w:eastAsia="zh-CN" w:bidi="ar"/>
        </w:rPr>
        <w:t>规</w:t>
      </w:r>
      <w:r>
        <w:rPr>
          <w:rFonts w:hint="eastAsia" w:cs="Times New Roman"/>
          <w:kern w:val="0"/>
          <w:sz w:val="24"/>
          <w:szCs w:val="20"/>
          <w:lang w:val="en-US" w:eastAsia="zh-CN" w:bidi="ar"/>
        </w:rPr>
        <w:t>程</w:t>
      </w:r>
      <w:r>
        <w:rPr>
          <w:rFonts w:hint="eastAsia" w:ascii="Times New Roman" w:hAnsi="Times New Roman" w:eastAsia="宋体" w:cs="Times New Roman"/>
          <w:kern w:val="0"/>
          <w:sz w:val="24"/>
          <w:szCs w:val="20"/>
          <w:lang w:val="en-US" w:eastAsia="zh-CN" w:bidi="ar"/>
        </w:rPr>
        <w:t>起草工作组</w:t>
      </w:r>
    </w:p>
    <w:p w14:paraId="7E11325F">
      <w:pPr>
        <w:keepNext w:val="0"/>
        <w:keepLines w:val="0"/>
        <w:widowControl w:val="0"/>
        <w:suppressLineNumbers w:val="0"/>
        <w:adjustRightInd w:val="0"/>
        <w:spacing w:before="120" w:beforeLines="50" w:beforeAutospacing="0" w:after="0" w:afterAutospacing="0" w:line="360" w:lineRule="auto"/>
        <w:ind w:left="0" w:right="0"/>
        <w:jc w:val="right"/>
        <w:rPr>
          <w:rFonts w:hint="default" w:ascii="Times New Roman" w:hAnsi="Times New Roman" w:eastAsia="宋体" w:cs="Times New Roman"/>
          <w:kern w:val="0"/>
          <w:sz w:val="24"/>
          <w:szCs w:val="20"/>
          <w:lang w:val="en-US" w:eastAsia="zh-CN" w:bidi="ar"/>
        </w:rPr>
      </w:pPr>
      <w:r>
        <w:rPr>
          <w:rFonts w:hint="eastAsia" w:cs="Times New Roman"/>
          <w:kern w:val="0"/>
          <w:sz w:val="24"/>
          <w:szCs w:val="20"/>
          <w:lang w:val="en-US" w:eastAsia="zh-CN" w:bidi="ar"/>
        </w:rPr>
        <w:t>2026.8.20</w:t>
      </w:r>
    </w:p>
    <w:p w14:paraId="7D19ED09">
      <w:pPr>
        <w:spacing w:before="260" w:after="260" w:line="360" w:lineRule="auto"/>
        <w:rPr>
          <w:rFonts w:ascii="宋体" w:hAnsi="宋体"/>
          <w:sz w:val="24"/>
          <w:szCs w:val="20"/>
        </w:rPr>
      </w:pPr>
    </w:p>
    <w:sectPr>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08703">
    <w:pPr>
      <w:pStyle w:val="11"/>
      <w:framePr w:wrap="around" w:vAnchor="text" w:hAnchor="margin" w:xAlign="center" w:y="1"/>
      <w:rPr>
        <w:rStyle w:val="18"/>
      </w:rPr>
    </w:pPr>
    <w:r>
      <w:fldChar w:fldCharType="begin"/>
    </w:r>
    <w:r>
      <w:rPr>
        <w:rStyle w:val="18"/>
      </w:rPr>
      <w:instrText xml:space="preserve">PAGE  </w:instrText>
    </w:r>
    <w:r>
      <w:fldChar w:fldCharType="separate"/>
    </w:r>
    <w:r>
      <w:rPr>
        <w:rStyle w:val="18"/>
      </w:rPr>
      <w:t>2</w:t>
    </w:r>
    <w:r>
      <w:fldChar w:fldCharType="end"/>
    </w:r>
  </w:p>
  <w:p w14:paraId="70D82AF8">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5A803">
    <w:pPr>
      <w:pStyle w:val="11"/>
      <w:framePr w:wrap="around" w:vAnchor="text" w:hAnchor="margin" w:xAlign="center" w:y="1"/>
      <w:rPr>
        <w:rStyle w:val="18"/>
      </w:rPr>
    </w:pPr>
    <w:r>
      <w:fldChar w:fldCharType="begin"/>
    </w:r>
    <w:r>
      <w:rPr>
        <w:rStyle w:val="18"/>
      </w:rPr>
      <w:instrText xml:space="preserve">PAGE  </w:instrText>
    </w:r>
    <w:r>
      <w:fldChar w:fldCharType="end"/>
    </w:r>
  </w:p>
  <w:p w14:paraId="406B7D17">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EEDB1">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C1782B"/>
    <w:multiLevelType w:val="multilevel"/>
    <w:tmpl w:val="8EC1782B"/>
    <w:lvl w:ilvl="0" w:tentative="0">
      <w:start w:val="1"/>
      <w:numFmt w:val="decimal"/>
      <w:suff w:val="nothing"/>
      <w:lvlText w:val="%1）"/>
      <w:lvlJc w:val="left"/>
      <w:pPr>
        <w:ind w:left="141"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8A48C0E"/>
    <w:multiLevelType w:val="multilevel"/>
    <w:tmpl w:val="08A48C0E"/>
    <w:lvl w:ilvl="0" w:tentative="0">
      <w:start w:val="1"/>
      <w:numFmt w:val="decimal"/>
      <w:pStyle w:val="30"/>
      <w:lvlText w:val="%1"/>
      <w:lvlJc w:val="left"/>
      <w:pPr>
        <w:ind w:left="420" w:hanging="420"/>
      </w:pPr>
      <w:rPr>
        <w:rFonts w:hint="eastAsia" w:ascii="黑体" w:hAnsi="Cambria" w:eastAsia="黑体" w:cs="黑体"/>
        <w:b/>
      </w:rPr>
    </w:lvl>
    <w:lvl w:ilvl="1" w:tentative="0">
      <w:start w:val="2"/>
      <w:numFmt w:val="decimal"/>
      <w:isLgl/>
      <w:lvlText w:val="%1.%2"/>
      <w:lvlJc w:val="left"/>
      <w:pPr>
        <w:ind w:left="480" w:hanging="480"/>
      </w:pPr>
    </w:lvl>
    <w:lvl w:ilvl="2" w:tentative="0">
      <w:start w:val="3"/>
      <w:numFmt w:val="decimal"/>
      <w:isLgl/>
      <w:lvlText w:val="%1.%2.%3"/>
      <w:lvlJc w:val="left"/>
      <w:pPr>
        <w:ind w:left="720" w:hanging="720"/>
      </w:pPr>
    </w:lvl>
    <w:lvl w:ilvl="3" w:tentative="0">
      <w:start w:val="1"/>
      <w:numFmt w:val="decimal"/>
      <w:isLgl/>
      <w:lvlText w:val="%1.%2.%3.%4"/>
      <w:lvlJc w:val="left"/>
      <w:pPr>
        <w:ind w:left="1364" w:hanging="1080"/>
      </w:pPr>
    </w:lvl>
    <w:lvl w:ilvl="4" w:tentative="0">
      <w:start w:val="1"/>
      <w:numFmt w:val="decimal"/>
      <w:isLgl/>
      <w:lvlText w:val="%1.%2.%3.%4.%5"/>
      <w:lvlJc w:val="left"/>
      <w:pPr>
        <w:ind w:left="1080" w:hanging="1080"/>
      </w:pPr>
    </w:lvl>
    <w:lvl w:ilvl="5" w:tentative="0">
      <w:start w:val="1"/>
      <w:numFmt w:val="decimal"/>
      <w:isLgl/>
      <w:lvlText w:val="%1.%2.%3.%4.%5.%6"/>
      <w:lvlJc w:val="left"/>
      <w:pPr>
        <w:ind w:left="1440" w:hanging="1440"/>
      </w:pPr>
    </w:lvl>
    <w:lvl w:ilvl="6" w:tentative="0">
      <w:start w:val="1"/>
      <w:numFmt w:val="decimal"/>
      <w:isLgl/>
      <w:lvlText w:val="%1.%2.%3.%4.%5.%6.%7"/>
      <w:lvlJc w:val="left"/>
      <w:pPr>
        <w:ind w:left="1800" w:hanging="1800"/>
      </w:pPr>
    </w:lvl>
    <w:lvl w:ilvl="7" w:tentative="0">
      <w:start w:val="1"/>
      <w:numFmt w:val="decimal"/>
      <w:isLgl/>
      <w:lvlText w:val="%1.%2.%3.%4.%5.%6.%7.%8"/>
      <w:lvlJc w:val="left"/>
      <w:pPr>
        <w:ind w:left="1800" w:hanging="1800"/>
      </w:pPr>
    </w:lvl>
    <w:lvl w:ilvl="8" w:tentative="0">
      <w:start w:val="1"/>
      <w:numFmt w:val="decimal"/>
      <w:isLgl/>
      <w:lvlText w:val="%1.%2.%3.%4.%5.%6.%7.%8.%9"/>
      <w:lvlJc w:val="left"/>
      <w:pPr>
        <w:ind w:left="2160" w:hanging="2160"/>
      </w:pPr>
    </w:lvl>
  </w:abstractNum>
  <w:abstractNum w:abstractNumId="2">
    <w:nsid w:val="1C9A4F03"/>
    <w:multiLevelType w:val="multilevel"/>
    <w:tmpl w:val="1C9A4F03"/>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7559C001"/>
    <w:multiLevelType w:val="multilevel"/>
    <w:tmpl w:val="7559C001"/>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17E"/>
    <w:rsid w:val="0000452A"/>
    <w:rsid w:val="00010240"/>
    <w:rsid w:val="00012A9A"/>
    <w:rsid w:val="00014263"/>
    <w:rsid w:val="00014650"/>
    <w:rsid w:val="00020D6F"/>
    <w:rsid w:val="00040A5D"/>
    <w:rsid w:val="00040BB6"/>
    <w:rsid w:val="000438EC"/>
    <w:rsid w:val="000438F9"/>
    <w:rsid w:val="00055DC9"/>
    <w:rsid w:val="0006191B"/>
    <w:rsid w:val="00071F91"/>
    <w:rsid w:val="00074BCE"/>
    <w:rsid w:val="000838AA"/>
    <w:rsid w:val="000901F7"/>
    <w:rsid w:val="000A20A5"/>
    <w:rsid w:val="000C29F5"/>
    <w:rsid w:val="000C3270"/>
    <w:rsid w:val="000D6FAA"/>
    <w:rsid w:val="000E3E4D"/>
    <w:rsid w:val="000E58C2"/>
    <w:rsid w:val="000F40B8"/>
    <w:rsid w:val="00100E80"/>
    <w:rsid w:val="00111DAB"/>
    <w:rsid w:val="001175BF"/>
    <w:rsid w:val="00122A7B"/>
    <w:rsid w:val="001261E5"/>
    <w:rsid w:val="001265D7"/>
    <w:rsid w:val="00133CD5"/>
    <w:rsid w:val="00136917"/>
    <w:rsid w:val="00141B8B"/>
    <w:rsid w:val="00147A43"/>
    <w:rsid w:val="0015197B"/>
    <w:rsid w:val="001524A6"/>
    <w:rsid w:val="00155128"/>
    <w:rsid w:val="00157571"/>
    <w:rsid w:val="00164E6E"/>
    <w:rsid w:val="001672A9"/>
    <w:rsid w:val="00172A27"/>
    <w:rsid w:val="00174294"/>
    <w:rsid w:val="001743B0"/>
    <w:rsid w:val="00181AA5"/>
    <w:rsid w:val="001845FC"/>
    <w:rsid w:val="00194ED3"/>
    <w:rsid w:val="001A016A"/>
    <w:rsid w:val="001B1D27"/>
    <w:rsid w:val="001B5185"/>
    <w:rsid w:val="001B70D9"/>
    <w:rsid w:val="001B772C"/>
    <w:rsid w:val="001D0947"/>
    <w:rsid w:val="001E5B02"/>
    <w:rsid w:val="001E677F"/>
    <w:rsid w:val="001F001B"/>
    <w:rsid w:val="00210CD8"/>
    <w:rsid w:val="00214235"/>
    <w:rsid w:val="00222B38"/>
    <w:rsid w:val="0023087D"/>
    <w:rsid w:val="00231F79"/>
    <w:rsid w:val="002331E6"/>
    <w:rsid w:val="00233929"/>
    <w:rsid w:val="00234A73"/>
    <w:rsid w:val="00251E30"/>
    <w:rsid w:val="0025665A"/>
    <w:rsid w:val="0026522D"/>
    <w:rsid w:val="00270F3F"/>
    <w:rsid w:val="002736B0"/>
    <w:rsid w:val="0027576E"/>
    <w:rsid w:val="00277BB3"/>
    <w:rsid w:val="00280BAB"/>
    <w:rsid w:val="00281701"/>
    <w:rsid w:val="00291404"/>
    <w:rsid w:val="002957BF"/>
    <w:rsid w:val="00296990"/>
    <w:rsid w:val="00297A19"/>
    <w:rsid w:val="002B78A7"/>
    <w:rsid w:val="002C0475"/>
    <w:rsid w:val="002C1D37"/>
    <w:rsid w:val="002C38A8"/>
    <w:rsid w:val="002C6A0F"/>
    <w:rsid w:val="002D43DD"/>
    <w:rsid w:val="002D6A9D"/>
    <w:rsid w:val="002D7005"/>
    <w:rsid w:val="002E4AC9"/>
    <w:rsid w:val="002F0C24"/>
    <w:rsid w:val="002F4E51"/>
    <w:rsid w:val="002F740A"/>
    <w:rsid w:val="00303516"/>
    <w:rsid w:val="00306ADC"/>
    <w:rsid w:val="00313ACD"/>
    <w:rsid w:val="00327AFD"/>
    <w:rsid w:val="00352AED"/>
    <w:rsid w:val="00353AB3"/>
    <w:rsid w:val="00353FE4"/>
    <w:rsid w:val="00355731"/>
    <w:rsid w:val="00355B30"/>
    <w:rsid w:val="0035673B"/>
    <w:rsid w:val="00356B19"/>
    <w:rsid w:val="00367BF0"/>
    <w:rsid w:val="00370CC2"/>
    <w:rsid w:val="00370EA7"/>
    <w:rsid w:val="00395E0F"/>
    <w:rsid w:val="00396366"/>
    <w:rsid w:val="003A2C4D"/>
    <w:rsid w:val="003A4EF1"/>
    <w:rsid w:val="003A78D6"/>
    <w:rsid w:val="003B5B16"/>
    <w:rsid w:val="003C0341"/>
    <w:rsid w:val="003C0D11"/>
    <w:rsid w:val="003C55E8"/>
    <w:rsid w:val="003D1D5D"/>
    <w:rsid w:val="003D32F3"/>
    <w:rsid w:val="003E61F4"/>
    <w:rsid w:val="003F1138"/>
    <w:rsid w:val="003F1988"/>
    <w:rsid w:val="00401360"/>
    <w:rsid w:val="004031F8"/>
    <w:rsid w:val="00414C39"/>
    <w:rsid w:val="0042035D"/>
    <w:rsid w:val="00431D93"/>
    <w:rsid w:val="00435166"/>
    <w:rsid w:val="00446288"/>
    <w:rsid w:val="00446ACA"/>
    <w:rsid w:val="00451F1F"/>
    <w:rsid w:val="00451F41"/>
    <w:rsid w:val="004802EF"/>
    <w:rsid w:val="00483D90"/>
    <w:rsid w:val="004862C2"/>
    <w:rsid w:val="004A5277"/>
    <w:rsid w:val="004B5494"/>
    <w:rsid w:val="004C3FE0"/>
    <w:rsid w:val="004D3E19"/>
    <w:rsid w:val="004D5296"/>
    <w:rsid w:val="004D6A2C"/>
    <w:rsid w:val="004D7AD7"/>
    <w:rsid w:val="004E0E91"/>
    <w:rsid w:val="004E36FF"/>
    <w:rsid w:val="004F1FB2"/>
    <w:rsid w:val="004F7BA7"/>
    <w:rsid w:val="00504037"/>
    <w:rsid w:val="00514402"/>
    <w:rsid w:val="00521B4D"/>
    <w:rsid w:val="00526D17"/>
    <w:rsid w:val="0053019B"/>
    <w:rsid w:val="00530FEC"/>
    <w:rsid w:val="005332A1"/>
    <w:rsid w:val="005348E8"/>
    <w:rsid w:val="00543977"/>
    <w:rsid w:val="005525D5"/>
    <w:rsid w:val="00554556"/>
    <w:rsid w:val="00560121"/>
    <w:rsid w:val="0057704F"/>
    <w:rsid w:val="00586F31"/>
    <w:rsid w:val="00593A6F"/>
    <w:rsid w:val="005A12AD"/>
    <w:rsid w:val="005B0B6B"/>
    <w:rsid w:val="005B6FD2"/>
    <w:rsid w:val="005C154F"/>
    <w:rsid w:val="005C1602"/>
    <w:rsid w:val="005E3123"/>
    <w:rsid w:val="005E3A1B"/>
    <w:rsid w:val="005E5D5C"/>
    <w:rsid w:val="005F5AE0"/>
    <w:rsid w:val="006009BB"/>
    <w:rsid w:val="006019A6"/>
    <w:rsid w:val="00607E1E"/>
    <w:rsid w:val="00621E90"/>
    <w:rsid w:val="00636B41"/>
    <w:rsid w:val="00651C95"/>
    <w:rsid w:val="006624E7"/>
    <w:rsid w:val="006677EE"/>
    <w:rsid w:val="00671B62"/>
    <w:rsid w:val="0068556E"/>
    <w:rsid w:val="0068748A"/>
    <w:rsid w:val="00691C54"/>
    <w:rsid w:val="00694CDE"/>
    <w:rsid w:val="006A4347"/>
    <w:rsid w:val="006B2002"/>
    <w:rsid w:val="006B653D"/>
    <w:rsid w:val="006C1885"/>
    <w:rsid w:val="006C1E55"/>
    <w:rsid w:val="006D2EE6"/>
    <w:rsid w:val="006E699A"/>
    <w:rsid w:val="006F07DA"/>
    <w:rsid w:val="006F1F97"/>
    <w:rsid w:val="006F78CB"/>
    <w:rsid w:val="007030F6"/>
    <w:rsid w:val="0070709C"/>
    <w:rsid w:val="00712092"/>
    <w:rsid w:val="00713BD0"/>
    <w:rsid w:val="00714040"/>
    <w:rsid w:val="007171E6"/>
    <w:rsid w:val="007219DD"/>
    <w:rsid w:val="00722724"/>
    <w:rsid w:val="00722D2E"/>
    <w:rsid w:val="00723CB4"/>
    <w:rsid w:val="007264C5"/>
    <w:rsid w:val="00730512"/>
    <w:rsid w:val="0073640B"/>
    <w:rsid w:val="00743311"/>
    <w:rsid w:val="007459EA"/>
    <w:rsid w:val="00752B6C"/>
    <w:rsid w:val="00752D42"/>
    <w:rsid w:val="0075486C"/>
    <w:rsid w:val="00762D0E"/>
    <w:rsid w:val="00762EB1"/>
    <w:rsid w:val="007775D3"/>
    <w:rsid w:val="00781295"/>
    <w:rsid w:val="00786FAB"/>
    <w:rsid w:val="00787279"/>
    <w:rsid w:val="00797426"/>
    <w:rsid w:val="007A09A5"/>
    <w:rsid w:val="007A3D1F"/>
    <w:rsid w:val="007B069A"/>
    <w:rsid w:val="007B26F1"/>
    <w:rsid w:val="007B3517"/>
    <w:rsid w:val="007C559B"/>
    <w:rsid w:val="007D0D8E"/>
    <w:rsid w:val="007D49FC"/>
    <w:rsid w:val="007D51FB"/>
    <w:rsid w:val="007E0525"/>
    <w:rsid w:val="007E5145"/>
    <w:rsid w:val="007F5D8D"/>
    <w:rsid w:val="007F767F"/>
    <w:rsid w:val="00801EC4"/>
    <w:rsid w:val="00805398"/>
    <w:rsid w:val="00812B38"/>
    <w:rsid w:val="00814470"/>
    <w:rsid w:val="008225D2"/>
    <w:rsid w:val="008254AA"/>
    <w:rsid w:val="00826C5F"/>
    <w:rsid w:val="00832E27"/>
    <w:rsid w:val="008338EE"/>
    <w:rsid w:val="008367EC"/>
    <w:rsid w:val="008672B9"/>
    <w:rsid w:val="00881829"/>
    <w:rsid w:val="00883D7E"/>
    <w:rsid w:val="00884F20"/>
    <w:rsid w:val="00897AF5"/>
    <w:rsid w:val="008B7D96"/>
    <w:rsid w:val="008C0F18"/>
    <w:rsid w:val="008C2462"/>
    <w:rsid w:val="008C253D"/>
    <w:rsid w:val="008C47CE"/>
    <w:rsid w:val="008E1130"/>
    <w:rsid w:val="008F23D3"/>
    <w:rsid w:val="00902DB2"/>
    <w:rsid w:val="0092102F"/>
    <w:rsid w:val="009217BD"/>
    <w:rsid w:val="009232AB"/>
    <w:rsid w:val="009353E7"/>
    <w:rsid w:val="009433C5"/>
    <w:rsid w:val="009479A3"/>
    <w:rsid w:val="00972BB3"/>
    <w:rsid w:val="00973857"/>
    <w:rsid w:val="00973C85"/>
    <w:rsid w:val="0097798B"/>
    <w:rsid w:val="00981292"/>
    <w:rsid w:val="00984462"/>
    <w:rsid w:val="00984C57"/>
    <w:rsid w:val="009B3FEB"/>
    <w:rsid w:val="009C334B"/>
    <w:rsid w:val="009C43C6"/>
    <w:rsid w:val="009D1E2E"/>
    <w:rsid w:val="009E284E"/>
    <w:rsid w:val="009E50D6"/>
    <w:rsid w:val="009F15D3"/>
    <w:rsid w:val="009F2051"/>
    <w:rsid w:val="009F2B11"/>
    <w:rsid w:val="00A023CD"/>
    <w:rsid w:val="00A02C81"/>
    <w:rsid w:val="00A11B27"/>
    <w:rsid w:val="00A2092A"/>
    <w:rsid w:val="00A35CF2"/>
    <w:rsid w:val="00A365BB"/>
    <w:rsid w:val="00A37302"/>
    <w:rsid w:val="00A37E62"/>
    <w:rsid w:val="00A4427B"/>
    <w:rsid w:val="00A52C9B"/>
    <w:rsid w:val="00A532E5"/>
    <w:rsid w:val="00A6678E"/>
    <w:rsid w:val="00A66E82"/>
    <w:rsid w:val="00A77376"/>
    <w:rsid w:val="00A9245E"/>
    <w:rsid w:val="00AA1E79"/>
    <w:rsid w:val="00AB3EC0"/>
    <w:rsid w:val="00AB6455"/>
    <w:rsid w:val="00AC34FA"/>
    <w:rsid w:val="00AC3BFF"/>
    <w:rsid w:val="00AC6A7E"/>
    <w:rsid w:val="00AE0916"/>
    <w:rsid w:val="00AE1C47"/>
    <w:rsid w:val="00AF0A18"/>
    <w:rsid w:val="00AF368D"/>
    <w:rsid w:val="00AF3D58"/>
    <w:rsid w:val="00AF600A"/>
    <w:rsid w:val="00AF6814"/>
    <w:rsid w:val="00B0224C"/>
    <w:rsid w:val="00B10516"/>
    <w:rsid w:val="00B11BE8"/>
    <w:rsid w:val="00B1256A"/>
    <w:rsid w:val="00B15E93"/>
    <w:rsid w:val="00B26267"/>
    <w:rsid w:val="00B269EB"/>
    <w:rsid w:val="00B4698F"/>
    <w:rsid w:val="00B5651F"/>
    <w:rsid w:val="00B62797"/>
    <w:rsid w:val="00B80EBD"/>
    <w:rsid w:val="00B8334B"/>
    <w:rsid w:val="00B83BE1"/>
    <w:rsid w:val="00B97FDB"/>
    <w:rsid w:val="00BA4489"/>
    <w:rsid w:val="00BA5E03"/>
    <w:rsid w:val="00BA69EC"/>
    <w:rsid w:val="00BB0626"/>
    <w:rsid w:val="00BB5146"/>
    <w:rsid w:val="00BC6BD3"/>
    <w:rsid w:val="00BD0B99"/>
    <w:rsid w:val="00BD74DF"/>
    <w:rsid w:val="00C11323"/>
    <w:rsid w:val="00C12D6E"/>
    <w:rsid w:val="00C20755"/>
    <w:rsid w:val="00C310DB"/>
    <w:rsid w:val="00C335C9"/>
    <w:rsid w:val="00C34840"/>
    <w:rsid w:val="00C348AA"/>
    <w:rsid w:val="00C36FA5"/>
    <w:rsid w:val="00C40054"/>
    <w:rsid w:val="00C42FC2"/>
    <w:rsid w:val="00C526DD"/>
    <w:rsid w:val="00C5429D"/>
    <w:rsid w:val="00C67179"/>
    <w:rsid w:val="00C91BB6"/>
    <w:rsid w:val="00C954D8"/>
    <w:rsid w:val="00CA1A24"/>
    <w:rsid w:val="00CA3687"/>
    <w:rsid w:val="00CA3E10"/>
    <w:rsid w:val="00CB04AC"/>
    <w:rsid w:val="00CC18A2"/>
    <w:rsid w:val="00CC7ADC"/>
    <w:rsid w:val="00CD01F2"/>
    <w:rsid w:val="00CD56E3"/>
    <w:rsid w:val="00CE38F8"/>
    <w:rsid w:val="00CE46CF"/>
    <w:rsid w:val="00CE677C"/>
    <w:rsid w:val="00CF23C0"/>
    <w:rsid w:val="00CF2E51"/>
    <w:rsid w:val="00CF6A9B"/>
    <w:rsid w:val="00D0759B"/>
    <w:rsid w:val="00D07F8D"/>
    <w:rsid w:val="00D206A6"/>
    <w:rsid w:val="00D25F63"/>
    <w:rsid w:val="00D3601E"/>
    <w:rsid w:val="00D42EEF"/>
    <w:rsid w:val="00D55BA4"/>
    <w:rsid w:val="00D672F6"/>
    <w:rsid w:val="00D80B39"/>
    <w:rsid w:val="00D85C9D"/>
    <w:rsid w:val="00D91174"/>
    <w:rsid w:val="00DA28B0"/>
    <w:rsid w:val="00DA42EF"/>
    <w:rsid w:val="00DB0A9D"/>
    <w:rsid w:val="00DD5610"/>
    <w:rsid w:val="00DD6517"/>
    <w:rsid w:val="00DE0C58"/>
    <w:rsid w:val="00DE418A"/>
    <w:rsid w:val="00DF41B3"/>
    <w:rsid w:val="00E02005"/>
    <w:rsid w:val="00E1010A"/>
    <w:rsid w:val="00E104B2"/>
    <w:rsid w:val="00E11C1E"/>
    <w:rsid w:val="00E17772"/>
    <w:rsid w:val="00E256A3"/>
    <w:rsid w:val="00E27F46"/>
    <w:rsid w:val="00E3341A"/>
    <w:rsid w:val="00E404B6"/>
    <w:rsid w:val="00E474C1"/>
    <w:rsid w:val="00E50DAF"/>
    <w:rsid w:val="00E51DBF"/>
    <w:rsid w:val="00E54115"/>
    <w:rsid w:val="00E661E4"/>
    <w:rsid w:val="00E70714"/>
    <w:rsid w:val="00E81157"/>
    <w:rsid w:val="00E91095"/>
    <w:rsid w:val="00E96FEA"/>
    <w:rsid w:val="00EA1419"/>
    <w:rsid w:val="00EB23DE"/>
    <w:rsid w:val="00EC1387"/>
    <w:rsid w:val="00EC2C55"/>
    <w:rsid w:val="00EC6B11"/>
    <w:rsid w:val="00ED5591"/>
    <w:rsid w:val="00ED578B"/>
    <w:rsid w:val="00ED6AFB"/>
    <w:rsid w:val="00EE3198"/>
    <w:rsid w:val="00EE4066"/>
    <w:rsid w:val="00EE6F9E"/>
    <w:rsid w:val="00F00ED9"/>
    <w:rsid w:val="00F03278"/>
    <w:rsid w:val="00F10E9B"/>
    <w:rsid w:val="00F118DB"/>
    <w:rsid w:val="00F13306"/>
    <w:rsid w:val="00F14F3C"/>
    <w:rsid w:val="00F15A38"/>
    <w:rsid w:val="00F46152"/>
    <w:rsid w:val="00F47D7D"/>
    <w:rsid w:val="00F47F3D"/>
    <w:rsid w:val="00F5332F"/>
    <w:rsid w:val="00F543BE"/>
    <w:rsid w:val="00F566C5"/>
    <w:rsid w:val="00F574A8"/>
    <w:rsid w:val="00F6370A"/>
    <w:rsid w:val="00F73597"/>
    <w:rsid w:val="00F75594"/>
    <w:rsid w:val="00F81936"/>
    <w:rsid w:val="00F81FED"/>
    <w:rsid w:val="00F861AA"/>
    <w:rsid w:val="00F875CE"/>
    <w:rsid w:val="00F93F5E"/>
    <w:rsid w:val="00FB03B4"/>
    <w:rsid w:val="00FB3163"/>
    <w:rsid w:val="00FB3B70"/>
    <w:rsid w:val="00FC3E33"/>
    <w:rsid w:val="00FC7099"/>
    <w:rsid w:val="00FD1AF4"/>
    <w:rsid w:val="00FF2FF9"/>
    <w:rsid w:val="22464C6A"/>
    <w:rsid w:val="2358208C"/>
    <w:rsid w:val="40592ECB"/>
    <w:rsid w:val="435978B3"/>
    <w:rsid w:val="44B567CA"/>
    <w:rsid w:val="52CF2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5">
    <w:name w:val="Document Map"/>
    <w:basedOn w:val="1"/>
    <w:qFormat/>
    <w:uiPriority w:val="0"/>
    <w:pPr>
      <w:shd w:val="clear" w:color="auto" w:fill="000080"/>
    </w:pPr>
  </w:style>
  <w:style w:type="paragraph" w:styleId="6">
    <w:name w:val="Body Text Indent"/>
    <w:basedOn w:val="1"/>
    <w:qFormat/>
    <w:uiPriority w:val="0"/>
    <w:pPr>
      <w:ind w:firstLine="234"/>
    </w:pPr>
    <w:rPr>
      <w:rFonts w:ascii="Arial" w:hAnsi="Arial"/>
      <w:w w:val="98"/>
      <w:kern w:val="0"/>
      <w:sz w:val="24"/>
      <w:szCs w:val="20"/>
    </w:rPr>
  </w:style>
  <w:style w:type="paragraph" w:styleId="7">
    <w:name w:val="toc 3"/>
    <w:basedOn w:val="1"/>
    <w:next w:val="1"/>
    <w:semiHidden/>
    <w:unhideWhenUsed/>
    <w:uiPriority w:val="39"/>
    <w:pPr>
      <w:ind w:left="840" w:leftChars="40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rPr>
      <w:szCs w:val="20"/>
    </w:rPr>
  </w:style>
  <w:style w:type="paragraph" w:styleId="10">
    <w:name w:val="Balloon Text"/>
    <w:basedOn w:val="1"/>
    <w:link w:val="28"/>
    <w:semiHidden/>
    <w:unhideWhenUsed/>
    <w:qFormat/>
    <w:uiPriority w:val="99"/>
    <w:rPr>
      <w:sz w:val="18"/>
      <w:szCs w:val="18"/>
      <w:lang w:val="zh-CN"/>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uiPriority w:val="39"/>
  </w:style>
  <w:style w:type="paragraph" w:styleId="14">
    <w:name w:val="toc 2"/>
    <w:basedOn w:val="1"/>
    <w:next w:val="1"/>
    <w:semiHidden/>
    <w:unhideWhenUsed/>
    <w:uiPriority w:val="39"/>
    <w:pPr>
      <w:ind w:left="420" w:leftChars="200"/>
    </w:pPr>
  </w:style>
  <w:style w:type="table" w:styleId="16">
    <w:name w:val="Table Grid"/>
    <w:basedOn w:val="15"/>
    <w:qFormat/>
    <w:uiPriority w:val="59"/>
    <w:rPr>
      <w:rFonts w:ascii="Calibri" w:hAnsi="Calibri" w:eastAsia="微软雅黑"/>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Emphasis"/>
    <w:qFormat/>
    <w:uiPriority w:val="20"/>
    <w:rPr>
      <w:i/>
      <w:iCs/>
    </w:rPr>
  </w:style>
  <w:style w:type="character" w:styleId="20">
    <w:name w:val="Hyperlink"/>
    <w:qFormat/>
    <w:uiPriority w:val="99"/>
    <w:rPr>
      <w:color w:val="0000FF"/>
      <w:u w:val="single"/>
    </w:rPr>
  </w:style>
  <w:style w:type="character" w:customStyle="1" w:styleId="21">
    <w:name w:val="正文文本缩进 Char Char"/>
    <w:qFormat/>
    <w:uiPriority w:val="0"/>
    <w:rPr>
      <w:rFonts w:ascii="Arial" w:hAnsi="Arial" w:eastAsia="宋体"/>
      <w:w w:val="98"/>
      <w:sz w:val="24"/>
      <w:lang w:val="en-US" w:eastAsia="zh-CN" w:bidi="ar-SA"/>
    </w:rPr>
  </w:style>
  <w:style w:type="paragraph" w:customStyle="1" w:styleId="22">
    <w:name w:val="目录 21"/>
    <w:basedOn w:val="1"/>
    <w:next w:val="1"/>
    <w:qFormat/>
    <w:uiPriority w:val="39"/>
    <w:pPr>
      <w:tabs>
        <w:tab w:val="right" w:leader="dot" w:pos="8296"/>
      </w:tabs>
      <w:jc w:val="center"/>
    </w:pPr>
    <w:rPr>
      <w:rFonts w:ascii="黑体" w:hAnsi="宋体" w:eastAsia="黑体"/>
      <w:sz w:val="36"/>
      <w:szCs w:val="36"/>
    </w:rPr>
  </w:style>
  <w:style w:type="paragraph" w:customStyle="1" w:styleId="23">
    <w:name w:val="目录 11"/>
    <w:basedOn w:val="1"/>
    <w:next w:val="1"/>
    <w:qFormat/>
    <w:uiPriority w:val="0"/>
  </w:style>
  <w:style w:type="paragraph" w:customStyle="1" w:styleId="24">
    <w:name w:val="目录 31"/>
    <w:basedOn w:val="1"/>
    <w:next w:val="1"/>
    <w:qFormat/>
    <w:uiPriority w:val="39"/>
    <w:pPr>
      <w:ind w:left="840" w:leftChars="400"/>
    </w:pPr>
  </w:style>
  <w:style w:type="paragraph" w:customStyle="1" w:styleId="25">
    <w:name w:val="大纲正文样式"/>
    <w:basedOn w:val="1"/>
    <w:qFormat/>
    <w:uiPriority w:val="0"/>
    <w:pPr>
      <w:tabs>
        <w:tab w:val="left" w:pos="540"/>
      </w:tabs>
      <w:spacing w:line="300" w:lineRule="auto"/>
      <w:ind w:firstLine="200" w:firstLineChars="200"/>
    </w:pPr>
    <w:rPr>
      <w:color w:val="000000"/>
      <w:sz w:val="24"/>
    </w:rPr>
  </w:style>
  <w:style w:type="paragraph" w:customStyle="1" w:styleId="26">
    <w:name w:val="Char Char1 Char Char Char"/>
    <w:basedOn w:val="5"/>
    <w:qFormat/>
    <w:uiPriority w:val="0"/>
    <w:rPr>
      <w:szCs w:val="20"/>
    </w:rPr>
  </w:style>
  <w:style w:type="paragraph" w:customStyle="1" w:styleId="27">
    <w:name w:val="样式 黑体 三号 行距: 1.5 倍行距"/>
    <w:basedOn w:val="1"/>
    <w:qFormat/>
    <w:uiPriority w:val="0"/>
    <w:pPr>
      <w:spacing w:line="360" w:lineRule="auto"/>
    </w:pPr>
    <w:rPr>
      <w:rFonts w:ascii="黑体" w:eastAsia="黑体" w:cs="宋体"/>
      <w:sz w:val="32"/>
      <w:szCs w:val="20"/>
    </w:rPr>
  </w:style>
  <w:style w:type="character" w:customStyle="1" w:styleId="28">
    <w:name w:val="批注框文本 Char"/>
    <w:link w:val="10"/>
    <w:semiHidden/>
    <w:qFormat/>
    <w:uiPriority w:val="99"/>
    <w:rPr>
      <w:kern w:val="2"/>
      <w:sz w:val="18"/>
      <w:szCs w:val="18"/>
    </w:rPr>
  </w:style>
  <w:style w:type="paragraph" w:customStyle="1" w:styleId="29">
    <w:name w:val="正文1"/>
    <w:basedOn w:val="1"/>
    <w:qFormat/>
    <w:uiPriority w:val="0"/>
    <w:pPr>
      <w:widowControl/>
      <w:adjustRightInd w:val="0"/>
      <w:snapToGrid w:val="0"/>
      <w:spacing w:line="360" w:lineRule="auto"/>
      <w:ind w:firstLine="200" w:firstLineChars="200"/>
      <w:jc w:val="left"/>
    </w:pPr>
    <w:rPr>
      <w:kern w:val="0"/>
      <w:sz w:val="24"/>
      <w:szCs w:val="22"/>
    </w:rPr>
  </w:style>
  <w:style w:type="paragraph" w:customStyle="1" w:styleId="30">
    <w:name w:val="样式 黑体 小四 两端对齐 段前: 7.8 磅 段后: 7.8 磅 行距: 1.5 倍行距"/>
    <w:basedOn w:val="2"/>
    <w:qFormat/>
    <w:uiPriority w:val="0"/>
    <w:pPr>
      <w:keepNext/>
      <w:keepLines/>
      <w:widowControl w:val="0"/>
      <w:numPr>
        <w:ilvl w:val="0"/>
        <w:numId w:val="1"/>
      </w:numPr>
      <w:suppressLineNumbers w:val="0"/>
      <w:tabs>
        <w:tab w:val="left" w:pos="360"/>
      </w:tabs>
      <w:adjustRightInd w:val="0"/>
      <w:spacing w:before="156" w:beforeLines="50" w:beforeAutospacing="0" w:after="0" w:afterAutospacing="0" w:line="360" w:lineRule="auto"/>
      <w:ind w:left="482" w:right="0" w:hanging="482" w:hangingChars="200"/>
      <w:jc w:val="both"/>
      <w:outlineLvl w:val="0"/>
    </w:pPr>
    <w:rPr>
      <w:rFonts w:hint="eastAsia" w:ascii="宋体" w:hAnsi="宋体" w:eastAsia="宋体" w:cs="宋体"/>
      <w:bCs/>
      <w:kern w:val="2"/>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4E321-26FE-4FB5-ACFC-5A156E718AB6}">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1894</Words>
  <Characters>2149</Characters>
  <Lines>15</Lines>
  <Paragraphs>4</Paragraphs>
  <TotalTime>2</TotalTime>
  <ScaleCrop>false</ScaleCrop>
  <LinksUpToDate>false</LinksUpToDate>
  <CharactersWithSpaces>2247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2026-08-20T05:56:00Z</dcterms:created>
  <dc:creator>acer</dc:creator>
  <cp:lastModifiedBy>左abin</cp:lastModifiedBy>
  <cp:lastPrinted>2016-09-14T00:23:00Z</cp:lastPrinted>
  <dcterms:modified xsi:type="dcterms:W3CDTF">2026-08-24T01:49:50Z</dcterms:modified>
  <dc:title>附件一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eyJoZGlkIjoiNTk2MDhkM2Y2OWNlNGEyYTc3YjkzNWMzMmI3NTEwNmEiLCJ1c2VySWQiOiIzMjk3NzgyMTkifQ==</vt:lpwstr>
  </property>
  <property fmtid="{D5CDD505-2E9C-101B-9397-08002B2CF9AE}" pid="4" name="ICV">
    <vt:lpwstr>7C7E25D51D9B4155AC48384FA5CA2602_13</vt:lpwstr>
  </property>
</Properties>
</file>