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81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7"/>
      </w:tblGrid>
      <w:tr w14:paraId="0DC85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177" w:type="dxa"/>
            <w:vAlign w:val="top"/>
          </w:tcPr>
          <w:p w14:paraId="54DA530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16"/>
                <w:rFonts w:eastAsia="黑体"/>
                <w:b w:val="0"/>
                <w:i w:val="0"/>
                <w:caps w:val="0"/>
                <w:spacing w:val="20"/>
                <w:w w:val="1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2C370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8177" w:type="dxa"/>
            <w:vAlign w:val="top"/>
          </w:tcPr>
          <w:p w14:paraId="4215CBE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16"/>
                <w:rFonts w:ascii="黑体" w:eastAsia="黑体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Style w:val="16"/>
                <w:rFonts w:hint="eastAsia" w:ascii="黑体" w:eastAsia="黑体" w:cs="Times New Roman"/>
                <w:b w:val="0"/>
                <w:bCs/>
                <w:i w:val="0"/>
                <w:caps w:val="0"/>
                <w:spacing w:val="0"/>
                <w:w w:val="100"/>
                <w:kern w:val="2"/>
                <w:sz w:val="44"/>
                <w:szCs w:val="44"/>
                <w:lang w:val="en-US" w:eastAsia="zh-CN" w:bidi="ar-SA"/>
              </w:rPr>
              <w:t>风力发电机组机械状态（振动）监测装置校准规范</w:t>
            </w:r>
          </w:p>
          <w:p w14:paraId="36018C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16"/>
                <w:rFonts w:eastAsia="黑体"/>
                <w:b w:val="0"/>
                <w:i w:val="0"/>
                <w:caps w:val="0"/>
                <w:spacing w:val="20"/>
                <w:w w:val="1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73CB6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8177" w:type="dxa"/>
            <w:vAlign w:val="top"/>
          </w:tcPr>
          <w:p w14:paraId="1A7977E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16"/>
                <w:rFonts w:eastAsia="黑体"/>
                <w:b w:val="0"/>
                <w:i w:val="0"/>
                <w:caps w:val="0"/>
                <w:spacing w:val="20"/>
                <w:w w:val="100"/>
                <w:kern w:val="2"/>
                <w:sz w:val="44"/>
                <w:szCs w:val="24"/>
                <w:lang w:val="en-US" w:eastAsia="zh-CN" w:bidi="ar-SA"/>
              </w:rPr>
            </w:pPr>
            <w:r>
              <w:rPr>
                <w:rStyle w:val="16"/>
                <w:rFonts w:eastAsia="黑体"/>
                <w:b w:val="0"/>
                <w:i w:val="0"/>
                <w:caps w:val="0"/>
                <w:spacing w:val="20"/>
                <w:w w:val="100"/>
                <w:kern w:val="2"/>
                <w:sz w:val="44"/>
                <w:szCs w:val="24"/>
                <w:lang w:val="en-US" w:eastAsia="zh-CN" w:bidi="ar-SA"/>
              </w:rPr>
              <w:t>编制说明</w:t>
            </w:r>
          </w:p>
        </w:tc>
      </w:tr>
      <w:tr w14:paraId="00147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7" w:hRule="atLeast"/>
          <w:jc w:val="center"/>
        </w:trPr>
        <w:tc>
          <w:tcPr>
            <w:tcW w:w="8177" w:type="dxa"/>
            <w:vAlign w:val="top"/>
          </w:tcPr>
          <w:p w14:paraId="469B60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16"/>
                <w:rFonts w:eastAsia="黑体"/>
                <w:b w:val="0"/>
                <w:i w:val="0"/>
                <w:caps w:val="0"/>
                <w:spacing w:val="20"/>
                <w:w w:val="1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Style w:val="16"/>
                <w:rFonts w:eastAsia="黑体"/>
                <w:b w:val="0"/>
                <w:i w:val="0"/>
                <w:caps w:val="0"/>
                <w:spacing w:val="20"/>
                <w:w w:val="100"/>
                <w:kern w:val="2"/>
                <w:sz w:val="28"/>
                <w:szCs w:val="24"/>
                <w:lang w:val="en-US" w:eastAsia="zh-CN" w:bidi="ar-SA"/>
              </w:rPr>
              <w:t>（征求意见稿）</w:t>
            </w:r>
          </w:p>
        </w:tc>
      </w:tr>
      <w:tr w14:paraId="69D35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177" w:type="dxa"/>
            <w:vAlign w:val="top"/>
          </w:tcPr>
          <w:p w14:paraId="3A0176D4">
            <w:pPr>
              <w:pStyle w:val="8"/>
              <w:widowControl/>
              <w:snapToGrid/>
              <w:spacing w:before="0" w:beforeAutospacing="0" w:after="0" w:afterAutospacing="0" w:line="240" w:lineRule="auto"/>
              <w:ind w:left="99" w:leftChars="47"/>
              <w:jc w:val="center"/>
              <w:textAlignment w:val="baseline"/>
              <w:rPr>
                <w:rStyle w:val="16"/>
                <w:rFonts w:eastAsia="黑体"/>
                <w:b w:val="0"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Style w:val="1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sz w:val="28"/>
              </w:rPr>
              <w:t>2020年4月</w:t>
            </w:r>
          </w:p>
        </w:tc>
      </w:tr>
    </w:tbl>
    <w:p w14:paraId="3D8FFCBC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16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p w14:paraId="6F428DF0">
      <w:pPr>
        <w:pStyle w:val="4"/>
        <w:numPr>
          <w:ilvl w:val="0"/>
          <w:numId w:val="5"/>
        </w:numPr>
        <w:bidi w:val="0"/>
        <w:rPr>
          <w:lang w:val="en-US" w:eastAsia="zh-CN"/>
        </w:rPr>
      </w:pPr>
      <w:r>
        <w:rPr>
          <w:lang w:val="en-US" w:eastAsia="zh-CN"/>
        </w:rPr>
        <w:t>任务来源</w:t>
      </w:r>
    </w:p>
    <w:p w14:paraId="2C11CC96">
      <w:pPr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16"/>
          <w:rFonts w:ascii="宋体" w:hAnsi="宋体" w:cs="Times New Roman"/>
          <w:b w:val="0"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16"/>
          <w:rFonts w:ascii="宋体" w:hAnsi="宋体" w:cs="Times New Roman"/>
          <w:b w:val="0"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本校准规范是依据国家市场监督管理总局司（局）函计量函[2019]42号 市场监督总局计量司关于国家计量技术规范制定、修订及宣贯计划有关事项的通知，规范归口单位为全国振动冲击转速计量技术委员会。</w:t>
      </w:r>
    </w:p>
    <w:p w14:paraId="7DD0D439">
      <w:pPr>
        <w:pStyle w:val="4"/>
        <w:numPr>
          <w:ilvl w:val="0"/>
          <w:numId w:val="5"/>
        </w:numPr>
        <w:bidi w:val="0"/>
        <w:rPr>
          <w:b/>
          <w:lang w:val="en-US" w:eastAsia="zh-CN"/>
        </w:rPr>
      </w:pPr>
      <w:r>
        <w:rPr>
          <w:rFonts w:hint="eastAsia"/>
          <w:b/>
          <w:lang w:val="en-US" w:eastAsia="zh-CN"/>
        </w:rPr>
        <w:t>制定目的</w:t>
      </w:r>
    </w:p>
    <w:p w14:paraId="1D01D75F">
      <w:pPr>
        <w:pStyle w:val="11"/>
        <w:spacing w:before="156" w:beforeLines="50" w:after="0" w:line="360" w:lineRule="auto"/>
        <w:ind w:left="0" w:leftChars="0"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color w:val="000000"/>
          <w:sz w:val="24"/>
          <w:lang w:val="en-US" w:eastAsia="zh-CN"/>
        </w:rPr>
        <w:t>近年来，我国风电行业快速发展，我国已经成为全球主要的风电市场之一，风电装机量和风力发电量逐年增长。由于需要长期承受复杂的交变风力载荷，风电机组传动系统发生故障的风险较大，因此，对风电机组实施在线振动监测，可有效地保障风电机组的长期、安全、可靠运行，并显著降低维护成本。但是，目前</w:t>
      </w:r>
      <w:r>
        <w:rPr>
          <w:rFonts w:hint="eastAsia"/>
          <w:sz w:val="24"/>
          <w:lang w:val="en-US" w:eastAsia="zh-CN"/>
        </w:rPr>
        <w:t>我国风电机组振动监测装置的后续溯源一直没有得到解决，振动监测装置的测量准确性无法保证，对风</w:t>
      </w:r>
      <w:r>
        <w:rPr>
          <w:rFonts w:hint="eastAsia"/>
          <w:sz w:val="24"/>
        </w:rPr>
        <w:t>电机组的运行</w:t>
      </w:r>
      <w:r>
        <w:rPr>
          <w:rFonts w:hint="eastAsia"/>
          <w:sz w:val="24"/>
          <w:lang w:eastAsia="zh-CN"/>
        </w:rPr>
        <w:t>带来极大</w:t>
      </w:r>
      <w:r>
        <w:rPr>
          <w:rFonts w:hint="eastAsia"/>
          <w:sz w:val="24"/>
        </w:rPr>
        <w:t>安全</w:t>
      </w:r>
      <w:r>
        <w:rPr>
          <w:rFonts w:hint="eastAsia"/>
          <w:sz w:val="24"/>
          <w:lang w:eastAsia="zh-CN"/>
        </w:rPr>
        <w:t>隐患。</w:t>
      </w:r>
    </w:p>
    <w:p w14:paraId="006EAB1A">
      <w:pPr>
        <w:pStyle w:val="4"/>
        <w:numPr>
          <w:ilvl w:val="0"/>
          <w:numId w:val="5"/>
        </w:numPr>
        <w:bidi w:val="0"/>
        <w:rPr>
          <w:b/>
          <w:lang w:val="en-US" w:eastAsia="zh-CN"/>
        </w:rPr>
      </w:pPr>
      <w:r>
        <w:rPr>
          <w:rFonts w:hint="eastAsia"/>
          <w:b/>
          <w:lang w:val="en-US" w:eastAsia="zh-CN"/>
        </w:rPr>
        <w:t>制定依据</w:t>
      </w:r>
    </w:p>
    <w:p w14:paraId="7355B993">
      <w:pPr>
        <w:spacing w:line="360" w:lineRule="auto"/>
        <w:ind w:right="12" w:firstLine="480" w:firstLineChars="200"/>
        <w:rPr>
          <w:rStyle w:val="16"/>
          <w:rFonts w:ascii="宋体" w:hAnsi="宋体" w:cs="Times New Roman"/>
          <w:b w:val="0"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theme="minorBidi"/>
          <w:color w:val="000000"/>
          <w:kern w:val="2"/>
          <w:sz w:val="24"/>
          <w:szCs w:val="16"/>
          <w:lang w:val="en-US" w:eastAsia="zh-CN" w:bidi="ar-SA"/>
        </w:rPr>
        <w:t>本规范依据JJF 1071-2010《国家计量校准规范编写规则》和JJF1059.1-2012《测量不确定度评定与表示》的要求，结合GB/T 35854-2018</w:t>
      </w:r>
      <w:r>
        <w:rPr>
          <w:rFonts w:hint="eastAsia" w:cstheme="minorBidi"/>
          <w:color w:val="000000"/>
          <w:kern w:val="2"/>
          <w:sz w:val="24"/>
          <w:szCs w:val="16"/>
          <w:lang w:val="en-US" w:eastAsia="zh-CN" w:bidi="ar-SA"/>
        </w:rPr>
        <w:t>《</w:t>
      </w:r>
      <w:r>
        <w:rPr>
          <w:rFonts w:hint="eastAsia" w:ascii="Times New Roman" w:hAnsi="Times New Roman" w:eastAsia="宋体" w:cstheme="minorBidi"/>
          <w:color w:val="000000"/>
          <w:kern w:val="2"/>
          <w:sz w:val="24"/>
          <w:szCs w:val="16"/>
          <w:lang w:val="en-US" w:eastAsia="zh-CN" w:bidi="ar-SA"/>
        </w:rPr>
        <w:t>风力发电机组及其组件机械振动测量与评估</w:t>
      </w:r>
      <w:r>
        <w:rPr>
          <w:rFonts w:hint="eastAsia" w:cstheme="minorBidi"/>
          <w:color w:val="000000"/>
          <w:kern w:val="2"/>
          <w:sz w:val="24"/>
          <w:szCs w:val="16"/>
          <w:lang w:val="en-US" w:eastAsia="zh-CN" w:bidi="ar-SA"/>
        </w:rPr>
        <w:t>》</w:t>
      </w:r>
      <w:r>
        <w:rPr>
          <w:rFonts w:hint="eastAsia" w:ascii="Times New Roman" w:hAnsi="Times New Roman" w:eastAsia="宋体" w:cstheme="minorBidi"/>
          <w:color w:val="000000"/>
          <w:kern w:val="2"/>
          <w:sz w:val="24"/>
          <w:szCs w:val="16"/>
          <w:lang w:val="en-US" w:eastAsia="zh-CN" w:bidi="ar-SA"/>
        </w:rPr>
        <w:t>、NB/T 31129-2018</w:t>
      </w:r>
      <w:r>
        <w:rPr>
          <w:rFonts w:hint="eastAsia" w:cstheme="minorBidi"/>
          <w:color w:val="000000"/>
          <w:kern w:val="2"/>
          <w:sz w:val="24"/>
          <w:szCs w:val="16"/>
          <w:lang w:val="en-US" w:eastAsia="zh-CN" w:bidi="ar-SA"/>
        </w:rPr>
        <w:t>《</w:t>
      </w:r>
      <w:r>
        <w:rPr>
          <w:rFonts w:hint="eastAsia" w:ascii="Times New Roman" w:hAnsi="Times New Roman" w:eastAsia="宋体" w:cstheme="minorBidi"/>
          <w:color w:val="000000"/>
          <w:kern w:val="2"/>
          <w:sz w:val="24"/>
          <w:szCs w:val="16"/>
          <w:lang w:val="en-US" w:eastAsia="zh-CN" w:bidi="ar-SA"/>
        </w:rPr>
        <w:t>风力发电机组振动状态评价导则</w:t>
      </w:r>
      <w:r>
        <w:rPr>
          <w:rFonts w:hint="eastAsia" w:cstheme="minorBidi"/>
          <w:color w:val="000000"/>
          <w:kern w:val="2"/>
          <w:sz w:val="24"/>
          <w:szCs w:val="16"/>
          <w:lang w:val="en-US" w:eastAsia="zh-CN" w:bidi="ar-SA"/>
        </w:rPr>
        <w:t>》，</w:t>
      </w:r>
      <w:r>
        <w:rPr>
          <w:rFonts w:hint="eastAsia" w:ascii="Times New Roman" w:hAnsi="Times New Roman" w:eastAsia="宋体" w:cstheme="minorBidi"/>
          <w:color w:val="000000"/>
          <w:kern w:val="2"/>
          <w:sz w:val="24"/>
          <w:szCs w:val="16"/>
          <w:lang w:val="en-US" w:eastAsia="zh-CN" w:bidi="ar-SA"/>
        </w:rPr>
        <w:t>JJG 676-2019</w:t>
      </w:r>
      <w:r>
        <w:rPr>
          <w:rFonts w:hint="eastAsia" w:cstheme="minorBidi"/>
          <w:color w:val="000000"/>
          <w:kern w:val="2"/>
          <w:sz w:val="24"/>
          <w:szCs w:val="16"/>
          <w:lang w:val="en-US" w:eastAsia="zh-CN" w:bidi="ar-SA"/>
        </w:rPr>
        <w:t>《</w:t>
      </w:r>
      <w:r>
        <w:rPr>
          <w:rFonts w:hint="eastAsia" w:ascii="Times New Roman" w:hAnsi="Times New Roman" w:eastAsia="宋体" w:cstheme="minorBidi"/>
          <w:color w:val="000000"/>
          <w:kern w:val="2"/>
          <w:sz w:val="24"/>
          <w:szCs w:val="16"/>
          <w:lang w:val="en-US" w:eastAsia="zh-CN" w:bidi="ar-SA"/>
        </w:rPr>
        <w:t>测振仪</w:t>
      </w:r>
      <w:r>
        <w:rPr>
          <w:rFonts w:hint="eastAsia" w:cstheme="minorBidi"/>
          <w:color w:val="000000"/>
          <w:kern w:val="2"/>
          <w:sz w:val="24"/>
          <w:szCs w:val="16"/>
          <w:lang w:val="en-US" w:eastAsia="zh-CN" w:bidi="ar-SA"/>
        </w:rPr>
        <w:t>》</w:t>
      </w:r>
      <w:r>
        <w:rPr>
          <w:rFonts w:hint="eastAsia" w:ascii="Times New Roman" w:hAnsi="Times New Roman" w:eastAsia="宋体" w:cstheme="minorBidi"/>
          <w:color w:val="000000"/>
          <w:kern w:val="2"/>
          <w:sz w:val="24"/>
          <w:szCs w:val="16"/>
          <w:lang w:val="en-US" w:eastAsia="zh-CN" w:bidi="ar-SA"/>
        </w:rPr>
        <w:t>等编写本规范，以满足风电机组振动监测装置生产制造企业、广大用户和计量机构的校准需求。</w:t>
      </w:r>
    </w:p>
    <w:p w14:paraId="01D24359">
      <w:pPr>
        <w:pStyle w:val="4"/>
        <w:numPr>
          <w:ilvl w:val="0"/>
          <w:numId w:val="5"/>
        </w:numPr>
        <w:bidi w:val="0"/>
        <w:rPr>
          <w:sz w:val="24"/>
          <w:szCs w:val="24"/>
          <w:lang w:val="en-US" w:eastAsia="zh-CN"/>
        </w:rPr>
      </w:pPr>
      <w:r>
        <w:rPr>
          <w:b/>
          <w:lang w:val="en-US" w:eastAsia="zh-CN"/>
        </w:rPr>
        <w:t>编制过程</w:t>
      </w:r>
    </w:p>
    <w:p w14:paraId="604A9D58">
      <w:pPr>
        <w:spacing w:line="440" w:lineRule="exact"/>
        <w:ind w:right="12" w:firstLine="480" w:firstLineChars="200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201</w:t>
      </w:r>
      <w:r>
        <w:rPr>
          <w:rFonts w:hint="eastAsia"/>
          <w:color w:val="000000"/>
          <w:sz w:val="24"/>
          <w:szCs w:val="24"/>
          <w:lang w:val="en-US" w:eastAsia="zh-CN"/>
        </w:rPr>
        <w:t>8年11月进行本校准规范立项申请，对本项目的必要性、意义、国内外水平现状和发展趋势、具备的基础、关键技术和工作内容等进行了论证，编制了国家计量技术法规项目计划任务书，对工作任务进行了分工。具体实施过程如下：</w:t>
      </w:r>
    </w:p>
    <w:p w14:paraId="1EE82A4D">
      <w:pPr>
        <w:spacing w:line="360" w:lineRule="auto"/>
        <w:ind w:right="12" w:firstLine="480" w:firstLineChars="200"/>
        <w:rPr>
          <w:rFonts w:hint="default" w:ascii="Times New Roman" w:hAnsi="Times New Roman" w:cs="Times New Roman"/>
          <w:color w:val="auto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2018年12月完成了立项申请报告；</w:t>
      </w:r>
    </w:p>
    <w:p w14:paraId="3AD9B0DF">
      <w:pPr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16"/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16"/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2019年3月开始积极组织和落实编制组成员，开展资料收集工作；</w:t>
      </w:r>
    </w:p>
    <w:p w14:paraId="32877402">
      <w:pPr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16"/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16"/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2019年12月进行了第一起草人变更；</w:t>
      </w:r>
    </w:p>
    <w:p w14:paraId="7AB31F05">
      <w:pPr>
        <w:spacing w:line="360" w:lineRule="auto"/>
        <w:ind w:firstLine="480" w:firstLineChars="200"/>
        <w:rPr>
          <w:rStyle w:val="16"/>
          <w:rFonts w:hint="default" w:ascii="Times New Roman" w:hAnsi="Times New Roman" w:cs="Times New Roman"/>
          <w:bCs/>
          <w:sz w:val="24"/>
          <w:lang w:val="en-US" w:eastAsia="zh-CN"/>
        </w:rPr>
      </w:pPr>
      <w:r>
        <w:rPr>
          <w:rStyle w:val="16"/>
          <w:rFonts w:hint="default" w:ascii="Times New Roman" w:hAnsi="Times New Roman" w:cs="Times New Roman"/>
          <w:bCs/>
          <w:sz w:val="24"/>
          <w:lang w:val="en-US" w:eastAsia="zh-CN"/>
        </w:rPr>
        <w:t>20</w:t>
      </w:r>
      <w:r>
        <w:rPr>
          <w:rStyle w:val="16"/>
          <w:rFonts w:hint="eastAsia" w:cs="Times New Roman"/>
          <w:bCs/>
          <w:sz w:val="24"/>
          <w:lang w:val="en-US" w:eastAsia="zh-CN"/>
        </w:rPr>
        <w:t>20</w:t>
      </w:r>
      <w:r>
        <w:rPr>
          <w:rStyle w:val="16"/>
          <w:rFonts w:hint="default" w:ascii="Times New Roman" w:hAnsi="Times New Roman" w:cs="Times New Roman"/>
          <w:bCs/>
          <w:sz w:val="24"/>
          <w:lang w:val="en-US" w:eastAsia="zh-CN"/>
        </w:rPr>
        <w:t>年</w:t>
      </w:r>
      <w:r>
        <w:rPr>
          <w:rStyle w:val="16"/>
          <w:rFonts w:hint="eastAsia" w:cs="Times New Roman"/>
          <w:bCs/>
          <w:sz w:val="24"/>
          <w:lang w:val="en-US" w:eastAsia="zh-CN"/>
        </w:rPr>
        <w:t>12</w:t>
      </w:r>
      <w:r>
        <w:rPr>
          <w:rStyle w:val="16"/>
          <w:rFonts w:hint="default" w:ascii="Times New Roman" w:hAnsi="Times New Roman" w:cs="Times New Roman"/>
          <w:bCs/>
          <w:sz w:val="24"/>
          <w:lang w:val="en-US" w:eastAsia="zh-CN"/>
        </w:rPr>
        <w:t>月，完成了相关验证试验；</w:t>
      </w:r>
    </w:p>
    <w:p w14:paraId="2E65806E">
      <w:pPr>
        <w:spacing w:line="360" w:lineRule="auto"/>
        <w:ind w:firstLine="480" w:firstLineChars="200"/>
        <w:rPr>
          <w:rStyle w:val="16"/>
          <w:rFonts w:hint="default" w:ascii="Times New Roman" w:hAnsi="Times New Roman" w:cs="Times New Roman"/>
          <w:bCs/>
          <w:sz w:val="24"/>
        </w:rPr>
      </w:pPr>
      <w:r>
        <w:rPr>
          <w:rStyle w:val="16"/>
          <w:rFonts w:hint="default" w:ascii="Times New Roman" w:hAnsi="Times New Roman" w:cs="Times New Roman"/>
          <w:bCs/>
          <w:sz w:val="24"/>
        </w:rPr>
        <w:t>202</w:t>
      </w:r>
      <w:r>
        <w:rPr>
          <w:rStyle w:val="16"/>
          <w:rFonts w:hint="eastAsia" w:cs="Times New Roman"/>
          <w:bCs/>
          <w:sz w:val="24"/>
          <w:lang w:val="en-US" w:eastAsia="zh-CN"/>
        </w:rPr>
        <w:t>1</w:t>
      </w:r>
      <w:r>
        <w:rPr>
          <w:rStyle w:val="16"/>
          <w:rFonts w:hint="default" w:ascii="Times New Roman" w:hAnsi="Times New Roman" w:cs="Times New Roman"/>
          <w:bCs/>
          <w:sz w:val="24"/>
        </w:rPr>
        <w:t>年</w:t>
      </w:r>
      <w:r>
        <w:rPr>
          <w:rStyle w:val="16"/>
          <w:rFonts w:hint="eastAsia" w:cs="Times New Roman"/>
          <w:bCs/>
          <w:sz w:val="24"/>
          <w:lang w:val="en-US" w:eastAsia="zh-CN"/>
        </w:rPr>
        <w:t>6</w:t>
      </w:r>
      <w:r>
        <w:rPr>
          <w:rStyle w:val="16"/>
          <w:rFonts w:hint="default" w:ascii="Times New Roman" w:hAnsi="Times New Roman" w:cs="Times New Roman"/>
          <w:bCs/>
          <w:sz w:val="24"/>
        </w:rPr>
        <w:t>月，完成了校准规范初稿</w:t>
      </w:r>
      <w:r>
        <w:rPr>
          <w:rStyle w:val="16"/>
          <w:rFonts w:hint="eastAsia" w:cs="Times New Roman"/>
          <w:bCs/>
          <w:sz w:val="24"/>
          <w:lang w:val="en-US" w:eastAsia="zh-CN"/>
        </w:rPr>
        <w:t>编制</w:t>
      </w:r>
      <w:r>
        <w:rPr>
          <w:rStyle w:val="16"/>
          <w:rFonts w:hint="default" w:ascii="Times New Roman" w:hAnsi="Times New Roman" w:cs="Times New Roman"/>
          <w:bCs/>
          <w:sz w:val="24"/>
        </w:rPr>
        <w:t>；</w:t>
      </w:r>
    </w:p>
    <w:p w14:paraId="55F374CC">
      <w:pPr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16"/>
          <w:rFonts w:hint="default" w:ascii="Times New Roman" w:hAnsi="Times New Roman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16"/>
          <w:rFonts w:hint="default" w:ascii="Times New Roman" w:hAnsi="Times New Roman" w:cs="Times New Roman"/>
          <w:bCs/>
          <w:sz w:val="24"/>
        </w:rPr>
        <w:t>202</w:t>
      </w:r>
      <w:r>
        <w:rPr>
          <w:rStyle w:val="16"/>
          <w:rFonts w:hint="eastAsia" w:cs="Times New Roman"/>
          <w:bCs/>
          <w:sz w:val="24"/>
          <w:lang w:val="en-US" w:eastAsia="zh-CN"/>
        </w:rPr>
        <w:t>5</w:t>
      </w:r>
      <w:r>
        <w:rPr>
          <w:rStyle w:val="16"/>
          <w:rFonts w:hint="default" w:ascii="Times New Roman" w:hAnsi="Times New Roman" w:cs="Times New Roman"/>
          <w:bCs/>
          <w:sz w:val="24"/>
        </w:rPr>
        <w:t>年</w:t>
      </w:r>
      <w:r>
        <w:rPr>
          <w:rStyle w:val="16"/>
          <w:rFonts w:hint="eastAsia" w:cs="Times New Roman"/>
          <w:bCs/>
          <w:sz w:val="24"/>
          <w:lang w:val="en-US" w:eastAsia="zh-CN"/>
        </w:rPr>
        <w:t>10</w:t>
      </w:r>
      <w:r>
        <w:rPr>
          <w:rStyle w:val="16"/>
          <w:rFonts w:hint="default" w:ascii="Times New Roman" w:hAnsi="Times New Roman" w:cs="Times New Roman"/>
          <w:bCs/>
          <w:sz w:val="24"/>
        </w:rPr>
        <w:t>月，</w:t>
      </w:r>
      <w:r>
        <w:rPr>
          <w:rStyle w:val="16"/>
          <w:rFonts w:ascii="宋体" w:hAnsi="宋体"/>
          <w:bCs/>
          <w:sz w:val="24"/>
        </w:rPr>
        <w:t>MTC6</w:t>
      </w:r>
      <w:r>
        <w:rPr>
          <w:rStyle w:val="16"/>
          <w:rFonts w:hint="eastAsia" w:ascii="宋体" w:hAnsi="宋体"/>
          <w:bCs/>
          <w:sz w:val="24"/>
        </w:rPr>
        <w:t>技术委员会组织初审，对下列意见进行汇总，并予以修改</w:t>
      </w:r>
      <w:r>
        <w:rPr>
          <w:rStyle w:val="16"/>
          <w:rFonts w:hint="default" w:ascii="Times New Roman" w:hAnsi="Times New Roman" w:cs="Times New Roman"/>
          <w:bCs/>
          <w:sz w:val="24"/>
        </w:rPr>
        <w:t>。</w:t>
      </w:r>
    </w:p>
    <w:tbl>
      <w:tblPr>
        <w:tblStyle w:val="12"/>
        <w:tblW w:w="93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147"/>
        <w:gridCol w:w="5500"/>
        <w:gridCol w:w="1944"/>
      </w:tblGrid>
      <w:tr w14:paraId="1384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1F689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序号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4D4BA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章条编号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9F556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0F49CC0C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意见内容</w:t>
            </w:r>
          </w:p>
          <w:p w14:paraId="4A4FBC69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DE556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理由</w:t>
            </w:r>
          </w:p>
        </w:tc>
      </w:tr>
      <w:tr w14:paraId="6B4B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4B5DD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C75BB">
            <w:pPr>
              <w:spacing w:line="360" w:lineRule="atLeast"/>
              <w:jc w:val="center"/>
              <w:rPr>
                <w:rFonts w:hAnsi="宋体"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950D2D2">
            <w:pPr>
              <w:numPr>
                <w:ilvl w:val="0"/>
                <w:numId w:val="0"/>
              </w:numPr>
              <w:spacing w:line="360" w:lineRule="atLeast"/>
              <w:ind w:left="0" w:leftChars="0" w:firstLine="0" w:firstLineChars="0"/>
              <w:jc w:val="both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lang w:val="en-US" w:eastAsia="zh-CN"/>
              </w:rPr>
              <w:t>去掉在线和离线，</w:t>
            </w: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参考GB/T 35854-2018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741511">
            <w:pPr>
              <w:spacing w:line="360" w:lineRule="atLeas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69F5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50AA4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C9709">
            <w:pPr>
              <w:spacing w:line="360" w:lineRule="atLeast"/>
              <w:jc w:val="center"/>
              <w:rPr>
                <w:rFonts w:hAnsi="宋体"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44EA8F">
            <w:pPr>
              <w:widowControl w:val="0"/>
              <w:numPr>
                <w:ilvl w:val="0"/>
                <w:numId w:val="0"/>
              </w:numPr>
              <w:spacing w:line="360" w:lineRule="atLeast"/>
              <w:ind w:left="0" w:leftChars="0" w:firstLine="0" w:firstLineChars="0"/>
              <w:jc w:val="left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lang w:val="en-US" w:eastAsia="zh-CN"/>
              </w:rPr>
              <w:t>需重新考虑技术校准项目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9F0CDE">
            <w:pPr>
              <w:spacing w:line="360" w:lineRule="atLeas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641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2587D">
            <w:pPr>
              <w:spacing w:line="360" w:lineRule="atLeast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6CD32">
            <w:pPr>
              <w:spacing w:line="360" w:lineRule="atLeas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770D6B1">
            <w:pPr>
              <w:numPr>
                <w:ilvl w:val="0"/>
                <w:numId w:val="0"/>
              </w:numPr>
              <w:spacing w:line="360" w:lineRule="atLeast"/>
              <w:ind w:left="0" w:leftChars="0" w:firstLine="0" w:firstLineChars="0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lang w:val="en-US" w:eastAsia="zh-CN" w:bidi="ar"/>
              </w:rPr>
              <w:t>校准方法需要重新考虑，建议进行实验室校准，现场校准难以实现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C91F45">
            <w:pPr>
              <w:spacing w:line="360" w:lineRule="atLeas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5B9B7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2C625">
            <w:pPr>
              <w:spacing w:line="360" w:lineRule="atLeast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7828F">
            <w:pPr>
              <w:spacing w:line="36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7.4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63FC897">
            <w:pPr>
              <w:spacing w:line="360" w:lineRule="atLeas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lang w:val="en-US" w:eastAsia="zh-CN"/>
              </w:rPr>
              <w:t>肩并肩校准不可取，应采用背靠背校准方式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02BA11">
            <w:pPr>
              <w:spacing w:line="360" w:lineRule="atLeast"/>
              <w:rPr>
                <w:rFonts w:ascii="宋体" w:hAnsi="宋体"/>
                <w:color w:val="auto"/>
                <w:szCs w:val="21"/>
              </w:rPr>
            </w:pPr>
          </w:p>
        </w:tc>
      </w:tr>
    </w:tbl>
    <w:p w14:paraId="35F3AD8B">
      <w:pPr>
        <w:pStyle w:val="4"/>
        <w:numPr>
          <w:ilvl w:val="0"/>
          <w:numId w:val="5"/>
        </w:numPr>
        <w:bidi w:val="0"/>
        <w:rPr>
          <w:b/>
          <w:lang w:val="en-US" w:eastAsia="zh-CN"/>
        </w:rPr>
      </w:pPr>
      <w:r>
        <w:rPr>
          <w:b/>
          <w:lang w:val="en-US" w:eastAsia="zh-CN"/>
        </w:rPr>
        <w:t>主要技术内容的说明</w:t>
      </w:r>
    </w:p>
    <w:p w14:paraId="592F2690">
      <w:pPr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5</w:t>
      </w:r>
      <w:r>
        <w:rPr>
          <w:rFonts w:hint="eastAsia" w:ascii="宋体" w:hAnsi="宋体"/>
          <w:b/>
          <w:bCs/>
          <w:sz w:val="24"/>
        </w:rPr>
        <w:t>.1 关于范围</w:t>
      </w:r>
    </w:p>
    <w:p w14:paraId="5BF409EF">
      <w:pPr>
        <w:spacing w:line="440" w:lineRule="exact"/>
        <w:ind w:right="12" w:firstLine="480" w:firstLineChars="200"/>
        <w:rPr>
          <w:rStyle w:val="51"/>
          <w:rFonts w:hint="eastAsia" w:ascii="宋体" w:hAnsi="宋体"/>
          <w:w w:val="100"/>
        </w:rPr>
      </w:pPr>
      <w:r>
        <w:rPr>
          <w:rFonts w:hint="eastAsia" w:hAnsi="宋体"/>
          <w:sz w:val="24"/>
        </w:rPr>
        <w:t>本规范适用于</w:t>
      </w:r>
      <w:r>
        <w:rPr>
          <w:rFonts w:hAnsi="宋体"/>
          <w:sz w:val="24"/>
        </w:rPr>
        <w:t>0.</w:t>
      </w:r>
      <w:r>
        <w:rPr>
          <w:rFonts w:hint="eastAsia" w:hAnsi="宋体"/>
          <w:sz w:val="24"/>
        </w:rPr>
        <w:t>1</w:t>
      </w:r>
      <w:r>
        <w:rPr>
          <w:rFonts w:hAnsi="宋体"/>
          <w:sz w:val="24"/>
        </w:rPr>
        <w:t>Hz~</w:t>
      </w:r>
      <w:r>
        <w:rPr>
          <w:rFonts w:hint="eastAsia" w:hAnsi="宋体"/>
          <w:sz w:val="24"/>
        </w:rPr>
        <w:t>10k</w:t>
      </w:r>
      <w:r>
        <w:rPr>
          <w:rFonts w:hAnsi="宋体"/>
          <w:sz w:val="24"/>
        </w:rPr>
        <w:t>Hz</w:t>
      </w:r>
      <w:r>
        <w:rPr>
          <w:rFonts w:hint="eastAsia" w:hAnsi="宋体"/>
          <w:sz w:val="24"/>
        </w:rPr>
        <w:t>频率范围内风力发电机组振动监测装置的校准。</w:t>
      </w:r>
    </w:p>
    <w:p w14:paraId="3000F11C">
      <w:pPr>
        <w:spacing w:line="360" w:lineRule="auto"/>
        <w:rPr>
          <w:rFonts w:hint="eastAsia"/>
          <w:b/>
        </w:rPr>
      </w:pPr>
      <w:r>
        <w:rPr>
          <w:rFonts w:hint="eastAsia" w:ascii="宋体" w:hAnsi="宋体"/>
          <w:b/>
          <w:sz w:val="24"/>
          <w:lang w:val="en-US" w:eastAsia="zh-CN"/>
        </w:rPr>
        <w:t>5</w:t>
      </w:r>
      <w:r>
        <w:rPr>
          <w:rFonts w:hint="eastAsia" w:ascii="宋体" w:hAnsi="宋体"/>
          <w:b/>
          <w:sz w:val="24"/>
        </w:rPr>
        <w:t>.</w:t>
      </w:r>
      <w:r>
        <w:rPr>
          <w:rFonts w:hint="eastAsia" w:ascii="宋体" w:hAnsi="宋体"/>
          <w:b/>
          <w:sz w:val="24"/>
          <w:lang w:val="en-US" w:eastAsia="zh-CN"/>
        </w:rPr>
        <w:t>2</w:t>
      </w:r>
      <w:r>
        <w:rPr>
          <w:rFonts w:hint="eastAsia" w:ascii="宋体" w:hAnsi="宋体"/>
          <w:b/>
          <w:sz w:val="24"/>
        </w:rPr>
        <w:t xml:space="preserve"> 关于计量特性</w:t>
      </w:r>
    </w:p>
    <w:p w14:paraId="1728638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25" w:rightChars="12"/>
        <w:textAlignment w:val="auto"/>
        <w:rPr>
          <w:rFonts w:hint="eastAsia" w:ascii="Times New Roman" w:hAnsi="Times New Roman" w:eastAsia="宋体"/>
          <w:kern w:val="10"/>
          <w:sz w:val="24"/>
          <w:lang w:eastAsia="zh-CN"/>
        </w:rPr>
      </w:pPr>
      <w:r>
        <w:rPr>
          <w:rFonts w:ascii="Times New Roman" w:hAnsi="Times New Roman"/>
          <w:kern w:val="10"/>
          <w:sz w:val="24"/>
        </w:rPr>
        <w:t>5.</w:t>
      </w:r>
      <w:r>
        <w:rPr>
          <w:rFonts w:hint="eastAsia" w:ascii="Times New Roman" w:hAnsi="Times New Roman"/>
          <w:kern w:val="10"/>
          <w:sz w:val="24"/>
          <w:lang w:val="en-US" w:eastAsia="zh-CN"/>
        </w:rPr>
        <w:t>2.</w:t>
      </w:r>
      <w:r>
        <w:rPr>
          <w:rFonts w:ascii="Times New Roman" w:hAnsi="Times New Roman"/>
          <w:kern w:val="10"/>
          <w:sz w:val="24"/>
        </w:rPr>
        <w:t>1</w:t>
      </w:r>
      <w:r>
        <w:rPr>
          <w:rFonts w:hint="eastAsia" w:ascii="Times New Roman" w:hAnsi="Times New Roman"/>
          <w:kern w:val="10"/>
          <w:sz w:val="24"/>
          <w:lang w:val="en-US" w:eastAsia="zh-CN"/>
        </w:rPr>
        <w:t xml:space="preserve">  示值误差</w:t>
      </w:r>
    </w:p>
    <w:p w14:paraId="5CE62B2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25" w:rightChars="12"/>
        <w:textAlignment w:val="auto"/>
        <w:rPr>
          <w:rFonts w:hint="eastAsia"/>
          <w:sz w:val="24"/>
        </w:rPr>
      </w:pPr>
      <w:r>
        <w:rPr>
          <w:rFonts w:ascii="Times New Roman" w:hAnsi="Times New Roman"/>
          <w:kern w:val="10"/>
          <w:sz w:val="24"/>
        </w:rPr>
        <w:t>5.2</w:t>
      </w:r>
      <w:r>
        <w:rPr>
          <w:rFonts w:hint="eastAsia" w:ascii="Times New Roman" w:hAnsi="Times New Roman"/>
          <w:kern w:val="10"/>
          <w:sz w:val="24"/>
          <w:lang w:val="en-US" w:eastAsia="zh-CN"/>
        </w:rPr>
        <w:t>.2  测量通道一致性</w:t>
      </w:r>
    </w:p>
    <w:p w14:paraId="71AE35EA">
      <w:pPr>
        <w:spacing w:line="360" w:lineRule="auto"/>
        <w:rPr>
          <w:rFonts w:hint="default" w:eastAsia="宋体"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5</w:t>
      </w:r>
      <w:r>
        <w:rPr>
          <w:rFonts w:hint="eastAsia" w:ascii="宋体" w:hAnsi="宋体"/>
          <w:b/>
          <w:sz w:val="24"/>
        </w:rPr>
        <w:t>.</w:t>
      </w:r>
      <w:r>
        <w:rPr>
          <w:rFonts w:hint="eastAsia" w:ascii="宋体" w:hAnsi="宋体"/>
          <w:b/>
          <w:sz w:val="24"/>
          <w:lang w:val="en-US" w:eastAsia="zh-CN"/>
        </w:rPr>
        <w:t xml:space="preserve">3 </w:t>
      </w:r>
      <w:r>
        <w:rPr>
          <w:rFonts w:hint="eastAsia" w:ascii="宋体" w:hAnsi="宋体"/>
          <w:b/>
          <w:sz w:val="24"/>
        </w:rPr>
        <w:t>关于</w:t>
      </w:r>
      <w:r>
        <w:rPr>
          <w:rFonts w:hint="eastAsia" w:ascii="宋体" w:hAnsi="宋体"/>
          <w:b/>
          <w:sz w:val="24"/>
          <w:lang w:val="en-US" w:eastAsia="zh-CN"/>
        </w:rPr>
        <w:t>测量标准仪器</w:t>
      </w:r>
    </w:p>
    <w:tbl>
      <w:tblPr>
        <w:tblStyle w:val="1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166"/>
        <w:gridCol w:w="4674"/>
        <w:gridCol w:w="2319"/>
      </w:tblGrid>
      <w:tr w14:paraId="2262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01" w:type="pct"/>
          </w:tcPr>
          <w:p w14:paraId="14C0B887">
            <w:pPr>
              <w:spacing w:line="360" w:lineRule="auto"/>
              <w:jc w:val="center"/>
              <w:rPr>
                <w:rFonts w:hint="eastAsia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序号</w:t>
            </w:r>
          </w:p>
        </w:tc>
        <w:tc>
          <w:tcPr>
            <w:tcW w:w="1087" w:type="pct"/>
            <w:vAlign w:val="top"/>
          </w:tcPr>
          <w:p w14:paraId="57377ACE">
            <w:pPr>
              <w:spacing w:line="360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名称</w:t>
            </w:r>
          </w:p>
        </w:tc>
        <w:tc>
          <w:tcPr>
            <w:tcW w:w="2346" w:type="pct"/>
            <w:vAlign w:val="top"/>
          </w:tcPr>
          <w:p w14:paraId="001D8C72">
            <w:pPr>
              <w:spacing w:line="360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技术要求</w:t>
            </w:r>
          </w:p>
        </w:tc>
        <w:tc>
          <w:tcPr>
            <w:tcW w:w="1164" w:type="pct"/>
            <w:vAlign w:val="top"/>
          </w:tcPr>
          <w:p w14:paraId="211CF65C">
            <w:pPr>
              <w:spacing w:line="360" w:lineRule="auto"/>
              <w:jc w:val="center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备注</w:t>
            </w:r>
          </w:p>
        </w:tc>
      </w:tr>
      <w:tr w14:paraId="7E354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01" w:type="pct"/>
            <w:vAlign w:val="center"/>
          </w:tcPr>
          <w:p w14:paraId="32997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</w:p>
        </w:tc>
        <w:tc>
          <w:tcPr>
            <w:tcW w:w="1087" w:type="pct"/>
            <w:vAlign w:val="center"/>
          </w:tcPr>
          <w:p w14:paraId="099F1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测振仪</w:t>
            </w:r>
          </w:p>
        </w:tc>
        <w:tc>
          <w:tcPr>
            <w:tcW w:w="2346" w:type="pct"/>
            <w:vAlign w:val="center"/>
          </w:tcPr>
          <w:p w14:paraId="5F34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幅值频率响应：±5%；</w:t>
            </w:r>
          </w:p>
          <w:p w14:paraId="3949D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幅值线性度：±5%；</w:t>
            </w:r>
          </w:p>
          <w:p w14:paraId="652CA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频率最大允许误差：±0.5%。</w:t>
            </w:r>
          </w:p>
        </w:tc>
        <w:tc>
          <w:tcPr>
            <w:tcW w:w="1164" w:type="pct"/>
            <w:vAlign w:val="center"/>
          </w:tcPr>
          <w:p w14:paraId="76F82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Cs w:val="21"/>
              </w:rPr>
            </w:pPr>
          </w:p>
        </w:tc>
      </w:tr>
      <w:tr w14:paraId="200E0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01" w:type="pct"/>
            <w:vAlign w:val="center"/>
          </w:tcPr>
          <w:p w14:paraId="28BCA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1087" w:type="pct"/>
            <w:vAlign w:val="center"/>
          </w:tcPr>
          <w:p w14:paraId="5890C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信号发生器</w:t>
            </w:r>
          </w:p>
        </w:tc>
        <w:tc>
          <w:tcPr>
            <w:tcW w:w="2346" w:type="pct"/>
            <w:vAlign w:val="top"/>
          </w:tcPr>
          <w:p w14:paraId="00434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rFonts w:hint="eastAsia"/>
                <w:szCs w:val="21"/>
                <w:lang w:val="zh-TW" w:eastAsia="zh-TW"/>
              </w:rPr>
            </w:pPr>
            <w:r>
              <w:rPr>
                <w:rFonts w:hint="eastAsia"/>
                <w:szCs w:val="21"/>
              </w:rPr>
              <w:t>输出</w:t>
            </w:r>
            <w:r>
              <w:rPr>
                <w:rFonts w:hint="eastAsia"/>
                <w:szCs w:val="21"/>
                <w:lang w:val="en-US" w:eastAsia="zh-CN"/>
              </w:rPr>
              <w:t>电压</w:t>
            </w:r>
            <w:r>
              <w:rPr>
                <w:rFonts w:hint="eastAsia"/>
                <w:szCs w:val="21"/>
                <w:lang w:val="zh-TW" w:eastAsia="zh-TW"/>
              </w:rPr>
              <w:t>范围</w:t>
            </w:r>
            <w:r>
              <w:rPr>
                <w:rFonts w:hint="eastAsia"/>
                <w:szCs w:val="21"/>
                <w:lang w:val="zh-TW" w:eastAsia="zh-CN"/>
              </w:rPr>
              <w:t>：</w:t>
            </w:r>
            <w:r>
              <w:rPr>
                <w:rFonts w:hint="eastAsia"/>
                <w:szCs w:val="21"/>
              </w:rPr>
              <w:t>-1</w:t>
            </w:r>
            <w:r>
              <w:rPr>
                <w:rFonts w:hint="eastAsia"/>
                <w:szCs w:val="21"/>
                <w:lang w:val="zh-TW" w:eastAsia="zh-TW"/>
              </w:rPr>
              <w:t>0V～</w:t>
            </w:r>
            <w:r>
              <w:rPr>
                <w:rFonts w:hint="eastAsia"/>
                <w:szCs w:val="21"/>
              </w:rPr>
              <w:t>+10</w:t>
            </w:r>
            <w:r>
              <w:rPr>
                <w:rFonts w:hint="eastAsia"/>
                <w:szCs w:val="21"/>
                <w:lang w:val="zh-TW" w:eastAsia="zh-TW"/>
              </w:rPr>
              <w:t>V</w:t>
            </w:r>
            <w:r>
              <w:rPr>
                <w:rFonts w:hint="eastAsia"/>
                <w:szCs w:val="21"/>
                <w:lang w:val="zh-TW"/>
              </w:rPr>
              <w:t>，</w:t>
            </w:r>
            <w:r>
              <w:rPr>
                <w:rFonts w:hint="eastAsia"/>
                <w:szCs w:val="21"/>
                <w:lang w:val="en-US" w:eastAsia="zh-CN"/>
              </w:rPr>
              <w:t>MPE：</w:t>
            </w:r>
            <w:r>
              <w:rPr>
                <w:rFonts w:hint="eastAsia"/>
                <w:szCs w:val="21"/>
                <w:lang w:val="zh-TW"/>
              </w:rPr>
              <w:t>±0.5</w:t>
            </w:r>
            <w:r>
              <w:rPr>
                <w:rFonts w:hint="eastAsia"/>
                <w:szCs w:val="21"/>
              </w:rPr>
              <w:t>%</w:t>
            </w:r>
            <w:r>
              <w:rPr>
                <w:rFonts w:hint="eastAsia"/>
                <w:szCs w:val="21"/>
                <w:lang w:val="zh-TW" w:eastAsia="zh-TW"/>
              </w:rPr>
              <w:t>；</w:t>
            </w:r>
          </w:p>
          <w:p w14:paraId="54E7B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rFonts w:hint="eastAsia"/>
                <w:szCs w:val="21"/>
                <w:lang w:val="zh-TW" w:eastAsia="zh-TW"/>
              </w:rPr>
            </w:pPr>
            <w:r>
              <w:rPr>
                <w:rFonts w:hint="eastAsia"/>
                <w:szCs w:val="21"/>
              </w:rPr>
              <w:t>输出</w:t>
            </w:r>
            <w:r>
              <w:rPr>
                <w:rFonts w:hint="eastAsia"/>
                <w:szCs w:val="21"/>
                <w:lang w:val="zh-TW" w:eastAsia="zh-TW"/>
              </w:rPr>
              <w:t>频率范围：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zh-TW" w:eastAsia="zh-TW"/>
              </w:rPr>
              <w:t>Hz～1MHz</w:t>
            </w:r>
            <w:r>
              <w:rPr>
                <w:rFonts w:hint="eastAsia"/>
                <w:szCs w:val="21"/>
                <w:lang w:val="zh-TW"/>
              </w:rPr>
              <w:t>，</w:t>
            </w:r>
            <w:r>
              <w:rPr>
                <w:rFonts w:hint="eastAsia"/>
                <w:szCs w:val="21"/>
                <w:lang w:val="en-US" w:eastAsia="zh-CN"/>
              </w:rPr>
              <w:t>MPE：</w:t>
            </w:r>
            <w:r>
              <w:rPr>
                <w:rFonts w:hint="eastAsia"/>
                <w:szCs w:val="21"/>
                <w:lang w:val="zh-TW"/>
              </w:rPr>
              <w:t>±0.</w:t>
            </w:r>
            <w:r>
              <w:rPr>
                <w:rFonts w:hint="eastAsia"/>
                <w:szCs w:val="21"/>
              </w:rPr>
              <w:t>1%</w:t>
            </w:r>
            <w:r>
              <w:rPr>
                <w:rFonts w:hint="eastAsia"/>
                <w:szCs w:val="21"/>
                <w:lang w:val="zh-TW"/>
              </w:rPr>
              <w:t>；</w:t>
            </w:r>
          </w:p>
          <w:p w14:paraId="0BE39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rFonts w:hint="eastAsia"/>
                <w:szCs w:val="21"/>
                <w:lang w:val="zh-TW" w:eastAsia="zh-TW"/>
              </w:rPr>
            </w:pPr>
            <w:r>
              <w:rPr>
                <w:rFonts w:hint="eastAsia"/>
                <w:szCs w:val="21"/>
                <w:lang w:val="zh-TW" w:eastAsia="zh-TW"/>
              </w:rPr>
              <w:t>每通道输出电流带载能力：≥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lang w:val="zh-TW" w:eastAsia="zh-TW"/>
              </w:rPr>
              <w:t>mA；</w:t>
            </w:r>
          </w:p>
          <w:p w14:paraId="4A885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rFonts w:hint="eastAsia"/>
                <w:szCs w:val="21"/>
                <w:lang w:val="zh-TW" w:eastAsia="zh-TW"/>
              </w:rPr>
            </w:pPr>
            <w:r>
              <w:rPr>
                <w:rFonts w:hint="eastAsia"/>
                <w:szCs w:val="21"/>
              </w:rPr>
              <w:t>正弦信号</w:t>
            </w:r>
            <w:r>
              <w:rPr>
                <w:rFonts w:hint="eastAsia"/>
                <w:szCs w:val="21"/>
                <w:lang w:val="zh-TW" w:eastAsia="zh-TW"/>
              </w:rPr>
              <w:t>频率稳定度：±0.1%；</w:t>
            </w:r>
          </w:p>
          <w:p w14:paraId="7E49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zh-TW" w:eastAsia="zh-TW"/>
              </w:rPr>
              <w:t>正弦信号幅值稳定性：±</w:t>
            </w:r>
            <w:r>
              <w:rPr>
                <w:rFonts w:hint="eastAsia"/>
                <w:szCs w:val="21"/>
              </w:rPr>
              <w:t>0.1</w:t>
            </w:r>
            <w:r>
              <w:rPr>
                <w:rFonts w:hint="eastAsia"/>
                <w:szCs w:val="21"/>
                <w:lang w:val="zh-TW" w:eastAsia="zh-TW"/>
              </w:rPr>
              <w:t>%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1164" w:type="pct"/>
            <w:vAlign w:val="top"/>
          </w:tcPr>
          <w:p w14:paraId="7D55A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rFonts w:hint="eastAsia"/>
                <w:szCs w:val="21"/>
                <w:lang w:val="zh-TW" w:eastAsia="zh-TW"/>
              </w:rPr>
            </w:pPr>
          </w:p>
        </w:tc>
      </w:tr>
      <w:tr w14:paraId="2BAF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01" w:type="pct"/>
            <w:vAlign w:val="center"/>
          </w:tcPr>
          <w:p w14:paraId="6B86B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087" w:type="pct"/>
            <w:vAlign w:val="center"/>
          </w:tcPr>
          <w:p w14:paraId="6C565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参考</w:t>
            </w:r>
            <w:r>
              <w:rPr>
                <w:rFonts w:hint="eastAsia" w:ascii="宋体" w:hAnsi="宋体"/>
                <w:szCs w:val="21"/>
              </w:rPr>
              <w:t>加速度计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套组（可选）</w:t>
            </w:r>
          </w:p>
        </w:tc>
        <w:tc>
          <w:tcPr>
            <w:tcW w:w="2346" w:type="pct"/>
          </w:tcPr>
          <w:p w14:paraId="40434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"/>
              <w:textAlignment w:val="auto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参考条件下，不确定度</w:t>
            </w:r>
            <w:r>
              <w:rPr>
                <w:rFonts w:hint="eastAsia"/>
                <w:szCs w:val="21"/>
              </w:rPr>
              <w:t>：1</w:t>
            </w:r>
            <w:r>
              <w:rPr>
                <w:szCs w:val="21"/>
              </w:rPr>
              <w:t>%</w:t>
            </w:r>
            <w:r>
              <w:rPr>
                <w:rFonts w:hAnsi="宋体"/>
                <w:szCs w:val="21"/>
              </w:rPr>
              <w:t>（</w:t>
            </w:r>
            <w:r>
              <w:rPr>
                <w:i/>
                <w:szCs w:val="21"/>
              </w:rPr>
              <w:t>k</w:t>
            </w:r>
            <w:r>
              <w:rPr>
                <w:szCs w:val="21"/>
              </w:rPr>
              <w:t>=2</w:t>
            </w:r>
            <w:r>
              <w:rPr>
                <w:rFonts w:hAnsi="宋体"/>
                <w:szCs w:val="21"/>
              </w:rPr>
              <w:t>）；</w:t>
            </w:r>
          </w:p>
          <w:p w14:paraId="34B14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bCs/>
                <w:szCs w:val="21"/>
              </w:rPr>
            </w:pPr>
            <w:r>
              <w:rPr>
                <w:rFonts w:hint="eastAsia" w:hAnsi="宋体"/>
                <w:szCs w:val="21"/>
              </w:rPr>
              <w:t>通频带</w:t>
            </w:r>
            <w:r>
              <w:rPr>
                <w:rFonts w:hAnsi="宋体"/>
                <w:szCs w:val="21"/>
              </w:rPr>
              <w:t>，不确定度</w:t>
            </w:r>
            <w:r>
              <w:rPr>
                <w:rFonts w:hint="eastAsia"/>
                <w:szCs w:val="21"/>
              </w:rPr>
              <w:t>：2</w:t>
            </w:r>
            <w:r>
              <w:rPr>
                <w:szCs w:val="21"/>
              </w:rPr>
              <w:t>%</w:t>
            </w:r>
            <w:r>
              <w:rPr>
                <w:rFonts w:hAnsi="宋体"/>
                <w:szCs w:val="21"/>
              </w:rPr>
              <w:t>（</w:t>
            </w:r>
            <w:r>
              <w:rPr>
                <w:i/>
                <w:szCs w:val="21"/>
              </w:rPr>
              <w:t>k</w:t>
            </w:r>
            <w:r>
              <w:rPr>
                <w:szCs w:val="21"/>
              </w:rPr>
              <w:t>=2</w:t>
            </w:r>
            <w:r>
              <w:rPr>
                <w:rFonts w:hAnsi="宋体"/>
                <w:szCs w:val="21"/>
              </w:rPr>
              <w:t>）</w:t>
            </w:r>
            <w:r>
              <w:rPr>
                <w:rFonts w:hint="eastAsia" w:hAnsi="宋体"/>
                <w:szCs w:val="21"/>
              </w:rPr>
              <w:t>。</w:t>
            </w:r>
          </w:p>
        </w:tc>
        <w:tc>
          <w:tcPr>
            <w:tcW w:w="1164" w:type="pct"/>
          </w:tcPr>
          <w:p w14:paraId="7F778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hAnsi="宋体"/>
                <w:szCs w:val="21"/>
              </w:rPr>
            </w:pPr>
          </w:p>
        </w:tc>
      </w:tr>
      <w:tr w14:paraId="50C7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01" w:type="pct"/>
            <w:vAlign w:val="center"/>
          </w:tcPr>
          <w:p w14:paraId="40F50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1087" w:type="pct"/>
            <w:vAlign w:val="center"/>
          </w:tcPr>
          <w:p w14:paraId="573A7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动态信号分析仪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（可选）</w:t>
            </w:r>
          </w:p>
        </w:tc>
        <w:tc>
          <w:tcPr>
            <w:tcW w:w="2346" w:type="pct"/>
          </w:tcPr>
          <w:p w14:paraId="0A407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1"/>
              </w:rPr>
            </w:pPr>
            <w:r>
              <w:rPr>
                <w:rFonts w:hAnsi="宋体"/>
                <w:szCs w:val="21"/>
              </w:rPr>
              <w:t>频率范围：（</w:t>
            </w:r>
            <w:r>
              <w:rPr>
                <w:szCs w:val="21"/>
              </w:rPr>
              <w:t>0.1~10k</w:t>
            </w:r>
            <w:r>
              <w:rPr>
                <w:rFonts w:hAnsi="宋体"/>
                <w:szCs w:val="21"/>
              </w:rPr>
              <w:t>）</w:t>
            </w:r>
            <w:r>
              <w:rPr>
                <w:szCs w:val="21"/>
              </w:rPr>
              <w:t>Hz</w:t>
            </w:r>
            <w:r>
              <w:rPr>
                <w:rFonts w:hint="eastAsia"/>
                <w:szCs w:val="21"/>
              </w:rPr>
              <w:t>；</w:t>
            </w:r>
          </w:p>
          <w:p w14:paraId="11D0C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频率最大允许误差</w:t>
            </w:r>
            <w:r>
              <w:rPr>
                <w:rFonts w:hAnsi="宋体"/>
                <w:szCs w:val="21"/>
              </w:rPr>
              <w:t>：</w:t>
            </w:r>
            <w:r>
              <w:rPr>
                <w:szCs w:val="21"/>
              </w:rPr>
              <w:t>±0.01%</w:t>
            </w:r>
            <w:r>
              <w:rPr>
                <w:rFonts w:hint="eastAsia"/>
                <w:szCs w:val="21"/>
              </w:rPr>
              <w:t>；</w:t>
            </w:r>
          </w:p>
          <w:p w14:paraId="27DCE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交流电压测量</w:t>
            </w:r>
            <w:r>
              <w:rPr>
                <w:szCs w:val="21"/>
              </w:rPr>
              <w:t>最大允许误差：±0.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1164" w:type="pct"/>
          </w:tcPr>
          <w:p w14:paraId="62CA5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Cs w:val="21"/>
              </w:rPr>
            </w:pPr>
          </w:p>
        </w:tc>
      </w:tr>
      <w:tr w14:paraId="3BF0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01" w:type="pct"/>
            <w:vAlign w:val="center"/>
          </w:tcPr>
          <w:p w14:paraId="2234D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1087" w:type="pct"/>
            <w:vAlign w:val="center"/>
          </w:tcPr>
          <w:p w14:paraId="735A2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IEPE适调器</w:t>
            </w:r>
          </w:p>
        </w:tc>
        <w:tc>
          <w:tcPr>
            <w:tcW w:w="2346" w:type="pct"/>
          </w:tcPr>
          <w:p w14:paraId="08264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频率范围：（0.5-30k）Hz；</w:t>
            </w:r>
          </w:p>
          <w:p w14:paraId="746C1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精度：±1%；</w:t>
            </w:r>
          </w:p>
          <w:p w14:paraId="4866C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增益：1。</w:t>
            </w:r>
          </w:p>
        </w:tc>
        <w:tc>
          <w:tcPr>
            <w:tcW w:w="1164" w:type="pct"/>
          </w:tcPr>
          <w:p w14:paraId="2B7F8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2D87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01" w:type="pct"/>
            <w:vAlign w:val="center"/>
          </w:tcPr>
          <w:p w14:paraId="49AF4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1087" w:type="pct"/>
            <w:vAlign w:val="center"/>
          </w:tcPr>
          <w:p w14:paraId="0890B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力锤</w:t>
            </w:r>
          </w:p>
        </w:tc>
        <w:tc>
          <w:tcPr>
            <w:tcW w:w="2346" w:type="pct"/>
          </w:tcPr>
          <w:p w14:paraId="4FFF6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量程：1kN；</w:t>
            </w:r>
          </w:p>
          <w:p w14:paraId="49E77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力锤激励产生的振动达到被测传感器满量程的10%</w:t>
            </w:r>
            <w:r>
              <w:rPr>
                <w:rFonts w:hint="eastAsia"/>
                <w:szCs w:val="21"/>
                <w:lang w:val="en-US" w:eastAsia="zh-CN"/>
              </w:rPr>
              <w:t>。</w:t>
            </w:r>
          </w:p>
        </w:tc>
        <w:tc>
          <w:tcPr>
            <w:tcW w:w="1164" w:type="pct"/>
            <w:vAlign w:val="center"/>
          </w:tcPr>
          <w:p w14:paraId="5FCBB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配橡胶、尼龙、铝和不锈钢缓冲头</w:t>
            </w:r>
          </w:p>
        </w:tc>
      </w:tr>
    </w:tbl>
    <w:p w14:paraId="1752D488">
      <w:pPr>
        <w:pStyle w:val="4"/>
        <w:numPr>
          <w:ilvl w:val="0"/>
          <w:numId w:val="5"/>
        </w:numPr>
        <w:bidi w:val="0"/>
        <w:rPr>
          <w:b/>
          <w:lang w:val="en-US" w:eastAsia="zh-CN"/>
        </w:rPr>
      </w:pPr>
      <w:bookmarkStart w:id="0" w:name="_GoBack"/>
      <w:bookmarkEnd w:id="0"/>
      <w:r>
        <w:rPr>
          <w:b/>
          <w:lang w:val="en-US" w:eastAsia="zh-CN"/>
        </w:rPr>
        <w:t>验证试验的情况和结果</w:t>
      </w:r>
    </w:p>
    <w:p w14:paraId="3304E839">
      <w:pPr>
        <w:pStyle w:val="21"/>
        <w:widowControl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16"/>
          <w:rFonts w:ascii="宋体" w:hAnsi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16"/>
          <w:rFonts w:ascii="宋体" w:hAnsi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通过试验手段来验证本标准的技术方法。通过大量试验，证明对标准仪器的选择，校准点的选择以及采用的校准方法是正确可行的。选择不同型号、生产厂家</w:t>
      </w:r>
      <w:r>
        <w:rPr>
          <w:rStyle w:val="16"/>
          <w:rFonts w:hint="eastAsia" w:ascii="宋体" w:hAnsi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的被校</w:t>
      </w:r>
      <w:r>
        <w:rPr>
          <w:rStyle w:val="16"/>
          <w:rFonts w:ascii="宋体" w:hAnsi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装置进行试验，具体试验结果见试验验证报告。 </w:t>
      </w:r>
    </w:p>
    <w:p w14:paraId="1C0F3DE0">
      <w:pPr>
        <w:pStyle w:val="4"/>
        <w:numPr>
          <w:ilvl w:val="0"/>
          <w:numId w:val="5"/>
        </w:numPr>
      </w:pPr>
      <w:r>
        <w:t>与国外同类标准水平的对比分析</w:t>
      </w:r>
    </w:p>
    <w:p w14:paraId="0C89C370">
      <w:pPr>
        <w:pStyle w:val="21"/>
        <w:rPr>
          <w:rStyle w:val="16"/>
          <w:rFonts w:ascii="宋体" w:hAnsi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16"/>
          <w:rFonts w:ascii="宋体" w:hAnsi="宋体"/>
        </w:rPr>
        <w:t>未查到国内外相同标准</w:t>
      </w:r>
      <w:r>
        <w:rPr>
          <w:rStyle w:val="16"/>
          <w:rFonts w:hint="eastAsia" w:ascii="宋体" w:hAnsi="宋体"/>
        </w:rPr>
        <w:t>。</w:t>
      </w:r>
    </w:p>
    <w:sectPr>
      <w:headerReference r:id="rId3" w:type="default"/>
      <w:footerReference r:id="rId4" w:type="default"/>
      <w:footerReference r:id="rId5" w:type="even"/>
      <w:type w:val="continuous"/>
      <w:pgSz w:w="11906" w:h="16838"/>
      <w:pgMar w:top="1440" w:right="1080" w:bottom="1440" w:left="1080" w:header="851" w:footer="992" w:gutter="0"/>
      <w:lnNumType w:countBy="0"/>
      <w:cols w:space="425" w:num="1"/>
      <w:titlePg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3DCF5">
    <w:pPr>
      <w:pStyle w:val="9"/>
      <w:framePr w:wrap="around" w:vAnchor="margin" w:hAnchor="text" w:xAlign="center" w:y="1"/>
      <w:widowControl/>
      <w:snapToGrid w:val="0"/>
      <w:jc w:val="left"/>
      <w:textAlignment w:val="baseline"/>
      <w:rPr>
        <w:rStyle w:val="18"/>
        <w:kern w:val="2"/>
        <w:sz w:val="18"/>
        <w:szCs w:val="18"/>
        <w:lang w:val="en-US" w:eastAsia="zh-CN" w:bidi="ar-SA"/>
      </w:rPr>
    </w:pPr>
  </w:p>
  <w:p w14:paraId="221DEDC9">
    <w:pPr>
      <w:pStyle w:val="9"/>
      <w:widowControl/>
      <w:snapToGrid w:val="0"/>
      <w:jc w:val="left"/>
      <w:textAlignment w:val="baseline"/>
      <w:rPr>
        <w:rStyle w:val="16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4A7A2">
    <w:pPr>
      <w:pStyle w:val="9"/>
      <w:framePr w:wrap="around" w:vAnchor="margin" w:hAnchor="text" w:xAlign="center" w:y="1"/>
      <w:widowControl/>
      <w:snapToGrid w:val="0"/>
      <w:jc w:val="left"/>
      <w:textAlignment w:val="baseline"/>
      <w:rPr>
        <w:rStyle w:val="18"/>
        <w:kern w:val="2"/>
        <w:sz w:val="18"/>
        <w:szCs w:val="18"/>
        <w:lang w:val="en-US" w:eastAsia="zh-CN" w:bidi="ar-SA"/>
      </w:rPr>
    </w:pPr>
  </w:p>
  <w:p w14:paraId="53438F24">
    <w:pPr>
      <w:pStyle w:val="9"/>
      <w:widowControl/>
      <w:snapToGrid w:val="0"/>
      <w:jc w:val="left"/>
      <w:textAlignment w:val="baseline"/>
      <w:rPr>
        <w:rStyle w:val="16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64327">
    <w:pPr>
      <w:pStyle w:val="10"/>
      <w:widowControl/>
      <w:pBdr>
        <w:bottom w:val="none" w:color="auto" w:sz="0" w:space="0"/>
      </w:pBdr>
      <w:snapToGrid w:val="0"/>
      <w:jc w:val="center"/>
      <w:textAlignment w:val="baseline"/>
      <w:rPr>
        <w:rStyle w:val="16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F22BC5"/>
    <w:multiLevelType w:val="multilevel"/>
    <w:tmpl w:val="41F22BC5"/>
    <w:lvl w:ilvl="0" w:tentative="0">
      <w:start w:val="1"/>
      <w:numFmt w:val="japaneseCounting"/>
      <w:lvlText w:val="%1、"/>
      <w:lvlJc w:val="left"/>
      <w:pPr>
        <w:widowControl/>
        <w:ind w:left="480" w:hanging="480"/>
        <w:textAlignment w:val="baseline"/>
      </w:pPr>
      <w:rPr>
        <w:rStyle w:val="16"/>
      </w:rPr>
    </w:lvl>
    <w:lvl w:ilvl="1" w:tentative="0">
      <w:start w:val="1"/>
      <w:numFmt w:val="lowerLetter"/>
      <w:lvlText w:val="%1)"/>
      <w:lvlJc w:val="left"/>
      <w:pPr>
        <w:widowControl/>
        <w:ind w:left="840" w:hanging="420"/>
        <w:textAlignment w:val="baseline"/>
      </w:pPr>
      <w:rPr>
        <w:rStyle w:val="16"/>
      </w:rPr>
    </w:lvl>
    <w:lvl w:ilvl="2" w:tentative="0">
      <w:start w:val="1"/>
      <w:numFmt w:val="lowerRoman"/>
      <w:lvlText w:val="%1."/>
      <w:lvlJc w:val="right"/>
      <w:pPr>
        <w:widowControl/>
        <w:ind w:left="1260" w:hanging="420"/>
        <w:textAlignment w:val="baseline"/>
      </w:pPr>
      <w:rPr>
        <w:rStyle w:val="16"/>
      </w:rPr>
    </w:lvl>
    <w:lvl w:ilvl="3" w:tentative="0">
      <w:start w:val="1"/>
      <w:numFmt w:val="decimal"/>
      <w:lvlText w:val="%1."/>
      <w:lvlJc w:val="left"/>
      <w:pPr>
        <w:widowControl/>
        <w:ind w:left="1680" w:hanging="420"/>
        <w:textAlignment w:val="baseline"/>
      </w:pPr>
      <w:rPr>
        <w:rStyle w:val="16"/>
      </w:rPr>
    </w:lvl>
    <w:lvl w:ilvl="4" w:tentative="0">
      <w:start w:val="1"/>
      <w:numFmt w:val="lowerLetter"/>
      <w:lvlText w:val="%1)"/>
      <w:lvlJc w:val="left"/>
      <w:pPr>
        <w:widowControl/>
        <w:ind w:left="2100" w:hanging="420"/>
        <w:textAlignment w:val="baseline"/>
      </w:pPr>
      <w:rPr>
        <w:rStyle w:val="16"/>
      </w:rPr>
    </w:lvl>
    <w:lvl w:ilvl="5" w:tentative="0">
      <w:start w:val="1"/>
      <w:numFmt w:val="lowerRoman"/>
      <w:lvlText w:val="%1."/>
      <w:lvlJc w:val="right"/>
      <w:pPr>
        <w:widowControl/>
        <w:ind w:left="2520" w:hanging="420"/>
        <w:textAlignment w:val="baseline"/>
      </w:pPr>
      <w:rPr>
        <w:rStyle w:val="16"/>
      </w:rPr>
    </w:lvl>
    <w:lvl w:ilvl="6" w:tentative="0">
      <w:start w:val="1"/>
      <w:numFmt w:val="decimal"/>
      <w:lvlText w:val="%1."/>
      <w:lvlJc w:val="left"/>
      <w:pPr>
        <w:widowControl/>
        <w:ind w:left="2940" w:hanging="420"/>
        <w:textAlignment w:val="baseline"/>
      </w:pPr>
      <w:rPr>
        <w:rStyle w:val="16"/>
      </w:rPr>
    </w:lvl>
    <w:lvl w:ilvl="7" w:tentative="0">
      <w:start w:val="1"/>
      <w:numFmt w:val="lowerLetter"/>
      <w:lvlText w:val="%1)"/>
      <w:lvlJc w:val="left"/>
      <w:pPr>
        <w:widowControl/>
        <w:ind w:left="3360" w:hanging="420"/>
        <w:textAlignment w:val="baseline"/>
      </w:pPr>
      <w:rPr>
        <w:rStyle w:val="16"/>
      </w:rPr>
    </w:lvl>
    <w:lvl w:ilvl="8" w:tentative="0">
      <w:start w:val="1"/>
      <w:numFmt w:val="lowerRoman"/>
      <w:lvlText w:val="%1."/>
      <w:lvlJc w:val="right"/>
      <w:pPr>
        <w:widowControl/>
        <w:ind w:left="3780" w:hanging="420"/>
        <w:textAlignment w:val="baseline"/>
      </w:pPr>
      <w:rPr>
        <w:rStyle w:val="16"/>
      </w:rPr>
    </w:lvl>
  </w:abstractNum>
  <w:abstractNum w:abstractNumId="1">
    <w:nsid w:val="496E4D7B"/>
    <w:multiLevelType w:val="multilevel"/>
    <w:tmpl w:val="496E4D7B"/>
    <w:lvl w:ilvl="0" w:tentative="0">
      <w:start w:val="1"/>
      <w:numFmt w:val="decimal"/>
      <w:pStyle w:val="33"/>
      <w:lvlText w:val="%1注"/>
      <w:lvlJc w:val="left"/>
      <w:pPr>
        <w:widowControl/>
        <w:ind w:left="900" w:hanging="500"/>
        <w:textAlignment w:val="baseline"/>
      </w:pPr>
      <w:rPr>
        <w:rFonts w:ascii="宋体" w:hAnsi="Times New Roman" w:eastAsia="宋体"/>
        <w:b w:val="0"/>
        <w:i w:val="0"/>
        <w:sz w:val="18"/>
      </w:rPr>
    </w:lvl>
    <w:lvl w:ilvl="1" w:tentative="0">
      <w:start w:val="1"/>
      <w:numFmt w:val="lowerLetter"/>
      <w:lvlText w:val="%1)"/>
      <w:lvlJc w:val="left"/>
      <w:pPr>
        <w:widowControl/>
        <w:ind w:left="840" w:hanging="420"/>
        <w:textAlignment w:val="baseline"/>
      </w:pPr>
    </w:lvl>
    <w:lvl w:ilvl="2" w:tentative="0">
      <w:start w:val="1"/>
      <w:numFmt w:val="lowerRoman"/>
      <w:lvlText w:val="%1."/>
      <w:lvlJc w:val="right"/>
      <w:pPr>
        <w:widowControl/>
        <w:ind w:left="1260" w:hanging="420"/>
        <w:textAlignment w:val="baseline"/>
      </w:pPr>
    </w:lvl>
    <w:lvl w:ilvl="3" w:tentative="0">
      <w:start w:val="1"/>
      <w:numFmt w:val="decimal"/>
      <w:lvlText w:val="%1."/>
      <w:lvlJc w:val="left"/>
      <w:pPr>
        <w:widowControl/>
        <w:ind w:left="1680" w:hanging="420"/>
        <w:textAlignment w:val="baseline"/>
      </w:pPr>
    </w:lvl>
    <w:lvl w:ilvl="4" w:tentative="0">
      <w:start w:val="1"/>
      <w:numFmt w:val="lowerLetter"/>
      <w:lvlText w:val="%1)"/>
      <w:lvlJc w:val="left"/>
      <w:pPr>
        <w:widowControl/>
        <w:ind w:left="2100" w:hanging="420"/>
        <w:textAlignment w:val="baseline"/>
      </w:pPr>
    </w:lvl>
    <w:lvl w:ilvl="5" w:tentative="0">
      <w:start w:val="1"/>
      <w:numFmt w:val="lowerRoman"/>
      <w:lvlText w:val="%1."/>
      <w:lvlJc w:val="right"/>
      <w:pPr>
        <w:widowControl/>
        <w:ind w:left="2520" w:hanging="420"/>
        <w:textAlignment w:val="baseline"/>
      </w:pPr>
    </w:lvl>
    <w:lvl w:ilvl="6" w:tentative="0">
      <w:start w:val="1"/>
      <w:numFmt w:val="decimal"/>
      <w:lvlText w:val="%1."/>
      <w:lvlJc w:val="left"/>
      <w:pPr>
        <w:widowControl/>
        <w:ind w:left="2940" w:hanging="420"/>
        <w:textAlignment w:val="baseline"/>
      </w:pPr>
    </w:lvl>
    <w:lvl w:ilvl="7" w:tentative="0">
      <w:start w:val="1"/>
      <w:numFmt w:val="lowerLetter"/>
      <w:lvlText w:val="%1)"/>
      <w:lvlJc w:val="left"/>
      <w:pPr>
        <w:widowControl/>
        <w:ind w:left="3360" w:hanging="420"/>
        <w:textAlignment w:val="baseline"/>
      </w:pPr>
    </w:lvl>
    <w:lvl w:ilvl="8" w:tentative="0">
      <w:start w:val="1"/>
      <w:numFmt w:val="lowerRoman"/>
      <w:lvlText w:val="%1."/>
      <w:lvlJc w:val="right"/>
      <w:pPr>
        <w:widowControl/>
        <w:ind w:left="3780" w:hanging="420"/>
        <w:textAlignment w:val="baseline"/>
      </w:pPr>
    </w:lvl>
  </w:abstractNum>
  <w:abstractNum w:abstractNumId="2">
    <w:nsid w:val="54632751"/>
    <w:multiLevelType w:val="multilevel"/>
    <w:tmpl w:val="54632751"/>
    <w:lvl w:ilvl="0" w:tentative="0">
      <w:start w:val="1"/>
      <w:numFmt w:val="decimal"/>
      <w:pStyle w:val="34"/>
      <w:suff w:val="nothing"/>
      <w:lvlText w:val="——"/>
      <w:lvlJc w:val="left"/>
      <w:pPr>
        <w:widowControl/>
        <w:ind w:left="1588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widowControl/>
        <w:ind w:left="1588" w:firstLine="0"/>
        <w:textAlignment w:val="baseline"/>
      </w:pPr>
      <w:rPr>
        <w:rFonts w:ascii="黑体" w:hAnsi="Times New Roman" w:eastAsia="黑体"/>
        <w:b w:val="0"/>
        <w:i w:val="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widowControl/>
        <w:ind w:left="1588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widowControl/>
        <w:ind w:left="1588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widowControl/>
        <w:ind w:left="1588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widowControl/>
        <w:ind w:left="1588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widowControl/>
        <w:ind w:left="1588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widowControl/>
        <w:ind w:left="5982" w:hanging="1418"/>
        <w:textAlignment w:val="baseline"/>
      </w:pPr>
    </w:lvl>
    <w:lvl w:ilvl="8" w:tentative="0">
      <w:start w:val="1"/>
      <w:numFmt w:val="decimal"/>
      <w:lvlText w:val="%1.%2.%3.%4.%5.%6.%7.%8.%9"/>
      <w:lvlJc w:val="left"/>
      <w:pPr>
        <w:widowControl/>
        <w:ind w:left="6690" w:hanging="1700"/>
        <w:textAlignment w:val="baseline"/>
      </w:pPr>
    </w:lvl>
  </w:abstractNum>
  <w:abstractNum w:abstractNumId="3">
    <w:nsid w:val="646260FA"/>
    <w:multiLevelType w:val="multilevel"/>
    <w:tmpl w:val="646260FA"/>
    <w:lvl w:ilvl="0" w:tentative="0">
      <w:start w:val="1"/>
      <w:numFmt w:val="decimal"/>
      <w:pStyle w:val="25"/>
      <w:suff w:val="nothing"/>
      <w:lvlText w:val="表%1　"/>
      <w:lvlJc w:val="left"/>
      <w:pPr>
        <w:widowControl/>
        <w:ind w:left="0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widowControl/>
        <w:ind w:left="992" w:hanging="567"/>
        <w:textAlignment w:val="baseline"/>
      </w:pPr>
    </w:lvl>
    <w:lvl w:ilvl="2" w:tentative="0">
      <w:start w:val="1"/>
      <w:numFmt w:val="decimal"/>
      <w:lvlText w:val="%1.%2.%3"/>
      <w:lvlJc w:val="left"/>
      <w:pPr>
        <w:widowControl/>
        <w:ind w:left="1418" w:hanging="567"/>
        <w:textAlignment w:val="baseline"/>
      </w:pPr>
    </w:lvl>
    <w:lvl w:ilvl="3" w:tentative="0">
      <w:start w:val="1"/>
      <w:numFmt w:val="decimal"/>
      <w:lvlText w:val="%1.%2.%3.%4"/>
      <w:lvlJc w:val="left"/>
      <w:pPr>
        <w:widowControl/>
        <w:ind w:left="1984" w:hanging="708"/>
        <w:textAlignment w:val="baseline"/>
      </w:pPr>
    </w:lvl>
    <w:lvl w:ilvl="4" w:tentative="0">
      <w:start w:val="1"/>
      <w:numFmt w:val="decimal"/>
      <w:lvlText w:val="%1.%2.%3.%4.%5"/>
      <w:lvlJc w:val="left"/>
      <w:pPr>
        <w:widowControl/>
        <w:ind w:left="2551" w:hanging="850"/>
        <w:textAlignment w:val="baseline"/>
      </w:pPr>
    </w:lvl>
    <w:lvl w:ilvl="5" w:tentative="0">
      <w:start w:val="1"/>
      <w:numFmt w:val="decimal"/>
      <w:lvlText w:val="%1.%2.%3.%4.%5.%6"/>
      <w:lvlJc w:val="left"/>
      <w:pPr>
        <w:widowControl/>
        <w:ind w:left="3260" w:hanging="1134"/>
        <w:textAlignment w:val="baseline"/>
      </w:pPr>
    </w:lvl>
    <w:lvl w:ilvl="6" w:tentative="0">
      <w:start w:val="1"/>
      <w:numFmt w:val="decimal"/>
      <w:lvlText w:val="%1.%2.%3.%4.%5.%6.%7"/>
      <w:lvlJc w:val="left"/>
      <w:pPr>
        <w:widowControl/>
        <w:ind w:left="3827" w:hanging="1276"/>
        <w:textAlignment w:val="baseline"/>
      </w:pPr>
    </w:lvl>
    <w:lvl w:ilvl="7" w:tentative="0">
      <w:start w:val="1"/>
      <w:numFmt w:val="decimal"/>
      <w:lvlText w:val="%1.%2.%3.%4.%5.%6.%7.%8"/>
      <w:lvlJc w:val="left"/>
      <w:pPr>
        <w:widowControl/>
        <w:ind w:left="4394" w:hanging="1418"/>
        <w:textAlignment w:val="baseline"/>
      </w:pPr>
    </w:lvl>
    <w:lvl w:ilvl="8" w:tentative="0">
      <w:start w:val="1"/>
      <w:numFmt w:val="decimal"/>
      <w:lvlText w:val="%1.%2.%3.%4.%5.%6.%7.%8.%9"/>
      <w:lvlJc w:val="left"/>
      <w:pPr>
        <w:widowControl/>
        <w:ind w:left="5102" w:hanging="1700"/>
        <w:textAlignment w:val="baseline"/>
      </w:pPr>
    </w:lvl>
  </w:abstractNum>
  <w:abstractNum w:abstractNumId="4">
    <w:nsid w:val="6CEA2025"/>
    <w:multiLevelType w:val="multilevel"/>
    <w:tmpl w:val="6CEA2025"/>
    <w:lvl w:ilvl="0" w:tentative="0">
      <w:start w:val="1"/>
      <w:numFmt w:val="decimal"/>
      <w:pStyle w:val="29"/>
      <w:suff w:val="nothing"/>
      <w:lvlText w:val="%1"/>
      <w:lvlJc w:val="left"/>
      <w:pPr>
        <w:widowControl/>
        <w:ind w:left="0" w:firstLine="0"/>
        <w:textAlignment w:val="baseline"/>
      </w:pPr>
      <w:rPr>
        <w:rFonts w:ascii="Times New Roman" w:hAnsi="Times New Roman"/>
        <w:b/>
        <w:i w:val="0"/>
        <w:sz w:val="21"/>
      </w:rPr>
    </w:lvl>
    <w:lvl w:ilvl="1" w:tentative="0">
      <w:start w:val="1"/>
      <w:numFmt w:val="decimal"/>
      <w:pStyle w:val="26"/>
      <w:suff w:val="nothing"/>
      <w:lvlText w:val="%1%2　"/>
      <w:lvlJc w:val="left"/>
      <w:pPr>
        <w:widowControl/>
        <w:ind w:left="0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27"/>
      <w:suff w:val="nothing"/>
      <w:lvlText w:val="%1%2.%3　"/>
      <w:lvlJc w:val="left"/>
      <w:pPr>
        <w:widowControl/>
        <w:ind w:left="0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8"/>
      <w:suff w:val="nothing"/>
      <w:lvlText w:val="%1%2.%3.%4　"/>
      <w:lvlJc w:val="left"/>
      <w:pPr>
        <w:widowControl/>
        <w:ind w:left="0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30"/>
      <w:suff w:val="nothing"/>
      <w:lvlText w:val="%1%2.%3.%4.%5　"/>
      <w:lvlJc w:val="left"/>
      <w:pPr>
        <w:widowControl/>
        <w:ind w:left="0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31"/>
      <w:suff w:val="nothing"/>
      <w:lvlText w:val="%1%2.%3.%4.%5.%6　"/>
      <w:lvlJc w:val="left"/>
      <w:pPr>
        <w:widowControl/>
        <w:ind w:left="0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32"/>
      <w:suff w:val="nothing"/>
      <w:lvlText w:val="%1%2.%3.%4.%5.%6.%7　"/>
      <w:lvlJc w:val="left"/>
      <w:pPr>
        <w:widowControl/>
        <w:ind w:left="0" w:firstLine="0"/>
        <w:textAlignment w:val="baseline"/>
      </w:pPr>
      <w:rPr>
        <w:rFonts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widowControl/>
        <w:ind w:left="3969" w:hanging="1418"/>
        <w:textAlignment w:val="baseline"/>
      </w:pPr>
    </w:lvl>
    <w:lvl w:ilvl="8" w:tentative="0">
      <w:start w:val="1"/>
      <w:numFmt w:val="decimal"/>
      <w:lvlText w:val="%1.%2.%3.%4.%5.%6.%7.%8.%9"/>
      <w:lvlJc w:val="left"/>
      <w:pPr>
        <w:widowControl/>
        <w:ind w:left="4677" w:hanging="1700"/>
        <w:textAlignment w:val="baseline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0004404B"/>
    <w:rsid w:val="000452CD"/>
    <w:rsid w:val="000C19A5"/>
    <w:rsid w:val="000D09E9"/>
    <w:rsid w:val="000E56CA"/>
    <w:rsid w:val="000F2BE6"/>
    <w:rsid w:val="001001AE"/>
    <w:rsid w:val="0010615C"/>
    <w:rsid w:val="001118AB"/>
    <w:rsid w:val="00121810"/>
    <w:rsid w:val="00132A4A"/>
    <w:rsid w:val="00170D0E"/>
    <w:rsid w:val="001848D1"/>
    <w:rsid w:val="001B21B6"/>
    <w:rsid w:val="001C5119"/>
    <w:rsid w:val="001C5215"/>
    <w:rsid w:val="002165B5"/>
    <w:rsid w:val="00221F76"/>
    <w:rsid w:val="00233E8D"/>
    <w:rsid w:val="002A2297"/>
    <w:rsid w:val="002B73B1"/>
    <w:rsid w:val="00312543"/>
    <w:rsid w:val="003215DB"/>
    <w:rsid w:val="00342B90"/>
    <w:rsid w:val="0035415F"/>
    <w:rsid w:val="003670FC"/>
    <w:rsid w:val="00370B9D"/>
    <w:rsid w:val="003811BC"/>
    <w:rsid w:val="003900CB"/>
    <w:rsid w:val="003A17C7"/>
    <w:rsid w:val="003C5173"/>
    <w:rsid w:val="00404DAF"/>
    <w:rsid w:val="00427FDE"/>
    <w:rsid w:val="0044068A"/>
    <w:rsid w:val="00476BBC"/>
    <w:rsid w:val="00485CF1"/>
    <w:rsid w:val="004B297A"/>
    <w:rsid w:val="004C6DBD"/>
    <w:rsid w:val="004D5230"/>
    <w:rsid w:val="004F0C1F"/>
    <w:rsid w:val="004F3BFF"/>
    <w:rsid w:val="005240F4"/>
    <w:rsid w:val="005A502F"/>
    <w:rsid w:val="005B0E23"/>
    <w:rsid w:val="006364B9"/>
    <w:rsid w:val="00644310"/>
    <w:rsid w:val="00661AE2"/>
    <w:rsid w:val="006D4ABF"/>
    <w:rsid w:val="006E26C7"/>
    <w:rsid w:val="00740DAF"/>
    <w:rsid w:val="007627A6"/>
    <w:rsid w:val="00777466"/>
    <w:rsid w:val="00783491"/>
    <w:rsid w:val="007A1293"/>
    <w:rsid w:val="007A5505"/>
    <w:rsid w:val="007B3BFA"/>
    <w:rsid w:val="007E067C"/>
    <w:rsid w:val="007F7935"/>
    <w:rsid w:val="00822940"/>
    <w:rsid w:val="00883F49"/>
    <w:rsid w:val="008A1AD4"/>
    <w:rsid w:val="008D033B"/>
    <w:rsid w:val="00965106"/>
    <w:rsid w:val="009E5C8F"/>
    <w:rsid w:val="00A03C74"/>
    <w:rsid w:val="00A5109F"/>
    <w:rsid w:val="00A52528"/>
    <w:rsid w:val="00A7257B"/>
    <w:rsid w:val="00A87282"/>
    <w:rsid w:val="00A9748F"/>
    <w:rsid w:val="00AA4692"/>
    <w:rsid w:val="00B52A15"/>
    <w:rsid w:val="00BB1DA1"/>
    <w:rsid w:val="00BD56D6"/>
    <w:rsid w:val="00C512A9"/>
    <w:rsid w:val="00C833BB"/>
    <w:rsid w:val="00CD0DDF"/>
    <w:rsid w:val="00CF588C"/>
    <w:rsid w:val="00D34C4F"/>
    <w:rsid w:val="00D5384F"/>
    <w:rsid w:val="00D82742"/>
    <w:rsid w:val="00D8513C"/>
    <w:rsid w:val="00DE466F"/>
    <w:rsid w:val="00E07C26"/>
    <w:rsid w:val="00E15721"/>
    <w:rsid w:val="00E748A1"/>
    <w:rsid w:val="00EA09A4"/>
    <w:rsid w:val="00EF15D3"/>
    <w:rsid w:val="00F13C38"/>
    <w:rsid w:val="00F44B73"/>
    <w:rsid w:val="00F62DCA"/>
    <w:rsid w:val="00FD2A88"/>
    <w:rsid w:val="00FD5460"/>
    <w:rsid w:val="00FE0CCD"/>
    <w:rsid w:val="056E44C0"/>
    <w:rsid w:val="19942687"/>
    <w:rsid w:val="1F60624E"/>
    <w:rsid w:val="224A47B2"/>
    <w:rsid w:val="3C840E78"/>
    <w:rsid w:val="495C2488"/>
    <w:rsid w:val="5F730B1A"/>
    <w:rsid w:val="69BE2739"/>
    <w:rsid w:val="772E0B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0"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link w:val="38"/>
    <w:qFormat/>
    <w:uiPriority w:val="0"/>
    <w:pPr>
      <w:jc w:val="center"/>
      <w:textAlignment w:val="baseline"/>
    </w:pPr>
    <w:rPr>
      <w:rFonts w:ascii="Cambria" w:hAnsi="Cambria" w:eastAsia="黑体"/>
      <w:kern w:val="2"/>
      <w:sz w:val="24"/>
      <w:szCs w:val="20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Date"/>
    <w:basedOn w:val="1"/>
    <w:next w:val="1"/>
    <w:qFormat/>
    <w:uiPriority w:val="0"/>
    <w:pPr>
      <w:ind w:left="100" w:leftChars="2500"/>
      <w:jc w:val="both"/>
      <w:textAlignment w:val="baseline"/>
    </w:pPr>
  </w:style>
  <w:style w:type="paragraph" w:styleId="9">
    <w:name w:val="footer"/>
    <w:basedOn w:val="1"/>
    <w:qFormat/>
    <w:uiPriority w:val="0"/>
    <w:pPr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10">
    <w:name w:val="header"/>
    <w:basedOn w:val="1"/>
    <w:qFormat/>
    <w:uiPriority w:val="0"/>
    <w:pPr>
      <w:pBdr>
        <w:bottom w:val="single" w:color="000000" w:sz="6" w:space="0"/>
      </w:pBdr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11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customStyle="1" w:styleId="14">
    <w:name w:val="Heading1"/>
    <w:basedOn w:val="1"/>
    <w:next w:val="1"/>
    <w:qFormat/>
    <w:uiPriority w:val="0"/>
    <w:pPr>
      <w:keepNext/>
      <w:keepLines/>
      <w:spacing w:before="340" w:after="330" w:line="578" w:lineRule="auto"/>
      <w:jc w:val="both"/>
      <w:textAlignment w:val="baseline"/>
    </w:pPr>
    <w:rPr>
      <w:rFonts w:cs="Times New Roman"/>
      <w:b/>
      <w:bCs/>
      <w:kern w:val="44"/>
      <w:sz w:val="44"/>
      <w:szCs w:val="44"/>
      <w:lang w:val="en-US" w:eastAsia="zh-CN" w:bidi="ar-SA"/>
    </w:rPr>
  </w:style>
  <w:style w:type="paragraph" w:customStyle="1" w:styleId="15">
    <w:name w:val="Heading2"/>
    <w:basedOn w:val="1"/>
    <w:next w:val="1"/>
    <w:link w:val="42"/>
    <w:semiHidden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mbria" w:hAnsi="Cambria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6">
    <w:name w:val="NormalCharacter"/>
    <w:link w:val="1"/>
    <w:semiHidden/>
    <w:qFormat/>
    <w:uiPriority w:val="0"/>
  </w:style>
  <w:style w:type="table" w:customStyle="1" w:styleId="17">
    <w:name w:val="TableNormal"/>
    <w:semiHidden/>
    <w:qFormat/>
    <w:uiPriority w:val="0"/>
  </w:style>
  <w:style w:type="character" w:customStyle="1" w:styleId="18">
    <w:name w:val="PageNumber"/>
    <w:basedOn w:val="16"/>
    <w:link w:val="1"/>
    <w:qFormat/>
    <w:uiPriority w:val="0"/>
  </w:style>
  <w:style w:type="paragraph" w:customStyle="1" w:styleId="19">
    <w:name w:val="Acetate"/>
    <w:basedOn w:val="1"/>
    <w:semiHidden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20">
    <w:name w:val="BodyTextIndent"/>
    <w:basedOn w:val="1"/>
    <w:qFormat/>
    <w:uiPriority w:val="0"/>
    <w:pPr>
      <w:spacing w:line="360" w:lineRule="auto"/>
      <w:ind w:left="360" w:firstLine="540" w:firstLineChars="225"/>
      <w:jc w:val="both"/>
      <w:textAlignment w:val="baseline"/>
    </w:pPr>
    <w:rPr>
      <w:kern w:val="2"/>
      <w:sz w:val="24"/>
      <w:szCs w:val="24"/>
      <w:lang w:val="en-US" w:eastAsia="zh-CN" w:bidi="ar-SA"/>
    </w:rPr>
  </w:style>
  <w:style w:type="paragraph" w:customStyle="1" w:styleId="21">
    <w:name w:val="BodyTextIndent2"/>
    <w:basedOn w:val="1"/>
    <w:qFormat/>
    <w:uiPriority w:val="0"/>
    <w:pPr>
      <w:spacing w:line="360" w:lineRule="auto"/>
      <w:ind w:firstLine="480" w:firstLineChars="200"/>
      <w:jc w:val="both"/>
      <w:textAlignment w:val="baseline"/>
    </w:pPr>
    <w:rPr>
      <w:kern w:val="2"/>
      <w:sz w:val="24"/>
      <w:szCs w:val="24"/>
      <w:lang w:val="en-US" w:eastAsia="zh-CN" w:bidi="ar-SA"/>
    </w:rPr>
  </w:style>
  <w:style w:type="paragraph" w:customStyle="1" w:styleId="22">
    <w:name w:val="UserStyle_0"/>
    <w:link w:val="44"/>
    <w:qFormat/>
    <w:uiPriority w:val="0"/>
    <w:pPr>
      <w:widowControl/>
      <w:spacing w:line="300" w:lineRule="exact"/>
      <w:ind w:left="370" w:leftChars="170" w:right="-50" w:rightChars="-50" w:hanging="200" w:hangingChars="200"/>
      <w:jc w:val="both"/>
      <w:textAlignment w:val="baseline"/>
    </w:pPr>
    <w:rPr>
      <w:rFonts w:ascii="宋体" w:hAnsi="Times New Roman" w:eastAsia="宋体" w:cstheme="minorBidi"/>
      <w:sz w:val="21"/>
      <w:lang w:val="en-US" w:eastAsia="zh-CN" w:bidi="ar-SA"/>
    </w:rPr>
  </w:style>
  <w:style w:type="paragraph" w:customStyle="1" w:styleId="23">
    <w:name w:val="UserStyle_2"/>
    <w:link w:val="43"/>
    <w:qFormat/>
    <w:uiPriority w:val="0"/>
    <w:pPr>
      <w:widowControl/>
      <w:snapToGrid w:val="0"/>
      <w:spacing w:after="93" w:line="360" w:lineRule="auto"/>
      <w:ind w:right="-105" w:rightChars="-50" w:firstLine="3240" w:firstLineChars="1350"/>
      <w:jc w:val="both"/>
      <w:textAlignment w:val="baseline"/>
    </w:pPr>
    <w:rPr>
      <w:rFonts w:ascii="宋体" w:hAnsi="宋体" w:eastAsia="宋体" w:cstheme="minorBidi"/>
      <w:kern w:val="2"/>
      <w:sz w:val="24"/>
      <w:szCs w:val="24"/>
      <w:lang w:val="en-US" w:bidi="ar-SA"/>
    </w:rPr>
  </w:style>
  <w:style w:type="table" w:customStyle="1" w:styleId="24">
    <w:name w:val="TableGrid"/>
    <w:basedOn w:val="17"/>
    <w:qFormat/>
    <w:uiPriority w:val="0"/>
  </w:style>
  <w:style w:type="paragraph" w:customStyle="1" w:styleId="25">
    <w:name w:val="UserStyle_4"/>
    <w:next w:val="23"/>
    <w:qFormat/>
    <w:uiPriority w:val="0"/>
    <w:pPr>
      <w:widowControl/>
      <w:numPr>
        <w:ilvl w:val="0"/>
        <w:numId w:val="1"/>
      </w:numPr>
      <w:tabs>
        <w:tab w:val="left" w:pos="0"/>
      </w:tabs>
      <w:jc w:val="center"/>
      <w:textAlignment w:val="baseline"/>
    </w:pPr>
    <w:rPr>
      <w:rFonts w:ascii="黑体" w:hAnsi="Times New Roman" w:eastAsia="黑体" w:cstheme="minorBidi"/>
      <w:sz w:val="21"/>
      <w:lang w:val="en-US" w:eastAsia="zh-CN" w:bidi="ar-SA"/>
    </w:rPr>
  </w:style>
  <w:style w:type="paragraph" w:customStyle="1" w:styleId="26">
    <w:name w:val="UserStyle_5"/>
    <w:next w:val="23"/>
    <w:qFormat/>
    <w:uiPriority w:val="0"/>
    <w:pPr>
      <w:widowControl/>
      <w:numPr>
        <w:ilvl w:val="1"/>
        <w:numId w:val="2"/>
      </w:numPr>
      <w:ind w:left="-50" w:leftChars="-50" w:right="-50" w:rightChars="-50"/>
      <w:jc w:val="both"/>
      <w:textAlignment w:val="baseline"/>
    </w:pPr>
    <w:rPr>
      <w:rFonts w:ascii="黑体" w:hAnsi="Times New Roman" w:eastAsia="黑体" w:cstheme="minorBidi"/>
      <w:spacing w:val="2"/>
      <w:sz w:val="21"/>
      <w:lang w:val="en-US" w:eastAsia="zh-CN" w:bidi="ar-SA"/>
    </w:rPr>
  </w:style>
  <w:style w:type="paragraph" w:customStyle="1" w:styleId="27">
    <w:name w:val="UserStyle_6"/>
    <w:basedOn w:val="26"/>
    <w:next w:val="23"/>
    <w:qFormat/>
    <w:uiPriority w:val="0"/>
    <w:pPr>
      <w:widowControl/>
      <w:numPr>
        <w:ilvl w:val="2"/>
        <w:numId w:val="2"/>
      </w:numPr>
      <w:ind w:left="-50" w:leftChars="-50" w:right="-50" w:rightChars="-50"/>
      <w:jc w:val="both"/>
      <w:textAlignment w:val="baseline"/>
    </w:pPr>
  </w:style>
  <w:style w:type="paragraph" w:customStyle="1" w:styleId="28">
    <w:name w:val="UserStyle_7"/>
    <w:basedOn w:val="27"/>
    <w:next w:val="23"/>
    <w:qFormat/>
    <w:uiPriority w:val="0"/>
    <w:pPr>
      <w:widowControl/>
      <w:numPr>
        <w:ilvl w:val="3"/>
        <w:numId w:val="2"/>
      </w:numPr>
      <w:ind w:left="-50" w:leftChars="-50" w:right="-50" w:rightChars="-50"/>
      <w:jc w:val="both"/>
      <w:textAlignment w:val="baseline"/>
    </w:pPr>
  </w:style>
  <w:style w:type="paragraph" w:customStyle="1" w:styleId="29">
    <w:name w:val="UserStyle_8"/>
    <w:next w:val="1"/>
    <w:qFormat/>
    <w:uiPriority w:val="0"/>
    <w:pPr>
      <w:widowControl/>
      <w:numPr>
        <w:ilvl w:val="0"/>
        <w:numId w:val="2"/>
      </w:numPr>
      <w:shd w:val="clear" w:color="auto" w:fill="FFFFFF"/>
      <w:spacing w:before="540" w:after="600"/>
      <w:jc w:val="center"/>
      <w:textAlignment w:val="baseline"/>
    </w:pPr>
    <w:rPr>
      <w:rFonts w:ascii="黑体" w:hAnsi="Times New Roman" w:eastAsia="黑体" w:cstheme="minorBidi"/>
      <w:sz w:val="32"/>
      <w:lang w:val="en-US" w:eastAsia="zh-CN" w:bidi="ar-SA"/>
    </w:rPr>
  </w:style>
  <w:style w:type="paragraph" w:customStyle="1" w:styleId="30">
    <w:name w:val="UserStyle_9"/>
    <w:basedOn w:val="28"/>
    <w:next w:val="23"/>
    <w:qFormat/>
    <w:uiPriority w:val="0"/>
    <w:pPr>
      <w:widowControl/>
      <w:numPr>
        <w:ilvl w:val="4"/>
        <w:numId w:val="2"/>
      </w:numPr>
      <w:ind w:left="-50" w:leftChars="-50" w:right="-50" w:rightChars="-50"/>
      <w:jc w:val="both"/>
      <w:textAlignment w:val="baseline"/>
    </w:pPr>
  </w:style>
  <w:style w:type="paragraph" w:customStyle="1" w:styleId="31">
    <w:name w:val="UserStyle_10"/>
    <w:basedOn w:val="30"/>
    <w:next w:val="23"/>
    <w:qFormat/>
    <w:uiPriority w:val="0"/>
    <w:pPr>
      <w:widowControl/>
      <w:numPr>
        <w:ilvl w:val="5"/>
        <w:numId w:val="2"/>
      </w:numPr>
      <w:ind w:left="-50" w:leftChars="-50" w:right="-50" w:rightChars="-50"/>
      <w:jc w:val="both"/>
      <w:textAlignment w:val="baseline"/>
    </w:pPr>
  </w:style>
  <w:style w:type="paragraph" w:customStyle="1" w:styleId="32">
    <w:name w:val="UserStyle_11"/>
    <w:basedOn w:val="31"/>
    <w:next w:val="23"/>
    <w:qFormat/>
    <w:uiPriority w:val="0"/>
    <w:pPr>
      <w:widowControl/>
      <w:numPr>
        <w:ilvl w:val="6"/>
        <w:numId w:val="2"/>
      </w:numPr>
      <w:ind w:left="-50" w:leftChars="-50" w:right="-50" w:rightChars="-50"/>
      <w:jc w:val="both"/>
      <w:textAlignment w:val="baseline"/>
    </w:pPr>
  </w:style>
  <w:style w:type="paragraph" w:customStyle="1" w:styleId="33">
    <w:name w:val="UserStyle_12"/>
    <w:next w:val="23"/>
    <w:qFormat/>
    <w:uiPriority w:val="0"/>
    <w:pPr>
      <w:numPr>
        <w:ilvl w:val="0"/>
        <w:numId w:val="3"/>
      </w:numPr>
      <w:tabs>
        <w:tab w:val="left" w:pos="525"/>
      </w:tabs>
      <w:spacing w:line="300" w:lineRule="exact"/>
      <w:ind w:left="649" w:leftChars="150" w:right="-50" w:rightChars="-50" w:hanging="499"/>
      <w:jc w:val="both"/>
      <w:textAlignment w:val="baseline"/>
    </w:pPr>
    <w:rPr>
      <w:rFonts w:ascii="宋体" w:hAnsi="Times New Roman" w:eastAsia="宋体" w:cstheme="minorBidi"/>
      <w:sz w:val="18"/>
      <w:lang w:val="en-US" w:eastAsia="zh-CN" w:bidi="ar-SA"/>
    </w:rPr>
  </w:style>
  <w:style w:type="paragraph" w:customStyle="1" w:styleId="34">
    <w:name w:val="UserStyle_13"/>
    <w:basedOn w:val="1"/>
    <w:qFormat/>
    <w:uiPriority w:val="0"/>
    <w:pPr>
      <w:widowControl/>
      <w:numPr>
        <w:ilvl w:val="0"/>
        <w:numId w:val="4"/>
      </w:numPr>
      <w:snapToGrid w:val="0"/>
      <w:spacing w:line="300" w:lineRule="exact"/>
      <w:ind w:left="550" w:leftChars="350" w:right="-50" w:rightChars="-50" w:hanging="200" w:hangingChars="200"/>
      <w:jc w:val="left"/>
      <w:textAlignment w:val="baseline"/>
    </w:pPr>
    <w:rPr>
      <w:kern w:val="0"/>
      <w:sz w:val="21"/>
      <w:szCs w:val="20"/>
      <w:lang w:val="en-US" w:eastAsia="zh-CN" w:bidi="ar-SA"/>
    </w:rPr>
  </w:style>
  <w:style w:type="table" w:customStyle="1" w:styleId="35">
    <w:name w:val="UserStyle_14"/>
    <w:basedOn w:val="17"/>
    <w:qFormat/>
    <w:uiPriority w:val="0"/>
  </w:style>
  <w:style w:type="character" w:customStyle="1" w:styleId="36">
    <w:name w:val="AnnotationReference"/>
    <w:basedOn w:val="16"/>
    <w:link w:val="1"/>
    <w:semiHidden/>
    <w:qFormat/>
    <w:uiPriority w:val="0"/>
    <w:rPr>
      <w:sz w:val="21"/>
      <w:szCs w:val="21"/>
    </w:rPr>
  </w:style>
  <w:style w:type="paragraph" w:customStyle="1" w:styleId="37">
    <w:name w:val="UserStyle_15"/>
    <w:next w:val="1"/>
    <w:qFormat/>
    <w:uiPriority w:val="0"/>
    <w:pPr>
      <w:widowControl/>
      <w:jc w:val="center"/>
      <w:textAlignment w:val="baseline"/>
    </w:pPr>
    <w:rPr>
      <w:rFonts w:ascii="黑体" w:hAnsi="Times New Roman" w:eastAsia="黑体" w:cstheme="minorBidi"/>
      <w:sz w:val="21"/>
      <w:lang w:val="en-US" w:eastAsia="zh-CN" w:bidi="ar-SA"/>
    </w:rPr>
  </w:style>
  <w:style w:type="character" w:customStyle="1" w:styleId="38">
    <w:name w:val="UserStyle_16"/>
    <w:basedOn w:val="16"/>
    <w:link w:val="5"/>
    <w:qFormat/>
    <w:uiPriority w:val="0"/>
    <w:rPr>
      <w:rFonts w:ascii="Cambria" w:hAnsi="Cambria" w:eastAsia="黑体"/>
      <w:kern w:val="2"/>
      <w:sz w:val="24"/>
    </w:rPr>
  </w:style>
  <w:style w:type="paragraph" w:customStyle="1" w:styleId="39">
    <w:name w:val="UserStyle_17"/>
    <w:basedOn w:val="1"/>
    <w:link w:val="40"/>
    <w:qFormat/>
    <w:uiPriority w:val="0"/>
    <w:pPr>
      <w:spacing w:line="360" w:lineRule="auto"/>
      <w:ind w:firstLine="200" w:firstLineChars="200"/>
      <w:jc w:val="both"/>
      <w:textAlignment w:val="baseline"/>
    </w:pPr>
    <w:rPr>
      <w:kern w:val="2"/>
      <w:sz w:val="24"/>
      <w:szCs w:val="24"/>
      <w:lang w:val="en-US" w:eastAsia="zh-CN" w:bidi="ar-SA"/>
    </w:rPr>
  </w:style>
  <w:style w:type="character" w:customStyle="1" w:styleId="40">
    <w:name w:val="UserStyle_18"/>
    <w:basedOn w:val="16"/>
    <w:link w:val="39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41">
    <w:name w:val="AnnotationText"/>
    <w:basedOn w:val="1"/>
    <w:semiHidden/>
    <w:qFormat/>
    <w:uiPriority w:val="0"/>
    <w:pPr>
      <w:jc w:val="left"/>
      <w:textAlignment w:val="baseline"/>
    </w:pPr>
  </w:style>
  <w:style w:type="character" w:customStyle="1" w:styleId="42">
    <w:name w:val="UserStyle_19"/>
    <w:basedOn w:val="16"/>
    <w:link w:val="15"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43">
    <w:name w:val="UserStyle_3"/>
    <w:link w:val="23"/>
    <w:qFormat/>
    <w:locked/>
    <w:uiPriority w:val="0"/>
    <w:rPr>
      <w:rFonts w:ascii="宋体" w:hAnsi="宋体"/>
      <w:kern w:val="2"/>
      <w:sz w:val="24"/>
      <w:szCs w:val="24"/>
      <w:lang w:bidi="ar-SA"/>
    </w:rPr>
  </w:style>
  <w:style w:type="character" w:customStyle="1" w:styleId="44">
    <w:name w:val="UserStyle_1"/>
    <w:basedOn w:val="16"/>
    <w:link w:val="22"/>
    <w:qFormat/>
    <w:uiPriority w:val="0"/>
    <w:rPr>
      <w:rFonts w:ascii="宋体"/>
      <w:sz w:val="21"/>
      <w:lang w:val="en-US" w:eastAsia="zh-CN" w:bidi="ar-SA"/>
    </w:rPr>
  </w:style>
  <w:style w:type="paragraph" w:customStyle="1" w:styleId="45">
    <w:name w:val="179"/>
    <w:basedOn w:val="1"/>
    <w:qFormat/>
    <w:uiPriority w:val="0"/>
    <w:pPr>
      <w:ind w:firstLine="420" w:firstLineChars="200"/>
      <w:jc w:val="both"/>
      <w:textAlignment w:val="baseline"/>
    </w:pPr>
  </w:style>
  <w:style w:type="character" w:customStyle="1" w:styleId="46">
    <w:name w:val="UserStyle_20"/>
    <w:link w:val="1"/>
    <w:qFormat/>
    <w:uiPriority w:val="0"/>
    <w:rPr>
      <w:rFonts w:ascii="宋体" w:hAnsi="宋体" w:eastAsia="宋体" w:cs="Times New Roman"/>
      <w:bCs/>
      <w:sz w:val="24"/>
      <w:szCs w:val="24"/>
      <w:lang w:val="en-US" w:eastAsia="zh-CN" w:bidi="ar-SA"/>
    </w:rPr>
  </w:style>
  <w:style w:type="paragraph" w:customStyle="1" w:styleId="47">
    <w:name w:val="PlainText"/>
    <w:basedOn w:val="1"/>
    <w:link w:val="48"/>
    <w:qFormat/>
    <w:uiPriority w:val="0"/>
    <w:pPr>
      <w:jc w:val="both"/>
      <w:textAlignment w:val="baseline"/>
    </w:pPr>
    <w:rPr>
      <w:rFonts w:ascii="宋体" w:hAnsi="Courier New"/>
      <w:kern w:val="2"/>
      <w:sz w:val="21"/>
      <w:szCs w:val="20"/>
      <w:lang w:val="en-US" w:eastAsia="zh-CN" w:bidi="ar-SA"/>
    </w:rPr>
  </w:style>
  <w:style w:type="character" w:customStyle="1" w:styleId="48">
    <w:name w:val="UserStyle_21"/>
    <w:basedOn w:val="16"/>
    <w:link w:val="47"/>
    <w:qFormat/>
    <w:uiPriority w:val="0"/>
    <w:rPr>
      <w:rFonts w:ascii="宋体" w:hAnsi="Courier New"/>
      <w:kern w:val="2"/>
      <w:sz w:val="21"/>
    </w:rPr>
  </w:style>
  <w:style w:type="character" w:customStyle="1" w:styleId="49">
    <w:name w:val="UserStyle_22"/>
    <w:basedOn w:val="16"/>
    <w:link w:val="1"/>
    <w:qFormat/>
    <w:uiPriority w:val="0"/>
    <w:rPr>
      <w:rFonts w:ascii="宋体" w:hAnsi="宋体" w:eastAsia="宋体"/>
      <w:color w:val="000000"/>
      <w:sz w:val="44"/>
      <w:szCs w:val="44"/>
    </w:rPr>
  </w:style>
  <w:style w:type="character" w:customStyle="1" w:styleId="50">
    <w:name w:val="UserStyle_23"/>
    <w:basedOn w:val="16"/>
    <w:link w:val="1"/>
    <w:qFormat/>
    <w:uiPriority w:val="0"/>
    <w:rPr>
      <w:rFonts w:ascii="TimesNewRomanPSMT" w:hAnsi="TimesNewRomanPSMT"/>
      <w:color w:val="000000"/>
      <w:sz w:val="22"/>
      <w:szCs w:val="22"/>
    </w:rPr>
  </w:style>
  <w:style w:type="character" w:customStyle="1" w:styleId="51">
    <w:name w:val="正文文本缩进 Char Char"/>
    <w:qFormat/>
    <w:uiPriority w:val="0"/>
    <w:rPr>
      <w:rFonts w:ascii="Arial" w:hAnsi="Arial" w:eastAsia="宋体"/>
      <w:w w:val="98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1512</Words>
  <Characters>1674</Characters>
  <TotalTime>0</TotalTime>
  <ScaleCrop>false</ScaleCrop>
  <LinksUpToDate>false</LinksUpToDate>
  <CharactersWithSpaces>1684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2021-02-04T06:03:00Z</dcterms:created>
  <dc:creator>juan</dc:creator>
  <cp:lastModifiedBy>马树锦</cp:lastModifiedBy>
  <dcterms:modified xsi:type="dcterms:W3CDTF">2026-03-17T00:48:21Z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39DDCE8E7BF342FB85F9C7A45E7563DC</vt:lpwstr>
  </property>
  <property fmtid="{D5CDD505-2E9C-101B-9397-08002B2CF9AE}" pid="4" name="KSOTemplateDocerSaveRecord">
    <vt:lpwstr>eyJoZGlkIjoiZmUyZmFhYjZkOWI1ZDFjMzA0OGRiYzUxMTE1YTA5MzciLCJ1c2VySWQiOiI0NTI2NzgxODkifQ==</vt:lpwstr>
  </property>
</Properties>
</file>