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360" w:lineRule="auto"/>
        <w:ind w:right="210"/>
        <w:jc w:val="right"/>
        <w:rPr>
          <w:rFonts w:eastAsia="黑体"/>
          <w:spacing w:val="10"/>
          <w:sz w:val="60"/>
          <w:szCs w:val="20"/>
        </w:rPr>
      </w:pPr>
      <w:bookmarkStart w:id="0" w:name="_Toc37009632"/>
      <w:r>
        <w:drawing>
          <wp:inline distT="0" distB="0" distL="0" distR="0">
            <wp:extent cx="1847215" cy="942975"/>
            <wp:effectExtent l="0" t="0" r="0" b="9525"/>
            <wp:docPr id="1026" name="图片 1"/>
            <wp:cNvGraphicFramePr/>
            <a:graphic xmlns:a="http://schemas.openxmlformats.org/drawingml/2006/main">
              <a:graphicData uri="http://schemas.openxmlformats.org/drawingml/2006/picture">
                <pic:pic xmlns:pic="http://schemas.openxmlformats.org/drawingml/2006/picture">
                  <pic:nvPicPr>
                    <pic:cNvPr id="1026" name="图片 1"/>
                    <pic:cNvPicPr/>
                  </pic:nvPicPr>
                  <pic:blipFill>
                    <a:blip r:embed="rId17" cstate="print"/>
                    <a:srcRect/>
                    <a:stretch>
                      <a:fillRect/>
                    </a:stretch>
                  </pic:blipFill>
                  <pic:spPr>
                    <a:xfrm>
                      <a:off x="0" y="0"/>
                      <a:ext cx="1847849" cy="942975"/>
                    </a:xfrm>
                    <a:prstGeom prst="rect">
                      <a:avLst/>
                    </a:prstGeom>
                    <a:ln>
                      <a:noFill/>
                    </a:ln>
                  </pic:spPr>
                </pic:pic>
              </a:graphicData>
            </a:graphic>
          </wp:inline>
        </w:drawing>
      </w:r>
    </w:p>
    <w:p>
      <w:pPr>
        <w:jc w:val="center"/>
        <w:rPr>
          <w:rFonts w:eastAsia="方正小标宋简体"/>
          <w:b/>
          <w:spacing w:val="50"/>
          <w:kern w:val="0"/>
          <w:sz w:val="52"/>
          <w:szCs w:val="52"/>
        </w:rPr>
      </w:pPr>
      <w:r>
        <w:rPr>
          <w:rFonts w:eastAsia="方正小标宋简体"/>
          <w:b/>
          <w:spacing w:val="50"/>
          <w:kern w:val="0"/>
          <w:sz w:val="52"/>
          <w:szCs w:val="52"/>
        </w:rPr>
        <w:t>中华人民共和国国家计量技术规范</w:t>
      </w:r>
    </w:p>
    <w:p>
      <w:pPr>
        <w:pBdr>
          <w:bottom w:val="single" w:color="auto" w:sz="6" w:space="1"/>
        </w:pBdr>
        <w:wordWrap w:val="0"/>
        <w:jc w:val="right"/>
        <w:rPr>
          <w:rFonts w:eastAsia="黑体"/>
          <w:spacing w:val="10"/>
          <w:sz w:val="28"/>
        </w:rPr>
      </w:pPr>
      <w:r>
        <w:rPr>
          <w:rFonts w:eastAsia="黑体"/>
          <w:spacing w:val="10"/>
          <w:sz w:val="28"/>
        </w:rPr>
        <w:t xml:space="preserve">JJF XXXX-202X </w:t>
      </w:r>
    </w:p>
    <w:p>
      <w:pPr>
        <w:pBdr>
          <w:bottom w:val="single" w:color="auto" w:sz="6" w:space="1"/>
        </w:pBdr>
        <w:jc w:val="right"/>
        <w:rPr>
          <w:rFonts w:eastAsia="黑体"/>
          <w:spacing w:val="10"/>
          <w:sz w:val="15"/>
          <w:szCs w:val="15"/>
        </w:rPr>
      </w:pPr>
      <w:r>
        <w:rPr>
          <w:rFonts w:eastAsia="黑体"/>
          <w:spacing w:val="10"/>
          <w:sz w:val="15"/>
          <w:szCs w:val="15"/>
        </w:rPr>
        <w:t xml:space="preserve">  </w:t>
      </w:r>
    </w:p>
    <w:p>
      <w:pPr>
        <w:spacing w:line="360" w:lineRule="auto"/>
        <w:jc w:val="center"/>
        <w:rPr>
          <w:rFonts w:eastAsia="黑体"/>
          <w:spacing w:val="10"/>
          <w:sz w:val="28"/>
        </w:rPr>
      </w:pPr>
    </w:p>
    <w:p>
      <w:pPr>
        <w:spacing w:line="360" w:lineRule="auto"/>
        <w:jc w:val="center"/>
        <w:rPr>
          <w:spacing w:val="10"/>
          <w:sz w:val="24"/>
        </w:rPr>
      </w:pPr>
    </w:p>
    <w:p>
      <w:pPr>
        <w:spacing w:line="360" w:lineRule="auto"/>
        <w:jc w:val="center"/>
        <w:rPr>
          <w:spacing w:val="10"/>
          <w:sz w:val="24"/>
        </w:rPr>
      </w:pPr>
    </w:p>
    <w:p>
      <w:pPr>
        <w:spacing w:line="360" w:lineRule="auto"/>
        <w:jc w:val="center"/>
        <w:rPr>
          <w:spacing w:val="10"/>
          <w:sz w:val="24"/>
        </w:rPr>
      </w:pPr>
    </w:p>
    <w:p>
      <w:pPr>
        <w:spacing w:line="360" w:lineRule="auto"/>
        <w:jc w:val="center"/>
        <w:rPr>
          <w:rFonts w:eastAsia="黑体"/>
          <w:sz w:val="52"/>
          <w:szCs w:val="52"/>
        </w:rPr>
      </w:pPr>
      <w:bookmarkStart w:id="1" w:name="_Hlk102655881"/>
      <w:bookmarkStart w:id="2" w:name="_Hlk130818474"/>
      <w:r>
        <w:rPr>
          <w:rFonts w:hint="eastAsia" w:eastAsia="黑体"/>
          <w:sz w:val="52"/>
          <w:szCs w:val="52"/>
        </w:rPr>
        <w:t>基于毫米波雷达的边灯固定式</w:t>
      </w:r>
      <w:r>
        <w:rPr>
          <w:rFonts w:eastAsia="黑体"/>
          <w:sz w:val="52"/>
          <w:szCs w:val="52"/>
        </w:rPr>
        <w:t>机场道面外来物探测设备</w:t>
      </w:r>
      <w:bookmarkEnd w:id="1"/>
      <w:r>
        <w:rPr>
          <w:rFonts w:hint="eastAsia" w:eastAsia="黑体"/>
          <w:sz w:val="52"/>
          <w:szCs w:val="52"/>
        </w:rPr>
        <w:t>校准</w:t>
      </w:r>
      <w:r>
        <w:rPr>
          <w:rFonts w:eastAsia="黑体"/>
          <w:sz w:val="52"/>
          <w:szCs w:val="52"/>
        </w:rPr>
        <w:t>规范</w:t>
      </w:r>
    </w:p>
    <w:bookmarkEnd w:id="2"/>
    <w:p>
      <w:pPr>
        <w:spacing w:line="360" w:lineRule="auto"/>
        <w:jc w:val="center"/>
        <w:rPr>
          <w:rFonts w:eastAsia="黑体"/>
          <w:spacing w:val="10"/>
          <w:sz w:val="28"/>
          <w:szCs w:val="28"/>
        </w:rPr>
      </w:pPr>
      <w:r>
        <w:rPr>
          <w:rFonts w:eastAsia="黑体"/>
          <w:spacing w:val="10"/>
          <w:sz w:val="28"/>
          <w:szCs w:val="28"/>
        </w:rPr>
        <w:t xml:space="preserve">Calibration Specification for </w:t>
      </w:r>
      <w:r>
        <w:rPr>
          <w:rFonts w:hint="eastAsia" w:eastAsia="黑体"/>
          <w:spacing w:val="10"/>
          <w:sz w:val="28"/>
          <w:szCs w:val="28"/>
        </w:rPr>
        <w:t>Fixed of</w:t>
      </w:r>
      <w:r>
        <w:rPr>
          <w:rFonts w:eastAsia="黑体"/>
          <w:spacing w:val="10"/>
          <w:sz w:val="28"/>
          <w:szCs w:val="28"/>
        </w:rPr>
        <w:t xml:space="preserve"> </w:t>
      </w:r>
      <w:r>
        <w:rPr>
          <w:rFonts w:hint="eastAsia" w:eastAsia="黑体"/>
          <w:spacing w:val="10"/>
          <w:sz w:val="28"/>
          <w:szCs w:val="28"/>
        </w:rPr>
        <w:t>Edge-lightType</w:t>
      </w:r>
      <w:r>
        <w:rPr>
          <w:rFonts w:eastAsia="黑体"/>
          <w:spacing w:val="10"/>
          <w:sz w:val="28"/>
          <w:szCs w:val="28"/>
        </w:rPr>
        <w:t xml:space="preserve"> Airport Foreign Object Debris (FOD) Detection Equipment </w:t>
      </w:r>
      <w:r>
        <w:rPr>
          <w:rFonts w:hint="eastAsia" w:eastAsia="黑体"/>
          <w:spacing w:val="10"/>
          <w:sz w:val="28"/>
          <w:szCs w:val="28"/>
        </w:rPr>
        <w:t>Based</w:t>
      </w:r>
      <w:r>
        <w:rPr>
          <w:rFonts w:eastAsia="黑体"/>
          <w:spacing w:val="10"/>
          <w:sz w:val="28"/>
          <w:szCs w:val="28"/>
        </w:rPr>
        <w:t xml:space="preserve"> on Millimeter Wave Radar</w:t>
      </w:r>
    </w:p>
    <w:p>
      <w:pPr>
        <w:spacing w:line="360" w:lineRule="auto"/>
        <w:jc w:val="center"/>
        <w:rPr>
          <w:rFonts w:eastAsia="黑体"/>
          <w:spacing w:val="10"/>
          <w:sz w:val="32"/>
        </w:rPr>
      </w:pPr>
      <w:r>
        <w:rPr>
          <w:rFonts w:eastAsia="黑体"/>
          <w:spacing w:val="10"/>
          <w:sz w:val="32"/>
        </w:rPr>
        <w:t xml:space="preserve"> (</w:t>
      </w:r>
      <w:r>
        <w:rPr>
          <w:rFonts w:hint="eastAsia" w:eastAsia="黑体"/>
          <w:spacing w:val="10"/>
          <w:sz w:val="32"/>
        </w:rPr>
        <w:t>征求意见</w:t>
      </w:r>
      <w:r>
        <w:rPr>
          <w:rFonts w:eastAsia="黑体"/>
          <w:spacing w:val="10"/>
          <w:sz w:val="32"/>
        </w:rPr>
        <w:t>稿)</w:t>
      </w:r>
    </w:p>
    <w:p>
      <w:pPr>
        <w:spacing w:line="360" w:lineRule="auto"/>
        <w:jc w:val="center"/>
        <w:rPr>
          <w:rFonts w:eastAsia="黑体"/>
          <w:spacing w:val="10"/>
          <w:sz w:val="32"/>
        </w:rPr>
      </w:pPr>
    </w:p>
    <w:p>
      <w:pPr>
        <w:spacing w:line="360" w:lineRule="auto"/>
        <w:jc w:val="center"/>
        <w:rPr>
          <w:spacing w:val="10"/>
          <w:sz w:val="24"/>
        </w:rPr>
      </w:pPr>
    </w:p>
    <w:p>
      <w:pPr>
        <w:spacing w:line="360" w:lineRule="auto"/>
        <w:jc w:val="center"/>
        <w:rPr>
          <w:spacing w:val="10"/>
          <w:sz w:val="24"/>
        </w:rPr>
      </w:pPr>
    </w:p>
    <w:p>
      <w:pPr>
        <w:spacing w:line="360" w:lineRule="auto"/>
        <w:jc w:val="center"/>
        <w:rPr>
          <w:spacing w:val="10"/>
          <w:sz w:val="24"/>
        </w:rPr>
      </w:pPr>
    </w:p>
    <w:p>
      <w:pPr>
        <w:spacing w:line="360" w:lineRule="auto"/>
        <w:jc w:val="center"/>
        <w:rPr>
          <w:spacing w:val="10"/>
          <w:sz w:val="24"/>
        </w:rPr>
      </w:pPr>
    </w:p>
    <w:p>
      <w:pPr>
        <w:spacing w:line="360" w:lineRule="auto"/>
        <w:jc w:val="center"/>
        <w:rPr>
          <w:spacing w:val="10"/>
          <w:sz w:val="24"/>
        </w:rPr>
      </w:pPr>
    </w:p>
    <w:p>
      <w:pPr>
        <w:pBdr>
          <w:bottom w:val="single" w:color="auto" w:sz="6" w:space="1"/>
        </w:pBdr>
        <w:jc w:val="center"/>
        <w:rPr>
          <w:rFonts w:eastAsia="黑体"/>
          <w:bCs/>
          <w:spacing w:val="10"/>
          <w:sz w:val="28"/>
        </w:rPr>
      </w:pPr>
      <w:r>
        <w:rPr>
          <w:rFonts w:eastAsia="黑体"/>
          <w:bCs/>
          <w:spacing w:val="10"/>
          <w:sz w:val="28"/>
        </w:rPr>
        <w:t>202X-XX-XX发布                        202X-XX-XX实施</w:t>
      </w:r>
    </w:p>
    <w:p>
      <w:pPr>
        <w:jc w:val="center"/>
        <w:rPr>
          <w:rFonts w:eastAsia="黑体"/>
          <w:spacing w:val="10"/>
          <w:sz w:val="28"/>
          <w:szCs w:val="28"/>
        </w:rPr>
      </w:pPr>
      <w:r>
        <w:rPr>
          <w:rFonts w:eastAsia="方正小标宋简体"/>
          <w:b/>
          <w:spacing w:val="20"/>
          <w:sz w:val="44"/>
          <w:szCs w:val="44"/>
        </w:rPr>
        <w:t>国家市场监督管理总局</w:t>
      </w:r>
      <w:r>
        <w:rPr>
          <w:rFonts w:eastAsia="黑体"/>
          <w:spacing w:val="10"/>
          <w:sz w:val="28"/>
        </w:rPr>
        <w:t xml:space="preserve"> </w:t>
      </w:r>
      <w:r>
        <w:rPr>
          <w:rFonts w:eastAsia="黑体"/>
          <w:spacing w:val="10"/>
          <w:sz w:val="28"/>
          <w:szCs w:val="28"/>
        </w:rPr>
        <w:t>发 布</w:t>
      </w:r>
    </w:p>
    <w:p>
      <w:pPr>
        <w:rPr>
          <w:sz w:val="32"/>
          <w:szCs w:val="32"/>
        </w:rPr>
        <w:sectPr>
          <w:headerReference r:id="rId5" w:type="first"/>
          <w:headerReference r:id="rId3" w:type="default"/>
          <w:footerReference r:id="rId6" w:type="default"/>
          <w:headerReference r:id="rId4" w:type="even"/>
          <w:footerReference r:id="rId7" w:type="even"/>
          <w:pgSz w:w="11906" w:h="16838"/>
          <w:pgMar w:top="1588" w:right="1091" w:bottom="1247" w:left="1418" w:header="851" w:footer="992" w:gutter="0"/>
          <w:pgBorders>
            <w:top w:val="none" w:sz="0" w:space="0"/>
            <w:left w:val="none" w:sz="0" w:space="0"/>
            <w:bottom w:val="none" w:sz="0" w:space="0"/>
            <w:right w:val="none" w:sz="0" w:space="0"/>
          </w:pgBorders>
          <w:pgNumType w:start="1"/>
          <w:cols w:space="720" w:num="1"/>
          <w:titlePg/>
          <w:docGrid w:type="lines" w:linePitch="312" w:charSpace="0"/>
        </w:sectPr>
      </w:pPr>
    </w:p>
    <w:p>
      <w:pPr>
        <w:spacing w:line="360" w:lineRule="auto"/>
        <w:ind w:firstLine="340" w:firstLineChars="100"/>
        <w:rPr>
          <w:rFonts w:eastAsia="黑体"/>
          <w:spacing w:val="10"/>
          <w:sz w:val="44"/>
          <w:szCs w:val="44"/>
        </w:rPr>
      </w:pPr>
      <w:r>
        <w:rPr>
          <w:spacing w:val="10"/>
          <w:sz w:val="32"/>
          <w:szCs w:val="32"/>
        </w:rPr>
        <mc:AlternateContent>
          <mc:Choice Requires="wps">
            <w:drawing>
              <wp:anchor distT="0" distB="0" distL="0" distR="0" simplePos="0" relativeHeight="251659264" behindDoc="0" locked="0" layoutInCell="1" allowOverlap="1">
                <wp:simplePos x="0" y="0"/>
                <wp:positionH relativeFrom="column">
                  <wp:posOffset>3677285</wp:posOffset>
                </wp:positionH>
                <wp:positionV relativeFrom="paragraph">
                  <wp:posOffset>355600</wp:posOffset>
                </wp:positionV>
                <wp:extent cx="1362710" cy="471170"/>
                <wp:effectExtent l="0" t="0" r="27940" b="24130"/>
                <wp:wrapNone/>
                <wp:docPr id="1027" name="Text Box 5"/>
                <wp:cNvGraphicFramePr/>
                <a:graphic xmlns:a="http://schemas.openxmlformats.org/drawingml/2006/main">
                  <a:graphicData uri="http://schemas.microsoft.com/office/word/2010/wordprocessingShape">
                    <wps:wsp>
                      <wps:cNvSpPr/>
                      <wps:spPr>
                        <a:xfrm>
                          <a:off x="0" y="0"/>
                          <a:ext cx="1362709" cy="471170"/>
                        </a:xfrm>
                        <a:prstGeom prst="rect">
                          <a:avLst/>
                        </a:prstGeom>
                        <a:solidFill>
                          <a:srgbClr val="FFFFFF"/>
                        </a:solidFill>
                        <a:ln w="9525" cap="flat" cmpd="sng">
                          <a:solidFill>
                            <a:srgbClr val="000000"/>
                          </a:solidFill>
                          <a:prstDash val="solid"/>
                          <a:miter/>
                        </a:ln>
                      </wps:spPr>
                      <wps:txbx>
                        <w:txbxContent>
                          <w:p>
                            <w:pPr>
                              <w:rPr>
                                <w:rFonts w:ascii="黑体" w:hAnsi="黑体" w:eastAsia="黑体"/>
                                <w:sz w:val="28"/>
                                <w:szCs w:val="28"/>
                              </w:rPr>
                            </w:pPr>
                            <w:r>
                              <w:rPr>
                                <w:rFonts w:ascii="黑体" w:hAnsi="黑体" w:eastAsia="黑体"/>
                                <w:sz w:val="28"/>
                                <w:szCs w:val="28"/>
                              </w:rPr>
                              <w:t>JJF</w:t>
                            </w:r>
                            <w:r>
                              <w:rPr>
                                <w:rFonts w:hint="eastAsia" w:ascii="黑体" w:hAnsi="黑体" w:eastAsia="黑体"/>
                                <w:sz w:val="28"/>
                                <w:szCs w:val="28"/>
                              </w:rPr>
                              <w:t xml:space="preserve"> </w:t>
                            </w:r>
                            <w:r>
                              <w:rPr>
                                <w:rFonts w:ascii="黑体" w:hAnsi="黑体" w:eastAsia="黑体"/>
                                <w:sz w:val="28"/>
                                <w:szCs w:val="28"/>
                              </w:rPr>
                              <w:t>XXXX-202X</w:t>
                            </w:r>
                          </w:p>
                          <w:p>
                            <w:pPr>
                              <w:rPr>
                                <w:rFonts w:ascii="黑体" w:hAnsi="黑体" w:eastAsia="黑体"/>
                                <w:sz w:val="28"/>
                                <w:szCs w:val="28"/>
                              </w:rPr>
                            </w:pPr>
                            <w:r>
                              <w:rPr>
                                <w:rFonts w:ascii="黑体" w:hAnsi="黑体" w:eastAsia="黑体"/>
                                <w:sz w:val="28"/>
                                <w:szCs w:val="28"/>
                              </w:rPr>
                              <w:t>JJF</w:t>
                            </w:r>
                            <w:r>
                              <w:rPr>
                                <w:rFonts w:hint="eastAsia" w:ascii="黑体" w:hAnsi="黑体" w:eastAsia="黑体"/>
                                <w:sz w:val="28"/>
                                <w:szCs w:val="28"/>
                              </w:rPr>
                              <w:t xml:space="preserve"> </w:t>
                            </w:r>
                            <w:r>
                              <w:rPr>
                                <w:rFonts w:ascii="黑体" w:hAnsi="黑体" w:eastAsia="黑体"/>
                                <w:sz w:val="28"/>
                                <w:szCs w:val="28"/>
                              </w:rPr>
                              <w:t>××××-201×</w:t>
                            </w:r>
                          </w:p>
                        </w:txbxContent>
                      </wps:txbx>
                      <wps:bodyPr vert="horz" wrap="square" lIns="91440" tIns="45720" rIns="91440" bIns="45720" anchor="t" upright="1">
                        <a:noAutofit/>
                      </wps:bodyPr>
                    </wps:wsp>
                  </a:graphicData>
                </a:graphic>
              </wp:anchor>
            </w:drawing>
          </mc:Choice>
          <mc:Fallback>
            <w:pict>
              <v:rect id="Text Box 5" o:spid="_x0000_s1026" o:spt="1" style="position:absolute;left:0pt;margin-left:289.55pt;margin-top:28pt;height:37.1pt;width:107.3pt;z-index:251659264;mso-width-relative:page;mso-height-relative:page;" fillcolor="#FFFFFF" filled="t" stroked="t" coordsize="21600,21600" o:gfxdata="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FwES71wAAAAoBAAAPAAAAAAAAAAEAIAAAACIAAABkcnMvZG93bnJldi54&#10;bWxQSwECFAAUAAAACACHTuJAiwiDUPsBAAD/AwAADgAAAAAAAAABACAAAAAmAQAAZHJzL2Uyb0Rv&#10;Yy54bWxQSwUGAAAAAAYABgBZAQAAkwUAAAAA&#10;">
                <v:fill on="t" focussize="0,0"/>
                <v:stroke color="#000000" joinstyle="miter"/>
                <v:imagedata o:title=""/>
                <o:lock v:ext="edit" aspectratio="f"/>
                <v:textbox>
                  <w:txbxContent>
                    <w:p>
                      <w:pPr>
                        <w:rPr>
                          <w:rFonts w:ascii="黑体" w:hAnsi="黑体" w:eastAsia="黑体"/>
                          <w:sz w:val="28"/>
                          <w:szCs w:val="28"/>
                        </w:rPr>
                      </w:pPr>
                      <w:r>
                        <w:rPr>
                          <w:rFonts w:ascii="黑体" w:hAnsi="黑体" w:eastAsia="黑体"/>
                          <w:sz w:val="28"/>
                          <w:szCs w:val="28"/>
                        </w:rPr>
                        <w:t>JJF</w:t>
                      </w:r>
                      <w:r>
                        <w:rPr>
                          <w:rFonts w:hint="eastAsia" w:ascii="黑体" w:hAnsi="黑体" w:eastAsia="黑体"/>
                          <w:sz w:val="28"/>
                          <w:szCs w:val="28"/>
                        </w:rPr>
                        <w:t xml:space="preserve"> </w:t>
                      </w:r>
                      <w:r>
                        <w:rPr>
                          <w:rFonts w:ascii="黑体" w:hAnsi="黑体" w:eastAsia="黑体"/>
                          <w:sz w:val="28"/>
                          <w:szCs w:val="28"/>
                        </w:rPr>
                        <w:t>XXXX-202X</w:t>
                      </w:r>
                    </w:p>
                    <w:p>
                      <w:pPr>
                        <w:rPr>
                          <w:rFonts w:ascii="黑体" w:hAnsi="黑体" w:eastAsia="黑体"/>
                          <w:sz w:val="28"/>
                          <w:szCs w:val="28"/>
                        </w:rPr>
                      </w:pPr>
                      <w:r>
                        <w:rPr>
                          <w:rFonts w:ascii="黑体" w:hAnsi="黑体" w:eastAsia="黑体"/>
                          <w:sz w:val="28"/>
                          <w:szCs w:val="28"/>
                        </w:rPr>
                        <w:t>JJF</w:t>
                      </w:r>
                      <w:r>
                        <w:rPr>
                          <w:rFonts w:hint="eastAsia" w:ascii="黑体" w:hAnsi="黑体" w:eastAsia="黑体"/>
                          <w:sz w:val="28"/>
                          <w:szCs w:val="28"/>
                        </w:rPr>
                        <w:t xml:space="preserve"> </w:t>
                      </w:r>
                      <w:r>
                        <w:rPr>
                          <w:rFonts w:ascii="黑体" w:hAnsi="黑体" w:eastAsia="黑体"/>
                          <w:sz w:val="28"/>
                          <w:szCs w:val="28"/>
                        </w:rPr>
                        <w:t>××××-201×</w:t>
                      </w:r>
                    </w:p>
                  </w:txbxContent>
                </v:textbox>
              </v:rect>
            </w:pict>
          </mc:Fallback>
        </mc:AlternateContent>
      </w:r>
      <w:r>
        <w:rPr>
          <w:rFonts w:hint="eastAsia" w:eastAsia="黑体"/>
          <w:spacing w:val="10"/>
          <w:sz w:val="44"/>
          <w:szCs w:val="44"/>
        </w:rPr>
        <w:t>基于毫米波雷达的边灯固定式</w:t>
      </w:r>
    </w:p>
    <w:p>
      <w:pPr>
        <w:spacing w:line="360" w:lineRule="auto"/>
        <w:ind w:firstLine="460" w:firstLineChars="100"/>
        <w:rPr>
          <w:rFonts w:eastAsia="黑体"/>
          <w:spacing w:val="10"/>
          <w:sz w:val="44"/>
          <w:szCs w:val="44"/>
        </w:rPr>
      </w:pPr>
      <w:r>
        <w:rPr>
          <w:rFonts w:eastAsia="黑体"/>
          <w:spacing w:val="10"/>
          <w:sz w:val="44"/>
          <w:szCs w:val="44"/>
        </w:rPr>
        <w:t>机场道面外来物探测设备</w:t>
      </w:r>
    </w:p>
    <w:p>
      <w:pPr>
        <w:spacing w:line="360" w:lineRule="auto"/>
        <w:ind w:firstLine="460" w:firstLineChars="100"/>
        <w:rPr>
          <w:rFonts w:eastAsia="黑体"/>
          <w:spacing w:val="10"/>
          <w:sz w:val="44"/>
          <w:szCs w:val="44"/>
        </w:rPr>
      </w:pPr>
      <w:r>
        <w:rPr>
          <w:rFonts w:hint="eastAsia" w:eastAsia="黑体"/>
          <w:spacing w:val="10"/>
          <w:sz w:val="44"/>
          <w:szCs w:val="44"/>
        </w:rPr>
        <w:t>校准</w:t>
      </w:r>
      <w:r>
        <w:rPr>
          <w:rFonts w:eastAsia="黑体"/>
          <w:spacing w:val="10"/>
          <w:sz w:val="44"/>
          <w:szCs w:val="44"/>
        </w:rPr>
        <w:t>规范</w:t>
      </w:r>
    </w:p>
    <w:p>
      <w:pPr>
        <w:snapToGrid w:val="0"/>
        <w:ind w:firstLine="420" w:firstLineChars="140"/>
        <w:rPr>
          <w:rFonts w:eastAsia="黑体"/>
          <w:spacing w:val="10"/>
          <w:sz w:val="28"/>
          <w:szCs w:val="28"/>
        </w:rPr>
      </w:pPr>
      <w:r>
        <w:rPr>
          <w:rFonts w:eastAsia="黑体"/>
          <w:spacing w:val="10"/>
          <w:sz w:val="28"/>
          <w:szCs w:val="28"/>
        </w:rPr>
        <w:t xml:space="preserve">Calibration Specification for </w:t>
      </w:r>
      <w:r>
        <w:rPr>
          <w:rFonts w:hint="eastAsia" w:eastAsia="黑体"/>
          <w:spacing w:val="10"/>
          <w:sz w:val="28"/>
          <w:szCs w:val="28"/>
        </w:rPr>
        <w:t>Fixed</w:t>
      </w:r>
      <w:r>
        <w:rPr>
          <w:rFonts w:eastAsia="黑体"/>
          <w:spacing w:val="10"/>
          <w:sz w:val="28"/>
          <w:szCs w:val="28"/>
        </w:rPr>
        <w:t xml:space="preserve"> </w:t>
      </w:r>
      <w:r>
        <w:rPr>
          <w:rFonts w:hint="eastAsia" w:eastAsia="黑体"/>
          <w:spacing w:val="10"/>
          <w:sz w:val="28"/>
          <w:szCs w:val="28"/>
        </w:rPr>
        <w:t>of</w:t>
      </w:r>
      <w:r>
        <w:rPr>
          <w:rFonts w:eastAsia="黑体"/>
          <w:spacing w:val="10"/>
          <w:sz w:val="28"/>
          <w:szCs w:val="28"/>
        </w:rPr>
        <w:t xml:space="preserve"> </w:t>
      </w:r>
      <w:r>
        <w:rPr>
          <w:rFonts w:hint="eastAsia" w:eastAsia="黑体"/>
          <w:spacing w:val="10"/>
          <w:sz w:val="28"/>
          <w:szCs w:val="28"/>
        </w:rPr>
        <w:t>Edge-lightType</w:t>
      </w:r>
    </w:p>
    <w:p>
      <w:pPr>
        <w:snapToGrid w:val="0"/>
        <w:ind w:firstLine="420" w:firstLineChars="140"/>
        <w:rPr>
          <w:rFonts w:eastAsia="黑体"/>
          <w:spacing w:val="10"/>
          <w:sz w:val="28"/>
          <w:szCs w:val="28"/>
        </w:rPr>
      </w:pPr>
      <w:r>
        <w:rPr>
          <w:rFonts w:eastAsia="黑体"/>
          <w:spacing w:val="10"/>
          <w:sz w:val="28"/>
          <w:szCs w:val="28"/>
        </w:rPr>
        <w:t xml:space="preserve">Airport Foreign Object Debris (FOD) </w:t>
      </w:r>
    </w:p>
    <w:p>
      <w:pPr>
        <w:snapToGrid w:val="0"/>
        <w:ind w:firstLine="420" w:firstLineChars="140"/>
        <w:rPr>
          <w:rFonts w:eastAsia="黑体"/>
          <w:spacing w:val="10"/>
          <w:sz w:val="28"/>
          <w:szCs w:val="28"/>
        </w:rPr>
      </w:pPr>
      <w:r>
        <w:rPr>
          <w:rFonts w:eastAsia="黑体"/>
          <w:spacing w:val="10"/>
          <w:sz w:val="28"/>
          <w:szCs w:val="28"/>
        </w:rPr>
        <w:t xml:space="preserve">Detection Equipment </w:t>
      </w:r>
      <w:r>
        <w:rPr>
          <w:rFonts w:hint="eastAsia" w:eastAsia="黑体"/>
          <w:spacing w:val="10"/>
          <w:sz w:val="28"/>
          <w:szCs w:val="28"/>
        </w:rPr>
        <w:t>Based</w:t>
      </w:r>
      <w:r>
        <w:rPr>
          <w:rFonts w:eastAsia="黑体"/>
          <w:spacing w:val="10"/>
          <w:sz w:val="28"/>
          <w:szCs w:val="28"/>
        </w:rPr>
        <w:t xml:space="preserve"> on Millimeter Wave Radar</w:t>
      </w:r>
    </w:p>
    <w:p>
      <w:pPr>
        <w:spacing w:line="360" w:lineRule="auto"/>
        <w:rPr>
          <w:b/>
          <w:spacing w:val="10"/>
          <w:sz w:val="24"/>
          <w:u w:val="single"/>
        </w:rPr>
      </w:pPr>
      <w:r>
        <w:rPr>
          <w:b/>
          <w:spacing w:val="10"/>
          <w:sz w:val="24"/>
          <w:u w:val="single"/>
        </w:rPr>
        <w:t xml:space="preserve">                                                           </w:t>
      </w:r>
    </w:p>
    <w:p>
      <w:pPr>
        <w:spacing w:line="360" w:lineRule="auto"/>
        <w:ind w:firstLine="585" w:firstLineChars="225"/>
        <w:rPr>
          <w:spacing w:val="10"/>
          <w:sz w:val="24"/>
        </w:rPr>
      </w:pPr>
    </w:p>
    <w:p>
      <w:pPr>
        <w:spacing w:line="360" w:lineRule="auto"/>
        <w:ind w:firstLine="585" w:firstLineChars="225"/>
        <w:rPr>
          <w:spacing w:val="10"/>
          <w:sz w:val="24"/>
        </w:rPr>
      </w:pPr>
    </w:p>
    <w:p>
      <w:pPr>
        <w:spacing w:line="360" w:lineRule="auto"/>
        <w:ind w:firstLine="585" w:firstLineChars="225"/>
        <w:rPr>
          <w:spacing w:val="10"/>
          <w:sz w:val="24"/>
        </w:rPr>
      </w:pPr>
    </w:p>
    <w:p>
      <w:pPr>
        <w:spacing w:line="360" w:lineRule="auto"/>
        <w:ind w:firstLine="585" w:firstLineChars="225"/>
        <w:rPr>
          <w:spacing w:val="10"/>
          <w:sz w:val="24"/>
        </w:rPr>
      </w:pPr>
    </w:p>
    <w:p>
      <w:pPr>
        <w:spacing w:line="360" w:lineRule="auto"/>
        <w:ind w:firstLine="585" w:firstLineChars="225"/>
        <w:rPr>
          <w:spacing w:val="10"/>
          <w:sz w:val="24"/>
        </w:rPr>
      </w:pPr>
    </w:p>
    <w:p>
      <w:pPr>
        <w:jc w:val="left"/>
        <w:rPr>
          <w:rFonts w:eastAsia="黑体"/>
          <w:bCs/>
          <w:sz w:val="28"/>
        </w:rPr>
      </w:pPr>
      <w:r>
        <w:rPr>
          <w:rFonts w:eastAsia="黑体"/>
          <w:bCs/>
          <w:kern w:val="0"/>
          <w:sz w:val="28"/>
        </w:rPr>
        <w:t xml:space="preserve">    </w:t>
      </w:r>
      <w:r>
        <w:rPr>
          <w:rFonts w:eastAsia="黑体"/>
          <w:bCs/>
          <w:spacing w:val="93"/>
          <w:kern w:val="0"/>
          <w:sz w:val="28"/>
          <w:fitText w:val="1680" w:id="0"/>
        </w:rPr>
        <w:t>归口单</w:t>
      </w:r>
      <w:r>
        <w:rPr>
          <w:rFonts w:eastAsia="黑体"/>
          <w:bCs/>
          <w:spacing w:val="1"/>
          <w:kern w:val="0"/>
          <w:sz w:val="28"/>
          <w:fitText w:val="1680" w:id="0"/>
        </w:rPr>
        <w:t>位</w:t>
      </w:r>
      <w:r>
        <w:rPr>
          <w:rFonts w:eastAsia="黑体"/>
          <w:bCs/>
          <w:sz w:val="28"/>
        </w:rPr>
        <w:t>：</w:t>
      </w:r>
      <w:r>
        <w:rPr>
          <w:bCs/>
          <w:sz w:val="28"/>
        </w:rPr>
        <w:t>全国振动冲击转速计量技术委员会</w:t>
      </w:r>
    </w:p>
    <w:p>
      <w:pPr>
        <w:ind w:firstLine="560" w:firstLineChars="200"/>
        <w:rPr>
          <w:rFonts w:hint="eastAsia" w:eastAsia="黑体"/>
          <w:bCs/>
          <w:sz w:val="28"/>
          <w:lang w:val="en-US" w:eastAsia="zh-CN"/>
        </w:rPr>
      </w:pPr>
      <w:r>
        <w:rPr>
          <w:rFonts w:eastAsia="黑体"/>
          <w:bCs/>
          <w:sz w:val="28"/>
        </w:rPr>
        <w:t>主要起草单位：</w:t>
      </w:r>
      <w:r>
        <w:rPr>
          <w:rFonts w:hint="eastAsia" w:eastAsia="黑体"/>
          <w:bCs/>
          <w:sz w:val="28"/>
          <w:lang w:val="en-US" w:eastAsia="zh-CN"/>
        </w:rPr>
        <w:t>XXXX</w:t>
      </w:r>
    </w:p>
    <w:p>
      <w:pPr>
        <w:ind w:firstLine="560" w:firstLineChars="200"/>
        <w:rPr>
          <w:bCs/>
          <w:sz w:val="28"/>
        </w:rPr>
      </w:pPr>
    </w:p>
    <w:p>
      <w:pPr>
        <w:ind w:firstLine="560" w:firstLineChars="200"/>
        <w:rPr>
          <w:bCs/>
          <w:sz w:val="28"/>
        </w:rPr>
      </w:pPr>
    </w:p>
    <w:p>
      <w:pPr>
        <w:ind w:firstLine="560" w:firstLineChars="200"/>
        <w:rPr>
          <w:rFonts w:eastAsia="黑体"/>
          <w:bCs/>
          <w:color w:val="000000"/>
          <w:sz w:val="28"/>
        </w:rPr>
      </w:pPr>
      <w:r>
        <w:rPr>
          <w:rFonts w:eastAsia="黑体"/>
          <w:bCs/>
          <w:sz w:val="28"/>
        </w:rPr>
        <w:t>参加起草单位：</w:t>
      </w:r>
      <w:r>
        <w:rPr>
          <w:rFonts w:hint="eastAsia" w:eastAsia="黑体"/>
          <w:bCs/>
          <w:sz w:val="28"/>
          <w:lang w:val="en-US" w:eastAsia="zh-CN"/>
        </w:rPr>
        <w:t>XXXX</w:t>
      </w:r>
    </w:p>
    <w:p>
      <w:pPr>
        <w:ind w:left="1960" w:firstLine="560" w:firstLineChars="200"/>
        <w:rPr>
          <w:bCs/>
          <w:sz w:val="28"/>
        </w:rPr>
      </w:pPr>
      <w:r>
        <w:rPr>
          <w:rFonts w:hint="eastAsia" w:eastAsia="黑体"/>
          <w:bCs/>
          <w:sz w:val="28"/>
          <w:lang w:val="en-US" w:eastAsia="zh-CN"/>
        </w:rPr>
        <w:t>XXXX</w:t>
      </w:r>
    </w:p>
    <w:p>
      <w:pPr>
        <w:ind w:firstLine="2520" w:firstLineChars="900"/>
        <w:rPr>
          <w:bCs/>
          <w:sz w:val="28"/>
        </w:rPr>
      </w:pPr>
      <w:r>
        <w:rPr>
          <w:rFonts w:hint="eastAsia" w:eastAsia="黑体"/>
          <w:bCs/>
          <w:sz w:val="28"/>
          <w:lang w:val="en-US" w:eastAsia="zh-CN"/>
        </w:rPr>
        <w:t>XXXX</w:t>
      </w:r>
    </w:p>
    <w:p>
      <w:pPr>
        <w:ind w:firstLine="2520" w:firstLineChars="900"/>
        <w:rPr>
          <w:spacing w:val="20"/>
          <w:sz w:val="28"/>
          <w:szCs w:val="28"/>
        </w:rPr>
      </w:pPr>
      <w:r>
        <w:rPr>
          <w:rFonts w:hint="eastAsia" w:eastAsia="黑体"/>
          <w:bCs/>
          <w:sz w:val="28"/>
          <w:lang w:val="en-US" w:eastAsia="zh-CN"/>
        </w:rPr>
        <w:t>XXXX</w:t>
      </w:r>
    </w:p>
    <w:p>
      <w:pPr>
        <w:spacing w:line="360" w:lineRule="auto"/>
        <w:ind w:firstLine="2880" w:firstLineChars="900"/>
        <w:rPr>
          <w:spacing w:val="20"/>
          <w:sz w:val="28"/>
          <w:szCs w:val="28"/>
        </w:rPr>
      </w:pPr>
    </w:p>
    <w:p>
      <w:pPr>
        <w:spacing w:line="360" w:lineRule="auto"/>
        <w:ind w:firstLine="2880" w:firstLineChars="900"/>
        <w:rPr>
          <w:spacing w:val="20"/>
          <w:sz w:val="28"/>
          <w:szCs w:val="28"/>
        </w:rPr>
      </w:pPr>
    </w:p>
    <w:p>
      <w:pPr>
        <w:spacing w:line="360" w:lineRule="auto"/>
        <w:rPr>
          <w:spacing w:val="10"/>
          <w:sz w:val="24"/>
        </w:rPr>
      </w:pPr>
    </w:p>
    <w:p>
      <w:pPr>
        <w:spacing w:line="360" w:lineRule="auto"/>
        <w:rPr>
          <w:spacing w:val="10"/>
          <w:sz w:val="24"/>
        </w:rPr>
      </w:pPr>
    </w:p>
    <w:p>
      <w:pPr>
        <w:spacing w:line="360" w:lineRule="auto"/>
        <w:rPr>
          <w:spacing w:val="10"/>
          <w:sz w:val="24"/>
        </w:rPr>
      </w:pPr>
    </w:p>
    <w:p>
      <w:pPr>
        <w:spacing w:line="360" w:lineRule="auto"/>
        <w:rPr>
          <w:spacing w:val="10"/>
          <w:sz w:val="24"/>
        </w:rPr>
      </w:pPr>
    </w:p>
    <w:p>
      <w:pPr>
        <w:spacing w:line="360" w:lineRule="auto"/>
        <w:rPr>
          <w:spacing w:val="10"/>
          <w:sz w:val="24"/>
        </w:rPr>
      </w:pPr>
    </w:p>
    <w:p>
      <w:pPr>
        <w:spacing w:line="360" w:lineRule="auto"/>
        <w:jc w:val="left"/>
        <w:rPr>
          <w:rFonts w:eastAsia="黑体"/>
          <w:b/>
          <w:bCs/>
          <w:spacing w:val="10"/>
          <w:sz w:val="28"/>
        </w:rPr>
      </w:pPr>
      <w:r>
        <w:rPr>
          <w:spacing w:val="10"/>
          <w:sz w:val="28"/>
          <w:szCs w:val="28"/>
        </w:rPr>
        <w:t>本规范委托</w:t>
      </w:r>
      <w:r>
        <w:rPr>
          <w:bCs/>
          <w:sz w:val="28"/>
        </w:rPr>
        <w:t>全国振动冲击转速计量技术委员会</w:t>
      </w:r>
      <w:r>
        <w:rPr>
          <w:spacing w:val="10"/>
          <w:sz w:val="28"/>
          <w:szCs w:val="28"/>
        </w:rPr>
        <w:t>负责解释</w:t>
      </w:r>
    </w:p>
    <w:p>
      <w:pPr>
        <w:spacing w:line="360" w:lineRule="auto"/>
        <w:jc w:val="center"/>
        <w:rPr>
          <w:spacing w:val="10"/>
          <w:sz w:val="24"/>
        </w:rPr>
      </w:pPr>
      <w:r>
        <w:rPr>
          <w:rFonts w:eastAsia="黑体"/>
          <w:b/>
          <w:bCs/>
          <w:spacing w:val="10"/>
          <w:sz w:val="28"/>
        </w:rPr>
        <w:br w:type="page"/>
      </w:r>
    </w:p>
    <w:p>
      <w:pPr>
        <w:pStyle w:val="16"/>
        <w:widowControl/>
        <w:ind w:firstLine="140" w:firstLineChars="50"/>
        <w:rPr>
          <w:rFonts w:eastAsia="黑体"/>
          <w:bCs/>
          <w:sz w:val="28"/>
        </w:rPr>
      </w:pPr>
      <w:r>
        <w:rPr>
          <w:rFonts w:eastAsia="黑体"/>
          <w:bCs/>
          <w:sz w:val="28"/>
        </w:rPr>
        <w:t>本规范主要起草人：</w:t>
      </w:r>
    </w:p>
    <w:p>
      <w:pPr>
        <w:pStyle w:val="16"/>
        <w:widowControl/>
        <w:ind w:firstLine="1531" w:firstLineChars="547"/>
        <w:rPr>
          <w:bCs/>
          <w:sz w:val="28"/>
        </w:rPr>
      </w:pPr>
      <w:r>
        <w:rPr>
          <w:rFonts w:hint="eastAsia" w:eastAsia="黑体"/>
          <w:bCs/>
          <w:sz w:val="28"/>
          <w:lang w:val="en-US" w:eastAsia="zh-CN"/>
        </w:rPr>
        <w:t>XXXX</w:t>
      </w:r>
      <w:r>
        <w:rPr>
          <w:rFonts w:hint="eastAsia"/>
          <w:bCs/>
          <w:sz w:val="28"/>
        </w:rPr>
        <w:t>（</w:t>
      </w:r>
      <w:r>
        <w:rPr>
          <w:rFonts w:hint="eastAsia" w:eastAsia="黑体"/>
          <w:bCs/>
          <w:sz w:val="28"/>
          <w:lang w:val="en-US" w:eastAsia="zh-CN"/>
        </w:rPr>
        <w:t>XXXX</w:t>
      </w:r>
      <w:r>
        <w:rPr>
          <w:rFonts w:hint="eastAsia"/>
          <w:bCs/>
          <w:sz w:val="28"/>
        </w:rPr>
        <w:t>）</w:t>
      </w:r>
    </w:p>
    <w:p>
      <w:pPr>
        <w:pStyle w:val="16"/>
        <w:widowControl/>
        <w:ind w:firstLine="1531" w:firstLineChars="547"/>
        <w:rPr>
          <w:bCs/>
          <w:sz w:val="28"/>
        </w:rPr>
      </w:pPr>
      <w:r>
        <w:rPr>
          <w:rFonts w:hint="eastAsia" w:eastAsia="黑体"/>
          <w:bCs/>
          <w:sz w:val="28"/>
          <w:lang w:val="en-US" w:eastAsia="zh-CN"/>
        </w:rPr>
        <w:t>XXXX</w:t>
      </w:r>
      <w:r>
        <w:rPr>
          <w:rFonts w:hint="eastAsia"/>
          <w:bCs/>
          <w:sz w:val="28"/>
        </w:rPr>
        <w:t>（</w:t>
      </w:r>
      <w:r>
        <w:rPr>
          <w:rFonts w:hint="eastAsia" w:eastAsia="黑体"/>
          <w:bCs/>
          <w:sz w:val="28"/>
          <w:lang w:val="en-US" w:eastAsia="zh-CN"/>
        </w:rPr>
        <w:t>XXXX</w:t>
      </w:r>
      <w:r>
        <w:rPr>
          <w:rFonts w:hint="eastAsia"/>
          <w:bCs/>
          <w:sz w:val="28"/>
        </w:rPr>
        <w:t>）</w:t>
      </w:r>
    </w:p>
    <w:p>
      <w:pPr>
        <w:pStyle w:val="16"/>
        <w:widowControl/>
        <w:ind w:firstLine="1531" w:firstLineChars="547"/>
        <w:rPr>
          <w:rFonts w:eastAsia="黑体"/>
          <w:bCs/>
          <w:sz w:val="28"/>
        </w:rPr>
      </w:pPr>
      <w:r>
        <w:rPr>
          <w:rFonts w:hint="eastAsia" w:eastAsia="黑体"/>
          <w:bCs/>
          <w:sz w:val="28"/>
          <w:lang w:val="en-US" w:eastAsia="zh-CN"/>
        </w:rPr>
        <w:t>XXXX</w:t>
      </w:r>
      <w:r>
        <w:rPr>
          <w:rFonts w:hint="eastAsia"/>
          <w:bCs/>
          <w:sz w:val="28"/>
        </w:rPr>
        <w:t>（</w:t>
      </w:r>
      <w:r>
        <w:rPr>
          <w:rFonts w:hint="eastAsia" w:eastAsia="黑体"/>
          <w:bCs/>
          <w:sz w:val="28"/>
          <w:lang w:val="en-US" w:eastAsia="zh-CN"/>
        </w:rPr>
        <w:t>XXXX</w:t>
      </w:r>
      <w:r>
        <w:rPr>
          <w:rFonts w:hint="eastAsia"/>
          <w:bCs/>
          <w:sz w:val="28"/>
        </w:rPr>
        <w:t>）</w:t>
      </w:r>
    </w:p>
    <w:p>
      <w:pPr>
        <w:pStyle w:val="16"/>
        <w:widowControl/>
        <w:ind w:firstLine="840"/>
        <w:rPr>
          <w:rFonts w:eastAsia="黑体"/>
          <w:bCs/>
          <w:sz w:val="28"/>
        </w:rPr>
      </w:pPr>
      <w:r>
        <w:rPr>
          <w:rFonts w:eastAsia="黑体"/>
          <w:bCs/>
          <w:sz w:val="28"/>
        </w:rPr>
        <w:t>参加起草人：</w:t>
      </w:r>
    </w:p>
    <w:p>
      <w:pPr>
        <w:pStyle w:val="16"/>
        <w:widowControl/>
        <w:ind w:firstLine="1531" w:firstLineChars="547"/>
        <w:rPr>
          <w:bCs/>
          <w:sz w:val="28"/>
        </w:rPr>
      </w:pPr>
      <w:r>
        <w:rPr>
          <w:rFonts w:hint="eastAsia" w:eastAsia="黑体"/>
          <w:bCs/>
          <w:sz w:val="28"/>
          <w:lang w:val="en-US" w:eastAsia="zh-CN"/>
        </w:rPr>
        <w:t>XXXX</w:t>
      </w:r>
      <w:r>
        <w:rPr>
          <w:rFonts w:hint="eastAsia"/>
          <w:bCs/>
          <w:sz w:val="28"/>
        </w:rPr>
        <w:t>（</w:t>
      </w:r>
      <w:r>
        <w:rPr>
          <w:rFonts w:hint="eastAsia" w:eastAsia="黑体"/>
          <w:bCs/>
          <w:sz w:val="28"/>
          <w:lang w:val="en-US" w:eastAsia="zh-CN"/>
        </w:rPr>
        <w:t>XXXX</w:t>
      </w:r>
      <w:r>
        <w:rPr>
          <w:rFonts w:hint="eastAsia"/>
          <w:bCs/>
          <w:sz w:val="28"/>
        </w:rPr>
        <w:t>）</w:t>
      </w:r>
    </w:p>
    <w:p>
      <w:pPr>
        <w:pStyle w:val="16"/>
        <w:widowControl/>
        <w:ind w:firstLine="1531" w:firstLineChars="547"/>
        <w:rPr>
          <w:bCs/>
          <w:sz w:val="28"/>
        </w:rPr>
      </w:pPr>
      <w:r>
        <w:rPr>
          <w:rFonts w:hint="eastAsia" w:eastAsia="黑体"/>
          <w:bCs/>
          <w:sz w:val="28"/>
          <w:lang w:val="en-US" w:eastAsia="zh-CN"/>
        </w:rPr>
        <w:t>XXXX</w:t>
      </w:r>
      <w:r>
        <w:rPr>
          <w:rFonts w:hint="eastAsia"/>
          <w:bCs/>
          <w:sz w:val="28"/>
        </w:rPr>
        <w:t>（</w:t>
      </w:r>
      <w:r>
        <w:rPr>
          <w:rFonts w:hint="eastAsia" w:eastAsia="黑体"/>
          <w:bCs/>
          <w:sz w:val="28"/>
          <w:lang w:val="en-US" w:eastAsia="zh-CN"/>
        </w:rPr>
        <w:t>XXXX</w:t>
      </w:r>
      <w:r>
        <w:rPr>
          <w:rFonts w:hint="eastAsia"/>
          <w:bCs/>
          <w:sz w:val="28"/>
        </w:rPr>
        <w:t>）</w:t>
      </w:r>
    </w:p>
    <w:p>
      <w:pPr>
        <w:rPr>
          <w:bCs/>
          <w:sz w:val="28"/>
        </w:rPr>
      </w:pPr>
      <w:r>
        <w:rPr>
          <w:rFonts w:hint="eastAsia"/>
          <w:bCs/>
          <w:sz w:val="28"/>
        </w:rPr>
        <w:t xml:space="preserve"> </w:t>
      </w:r>
      <w:r>
        <w:rPr>
          <w:bCs/>
          <w:sz w:val="28"/>
        </w:rPr>
        <w:t xml:space="preserve">          </w:t>
      </w:r>
      <w:r>
        <w:rPr>
          <w:rFonts w:hint="eastAsia" w:eastAsia="黑体"/>
          <w:bCs/>
          <w:sz w:val="28"/>
          <w:lang w:val="en-US" w:eastAsia="zh-CN"/>
        </w:rPr>
        <w:t>XXXX</w:t>
      </w:r>
      <w:r>
        <w:rPr>
          <w:rFonts w:hint="eastAsia"/>
          <w:bCs/>
          <w:sz w:val="28"/>
        </w:rPr>
        <w:t>（</w:t>
      </w:r>
      <w:r>
        <w:rPr>
          <w:rFonts w:hint="eastAsia" w:eastAsia="黑体"/>
          <w:bCs/>
          <w:sz w:val="28"/>
          <w:lang w:val="en-US" w:eastAsia="zh-CN"/>
        </w:rPr>
        <w:t>XXXX</w:t>
      </w:r>
      <w:r>
        <w:rPr>
          <w:rFonts w:hint="eastAsia"/>
          <w:bCs/>
          <w:sz w:val="28"/>
        </w:rPr>
        <w:t>）</w:t>
      </w:r>
    </w:p>
    <w:p>
      <w:pPr>
        <w:pStyle w:val="16"/>
        <w:widowControl/>
        <w:ind w:firstLine="0"/>
        <w:rPr>
          <w:rFonts w:eastAsia="黑体"/>
          <w:bCs/>
          <w:sz w:val="28"/>
        </w:rPr>
      </w:pPr>
      <w:r>
        <w:rPr>
          <w:rFonts w:eastAsia="黑体"/>
          <w:bCs/>
          <w:sz w:val="28"/>
        </w:rPr>
        <w:t xml:space="preserve"> </w:t>
      </w:r>
      <w:r>
        <w:rPr>
          <w:bCs/>
          <w:sz w:val="28"/>
        </w:rPr>
        <w:t xml:space="preserve">          </w:t>
      </w:r>
      <w:r>
        <w:rPr>
          <w:rFonts w:hint="eastAsia" w:eastAsia="黑体"/>
          <w:bCs/>
          <w:sz w:val="28"/>
          <w:lang w:val="en-US" w:eastAsia="zh-CN"/>
        </w:rPr>
        <w:t>XXXX</w:t>
      </w:r>
      <w:r>
        <w:rPr>
          <w:rFonts w:hint="eastAsia"/>
          <w:bCs/>
          <w:sz w:val="28"/>
        </w:rPr>
        <w:t>（</w:t>
      </w:r>
      <w:r>
        <w:rPr>
          <w:rFonts w:hint="eastAsia" w:eastAsia="黑体"/>
          <w:bCs/>
          <w:sz w:val="28"/>
          <w:lang w:val="en-US" w:eastAsia="zh-CN"/>
        </w:rPr>
        <w:t>XXXX</w:t>
      </w:r>
      <w:r>
        <w:rPr>
          <w:rFonts w:hint="eastAsia"/>
          <w:bCs/>
          <w:sz w:val="28"/>
        </w:rPr>
        <w:t>）</w:t>
      </w:r>
    </w:p>
    <w:p>
      <w:pPr>
        <w:ind w:firstLine="1470" w:firstLineChars="490"/>
        <w:jc w:val="left"/>
        <w:rPr>
          <w:spacing w:val="10"/>
          <w:sz w:val="28"/>
          <w:szCs w:val="28"/>
        </w:rPr>
      </w:pPr>
    </w:p>
    <w:p>
      <w:pPr>
        <w:ind w:firstLine="1470" w:firstLineChars="490"/>
        <w:jc w:val="left"/>
        <w:rPr>
          <w:spacing w:val="10"/>
          <w:sz w:val="28"/>
          <w:szCs w:val="28"/>
        </w:rPr>
      </w:pPr>
    </w:p>
    <w:p>
      <w:pPr>
        <w:spacing w:line="360" w:lineRule="auto"/>
        <w:jc w:val="left"/>
        <w:rPr>
          <w:spacing w:val="10"/>
          <w:sz w:val="24"/>
        </w:rPr>
      </w:pPr>
    </w:p>
    <w:p>
      <w:pPr>
        <w:spacing w:line="360" w:lineRule="auto"/>
        <w:jc w:val="left"/>
        <w:rPr>
          <w:spacing w:val="10"/>
          <w:sz w:val="24"/>
        </w:rPr>
      </w:pPr>
    </w:p>
    <w:p>
      <w:pPr>
        <w:spacing w:line="360" w:lineRule="auto"/>
        <w:jc w:val="left"/>
        <w:rPr>
          <w:spacing w:val="10"/>
          <w:sz w:val="24"/>
        </w:rPr>
      </w:pPr>
    </w:p>
    <w:p>
      <w:pPr>
        <w:spacing w:line="360" w:lineRule="auto"/>
        <w:jc w:val="left"/>
        <w:rPr>
          <w:spacing w:val="10"/>
          <w:sz w:val="24"/>
        </w:rPr>
      </w:pPr>
    </w:p>
    <w:p>
      <w:pPr>
        <w:spacing w:line="360" w:lineRule="auto"/>
        <w:jc w:val="left"/>
        <w:rPr>
          <w:spacing w:val="10"/>
          <w:sz w:val="24"/>
        </w:rPr>
        <w:sectPr>
          <w:headerReference r:id="rId8" w:type="first"/>
          <w:footerReference r:id="rId11" w:type="first"/>
          <w:footerReference r:id="rId9" w:type="default"/>
          <w:footerReference r:id="rId10" w:type="even"/>
          <w:pgSz w:w="11906" w:h="16838"/>
          <w:pgMar w:top="1440" w:right="1800" w:bottom="1440" w:left="1800" w:header="851" w:footer="992" w:gutter="0"/>
          <w:pgBorders>
            <w:top w:val="none" w:sz="0" w:space="0"/>
            <w:left w:val="none" w:sz="0" w:space="0"/>
            <w:bottom w:val="none" w:sz="0" w:space="0"/>
            <w:right w:val="none" w:sz="0" w:space="0"/>
          </w:pgBorders>
          <w:pgNumType w:start="1"/>
          <w:cols w:space="720" w:num="1"/>
          <w:titlePg/>
          <w:docGrid w:type="lines" w:linePitch="312" w:charSpace="0"/>
        </w:sectPr>
      </w:pPr>
    </w:p>
    <w:p>
      <w:pPr>
        <w:keepNext/>
        <w:keepLines/>
        <w:widowControl/>
        <w:spacing w:line="360" w:lineRule="auto"/>
        <w:jc w:val="center"/>
        <w:rPr>
          <w:rFonts w:eastAsia="黑体"/>
          <w:bCs/>
          <w:spacing w:val="10"/>
          <w:kern w:val="0"/>
          <w:sz w:val="44"/>
          <w:szCs w:val="44"/>
        </w:rPr>
      </w:pPr>
      <w:r>
        <w:rPr>
          <w:rFonts w:eastAsia="黑体"/>
          <w:bCs/>
          <w:spacing w:val="10"/>
          <w:kern w:val="0"/>
          <w:sz w:val="44"/>
          <w:szCs w:val="44"/>
          <w:lang w:val="zh-CN"/>
        </w:rPr>
        <w:t>目  录</w:t>
      </w:r>
    </w:p>
    <w:p>
      <w:pPr>
        <w:pStyle w:val="20"/>
        <w:tabs>
          <w:tab w:val="right" w:leader="dot" w:pos="8306"/>
        </w:tabs>
      </w:pPr>
      <w:r>
        <w:rPr>
          <w:spacing w:val="10"/>
          <w:sz w:val="24"/>
        </w:rPr>
        <w:fldChar w:fldCharType="begin"/>
      </w:r>
      <w:r>
        <w:rPr>
          <w:spacing w:val="10"/>
          <w:sz w:val="24"/>
        </w:rPr>
        <w:instrText xml:space="preserve"> TOC \o "1-1" \h \z \u </w:instrText>
      </w:r>
      <w:r>
        <w:rPr>
          <w:spacing w:val="10"/>
          <w:sz w:val="24"/>
        </w:rPr>
        <w:fldChar w:fldCharType="separate"/>
      </w:r>
      <w:r>
        <w:rPr>
          <w:spacing w:val="10"/>
        </w:rPr>
        <w:fldChar w:fldCharType="begin"/>
      </w:r>
      <w:r>
        <w:rPr>
          <w:spacing w:val="10"/>
        </w:rPr>
        <w:instrText xml:space="preserve"> HYPERLINK \l _Toc2670 </w:instrText>
      </w:r>
      <w:r>
        <w:rPr>
          <w:spacing w:val="10"/>
        </w:rPr>
        <w:fldChar w:fldCharType="separate"/>
      </w:r>
      <w:r>
        <w:rPr>
          <w:rFonts w:eastAsia="黑体"/>
          <w:szCs w:val="24"/>
        </w:rPr>
        <w:t>1.范围</w:t>
      </w:r>
      <w:r>
        <w:tab/>
      </w:r>
      <w:r>
        <w:fldChar w:fldCharType="begin"/>
      </w:r>
      <w:r>
        <w:instrText xml:space="preserve"> PAGEREF _Toc2670 </w:instrText>
      </w:r>
      <w:r>
        <w:fldChar w:fldCharType="separate"/>
      </w:r>
      <w:r>
        <w:t>1</w:t>
      </w:r>
      <w:r>
        <w:fldChar w:fldCharType="end"/>
      </w:r>
      <w:r>
        <w:rPr>
          <w:spacing w:val="10"/>
        </w:rPr>
        <w:fldChar w:fldCharType="end"/>
      </w:r>
    </w:p>
    <w:p>
      <w:pPr>
        <w:pStyle w:val="20"/>
        <w:tabs>
          <w:tab w:val="right" w:leader="dot" w:pos="8306"/>
        </w:tabs>
      </w:pPr>
      <w:r>
        <w:rPr>
          <w:spacing w:val="10"/>
        </w:rPr>
        <w:fldChar w:fldCharType="begin"/>
      </w:r>
      <w:r>
        <w:rPr>
          <w:spacing w:val="10"/>
        </w:rPr>
        <w:instrText xml:space="preserve"> HYPERLINK \l _Toc23210 </w:instrText>
      </w:r>
      <w:r>
        <w:rPr>
          <w:spacing w:val="10"/>
        </w:rPr>
        <w:fldChar w:fldCharType="separate"/>
      </w:r>
      <w:r>
        <w:rPr>
          <w:rFonts w:eastAsia="黑体"/>
          <w:szCs w:val="24"/>
        </w:rPr>
        <w:t>2.引用文件</w:t>
      </w:r>
      <w:r>
        <w:tab/>
      </w:r>
      <w:r>
        <w:fldChar w:fldCharType="begin"/>
      </w:r>
      <w:r>
        <w:instrText xml:space="preserve"> PAGEREF _Toc23210 </w:instrText>
      </w:r>
      <w:r>
        <w:fldChar w:fldCharType="separate"/>
      </w:r>
      <w:r>
        <w:t>1</w:t>
      </w:r>
      <w:r>
        <w:fldChar w:fldCharType="end"/>
      </w:r>
      <w:r>
        <w:rPr>
          <w:spacing w:val="10"/>
        </w:rPr>
        <w:fldChar w:fldCharType="end"/>
      </w:r>
    </w:p>
    <w:p>
      <w:pPr>
        <w:pStyle w:val="20"/>
        <w:tabs>
          <w:tab w:val="right" w:leader="dot" w:pos="8306"/>
        </w:tabs>
      </w:pPr>
      <w:r>
        <w:rPr>
          <w:spacing w:val="10"/>
        </w:rPr>
        <w:fldChar w:fldCharType="begin"/>
      </w:r>
      <w:r>
        <w:rPr>
          <w:spacing w:val="10"/>
        </w:rPr>
        <w:instrText xml:space="preserve"> HYPERLINK \l _Toc4141 </w:instrText>
      </w:r>
      <w:r>
        <w:rPr>
          <w:spacing w:val="10"/>
        </w:rPr>
        <w:fldChar w:fldCharType="separate"/>
      </w:r>
      <w:r>
        <w:rPr>
          <w:rFonts w:eastAsia="黑体"/>
          <w:szCs w:val="24"/>
        </w:rPr>
        <w:t>3.术语</w:t>
      </w:r>
      <w:r>
        <w:tab/>
      </w:r>
      <w:r>
        <w:fldChar w:fldCharType="begin"/>
      </w:r>
      <w:r>
        <w:instrText xml:space="preserve"> PAGEREF _Toc4141 </w:instrText>
      </w:r>
      <w:r>
        <w:fldChar w:fldCharType="separate"/>
      </w:r>
      <w:r>
        <w:t>1</w:t>
      </w:r>
      <w:r>
        <w:fldChar w:fldCharType="end"/>
      </w:r>
      <w:r>
        <w:rPr>
          <w:spacing w:val="10"/>
        </w:rPr>
        <w:fldChar w:fldCharType="end"/>
      </w:r>
    </w:p>
    <w:p>
      <w:pPr>
        <w:pStyle w:val="20"/>
        <w:tabs>
          <w:tab w:val="right" w:leader="dot" w:pos="8306"/>
        </w:tabs>
      </w:pPr>
      <w:r>
        <w:rPr>
          <w:spacing w:val="10"/>
        </w:rPr>
        <w:fldChar w:fldCharType="begin"/>
      </w:r>
      <w:r>
        <w:rPr>
          <w:spacing w:val="10"/>
        </w:rPr>
        <w:instrText xml:space="preserve"> HYPERLINK \l _Toc11058 </w:instrText>
      </w:r>
      <w:r>
        <w:rPr>
          <w:spacing w:val="10"/>
        </w:rPr>
        <w:fldChar w:fldCharType="separate"/>
      </w:r>
      <w:r>
        <w:rPr>
          <w:rFonts w:eastAsia="黑体"/>
          <w:szCs w:val="24"/>
        </w:rPr>
        <w:t>4.概述</w:t>
      </w:r>
      <w:r>
        <w:tab/>
      </w:r>
      <w:r>
        <w:fldChar w:fldCharType="begin"/>
      </w:r>
      <w:r>
        <w:instrText xml:space="preserve"> PAGEREF _Toc11058 </w:instrText>
      </w:r>
      <w:r>
        <w:fldChar w:fldCharType="separate"/>
      </w:r>
      <w:r>
        <w:t>2</w:t>
      </w:r>
      <w:r>
        <w:fldChar w:fldCharType="end"/>
      </w:r>
      <w:r>
        <w:rPr>
          <w:spacing w:val="10"/>
        </w:rPr>
        <w:fldChar w:fldCharType="end"/>
      </w:r>
    </w:p>
    <w:p>
      <w:pPr>
        <w:pStyle w:val="20"/>
        <w:tabs>
          <w:tab w:val="right" w:leader="dot" w:pos="8306"/>
        </w:tabs>
      </w:pPr>
      <w:r>
        <w:rPr>
          <w:spacing w:val="10"/>
        </w:rPr>
        <w:fldChar w:fldCharType="begin"/>
      </w:r>
      <w:r>
        <w:rPr>
          <w:spacing w:val="10"/>
        </w:rPr>
        <w:instrText xml:space="preserve"> HYPERLINK \l _Toc23782 </w:instrText>
      </w:r>
      <w:r>
        <w:rPr>
          <w:spacing w:val="10"/>
        </w:rPr>
        <w:fldChar w:fldCharType="separate"/>
      </w:r>
      <w:r>
        <w:rPr>
          <w:rFonts w:eastAsia="黑体"/>
          <w:szCs w:val="24"/>
        </w:rPr>
        <w:t>5.计量特性</w:t>
      </w:r>
      <w:r>
        <w:tab/>
      </w:r>
      <w:r>
        <w:fldChar w:fldCharType="begin"/>
      </w:r>
      <w:r>
        <w:instrText xml:space="preserve"> PAGEREF _Toc23782 </w:instrText>
      </w:r>
      <w:r>
        <w:fldChar w:fldCharType="separate"/>
      </w:r>
      <w:r>
        <w:t>2</w:t>
      </w:r>
      <w:r>
        <w:fldChar w:fldCharType="end"/>
      </w:r>
      <w:r>
        <w:rPr>
          <w:spacing w:val="10"/>
        </w:rPr>
        <w:fldChar w:fldCharType="end"/>
      </w:r>
    </w:p>
    <w:p>
      <w:pPr>
        <w:pStyle w:val="20"/>
        <w:tabs>
          <w:tab w:val="right" w:leader="dot" w:pos="8306"/>
        </w:tabs>
      </w:pPr>
      <w:r>
        <w:rPr>
          <w:spacing w:val="10"/>
        </w:rPr>
        <w:fldChar w:fldCharType="begin"/>
      </w:r>
      <w:r>
        <w:rPr>
          <w:spacing w:val="10"/>
        </w:rPr>
        <w:instrText xml:space="preserve"> HYPERLINK \l _Toc24368 </w:instrText>
      </w:r>
      <w:r>
        <w:rPr>
          <w:spacing w:val="10"/>
        </w:rPr>
        <w:fldChar w:fldCharType="separate"/>
      </w:r>
      <w:r>
        <w:rPr>
          <w:rFonts w:eastAsia="黑体"/>
          <w:szCs w:val="24"/>
        </w:rPr>
        <w:t>6.</w:t>
      </w:r>
      <w:r>
        <w:rPr>
          <w:rFonts w:hint="eastAsia" w:eastAsia="黑体"/>
          <w:szCs w:val="24"/>
        </w:rPr>
        <w:t>校准</w:t>
      </w:r>
      <w:r>
        <w:rPr>
          <w:rFonts w:eastAsia="黑体"/>
          <w:szCs w:val="24"/>
        </w:rPr>
        <w:t>条件</w:t>
      </w:r>
      <w:r>
        <w:tab/>
      </w:r>
      <w:r>
        <w:fldChar w:fldCharType="begin"/>
      </w:r>
      <w:r>
        <w:instrText xml:space="preserve"> PAGEREF _Toc24368 </w:instrText>
      </w:r>
      <w:r>
        <w:fldChar w:fldCharType="separate"/>
      </w:r>
      <w:r>
        <w:t>2</w:t>
      </w:r>
      <w:r>
        <w:fldChar w:fldCharType="end"/>
      </w:r>
      <w:r>
        <w:rPr>
          <w:spacing w:val="10"/>
        </w:rPr>
        <w:fldChar w:fldCharType="end"/>
      </w:r>
    </w:p>
    <w:p>
      <w:pPr>
        <w:pStyle w:val="20"/>
        <w:tabs>
          <w:tab w:val="right" w:leader="dot" w:pos="8306"/>
        </w:tabs>
      </w:pPr>
      <w:r>
        <w:rPr>
          <w:spacing w:val="10"/>
        </w:rPr>
        <w:fldChar w:fldCharType="begin"/>
      </w:r>
      <w:r>
        <w:rPr>
          <w:spacing w:val="10"/>
        </w:rPr>
        <w:instrText xml:space="preserve"> HYPERLINK \l _Toc29463 </w:instrText>
      </w:r>
      <w:r>
        <w:rPr>
          <w:spacing w:val="10"/>
        </w:rPr>
        <w:fldChar w:fldCharType="separate"/>
      </w:r>
      <w:r>
        <w:rPr>
          <w:rFonts w:eastAsia="黑体"/>
          <w:szCs w:val="24"/>
        </w:rPr>
        <w:t>7.</w:t>
      </w:r>
      <w:r>
        <w:rPr>
          <w:rFonts w:hint="eastAsia" w:eastAsia="黑体"/>
          <w:szCs w:val="24"/>
        </w:rPr>
        <w:t>校准</w:t>
      </w:r>
      <w:r>
        <w:rPr>
          <w:rFonts w:eastAsia="黑体"/>
          <w:szCs w:val="24"/>
        </w:rPr>
        <w:t>项目和</w:t>
      </w:r>
      <w:r>
        <w:rPr>
          <w:rFonts w:hint="eastAsia" w:eastAsia="黑体"/>
          <w:szCs w:val="24"/>
        </w:rPr>
        <w:t>校准</w:t>
      </w:r>
      <w:r>
        <w:rPr>
          <w:rFonts w:eastAsia="黑体"/>
          <w:szCs w:val="24"/>
        </w:rPr>
        <w:t>方法</w:t>
      </w:r>
      <w:r>
        <w:tab/>
      </w:r>
      <w:r>
        <w:fldChar w:fldCharType="begin"/>
      </w:r>
      <w:r>
        <w:instrText xml:space="preserve"> PAGEREF _Toc29463 </w:instrText>
      </w:r>
      <w:r>
        <w:fldChar w:fldCharType="separate"/>
      </w:r>
      <w:r>
        <w:t>3</w:t>
      </w:r>
      <w:r>
        <w:fldChar w:fldCharType="end"/>
      </w:r>
      <w:r>
        <w:rPr>
          <w:spacing w:val="10"/>
        </w:rPr>
        <w:fldChar w:fldCharType="end"/>
      </w:r>
    </w:p>
    <w:p>
      <w:pPr>
        <w:pStyle w:val="20"/>
        <w:tabs>
          <w:tab w:val="right" w:leader="dot" w:pos="8306"/>
        </w:tabs>
      </w:pPr>
      <w:r>
        <w:rPr>
          <w:spacing w:val="10"/>
        </w:rPr>
        <w:fldChar w:fldCharType="begin"/>
      </w:r>
      <w:r>
        <w:rPr>
          <w:spacing w:val="10"/>
        </w:rPr>
        <w:instrText xml:space="preserve"> HYPERLINK \l _Toc1088 </w:instrText>
      </w:r>
      <w:r>
        <w:rPr>
          <w:spacing w:val="10"/>
        </w:rPr>
        <w:fldChar w:fldCharType="separate"/>
      </w:r>
      <w:r>
        <w:rPr>
          <w:rFonts w:ascii="黑体" w:eastAsia="黑体"/>
          <w:szCs w:val="24"/>
        </w:rPr>
        <w:t>8.</w:t>
      </w:r>
      <w:r>
        <w:rPr>
          <w:rFonts w:hint="eastAsia" w:ascii="黑体" w:eastAsia="黑体"/>
          <w:szCs w:val="24"/>
        </w:rPr>
        <w:t>校准结果的表达</w:t>
      </w:r>
      <w:r>
        <w:tab/>
      </w:r>
      <w:r>
        <w:fldChar w:fldCharType="begin"/>
      </w:r>
      <w:r>
        <w:instrText xml:space="preserve"> PAGEREF _Toc1088 </w:instrText>
      </w:r>
      <w:r>
        <w:fldChar w:fldCharType="separate"/>
      </w:r>
      <w:r>
        <w:t>7</w:t>
      </w:r>
      <w:r>
        <w:fldChar w:fldCharType="end"/>
      </w:r>
      <w:r>
        <w:rPr>
          <w:spacing w:val="10"/>
        </w:rPr>
        <w:fldChar w:fldCharType="end"/>
      </w:r>
    </w:p>
    <w:p>
      <w:pPr>
        <w:pStyle w:val="20"/>
        <w:tabs>
          <w:tab w:val="right" w:leader="dot" w:pos="8306"/>
        </w:tabs>
      </w:pPr>
      <w:r>
        <w:rPr>
          <w:spacing w:val="10"/>
        </w:rPr>
        <w:fldChar w:fldCharType="begin"/>
      </w:r>
      <w:r>
        <w:rPr>
          <w:spacing w:val="10"/>
        </w:rPr>
        <w:instrText xml:space="preserve"> HYPERLINK \l _Toc21144 </w:instrText>
      </w:r>
      <w:r>
        <w:rPr>
          <w:spacing w:val="10"/>
        </w:rPr>
        <w:fldChar w:fldCharType="separate"/>
      </w:r>
      <w:r>
        <w:rPr>
          <w:rFonts w:ascii="黑体" w:eastAsia="黑体"/>
          <w:szCs w:val="24"/>
        </w:rPr>
        <w:t>9.复</w:t>
      </w:r>
      <w:r>
        <w:rPr>
          <w:rFonts w:hint="eastAsia" w:ascii="黑体" w:eastAsia="黑体"/>
          <w:szCs w:val="24"/>
          <w:lang w:val="en-US" w:eastAsia="zh-CN"/>
        </w:rPr>
        <w:t>校</w:t>
      </w:r>
      <w:r>
        <w:rPr>
          <w:rFonts w:ascii="黑体" w:eastAsia="黑体"/>
          <w:szCs w:val="24"/>
        </w:rPr>
        <w:t>时间间隔</w:t>
      </w:r>
      <w:r>
        <w:tab/>
      </w:r>
      <w:r>
        <w:fldChar w:fldCharType="begin"/>
      </w:r>
      <w:r>
        <w:instrText xml:space="preserve"> PAGEREF _Toc21144 </w:instrText>
      </w:r>
      <w:r>
        <w:fldChar w:fldCharType="separate"/>
      </w:r>
      <w:r>
        <w:t>7</w:t>
      </w:r>
      <w:r>
        <w:fldChar w:fldCharType="end"/>
      </w:r>
      <w:r>
        <w:rPr>
          <w:spacing w:val="10"/>
        </w:rPr>
        <w:fldChar w:fldCharType="end"/>
      </w:r>
    </w:p>
    <w:p>
      <w:pPr>
        <w:pStyle w:val="20"/>
        <w:tabs>
          <w:tab w:val="right" w:leader="dot" w:pos="8306"/>
        </w:tabs>
      </w:pPr>
      <w:r>
        <w:rPr>
          <w:spacing w:val="10"/>
        </w:rPr>
        <w:fldChar w:fldCharType="begin"/>
      </w:r>
      <w:r>
        <w:rPr>
          <w:spacing w:val="10"/>
        </w:rPr>
        <w:instrText xml:space="preserve"> HYPERLINK \l _Toc26826 </w:instrText>
      </w:r>
      <w:r>
        <w:rPr>
          <w:spacing w:val="10"/>
        </w:rPr>
        <w:fldChar w:fldCharType="separate"/>
      </w:r>
      <w:r>
        <w:rPr>
          <w:rFonts w:eastAsia="黑体"/>
          <w:bCs w:val="0"/>
          <w:szCs w:val="28"/>
        </w:rPr>
        <w:t>附录A</w:t>
      </w:r>
      <w:r>
        <w:tab/>
      </w:r>
      <w:r>
        <w:fldChar w:fldCharType="begin"/>
      </w:r>
      <w:r>
        <w:instrText xml:space="preserve"> PAGEREF _Toc26826 </w:instrText>
      </w:r>
      <w:r>
        <w:fldChar w:fldCharType="separate"/>
      </w:r>
      <w:r>
        <w:t>8</w:t>
      </w:r>
      <w:r>
        <w:fldChar w:fldCharType="end"/>
      </w:r>
      <w:r>
        <w:rPr>
          <w:spacing w:val="10"/>
        </w:rPr>
        <w:fldChar w:fldCharType="end"/>
      </w:r>
    </w:p>
    <w:p>
      <w:pPr>
        <w:pStyle w:val="20"/>
        <w:tabs>
          <w:tab w:val="right" w:leader="dot" w:pos="8306"/>
        </w:tabs>
      </w:pPr>
      <w:r>
        <w:rPr>
          <w:spacing w:val="10"/>
        </w:rPr>
        <w:fldChar w:fldCharType="begin"/>
      </w:r>
      <w:r>
        <w:rPr>
          <w:spacing w:val="10"/>
        </w:rPr>
        <w:instrText xml:space="preserve"> HYPERLINK \l _Toc20086 </w:instrText>
      </w:r>
      <w:r>
        <w:rPr>
          <w:spacing w:val="10"/>
        </w:rPr>
        <w:fldChar w:fldCharType="separate"/>
      </w:r>
      <w:r>
        <w:rPr>
          <w:rFonts w:eastAsia="黑体"/>
          <w:bCs w:val="0"/>
          <w:szCs w:val="28"/>
        </w:rPr>
        <w:t>附录</w:t>
      </w:r>
      <w:r>
        <w:rPr>
          <w:rFonts w:hint="eastAsia" w:eastAsia="黑体"/>
          <w:bCs w:val="0"/>
          <w:szCs w:val="28"/>
          <w:lang w:val="en-US" w:eastAsia="zh-CN"/>
        </w:rPr>
        <w:t>B</w:t>
      </w:r>
      <w:r>
        <w:tab/>
      </w:r>
      <w:r>
        <w:fldChar w:fldCharType="begin"/>
      </w:r>
      <w:r>
        <w:instrText xml:space="preserve"> PAGEREF _Toc20086 </w:instrText>
      </w:r>
      <w:r>
        <w:fldChar w:fldCharType="separate"/>
      </w:r>
      <w:r>
        <w:t>10</w:t>
      </w:r>
      <w:r>
        <w:fldChar w:fldCharType="end"/>
      </w:r>
      <w:r>
        <w:rPr>
          <w:spacing w:val="10"/>
        </w:rPr>
        <w:fldChar w:fldCharType="end"/>
      </w:r>
    </w:p>
    <w:p>
      <w:pPr>
        <w:pStyle w:val="20"/>
        <w:tabs>
          <w:tab w:val="right" w:leader="dot" w:pos="8306"/>
        </w:tabs>
      </w:pPr>
      <w:r>
        <w:rPr>
          <w:spacing w:val="10"/>
        </w:rPr>
        <w:fldChar w:fldCharType="begin"/>
      </w:r>
      <w:r>
        <w:rPr>
          <w:spacing w:val="10"/>
        </w:rPr>
        <w:instrText xml:space="preserve"> HYPERLINK \l _Toc24797 </w:instrText>
      </w:r>
      <w:r>
        <w:rPr>
          <w:spacing w:val="10"/>
        </w:rPr>
        <w:fldChar w:fldCharType="separate"/>
      </w:r>
      <w:r>
        <w:rPr>
          <w:rFonts w:hint="eastAsia" w:eastAsia="黑体"/>
          <w:bCs w:val="0"/>
          <w:szCs w:val="28"/>
        </w:rPr>
        <w:t>附录</w:t>
      </w:r>
      <w:r>
        <w:rPr>
          <w:rFonts w:hint="eastAsia" w:eastAsia="黑体"/>
          <w:bCs w:val="0"/>
          <w:szCs w:val="28"/>
          <w:lang w:val="en-US" w:eastAsia="zh-CN"/>
        </w:rPr>
        <w:t>C</w:t>
      </w:r>
      <w:r>
        <w:tab/>
      </w:r>
      <w:r>
        <w:fldChar w:fldCharType="begin"/>
      </w:r>
      <w:r>
        <w:instrText xml:space="preserve"> PAGEREF _Toc24797 </w:instrText>
      </w:r>
      <w:r>
        <w:fldChar w:fldCharType="separate"/>
      </w:r>
      <w:r>
        <w:t>11</w:t>
      </w:r>
      <w:r>
        <w:fldChar w:fldCharType="end"/>
      </w:r>
      <w:r>
        <w:rPr>
          <w:spacing w:val="10"/>
        </w:rPr>
        <w:fldChar w:fldCharType="end"/>
      </w:r>
    </w:p>
    <w:p>
      <w:pPr>
        <w:spacing w:line="360" w:lineRule="auto"/>
        <w:jc w:val="center"/>
        <w:rPr>
          <w:spacing w:val="10"/>
          <w:sz w:val="28"/>
        </w:rPr>
      </w:pPr>
      <w:r>
        <w:rPr>
          <w:spacing w:val="10"/>
        </w:rPr>
        <w:fldChar w:fldCharType="end"/>
      </w:r>
      <w:r>
        <w:rPr>
          <w:spacing w:val="10"/>
          <w:sz w:val="28"/>
        </w:rPr>
        <w:br w:type="page"/>
      </w:r>
      <w:r>
        <w:rPr>
          <w:rFonts w:eastAsia="黑体"/>
          <w:spacing w:val="10"/>
          <w:sz w:val="44"/>
        </w:rPr>
        <w:t>引  言</w:t>
      </w:r>
    </w:p>
    <w:p>
      <w:pPr>
        <w:autoSpaceDE w:val="0"/>
        <w:autoSpaceDN w:val="0"/>
        <w:adjustRightInd w:val="0"/>
        <w:spacing w:line="360" w:lineRule="auto"/>
        <w:ind w:firstLine="480" w:firstLineChars="200"/>
        <w:jc w:val="both"/>
        <w:rPr>
          <w:rFonts w:hint="eastAsia"/>
          <w:kern w:val="0"/>
          <w:sz w:val="24"/>
        </w:rPr>
      </w:pPr>
      <w:r>
        <w:rPr>
          <w:kern w:val="0"/>
          <w:sz w:val="24"/>
        </w:rPr>
        <w:t>JJF 1071《国家计量校准规范编写规则》、JJF 1001《通用计量术语及定义》、JJF 1059.1《测量不确定度评定与表示》</w:t>
      </w:r>
      <w:r>
        <w:rPr>
          <w:rFonts w:hint="eastAsia"/>
          <w:kern w:val="0"/>
          <w:sz w:val="24"/>
        </w:rPr>
        <w:t>共同构成支撑校准规范制修订工作的基础性系列规范。</w:t>
      </w:r>
    </w:p>
    <w:p>
      <w:pPr>
        <w:autoSpaceDE w:val="0"/>
        <w:autoSpaceDN w:val="0"/>
        <w:adjustRightInd w:val="0"/>
        <w:spacing w:line="360" w:lineRule="auto"/>
        <w:ind w:firstLine="480" w:firstLineChars="200"/>
        <w:jc w:val="both"/>
      </w:pPr>
      <w:r>
        <w:rPr>
          <w:rFonts w:hint="eastAsia"/>
          <w:kern w:val="0"/>
          <w:sz w:val="24"/>
        </w:rPr>
        <w:t>本规范制定工作</w:t>
      </w:r>
      <w:r>
        <w:rPr>
          <w:rFonts w:hint="eastAsia"/>
          <w:kern w:val="0"/>
          <w:sz w:val="24"/>
          <w:lang w:val="en-US" w:eastAsia="zh-CN"/>
        </w:rPr>
        <w:t>主要</w:t>
      </w:r>
      <w:r>
        <w:rPr>
          <w:rFonts w:hint="eastAsia"/>
          <w:kern w:val="0"/>
          <w:sz w:val="24"/>
        </w:rPr>
        <w:t>参考了</w:t>
      </w:r>
      <w:r>
        <w:rPr>
          <w:sz w:val="24"/>
        </w:rPr>
        <w:t>AC-137-CA-2024-01</w:t>
      </w:r>
      <w:r>
        <w:rPr>
          <w:rFonts w:hint="eastAsia"/>
          <w:sz w:val="24"/>
        </w:rPr>
        <w:t>《机场道面外来物探测设备技术要求》及</w:t>
      </w:r>
      <w:r>
        <w:rPr>
          <w:sz w:val="24"/>
        </w:rPr>
        <w:t xml:space="preserve">MH5001-2021 </w:t>
      </w:r>
      <w:r>
        <w:rPr>
          <w:rFonts w:hint="eastAsia"/>
          <w:sz w:val="24"/>
        </w:rPr>
        <w:t>《民用机场飞行区技术标准》。</w:t>
      </w:r>
    </w:p>
    <w:p>
      <w:pPr>
        <w:autoSpaceDE w:val="0"/>
        <w:autoSpaceDN w:val="0"/>
        <w:adjustRightInd w:val="0"/>
        <w:spacing w:line="360" w:lineRule="auto"/>
        <w:ind w:firstLine="480" w:firstLineChars="200"/>
        <w:jc w:val="left"/>
        <w:rPr>
          <w:bCs/>
          <w:sz w:val="24"/>
        </w:rPr>
      </w:pPr>
      <w:r>
        <w:rPr>
          <w:bCs/>
          <w:sz w:val="24"/>
        </w:rPr>
        <w:t>本规范为首次</w:t>
      </w:r>
      <w:r>
        <w:rPr>
          <w:rFonts w:hint="eastAsia"/>
          <w:bCs/>
          <w:sz w:val="24"/>
        </w:rPr>
        <w:t>发布</w:t>
      </w:r>
      <w:r>
        <w:rPr>
          <w:bCs/>
          <w:sz w:val="24"/>
        </w:rPr>
        <w:t>。</w:t>
      </w:r>
    </w:p>
    <w:p>
      <w:pPr>
        <w:widowControl/>
        <w:autoSpaceDE w:val="0"/>
        <w:autoSpaceDN w:val="0"/>
        <w:spacing w:line="400" w:lineRule="exact"/>
        <w:ind w:firstLine="480" w:firstLineChars="200"/>
        <w:rPr>
          <w:sz w:val="24"/>
        </w:rPr>
        <w:sectPr>
          <w:footerReference r:id="rId13" w:type="first"/>
          <w:footerReference r:id="rId12" w:type="even"/>
          <w:pgSz w:w="11906" w:h="16838"/>
          <w:pgMar w:top="1440" w:right="1800" w:bottom="1440" w:left="1800" w:header="851" w:footer="992" w:gutter="0"/>
          <w:pgBorders>
            <w:top w:val="none" w:sz="0" w:space="0"/>
            <w:left w:val="none" w:sz="0" w:space="0"/>
            <w:bottom w:val="none" w:sz="0" w:space="0"/>
            <w:right w:val="none" w:sz="0" w:space="0"/>
          </w:pgBorders>
          <w:pgNumType w:fmt="upperRoman" w:start="1"/>
          <w:cols w:space="720" w:num="1"/>
          <w:titlePg/>
          <w:docGrid w:type="lines" w:linePitch="312" w:charSpace="0"/>
        </w:sectPr>
      </w:pPr>
    </w:p>
    <w:bookmarkEnd w:id="0"/>
    <w:p>
      <w:pPr>
        <w:spacing w:line="360" w:lineRule="auto"/>
        <w:jc w:val="center"/>
        <w:rPr>
          <w:rFonts w:eastAsia="黑体"/>
          <w:sz w:val="32"/>
        </w:rPr>
      </w:pPr>
      <w:r>
        <w:rPr>
          <w:rFonts w:hint="eastAsia" w:eastAsia="黑体"/>
          <w:sz w:val="32"/>
        </w:rPr>
        <w:t>基于毫米波雷达的边灯固定式</w:t>
      </w:r>
      <w:r>
        <w:rPr>
          <w:rFonts w:eastAsia="黑体"/>
          <w:sz w:val="32"/>
        </w:rPr>
        <w:t>机场道面外来物探测设备</w:t>
      </w:r>
    </w:p>
    <w:p>
      <w:pPr>
        <w:spacing w:line="360" w:lineRule="auto"/>
        <w:jc w:val="center"/>
        <w:rPr>
          <w:rFonts w:eastAsia="黑体"/>
          <w:sz w:val="32"/>
        </w:rPr>
      </w:pPr>
      <w:r>
        <w:rPr>
          <w:rFonts w:hint="eastAsia" w:eastAsia="黑体"/>
          <w:sz w:val="32"/>
        </w:rPr>
        <w:t>校准</w:t>
      </w:r>
      <w:r>
        <w:rPr>
          <w:rFonts w:eastAsia="黑体"/>
          <w:sz w:val="32"/>
        </w:rPr>
        <w:t>规范</w:t>
      </w:r>
    </w:p>
    <w:p>
      <w:pPr>
        <w:pStyle w:val="2"/>
        <w:spacing w:before="0" w:after="0" w:line="480" w:lineRule="auto"/>
        <w:rPr>
          <w:rFonts w:eastAsia="黑体"/>
          <w:b w:val="0"/>
          <w:sz w:val="24"/>
          <w:szCs w:val="24"/>
        </w:rPr>
      </w:pPr>
      <w:bookmarkStart w:id="3" w:name="_Toc57699120"/>
      <w:bookmarkStart w:id="4" w:name="_Toc57699038"/>
      <w:bookmarkStart w:id="5" w:name="_Toc2670"/>
      <w:bookmarkStart w:id="6" w:name="_Toc37009633"/>
      <w:r>
        <w:rPr>
          <w:rFonts w:eastAsia="黑体"/>
          <w:b w:val="0"/>
          <w:sz w:val="24"/>
          <w:szCs w:val="24"/>
        </w:rPr>
        <w:t>1.范围</w:t>
      </w:r>
      <w:bookmarkEnd w:id="3"/>
      <w:bookmarkEnd w:id="4"/>
      <w:bookmarkEnd w:id="5"/>
      <w:bookmarkEnd w:id="6"/>
    </w:p>
    <w:p>
      <w:pPr>
        <w:spacing w:line="520" w:lineRule="exact"/>
        <w:ind w:firstLine="480" w:firstLineChars="200"/>
        <w:rPr>
          <w:sz w:val="24"/>
        </w:rPr>
      </w:pPr>
      <w:r>
        <w:rPr>
          <w:rFonts w:hint="eastAsia"/>
          <w:sz w:val="24"/>
        </w:rPr>
        <w:t>本规范适用于以毫米波雷达为核心测量单元的边灯固定式</w:t>
      </w:r>
      <w:r>
        <w:rPr>
          <w:sz w:val="24"/>
        </w:rPr>
        <w:t>机场道面外来物雷达探测设备</w:t>
      </w:r>
      <w:r>
        <w:rPr>
          <w:rFonts w:hint="eastAsia"/>
          <w:sz w:val="24"/>
        </w:rPr>
        <w:t>（以下简称“探测设备”）</w:t>
      </w:r>
      <w:r>
        <w:rPr>
          <w:sz w:val="24"/>
        </w:rPr>
        <w:t>的</w:t>
      </w:r>
      <w:r>
        <w:rPr>
          <w:rFonts w:hint="eastAsia"/>
          <w:sz w:val="24"/>
        </w:rPr>
        <w:t>校准。</w:t>
      </w:r>
    </w:p>
    <w:p>
      <w:pPr>
        <w:pStyle w:val="2"/>
        <w:spacing w:before="0" w:after="0" w:line="480" w:lineRule="auto"/>
        <w:rPr>
          <w:rFonts w:eastAsia="黑体"/>
          <w:b w:val="0"/>
          <w:sz w:val="24"/>
          <w:szCs w:val="24"/>
        </w:rPr>
      </w:pPr>
      <w:bookmarkStart w:id="7" w:name="_Toc23210"/>
      <w:r>
        <w:rPr>
          <w:rFonts w:eastAsia="黑体"/>
          <w:b w:val="0"/>
          <w:sz w:val="24"/>
          <w:szCs w:val="24"/>
        </w:rPr>
        <w:t>2.引用文件</w:t>
      </w:r>
      <w:bookmarkEnd w:id="7"/>
    </w:p>
    <w:p>
      <w:pPr>
        <w:pStyle w:val="10"/>
        <w:spacing w:line="312" w:lineRule="auto"/>
        <w:ind w:firstLine="480" w:firstLineChars="200"/>
      </w:pPr>
      <w:r>
        <w:t>本规范引用了下列文件：</w:t>
      </w:r>
    </w:p>
    <w:p>
      <w:pPr>
        <w:pStyle w:val="10"/>
        <w:spacing w:line="312" w:lineRule="auto"/>
        <w:ind w:firstLine="480" w:firstLineChars="200"/>
        <w:rPr>
          <w:rFonts w:hint="eastAsia"/>
        </w:rPr>
      </w:pPr>
      <w:bookmarkStart w:id="8" w:name="_Hlk130818652"/>
      <w:r>
        <w:rPr>
          <w:rFonts w:hint="eastAsia"/>
        </w:rPr>
        <w:t>JJF 1071《国家计量校准规范编写规则》</w:t>
      </w:r>
    </w:p>
    <w:p>
      <w:pPr>
        <w:pStyle w:val="10"/>
        <w:spacing w:line="312" w:lineRule="auto"/>
        <w:ind w:firstLine="480" w:firstLineChars="200"/>
        <w:rPr>
          <w:rFonts w:hint="eastAsia"/>
        </w:rPr>
      </w:pPr>
      <w:r>
        <w:rPr>
          <w:rFonts w:hint="eastAsia"/>
        </w:rPr>
        <w:t>JJF 1001《通用计量术语及定义》</w:t>
      </w:r>
    </w:p>
    <w:p>
      <w:pPr>
        <w:pStyle w:val="10"/>
        <w:spacing w:line="312" w:lineRule="auto"/>
        <w:ind w:firstLine="480" w:firstLineChars="200"/>
        <w:rPr>
          <w:rFonts w:hint="eastAsia"/>
        </w:rPr>
      </w:pPr>
      <w:r>
        <w:rPr>
          <w:rFonts w:hint="eastAsia"/>
        </w:rPr>
        <w:t>JJF 1059.1《测量不确定度评定与表示》</w:t>
      </w:r>
    </w:p>
    <w:p>
      <w:pPr>
        <w:pStyle w:val="10"/>
        <w:spacing w:line="312" w:lineRule="auto"/>
        <w:ind w:firstLine="480" w:firstLineChars="200"/>
        <w:rPr>
          <w:rFonts w:hint="eastAsia"/>
        </w:rPr>
      </w:pPr>
      <w:r>
        <w:rPr>
          <w:rFonts w:hint="eastAsia"/>
        </w:rPr>
        <w:t>MH5001</w:t>
      </w:r>
      <w:r>
        <w:rPr>
          <w:rFonts w:hint="eastAsia"/>
          <w:lang w:val="en-US" w:eastAsia="zh-CN"/>
        </w:rPr>
        <w:t>-2013</w:t>
      </w:r>
      <w:r>
        <w:rPr>
          <w:rFonts w:hint="eastAsia"/>
        </w:rPr>
        <w:t>《民用机场飞行区技术标准》</w:t>
      </w:r>
    </w:p>
    <w:p>
      <w:pPr>
        <w:pStyle w:val="10"/>
        <w:spacing w:line="312" w:lineRule="auto"/>
        <w:ind w:firstLine="480" w:firstLineChars="200"/>
        <w:rPr>
          <w:rFonts w:hint="eastAsia" w:eastAsia="宋体"/>
          <w:sz w:val="24"/>
          <w:lang w:eastAsia="zh-CN"/>
        </w:rPr>
      </w:pPr>
      <w:r>
        <w:rPr>
          <w:sz w:val="24"/>
        </w:rPr>
        <w:t>AC-137-CA-2024-01</w:t>
      </w:r>
      <w:r>
        <w:rPr>
          <w:rFonts w:hint="eastAsia"/>
          <w:sz w:val="24"/>
        </w:rPr>
        <w:t>《机场道面外来物探测设备技术要求》</w:t>
      </w:r>
    </w:p>
    <w:p>
      <w:pPr>
        <w:pStyle w:val="10"/>
        <w:spacing w:line="312" w:lineRule="auto"/>
        <w:ind w:firstLine="480" w:firstLineChars="200"/>
        <w:rPr>
          <w:rFonts w:hint="default" w:eastAsia="宋体"/>
          <w:lang w:val="en-US" w:eastAsia="zh-CN"/>
        </w:rPr>
      </w:pPr>
      <w:r>
        <w:rPr>
          <w:rFonts w:hint="eastAsia"/>
          <w:lang w:val="en-US" w:eastAsia="zh-CN"/>
        </w:rPr>
        <w:t>凡是注日期的引用文件，仅注日期的版本适用于本规范；凡是不注日期的引用文件，其最新版本（包括所有的修改单）适用于本规范。</w:t>
      </w:r>
    </w:p>
    <w:bookmarkEnd w:id="8"/>
    <w:p>
      <w:pPr>
        <w:pStyle w:val="2"/>
        <w:spacing w:before="0" w:after="0" w:line="480" w:lineRule="auto"/>
        <w:rPr>
          <w:rFonts w:eastAsia="黑体"/>
          <w:b w:val="0"/>
          <w:sz w:val="24"/>
          <w:szCs w:val="24"/>
        </w:rPr>
      </w:pPr>
      <w:bookmarkStart w:id="9" w:name="_Toc4141"/>
      <w:r>
        <w:rPr>
          <w:rFonts w:eastAsia="黑体"/>
          <w:b w:val="0"/>
          <w:sz w:val="24"/>
          <w:szCs w:val="24"/>
        </w:rPr>
        <w:t>3.术语</w:t>
      </w:r>
      <w:bookmarkEnd w:id="9"/>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sz w:val="24"/>
        </w:rPr>
      </w:pPr>
      <w:r>
        <w:rPr>
          <w:rFonts w:hint="eastAsia"/>
          <w:sz w:val="24"/>
        </w:rPr>
        <w:t>3</w:t>
      </w:r>
      <w:r>
        <w:rPr>
          <w:sz w:val="24"/>
        </w:rPr>
        <w:t>.1机场道面外来物探测设备</w:t>
      </w:r>
      <w:r>
        <w:rPr>
          <w:rFonts w:hint="eastAsia"/>
          <w:sz w:val="24"/>
        </w:rPr>
        <w:t>（</w:t>
      </w:r>
      <w:r>
        <w:rPr>
          <w:sz w:val="24"/>
        </w:rPr>
        <w:t>Airport pavement foreign object detection equipment</w:t>
      </w:r>
      <w:r>
        <w:rPr>
          <w:rFonts w:hint="eastAsia"/>
          <w:sz w:val="24"/>
        </w:rPr>
        <w:t>）</w:t>
      </w:r>
    </w:p>
    <w:p>
      <w:pPr>
        <w:spacing w:line="360" w:lineRule="auto"/>
        <w:ind w:firstLine="480" w:firstLineChars="200"/>
        <w:rPr>
          <w:sz w:val="24"/>
        </w:rPr>
      </w:pPr>
      <w:r>
        <w:rPr>
          <w:sz w:val="24"/>
        </w:rPr>
        <w:t>机场道面外来物探测设备</w:t>
      </w:r>
      <w:r>
        <w:rPr>
          <w:rFonts w:hint="eastAsia"/>
          <w:sz w:val="24"/>
        </w:rPr>
        <w:t>是用于探测机场道面中</w:t>
      </w:r>
      <w:r>
        <w:rPr>
          <w:sz w:val="24"/>
        </w:rPr>
        <w:t>损伤航空器、设备或威胁机场工作人员和乘客生命安全的外来物体</w:t>
      </w:r>
      <w:r>
        <w:rPr>
          <w:rFonts w:hint="eastAsia"/>
          <w:sz w:val="24"/>
        </w:rPr>
        <w:t>的设备。</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sz w:val="24"/>
        </w:rPr>
      </w:pPr>
      <w:r>
        <w:rPr>
          <w:sz w:val="24"/>
        </w:rPr>
        <w:t>3.2 活动区（Movement Area）</w:t>
      </w:r>
    </w:p>
    <w:p>
      <w:pPr>
        <w:spacing w:line="360" w:lineRule="auto"/>
        <w:ind w:firstLine="480" w:firstLineChars="200"/>
        <w:rPr>
          <w:sz w:val="24"/>
        </w:rPr>
      </w:pPr>
      <w:r>
        <w:rPr>
          <w:sz w:val="24"/>
        </w:rPr>
        <w:t>飞行区内供航空器起飞、着陆和滑行使用的部分，包括跑道、滑行道和停机坪。</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sz w:val="24"/>
        </w:rPr>
      </w:pPr>
      <w:r>
        <w:rPr>
          <w:sz w:val="24"/>
        </w:rPr>
        <w:t>3.3 测试场地（Test Site）</w:t>
      </w:r>
    </w:p>
    <w:p>
      <w:pPr>
        <w:spacing w:line="360" w:lineRule="auto"/>
        <w:ind w:firstLine="480" w:firstLineChars="200"/>
        <w:rPr>
          <w:sz w:val="24"/>
        </w:rPr>
      </w:pPr>
      <w:r>
        <w:rPr>
          <w:sz w:val="24"/>
        </w:rPr>
        <w:t>活动区（或等效于活动区）</w:t>
      </w:r>
      <w:r>
        <w:rPr>
          <w:rFonts w:hint="eastAsia"/>
          <w:sz w:val="24"/>
          <w:lang w:val="en-US" w:eastAsia="zh-CN"/>
        </w:rPr>
        <w:t>地面上用于摆放标准样件进行探测设备校准</w:t>
      </w:r>
      <w:r>
        <w:rPr>
          <w:sz w:val="24"/>
        </w:rPr>
        <w:t>的矩形场地</w:t>
      </w:r>
      <w:r>
        <w:rPr>
          <w:rFonts w:hint="eastAsia"/>
          <w:sz w:val="24"/>
          <w:lang w:eastAsia="zh-CN"/>
        </w:rPr>
        <w:t>，</w:t>
      </w:r>
      <w:r>
        <w:rPr>
          <w:rFonts w:hint="eastAsia"/>
          <w:sz w:val="24"/>
          <w:lang w:val="en-US" w:eastAsia="zh-CN"/>
        </w:rPr>
        <w:t>尺寸不小于150m×40m</w:t>
      </w:r>
      <w:r>
        <w:rPr>
          <w:sz w:val="24"/>
        </w:rPr>
        <w:t>。</w:t>
      </w:r>
    </w:p>
    <w:p>
      <w:pPr>
        <w:widowControl/>
        <w:shd w:val="clear" w:color="auto" w:fill="FFFFFF"/>
        <w:spacing w:line="360" w:lineRule="auto"/>
        <w:jc w:val="left"/>
        <w:textAlignment w:val="top"/>
        <w:outlineLvl w:val="1"/>
        <w:rPr>
          <w:sz w:val="24"/>
        </w:rPr>
      </w:pPr>
      <w:r>
        <w:rPr>
          <w:sz w:val="24"/>
        </w:rPr>
        <w:t>3.4 外来物（Foreign Object Debris（FOD））</w:t>
      </w:r>
    </w:p>
    <w:p>
      <w:pPr>
        <w:spacing w:line="360" w:lineRule="auto"/>
        <w:ind w:firstLine="480" w:firstLineChars="200"/>
        <w:rPr>
          <w:sz w:val="24"/>
        </w:rPr>
      </w:pPr>
      <w:r>
        <w:rPr>
          <w:sz w:val="24"/>
        </w:rPr>
        <w:t>活动区地面上可能会损伤航空器、设备或威胁机场工作人员和乘客生命安全的外来物体。</w:t>
      </w:r>
    </w:p>
    <w:p>
      <w:pPr>
        <w:spacing w:line="360" w:lineRule="auto"/>
        <w:outlineLvl w:val="1"/>
        <w:rPr>
          <w:sz w:val="24"/>
        </w:rPr>
      </w:pPr>
      <w:r>
        <w:rPr>
          <w:sz w:val="24"/>
        </w:rPr>
        <w:t xml:space="preserve">3.5 </w:t>
      </w:r>
      <w:r>
        <w:rPr>
          <w:rFonts w:hint="eastAsia"/>
          <w:sz w:val="24"/>
        </w:rPr>
        <w:t>测试用</w:t>
      </w:r>
      <w:r>
        <w:rPr>
          <w:sz w:val="24"/>
        </w:rPr>
        <w:t xml:space="preserve">标准样件（Standard FOD Items </w:t>
      </w:r>
      <w:r>
        <w:rPr>
          <w:rFonts w:hint="eastAsia"/>
          <w:sz w:val="24"/>
        </w:rPr>
        <w:t>for</w:t>
      </w:r>
      <w:r>
        <w:rPr>
          <w:sz w:val="24"/>
        </w:rPr>
        <w:t xml:space="preserve"> </w:t>
      </w:r>
      <w:r>
        <w:rPr>
          <w:rFonts w:hint="eastAsia"/>
          <w:sz w:val="24"/>
        </w:rPr>
        <w:t>test</w:t>
      </w:r>
      <w:r>
        <w:rPr>
          <w:sz w:val="24"/>
        </w:rPr>
        <w:t>）</w:t>
      </w:r>
    </w:p>
    <w:p>
      <w:pPr>
        <w:spacing w:line="360" w:lineRule="auto"/>
        <w:ind w:firstLine="480" w:firstLineChars="200"/>
        <w:rPr>
          <w:color w:val="000000"/>
          <w:sz w:val="24"/>
        </w:rPr>
      </w:pPr>
      <w:r>
        <w:rPr>
          <w:color w:val="000000"/>
          <w:sz w:val="24"/>
        </w:rPr>
        <w:t>用于评估探测设备探测能力的一组物体。</w:t>
      </w:r>
    </w:p>
    <w:p>
      <w:pPr>
        <w:pStyle w:val="2"/>
        <w:spacing w:before="0" w:after="0" w:line="480" w:lineRule="auto"/>
        <w:rPr>
          <w:rFonts w:eastAsia="黑体"/>
          <w:b w:val="0"/>
          <w:sz w:val="24"/>
          <w:szCs w:val="24"/>
        </w:rPr>
      </w:pPr>
      <w:bookmarkStart w:id="10" w:name="_Toc57699039"/>
      <w:bookmarkStart w:id="11" w:name="_Toc11058"/>
      <w:bookmarkStart w:id="12" w:name="_Toc57699121"/>
      <w:bookmarkStart w:id="13" w:name="_Toc37009634"/>
      <w:r>
        <w:rPr>
          <w:rFonts w:eastAsia="黑体"/>
          <w:b w:val="0"/>
          <w:sz w:val="24"/>
          <w:szCs w:val="24"/>
        </w:rPr>
        <w:t>4.概述</w:t>
      </w:r>
      <w:bookmarkEnd w:id="10"/>
      <w:bookmarkEnd w:id="11"/>
      <w:bookmarkEnd w:id="12"/>
      <w:bookmarkEnd w:id="13"/>
    </w:p>
    <w:p>
      <w:pPr>
        <w:spacing w:line="360" w:lineRule="auto"/>
        <w:ind w:firstLine="480" w:firstLineChars="200"/>
        <w:rPr>
          <w:sz w:val="24"/>
        </w:rPr>
      </w:pPr>
      <w:r>
        <w:rPr>
          <w:sz w:val="24"/>
        </w:rPr>
        <w:t>机场道面外来物探测设备是自动探测机场活动区内FOD的设备，并具有告警和历史记录查询等功能，提高机场外来物监测能力。</w:t>
      </w:r>
    </w:p>
    <w:p>
      <w:pPr>
        <w:spacing w:line="360" w:lineRule="auto"/>
        <w:ind w:firstLine="480" w:firstLineChars="200"/>
        <w:rPr>
          <w:sz w:val="24"/>
        </w:rPr>
      </w:pPr>
      <w:r>
        <w:rPr>
          <w:rFonts w:hint="eastAsia"/>
          <w:sz w:val="24"/>
          <w:lang w:bidi="en-US"/>
        </w:rPr>
        <w:t>机场道面外来物探测设备</w:t>
      </w:r>
      <w:r>
        <w:rPr>
          <w:rFonts w:hint="eastAsia"/>
          <w:sz w:val="24"/>
        </w:rPr>
        <w:t>主要包括雷达探测传感器、光学记录传感器、网络传输组件以及信息管理软件等，其中雷达探测传感器通常由雷达天线及透波罩，信号处理，扫描机构，系统电源组成；光学确认传感器由光学系统及光电转换探测器组成；网络传输组件通常由光纤网络、存储服务器等组成，信息管理软件则根据不同使用需求定制化使用。</w:t>
      </w:r>
    </w:p>
    <w:p>
      <w:pPr>
        <w:spacing w:line="360" w:lineRule="auto"/>
        <w:ind w:firstLine="480" w:firstLineChars="200"/>
        <w:rPr>
          <w:sz w:val="24"/>
        </w:rPr>
      </w:pPr>
      <w:r>
        <w:rPr>
          <w:sz w:val="24"/>
        </w:rPr>
        <w:t>根据安装位置和监视区域划分，机场道面外来物探测</w:t>
      </w:r>
      <w:r>
        <w:rPr>
          <w:rFonts w:hint="eastAsia"/>
          <w:sz w:val="24"/>
        </w:rPr>
        <w:t>设备</w:t>
      </w:r>
      <w:r>
        <w:rPr>
          <w:sz w:val="24"/>
        </w:rPr>
        <w:t>有单覆盖、双覆盖或多重覆盖等方式。</w:t>
      </w:r>
    </w:p>
    <w:p>
      <w:pPr>
        <w:pStyle w:val="2"/>
        <w:spacing w:before="0" w:after="0" w:line="480" w:lineRule="auto"/>
        <w:rPr>
          <w:rFonts w:eastAsia="黑体"/>
          <w:b w:val="0"/>
          <w:sz w:val="24"/>
          <w:szCs w:val="24"/>
        </w:rPr>
      </w:pPr>
      <w:bookmarkStart w:id="14" w:name="_Toc23782"/>
      <w:r>
        <w:rPr>
          <w:rFonts w:eastAsia="黑体"/>
          <w:b w:val="0"/>
          <w:sz w:val="24"/>
          <w:szCs w:val="24"/>
        </w:rPr>
        <w:t>5.计量特性</w:t>
      </w:r>
      <w:bookmarkEnd w:id="14"/>
    </w:p>
    <w:p>
      <w:pPr>
        <w:spacing w:line="360" w:lineRule="auto"/>
        <w:jc w:val="left"/>
        <w:rPr>
          <w:rFonts w:hint="eastAsia"/>
          <w:sz w:val="24"/>
        </w:rPr>
      </w:pPr>
      <w:bookmarkStart w:id="15" w:name="_Hlk130820442"/>
      <w:r>
        <w:rPr>
          <w:rFonts w:hint="eastAsia"/>
          <w:sz w:val="24"/>
        </w:rPr>
        <w:t>5</w:t>
      </w:r>
      <w:r>
        <w:rPr>
          <w:sz w:val="24"/>
        </w:rPr>
        <w:t xml:space="preserve">.1 </w:t>
      </w:r>
      <w:r>
        <w:rPr>
          <w:rFonts w:hint="eastAsia"/>
          <w:sz w:val="24"/>
        </w:rPr>
        <w:t>探测范围</w:t>
      </w:r>
    </w:p>
    <w:p>
      <w:pPr>
        <w:spacing w:line="360" w:lineRule="auto"/>
        <w:ind w:firstLine="480" w:firstLineChars="200"/>
        <w:jc w:val="left"/>
        <w:rPr>
          <w:sz w:val="24"/>
        </w:rPr>
      </w:pPr>
      <w:r>
        <w:rPr>
          <w:rFonts w:hint="eastAsia"/>
          <w:sz w:val="24"/>
        </w:rPr>
        <w:t>探测设备应覆盖机场跑道区域，探测范围不小于6</w:t>
      </w:r>
      <w:r>
        <w:rPr>
          <w:sz w:val="24"/>
        </w:rPr>
        <w:t>8</w:t>
      </w:r>
      <w:r>
        <w:rPr>
          <w:rFonts w:hint="eastAsia"/>
          <w:sz w:val="24"/>
        </w:rPr>
        <w:t>m；</w:t>
      </w:r>
    </w:p>
    <w:p>
      <w:pPr>
        <w:spacing w:line="360" w:lineRule="auto"/>
        <w:jc w:val="left"/>
        <w:rPr>
          <w:rFonts w:hint="eastAsia"/>
          <w:sz w:val="24"/>
        </w:rPr>
      </w:pPr>
      <w:r>
        <w:rPr>
          <w:rFonts w:hint="eastAsia"/>
          <w:sz w:val="24"/>
        </w:rPr>
        <w:t>5</w:t>
      </w:r>
      <w:r>
        <w:rPr>
          <w:sz w:val="24"/>
        </w:rPr>
        <w:t>.2</w:t>
      </w:r>
      <w:r>
        <w:rPr>
          <w:rFonts w:hint="eastAsia"/>
          <w:sz w:val="24"/>
        </w:rPr>
        <w:t>标准样件检出率</w:t>
      </w:r>
    </w:p>
    <w:p>
      <w:pPr>
        <w:spacing w:line="360" w:lineRule="auto"/>
        <w:ind w:firstLine="480" w:firstLineChars="200"/>
        <w:jc w:val="left"/>
        <w:rPr>
          <w:sz w:val="24"/>
        </w:rPr>
      </w:pPr>
      <w:r>
        <w:rPr>
          <w:rFonts w:hint="eastAsia"/>
          <w:sz w:val="24"/>
        </w:rPr>
        <w:t>大于9</w:t>
      </w:r>
      <w:r>
        <w:rPr>
          <w:sz w:val="24"/>
        </w:rPr>
        <w:t>5%</w:t>
      </w:r>
      <w:r>
        <w:rPr>
          <w:rFonts w:hint="eastAsia"/>
          <w:sz w:val="24"/>
        </w:rPr>
        <w:t>；</w:t>
      </w:r>
    </w:p>
    <w:p>
      <w:pPr>
        <w:spacing w:line="360" w:lineRule="auto"/>
        <w:jc w:val="left"/>
        <w:rPr>
          <w:rFonts w:hint="eastAsia"/>
          <w:sz w:val="24"/>
        </w:rPr>
      </w:pPr>
      <w:r>
        <w:rPr>
          <w:rFonts w:hint="eastAsia"/>
          <w:sz w:val="24"/>
        </w:rPr>
        <w:t>5</w:t>
      </w:r>
      <w:r>
        <w:rPr>
          <w:sz w:val="24"/>
        </w:rPr>
        <w:t xml:space="preserve">.3 </w:t>
      </w:r>
      <w:r>
        <w:rPr>
          <w:rFonts w:hint="eastAsia"/>
          <w:sz w:val="24"/>
        </w:rPr>
        <w:t>测距示值误差</w:t>
      </w:r>
    </w:p>
    <w:p>
      <w:pPr>
        <w:spacing w:line="360" w:lineRule="auto"/>
        <w:ind w:firstLine="480" w:firstLineChars="200"/>
        <w:jc w:val="left"/>
        <w:rPr>
          <w:sz w:val="24"/>
        </w:rPr>
      </w:pPr>
      <w:r>
        <w:rPr>
          <w:rFonts w:hint="eastAsia"/>
          <w:sz w:val="24"/>
        </w:rPr>
        <w:t>不大于1m；</w:t>
      </w:r>
    </w:p>
    <w:p>
      <w:pPr>
        <w:spacing w:line="360" w:lineRule="auto"/>
        <w:jc w:val="left"/>
        <w:rPr>
          <w:rFonts w:hint="eastAsia"/>
          <w:sz w:val="24"/>
        </w:rPr>
      </w:pPr>
      <w:r>
        <w:rPr>
          <w:rFonts w:hint="eastAsia"/>
          <w:sz w:val="24"/>
        </w:rPr>
        <w:t>5</w:t>
      </w:r>
      <w:r>
        <w:rPr>
          <w:sz w:val="24"/>
        </w:rPr>
        <w:t xml:space="preserve">.4 </w:t>
      </w:r>
      <w:r>
        <w:rPr>
          <w:rFonts w:hint="eastAsia"/>
          <w:sz w:val="24"/>
        </w:rPr>
        <w:t>测角示值误差</w:t>
      </w:r>
    </w:p>
    <w:p>
      <w:pPr>
        <w:spacing w:line="360" w:lineRule="auto"/>
        <w:ind w:firstLine="480" w:firstLineChars="200"/>
        <w:jc w:val="left"/>
        <w:rPr>
          <w:sz w:val="24"/>
        </w:rPr>
      </w:pPr>
      <w:r>
        <w:rPr>
          <w:rFonts w:hint="eastAsia"/>
          <w:sz w:val="24"/>
        </w:rPr>
        <w:t>不大于1°；</w:t>
      </w:r>
    </w:p>
    <w:p>
      <w:pPr>
        <w:spacing w:line="360" w:lineRule="auto"/>
        <w:jc w:val="left"/>
        <w:rPr>
          <w:rFonts w:hint="eastAsia"/>
          <w:sz w:val="24"/>
        </w:rPr>
      </w:pPr>
      <w:r>
        <w:rPr>
          <w:rFonts w:hint="eastAsia"/>
          <w:sz w:val="24"/>
        </w:rPr>
        <w:t>5</w:t>
      </w:r>
      <w:r>
        <w:rPr>
          <w:sz w:val="24"/>
        </w:rPr>
        <w:t xml:space="preserve">.5 </w:t>
      </w:r>
      <w:r>
        <w:rPr>
          <w:rFonts w:hint="eastAsia"/>
          <w:sz w:val="24"/>
        </w:rPr>
        <w:t>响应时间</w:t>
      </w:r>
    </w:p>
    <w:p>
      <w:pPr>
        <w:spacing w:line="360" w:lineRule="auto"/>
        <w:ind w:firstLine="480" w:firstLineChars="200"/>
        <w:jc w:val="left"/>
        <w:rPr>
          <w:rFonts w:hint="eastAsia"/>
          <w:sz w:val="24"/>
        </w:rPr>
      </w:pPr>
      <w:r>
        <w:rPr>
          <w:rFonts w:hint="eastAsia"/>
          <w:sz w:val="24"/>
        </w:rPr>
        <w:t>应用于交通密度高机场的设备，出现FOD时不大于2min更新信息；其他情况，不大于4min更新信息。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default" w:eastAsia="宋体"/>
          <w:sz w:val="24"/>
          <w:lang w:val="en-US" w:eastAsia="zh-CN"/>
        </w:rPr>
      </w:pPr>
      <w:r>
        <w:rPr>
          <w:rFonts w:hint="eastAsia"/>
          <w:sz w:val="24"/>
          <w:lang w:val="en-US" w:eastAsia="zh-CN"/>
        </w:rPr>
        <w:t>注：本技术指标仅作为参考，不作为合格性判定。</w:t>
      </w:r>
    </w:p>
    <w:bookmarkEnd w:id="15"/>
    <w:p>
      <w:pPr>
        <w:pStyle w:val="2"/>
        <w:spacing w:before="0" w:after="0" w:line="480" w:lineRule="auto"/>
        <w:rPr>
          <w:rFonts w:eastAsia="黑体"/>
          <w:b w:val="0"/>
          <w:sz w:val="24"/>
          <w:szCs w:val="24"/>
        </w:rPr>
      </w:pPr>
      <w:bookmarkStart w:id="16" w:name="_Toc24368"/>
      <w:r>
        <w:rPr>
          <w:rFonts w:eastAsia="黑体"/>
          <w:b w:val="0"/>
          <w:sz w:val="24"/>
          <w:szCs w:val="24"/>
        </w:rPr>
        <w:t>6.</w:t>
      </w:r>
      <w:r>
        <w:rPr>
          <w:rFonts w:hint="eastAsia" w:eastAsia="黑体"/>
          <w:b w:val="0"/>
          <w:sz w:val="24"/>
          <w:szCs w:val="24"/>
        </w:rPr>
        <w:t>校准</w:t>
      </w:r>
      <w:r>
        <w:rPr>
          <w:rFonts w:eastAsia="黑体"/>
          <w:b w:val="0"/>
          <w:sz w:val="24"/>
          <w:szCs w:val="24"/>
        </w:rPr>
        <w:t>条件</w:t>
      </w:r>
      <w:bookmarkEnd w:id="16"/>
    </w:p>
    <w:p>
      <w:pPr>
        <w:spacing w:line="360" w:lineRule="auto"/>
        <w:outlineLvl w:val="1"/>
        <w:rPr>
          <w:sz w:val="24"/>
        </w:rPr>
      </w:pPr>
      <w:r>
        <w:rPr>
          <w:sz w:val="24"/>
        </w:rPr>
        <w:t>6.1 环境条件</w:t>
      </w:r>
    </w:p>
    <w:p>
      <w:pPr>
        <w:spacing w:line="360" w:lineRule="auto"/>
        <w:rPr>
          <w:rFonts w:hint="eastAsia"/>
          <w:sz w:val="24"/>
        </w:rPr>
      </w:pPr>
      <w:r>
        <w:rPr>
          <w:sz w:val="24"/>
        </w:rPr>
        <w:t>6.1.1环境温度：-</w:t>
      </w:r>
      <w:r>
        <w:rPr>
          <w:rFonts w:hint="eastAsia"/>
          <w:sz w:val="24"/>
          <w:lang w:val="en-US" w:eastAsia="zh-CN"/>
        </w:rPr>
        <w:t>10</w:t>
      </w:r>
      <w:r>
        <w:rPr>
          <w:sz w:val="24"/>
        </w:rPr>
        <w:t>℃~</w:t>
      </w:r>
      <w:r>
        <w:rPr>
          <w:rFonts w:hint="eastAsia"/>
          <w:sz w:val="24"/>
          <w:lang w:val="en-US" w:eastAsia="zh-CN"/>
        </w:rPr>
        <w:t>40</w:t>
      </w:r>
      <w:r>
        <w:rPr>
          <w:sz w:val="24"/>
        </w:rPr>
        <w:t>℃</w:t>
      </w:r>
      <w:r>
        <w:rPr>
          <w:rFonts w:hint="eastAsia"/>
          <w:sz w:val="24"/>
        </w:rPr>
        <w:t>；</w:t>
      </w:r>
    </w:p>
    <w:p>
      <w:pPr>
        <w:spacing w:line="360" w:lineRule="auto"/>
        <w:rPr>
          <w:rFonts w:hint="eastAsia"/>
          <w:sz w:val="24"/>
        </w:rPr>
      </w:pPr>
      <w:r>
        <w:rPr>
          <w:rFonts w:hint="eastAsia"/>
          <w:sz w:val="24"/>
        </w:rPr>
        <w:t>6</w:t>
      </w:r>
      <w:r>
        <w:rPr>
          <w:sz w:val="24"/>
        </w:rPr>
        <w:t>.1.2</w:t>
      </w:r>
      <w:r>
        <w:rPr>
          <w:rFonts w:hint="eastAsia"/>
          <w:sz w:val="24"/>
        </w:rPr>
        <w:t>相对湿度：不大于9</w:t>
      </w:r>
      <w:r>
        <w:rPr>
          <w:sz w:val="24"/>
        </w:rPr>
        <w:t>5%</w:t>
      </w:r>
      <w:r>
        <w:rPr>
          <w:rFonts w:hint="eastAsia"/>
          <w:sz w:val="24"/>
        </w:rPr>
        <w:t>；</w:t>
      </w:r>
    </w:p>
    <w:p>
      <w:pPr>
        <w:spacing w:line="360" w:lineRule="auto"/>
        <w:rPr>
          <w:sz w:val="24"/>
        </w:rPr>
      </w:pPr>
      <w:r>
        <w:rPr>
          <w:sz w:val="24"/>
        </w:rPr>
        <w:t>6.1.3 测试场地：在机场活动区或等效场地进行。除环境适应性测试外，其他测试在道面干燥条件下进行</w:t>
      </w:r>
      <w:r>
        <w:rPr>
          <w:rFonts w:hint="eastAsia"/>
          <w:sz w:val="24"/>
        </w:rPr>
        <w:t>；</w:t>
      </w:r>
    </w:p>
    <w:p>
      <w:pPr>
        <w:spacing w:line="360" w:lineRule="auto"/>
        <w:rPr>
          <w:sz w:val="24"/>
        </w:rPr>
      </w:pPr>
      <w:r>
        <w:rPr>
          <w:sz w:val="24"/>
        </w:rPr>
        <w:t>6.1.3 测试天气</w:t>
      </w:r>
      <w:r>
        <w:rPr>
          <w:rFonts w:hint="eastAsia"/>
          <w:sz w:val="24"/>
        </w:rPr>
        <w:t>：</w:t>
      </w:r>
      <w:r>
        <w:rPr>
          <w:sz w:val="24"/>
        </w:rPr>
        <w:t>在天气晴朗条件下进行。</w:t>
      </w:r>
    </w:p>
    <w:p>
      <w:pPr>
        <w:spacing w:line="360" w:lineRule="auto"/>
        <w:outlineLvl w:val="1"/>
        <w:rPr>
          <w:sz w:val="24"/>
        </w:rPr>
      </w:pPr>
      <w:r>
        <w:rPr>
          <w:sz w:val="24"/>
        </w:rPr>
        <w:t xml:space="preserve">6.2 </w:t>
      </w:r>
      <w:r>
        <w:rPr>
          <w:rFonts w:hint="eastAsia"/>
          <w:sz w:val="24"/>
          <w:lang w:val="en-US" w:eastAsia="zh-CN"/>
        </w:rPr>
        <w:t>校准</w:t>
      </w:r>
      <w:r>
        <w:rPr>
          <w:sz w:val="24"/>
        </w:rPr>
        <w:t>设备</w:t>
      </w:r>
    </w:p>
    <w:p>
      <w:pPr>
        <w:spacing w:line="360" w:lineRule="auto"/>
        <w:ind w:firstLine="480" w:firstLineChars="200"/>
        <w:rPr>
          <w:sz w:val="24"/>
        </w:rPr>
      </w:pPr>
      <w:r>
        <w:rPr>
          <w:rFonts w:hint="eastAsia"/>
          <w:sz w:val="24"/>
        </w:rPr>
        <w:t>主要</w:t>
      </w:r>
      <w:r>
        <w:rPr>
          <w:rFonts w:hint="eastAsia"/>
          <w:sz w:val="24"/>
          <w:lang w:val="en-US" w:eastAsia="zh-CN"/>
        </w:rPr>
        <w:t>校准</w:t>
      </w:r>
      <w:r>
        <w:rPr>
          <w:rFonts w:hint="eastAsia"/>
          <w:sz w:val="24"/>
        </w:rPr>
        <w:t>设备及技术指标见表1。</w:t>
      </w:r>
    </w:p>
    <w:p>
      <w:pPr>
        <w:spacing w:line="360" w:lineRule="auto"/>
        <w:jc w:val="center"/>
        <w:rPr>
          <w:szCs w:val="21"/>
        </w:rPr>
      </w:pPr>
      <w:r>
        <w:rPr>
          <w:rFonts w:hint="eastAsia"/>
          <w:szCs w:val="21"/>
        </w:rPr>
        <w:t>表1 主要</w:t>
      </w:r>
      <w:r>
        <w:rPr>
          <w:rFonts w:hint="eastAsia"/>
          <w:szCs w:val="21"/>
          <w:lang w:val="en-US" w:eastAsia="zh-CN"/>
        </w:rPr>
        <w:t>校准</w:t>
      </w:r>
      <w:r>
        <w:rPr>
          <w:rFonts w:hint="eastAsia"/>
          <w:szCs w:val="21"/>
        </w:rPr>
        <w:t>设备及技术指标</w:t>
      </w:r>
    </w:p>
    <w:tbl>
      <w:tblPr>
        <w:tblStyle w:val="33"/>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843"/>
        <w:gridCol w:w="5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Pr>
          <w:p>
            <w:pPr>
              <w:spacing w:line="360" w:lineRule="auto"/>
              <w:rPr>
                <w:sz w:val="24"/>
              </w:rPr>
            </w:pPr>
            <w:r>
              <w:rPr>
                <w:rFonts w:hint="eastAsia"/>
                <w:sz w:val="24"/>
              </w:rPr>
              <w:t>序号</w:t>
            </w:r>
          </w:p>
        </w:tc>
        <w:tc>
          <w:tcPr>
            <w:tcW w:w="1843" w:type="dxa"/>
          </w:tcPr>
          <w:p>
            <w:pPr>
              <w:spacing w:line="360" w:lineRule="auto"/>
              <w:rPr>
                <w:sz w:val="24"/>
              </w:rPr>
            </w:pPr>
            <w:r>
              <w:rPr>
                <w:rFonts w:hint="eastAsia"/>
                <w:sz w:val="24"/>
              </w:rPr>
              <w:t>设备名称</w:t>
            </w:r>
          </w:p>
        </w:tc>
        <w:tc>
          <w:tcPr>
            <w:tcW w:w="5607" w:type="dxa"/>
          </w:tcPr>
          <w:p>
            <w:pPr>
              <w:spacing w:line="360" w:lineRule="auto"/>
              <w:rPr>
                <w:sz w:val="24"/>
              </w:rPr>
            </w:pPr>
            <w:r>
              <w:rPr>
                <w:rFonts w:hint="eastAsia"/>
                <w:sz w:val="24"/>
              </w:rPr>
              <w:t>主要技术指标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vAlign w:val="center"/>
          </w:tcPr>
          <w:p>
            <w:pPr>
              <w:spacing w:line="360" w:lineRule="auto"/>
              <w:rPr>
                <w:sz w:val="24"/>
              </w:rPr>
            </w:pPr>
            <w:r>
              <w:rPr>
                <w:rFonts w:hint="eastAsia"/>
                <w:sz w:val="24"/>
              </w:rPr>
              <w:t>1</w:t>
            </w:r>
          </w:p>
        </w:tc>
        <w:tc>
          <w:tcPr>
            <w:tcW w:w="1843" w:type="dxa"/>
            <w:vAlign w:val="center"/>
          </w:tcPr>
          <w:p>
            <w:pPr>
              <w:spacing w:line="360" w:lineRule="auto"/>
              <w:rPr>
                <w:sz w:val="24"/>
              </w:rPr>
            </w:pPr>
            <w:r>
              <w:rPr>
                <w:rFonts w:hint="eastAsia"/>
                <w:sz w:val="24"/>
              </w:rPr>
              <w:t>标准测试样件</w:t>
            </w:r>
          </w:p>
        </w:tc>
        <w:tc>
          <w:tcPr>
            <w:tcW w:w="5607" w:type="dxa"/>
          </w:tcPr>
          <w:p>
            <w:pPr>
              <w:spacing w:line="360" w:lineRule="auto"/>
              <w:rPr>
                <w:sz w:val="24"/>
              </w:rPr>
            </w:pPr>
            <w:r>
              <w:rPr>
                <w:rFonts w:hint="eastAsia"/>
                <w:sz w:val="24"/>
              </w:rPr>
              <w:t>由3个直径4</w:t>
            </w:r>
            <w:r>
              <w:rPr>
                <w:sz w:val="24"/>
              </w:rPr>
              <w:t>3</w:t>
            </w:r>
            <w:r>
              <w:rPr>
                <w:rFonts w:hint="eastAsia"/>
                <w:sz w:val="24"/>
              </w:rPr>
              <w:t>mm的高尔夫球（黑色、灰色、白色各1个）与1个高3</w:t>
            </w:r>
            <w:r>
              <w:rPr>
                <w:sz w:val="24"/>
              </w:rPr>
              <w:t>1</w:t>
            </w:r>
            <w:r>
              <w:rPr>
                <w:rFonts w:hint="eastAsia"/>
                <w:sz w:val="24"/>
              </w:rPr>
              <w:t>mm、直径3</w:t>
            </w:r>
            <w:r>
              <w:rPr>
                <w:sz w:val="24"/>
              </w:rPr>
              <w:t>8</w:t>
            </w:r>
            <w:r>
              <w:rPr>
                <w:rFonts w:hint="eastAsia"/>
                <w:sz w:val="24"/>
              </w:rPr>
              <w:t>mm的未上漆金属圆柱体组成。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Pr>
          <w:p>
            <w:pPr>
              <w:spacing w:line="360" w:lineRule="auto"/>
              <w:rPr>
                <w:sz w:val="24"/>
              </w:rPr>
            </w:pPr>
            <w:r>
              <w:rPr>
                <w:rFonts w:hint="eastAsia"/>
                <w:sz w:val="24"/>
              </w:rPr>
              <w:t>2</w:t>
            </w:r>
          </w:p>
        </w:tc>
        <w:tc>
          <w:tcPr>
            <w:tcW w:w="1843" w:type="dxa"/>
          </w:tcPr>
          <w:p>
            <w:pPr>
              <w:spacing w:line="360" w:lineRule="auto"/>
              <w:rPr>
                <w:sz w:val="24"/>
              </w:rPr>
            </w:pPr>
            <w:r>
              <w:rPr>
                <w:rFonts w:hint="eastAsia"/>
                <w:sz w:val="24"/>
              </w:rPr>
              <w:t>卷尺</w:t>
            </w:r>
          </w:p>
        </w:tc>
        <w:tc>
          <w:tcPr>
            <w:tcW w:w="5607" w:type="dxa"/>
          </w:tcPr>
          <w:p>
            <w:pPr>
              <w:spacing w:line="360" w:lineRule="auto"/>
              <w:rPr>
                <w:sz w:val="24"/>
              </w:rPr>
            </w:pPr>
            <w:r>
              <w:rPr>
                <w:rFonts w:hint="eastAsia"/>
                <w:sz w:val="24"/>
                <w:lang w:val="en-US" w:eastAsia="zh-CN"/>
              </w:rPr>
              <w:t>测量范围不小于0-100m，</w:t>
            </w:r>
            <w:r>
              <w:rPr>
                <w:rFonts w:hint="eastAsia"/>
                <w:sz w:val="24"/>
              </w:rPr>
              <w:t>精度不低于Ⅱ级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Pr>
          <w:p>
            <w:pPr>
              <w:spacing w:line="360" w:lineRule="auto"/>
              <w:rPr>
                <w:sz w:val="24"/>
              </w:rPr>
            </w:pPr>
            <w:r>
              <w:rPr>
                <w:rFonts w:hint="eastAsia"/>
                <w:sz w:val="24"/>
              </w:rPr>
              <w:t>3</w:t>
            </w:r>
          </w:p>
        </w:tc>
        <w:tc>
          <w:tcPr>
            <w:tcW w:w="1843" w:type="dxa"/>
          </w:tcPr>
          <w:p>
            <w:pPr>
              <w:spacing w:line="360" w:lineRule="auto"/>
              <w:rPr>
                <w:sz w:val="24"/>
              </w:rPr>
            </w:pPr>
            <w:r>
              <w:rPr>
                <w:rFonts w:hint="eastAsia"/>
                <w:sz w:val="24"/>
              </w:rPr>
              <w:t>激光测距仪</w:t>
            </w:r>
          </w:p>
        </w:tc>
        <w:tc>
          <w:tcPr>
            <w:tcW w:w="5607" w:type="dxa"/>
          </w:tcPr>
          <w:p>
            <w:pPr>
              <w:spacing w:line="360" w:lineRule="auto"/>
              <w:rPr>
                <w:sz w:val="24"/>
              </w:rPr>
            </w:pPr>
            <w:r>
              <w:rPr>
                <w:rFonts w:hint="eastAsia"/>
                <w:sz w:val="24"/>
              </w:rPr>
              <w:t>测量范围不小于0</w:t>
            </w:r>
            <w:r>
              <w:rPr>
                <w:sz w:val="24"/>
              </w:rPr>
              <w:t>.05-100</w:t>
            </w:r>
            <w:r>
              <w:rPr>
                <w:rFonts w:hint="eastAsia"/>
                <w:sz w:val="24"/>
              </w:rPr>
              <w:t>m，测距精度±1mm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Pr>
          <w:p>
            <w:pPr>
              <w:spacing w:line="360" w:lineRule="auto"/>
              <w:rPr>
                <w:sz w:val="24"/>
              </w:rPr>
            </w:pPr>
            <w:r>
              <w:rPr>
                <w:rFonts w:hint="eastAsia"/>
                <w:sz w:val="24"/>
              </w:rPr>
              <w:t>4</w:t>
            </w:r>
          </w:p>
        </w:tc>
        <w:tc>
          <w:tcPr>
            <w:tcW w:w="1843" w:type="dxa"/>
          </w:tcPr>
          <w:p>
            <w:pPr>
              <w:spacing w:line="360" w:lineRule="auto"/>
              <w:rPr>
                <w:sz w:val="24"/>
              </w:rPr>
            </w:pPr>
            <w:r>
              <w:rPr>
                <w:rFonts w:hint="eastAsia"/>
                <w:sz w:val="24"/>
              </w:rPr>
              <w:t>直角棱镜</w:t>
            </w:r>
          </w:p>
        </w:tc>
        <w:tc>
          <w:tcPr>
            <w:tcW w:w="5607" w:type="dxa"/>
          </w:tcPr>
          <w:p>
            <w:pPr>
              <w:spacing w:line="360" w:lineRule="auto"/>
              <w:rPr>
                <w:sz w:val="24"/>
              </w:rPr>
            </w:pPr>
            <w:r>
              <w:rPr>
                <w:rFonts w:hint="eastAsia"/>
                <w:sz w:val="24"/>
              </w:rPr>
              <w:t>9</w:t>
            </w:r>
            <w:r>
              <w:rPr>
                <w:sz w:val="24"/>
              </w:rPr>
              <w:t>0</w:t>
            </w:r>
            <w:r>
              <w:rPr>
                <w:rFonts w:hint="eastAsia"/>
                <w:sz w:val="24"/>
              </w:rPr>
              <w:t>°角度公差±2arcmin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Pr>
          <w:p>
            <w:pPr>
              <w:spacing w:line="360" w:lineRule="auto"/>
              <w:rPr>
                <w:sz w:val="24"/>
              </w:rPr>
            </w:pPr>
            <w:r>
              <w:rPr>
                <w:rFonts w:hint="eastAsia"/>
                <w:sz w:val="24"/>
              </w:rPr>
              <w:t>5</w:t>
            </w:r>
          </w:p>
        </w:tc>
        <w:tc>
          <w:tcPr>
            <w:tcW w:w="1843" w:type="dxa"/>
          </w:tcPr>
          <w:p>
            <w:pPr>
              <w:spacing w:line="360" w:lineRule="auto"/>
              <w:rPr>
                <w:sz w:val="24"/>
              </w:rPr>
            </w:pPr>
            <w:r>
              <w:rPr>
                <w:rFonts w:hint="eastAsia"/>
                <w:sz w:val="24"/>
              </w:rPr>
              <w:t>秒表</w:t>
            </w:r>
          </w:p>
        </w:tc>
        <w:tc>
          <w:tcPr>
            <w:tcW w:w="5607" w:type="dxa"/>
          </w:tcPr>
          <w:p>
            <w:pPr>
              <w:spacing w:line="360" w:lineRule="auto"/>
              <w:rPr>
                <w:sz w:val="24"/>
              </w:rPr>
            </w:pPr>
            <w:r>
              <w:rPr>
                <w:rFonts w:hint="eastAsia"/>
                <w:sz w:val="24"/>
              </w:rPr>
              <w:t>分辨力不大于0.1s</w:t>
            </w:r>
          </w:p>
        </w:tc>
      </w:tr>
    </w:tbl>
    <w:p>
      <w:pPr>
        <w:spacing w:line="360" w:lineRule="auto"/>
        <w:rPr>
          <w:sz w:val="24"/>
        </w:rPr>
      </w:pPr>
    </w:p>
    <w:p>
      <w:pPr>
        <w:pStyle w:val="2"/>
        <w:spacing w:before="0" w:after="0" w:line="480" w:lineRule="auto"/>
        <w:rPr>
          <w:rFonts w:eastAsia="黑体"/>
          <w:b w:val="0"/>
          <w:sz w:val="24"/>
          <w:szCs w:val="24"/>
        </w:rPr>
      </w:pPr>
      <w:bookmarkStart w:id="17" w:name="_Toc37009627"/>
      <w:bookmarkStart w:id="18" w:name="_Toc57699040"/>
      <w:bookmarkStart w:id="19" w:name="_Toc37256232"/>
      <w:bookmarkStart w:id="20" w:name="_Toc57699122"/>
      <w:bookmarkStart w:id="21" w:name="_Toc29463"/>
      <w:r>
        <w:rPr>
          <w:rFonts w:eastAsia="黑体"/>
          <w:b w:val="0"/>
          <w:sz w:val="24"/>
          <w:szCs w:val="24"/>
        </w:rPr>
        <w:t>7</w:t>
      </w:r>
      <w:bookmarkEnd w:id="17"/>
      <w:bookmarkEnd w:id="18"/>
      <w:bookmarkEnd w:id="19"/>
      <w:bookmarkEnd w:id="20"/>
      <w:r>
        <w:rPr>
          <w:rFonts w:eastAsia="黑体"/>
          <w:b w:val="0"/>
          <w:sz w:val="24"/>
          <w:szCs w:val="24"/>
        </w:rPr>
        <w:t>.</w:t>
      </w:r>
      <w:r>
        <w:rPr>
          <w:rFonts w:hint="eastAsia" w:eastAsia="黑体"/>
          <w:b w:val="0"/>
          <w:sz w:val="24"/>
          <w:szCs w:val="24"/>
        </w:rPr>
        <w:t>校准</w:t>
      </w:r>
      <w:r>
        <w:rPr>
          <w:rFonts w:eastAsia="黑体"/>
          <w:b w:val="0"/>
          <w:sz w:val="24"/>
          <w:szCs w:val="24"/>
        </w:rPr>
        <w:t>项目和</w:t>
      </w:r>
      <w:r>
        <w:rPr>
          <w:rFonts w:hint="eastAsia" w:eastAsia="黑体"/>
          <w:b w:val="0"/>
          <w:sz w:val="24"/>
          <w:szCs w:val="24"/>
        </w:rPr>
        <w:t>校准</w:t>
      </w:r>
      <w:r>
        <w:rPr>
          <w:rFonts w:eastAsia="黑体"/>
          <w:b w:val="0"/>
          <w:sz w:val="24"/>
          <w:szCs w:val="24"/>
        </w:rPr>
        <w:t>方法</w:t>
      </w:r>
      <w:bookmarkEnd w:id="21"/>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kern w:val="0"/>
          <w:sz w:val="24"/>
        </w:rPr>
      </w:pPr>
      <w:r>
        <w:rPr>
          <w:rFonts w:eastAsia="黑体"/>
          <w:bCs/>
          <w:sz w:val="24"/>
        </w:rPr>
        <w:t xml:space="preserve">7.1 </w:t>
      </w:r>
      <w:r>
        <w:rPr>
          <w:rFonts w:hint="eastAsia"/>
          <w:kern w:val="0"/>
          <w:sz w:val="24"/>
        </w:rPr>
        <w:t>校准前准备</w:t>
      </w:r>
    </w:p>
    <w:p>
      <w:pPr>
        <w:spacing w:line="360" w:lineRule="auto"/>
        <w:ind w:firstLine="0" w:firstLineChars="0"/>
        <w:rPr>
          <w:sz w:val="24"/>
        </w:rPr>
      </w:pPr>
      <w:r>
        <w:rPr>
          <w:rFonts w:hint="eastAsia"/>
          <w:sz w:val="24"/>
        </w:rPr>
        <w:t>7</w:t>
      </w:r>
      <w:r>
        <w:rPr>
          <w:sz w:val="24"/>
        </w:rPr>
        <w:t>.1.1</w:t>
      </w:r>
      <w:r>
        <w:rPr>
          <w:rFonts w:hint="eastAsia"/>
          <w:sz w:val="24"/>
        </w:rPr>
        <w:t>探测设备</w:t>
      </w:r>
      <w:r>
        <w:rPr>
          <w:sz w:val="24"/>
        </w:rPr>
        <w:t>应符合以下要求：</w:t>
      </w:r>
    </w:p>
    <w:p>
      <w:pPr>
        <w:pStyle w:val="45"/>
        <w:numPr>
          <w:ilvl w:val="0"/>
          <w:numId w:val="2"/>
        </w:numPr>
        <w:spacing w:line="360" w:lineRule="auto"/>
        <w:ind w:firstLineChars="0"/>
        <w:rPr>
          <w:sz w:val="24"/>
        </w:rPr>
      </w:pPr>
      <w:r>
        <w:rPr>
          <w:sz w:val="24"/>
        </w:rPr>
        <w:t>配有说明书</w:t>
      </w:r>
      <w:r>
        <w:rPr>
          <w:rFonts w:hint="eastAsia"/>
          <w:sz w:val="24"/>
        </w:rPr>
        <w:t>及</w:t>
      </w:r>
      <w:r>
        <w:rPr>
          <w:sz w:val="24"/>
        </w:rPr>
        <w:t>全部必备附件，</w:t>
      </w:r>
      <w:r>
        <w:rPr>
          <w:rFonts w:hint="eastAsia"/>
          <w:sz w:val="24"/>
        </w:rPr>
        <w:t>应有</w:t>
      </w:r>
      <w:r>
        <w:rPr>
          <w:sz w:val="24"/>
        </w:rPr>
        <w:t>清晰铭牌</w:t>
      </w:r>
      <w:r>
        <w:rPr>
          <w:rFonts w:hint="eastAsia"/>
          <w:sz w:val="24"/>
        </w:rPr>
        <w:t>，标明型号、生产</w:t>
      </w:r>
      <w:r>
        <w:rPr>
          <w:sz w:val="24"/>
        </w:rPr>
        <w:t>厂家</w:t>
      </w:r>
      <w:r>
        <w:rPr>
          <w:rFonts w:hint="eastAsia"/>
          <w:sz w:val="24"/>
        </w:rPr>
        <w:t>、</w:t>
      </w:r>
      <w:r>
        <w:rPr>
          <w:sz w:val="24"/>
        </w:rPr>
        <w:t>出厂编号</w:t>
      </w:r>
      <w:r>
        <w:rPr>
          <w:rFonts w:hint="eastAsia"/>
          <w:sz w:val="24"/>
        </w:rPr>
        <w:t>、生产</w:t>
      </w:r>
      <w:r>
        <w:rPr>
          <w:sz w:val="24"/>
        </w:rPr>
        <w:t>日期，</w:t>
      </w:r>
      <w:r>
        <w:rPr>
          <w:rFonts w:hint="eastAsia"/>
          <w:sz w:val="24"/>
        </w:rPr>
        <w:t>且</w:t>
      </w:r>
      <w:r>
        <w:rPr>
          <w:sz w:val="24"/>
        </w:rPr>
        <w:t>不可擦除</w:t>
      </w:r>
      <w:r>
        <w:rPr>
          <w:rFonts w:hint="eastAsia"/>
          <w:sz w:val="24"/>
        </w:rPr>
        <w:t>；</w:t>
      </w:r>
    </w:p>
    <w:p>
      <w:pPr>
        <w:pStyle w:val="45"/>
        <w:numPr>
          <w:ilvl w:val="0"/>
          <w:numId w:val="2"/>
        </w:numPr>
        <w:spacing w:line="360" w:lineRule="auto"/>
        <w:ind w:firstLineChars="0"/>
        <w:rPr>
          <w:sz w:val="24"/>
        </w:rPr>
      </w:pPr>
      <w:r>
        <w:rPr>
          <w:rFonts w:hint="eastAsia"/>
          <w:sz w:val="24"/>
        </w:rPr>
        <w:t>外形结构</w:t>
      </w:r>
      <w:r>
        <w:rPr>
          <w:sz w:val="24"/>
        </w:rPr>
        <w:t>应</w:t>
      </w:r>
      <w:r>
        <w:rPr>
          <w:rFonts w:hint="eastAsia"/>
          <w:sz w:val="24"/>
        </w:rPr>
        <w:t>完好</w:t>
      </w:r>
      <w:r>
        <w:rPr>
          <w:sz w:val="24"/>
        </w:rPr>
        <w:t>，各</w:t>
      </w:r>
      <w:r>
        <w:rPr>
          <w:rFonts w:hint="eastAsia"/>
          <w:sz w:val="24"/>
        </w:rPr>
        <w:t>紧固</w:t>
      </w:r>
      <w:r>
        <w:rPr>
          <w:sz w:val="24"/>
        </w:rPr>
        <w:t>件应无松动</w:t>
      </w:r>
      <w:r>
        <w:rPr>
          <w:rFonts w:hint="eastAsia"/>
          <w:sz w:val="24"/>
        </w:rPr>
        <w:t>，</w:t>
      </w:r>
      <w:r>
        <w:rPr>
          <w:sz w:val="24"/>
        </w:rPr>
        <w:t>无影响正常工作的机械损伤</w:t>
      </w:r>
      <w:r>
        <w:rPr>
          <w:rFonts w:hint="eastAsia"/>
          <w:sz w:val="24"/>
        </w:rPr>
        <w:t>。</w:t>
      </w:r>
      <w:r>
        <w:rPr>
          <w:sz w:val="24"/>
        </w:rPr>
        <w:t>其</w:t>
      </w:r>
      <w:r>
        <w:rPr>
          <w:rFonts w:hint="eastAsia"/>
          <w:sz w:val="24"/>
        </w:rPr>
        <w:t>开关</w:t>
      </w:r>
      <w:r>
        <w:rPr>
          <w:sz w:val="24"/>
        </w:rPr>
        <w:t>、按键或触摸屏等操作灵活可靠</w:t>
      </w:r>
      <w:r>
        <w:rPr>
          <w:rFonts w:hint="eastAsia"/>
          <w:sz w:val="24"/>
        </w:rPr>
        <w:t>，设备编号清晰</w:t>
      </w:r>
      <w:r>
        <w:rPr>
          <w:sz w:val="24"/>
        </w:rPr>
        <w:t>明确</w:t>
      </w:r>
      <w:r>
        <w:rPr>
          <w:rFonts w:hint="eastAsia"/>
          <w:sz w:val="24"/>
        </w:rPr>
        <w:t>；</w:t>
      </w:r>
    </w:p>
    <w:p>
      <w:pPr>
        <w:pStyle w:val="45"/>
        <w:numPr>
          <w:ilvl w:val="0"/>
          <w:numId w:val="2"/>
        </w:numPr>
        <w:spacing w:line="360" w:lineRule="auto"/>
        <w:ind w:firstLineChars="0"/>
        <w:rPr>
          <w:sz w:val="24"/>
        </w:rPr>
      </w:pPr>
      <w:r>
        <w:rPr>
          <w:rFonts w:hint="eastAsia"/>
          <w:sz w:val="24"/>
        </w:rPr>
        <w:t>通电</w:t>
      </w:r>
      <w:r>
        <w:rPr>
          <w:sz w:val="24"/>
        </w:rPr>
        <w:t>后正常工作</w:t>
      </w:r>
      <w:r>
        <w:rPr>
          <w:rFonts w:hint="eastAsia"/>
          <w:sz w:val="24"/>
        </w:rPr>
        <w:t>，</w:t>
      </w:r>
      <w:r>
        <w:rPr>
          <w:sz w:val="24"/>
        </w:rPr>
        <w:t>能够进入到</w:t>
      </w:r>
      <w:r>
        <w:rPr>
          <w:rFonts w:hint="eastAsia"/>
          <w:sz w:val="24"/>
        </w:rPr>
        <w:t>正常</w:t>
      </w:r>
      <w:r>
        <w:rPr>
          <w:sz w:val="24"/>
        </w:rPr>
        <w:t>的</w:t>
      </w:r>
      <w:r>
        <w:rPr>
          <w:rFonts w:hint="eastAsia"/>
          <w:sz w:val="24"/>
        </w:rPr>
        <w:t>检测</w:t>
      </w:r>
      <w:r>
        <w:rPr>
          <w:sz w:val="24"/>
        </w:rPr>
        <w:t>模式；</w:t>
      </w:r>
    </w:p>
    <w:p>
      <w:pPr>
        <w:pStyle w:val="45"/>
        <w:numPr>
          <w:ilvl w:val="0"/>
          <w:numId w:val="2"/>
        </w:numPr>
        <w:spacing w:line="360" w:lineRule="auto"/>
        <w:ind w:firstLineChars="0"/>
        <w:rPr>
          <w:sz w:val="21"/>
        </w:rPr>
      </w:pPr>
      <w:r>
        <w:rPr>
          <w:sz w:val="24"/>
        </w:rPr>
        <w:t>显示</w:t>
      </w:r>
      <w:r>
        <w:rPr>
          <w:rFonts w:hint="eastAsia"/>
          <w:sz w:val="24"/>
        </w:rPr>
        <w:t>单元</w:t>
      </w:r>
      <w:r>
        <w:rPr>
          <w:sz w:val="24"/>
        </w:rPr>
        <w:t>字迹清晰、亮度均匀</w:t>
      </w:r>
      <w:r>
        <w:rPr>
          <w:rFonts w:hint="eastAsia"/>
          <w:sz w:val="24"/>
        </w:rPr>
        <w:t>、</w:t>
      </w:r>
      <w:r>
        <w:rPr>
          <w:sz w:val="24"/>
        </w:rPr>
        <w:t>无缺笔画等影响读数的缺陷</w:t>
      </w:r>
      <w:r>
        <w:rPr>
          <w:rFonts w:hint="eastAsia"/>
          <w:sz w:val="24"/>
        </w:rPr>
        <w:t>。</w:t>
      </w:r>
    </w:p>
    <w:p>
      <w:pPr>
        <w:spacing w:line="360" w:lineRule="auto"/>
        <w:rPr>
          <w:sz w:val="24"/>
        </w:rPr>
      </w:pPr>
      <w:r>
        <w:rPr>
          <w:sz w:val="24"/>
        </w:rPr>
        <w:t>7.1.2</w:t>
      </w:r>
      <w:r>
        <w:rPr>
          <w:rFonts w:hint="eastAsia"/>
          <w:sz w:val="24"/>
        </w:rPr>
        <w:t>安装要求：探测设备安装满足</w:t>
      </w:r>
      <w:r>
        <w:rPr>
          <w:sz w:val="24"/>
        </w:rPr>
        <w:t>AC-137-CA-2015-03</w:t>
      </w:r>
      <w:r>
        <w:rPr>
          <w:rFonts w:hint="eastAsia"/>
          <w:sz w:val="24"/>
        </w:rPr>
        <w:t>《跑道和滑行道助航灯具技术要求》关于立式灯具总高度、颜色、易折性要求。根据AC-</w:t>
      </w:r>
      <w:r>
        <w:rPr>
          <w:sz w:val="24"/>
        </w:rPr>
        <w:t>137-</w:t>
      </w:r>
      <w:r>
        <w:rPr>
          <w:rFonts w:hint="eastAsia"/>
          <w:sz w:val="24"/>
        </w:rPr>
        <w:t>CA-</w:t>
      </w:r>
      <w:r>
        <w:rPr>
          <w:sz w:val="24"/>
        </w:rPr>
        <w:t>2024-01</w:t>
      </w:r>
      <w:r>
        <w:rPr>
          <w:rFonts w:hint="eastAsia"/>
          <w:sz w:val="24"/>
        </w:rPr>
        <w:t>《</w:t>
      </w:r>
      <w:r>
        <w:rPr>
          <w:sz w:val="24"/>
        </w:rPr>
        <w:t>机场道面外来物探测设备</w:t>
      </w:r>
      <w:r>
        <w:rPr>
          <w:rFonts w:hint="eastAsia"/>
          <w:sz w:val="24"/>
        </w:rPr>
        <w:t>技术要求》，单套边灯固定式探测设备安装方式如图1所示。</w:t>
      </w:r>
    </w:p>
    <w:p>
      <w:pPr>
        <w:spacing w:line="360" w:lineRule="auto"/>
        <w:jc w:val="center"/>
        <w:rPr>
          <w:sz w:val="24"/>
        </w:rPr>
      </w:pPr>
      <w:r>
        <w:rPr>
          <w:sz w:val="24"/>
        </w:rPr>
        <w:drawing>
          <wp:inline distT="0" distB="0" distL="0" distR="0">
            <wp:extent cx="5274945" cy="1323975"/>
            <wp:effectExtent l="0" t="0" r="1905" b="9525"/>
            <wp:docPr id="1" name="图片 1" descr="安装位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安装位置"/>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274945" cy="1323975"/>
                    </a:xfrm>
                    <a:prstGeom prst="rect">
                      <a:avLst/>
                    </a:prstGeom>
                    <a:noFill/>
                    <a:ln>
                      <a:noFill/>
                    </a:ln>
                  </pic:spPr>
                </pic:pic>
              </a:graphicData>
            </a:graphic>
          </wp:inline>
        </w:drawing>
      </w:r>
    </w:p>
    <w:p>
      <w:pPr>
        <w:spacing w:line="360" w:lineRule="auto"/>
        <w:jc w:val="center"/>
        <w:rPr>
          <w:sz w:val="24"/>
        </w:rPr>
      </w:pPr>
      <w:r>
        <w:rPr>
          <w:rFonts w:hint="eastAsia"/>
          <w:sz w:val="24"/>
        </w:rPr>
        <w:t>图1</w:t>
      </w:r>
      <w:r>
        <w:rPr>
          <w:sz w:val="24"/>
        </w:rPr>
        <w:t xml:space="preserve"> </w:t>
      </w:r>
      <w:r>
        <w:rPr>
          <w:rFonts w:hint="eastAsia"/>
          <w:sz w:val="24"/>
        </w:rPr>
        <w:t>边灯固定式设备安装方式</w:t>
      </w:r>
    </w:p>
    <w:p>
      <w:pPr>
        <w:spacing w:line="360" w:lineRule="auto"/>
        <w:rPr>
          <w:sz w:val="24"/>
        </w:rPr>
      </w:pPr>
      <w:r>
        <w:rPr>
          <w:rFonts w:hint="eastAsia"/>
          <w:sz w:val="24"/>
        </w:rPr>
        <w:t>7.1.3</w:t>
      </w:r>
      <w:r>
        <w:rPr>
          <w:sz w:val="24"/>
        </w:rPr>
        <w:t>覆盖方式：探测设备可选择单重波束覆盖探测，双重波束覆盖探测或三重波束覆盖探测方式进行探测，分别对应使用1套探测设备、2套探测设备和3套探测设备。</w:t>
      </w:r>
      <w:r>
        <w:rPr>
          <w:rFonts w:hint="eastAsia"/>
          <w:sz w:val="24"/>
        </w:rPr>
        <w:t>建议安装方式如图1所示。</w:t>
      </w:r>
    </w:p>
    <w:p>
      <w:pPr>
        <w:spacing w:line="360" w:lineRule="auto"/>
        <w:jc w:val="left"/>
        <w:outlineLvl w:val="1"/>
        <w:rPr>
          <w:sz w:val="24"/>
        </w:rPr>
      </w:pPr>
      <w:r>
        <w:rPr>
          <w:sz w:val="24"/>
        </w:rPr>
        <w:t xml:space="preserve">7.2 </w:t>
      </w:r>
      <w:r>
        <w:rPr>
          <w:rFonts w:hint="eastAsia"/>
          <w:sz w:val="24"/>
        </w:rPr>
        <w:t>探测范围</w:t>
      </w:r>
    </w:p>
    <w:p>
      <w:pPr>
        <w:spacing w:line="360" w:lineRule="auto"/>
        <w:ind w:firstLine="480" w:firstLineChars="200"/>
        <w:rPr>
          <w:sz w:val="24"/>
          <w:lang w:bidi="en-US"/>
        </w:rPr>
      </w:pPr>
      <w:r>
        <w:rPr>
          <w:rFonts w:hint="eastAsia"/>
          <w:sz w:val="24"/>
          <w:lang w:bidi="en-US"/>
        </w:rPr>
        <w:t>按照如图</w:t>
      </w:r>
      <w:r>
        <w:rPr>
          <w:sz w:val="24"/>
          <w:lang w:bidi="en-US"/>
        </w:rPr>
        <w:t>2</w:t>
      </w:r>
      <w:r>
        <w:rPr>
          <w:rFonts w:hint="eastAsia"/>
          <w:sz w:val="24"/>
          <w:lang w:bidi="en-US"/>
        </w:rPr>
        <w:t>所示摆放待测标准样件，尺寸为探测设备标称最小目标探测尺寸。通过测试软件下发开始扫描指令，查看探测设备是否能够准确发现目标。将</w:t>
      </w:r>
      <w:r>
        <w:rPr>
          <w:sz w:val="24"/>
          <w:lang w:bidi="en-US"/>
        </w:rPr>
        <w:t>68</w:t>
      </w:r>
      <w:r>
        <w:rPr>
          <w:rFonts w:hint="eastAsia"/>
          <w:sz w:val="24"/>
          <w:lang w:bidi="en-US"/>
        </w:rPr>
        <w:t>m处的标准样件向远端移动，每次移动1m，直至无法准确探测目标，记录</w:t>
      </w:r>
      <w:r>
        <w:rPr>
          <w:rFonts w:hint="eastAsia"/>
          <w:sz w:val="24"/>
          <w:lang w:eastAsia="zh-CN" w:bidi="en-US"/>
        </w:rPr>
        <w:t>校准</w:t>
      </w:r>
      <w:r>
        <w:rPr>
          <w:rFonts w:hint="eastAsia"/>
          <w:sz w:val="24"/>
          <w:lang w:bidi="en-US"/>
        </w:rPr>
        <w:t>结果Rmax。</w:t>
      </w:r>
    </w:p>
    <w:p>
      <w:pPr>
        <w:spacing w:line="360" w:lineRule="auto"/>
        <w:jc w:val="center"/>
      </w:pPr>
      <w:r>
        <w:pict>
          <v:shape id="_x0000_i1025" o:spt="75" alt="范围" type="#_x0000_t75" style="height:108pt;width:210.45pt;" filled="f" o:preferrelative="t" stroked="f" coordsize="21600,21600">
            <v:path/>
            <v:fill on="f" focussize="0,0"/>
            <v:stroke on="f"/>
            <v:imagedata r:id="rId19" o:title="范围"/>
            <o:lock v:ext="edit" aspectratio="t"/>
            <w10:wrap type="none"/>
            <w10:anchorlock/>
          </v:shape>
        </w:pict>
      </w:r>
    </w:p>
    <w:p>
      <w:pPr>
        <w:spacing w:line="360" w:lineRule="auto"/>
        <w:jc w:val="center"/>
      </w:pPr>
      <w:r>
        <w:t xml:space="preserve">图2 </w:t>
      </w:r>
      <w:r>
        <w:rPr>
          <w:rFonts w:hint="eastAsia"/>
        </w:rPr>
        <w:t>标准样件摆放图</w:t>
      </w:r>
    </w:p>
    <w:p>
      <w:pPr>
        <w:spacing w:line="360" w:lineRule="auto"/>
        <w:jc w:val="left"/>
        <w:outlineLvl w:val="1"/>
        <w:rPr>
          <w:sz w:val="24"/>
        </w:rPr>
      </w:pPr>
      <w:r>
        <w:rPr>
          <w:sz w:val="24"/>
        </w:rPr>
        <w:t xml:space="preserve">7.3 </w:t>
      </w:r>
      <w:r>
        <w:rPr>
          <w:rFonts w:hint="eastAsia"/>
          <w:sz w:val="24"/>
        </w:rPr>
        <w:t>标准样件检出率</w:t>
      </w:r>
    </w:p>
    <w:p>
      <w:pPr>
        <w:spacing w:line="360" w:lineRule="auto"/>
        <w:ind w:firstLine="480" w:firstLineChars="200"/>
        <w:rPr>
          <w:sz w:val="24"/>
          <w:lang w:bidi="en-US"/>
        </w:rPr>
      </w:pPr>
      <w:r>
        <w:rPr>
          <w:sz w:val="24"/>
          <w:lang w:bidi="en-US"/>
        </w:rPr>
        <w:t>在探测设备覆盖区域范围内选取一块矩形测试场地（不小于150m×40m）。探测设备安装在测试区域边线上；标准样件为未上漆的金属圆柱体</w:t>
      </w:r>
      <w:r>
        <w:rPr>
          <w:rFonts w:hint="eastAsia"/>
          <w:sz w:val="24"/>
          <w:lang w:bidi="en-US"/>
        </w:rPr>
        <w:t>（高3</w:t>
      </w:r>
      <w:r>
        <w:rPr>
          <w:sz w:val="24"/>
          <w:lang w:bidi="en-US"/>
        </w:rPr>
        <w:t>1</w:t>
      </w:r>
      <w:r>
        <w:rPr>
          <w:rFonts w:hint="eastAsia"/>
          <w:sz w:val="24"/>
          <w:lang w:bidi="en-US"/>
        </w:rPr>
        <w:t>mm，直径3</w:t>
      </w:r>
      <w:r>
        <w:rPr>
          <w:sz w:val="24"/>
          <w:lang w:bidi="en-US"/>
        </w:rPr>
        <w:t>8</w:t>
      </w:r>
      <w:r>
        <w:rPr>
          <w:rFonts w:hint="eastAsia"/>
          <w:sz w:val="24"/>
          <w:lang w:bidi="en-US"/>
        </w:rPr>
        <w:t>mm）</w:t>
      </w:r>
      <w:r>
        <w:rPr>
          <w:sz w:val="24"/>
          <w:lang w:bidi="en-US"/>
        </w:rPr>
        <w:t>和黑色、灰色和白色的</w:t>
      </w:r>
      <w:r>
        <w:rPr>
          <w:rFonts w:hint="eastAsia"/>
          <w:sz w:val="24"/>
          <w:lang w:bidi="en-US"/>
        </w:rPr>
        <w:t>高尔夫球</w:t>
      </w:r>
      <w:r>
        <w:rPr>
          <w:sz w:val="24"/>
          <w:lang w:bidi="en-US"/>
        </w:rPr>
        <w:t>，分别用M（金属，Mental）、B（黑色，Black）、G（灰色，Grey）、W（白色、White）表示，样件大小为探测设备标称最小目标探测尺寸；在测试场地内选取若干位置摆放标准样件，①和⑥组样件中金属样件与测试场地边线距离最近，为设备标称安装间距，一般不超过3m。如图3所示。</w:t>
      </w:r>
      <w:r>
        <w:rPr>
          <w:rFonts w:hint="eastAsia"/>
          <w:sz w:val="24"/>
          <w:lang w:bidi="en-US"/>
        </w:rPr>
        <w:t>每组标准样件中的M、B、G、W样件随机无序摆放，彼此间距离不小于3m。</w:t>
      </w:r>
    </w:p>
    <w:p>
      <w:pPr>
        <w:pStyle w:val="45"/>
        <w:tabs>
          <w:tab w:val="left" w:pos="840"/>
        </w:tabs>
        <w:spacing w:line="360" w:lineRule="auto"/>
        <w:ind w:firstLine="0" w:firstLineChars="0"/>
        <w:jc w:val="center"/>
        <w:rPr>
          <w:sz w:val="24"/>
        </w:rPr>
      </w:pPr>
    </w:p>
    <w:p>
      <w:pPr>
        <w:pStyle w:val="45"/>
        <w:tabs>
          <w:tab w:val="left" w:pos="840"/>
        </w:tabs>
        <w:spacing w:line="360" w:lineRule="auto"/>
        <w:ind w:firstLine="0" w:firstLineChars="0"/>
        <w:jc w:val="center"/>
        <w:rPr>
          <w:sz w:val="24"/>
        </w:rPr>
      </w:pPr>
      <w:r>
        <w:rPr>
          <w:sz w:val="24"/>
        </w:rPr>
        <w:pict>
          <v:shape id="_x0000_i1026" o:spt="75" type="#_x0000_t75" style="height:218.55pt;width:415.3pt;" filled="f" o:preferrelative="t" stroked="f" coordsize="21600,21600">
            <v:path/>
            <v:fill on="f" focussize="0,0"/>
            <v:stroke on="f" joinstyle="miter"/>
            <v:imagedata r:id="rId20" o:title="探测概率"/>
            <o:lock v:ext="edit" aspectratio="t"/>
            <w10:wrap type="none"/>
            <w10:anchorlock/>
          </v:shape>
        </w:pict>
      </w:r>
    </w:p>
    <w:p>
      <w:pPr>
        <w:spacing w:line="360" w:lineRule="auto"/>
        <w:jc w:val="center"/>
      </w:pPr>
      <w:r>
        <w:t xml:space="preserve">图3 </w:t>
      </w:r>
      <w:r>
        <w:rPr>
          <w:rFonts w:hint="eastAsia"/>
        </w:rPr>
        <w:t>标准样件检出率</w:t>
      </w:r>
      <w:r>
        <w:rPr>
          <w:rFonts w:hint="eastAsia"/>
          <w:lang w:val="en-US" w:eastAsia="zh-CN"/>
        </w:rPr>
        <w:t>校准</w:t>
      </w:r>
      <w:r>
        <w:rPr>
          <w:rFonts w:hint="eastAsia"/>
        </w:rPr>
        <w:t>示意图</w:t>
      </w:r>
    </w:p>
    <w:p>
      <w:pPr>
        <w:spacing w:line="360" w:lineRule="auto"/>
        <w:ind w:firstLine="480" w:firstLineChars="200"/>
        <w:rPr>
          <w:sz w:val="24"/>
          <w:lang w:bidi="en-US"/>
        </w:rPr>
      </w:pPr>
      <w:r>
        <w:rPr>
          <w:sz w:val="24"/>
          <w:lang w:bidi="en-US"/>
        </w:rPr>
        <w:t>探测设备开启检测扫描，查</w:t>
      </w:r>
      <w:r>
        <w:rPr>
          <w:rFonts w:hint="eastAsia"/>
          <w:sz w:val="24"/>
          <w:lang w:bidi="en-US"/>
        </w:rPr>
        <w:t>看响应时间内</w:t>
      </w:r>
      <w:r>
        <w:rPr>
          <w:sz w:val="24"/>
          <w:lang w:bidi="en-US"/>
        </w:rPr>
        <w:t>是否能够准确发现</w:t>
      </w:r>
      <w:r>
        <w:rPr>
          <w:rFonts w:hint="eastAsia"/>
          <w:sz w:val="24"/>
          <w:lang w:bidi="en-US"/>
        </w:rPr>
        <w:t>①~⑨</w:t>
      </w:r>
      <w:r>
        <w:rPr>
          <w:sz w:val="24"/>
          <w:lang w:bidi="en-US"/>
        </w:rPr>
        <w:t>全部</w:t>
      </w:r>
      <w:r>
        <w:rPr>
          <w:rFonts w:hint="eastAsia"/>
          <w:sz w:val="24"/>
          <w:lang w:bidi="en-US"/>
        </w:rPr>
        <w:t>标准样</w:t>
      </w:r>
      <w:r>
        <w:rPr>
          <w:sz w:val="24"/>
          <w:lang w:bidi="en-US"/>
        </w:rPr>
        <w:t>件</w:t>
      </w:r>
      <w:r>
        <w:rPr>
          <w:rFonts w:hint="eastAsia"/>
          <w:sz w:val="24"/>
          <w:lang w:bidi="en-US"/>
        </w:rPr>
        <w:t>。</w:t>
      </w:r>
      <w:r>
        <w:rPr>
          <w:rFonts w:hint="eastAsia"/>
          <w:sz w:val="24"/>
          <w:lang w:val="en-US" w:eastAsia="zh-CN" w:bidi="en-US"/>
        </w:rPr>
        <w:t>扫描5次，</w:t>
      </w:r>
      <w:r>
        <w:rPr>
          <w:rFonts w:hint="eastAsia"/>
          <w:sz w:val="24"/>
          <w:lang w:bidi="en-US"/>
        </w:rPr>
        <w:t>记录准确探测的标准样件数量，用公式（1）计算得到标准样件检出率。</w:t>
      </w:r>
    </w:p>
    <w:p>
      <w:pPr>
        <w:pStyle w:val="45"/>
        <w:spacing w:line="360" w:lineRule="auto"/>
        <w:ind w:left="840" w:firstLine="210" w:firstLineChars="100"/>
        <w:jc w:val="right"/>
      </w:pPr>
      <m:oMath>
        <m:sSub>
          <m:sSubPr>
            <m:ctrlPr>
              <w:rPr>
                <w:rFonts w:ascii="Cambria Math" w:hAnsi="Cambria Math"/>
                <w:i/>
              </w:rPr>
            </m:ctrlPr>
          </m:sSubPr>
          <m:e>
            <m:r>
              <w:rPr>
                <w:rFonts w:ascii="Cambria Math"/>
              </w:rPr>
              <m:t>P</m:t>
            </m:r>
            <m:ctrlPr>
              <w:rPr>
                <w:rFonts w:ascii="Cambria Math" w:hAnsi="Cambria Math"/>
                <w:i/>
              </w:rPr>
            </m:ctrlPr>
          </m:e>
          <m:sub>
            <m:r>
              <w:rPr>
                <w:rFonts w:ascii="Cambria Math"/>
              </w:rPr>
              <m:t>标准</m:t>
            </m:r>
            <m:ctrlPr>
              <w:rPr>
                <w:rFonts w:ascii="Cambria Math" w:hAnsi="Cambria Math"/>
                <w:i/>
              </w:rPr>
            </m:ctrlPr>
          </m:sub>
        </m:sSub>
        <m:r>
          <w:rPr>
            <w:rFonts w:ascii="Cambria Math"/>
          </w:rPr>
          <m:t>=</m:t>
        </m:r>
        <m:f>
          <m:fPr>
            <m:ctrlPr>
              <w:rPr>
                <w:rFonts w:ascii="Cambria Math" w:hAnsi="Cambria Math"/>
                <w:i/>
              </w:rPr>
            </m:ctrlPr>
          </m:fPr>
          <m:num>
            <m:nary>
              <m:naryPr>
                <m:chr m:val="∑"/>
                <m:ctrlPr>
                  <w:rPr>
                    <w:rFonts w:ascii="Cambria Math" w:hAnsi="Cambria Math"/>
                    <w:i/>
                  </w:rPr>
                </m:ctrlPr>
              </m:naryPr>
              <m:sub>
                <m:r>
                  <w:rPr>
                    <w:rFonts w:ascii="Cambria Math"/>
                  </w:rPr>
                  <m:t>i=1</m:t>
                </m:r>
                <m:ctrlPr>
                  <w:rPr>
                    <w:rFonts w:ascii="Cambria Math" w:hAnsi="Cambria Math"/>
                    <w:i/>
                  </w:rPr>
                </m:ctrlPr>
              </m:sub>
              <m:sup>
                <m:r>
                  <w:rPr>
                    <w:rFonts w:ascii="Cambria Math"/>
                  </w:rPr>
                  <m:t>5</m:t>
                </m:r>
                <m:ctrlPr>
                  <w:rPr>
                    <w:rFonts w:ascii="Cambria Math" w:hAnsi="Cambria Math"/>
                    <w:i/>
                  </w:rPr>
                </m:ctrlPr>
              </m:sup>
              <m:e>
                <m:sSub>
                  <m:sSubPr>
                    <m:ctrlPr>
                      <w:rPr>
                        <w:rFonts w:ascii="Cambria Math" w:hAnsi="Cambria Math"/>
                        <w:i/>
                      </w:rPr>
                    </m:ctrlPr>
                  </m:sSubPr>
                  <m:e>
                    <m:r>
                      <w:rPr>
                        <w:rFonts w:ascii="Cambria Math"/>
                      </w:rPr>
                      <m:t>N</m:t>
                    </m:r>
                    <m:ctrlPr>
                      <w:rPr>
                        <w:rFonts w:ascii="Cambria Math" w:hAnsi="Cambria Math"/>
                        <w:i/>
                      </w:rPr>
                    </m:ctrlPr>
                  </m:e>
                  <m:sub>
                    <m:r>
                      <w:rPr>
                        <w:rFonts w:ascii="Cambria Math"/>
                      </w:rPr>
                      <m:t>i</m:t>
                    </m:r>
                    <m:ctrlPr>
                      <w:rPr>
                        <w:rFonts w:ascii="Cambria Math" w:hAnsi="Cambria Math"/>
                        <w:i/>
                      </w:rPr>
                    </m:ctrlPr>
                  </m:sub>
                </m:sSub>
                <m:ctrlPr>
                  <w:rPr>
                    <w:rFonts w:ascii="Cambria Math" w:hAnsi="Cambria Math"/>
                    <w:i/>
                  </w:rPr>
                </m:ctrlPr>
              </m:e>
            </m:nary>
            <m:ctrlPr>
              <w:rPr>
                <w:rFonts w:ascii="Cambria Math" w:hAnsi="Cambria Math"/>
                <w:i/>
              </w:rPr>
            </m:ctrlPr>
          </m:num>
          <m:den>
            <m:nary>
              <m:naryPr>
                <m:chr m:val="∑"/>
                <m:ctrlPr>
                  <w:rPr>
                    <w:rFonts w:ascii="Cambria Math" w:hAnsi="Cambria Math"/>
                    <w:i/>
                  </w:rPr>
                </m:ctrlPr>
              </m:naryPr>
              <m:sub>
                <m:r>
                  <w:rPr>
                    <w:rFonts w:ascii="Cambria Math"/>
                  </w:rPr>
                  <m:t>i=1</m:t>
                </m:r>
                <m:ctrlPr>
                  <w:rPr>
                    <w:rFonts w:ascii="Cambria Math" w:hAnsi="Cambria Math"/>
                    <w:i/>
                  </w:rPr>
                </m:ctrlPr>
              </m:sub>
              <m:sup>
                <m:r>
                  <w:rPr>
                    <w:rFonts w:ascii="Cambria Math"/>
                  </w:rPr>
                  <m:t>5</m:t>
                </m:r>
                <m:ctrlPr>
                  <w:rPr>
                    <w:rFonts w:ascii="Cambria Math" w:hAnsi="Cambria Math"/>
                    <w:i/>
                  </w:rPr>
                </m:ctrlPr>
              </m:sup>
              <m:e>
                <m:sSub>
                  <m:sSubPr>
                    <m:ctrlPr>
                      <w:rPr>
                        <w:rFonts w:ascii="Cambria Math" w:hAnsi="Cambria Math"/>
                        <w:i/>
                      </w:rPr>
                    </m:ctrlPr>
                  </m:sSubPr>
                  <m:e>
                    <m:r>
                      <w:rPr>
                        <w:rFonts w:ascii="Cambria Math"/>
                      </w:rPr>
                      <m:t>T</m:t>
                    </m:r>
                    <m:ctrlPr>
                      <w:rPr>
                        <w:rFonts w:ascii="Cambria Math" w:hAnsi="Cambria Math"/>
                        <w:i/>
                      </w:rPr>
                    </m:ctrlPr>
                  </m:e>
                  <m:sub>
                    <m:r>
                      <w:rPr>
                        <w:rFonts w:ascii="Cambria Math"/>
                      </w:rPr>
                      <m:t>i</m:t>
                    </m:r>
                    <m:ctrlPr>
                      <w:rPr>
                        <w:rFonts w:ascii="Cambria Math" w:hAnsi="Cambria Math"/>
                        <w:i/>
                      </w:rPr>
                    </m:ctrlPr>
                  </m:sub>
                </m:sSub>
                <m:ctrlPr>
                  <w:rPr>
                    <w:rFonts w:ascii="Cambria Math" w:hAnsi="Cambria Math"/>
                    <w:i/>
                  </w:rPr>
                </m:ctrlPr>
              </m:e>
            </m:nary>
            <m:ctrlPr>
              <w:rPr>
                <w:rFonts w:ascii="Cambria Math" w:hAnsi="Cambria Math"/>
                <w:i/>
              </w:rPr>
            </m:ctrlPr>
          </m:den>
        </m:f>
        <m:r>
          <w:rPr>
            <w:rFonts w:ascii="Cambria Math"/>
          </w:rPr>
          <m:t>×100%</m:t>
        </m:r>
      </m:oMath>
      <w:r>
        <w:t xml:space="preserve">                         </w:t>
      </w:r>
      <w:r>
        <w:rPr>
          <w:rFonts w:hint="eastAsia"/>
        </w:rPr>
        <w:t>（1）</w:t>
      </w:r>
    </w:p>
    <w:p>
      <w:pPr>
        <w:keepNext w:val="0"/>
        <w:keepLines w:val="0"/>
        <w:pageBreakBefore w:val="0"/>
        <w:widowControl w:val="0"/>
        <w:tabs>
          <w:tab w:val="left" w:pos="840"/>
        </w:tabs>
        <w:kinsoku/>
        <w:wordWrap/>
        <w:overflowPunct/>
        <w:topLinePunct w:val="0"/>
        <w:autoSpaceDE/>
        <w:autoSpaceDN/>
        <w:bidi w:val="0"/>
        <w:adjustRightInd/>
        <w:snapToGrid/>
        <w:spacing w:line="360" w:lineRule="auto"/>
        <w:ind w:firstLine="480" w:firstLineChars="200"/>
        <w:textAlignment w:val="auto"/>
        <w:outlineLvl w:val="9"/>
        <w:rPr>
          <w:sz w:val="24"/>
          <w:lang w:bidi="en-US"/>
        </w:rPr>
      </w:pPr>
      <w:r>
        <w:rPr>
          <w:rFonts w:hint="eastAsia"/>
          <w:sz w:val="24"/>
          <w:lang w:bidi="en-US"/>
        </w:rPr>
        <w:t>式中：</w:t>
      </w:r>
    </w:p>
    <w:p>
      <w:pPr>
        <w:keepNext w:val="0"/>
        <w:keepLines w:val="0"/>
        <w:pageBreakBefore w:val="0"/>
        <w:widowControl w:val="0"/>
        <w:tabs>
          <w:tab w:val="left" w:pos="840"/>
        </w:tabs>
        <w:kinsoku/>
        <w:wordWrap/>
        <w:overflowPunct/>
        <w:topLinePunct w:val="0"/>
        <w:autoSpaceDE/>
        <w:autoSpaceDN/>
        <w:bidi w:val="0"/>
        <w:adjustRightInd/>
        <w:snapToGrid/>
        <w:spacing w:line="360" w:lineRule="auto"/>
        <w:ind w:left="0" w:leftChars="0" w:firstLine="480" w:firstLineChars="200"/>
        <w:textAlignment w:val="auto"/>
        <w:outlineLvl w:val="9"/>
        <w:rPr>
          <w:sz w:val="24"/>
        </w:rPr>
      </w:pPr>
      <m:oMath>
        <m:sSub>
          <m:sSubPr>
            <m:ctrlPr>
              <w:rPr>
                <w:rFonts w:ascii="Cambria Math" w:hAnsi="Cambria Math"/>
                <w:i/>
                <w:sz w:val="24"/>
              </w:rPr>
            </m:ctrlPr>
          </m:sSubPr>
          <m:e>
            <m:r>
              <w:rPr>
                <w:rFonts w:ascii="Cambria Math" w:hAnsi="Cambria Math"/>
                <w:sz w:val="24"/>
              </w:rPr>
              <m:t>P</m:t>
            </m:r>
            <m:ctrlPr>
              <w:rPr>
                <w:rFonts w:ascii="Cambria Math" w:hAnsi="Cambria Math"/>
                <w:i/>
                <w:sz w:val="24"/>
              </w:rPr>
            </m:ctrlPr>
          </m:e>
          <m:sub>
            <m:r>
              <w:rPr>
                <w:rFonts w:ascii="Cambria Math" w:hAnsi="Cambria Math"/>
                <w:sz w:val="24"/>
              </w:rPr>
              <m:t>标准</m:t>
            </m:r>
            <m:ctrlPr>
              <w:rPr>
                <w:rFonts w:ascii="Cambria Math" w:hAnsi="Cambria Math"/>
                <w:i/>
                <w:sz w:val="24"/>
              </w:rPr>
            </m:ctrlPr>
          </m:sub>
        </m:sSub>
      </m:oMath>
      <w:r>
        <w:rPr>
          <w:sz w:val="24"/>
        </w:rPr>
        <w:t>——标准样件检出率，%</w:t>
      </w:r>
      <w:r>
        <w:rPr>
          <w:rFonts w:hint="eastAsia"/>
          <w:sz w:val="24"/>
        </w:rPr>
        <w:t>；</w:t>
      </w:r>
    </w:p>
    <w:p>
      <w:pPr>
        <w:keepNext w:val="0"/>
        <w:keepLines w:val="0"/>
        <w:pageBreakBefore w:val="0"/>
        <w:widowControl w:val="0"/>
        <w:tabs>
          <w:tab w:val="left" w:pos="840"/>
        </w:tabs>
        <w:kinsoku/>
        <w:wordWrap/>
        <w:overflowPunct/>
        <w:topLinePunct w:val="0"/>
        <w:autoSpaceDE/>
        <w:autoSpaceDN/>
        <w:bidi w:val="0"/>
        <w:adjustRightInd/>
        <w:snapToGrid/>
        <w:spacing w:line="360" w:lineRule="auto"/>
        <w:ind w:left="0" w:leftChars="0" w:firstLine="480" w:firstLineChars="200"/>
        <w:textAlignment w:val="auto"/>
        <w:outlineLvl w:val="9"/>
        <w:rPr>
          <w:sz w:val="24"/>
        </w:rPr>
      </w:pPr>
      <m:oMath>
        <m:sSub>
          <m:sSubPr>
            <m:ctrlPr>
              <w:rPr>
                <w:rFonts w:ascii="Cambria Math" w:hAnsi="Cambria Math"/>
                <w:i/>
                <w:sz w:val="24"/>
              </w:rPr>
            </m:ctrlPr>
          </m:sSubPr>
          <m:e>
            <m:r>
              <w:rPr>
                <w:rFonts w:ascii="Cambria Math" w:hAnsi="Cambria Math"/>
                <w:sz w:val="24"/>
              </w:rPr>
              <m:t>N</m:t>
            </m:r>
            <m:ctrlPr>
              <w:rPr>
                <w:rFonts w:ascii="Cambria Math" w:hAnsi="Cambria Math"/>
                <w:i/>
                <w:sz w:val="24"/>
              </w:rPr>
            </m:ctrlPr>
          </m:e>
          <m:sub>
            <m:r>
              <w:rPr>
                <w:rFonts w:ascii="Cambria Math" w:hAnsi="Cambria Math"/>
                <w:sz w:val="24"/>
              </w:rPr>
              <m:t>i</m:t>
            </m:r>
            <m:ctrlPr>
              <w:rPr>
                <w:rFonts w:ascii="Cambria Math" w:hAnsi="Cambria Math"/>
                <w:i/>
                <w:sz w:val="24"/>
              </w:rPr>
            </m:ctrlPr>
          </m:sub>
        </m:sSub>
      </m:oMath>
      <w:r>
        <w:rPr>
          <w:sz w:val="24"/>
        </w:rPr>
        <w:t>——第i次检测扫描准确发现的标准样件个数；</w:t>
      </w:r>
    </w:p>
    <w:p>
      <w:pPr>
        <w:keepNext w:val="0"/>
        <w:keepLines w:val="0"/>
        <w:pageBreakBefore w:val="0"/>
        <w:widowControl w:val="0"/>
        <w:tabs>
          <w:tab w:val="left" w:pos="840"/>
        </w:tabs>
        <w:kinsoku/>
        <w:wordWrap/>
        <w:overflowPunct/>
        <w:topLinePunct w:val="0"/>
        <w:autoSpaceDE/>
        <w:autoSpaceDN/>
        <w:bidi w:val="0"/>
        <w:adjustRightInd/>
        <w:snapToGrid/>
        <w:spacing w:line="360" w:lineRule="auto"/>
        <w:ind w:left="0" w:leftChars="0" w:firstLine="480" w:firstLineChars="200"/>
        <w:textAlignment w:val="auto"/>
        <w:outlineLvl w:val="9"/>
        <w:rPr>
          <w:sz w:val="24"/>
        </w:rPr>
      </w:pPr>
      <m:oMath>
        <m:sSub>
          <m:sSubPr>
            <m:ctrlPr>
              <w:rPr>
                <w:rFonts w:ascii="Cambria Math" w:hAnsi="Cambria Math"/>
                <w:i/>
                <w:sz w:val="24"/>
              </w:rPr>
            </m:ctrlPr>
          </m:sSubPr>
          <m:e>
            <m:r>
              <w:rPr>
                <w:rFonts w:ascii="Cambria Math" w:hAnsi="Cambria Math"/>
                <w:sz w:val="24"/>
              </w:rPr>
              <m:t>T</m:t>
            </m:r>
            <m:ctrlPr>
              <w:rPr>
                <w:rFonts w:ascii="Cambria Math" w:hAnsi="Cambria Math"/>
                <w:i/>
                <w:sz w:val="24"/>
              </w:rPr>
            </m:ctrlPr>
          </m:e>
          <m:sub>
            <m:r>
              <w:rPr>
                <w:rFonts w:ascii="Cambria Math" w:hAnsi="Cambria Math"/>
                <w:sz w:val="24"/>
              </w:rPr>
              <m:t>i</m:t>
            </m:r>
            <m:ctrlPr>
              <w:rPr>
                <w:rFonts w:ascii="Cambria Math" w:hAnsi="Cambria Math"/>
                <w:i/>
                <w:sz w:val="24"/>
              </w:rPr>
            </m:ctrlPr>
          </m:sub>
        </m:sSub>
      </m:oMath>
      <w:r>
        <w:rPr>
          <w:sz w:val="24"/>
        </w:rPr>
        <w:t>——第i次检测扫描摆放的标准样件个数</w:t>
      </w:r>
      <w:bookmarkStart w:id="22" w:name="_Ref88667247"/>
      <w:r>
        <w:rPr>
          <w:rFonts w:hint="eastAsia"/>
          <w:sz w:val="24"/>
        </w:rPr>
        <w:t>。</w:t>
      </w:r>
    </w:p>
    <w:bookmarkEnd w:id="22"/>
    <w:p>
      <w:pPr>
        <w:spacing w:line="360" w:lineRule="auto"/>
        <w:jc w:val="left"/>
        <w:outlineLvl w:val="1"/>
        <w:rPr>
          <w:sz w:val="24"/>
        </w:rPr>
      </w:pPr>
      <w:r>
        <w:rPr>
          <w:sz w:val="24"/>
        </w:rPr>
        <w:t xml:space="preserve">7.4 </w:t>
      </w:r>
      <w:r>
        <w:rPr>
          <w:rFonts w:hint="eastAsia"/>
          <w:sz w:val="24"/>
        </w:rPr>
        <w:t>测距示值误差</w:t>
      </w:r>
    </w:p>
    <w:p>
      <w:pPr>
        <w:spacing w:line="360" w:lineRule="auto"/>
        <w:ind w:firstLine="480" w:firstLineChars="200"/>
        <w:jc w:val="left"/>
        <w:rPr>
          <w:sz w:val="24"/>
        </w:rPr>
      </w:pPr>
      <w:r>
        <w:rPr>
          <w:rFonts w:hint="eastAsia"/>
          <w:sz w:val="24"/>
          <w:lang w:bidi="en-US"/>
        </w:rPr>
        <w:t>在扫描范围内摆放</w:t>
      </w:r>
      <w:r>
        <w:rPr>
          <w:rFonts w:hint="eastAsia"/>
          <w:sz w:val="24"/>
          <w:lang w:val="en-US" w:eastAsia="zh-CN" w:bidi="en-US"/>
        </w:rPr>
        <w:t>5</w:t>
      </w:r>
      <w:r>
        <w:rPr>
          <w:rFonts w:hint="eastAsia"/>
          <w:sz w:val="24"/>
          <w:lang w:bidi="en-US"/>
        </w:rPr>
        <w:t>个标准样件并使用激光测距仪测量标准样件到探测设备中心距离。通过测试软件下发扫描指令，并记录上报的对应目标距离。计算探测设备</w:t>
      </w:r>
      <w:r>
        <w:rPr>
          <w:sz w:val="24"/>
          <w:lang w:bidi="en-US"/>
        </w:rPr>
        <w:t>上报目标距离与实际距离的</w:t>
      </w:r>
      <w:r>
        <w:rPr>
          <w:sz w:val="24"/>
        </w:rPr>
        <w:t>差值。通过公式（2）计算测距示值误差。</w:t>
      </w:r>
    </w:p>
    <w:p>
      <w:pPr>
        <w:spacing w:line="360" w:lineRule="auto"/>
        <w:ind w:left="902"/>
        <w:jc w:val="right"/>
        <w:rPr>
          <w:sz w:val="24"/>
        </w:rPr>
      </w:pPr>
      <w:r>
        <w:rPr>
          <w:rFonts w:ascii="Cambria Math" w:hAnsi="Cambria Math"/>
          <w:i/>
          <w:position w:val="-12"/>
          <w:sz w:val="24"/>
        </w:rPr>
        <w:object>
          <v:shape id="_x0000_i1027" o:spt="75" type="#_x0000_t75" style="height:18pt;width:94pt;" o:ole="t" filled="f" o:preferrelative="t" stroked="f" coordsize="21600,21600">
            <v:path/>
            <v:fill on="f" focussize="0,0"/>
            <v:stroke on="f"/>
            <v:imagedata r:id="rId22" o:title=""/>
            <o:lock v:ext="edit" aspectratio="t"/>
            <w10:wrap type="none"/>
            <w10:anchorlock/>
          </v:shape>
          <o:OLEObject Type="Embed" ProgID="Equation.KSEE3" ShapeID="_x0000_i1027" DrawAspect="Content" ObjectID="_1468075725" r:id="rId21">
            <o:LockedField>false</o:LockedField>
          </o:OLEObject>
        </w:object>
      </w:r>
      <w:r>
        <w:rPr>
          <w:sz w:val="24"/>
        </w:rPr>
        <w:t xml:space="preserve"> </w:t>
      </w:r>
      <w:r>
        <w:t xml:space="preserve">                         </w:t>
      </w:r>
      <w:r>
        <w:rPr>
          <w:sz w:val="24"/>
        </w:rPr>
        <w:t>（2）</w:t>
      </w:r>
    </w:p>
    <w:p>
      <w:pPr>
        <w:keepNext w:val="0"/>
        <w:keepLines w:val="0"/>
        <w:pageBreakBefore w:val="0"/>
        <w:widowControl w:val="0"/>
        <w:tabs>
          <w:tab w:val="left" w:pos="840"/>
        </w:tabs>
        <w:kinsoku/>
        <w:wordWrap/>
        <w:overflowPunct/>
        <w:topLinePunct w:val="0"/>
        <w:autoSpaceDE/>
        <w:autoSpaceDN/>
        <w:bidi w:val="0"/>
        <w:adjustRightInd/>
        <w:snapToGrid/>
        <w:spacing w:line="360" w:lineRule="auto"/>
        <w:ind w:firstLine="480" w:firstLineChars="200"/>
        <w:textAlignment w:val="auto"/>
        <w:outlineLvl w:val="9"/>
        <w:rPr>
          <w:rFonts w:hint="eastAsia"/>
          <w:sz w:val="24"/>
          <w:lang w:bidi="en-US"/>
        </w:rPr>
      </w:pPr>
      <w:r>
        <w:rPr>
          <w:rFonts w:hint="eastAsia"/>
          <w:sz w:val="24"/>
          <w:lang w:bidi="en-US"/>
        </w:rPr>
        <w:t>式中：</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sz w:val="24"/>
        </w:rPr>
      </w:pPr>
      <w:r>
        <w:rPr>
          <w:sz w:val="24"/>
        </w:rPr>
        <w:t>Δd——距离误差值</w:t>
      </w:r>
      <w:r>
        <w:rPr>
          <w:rFonts w:hint="eastAsia"/>
          <w:sz w:val="24"/>
        </w:rPr>
        <w:t>；</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sz w:val="24"/>
        </w:rPr>
      </w:pPr>
      <w:r>
        <w:rPr>
          <w:position w:val="-12"/>
          <w:sz w:val="24"/>
        </w:rPr>
        <w:object>
          <v:shape id="_x0000_i1028" o:spt="75" type="#_x0000_t75" style="height:18pt;width:20pt;" o:ole="t" filled="f" o:preferrelative="t" stroked="f" coordsize="21600,21600">
            <v:path/>
            <v:fill on="f" focussize="0,0"/>
            <v:stroke on="f"/>
            <v:imagedata r:id="rId24" o:title=""/>
            <o:lock v:ext="edit" aspectratio="t"/>
            <w10:wrap type="none"/>
            <w10:anchorlock/>
          </v:shape>
          <o:OLEObject Type="Embed" ProgID="Equation.KSEE3" ShapeID="_x0000_i1028" DrawAspect="Content" ObjectID="_1468075726" r:id="rId23">
            <o:LockedField>false</o:LockedField>
          </o:OLEObject>
        </w:object>
      </w:r>
      <w:r>
        <w:rPr>
          <w:sz w:val="24"/>
        </w:rPr>
        <w:t>——</w:t>
      </w:r>
      <w:r>
        <w:rPr>
          <w:sz w:val="24"/>
          <w:lang w:bidi="en-US"/>
        </w:rPr>
        <w:t>上报</w:t>
      </w:r>
      <w:r>
        <w:rPr>
          <w:rFonts w:hint="eastAsia"/>
          <w:sz w:val="24"/>
          <w:lang w:val="en-US" w:eastAsia="zh-CN"/>
        </w:rPr>
        <w:t>第i个</w:t>
      </w:r>
      <w:r>
        <w:rPr>
          <w:sz w:val="24"/>
          <w:lang w:bidi="en-US"/>
        </w:rPr>
        <w:t>目标距离与实际距离的</w:t>
      </w:r>
      <w:r>
        <w:rPr>
          <w:sz w:val="24"/>
        </w:rPr>
        <w:t>差值</w:t>
      </w:r>
      <w:r>
        <w:rPr>
          <w:rFonts w:hint="eastAsia"/>
          <w:sz w:val="24"/>
        </w:rPr>
        <w:t>。</w:t>
      </w:r>
    </w:p>
    <w:p>
      <w:pPr>
        <w:spacing w:line="360" w:lineRule="auto"/>
        <w:jc w:val="left"/>
        <w:outlineLvl w:val="1"/>
        <w:rPr>
          <w:sz w:val="24"/>
        </w:rPr>
      </w:pPr>
      <w:r>
        <w:rPr>
          <w:sz w:val="24"/>
        </w:rPr>
        <w:t xml:space="preserve">7.5 </w:t>
      </w:r>
      <w:r>
        <w:rPr>
          <w:rFonts w:hint="eastAsia"/>
          <w:sz w:val="24"/>
        </w:rPr>
        <w:t>测角示值误差</w:t>
      </w:r>
    </w:p>
    <w:p>
      <w:pPr>
        <w:spacing w:line="360" w:lineRule="auto"/>
        <w:ind w:firstLine="480" w:firstLineChars="200"/>
        <w:rPr>
          <w:sz w:val="24"/>
        </w:rPr>
      </w:pPr>
      <w:bookmarkStart w:id="23" w:name="_Hlk130662844"/>
      <w:r>
        <w:rPr>
          <w:sz w:val="24"/>
        </w:rPr>
        <w:t>按照如图4所示</w:t>
      </w:r>
      <w:r>
        <w:rPr>
          <w:rFonts w:hint="eastAsia"/>
          <w:sz w:val="24"/>
        </w:rPr>
        <w:t>，在探测范围内</w:t>
      </w:r>
      <w:r>
        <w:rPr>
          <w:sz w:val="24"/>
        </w:rPr>
        <w:t>约0°~90°，90°和90°~180°</w:t>
      </w:r>
      <w:r>
        <w:rPr>
          <w:rFonts w:hint="eastAsia"/>
          <w:sz w:val="24"/>
        </w:rPr>
        <w:t>三个区域，距离探测设备不小于2</w:t>
      </w:r>
      <w:r>
        <w:rPr>
          <w:sz w:val="24"/>
        </w:rPr>
        <w:t>0</w:t>
      </w:r>
      <w:r>
        <w:rPr>
          <w:rFonts w:hint="eastAsia"/>
          <w:sz w:val="24"/>
        </w:rPr>
        <w:t>m远</w:t>
      </w:r>
      <w:r>
        <w:rPr>
          <w:sz w:val="24"/>
        </w:rPr>
        <w:t>位置</w:t>
      </w:r>
      <w:r>
        <w:rPr>
          <w:rFonts w:hint="eastAsia"/>
          <w:sz w:val="24"/>
        </w:rPr>
        <w:t>放置</w:t>
      </w:r>
      <w:r>
        <w:rPr>
          <w:rFonts w:hint="eastAsia"/>
          <w:sz w:val="24"/>
          <w:lang w:val="en-US" w:eastAsia="zh-CN"/>
        </w:rPr>
        <w:t>5</w:t>
      </w:r>
      <w:r>
        <w:rPr>
          <w:sz w:val="24"/>
        </w:rPr>
        <w:t>个FOD</w:t>
      </w:r>
      <w:r>
        <w:rPr>
          <w:rFonts w:hint="eastAsia"/>
          <w:sz w:val="24"/>
        </w:rPr>
        <w:t>标准样件</w:t>
      </w:r>
      <w:r>
        <w:rPr>
          <w:sz w:val="24"/>
        </w:rPr>
        <w:t>，用激光测距仪测量标准样件到探测设备中心距离Ri；记录通过测试软件下发扫描指令并记录上报的对应目标角度。</w:t>
      </w:r>
    </w:p>
    <w:p>
      <w:pPr>
        <w:spacing w:line="360" w:lineRule="auto"/>
        <w:ind w:firstLine="480" w:firstLineChars="200"/>
        <w:rPr>
          <w:sz w:val="24"/>
        </w:rPr>
      </w:pPr>
      <w:r>
        <w:rPr>
          <w:sz w:val="24"/>
        </w:rPr>
        <w:t>依次</w:t>
      </w:r>
      <w:r>
        <w:rPr>
          <w:rFonts w:hint="eastAsia"/>
          <w:sz w:val="24"/>
        </w:rPr>
        <w:t>在上述各</w:t>
      </w:r>
      <w:r>
        <w:rPr>
          <w:sz w:val="24"/>
        </w:rPr>
        <w:t>个目标</w:t>
      </w:r>
      <w:r>
        <w:rPr>
          <w:rFonts w:hint="eastAsia"/>
          <w:sz w:val="24"/>
        </w:rPr>
        <w:t>附近3m以上（建议尽可能</w:t>
      </w:r>
      <w:r>
        <w:rPr>
          <w:sz w:val="24"/>
        </w:rPr>
        <w:t>沿雷达扫描轨迹切向</w:t>
      </w:r>
      <w:r>
        <w:rPr>
          <w:rFonts w:hint="eastAsia"/>
          <w:sz w:val="24"/>
        </w:rPr>
        <w:t>）距离处放置同等数量的标准异物</w:t>
      </w:r>
      <w:r>
        <w:rPr>
          <w:sz w:val="24"/>
        </w:rPr>
        <w:t>，用激光测距仪测量标准样件到探测设备中心距离Ri′</w:t>
      </w:r>
      <w:r>
        <w:rPr>
          <w:rFonts w:hint="eastAsia"/>
          <w:sz w:val="24"/>
        </w:rPr>
        <w:t>，同时测量先后放置的两组标准异物之间的距离L</w:t>
      </w:r>
      <w:r>
        <w:rPr>
          <w:sz w:val="24"/>
        </w:rPr>
        <w:t>；再次开启扫描并记录</w:t>
      </w:r>
      <w:r>
        <w:rPr>
          <w:rFonts w:hint="eastAsia"/>
          <w:sz w:val="24"/>
        </w:rPr>
        <w:t>后放置的</w:t>
      </w:r>
      <w:r>
        <w:rPr>
          <w:rFonts w:hint="eastAsia"/>
          <w:sz w:val="24"/>
          <w:lang w:val="en-US" w:eastAsia="zh-CN"/>
        </w:rPr>
        <w:t>5</w:t>
      </w:r>
      <w:r>
        <w:rPr>
          <w:rFonts w:hint="eastAsia"/>
          <w:sz w:val="24"/>
        </w:rPr>
        <w:t>个标准异物</w:t>
      </w:r>
      <w:r>
        <w:rPr>
          <w:sz w:val="24"/>
        </w:rPr>
        <w:t>上报角度。</w:t>
      </w:r>
    </w:p>
    <w:p>
      <w:pPr>
        <w:spacing w:line="360" w:lineRule="auto"/>
        <w:ind w:firstLine="480" w:firstLineChars="200"/>
        <w:rPr>
          <w:sz w:val="24"/>
        </w:rPr>
      </w:pPr>
      <w:r>
        <w:rPr>
          <w:sz w:val="24"/>
        </w:rPr>
        <w:t>通过公式（3）计算</w:t>
      </w:r>
      <w:r>
        <w:rPr>
          <w:rFonts w:hint="eastAsia"/>
          <w:sz w:val="24"/>
        </w:rPr>
        <w:t>先后放置两组异物</w:t>
      </w:r>
      <w:r>
        <w:rPr>
          <w:sz w:val="24"/>
        </w:rPr>
        <w:t>夹角</w:t>
      </w:r>
      <w:r>
        <w:rPr>
          <w:rFonts w:hint="eastAsia"/>
          <w:sz w:val="24"/>
        </w:rPr>
        <w:t>的测量值</w:t>
      </w:r>
      <w:r>
        <w:rPr>
          <w:rFonts w:hint="eastAsia"/>
          <w:position w:val="-12"/>
          <w:sz w:val="24"/>
        </w:rPr>
        <w:object>
          <v:shape id="_x0000_i1029" o:spt="75" type="#_x0000_t75" style="height:18pt;width:20pt;" o:ole="t" filled="f" o:preferrelative="t" stroked="f" coordsize="21600,21600">
            <v:path/>
            <v:fill on="f" focussize="0,0"/>
            <v:stroke on="f"/>
            <v:imagedata r:id="rId26" o:title=""/>
            <o:lock v:ext="edit" aspectratio="t"/>
            <w10:wrap type="none"/>
            <w10:anchorlock/>
          </v:shape>
          <o:OLEObject Type="Embed" ProgID="Equation.KSEE3" ShapeID="_x0000_i1029" DrawAspect="Content" ObjectID="_1468075727" r:id="rId25">
            <o:LockedField>false</o:LockedField>
          </o:OLEObject>
        </w:object>
      </w:r>
      <w:r>
        <w:rPr>
          <w:sz w:val="24"/>
        </w:rPr>
        <w:t>；通过公式（4）计算</w:t>
      </w:r>
      <w:r>
        <w:rPr>
          <w:rFonts w:hint="eastAsia"/>
          <w:sz w:val="24"/>
        </w:rPr>
        <w:t>先后放置两组异物</w:t>
      </w:r>
      <w:r>
        <w:rPr>
          <w:sz w:val="24"/>
        </w:rPr>
        <w:t>夹角</w:t>
      </w:r>
      <w:r>
        <w:rPr>
          <w:rFonts w:hint="eastAsia"/>
          <w:sz w:val="24"/>
        </w:rPr>
        <w:t>的</w:t>
      </w:r>
      <w:r>
        <w:rPr>
          <w:sz w:val="24"/>
        </w:rPr>
        <w:t>理论值</w:t>
      </w:r>
      <w:r>
        <w:rPr>
          <w:position w:val="-12"/>
          <w:sz w:val="24"/>
        </w:rPr>
        <w:object>
          <v:shape id="_x0000_i1030" o:spt="75" type="#_x0000_t75" style="height:18pt;width:22pt;" o:ole="t" filled="f" o:preferrelative="t" stroked="f" coordsize="21600,21600">
            <v:path/>
            <v:fill on="f" focussize="0,0"/>
            <v:stroke on="f"/>
            <v:imagedata r:id="rId28" o:title=""/>
            <o:lock v:ext="edit" aspectratio="t"/>
            <w10:wrap type="none"/>
            <w10:anchorlock/>
          </v:shape>
          <o:OLEObject Type="Embed" ProgID="Equation.KSEE3" ShapeID="_x0000_i1030" DrawAspect="Content" ObjectID="_1468075728" r:id="rId27">
            <o:LockedField>false</o:LockedField>
          </o:OLEObject>
        </w:object>
      </w:r>
      <w:r>
        <w:rPr>
          <w:sz w:val="24"/>
        </w:rPr>
        <w:t>；通过公式（5）计算测角示值误差</w:t>
      </w:r>
      <w:r>
        <w:rPr>
          <w:position w:val="-6"/>
          <w:sz w:val="24"/>
        </w:rPr>
        <w:object>
          <v:shape id="_x0000_i1031" o:spt="75" type="#_x0000_t75" style="height:13.95pt;width:19pt;" o:ole="t" filled="f" o:preferrelative="t" stroked="f" coordsize="21600,21600">
            <v:path/>
            <v:fill on="f" focussize="0,0"/>
            <v:stroke on="f"/>
            <v:imagedata r:id="rId30" o:title=""/>
            <o:lock v:ext="edit" aspectratio="t"/>
            <w10:wrap type="none"/>
            <w10:anchorlock/>
          </v:shape>
          <o:OLEObject Type="Embed" ProgID="Equation.KSEE3" ShapeID="_x0000_i1031" DrawAspect="Content" ObjectID="_1468075729" r:id="rId29">
            <o:LockedField>false</o:LockedField>
          </o:OLEObject>
        </w:object>
      </w:r>
      <w:r>
        <w:rPr>
          <w:sz w:val="24"/>
        </w:rPr>
        <w:t>。</w:t>
      </w:r>
    </w:p>
    <w:p>
      <w:pPr>
        <w:spacing w:line="360" w:lineRule="auto"/>
        <w:ind w:left="902"/>
        <w:jc w:val="right"/>
        <w:rPr>
          <w:sz w:val="24"/>
        </w:rPr>
      </w:pPr>
      <w:r>
        <w:rPr>
          <w:rFonts w:hint="eastAsia"/>
          <w:position w:val="-12"/>
          <w:sz w:val="24"/>
        </w:rPr>
        <w:object>
          <v:shape id="_x0000_i1032" o:spt="75" type="#_x0000_t75" style="height:18pt;width:60.95pt;" o:ole="t" filled="f" o:preferrelative="t" stroked="f" coordsize="21600,21600">
            <v:path/>
            <v:fill on="f" focussize="0,0"/>
            <v:stroke on="f"/>
            <v:imagedata r:id="rId32" o:title=""/>
            <o:lock v:ext="edit" aspectratio="t"/>
            <w10:wrap type="none"/>
            <w10:anchorlock/>
          </v:shape>
          <o:OLEObject Type="Embed" ProgID="Equation.KSEE3" ShapeID="_x0000_i1032" DrawAspect="Content" ObjectID="_1468075730" r:id="rId31">
            <o:LockedField>false</o:LockedField>
          </o:OLEObject>
        </w:object>
      </w:r>
      <w:r>
        <w:rPr>
          <w:rFonts w:hint="eastAsia"/>
          <w:sz w:val="24"/>
          <w:lang w:val="en-US" w:eastAsia="zh-CN"/>
        </w:rPr>
        <w:t xml:space="preserve"> </w:t>
      </w:r>
      <w:r>
        <w:rPr>
          <w:sz w:val="24"/>
        </w:rPr>
        <w:t xml:space="preserve"> </w:t>
      </w:r>
      <w:r>
        <w:rPr>
          <w:rFonts w:hint="eastAsia"/>
          <w:sz w:val="24"/>
        </w:rPr>
        <w:t xml:space="preserve">                     </w:t>
      </w:r>
      <w:r>
        <w:rPr>
          <w:sz w:val="24"/>
        </w:rPr>
        <w:t>（3）</w:t>
      </w:r>
    </w:p>
    <w:p>
      <w:pPr>
        <w:spacing w:line="360" w:lineRule="auto"/>
        <w:ind w:left="902"/>
        <w:jc w:val="right"/>
        <w:rPr>
          <w:sz w:val="24"/>
        </w:rPr>
      </w:pPr>
      <w:r>
        <w:rPr>
          <w:rFonts w:ascii="Cambria Math" w:hAnsi="Cambria Math"/>
          <w:b w:val="0"/>
          <w:i w:val="0"/>
          <w:position w:val="-30"/>
          <w:sz w:val="24"/>
        </w:rPr>
        <w:object>
          <v:shape id="_x0000_i1033" o:spt="75" type="#_x0000_t75" style="height:36pt;width:123pt;" o:ole="t" filled="f" o:preferrelative="t" stroked="f" coordsize="21600,21600">
            <v:path/>
            <v:fill on="f" focussize="0,0"/>
            <v:stroke on="f"/>
            <v:imagedata r:id="rId34" o:title=""/>
            <o:lock v:ext="edit" aspectratio="t"/>
            <w10:wrap type="none"/>
            <w10:anchorlock/>
          </v:shape>
          <o:OLEObject Type="Embed" ProgID="Equation.KSEE3" ShapeID="_x0000_i1033" DrawAspect="Content" ObjectID="_1468075731" r:id="rId33">
            <o:LockedField>false</o:LockedField>
          </o:OLEObject>
        </w:object>
      </w:r>
      <w:r>
        <w:rPr>
          <w:rFonts w:hint="eastAsia"/>
          <w:sz w:val="24"/>
        </w:rPr>
        <w:t xml:space="preserve">                 </w:t>
      </w:r>
      <w:r>
        <w:rPr>
          <w:sz w:val="24"/>
        </w:rPr>
        <w:t>（4）</w:t>
      </w:r>
    </w:p>
    <w:p>
      <w:pPr>
        <w:spacing w:line="360" w:lineRule="auto"/>
        <w:ind w:left="902"/>
        <w:jc w:val="right"/>
        <w:rPr>
          <w:sz w:val="24"/>
        </w:rPr>
      </w:pPr>
      <w:r>
        <w:rPr>
          <w:rFonts w:ascii="Cambria Math" w:hAnsi="Cambria Math"/>
          <w:i/>
          <w:position w:val="-14"/>
          <w:sz w:val="24"/>
        </w:rPr>
        <w:object>
          <v:shape id="_x0000_i1034" o:spt="75" type="#_x0000_t75" style="height:20pt;width:125pt;" o:ole="t" filled="f" o:preferrelative="t" stroked="f" coordsize="21600,21600">
            <v:path/>
            <v:fill on="f" focussize="0,0"/>
            <v:stroke on="f"/>
            <v:imagedata r:id="rId36" o:title=""/>
            <o:lock v:ext="edit" aspectratio="t"/>
            <w10:wrap type="none"/>
            <w10:anchorlock/>
          </v:shape>
          <o:OLEObject Type="Embed" ProgID="Equation.KSEE3" ShapeID="_x0000_i1034" DrawAspect="Content" ObjectID="_1468075732" r:id="rId35">
            <o:LockedField>false</o:LockedField>
          </o:OLEObject>
        </w:object>
      </w:r>
      <w:r>
        <w:rPr>
          <w:rFonts w:hint="eastAsia"/>
          <w:sz w:val="24"/>
        </w:rPr>
        <w:t xml:space="preserve"> </w:t>
      </w:r>
      <w:r>
        <w:rPr>
          <w:sz w:val="24"/>
        </w:rPr>
        <w:t xml:space="preserve">  </w:t>
      </w:r>
      <w:r>
        <w:rPr>
          <w:rFonts w:hint="eastAsia"/>
          <w:sz w:val="24"/>
          <w:lang w:val="en-US" w:eastAsia="zh-CN"/>
        </w:rPr>
        <w:t xml:space="preserve">  </w:t>
      </w:r>
      <w:r>
        <w:rPr>
          <w:rFonts w:hint="eastAsia"/>
          <w:sz w:val="24"/>
        </w:rPr>
        <w:t xml:space="preserve">            </w:t>
      </w:r>
      <w:r>
        <w:rPr>
          <w:sz w:val="24"/>
        </w:rPr>
        <w:t>（5）</w:t>
      </w:r>
    </w:p>
    <w:p>
      <w:pPr>
        <w:keepNext w:val="0"/>
        <w:keepLines w:val="0"/>
        <w:pageBreakBefore w:val="0"/>
        <w:widowControl w:val="0"/>
        <w:tabs>
          <w:tab w:val="left" w:pos="840"/>
        </w:tabs>
        <w:kinsoku/>
        <w:wordWrap/>
        <w:overflowPunct/>
        <w:topLinePunct w:val="0"/>
        <w:autoSpaceDE/>
        <w:autoSpaceDN/>
        <w:bidi w:val="0"/>
        <w:adjustRightInd/>
        <w:snapToGrid/>
        <w:spacing w:line="360" w:lineRule="auto"/>
        <w:ind w:left="0" w:leftChars="0" w:firstLine="480" w:firstLineChars="200"/>
        <w:textAlignment w:val="auto"/>
        <w:outlineLvl w:val="9"/>
        <w:rPr>
          <w:sz w:val="24"/>
          <w:lang w:bidi="en-US"/>
        </w:rPr>
      </w:pPr>
      <w:r>
        <w:rPr>
          <w:sz w:val="24"/>
          <w:lang w:bidi="en-US"/>
        </w:rPr>
        <w:t>式中：</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9"/>
        <w:rPr>
          <w:sz w:val="24"/>
        </w:rPr>
      </w:pPr>
      <w:r>
        <w:rPr>
          <w:i/>
          <w:iCs/>
          <w:sz w:val="24"/>
        </w:rPr>
        <w:t>θ</w:t>
      </w:r>
      <w:r>
        <w:rPr>
          <w:i/>
          <w:iCs/>
          <w:sz w:val="24"/>
          <w:vertAlign w:val="subscript"/>
        </w:rPr>
        <w:t>i</w:t>
      </w:r>
      <w:r>
        <w:rPr>
          <w:sz w:val="24"/>
        </w:rPr>
        <w:t>——下发扫描指令并记录上报的对应</w:t>
      </w:r>
      <w:r>
        <w:rPr>
          <w:rFonts w:hint="eastAsia"/>
          <w:sz w:val="24"/>
        </w:rPr>
        <w:t>标准异物</w:t>
      </w:r>
      <w:r>
        <w:rPr>
          <w:sz w:val="24"/>
        </w:rPr>
        <w:t>角度</w:t>
      </w:r>
      <w:r>
        <w:rPr>
          <w:rFonts w:hint="eastAsia"/>
          <w:sz w:val="24"/>
        </w:rPr>
        <w:t>；</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9"/>
        <w:rPr>
          <w:sz w:val="24"/>
        </w:rPr>
      </w:pPr>
      <w:r>
        <w:rPr>
          <w:i/>
          <w:iCs/>
          <w:sz w:val="24"/>
        </w:rPr>
        <w:t>θ</w:t>
      </w:r>
      <w:r>
        <w:rPr>
          <w:i/>
          <w:iCs/>
          <w:sz w:val="24"/>
          <w:vertAlign w:val="subscript"/>
        </w:rPr>
        <w:t>i</w:t>
      </w:r>
      <w:r>
        <w:rPr>
          <w:sz w:val="24"/>
        </w:rPr>
        <w:t>′——再次开启扫描并记录</w:t>
      </w:r>
      <w:r>
        <w:rPr>
          <w:rFonts w:hint="eastAsia"/>
          <w:sz w:val="24"/>
        </w:rPr>
        <w:t>后放置</w:t>
      </w:r>
      <w:r>
        <w:rPr>
          <w:sz w:val="24"/>
        </w:rPr>
        <w:t>的</w:t>
      </w:r>
      <w:r>
        <w:rPr>
          <w:rFonts w:hint="eastAsia"/>
          <w:sz w:val="24"/>
        </w:rPr>
        <w:t>标准异物</w:t>
      </w:r>
      <w:r>
        <w:rPr>
          <w:sz w:val="24"/>
        </w:rPr>
        <w:t>上报角度</w:t>
      </w:r>
      <w:r>
        <w:rPr>
          <w:rFonts w:hint="eastAsia"/>
          <w:sz w:val="24"/>
        </w:rPr>
        <w:t>；</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9"/>
        <w:rPr>
          <w:sz w:val="24"/>
        </w:rPr>
      </w:pPr>
      <w:r>
        <w:rPr>
          <w:sz w:val="24"/>
        </w:rPr>
        <w:t>Δ</w:t>
      </w:r>
      <w:r>
        <w:rPr>
          <w:i/>
          <w:iCs/>
          <w:sz w:val="24"/>
        </w:rPr>
        <w:t>θ</w:t>
      </w:r>
      <w:r>
        <w:rPr>
          <w:i/>
          <w:iCs/>
          <w:sz w:val="24"/>
          <w:vertAlign w:val="subscript"/>
        </w:rPr>
        <w:t>i</w:t>
      </w:r>
      <w:r>
        <w:rPr>
          <w:sz w:val="24"/>
        </w:rPr>
        <w:t>——通过公式（3）计算平移后的目标与平移前目标夹角</w:t>
      </w:r>
      <w:r>
        <w:rPr>
          <w:rFonts w:hint="eastAsia"/>
          <w:sz w:val="24"/>
        </w:rPr>
        <w:t>；</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eastAsia="宋体"/>
          <w:sz w:val="24"/>
          <w:lang w:val="en-US" w:eastAsia="zh-CN"/>
        </w:rPr>
      </w:pPr>
      <w:r>
        <w:rPr>
          <w:sz w:val="24"/>
        </w:rPr>
        <w:t>Δ</w:t>
      </w:r>
      <w:r>
        <w:rPr>
          <w:i/>
          <w:iCs/>
          <w:sz w:val="24"/>
        </w:rPr>
        <w:t>θ</w:t>
      </w:r>
      <w:r>
        <w:rPr>
          <w:i/>
          <w:iCs/>
          <w:sz w:val="24"/>
          <w:vertAlign w:val="subscript"/>
        </w:rPr>
        <w:t>i</w:t>
      </w:r>
      <w:r>
        <w:rPr>
          <w:sz w:val="24"/>
        </w:rPr>
        <w:t>′——通过公式（4）计算平移前后的夹角与理论值</w:t>
      </w:r>
      <w:r>
        <w:rPr>
          <w:rFonts w:hint="eastAsia"/>
          <w:sz w:val="24"/>
        </w:rPr>
        <w:t>；</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9"/>
        <w:rPr>
          <w:sz w:val="24"/>
        </w:rPr>
      </w:pPr>
      <w:r>
        <w:rPr>
          <w:sz w:val="24"/>
        </w:rPr>
        <w:t>Δ</w:t>
      </w:r>
      <w:r>
        <w:rPr>
          <w:i/>
          <w:iCs/>
          <w:sz w:val="24"/>
        </w:rPr>
        <w:t>θ</w:t>
      </w:r>
      <w:r>
        <w:rPr>
          <w:sz w:val="24"/>
        </w:rPr>
        <w:t>——通过公式（5）计算测角示值误差Δθ</w:t>
      </w:r>
      <w:r>
        <w:rPr>
          <w:rFonts w:hint="eastAsia"/>
          <w:sz w:val="24"/>
        </w:rPr>
        <w:t>。</w:t>
      </w:r>
    </w:p>
    <w:bookmarkEnd w:id="23"/>
    <w:p>
      <w:pPr>
        <w:spacing w:line="360" w:lineRule="auto"/>
        <w:jc w:val="left"/>
        <w:rPr>
          <w:sz w:val="24"/>
        </w:rPr>
      </w:pPr>
      <w:r>
        <w:rPr>
          <w:sz w:val="24"/>
        </w:rPr>
        <w:drawing>
          <wp:inline distT="0" distB="0" distL="0" distR="0">
            <wp:extent cx="4913630" cy="1304925"/>
            <wp:effectExtent l="0" t="0" r="1270" b="9525"/>
            <wp:docPr id="1030" name="图片 4"/>
            <wp:cNvGraphicFramePr/>
            <a:graphic xmlns:a="http://schemas.openxmlformats.org/drawingml/2006/main">
              <a:graphicData uri="http://schemas.openxmlformats.org/drawingml/2006/picture">
                <pic:pic xmlns:pic="http://schemas.openxmlformats.org/drawingml/2006/picture">
                  <pic:nvPicPr>
                    <pic:cNvPr id="1030" name="图片 4"/>
                    <pic:cNvPicPr/>
                  </pic:nvPicPr>
                  <pic:blipFill>
                    <a:blip r:embed="rId37" cstate="print"/>
                    <a:srcRect t="16573" b="1358"/>
                    <a:stretch>
                      <a:fillRect/>
                    </a:stretch>
                  </pic:blipFill>
                  <pic:spPr>
                    <a:xfrm>
                      <a:off x="0" y="0"/>
                      <a:ext cx="4913630" cy="1304925"/>
                    </a:xfrm>
                    <a:prstGeom prst="rect">
                      <a:avLst/>
                    </a:prstGeom>
                    <a:ln>
                      <a:noFill/>
                    </a:ln>
                  </pic:spPr>
                </pic:pic>
              </a:graphicData>
            </a:graphic>
          </wp:inline>
        </w:drawing>
      </w:r>
    </w:p>
    <w:p>
      <w:pPr>
        <w:spacing w:line="360" w:lineRule="auto"/>
        <w:jc w:val="center"/>
      </w:pPr>
      <w:r>
        <w:t xml:space="preserve">图4 </w:t>
      </w:r>
      <w:r>
        <w:rPr>
          <w:rFonts w:hint="eastAsia"/>
        </w:rPr>
        <w:t>测角示值误差</w:t>
      </w:r>
      <w:r>
        <w:rPr>
          <w:rFonts w:hint="eastAsia"/>
          <w:lang w:eastAsia="zh-CN"/>
        </w:rPr>
        <w:t>校准</w:t>
      </w:r>
      <w:r>
        <w:rPr>
          <w:rFonts w:hint="eastAsia"/>
        </w:rPr>
        <w:t>示意图</w:t>
      </w:r>
    </w:p>
    <w:p>
      <w:pPr>
        <w:spacing w:line="360" w:lineRule="auto"/>
        <w:jc w:val="left"/>
        <w:outlineLvl w:val="1"/>
        <w:rPr>
          <w:sz w:val="24"/>
        </w:rPr>
      </w:pPr>
      <w:r>
        <w:rPr>
          <w:sz w:val="24"/>
        </w:rPr>
        <w:t xml:space="preserve">7.6 </w:t>
      </w:r>
      <w:r>
        <w:rPr>
          <w:rFonts w:hint="eastAsia"/>
          <w:sz w:val="24"/>
        </w:rPr>
        <w:t>响应时间</w:t>
      </w:r>
    </w:p>
    <w:p>
      <w:pPr>
        <w:spacing w:line="360" w:lineRule="auto"/>
        <w:ind w:firstLine="480" w:firstLineChars="200"/>
        <w:jc w:val="left"/>
        <w:rPr>
          <w:sz w:val="24"/>
        </w:rPr>
      </w:pPr>
      <w:bookmarkStart w:id="24" w:name="_Hlk130664550"/>
      <w:r>
        <w:rPr>
          <w:rFonts w:hint="eastAsia"/>
          <w:sz w:val="24"/>
        </w:rPr>
        <w:t>通过测试软件下发扫描指令到更新探测结果所用时间，记为</w:t>
      </w:r>
      <w:r>
        <w:rPr>
          <w:rFonts w:hint="eastAsia"/>
          <w:position w:val="-12"/>
          <w:sz w:val="24"/>
        </w:rPr>
        <w:object>
          <v:shape id="_x0000_i1035" o:spt="75" type="#_x0000_t75" style="height:18pt;width:11pt;" o:ole="t" filled="f" o:preferrelative="t" stroked="f" coordsize="21600,21600">
            <v:path/>
            <v:fill on="f" focussize="0,0"/>
            <v:stroke on="f"/>
            <v:imagedata r:id="rId39" o:title=""/>
            <o:lock v:ext="edit" aspectratio="t"/>
            <w10:wrap type="none"/>
            <w10:anchorlock/>
          </v:shape>
          <o:OLEObject Type="Embed" ProgID="Equation.KSEE3" ShapeID="_x0000_i1035" DrawAspect="Content" ObjectID="_1468075733" r:id="rId38">
            <o:LockedField>false</o:LockedField>
          </o:OLEObject>
        </w:object>
      </w:r>
      <w:r>
        <w:rPr>
          <w:rFonts w:hint="eastAsia"/>
          <w:sz w:val="24"/>
        </w:rPr>
        <w:t>。</w:t>
      </w:r>
      <w:r>
        <w:rPr>
          <w:rFonts w:hint="eastAsia"/>
          <w:sz w:val="24"/>
          <w:lang w:val="en-US" w:eastAsia="zh-CN"/>
        </w:rPr>
        <w:t>扫描5次，取其中的最大值即为设备响应时间</w:t>
      </w:r>
      <w:r>
        <w:rPr>
          <w:rFonts w:hint="eastAsia"/>
          <w:i/>
          <w:iCs/>
          <w:sz w:val="24"/>
          <w:lang w:val="en-US" w:eastAsia="zh-CN"/>
        </w:rPr>
        <w:t>T</w:t>
      </w:r>
      <w:r>
        <w:rPr>
          <w:rFonts w:hint="eastAsia"/>
          <w:sz w:val="24"/>
          <w:lang w:val="en-US" w:eastAsia="zh-CN"/>
        </w:rPr>
        <w:t>，</w:t>
      </w:r>
      <w:r>
        <w:rPr>
          <w:rFonts w:hint="eastAsia"/>
          <w:sz w:val="24"/>
        </w:rPr>
        <w:t>通过公式（</w:t>
      </w:r>
      <w:r>
        <w:rPr>
          <w:sz w:val="24"/>
        </w:rPr>
        <w:t>6</w:t>
      </w:r>
      <w:r>
        <w:rPr>
          <w:rFonts w:hint="eastAsia"/>
          <w:sz w:val="24"/>
        </w:rPr>
        <w:t>）计算。</w:t>
      </w:r>
    </w:p>
    <w:bookmarkEnd w:id="24"/>
    <w:p>
      <w:pPr>
        <w:spacing w:line="360" w:lineRule="auto"/>
        <w:jc w:val="right"/>
        <w:rPr>
          <w:sz w:val="24"/>
        </w:rPr>
      </w:pPr>
      <w:r>
        <w:rPr>
          <w:rFonts w:hint="eastAsia" w:ascii="Cambria Math" w:hAnsi="Cambria Math"/>
          <w:i/>
          <w:position w:val="-12"/>
          <w:sz w:val="24"/>
        </w:rPr>
        <w:object>
          <v:shape id="_x0000_i1036" o:spt="75" type="#_x0000_t75" style="height:18pt;width:78pt;" o:ole="t" filled="f" o:preferrelative="t" stroked="f" coordsize="21600,21600">
            <v:path/>
            <v:fill on="f" focussize="0,0"/>
            <v:stroke on="f"/>
            <v:imagedata r:id="rId41" o:title=""/>
            <o:lock v:ext="edit" aspectratio="t"/>
            <w10:wrap type="none"/>
            <w10:anchorlock/>
          </v:shape>
          <o:OLEObject Type="Embed" ProgID="Equation.KSEE3" ShapeID="_x0000_i1036" DrawAspect="Content" ObjectID="_1468075734" r:id="rId40">
            <o:LockedField>false</o:LockedField>
          </o:OLEObject>
        </w:object>
      </w:r>
      <w:r>
        <w:rPr>
          <w:rFonts w:hint="eastAsia"/>
          <w:sz w:val="24"/>
        </w:rPr>
        <w:t xml:space="preserve"> </w:t>
      </w:r>
      <w:r>
        <w:rPr>
          <w:sz w:val="24"/>
        </w:rPr>
        <w:t xml:space="preserve"> </w:t>
      </w:r>
      <w:r>
        <w:rPr>
          <w:rFonts w:hint="eastAsia"/>
          <w:sz w:val="24"/>
        </w:rPr>
        <w:t xml:space="preserve">                     （6）</w:t>
      </w:r>
    </w:p>
    <w:p>
      <w:pPr>
        <w:keepNext w:val="0"/>
        <w:keepLines w:val="0"/>
        <w:pageBreakBefore w:val="0"/>
        <w:widowControl w:val="0"/>
        <w:tabs>
          <w:tab w:val="left" w:pos="840"/>
        </w:tabs>
        <w:kinsoku/>
        <w:wordWrap/>
        <w:overflowPunct/>
        <w:topLinePunct w:val="0"/>
        <w:autoSpaceDE/>
        <w:autoSpaceDN/>
        <w:bidi w:val="0"/>
        <w:adjustRightInd/>
        <w:snapToGrid/>
        <w:spacing w:line="360" w:lineRule="auto"/>
        <w:ind w:left="0" w:leftChars="0" w:firstLine="480" w:firstLineChars="200"/>
        <w:textAlignment w:val="auto"/>
        <w:outlineLvl w:val="9"/>
        <w:rPr>
          <w:sz w:val="24"/>
          <w:lang w:bidi="en-US"/>
        </w:rPr>
      </w:pPr>
      <w:r>
        <w:rPr>
          <w:rFonts w:hint="eastAsia"/>
          <w:sz w:val="24"/>
          <w:lang w:bidi="en-US"/>
        </w:rPr>
        <w:t>式中：</w:t>
      </w:r>
    </w:p>
    <w:p>
      <w:pPr>
        <w:keepNext w:val="0"/>
        <w:keepLines w:val="0"/>
        <w:pageBreakBefore w:val="0"/>
        <w:widowControl w:val="0"/>
        <w:tabs>
          <w:tab w:val="left" w:pos="840"/>
        </w:tabs>
        <w:kinsoku/>
        <w:wordWrap/>
        <w:overflowPunct/>
        <w:topLinePunct w:val="0"/>
        <w:autoSpaceDE/>
        <w:autoSpaceDN/>
        <w:bidi w:val="0"/>
        <w:adjustRightInd/>
        <w:snapToGrid/>
        <w:spacing w:line="360" w:lineRule="auto"/>
        <w:ind w:left="0" w:leftChars="0" w:firstLine="480" w:firstLineChars="200"/>
        <w:textAlignment w:val="auto"/>
        <w:outlineLvl w:val="9"/>
        <w:rPr>
          <w:sz w:val="24"/>
          <w:lang w:bidi="en-US"/>
        </w:rPr>
      </w:pPr>
      <w:r>
        <w:rPr>
          <w:rFonts w:hint="eastAsia"/>
          <w:position w:val="-12"/>
          <w:sz w:val="24"/>
        </w:rPr>
        <w:object>
          <v:shape id="_x0000_i1037" o:spt="75" type="#_x0000_t75" style="height:18pt;width:11pt;" o:ole="t" filled="f" o:preferrelative="t" stroked="f" coordsize="21600,21600">
            <v:path/>
            <v:fill on="f" focussize="0,0"/>
            <v:stroke on="f"/>
            <v:imagedata r:id="rId39" o:title=""/>
            <o:lock v:ext="edit" aspectratio="t"/>
            <w10:wrap type="none"/>
            <w10:anchorlock/>
          </v:shape>
          <o:OLEObject Type="Embed" ProgID="Equation.KSEE3" ShapeID="_x0000_i1037" DrawAspect="Content" ObjectID="_1468075735" r:id="rId42">
            <o:LockedField>false</o:LockedField>
          </o:OLEObject>
        </w:object>
      </w:r>
      <w:r>
        <w:rPr>
          <w:rFonts w:hint="eastAsia" w:ascii="宋体" w:hAnsi="宋体"/>
          <w:sz w:val="24"/>
        </w:rPr>
        <w:t>——</w:t>
      </w:r>
      <w:r>
        <w:rPr>
          <w:rFonts w:hint="eastAsia"/>
          <w:sz w:val="24"/>
        </w:rPr>
        <w:t>通过测试软件下发扫描指令到更新探测结果所用时间；</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9"/>
        <w:rPr>
          <w:sz w:val="24"/>
        </w:rPr>
      </w:pPr>
      <w:r>
        <w:rPr>
          <w:rFonts w:hint="eastAsia"/>
          <w:i/>
          <w:iCs/>
          <w:sz w:val="24"/>
        </w:rPr>
        <w:t>T</w:t>
      </w:r>
      <w:r>
        <w:rPr>
          <w:rFonts w:hint="eastAsia" w:ascii="宋体" w:hAnsi="宋体"/>
          <w:sz w:val="24"/>
        </w:rPr>
        <w:t>——</w:t>
      </w:r>
      <w:r>
        <w:rPr>
          <w:rFonts w:hint="eastAsia" w:ascii="宋体" w:hAnsi="宋体"/>
          <w:sz w:val="24"/>
          <w:lang w:val="en-US" w:eastAsia="zh-CN"/>
        </w:rPr>
        <w:t>探测设备的</w:t>
      </w:r>
      <w:r>
        <w:rPr>
          <w:rFonts w:hint="eastAsia"/>
          <w:sz w:val="24"/>
        </w:rPr>
        <w:t>响应时间。</w:t>
      </w:r>
    </w:p>
    <w:p>
      <w:pPr>
        <w:pStyle w:val="2"/>
        <w:spacing w:before="0" w:after="0" w:line="480" w:lineRule="auto"/>
        <w:rPr>
          <w:rFonts w:ascii="黑体" w:eastAsia="黑体"/>
          <w:b w:val="0"/>
          <w:sz w:val="24"/>
          <w:szCs w:val="24"/>
        </w:rPr>
      </w:pPr>
      <w:bookmarkStart w:id="25" w:name="_Toc1088"/>
      <w:r>
        <w:rPr>
          <w:rFonts w:ascii="黑体" w:eastAsia="黑体"/>
          <w:b w:val="0"/>
          <w:sz w:val="24"/>
          <w:szCs w:val="24"/>
        </w:rPr>
        <w:t>8.</w:t>
      </w:r>
      <w:r>
        <w:rPr>
          <w:rFonts w:hint="eastAsia" w:ascii="黑体" w:eastAsia="黑体"/>
          <w:b w:val="0"/>
          <w:sz w:val="24"/>
          <w:szCs w:val="24"/>
        </w:rPr>
        <w:t>校准结果的表达</w:t>
      </w:r>
      <w:bookmarkEnd w:id="25"/>
    </w:p>
    <w:p>
      <w:pPr>
        <w:spacing w:line="360" w:lineRule="auto"/>
        <w:ind w:firstLine="480" w:firstLineChars="200"/>
        <w:rPr>
          <w:rFonts w:hint="eastAsia" w:eastAsia="宋体"/>
          <w:color w:val="000000"/>
          <w:sz w:val="24"/>
          <w:lang w:eastAsia="zh-CN"/>
        </w:rPr>
      </w:pPr>
      <w:r>
        <w:rPr>
          <w:rFonts w:hint="eastAsia"/>
          <w:color w:val="000000"/>
          <w:sz w:val="24"/>
        </w:rPr>
        <w:t>校准结果应在校准证书上反映。校准证书应至少包括以下信息</w:t>
      </w:r>
      <w:r>
        <w:rPr>
          <w:rFonts w:hint="eastAsia"/>
          <w:color w:val="000000"/>
          <w:sz w:val="24"/>
          <w:lang w:eastAsia="zh-CN"/>
        </w:rPr>
        <w:t>：</w:t>
      </w:r>
    </w:p>
    <w:p>
      <w:pPr>
        <w:spacing w:line="360" w:lineRule="auto"/>
        <w:ind w:firstLine="480" w:firstLineChars="200"/>
        <w:rPr>
          <w:rFonts w:hint="eastAsia" w:eastAsia="宋体"/>
          <w:color w:val="000000"/>
          <w:sz w:val="24"/>
          <w:lang w:eastAsia="zh-CN"/>
        </w:rPr>
      </w:pPr>
      <w:r>
        <w:rPr>
          <w:rFonts w:hint="eastAsia"/>
          <w:color w:val="000000"/>
          <w:sz w:val="24"/>
          <w:lang w:val="en-US" w:eastAsia="zh-CN"/>
        </w:rPr>
        <w:t>a</w:t>
      </w:r>
      <w:r>
        <w:rPr>
          <w:rFonts w:hint="eastAsia"/>
          <w:color w:val="000000"/>
          <w:sz w:val="24"/>
          <w:lang w:eastAsia="zh-CN"/>
        </w:rPr>
        <w:t>）</w:t>
      </w:r>
      <w:r>
        <w:rPr>
          <w:rFonts w:hint="eastAsia"/>
          <w:color w:val="000000"/>
          <w:sz w:val="24"/>
        </w:rPr>
        <w:t>标题</w:t>
      </w:r>
      <w:r>
        <w:rPr>
          <w:rFonts w:hint="eastAsia"/>
          <w:color w:val="000000"/>
          <w:sz w:val="24"/>
          <w:lang w:eastAsia="zh-CN"/>
        </w:rPr>
        <w:t>：</w:t>
      </w:r>
      <w:r>
        <w:rPr>
          <w:rFonts w:hint="eastAsia"/>
          <w:color w:val="000000"/>
          <w:sz w:val="24"/>
        </w:rPr>
        <w:t>“校准证书”</w:t>
      </w:r>
      <w:r>
        <w:rPr>
          <w:rFonts w:hint="eastAsia"/>
          <w:color w:val="000000"/>
          <w:sz w:val="24"/>
          <w:lang w:eastAsia="zh-CN"/>
        </w:rPr>
        <w:t>；</w:t>
      </w:r>
    </w:p>
    <w:p>
      <w:pPr>
        <w:spacing w:line="360" w:lineRule="auto"/>
        <w:ind w:firstLine="480" w:firstLineChars="200"/>
        <w:rPr>
          <w:rFonts w:hint="eastAsia" w:eastAsia="宋体"/>
          <w:color w:val="000000"/>
          <w:sz w:val="24"/>
          <w:lang w:eastAsia="zh-CN"/>
        </w:rPr>
      </w:pPr>
      <w:r>
        <w:rPr>
          <w:rFonts w:hint="eastAsia"/>
          <w:color w:val="000000"/>
          <w:sz w:val="24"/>
          <w:lang w:val="en-US" w:eastAsia="zh-CN"/>
        </w:rPr>
        <w:t>b</w:t>
      </w:r>
      <w:r>
        <w:rPr>
          <w:rFonts w:hint="eastAsia"/>
          <w:color w:val="000000"/>
          <w:sz w:val="24"/>
          <w:lang w:eastAsia="zh-CN"/>
        </w:rPr>
        <w:t>）</w:t>
      </w:r>
      <w:r>
        <w:rPr>
          <w:rFonts w:hint="eastAsia"/>
          <w:color w:val="000000"/>
          <w:sz w:val="24"/>
        </w:rPr>
        <w:t>实验室名称和地址</w:t>
      </w:r>
      <w:r>
        <w:rPr>
          <w:rFonts w:hint="eastAsia"/>
          <w:color w:val="000000"/>
          <w:sz w:val="24"/>
          <w:lang w:eastAsia="zh-CN"/>
        </w:rPr>
        <w:t>；</w:t>
      </w:r>
    </w:p>
    <w:p>
      <w:pPr>
        <w:spacing w:line="360" w:lineRule="auto"/>
        <w:ind w:firstLine="480" w:firstLineChars="200"/>
        <w:rPr>
          <w:rFonts w:hint="eastAsia" w:eastAsia="宋体"/>
          <w:color w:val="000000"/>
          <w:sz w:val="24"/>
          <w:lang w:eastAsia="zh-CN"/>
        </w:rPr>
      </w:pPr>
      <w:r>
        <w:rPr>
          <w:rFonts w:hint="eastAsia"/>
          <w:color w:val="000000"/>
          <w:sz w:val="24"/>
        </w:rPr>
        <w:t>c</w:t>
      </w:r>
      <w:r>
        <w:rPr>
          <w:rFonts w:hint="eastAsia"/>
          <w:color w:val="000000"/>
          <w:sz w:val="24"/>
          <w:lang w:eastAsia="zh-CN"/>
        </w:rPr>
        <w:t>）</w:t>
      </w:r>
      <w:r>
        <w:rPr>
          <w:rFonts w:hint="eastAsia"/>
          <w:color w:val="000000"/>
          <w:sz w:val="24"/>
        </w:rPr>
        <w:t>进行校准的地点</w:t>
      </w:r>
      <w:r>
        <w:rPr>
          <w:rFonts w:hint="eastAsia"/>
          <w:color w:val="000000"/>
          <w:sz w:val="24"/>
          <w:lang w:eastAsia="zh-CN"/>
        </w:rPr>
        <w:t>（</w:t>
      </w:r>
      <w:r>
        <w:rPr>
          <w:rFonts w:hint="eastAsia"/>
          <w:color w:val="000000"/>
          <w:sz w:val="24"/>
        </w:rPr>
        <w:t>如果与实验室的地址不同</w:t>
      </w:r>
      <w:r>
        <w:rPr>
          <w:rFonts w:hint="eastAsia"/>
          <w:color w:val="000000"/>
          <w:sz w:val="24"/>
          <w:lang w:eastAsia="zh-CN"/>
        </w:rPr>
        <w:t>）；</w:t>
      </w:r>
    </w:p>
    <w:p>
      <w:pPr>
        <w:spacing w:line="360" w:lineRule="auto"/>
        <w:ind w:firstLine="480" w:firstLineChars="200"/>
        <w:rPr>
          <w:rFonts w:hint="eastAsia" w:eastAsia="宋体"/>
          <w:color w:val="000000"/>
          <w:sz w:val="24"/>
          <w:lang w:eastAsia="zh-CN"/>
        </w:rPr>
      </w:pPr>
      <w:r>
        <w:rPr>
          <w:rFonts w:hint="eastAsia"/>
          <w:color w:val="000000"/>
          <w:sz w:val="24"/>
        </w:rPr>
        <w:t>d</w:t>
      </w:r>
      <w:r>
        <w:rPr>
          <w:rFonts w:hint="eastAsia"/>
          <w:color w:val="000000"/>
          <w:sz w:val="24"/>
          <w:lang w:eastAsia="zh-CN"/>
        </w:rPr>
        <w:t>）</w:t>
      </w:r>
      <w:r>
        <w:rPr>
          <w:rFonts w:hint="eastAsia"/>
          <w:color w:val="000000"/>
          <w:sz w:val="24"/>
        </w:rPr>
        <w:t>证书的唯一性标识</w:t>
      </w:r>
      <w:r>
        <w:rPr>
          <w:rFonts w:hint="eastAsia"/>
          <w:color w:val="000000"/>
          <w:sz w:val="24"/>
          <w:lang w:eastAsia="zh-CN"/>
        </w:rPr>
        <w:t>（</w:t>
      </w:r>
      <w:r>
        <w:rPr>
          <w:rFonts w:hint="eastAsia"/>
          <w:color w:val="000000"/>
          <w:sz w:val="24"/>
        </w:rPr>
        <w:t>如编号</w:t>
      </w:r>
      <w:r>
        <w:rPr>
          <w:rFonts w:hint="eastAsia"/>
          <w:color w:val="000000"/>
          <w:sz w:val="24"/>
          <w:lang w:eastAsia="zh-CN"/>
        </w:rPr>
        <w:t>），</w:t>
      </w:r>
      <w:r>
        <w:rPr>
          <w:rFonts w:hint="eastAsia"/>
          <w:color w:val="000000"/>
          <w:sz w:val="24"/>
        </w:rPr>
        <w:t>每页及总页数的标识</w:t>
      </w:r>
      <w:r>
        <w:rPr>
          <w:rFonts w:hint="eastAsia"/>
          <w:color w:val="000000"/>
          <w:sz w:val="24"/>
          <w:lang w:eastAsia="zh-CN"/>
        </w:rPr>
        <w:t>；</w:t>
      </w:r>
    </w:p>
    <w:p>
      <w:pPr>
        <w:spacing w:line="360" w:lineRule="auto"/>
        <w:ind w:firstLine="480" w:firstLineChars="200"/>
        <w:rPr>
          <w:rFonts w:hint="eastAsia" w:eastAsia="宋体"/>
          <w:color w:val="000000"/>
          <w:sz w:val="24"/>
          <w:lang w:eastAsia="zh-CN"/>
        </w:rPr>
      </w:pPr>
      <w:r>
        <w:rPr>
          <w:rFonts w:hint="eastAsia"/>
          <w:color w:val="000000"/>
          <w:sz w:val="24"/>
        </w:rPr>
        <w:t>e</w:t>
      </w:r>
      <w:r>
        <w:rPr>
          <w:rFonts w:hint="eastAsia"/>
          <w:color w:val="000000"/>
          <w:sz w:val="24"/>
          <w:lang w:eastAsia="zh-CN"/>
        </w:rPr>
        <w:t>）</w:t>
      </w:r>
      <w:r>
        <w:rPr>
          <w:rFonts w:hint="eastAsia"/>
          <w:color w:val="000000"/>
          <w:sz w:val="24"/>
        </w:rPr>
        <w:t>客户的名称和地址</w:t>
      </w:r>
      <w:r>
        <w:rPr>
          <w:rFonts w:hint="eastAsia"/>
          <w:color w:val="000000"/>
          <w:sz w:val="24"/>
          <w:lang w:eastAsia="zh-CN"/>
        </w:rPr>
        <w:t>；</w:t>
      </w:r>
    </w:p>
    <w:p>
      <w:pPr>
        <w:spacing w:line="360" w:lineRule="auto"/>
        <w:ind w:firstLine="480" w:firstLineChars="200"/>
        <w:rPr>
          <w:rFonts w:hint="eastAsia" w:eastAsia="宋体"/>
          <w:color w:val="000000"/>
          <w:sz w:val="24"/>
          <w:lang w:eastAsia="zh-CN"/>
        </w:rPr>
      </w:pPr>
      <w:r>
        <w:rPr>
          <w:rFonts w:hint="eastAsia"/>
          <w:color w:val="000000"/>
          <w:sz w:val="24"/>
        </w:rPr>
        <w:t>f</w:t>
      </w:r>
      <w:r>
        <w:rPr>
          <w:rFonts w:hint="eastAsia"/>
          <w:color w:val="000000"/>
          <w:sz w:val="24"/>
          <w:lang w:eastAsia="zh-CN"/>
        </w:rPr>
        <w:t>）</w:t>
      </w:r>
      <w:r>
        <w:rPr>
          <w:rFonts w:hint="eastAsia"/>
          <w:color w:val="000000"/>
          <w:sz w:val="24"/>
        </w:rPr>
        <w:t>被校对象的描述和明确标识</w:t>
      </w:r>
      <w:r>
        <w:rPr>
          <w:rFonts w:hint="eastAsia"/>
          <w:color w:val="000000"/>
          <w:sz w:val="24"/>
          <w:lang w:eastAsia="zh-CN"/>
        </w:rPr>
        <w:t>；</w:t>
      </w:r>
    </w:p>
    <w:p>
      <w:pPr>
        <w:spacing w:line="360" w:lineRule="auto"/>
        <w:ind w:firstLine="480" w:firstLineChars="200"/>
        <w:rPr>
          <w:rFonts w:hint="eastAsia" w:eastAsia="宋体"/>
          <w:color w:val="000000"/>
          <w:sz w:val="24"/>
          <w:lang w:eastAsia="zh-CN"/>
        </w:rPr>
      </w:pPr>
      <w:r>
        <w:rPr>
          <w:rFonts w:hint="eastAsia"/>
          <w:color w:val="000000"/>
          <w:sz w:val="24"/>
        </w:rPr>
        <w:t>g</w:t>
      </w:r>
      <w:r>
        <w:rPr>
          <w:rFonts w:hint="eastAsia"/>
          <w:color w:val="000000"/>
          <w:sz w:val="24"/>
          <w:lang w:eastAsia="zh-CN"/>
        </w:rPr>
        <w:t>）</w:t>
      </w:r>
      <w:r>
        <w:rPr>
          <w:rFonts w:hint="eastAsia"/>
          <w:color w:val="000000"/>
          <w:sz w:val="24"/>
        </w:rPr>
        <w:t>进行校准的日期，如果与校准结果的有效性和应用有关时，应说明被校对象的接收日期</w:t>
      </w:r>
      <w:r>
        <w:rPr>
          <w:rFonts w:hint="eastAsia"/>
          <w:color w:val="000000"/>
          <w:sz w:val="24"/>
          <w:lang w:eastAsia="zh-CN"/>
        </w:rPr>
        <w:t>；</w:t>
      </w:r>
    </w:p>
    <w:p>
      <w:pPr>
        <w:spacing w:line="360" w:lineRule="auto"/>
        <w:ind w:firstLine="480" w:firstLineChars="200"/>
        <w:rPr>
          <w:rFonts w:hint="eastAsia" w:eastAsia="宋体"/>
          <w:color w:val="000000"/>
          <w:sz w:val="24"/>
          <w:lang w:eastAsia="zh-CN"/>
        </w:rPr>
      </w:pPr>
      <w:r>
        <w:rPr>
          <w:rFonts w:hint="eastAsia"/>
          <w:color w:val="000000"/>
          <w:sz w:val="24"/>
        </w:rPr>
        <w:t>h</w:t>
      </w:r>
      <w:r>
        <w:rPr>
          <w:rFonts w:hint="eastAsia"/>
          <w:color w:val="000000"/>
          <w:sz w:val="24"/>
          <w:lang w:eastAsia="zh-CN"/>
        </w:rPr>
        <w:t>）</w:t>
      </w:r>
      <w:r>
        <w:rPr>
          <w:rFonts w:hint="eastAsia"/>
          <w:color w:val="000000"/>
          <w:sz w:val="24"/>
        </w:rPr>
        <w:t>如果与校准结果的有效性应用有关时，应对被校样品的抽样程序进行说明</w:t>
      </w:r>
      <w:r>
        <w:rPr>
          <w:rFonts w:hint="eastAsia"/>
          <w:color w:val="000000"/>
          <w:sz w:val="24"/>
          <w:lang w:eastAsia="zh-CN"/>
        </w:rPr>
        <w:t>；</w:t>
      </w:r>
    </w:p>
    <w:p>
      <w:pPr>
        <w:spacing w:line="360" w:lineRule="auto"/>
        <w:ind w:firstLine="480" w:firstLineChars="200"/>
        <w:rPr>
          <w:rFonts w:hint="eastAsia" w:eastAsia="宋体"/>
          <w:color w:val="000000"/>
          <w:sz w:val="24"/>
          <w:lang w:eastAsia="zh-CN"/>
        </w:rPr>
      </w:pPr>
      <w:r>
        <w:rPr>
          <w:rFonts w:hint="eastAsia"/>
          <w:color w:val="000000"/>
          <w:sz w:val="24"/>
        </w:rPr>
        <w:t>i</w:t>
      </w:r>
      <w:r>
        <w:rPr>
          <w:rFonts w:hint="eastAsia"/>
          <w:color w:val="000000"/>
          <w:sz w:val="24"/>
          <w:lang w:eastAsia="zh-CN"/>
        </w:rPr>
        <w:t>）</w:t>
      </w:r>
      <w:r>
        <w:rPr>
          <w:rFonts w:hint="eastAsia"/>
          <w:color w:val="000000"/>
          <w:sz w:val="24"/>
        </w:rPr>
        <w:t>校准所依据的技术规范的标识，包括名称及代号</w:t>
      </w:r>
      <w:r>
        <w:rPr>
          <w:rFonts w:hint="eastAsia"/>
          <w:color w:val="000000"/>
          <w:sz w:val="24"/>
          <w:lang w:eastAsia="zh-CN"/>
        </w:rPr>
        <w:t>；</w:t>
      </w:r>
    </w:p>
    <w:p>
      <w:pPr>
        <w:spacing w:line="360" w:lineRule="auto"/>
        <w:ind w:firstLine="480" w:firstLineChars="200"/>
        <w:rPr>
          <w:rFonts w:hint="eastAsia" w:eastAsia="宋体"/>
          <w:color w:val="000000"/>
          <w:sz w:val="24"/>
          <w:lang w:eastAsia="zh-CN"/>
        </w:rPr>
      </w:pPr>
      <w:r>
        <w:rPr>
          <w:rFonts w:hint="eastAsia"/>
          <w:color w:val="000000"/>
          <w:sz w:val="24"/>
          <w:lang w:val="en-US" w:eastAsia="zh-CN"/>
        </w:rPr>
        <w:t>j</w:t>
      </w:r>
      <w:r>
        <w:rPr>
          <w:rFonts w:hint="eastAsia"/>
          <w:color w:val="000000"/>
          <w:sz w:val="24"/>
          <w:lang w:eastAsia="zh-CN"/>
        </w:rPr>
        <w:t>）</w:t>
      </w:r>
      <w:r>
        <w:rPr>
          <w:rFonts w:hint="eastAsia"/>
          <w:color w:val="000000"/>
          <w:sz w:val="24"/>
        </w:rPr>
        <w:t>本次校准所用测量标准的溯源性及有效性说明</w:t>
      </w:r>
      <w:r>
        <w:rPr>
          <w:rFonts w:hint="eastAsia"/>
          <w:color w:val="000000"/>
          <w:sz w:val="24"/>
          <w:lang w:eastAsia="zh-CN"/>
        </w:rPr>
        <w:t>；</w:t>
      </w:r>
    </w:p>
    <w:p>
      <w:pPr>
        <w:spacing w:line="360" w:lineRule="auto"/>
        <w:ind w:firstLine="480" w:firstLineChars="200"/>
        <w:rPr>
          <w:rFonts w:hint="eastAsia" w:eastAsia="宋体"/>
          <w:color w:val="000000"/>
          <w:sz w:val="24"/>
          <w:lang w:eastAsia="zh-CN"/>
        </w:rPr>
      </w:pPr>
      <w:r>
        <w:rPr>
          <w:rFonts w:hint="eastAsia"/>
          <w:color w:val="000000"/>
          <w:sz w:val="24"/>
        </w:rPr>
        <w:t>k</w:t>
      </w:r>
      <w:r>
        <w:rPr>
          <w:rFonts w:hint="eastAsia"/>
          <w:color w:val="000000"/>
          <w:sz w:val="24"/>
          <w:lang w:eastAsia="zh-CN"/>
        </w:rPr>
        <w:t>）</w:t>
      </w:r>
      <w:r>
        <w:rPr>
          <w:rFonts w:hint="eastAsia"/>
          <w:color w:val="000000"/>
          <w:sz w:val="24"/>
        </w:rPr>
        <w:t>校准环境的描述</w:t>
      </w:r>
      <w:r>
        <w:rPr>
          <w:rFonts w:hint="eastAsia"/>
          <w:color w:val="000000"/>
          <w:sz w:val="24"/>
          <w:lang w:eastAsia="zh-CN"/>
        </w:rPr>
        <w:t>；</w:t>
      </w:r>
    </w:p>
    <w:p>
      <w:pPr>
        <w:spacing w:line="360" w:lineRule="auto"/>
        <w:ind w:firstLine="480" w:firstLineChars="200"/>
        <w:rPr>
          <w:rFonts w:hint="eastAsia" w:eastAsia="宋体"/>
          <w:color w:val="000000"/>
          <w:sz w:val="24"/>
          <w:lang w:eastAsia="zh-CN"/>
        </w:rPr>
      </w:pPr>
      <w:r>
        <w:rPr>
          <w:rFonts w:hint="eastAsia"/>
          <w:color w:val="000000"/>
          <w:sz w:val="24"/>
          <w:lang w:val="en-US" w:eastAsia="zh-CN"/>
        </w:rPr>
        <w:t>l</w:t>
      </w:r>
      <w:r>
        <w:rPr>
          <w:rFonts w:hint="eastAsia"/>
          <w:color w:val="000000"/>
          <w:sz w:val="24"/>
          <w:lang w:eastAsia="zh-CN"/>
        </w:rPr>
        <w:t>）</w:t>
      </w:r>
      <w:r>
        <w:rPr>
          <w:rFonts w:hint="eastAsia"/>
          <w:color w:val="000000"/>
          <w:sz w:val="24"/>
        </w:rPr>
        <w:t>校准结果及其测量不确定度的说明</w:t>
      </w:r>
      <w:r>
        <w:rPr>
          <w:rFonts w:hint="eastAsia"/>
          <w:color w:val="000000"/>
          <w:sz w:val="24"/>
          <w:lang w:eastAsia="zh-CN"/>
        </w:rPr>
        <w:t>；</w:t>
      </w:r>
    </w:p>
    <w:p>
      <w:pPr>
        <w:spacing w:line="360" w:lineRule="auto"/>
        <w:ind w:firstLine="480" w:firstLineChars="200"/>
        <w:rPr>
          <w:rFonts w:hint="eastAsia" w:eastAsia="宋体"/>
          <w:color w:val="000000"/>
          <w:sz w:val="24"/>
          <w:lang w:eastAsia="zh-CN"/>
        </w:rPr>
      </w:pPr>
      <w:r>
        <w:rPr>
          <w:rFonts w:hint="eastAsia"/>
          <w:color w:val="000000"/>
          <w:sz w:val="24"/>
        </w:rPr>
        <w:t>m</w:t>
      </w:r>
      <w:r>
        <w:rPr>
          <w:rFonts w:hint="eastAsia"/>
          <w:color w:val="000000"/>
          <w:sz w:val="24"/>
          <w:lang w:eastAsia="zh-CN"/>
        </w:rPr>
        <w:t>）</w:t>
      </w:r>
      <w:r>
        <w:rPr>
          <w:rFonts w:hint="eastAsia"/>
          <w:color w:val="000000"/>
          <w:sz w:val="24"/>
        </w:rPr>
        <w:t>对校准规范的偏离的说明</w:t>
      </w:r>
      <w:r>
        <w:rPr>
          <w:rFonts w:hint="eastAsia"/>
          <w:color w:val="000000"/>
          <w:sz w:val="24"/>
          <w:lang w:eastAsia="zh-CN"/>
        </w:rPr>
        <w:t>；</w:t>
      </w:r>
    </w:p>
    <w:p>
      <w:pPr>
        <w:spacing w:line="360" w:lineRule="auto"/>
        <w:ind w:firstLine="480" w:firstLineChars="200"/>
        <w:rPr>
          <w:rFonts w:hint="eastAsia" w:eastAsia="宋体"/>
          <w:color w:val="000000"/>
          <w:sz w:val="24"/>
          <w:lang w:eastAsia="zh-CN"/>
        </w:rPr>
      </w:pPr>
      <w:r>
        <w:rPr>
          <w:rFonts w:hint="eastAsia"/>
          <w:color w:val="000000"/>
          <w:sz w:val="24"/>
        </w:rPr>
        <w:t>n</w:t>
      </w:r>
      <w:r>
        <w:rPr>
          <w:rFonts w:hint="eastAsia"/>
          <w:color w:val="000000"/>
          <w:sz w:val="24"/>
          <w:lang w:eastAsia="zh-CN"/>
        </w:rPr>
        <w:t>）</w:t>
      </w:r>
      <w:r>
        <w:rPr>
          <w:rFonts w:hint="eastAsia"/>
          <w:color w:val="000000"/>
          <w:sz w:val="24"/>
        </w:rPr>
        <w:t>校准证书或校准报告签发人的签名、职务或等效标识</w:t>
      </w:r>
      <w:r>
        <w:rPr>
          <w:rFonts w:hint="eastAsia"/>
          <w:color w:val="000000"/>
          <w:sz w:val="24"/>
          <w:lang w:eastAsia="zh-CN"/>
        </w:rPr>
        <w:t>；</w:t>
      </w:r>
    </w:p>
    <w:p>
      <w:pPr>
        <w:spacing w:line="360" w:lineRule="auto"/>
        <w:ind w:firstLine="480" w:firstLineChars="200"/>
        <w:rPr>
          <w:rFonts w:hint="eastAsia" w:eastAsia="宋体"/>
          <w:color w:val="000000"/>
          <w:sz w:val="24"/>
          <w:lang w:eastAsia="zh-CN"/>
        </w:rPr>
      </w:pPr>
      <w:r>
        <w:rPr>
          <w:rFonts w:hint="eastAsia"/>
          <w:color w:val="000000"/>
          <w:sz w:val="24"/>
        </w:rPr>
        <w:t>o</w:t>
      </w:r>
      <w:r>
        <w:rPr>
          <w:rFonts w:hint="eastAsia"/>
          <w:color w:val="000000"/>
          <w:sz w:val="24"/>
          <w:lang w:eastAsia="zh-CN"/>
        </w:rPr>
        <w:t>）</w:t>
      </w:r>
      <w:r>
        <w:rPr>
          <w:rFonts w:hint="eastAsia"/>
          <w:color w:val="000000"/>
          <w:sz w:val="24"/>
        </w:rPr>
        <w:t>校准结果仅对被校对象有效的声明</w:t>
      </w:r>
      <w:r>
        <w:rPr>
          <w:rFonts w:hint="eastAsia"/>
          <w:color w:val="000000"/>
          <w:sz w:val="24"/>
          <w:lang w:eastAsia="zh-CN"/>
        </w:rPr>
        <w:t>；</w:t>
      </w:r>
    </w:p>
    <w:p>
      <w:pPr>
        <w:spacing w:line="360" w:lineRule="auto"/>
        <w:ind w:firstLine="480" w:firstLineChars="200"/>
        <w:rPr>
          <w:rFonts w:hint="eastAsia" w:eastAsia="宋体"/>
          <w:color w:val="000000"/>
          <w:sz w:val="24"/>
          <w:lang w:eastAsia="zh-CN"/>
        </w:rPr>
      </w:pPr>
      <w:r>
        <w:rPr>
          <w:rFonts w:hint="eastAsia"/>
          <w:color w:val="000000"/>
          <w:sz w:val="24"/>
        </w:rPr>
        <w:t>p</w:t>
      </w:r>
      <w:r>
        <w:rPr>
          <w:rFonts w:hint="eastAsia"/>
          <w:color w:val="000000"/>
          <w:sz w:val="24"/>
          <w:lang w:eastAsia="zh-CN"/>
        </w:rPr>
        <w:t>）</w:t>
      </w:r>
      <w:r>
        <w:rPr>
          <w:rFonts w:hint="eastAsia"/>
          <w:color w:val="000000"/>
          <w:sz w:val="24"/>
        </w:rPr>
        <w:t>未经实验室书面批准，不得部分复制证书的声明</w:t>
      </w:r>
      <w:r>
        <w:rPr>
          <w:rFonts w:hint="eastAsia"/>
          <w:color w:val="000000"/>
          <w:sz w:val="24"/>
          <w:lang w:eastAsia="zh-CN"/>
        </w:rPr>
        <w:t>。</w:t>
      </w:r>
    </w:p>
    <w:p>
      <w:pPr>
        <w:pStyle w:val="2"/>
        <w:spacing w:before="0" w:after="0" w:line="480" w:lineRule="auto"/>
        <w:rPr>
          <w:rFonts w:ascii="黑体" w:eastAsia="黑体"/>
          <w:b w:val="0"/>
          <w:sz w:val="24"/>
          <w:szCs w:val="24"/>
        </w:rPr>
      </w:pPr>
      <w:bookmarkStart w:id="26" w:name="_Toc21144"/>
      <w:r>
        <w:rPr>
          <w:rFonts w:ascii="黑体" w:eastAsia="黑体"/>
          <w:b w:val="0"/>
          <w:sz w:val="24"/>
          <w:szCs w:val="24"/>
        </w:rPr>
        <w:t>9.复</w:t>
      </w:r>
      <w:r>
        <w:rPr>
          <w:rFonts w:hint="eastAsia" w:ascii="黑体" w:eastAsia="黑体"/>
          <w:b w:val="0"/>
          <w:sz w:val="24"/>
          <w:szCs w:val="24"/>
          <w:lang w:val="en-US" w:eastAsia="zh-CN"/>
        </w:rPr>
        <w:t>校</w:t>
      </w:r>
      <w:r>
        <w:rPr>
          <w:rFonts w:ascii="黑体" w:eastAsia="黑体"/>
          <w:b w:val="0"/>
          <w:sz w:val="24"/>
          <w:szCs w:val="24"/>
        </w:rPr>
        <w:t>时间间隔</w:t>
      </w:r>
      <w:bookmarkEnd w:id="26"/>
    </w:p>
    <w:p>
      <w:pPr>
        <w:spacing w:line="360" w:lineRule="auto"/>
        <w:ind w:firstLine="480" w:firstLineChars="200"/>
        <w:rPr>
          <w:sz w:val="24"/>
        </w:rPr>
      </w:pPr>
      <w:bookmarkStart w:id="27" w:name="_Toc37009644"/>
      <w:bookmarkStart w:id="28" w:name="_Toc44404549"/>
      <w:r>
        <w:rPr>
          <w:rFonts w:hint="eastAsia"/>
          <w:sz w:val="24"/>
        </w:rPr>
        <w:t>由于复</w:t>
      </w:r>
      <w:r>
        <w:rPr>
          <w:rFonts w:hint="eastAsia"/>
          <w:sz w:val="24"/>
          <w:lang w:val="en-US" w:eastAsia="zh-CN"/>
        </w:rPr>
        <w:t>校</w:t>
      </w:r>
      <w:r>
        <w:rPr>
          <w:rFonts w:hint="eastAsia"/>
          <w:sz w:val="24"/>
        </w:rPr>
        <w:t>时间间隔的长短是由机场道面外来物探测设备工作环境、使用情况等诸因素所决定的，因此，委托单位可根据实际使用情况自主决定复</w:t>
      </w:r>
      <w:r>
        <w:rPr>
          <w:rFonts w:hint="eastAsia"/>
          <w:sz w:val="24"/>
          <w:lang w:val="en-US" w:eastAsia="zh-CN"/>
        </w:rPr>
        <w:t>校</w:t>
      </w:r>
      <w:r>
        <w:rPr>
          <w:rFonts w:hint="eastAsia"/>
          <w:sz w:val="24"/>
        </w:rPr>
        <w:t>时间间隔。</w:t>
      </w:r>
      <w:bookmarkEnd w:id="27"/>
      <w:bookmarkEnd w:id="28"/>
    </w:p>
    <w:p>
      <w:pPr>
        <w:widowControl/>
        <w:jc w:val="left"/>
        <w:rPr>
          <w:color w:val="000000"/>
          <w:sz w:val="24"/>
        </w:rPr>
      </w:pPr>
      <w:r>
        <w:rPr>
          <w:color w:val="000000"/>
          <w:sz w:val="24"/>
        </w:rPr>
        <w:br w:type="page"/>
      </w:r>
    </w:p>
    <w:p>
      <w:pPr>
        <w:pStyle w:val="2"/>
        <w:spacing w:before="0" w:after="0" w:line="360" w:lineRule="auto"/>
        <w:rPr>
          <w:rFonts w:eastAsia="黑体"/>
          <w:b w:val="0"/>
          <w:bCs w:val="0"/>
          <w:color w:val="000000"/>
          <w:sz w:val="28"/>
          <w:szCs w:val="28"/>
        </w:rPr>
      </w:pPr>
      <w:bookmarkStart w:id="29" w:name="_Toc26826"/>
      <w:r>
        <w:rPr>
          <w:rFonts w:eastAsia="黑体"/>
          <w:b w:val="0"/>
          <w:bCs w:val="0"/>
          <w:color w:val="000000"/>
          <w:sz w:val="28"/>
          <w:szCs w:val="28"/>
        </w:rPr>
        <w:t>附录A</w:t>
      </w:r>
      <w:bookmarkEnd w:id="29"/>
    </w:p>
    <w:p>
      <w:pPr>
        <w:pStyle w:val="34"/>
        <w:keepNext w:val="0"/>
        <w:keepLines w:val="0"/>
        <w:pageBreakBefore w:val="0"/>
        <w:widowControl w:val="0"/>
        <w:numPr>
          <w:ilvl w:val="0"/>
          <w:numId w:val="0"/>
        </w:numPr>
        <w:kinsoku/>
        <w:wordWrap/>
        <w:overflowPunct/>
        <w:topLinePunct w:val="0"/>
        <w:autoSpaceDE/>
        <w:autoSpaceDN/>
        <w:bidi w:val="0"/>
        <w:adjustRightInd/>
        <w:snapToGrid/>
        <w:spacing w:after="240" w:line="360" w:lineRule="auto"/>
        <w:textAlignment w:val="auto"/>
        <w:outlineLvl w:val="9"/>
        <w:rPr>
          <w:rFonts w:ascii="Times New Roman"/>
          <w:kern w:val="2"/>
          <w:sz w:val="28"/>
          <w:szCs w:val="28"/>
        </w:rPr>
      </w:pPr>
      <w:r>
        <w:rPr>
          <w:rFonts w:ascii="Times New Roman"/>
          <w:kern w:val="2"/>
          <w:sz w:val="28"/>
          <w:szCs w:val="28"/>
        </w:rPr>
        <w:t>机场道面外来物探测设备</w:t>
      </w:r>
      <w:r>
        <w:rPr>
          <w:rFonts w:hint="eastAsia" w:ascii="Times New Roman"/>
          <w:kern w:val="2"/>
          <w:sz w:val="28"/>
          <w:szCs w:val="28"/>
          <w:lang w:eastAsia="zh-CN"/>
        </w:rPr>
        <w:t>校准</w:t>
      </w:r>
      <w:r>
        <w:rPr>
          <w:rFonts w:ascii="Times New Roman"/>
          <w:kern w:val="2"/>
          <w:sz w:val="28"/>
          <w:szCs w:val="28"/>
        </w:rPr>
        <w:t>原始记录</w:t>
      </w:r>
      <w:r>
        <w:rPr>
          <w:rFonts w:hint="eastAsia" w:ascii="Times New Roman"/>
          <w:kern w:val="2"/>
          <w:sz w:val="28"/>
          <w:szCs w:val="28"/>
          <w:lang w:val="en-US" w:eastAsia="zh-CN"/>
        </w:rPr>
        <w:t>参考</w:t>
      </w:r>
      <w:r>
        <w:rPr>
          <w:rFonts w:ascii="Times New Roman"/>
          <w:kern w:val="2"/>
          <w:sz w:val="28"/>
          <w:szCs w:val="28"/>
        </w:rPr>
        <w:t>格式</w:t>
      </w:r>
    </w:p>
    <w:tbl>
      <w:tblPr>
        <w:tblStyle w:val="33"/>
        <w:tblW w:w="8271"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425"/>
        <w:gridCol w:w="307"/>
        <w:gridCol w:w="51"/>
        <w:gridCol w:w="345"/>
        <w:gridCol w:w="472"/>
        <w:gridCol w:w="459"/>
        <w:gridCol w:w="17"/>
        <w:gridCol w:w="424"/>
        <w:gridCol w:w="245"/>
        <w:gridCol w:w="617"/>
        <w:gridCol w:w="5"/>
        <w:gridCol w:w="15"/>
        <w:gridCol w:w="346"/>
        <w:gridCol w:w="231"/>
        <w:gridCol w:w="274"/>
        <w:gridCol w:w="879"/>
        <w:gridCol w:w="55"/>
        <w:gridCol w:w="286"/>
        <w:gridCol w:w="325"/>
        <w:gridCol w:w="289"/>
        <w:gridCol w:w="361"/>
        <w:gridCol w:w="539"/>
        <w:gridCol w:w="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81" w:type="dxa"/>
            <w:gridSpan w:val="5"/>
            <w:tcBorders>
              <w:top w:val="single" w:color="auto" w:sz="4" w:space="0"/>
              <w:left w:val="single" w:color="auto" w:sz="4" w:space="0"/>
              <w:right w:val="single" w:color="auto" w:sz="4" w:space="0"/>
            </w:tcBorders>
          </w:tcPr>
          <w:p>
            <w:pPr>
              <w:spacing w:line="312" w:lineRule="auto"/>
              <w:jc w:val="left"/>
              <w:rPr>
                <w:bCs/>
                <w:szCs w:val="21"/>
              </w:rPr>
            </w:pPr>
            <w:r>
              <w:rPr>
                <w:rFonts w:hint="eastAsia"/>
                <w:bCs/>
                <w:szCs w:val="21"/>
                <w:lang w:val="en-US" w:eastAsia="zh-CN"/>
              </w:rPr>
              <w:t>委托方：</w:t>
            </w:r>
          </w:p>
        </w:tc>
        <w:tc>
          <w:tcPr>
            <w:tcW w:w="2234" w:type="dxa"/>
            <w:gridSpan w:val="6"/>
            <w:tcBorders>
              <w:top w:val="single" w:color="auto" w:sz="4" w:space="0"/>
              <w:left w:val="single" w:color="auto" w:sz="4" w:space="0"/>
              <w:right w:val="single" w:color="auto" w:sz="4" w:space="0"/>
            </w:tcBorders>
          </w:tcPr>
          <w:p>
            <w:pPr>
              <w:spacing w:line="312" w:lineRule="auto"/>
              <w:jc w:val="center"/>
              <w:rPr>
                <w:bCs/>
                <w:szCs w:val="21"/>
              </w:rPr>
            </w:pPr>
          </w:p>
        </w:tc>
        <w:tc>
          <w:tcPr>
            <w:tcW w:w="2091" w:type="dxa"/>
            <w:gridSpan w:val="8"/>
            <w:tcBorders>
              <w:top w:val="single" w:color="auto" w:sz="4" w:space="0"/>
              <w:left w:val="single" w:color="auto" w:sz="4" w:space="0"/>
              <w:right w:val="single" w:color="auto" w:sz="4" w:space="0"/>
            </w:tcBorders>
          </w:tcPr>
          <w:p>
            <w:pPr>
              <w:spacing w:line="312" w:lineRule="auto"/>
              <w:jc w:val="center"/>
              <w:rPr>
                <w:bCs/>
                <w:szCs w:val="21"/>
              </w:rPr>
            </w:pPr>
            <w:r>
              <w:rPr>
                <w:rFonts w:hint="eastAsia"/>
                <w:bCs/>
                <w:szCs w:val="21"/>
                <w:lang w:val="en-US" w:eastAsia="zh-CN"/>
              </w:rPr>
              <w:t>记录</w:t>
            </w:r>
            <w:r>
              <w:rPr>
                <w:bCs/>
                <w:szCs w:val="21"/>
              </w:rPr>
              <w:t>编号：</w:t>
            </w:r>
          </w:p>
        </w:tc>
        <w:tc>
          <w:tcPr>
            <w:tcW w:w="2065" w:type="dxa"/>
            <w:gridSpan w:val="5"/>
            <w:tcBorders>
              <w:top w:val="single" w:color="auto" w:sz="4" w:space="0"/>
              <w:left w:val="single" w:color="auto" w:sz="4" w:space="0"/>
              <w:right w:val="single" w:color="auto" w:sz="4" w:space="0"/>
            </w:tcBorders>
          </w:tcPr>
          <w:p>
            <w:pPr>
              <w:spacing w:line="312" w:lineRule="auto"/>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81" w:type="dxa"/>
            <w:gridSpan w:val="5"/>
            <w:tcBorders>
              <w:top w:val="single" w:color="auto" w:sz="4" w:space="0"/>
              <w:left w:val="single" w:color="auto" w:sz="4" w:space="0"/>
              <w:right w:val="single" w:color="auto" w:sz="4" w:space="0"/>
            </w:tcBorders>
          </w:tcPr>
          <w:p>
            <w:pPr>
              <w:spacing w:line="312" w:lineRule="auto"/>
              <w:jc w:val="left"/>
              <w:rPr>
                <w:rFonts w:hint="eastAsia"/>
                <w:bCs/>
                <w:szCs w:val="21"/>
                <w:lang w:val="en-US" w:eastAsia="zh-CN"/>
              </w:rPr>
            </w:pPr>
            <w:r>
              <w:rPr>
                <w:rFonts w:hint="eastAsia"/>
                <w:bCs/>
                <w:szCs w:val="21"/>
                <w:lang w:val="en-US" w:eastAsia="zh-CN"/>
              </w:rPr>
              <w:t>委托方地址：</w:t>
            </w:r>
          </w:p>
        </w:tc>
        <w:tc>
          <w:tcPr>
            <w:tcW w:w="2234" w:type="dxa"/>
            <w:gridSpan w:val="6"/>
            <w:tcBorders>
              <w:top w:val="single" w:color="auto" w:sz="4" w:space="0"/>
              <w:left w:val="single" w:color="auto" w:sz="4" w:space="0"/>
              <w:right w:val="single" w:color="auto" w:sz="4" w:space="0"/>
            </w:tcBorders>
          </w:tcPr>
          <w:p>
            <w:pPr>
              <w:spacing w:line="312" w:lineRule="auto"/>
              <w:jc w:val="center"/>
              <w:rPr>
                <w:bCs/>
                <w:szCs w:val="21"/>
              </w:rPr>
            </w:pPr>
          </w:p>
        </w:tc>
        <w:tc>
          <w:tcPr>
            <w:tcW w:w="2091" w:type="dxa"/>
            <w:gridSpan w:val="8"/>
            <w:tcBorders>
              <w:top w:val="single" w:color="auto" w:sz="4" w:space="0"/>
              <w:left w:val="single" w:color="auto" w:sz="4" w:space="0"/>
              <w:right w:val="single" w:color="auto" w:sz="4" w:space="0"/>
            </w:tcBorders>
          </w:tcPr>
          <w:p>
            <w:pPr>
              <w:spacing w:line="312" w:lineRule="auto"/>
              <w:jc w:val="center"/>
              <w:rPr>
                <w:rFonts w:hint="eastAsia"/>
                <w:bCs/>
                <w:szCs w:val="21"/>
                <w:lang w:val="en-US" w:eastAsia="zh-CN"/>
              </w:rPr>
            </w:pPr>
            <w:r>
              <w:rPr>
                <w:rFonts w:hint="eastAsia"/>
                <w:bCs/>
                <w:szCs w:val="21"/>
                <w:lang w:val="en-US" w:eastAsia="zh-CN"/>
              </w:rPr>
              <w:t>校准日期：</w:t>
            </w:r>
          </w:p>
        </w:tc>
        <w:tc>
          <w:tcPr>
            <w:tcW w:w="2065" w:type="dxa"/>
            <w:gridSpan w:val="5"/>
            <w:tcBorders>
              <w:top w:val="single" w:color="auto" w:sz="4" w:space="0"/>
              <w:left w:val="single" w:color="auto" w:sz="4" w:space="0"/>
              <w:right w:val="single" w:color="auto" w:sz="4" w:space="0"/>
            </w:tcBorders>
          </w:tcPr>
          <w:p>
            <w:pPr>
              <w:spacing w:line="312" w:lineRule="auto"/>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81" w:type="dxa"/>
            <w:gridSpan w:val="5"/>
          </w:tcPr>
          <w:p>
            <w:pPr>
              <w:spacing w:line="312" w:lineRule="auto"/>
              <w:jc w:val="center"/>
              <w:rPr>
                <w:bCs/>
                <w:szCs w:val="21"/>
              </w:rPr>
            </w:pPr>
            <w:r>
              <w:rPr>
                <w:bCs/>
                <w:szCs w:val="21"/>
              </w:rPr>
              <w:t>样品名称</w:t>
            </w:r>
          </w:p>
        </w:tc>
        <w:tc>
          <w:tcPr>
            <w:tcW w:w="2234" w:type="dxa"/>
            <w:gridSpan w:val="6"/>
          </w:tcPr>
          <w:p>
            <w:pPr>
              <w:spacing w:line="312" w:lineRule="auto"/>
              <w:jc w:val="center"/>
              <w:rPr>
                <w:bCs/>
                <w:szCs w:val="21"/>
              </w:rPr>
            </w:pPr>
          </w:p>
        </w:tc>
        <w:tc>
          <w:tcPr>
            <w:tcW w:w="2091" w:type="dxa"/>
            <w:gridSpan w:val="8"/>
          </w:tcPr>
          <w:p>
            <w:pPr>
              <w:spacing w:line="312" w:lineRule="auto"/>
              <w:jc w:val="center"/>
              <w:rPr>
                <w:bCs/>
                <w:szCs w:val="21"/>
              </w:rPr>
            </w:pPr>
            <w:r>
              <w:rPr>
                <w:bCs/>
                <w:szCs w:val="21"/>
              </w:rPr>
              <w:t>样品编号</w:t>
            </w:r>
          </w:p>
        </w:tc>
        <w:tc>
          <w:tcPr>
            <w:tcW w:w="2065" w:type="dxa"/>
            <w:gridSpan w:val="5"/>
          </w:tcPr>
          <w:p>
            <w:pPr>
              <w:spacing w:line="312" w:lineRule="auto"/>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81" w:type="dxa"/>
            <w:gridSpan w:val="5"/>
          </w:tcPr>
          <w:p>
            <w:pPr>
              <w:spacing w:line="312" w:lineRule="auto"/>
              <w:jc w:val="center"/>
              <w:rPr>
                <w:bCs/>
                <w:szCs w:val="21"/>
              </w:rPr>
            </w:pPr>
            <w:r>
              <w:rPr>
                <w:bCs/>
                <w:szCs w:val="21"/>
              </w:rPr>
              <w:t>型号规格</w:t>
            </w:r>
          </w:p>
        </w:tc>
        <w:tc>
          <w:tcPr>
            <w:tcW w:w="2234" w:type="dxa"/>
            <w:gridSpan w:val="6"/>
          </w:tcPr>
          <w:p>
            <w:pPr>
              <w:spacing w:line="312" w:lineRule="auto"/>
              <w:jc w:val="center"/>
              <w:rPr>
                <w:bCs/>
                <w:szCs w:val="21"/>
              </w:rPr>
            </w:pPr>
          </w:p>
        </w:tc>
        <w:tc>
          <w:tcPr>
            <w:tcW w:w="2091" w:type="dxa"/>
            <w:gridSpan w:val="8"/>
          </w:tcPr>
          <w:p>
            <w:pPr>
              <w:spacing w:line="312" w:lineRule="auto"/>
              <w:jc w:val="center"/>
              <w:rPr>
                <w:bCs/>
                <w:szCs w:val="21"/>
              </w:rPr>
            </w:pPr>
            <w:r>
              <w:rPr>
                <w:bCs/>
                <w:szCs w:val="21"/>
              </w:rPr>
              <w:t>制造单位</w:t>
            </w:r>
          </w:p>
        </w:tc>
        <w:tc>
          <w:tcPr>
            <w:tcW w:w="2065" w:type="dxa"/>
            <w:gridSpan w:val="5"/>
          </w:tcPr>
          <w:p>
            <w:pPr>
              <w:spacing w:line="312" w:lineRule="auto"/>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81" w:type="dxa"/>
            <w:gridSpan w:val="5"/>
          </w:tcPr>
          <w:p>
            <w:pPr>
              <w:spacing w:line="312" w:lineRule="auto"/>
              <w:jc w:val="center"/>
              <w:rPr>
                <w:bCs/>
                <w:szCs w:val="21"/>
              </w:rPr>
            </w:pPr>
            <w:r>
              <w:rPr>
                <w:rFonts w:hint="eastAsia"/>
                <w:bCs/>
                <w:szCs w:val="21"/>
                <w:lang w:eastAsia="zh-CN"/>
              </w:rPr>
              <w:t>校准</w:t>
            </w:r>
            <w:r>
              <w:rPr>
                <w:bCs/>
                <w:szCs w:val="21"/>
              </w:rPr>
              <w:t>依据</w:t>
            </w:r>
          </w:p>
        </w:tc>
        <w:tc>
          <w:tcPr>
            <w:tcW w:w="2234" w:type="dxa"/>
            <w:gridSpan w:val="6"/>
          </w:tcPr>
          <w:p>
            <w:pPr>
              <w:spacing w:line="312" w:lineRule="auto"/>
              <w:jc w:val="center"/>
              <w:rPr>
                <w:bCs/>
                <w:szCs w:val="21"/>
              </w:rPr>
            </w:pPr>
          </w:p>
        </w:tc>
        <w:tc>
          <w:tcPr>
            <w:tcW w:w="2091" w:type="dxa"/>
            <w:gridSpan w:val="8"/>
          </w:tcPr>
          <w:p>
            <w:pPr>
              <w:spacing w:line="312" w:lineRule="auto"/>
              <w:jc w:val="center"/>
              <w:rPr>
                <w:bCs/>
                <w:szCs w:val="21"/>
              </w:rPr>
            </w:pPr>
            <w:r>
              <w:rPr>
                <w:rFonts w:hint="eastAsia"/>
                <w:bCs/>
                <w:szCs w:val="21"/>
                <w:lang w:eastAsia="zh-CN"/>
              </w:rPr>
              <w:t>校准</w:t>
            </w:r>
            <w:r>
              <w:rPr>
                <w:bCs/>
                <w:szCs w:val="21"/>
              </w:rPr>
              <w:t>地点</w:t>
            </w:r>
          </w:p>
        </w:tc>
        <w:tc>
          <w:tcPr>
            <w:tcW w:w="2065" w:type="dxa"/>
            <w:gridSpan w:val="5"/>
          </w:tcPr>
          <w:p>
            <w:pPr>
              <w:spacing w:line="312" w:lineRule="auto"/>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81" w:type="dxa"/>
            <w:gridSpan w:val="5"/>
          </w:tcPr>
          <w:p>
            <w:pPr>
              <w:spacing w:line="312" w:lineRule="auto"/>
              <w:jc w:val="center"/>
              <w:rPr>
                <w:bCs/>
                <w:szCs w:val="21"/>
              </w:rPr>
            </w:pPr>
            <w:r>
              <w:rPr>
                <w:rFonts w:hint="eastAsia"/>
                <w:bCs/>
                <w:szCs w:val="21"/>
                <w:lang w:eastAsia="zh-CN"/>
              </w:rPr>
              <w:t>校准</w:t>
            </w:r>
            <w:r>
              <w:rPr>
                <w:bCs/>
                <w:szCs w:val="21"/>
              </w:rPr>
              <w:t>前样品状态</w:t>
            </w:r>
          </w:p>
        </w:tc>
        <w:tc>
          <w:tcPr>
            <w:tcW w:w="2234" w:type="dxa"/>
            <w:gridSpan w:val="6"/>
          </w:tcPr>
          <w:p>
            <w:pPr>
              <w:spacing w:line="312" w:lineRule="auto"/>
              <w:jc w:val="center"/>
              <w:rPr>
                <w:bCs/>
                <w:szCs w:val="21"/>
              </w:rPr>
            </w:pPr>
          </w:p>
        </w:tc>
        <w:tc>
          <w:tcPr>
            <w:tcW w:w="2091" w:type="dxa"/>
            <w:gridSpan w:val="8"/>
          </w:tcPr>
          <w:p>
            <w:pPr>
              <w:spacing w:line="312" w:lineRule="auto"/>
              <w:jc w:val="center"/>
              <w:rPr>
                <w:bCs/>
                <w:szCs w:val="21"/>
              </w:rPr>
            </w:pPr>
            <w:r>
              <w:rPr>
                <w:rFonts w:hint="eastAsia"/>
                <w:bCs/>
                <w:szCs w:val="21"/>
                <w:lang w:eastAsia="zh-CN"/>
              </w:rPr>
              <w:t>校准</w:t>
            </w:r>
            <w:r>
              <w:rPr>
                <w:bCs/>
                <w:szCs w:val="21"/>
              </w:rPr>
              <w:t>后样品状态</w:t>
            </w:r>
          </w:p>
        </w:tc>
        <w:tc>
          <w:tcPr>
            <w:tcW w:w="2065" w:type="dxa"/>
            <w:gridSpan w:val="5"/>
          </w:tcPr>
          <w:p>
            <w:pPr>
              <w:spacing w:line="312" w:lineRule="auto"/>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81" w:type="dxa"/>
            <w:gridSpan w:val="5"/>
          </w:tcPr>
          <w:p>
            <w:pPr>
              <w:spacing w:line="312" w:lineRule="auto"/>
              <w:jc w:val="center"/>
              <w:rPr>
                <w:bCs/>
                <w:szCs w:val="21"/>
              </w:rPr>
            </w:pPr>
            <w:r>
              <w:rPr>
                <w:rFonts w:hint="eastAsia"/>
                <w:bCs/>
                <w:szCs w:val="21"/>
                <w:lang w:eastAsia="zh-CN"/>
              </w:rPr>
              <w:t>校准</w:t>
            </w:r>
            <w:r>
              <w:rPr>
                <w:bCs/>
                <w:szCs w:val="21"/>
              </w:rPr>
              <w:t>环境</w:t>
            </w:r>
          </w:p>
        </w:tc>
        <w:tc>
          <w:tcPr>
            <w:tcW w:w="6390" w:type="dxa"/>
            <w:gridSpan w:val="19"/>
          </w:tcPr>
          <w:p>
            <w:pPr>
              <w:spacing w:line="312" w:lineRule="auto"/>
              <w:jc w:val="center"/>
              <w:rPr>
                <w:rFonts w:hint="eastAsia" w:eastAsia="宋体"/>
                <w:bCs/>
                <w:szCs w:val="21"/>
                <w:lang w:val="en-US" w:eastAsia="zh-CN"/>
              </w:rPr>
            </w:pPr>
            <w:r>
              <w:rPr>
                <w:bCs/>
                <w:szCs w:val="21"/>
              </w:rPr>
              <w:t>温度：</w:t>
            </w:r>
            <w:r>
              <w:rPr>
                <w:bCs/>
                <w:szCs w:val="21"/>
                <w:u w:val="thick"/>
              </w:rPr>
              <w:t xml:space="preserve">  </w:t>
            </w:r>
            <w:r>
              <w:rPr>
                <w:rFonts w:hint="eastAsia"/>
                <w:bCs/>
                <w:szCs w:val="21"/>
                <w:u w:val="thick"/>
                <w:lang w:val="en-US" w:eastAsia="zh-CN"/>
              </w:rPr>
              <w:t xml:space="preserve"> </w:t>
            </w:r>
            <w:r>
              <w:rPr>
                <w:bCs/>
                <w:szCs w:val="21"/>
                <w:u w:val="thick"/>
              </w:rPr>
              <w:t xml:space="preserve">  </w:t>
            </w:r>
            <w:r>
              <w:rPr>
                <w:bCs/>
                <w:szCs w:val="21"/>
              </w:rPr>
              <w:t xml:space="preserve">℃  </w:t>
            </w:r>
            <w:r>
              <w:rPr>
                <w:rFonts w:hint="eastAsia"/>
                <w:bCs/>
                <w:szCs w:val="21"/>
                <w:lang w:val="en-US" w:eastAsia="zh-CN"/>
              </w:rPr>
              <w:t xml:space="preserve"> </w:t>
            </w:r>
            <w:r>
              <w:rPr>
                <w:bCs/>
                <w:szCs w:val="21"/>
              </w:rPr>
              <w:t xml:space="preserve"> 湿度：</w:t>
            </w:r>
            <w:r>
              <w:rPr>
                <w:bCs/>
                <w:szCs w:val="21"/>
                <w:u w:val="thick"/>
              </w:rPr>
              <w:t xml:space="preserve">  </w:t>
            </w:r>
            <w:r>
              <w:rPr>
                <w:rFonts w:hint="eastAsia"/>
                <w:bCs/>
                <w:szCs w:val="21"/>
                <w:u w:val="thick"/>
                <w:lang w:val="en-US" w:eastAsia="zh-CN"/>
              </w:rPr>
              <w:t xml:space="preserve"> </w:t>
            </w:r>
            <w:r>
              <w:rPr>
                <w:bCs/>
                <w:szCs w:val="21"/>
                <w:u w:val="thick"/>
              </w:rPr>
              <w:t xml:space="preserve">  </w:t>
            </w:r>
            <w:r>
              <w:rPr>
                <w:bCs/>
                <w:szCs w:val="21"/>
              </w:rPr>
              <w:t xml:space="preserve">%RH  </w:t>
            </w:r>
            <w:r>
              <w:rPr>
                <w:rFonts w:hint="eastAsia"/>
                <w:bCs/>
                <w:szCs w:val="21"/>
                <w:lang w:val="en-US" w:eastAsia="zh-CN"/>
              </w:rPr>
              <w:t xml:space="preserve"> </w:t>
            </w:r>
            <w:r>
              <w:rPr>
                <w:bCs/>
                <w:szCs w:val="21"/>
              </w:rPr>
              <w:t xml:space="preserve"> </w:t>
            </w:r>
            <w:r>
              <w:rPr>
                <w:rFonts w:hint="eastAsia"/>
                <w:bCs/>
                <w:szCs w:val="21"/>
                <w:lang w:val="en-US" w:eastAsia="zh-CN"/>
              </w:rPr>
              <w:t>大气压力：</w:t>
            </w:r>
            <w:r>
              <w:rPr>
                <w:bCs/>
                <w:szCs w:val="21"/>
                <w:u w:val="thick"/>
              </w:rPr>
              <w:t xml:space="preserve">  </w:t>
            </w:r>
            <w:r>
              <w:rPr>
                <w:rFonts w:hint="eastAsia"/>
                <w:bCs/>
                <w:szCs w:val="21"/>
                <w:u w:val="thick"/>
                <w:lang w:val="en-US" w:eastAsia="zh-CN"/>
              </w:rPr>
              <w:t xml:space="preserve"> </w:t>
            </w:r>
            <w:r>
              <w:rPr>
                <w:bCs/>
                <w:szCs w:val="21"/>
                <w:u w:val="thick"/>
              </w:rPr>
              <w:t xml:space="preserve">  </w:t>
            </w:r>
            <w:r>
              <w:rPr>
                <w:rFonts w:hint="eastAsia"/>
                <w:bCs/>
                <w:szCs w:val="21"/>
                <w:lang w:val="en-US" w:eastAsia="zh-CN"/>
              </w:rPr>
              <w:t>kPa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81" w:type="dxa"/>
            <w:gridSpan w:val="5"/>
          </w:tcPr>
          <w:p>
            <w:pPr>
              <w:spacing w:line="312" w:lineRule="auto"/>
              <w:jc w:val="center"/>
              <w:rPr>
                <w:bCs/>
                <w:szCs w:val="21"/>
              </w:rPr>
            </w:pPr>
            <w:r>
              <w:rPr>
                <w:rFonts w:hint="eastAsia"/>
                <w:bCs/>
                <w:szCs w:val="21"/>
                <w:lang w:eastAsia="zh-CN"/>
              </w:rPr>
              <w:t>校准</w:t>
            </w:r>
            <w:r>
              <w:rPr>
                <w:bCs/>
                <w:szCs w:val="21"/>
              </w:rPr>
              <w:t>工况</w:t>
            </w:r>
          </w:p>
        </w:tc>
        <w:tc>
          <w:tcPr>
            <w:tcW w:w="6390" w:type="dxa"/>
            <w:gridSpan w:val="19"/>
          </w:tcPr>
          <w:p>
            <w:pPr>
              <w:spacing w:line="312" w:lineRule="auto"/>
              <w:jc w:val="center"/>
              <w:rPr>
                <w:bCs/>
                <w:szCs w:val="21"/>
              </w:rPr>
            </w:pPr>
            <w:r>
              <w:rPr>
                <w:bCs/>
                <w:szCs w:val="21"/>
              </w:rPr>
              <w:t>□白天，□夜晚；□晴，□阴，□雨，□雪；其他</w:t>
            </w:r>
            <w:r>
              <w:rPr>
                <w:bCs/>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71" w:type="dxa"/>
            <w:gridSpan w:val="24"/>
          </w:tcPr>
          <w:p>
            <w:pPr>
              <w:spacing w:line="312" w:lineRule="auto"/>
              <w:jc w:val="center"/>
              <w:rPr>
                <w:bCs/>
                <w:szCs w:val="21"/>
              </w:rPr>
            </w:pPr>
            <w:r>
              <w:rPr>
                <w:rFonts w:hint="eastAsia"/>
                <w:bCs/>
                <w:szCs w:val="21"/>
                <w:lang w:val="en-US" w:eastAsia="zh-CN"/>
              </w:rPr>
              <w:t>校准</w:t>
            </w:r>
            <w:r>
              <w:rPr>
                <w:bCs/>
                <w:szCs w:val="21"/>
              </w:rPr>
              <w:t>用测量标准</w:t>
            </w:r>
            <w:r>
              <w:rPr>
                <w:rFonts w:hint="eastAsia"/>
                <w:bCs/>
                <w:szCs w:val="21"/>
                <w:lang w:val="en-US" w:eastAsia="zh-CN"/>
              </w:rPr>
              <w:t>及其他</w:t>
            </w:r>
            <w:r>
              <w:rPr>
                <w:bCs/>
                <w:szCs w:val="21"/>
              </w:rPr>
              <w:t>主要设备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81" w:type="dxa"/>
            <w:gridSpan w:val="5"/>
            <w:vAlign w:val="center"/>
          </w:tcPr>
          <w:p>
            <w:pPr>
              <w:spacing w:line="312" w:lineRule="auto"/>
              <w:jc w:val="center"/>
              <w:rPr>
                <w:bCs/>
                <w:szCs w:val="21"/>
              </w:rPr>
            </w:pPr>
            <w:r>
              <w:rPr>
                <w:bCs/>
                <w:szCs w:val="21"/>
              </w:rPr>
              <w:t>名称</w:t>
            </w:r>
          </w:p>
        </w:tc>
        <w:tc>
          <w:tcPr>
            <w:tcW w:w="1617" w:type="dxa"/>
            <w:gridSpan w:val="5"/>
            <w:vAlign w:val="center"/>
          </w:tcPr>
          <w:p>
            <w:pPr>
              <w:spacing w:line="312" w:lineRule="auto"/>
              <w:jc w:val="center"/>
              <w:rPr>
                <w:rFonts w:hint="eastAsia" w:eastAsia="宋体"/>
                <w:bCs/>
                <w:szCs w:val="21"/>
                <w:lang w:val="en-US" w:eastAsia="zh-CN"/>
              </w:rPr>
            </w:pPr>
            <w:r>
              <w:rPr>
                <w:rFonts w:hint="eastAsia"/>
                <w:bCs/>
                <w:szCs w:val="21"/>
                <w:lang w:val="en-US" w:eastAsia="zh-CN"/>
              </w:rPr>
              <w:t>测量范围</w:t>
            </w:r>
          </w:p>
        </w:tc>
        <w:tc>
          <w:tcPr>
            <w:tcW w:w="2367" w:type="dxa"/>
            <w:gridSpan w:val="7"/>
            <w:vAlign w:val="center"/>
          </w:tcPr>
          <w:p>
            <w:pPr>
              <w:spacing w:line="312" w:lineRule="auto"/>
              <w:jc w:val="center"/>
              <w:rPr>
                <w:bCs/>
                <w:szCs w:val="21"/>
              </w:rPr>
            </w:pPr>
            <w:r>
              <w:rPr>
                <w:rFonts w:hint="eastAsia"/>
                <w:bCs/>
                <w:szCs w:val="21"/>
              </w:rPr>
              <w:t>准确度等级/最大允许误差/扩展不确定度</w:t>
            </w:r>
          </w:p>
        </w:tc>
        <w:tc>
          <w:tcPr>
            <w:tcW w:w="1316" w:type="dxa"/>
            <w:gridSpan w:val="5"/>
            <w:vAlign w:val="center"/>
          </w:tcPr>
          <w:p>
            <w:pPr>
              <w:spacing w:line="312" w:lineRule="auto"/>
              <w:jc w:val="center"/>
              <w:rPr>
                <w:rFonts w:hint="eastAsia" w:eastAsia="宋体"/>
                <w:bCs/>
                <w:szCs w:val="21"/>
                <w:lang w:val="en-US" w:eastAsia="zh-CN"/>
              </w:rPr>
            </w:pPr>
            <w:r>
              <w:rPr>
                <w:rFonts w:hint="eastAsia"/>
                <w:bCs/>
                <w:szCs w:val="21"/>
                <w:lang w:val="en-US" w:eastAsia="zh-CN"/>
              </w:rPr>
              <w:t>证书编号</w:t>
            </w:r>
          </w:p>
        </w:tc>
        <w:tc>
          <w:tcPr>
            <w:tcW w:w="1090" w:type="dxa"/>
            <w:gridSpan w:val="2"/>
            <w:vAlign w:val="center"/>
          </w:tcPr>
          <w:p>
            <w:pPr>
              <w:spacing w:line="312" w:lineRule="auto"/>
              <w:jc w:val="center"/>
              <w:rPr>
                <w:bCs/>
                <w:szCs w:val="21"/>
              </w:rPr>
            </w:pPr>
            <w:r>
              <w:rPr>
                <w:bCs/>
                <w:szCs w:val="21"/>
              </w:rPr>
              <w:t>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81" w:type="dxa"/>
            <w:gridSpan w:val="5"/>
          </w:tcPr>
          <w:p>
            <w:pPr>
              <w:spacing w:line="312" w:lineRule="auto"/>
              <w:jc w:val="center"/>
              <w:rPr>
                <w:bCs/>
                <w:szCs w:val="21"/>
              </w:rPr>
            </w:pPr>
          </w:p>
        </w:tc>
        <w:tc>
          <w:tcPr>
            <w:tcW w:w="1617" w:type="dxa"/>
            <w:gridSpan w:val="5"/>
          </w:tcPr>
          <w:p>
            <w:pPr>
              <w:spacing w:line="312" w:lineRule="auto"/>
              <w:jc w:val="center"/>
              <w:rPr>
                <w:bCs/>
                <w:szCs w:val="21"/>
              </w:rPr>
            </w:pPr>
          </w:p>
        </w:tc>
        <w:tc>
          <w:tcPr>
            <w:tcW w:w="2367" w:type="dxa"/>
            <w:gridSpan w:val="7"/>
          </w:tcPr>
          <w:p>
            <w:pPr>
              <w:spacing w:line="312" w:lineRule="auto"/>
              <w:jc w:val="center"/>
              <w:rPr>
                <w:bCs/>
                <w:szCs w:val="21"/>
              </w:rPr>
            </w:pPr>
          </w:p>
        </w:tc>
        <w:tc>
          <w:tcPr>
            <w:tcW w:w="1316" w:type="dxa"/>
            <w:gridSpan w:val="5"/>
          </w:tcPr>
          <w:p>
            <w:pPr>
              <w:spacing w:line="312" w:lineRule="auto"/>
              <w:jc w:val="center"/>
              <w:rPr>
                <w:bCs/>
                <w:szCs w:val="21"/>
              </w:rPr>
            </w:pPr>
          </w:p>
        </w:tc>
        <w:tc>
          <w:tcPr>
            <w:tcW w:w="1090" w:type="dxa"/>
            <w:gridSpan w:val="2"/>
          </w:tcPr>
          <w:p>
            <w:pPr>
              <w:spacing w:line="312" w:lineRule="auto"/>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81" w:type="dxa"/>
            <w:gridSpan w:val="5"/>
          </w:tcPr>
          <w:p>
            <w:pPr>
              <w:spacing w:line="312" w:lineRule="auto"/>
              <w:jc w:val="center"/>
              <w:rPr>
                <w:bCs/>
                <w:szCs w:val="21"/>
              </w:rPr>
            </w:pPr>
          </w:p>
        </w:tc>
        <w:tc>
          <w:tcPr>
            <w:tcW w:w="1617" w:type="dxa"/>
            <w:gridSpan w:val="5"/>
          </w:tcPr>
          <w:p>
            <w:pPr>
              <w:spacing w:line="312" w:lineRule="auto"/>
              <w:jc w:val="center"/>
              <w:rPr>
                <w:bCs/>
                <w:szCs w:val="21"/>
              </w:rPr>
            </w:pPr>
          </w:p>
        </w:tc>
        <w:tc>
          <w:tcPr>
            <w:tcW w:w="2367" w:type="dxa"/>
            <w:gridSpan w:val="7"/>
          </w:tcPr>
          <w:p>
            <w:pPr>
              <w:spacing w:line="312" w:lineRule="auto"/>
              <w:jc w:val="center"/>
              <w:rPr>
                <w:bCs/>
                <w:szCs w:val="21"/>
              </w:rPr>
            </w:pPr>
          </w:p>
        </w:tc>
        <w:tc>
          <w:tcPr>
            <w:tcW w:w="1316" w:type="dxa"/>
            <w:gridSpan w:val="5"/>
          </w:tcPr>
          <w:p>
            <w:pPr>
              <w:spacing w:line="312" w:lineRule="auto"/>
              <w:jc w:val="center"/>
              <w:rPr>
                <w:bCs/>
                <w:szCs w:val="21"/>
              </w:rPr>
            </w:pPr>
          </w:p>
        </w:tc>
        <w:tc>
          <w:tcPr>
            <w:tcW w:w="1090" w:type="dxa"/>
            <w:gridSpan w:val="2"/>
          </w:tcPr>
          <w:p>
            <w:pPr>
              <w:spacing w:line="312" w:lineRule="auto"/>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81" w:type="dxa"/>
            <w:gridSpan w:val="5"/>
          </w:tcPr>
          <w:p>
            <w:pPr>
              <w:spacing w:line="312" w:lineRule="auto"/>
              <w:jc w:val="center"/>
              <w:rPr>
                <w:bCs/>
                <w:szCs w:val="21"/>
              </w:rPr>
            </w:pPr>
          </w:p>
        </w:tc>
        <w:tc>
          <w:tcPr>
            <w:tcW w:w="1617" w:type="dxa"/>
            <w:gridSpan w:val="5"/>
          </w:tcPr>
          <w:p>
            <w:pPr>
              <w:spacing w:line="312" w:lineRule="auto"/>
              <w:jc w:val="center"/>
              <w:rPr>
                <w:bCs/>
                <w:szCs w:val="21"/>
              </w:rPr>
            </w:pPr>
          </w:p>
        </w:tc>
        <w:tc>
          <w:tcPr>
            <w:tcW w:w="2367" w:type="dxa"/>
            <w:gridSpan w:val="7"/>
          </w:tcPr>
          <w:p>
            <w:pPr>
              <w:spacing w:line="312" w:lineRule="auto"/>
              <w:jc w:val="center"/>
              <w:rPr>
                <w:bCs/>
                <w:szCs w:val="21"/>
              </w:rPr>
            </w:pPr>
          </w:p>
        </w:tc>
        <w:tc>
          <w:tcPr>
            <w:tcW w:w="1316" w:type="dxa"/>
            <w:gridSpan w:val="5"/>
          </w:tcPr>
          <w:p>
            <w:pPr>
              <w:spacing w:line="312" w:lineRule="auto"/>
              <w:jc w:val="center"/>
              <w:rPr>
                <w:bCs/>
                <w:szCs w:val="21"/>
              </w:rPr>
            </w:pPr>
          </w:p>
        </w:tc>
        <w:tc>
          <w:tcPr>
            <w:tcW w:w="1090" w:type="dxa"/>
            <w:gridSpan w:val="2"/>
          </w:tcPr>
          <w:p>
            <w:pPr>
              <w:spacing w:line="312" w:lineRule="auto"/>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71" w:type="dxa"/>
            <w:gridSpan w:val="24"/>
            <w:vAlign w:val="center"/>
          </w:tcPr>
          <w:p>
            <w:pPr>
              <w:spacing w:line="312" w:lineRule="auto"/>
              <w:jc w:val="both"/>
              <w:rPr>
                <w:rFonts w:hint="eastAsia"/>
                <w:bCs/>
                <w:szCs w:val="21"/>
                <w:lang w:val="en-US" w:eastAsia="zh-CN"/>
              </w:rPr>
            </w:pPr>
            <w:r>
              <w:rPr>
                <w:rFonts w:hint="eastAsia"/>
                <w:bCs/>
                <w:szCs w:val="21"/>
                <w:lang w:val="en-US" w:eastAsia="zh-CN"/>
              </w:rPr>
              <w:t>1.</w:t>
            </w:r>
            <w:r>
              <w:rPr>
                <w:rFonts w:ascii="Times New Roman" w:hAnsi="Times New Roman" w:cs="Times New Roman"/>
                <w:sz w:val="21"/>
                <w:szCs w:val="21"/>
              </w:rPr>
              <w:t>探测范围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1178" w:type="dxa"/>
            <w:gridSpan w:val="2"/>
            <w:vAlign w:val="center"/>
          </w:tcPr>
          <w:p>
            <w:pPr>
              <w:jc w:val="center"/>
            </w:pPr>
            <w:r>
              <w:t>序号</w:t>
            </w:r>
          </w:p>
        </w:tc>
        <w:tc>
          <w:tcPr>
            <w:tcW w:w="2320" w:type="dxa"/>
            <w:gridSpan w:val="8"/>
            <w:vAlign w:val="center"/>
          </w:tcPr>
          <w:p>
            <w:pPr>
              <w:jc w:val="center"/>
            </w:pPr>
            <w:r>
              <w:t>角度</w:t>
            </w:r>
          </w:p>
        </w:tc>
        <w:tc>
          <w:tcPr>
            <w:tcW w:w="3033" w:type="dxa"/>
            <w:gridSpan w:val="10"/>
            <w:vAlign w:val="center"/>
          </w:tcPr>
          <w:p>
            <w:pPr>
              <w:jc w:val="center"/>
            </w:pPr>
            <w:r>
              <w:rPr>
                <w:rFonts w:hint="eastAsia"/>
              </w:rPr>
              <w:t>探测</w:t>
            </w:r>
            <w:r>
              <w:t>距离（Rmax）</w:t>
            </w:r>
          </w:p>
        </w:tc>
        <w:tc>
          <w:tcPr>
            <w:tcW w:w="1740" w:type="dxa"/>
            <w:gridSpan w:val="4"/>
            <w:vAlign w:val="center"/>
          </w:tcPr>
          <w:p>
            <w:pPr>
              <w:jc w:val="center"/>
            </w:pPr>
            <w: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1178" w:type="dxa"/>
            <w:gridSpan w:val="2"/>
            <w:vAlign w:val="center"/>
          </w:tcPr>
          <w:p>
            <w:pPr>
              <w:jc w:val="center"/>
            </w:pPr>
            <w:r>
              <w:t>1</w:t>
            </w:r>
          </w:p>
        </w:tc>
        <w:tc>
          <w:tcPr>
            <w:tcW w:w="2320" w:type="dxa"/>
            <w:gridSpan w:val="8"/>
            <w:vAlign w:val="center"/>
          </w:tcPr>
          <w:p>
            <w:pPr>
              <w:jc w:val="center"/>
            </w:pPr>
          </w:p>
        </w:tc>
        <w:tc>
          <w:tcPr>
            <w:tcW w:w="3033" w:type="dxa"/>
            <w:gridSpan w:val="10"/>
            <w:vAlign w:val="center"/>
          </w:tcPr>
          <w:p>
            <w:pPr>
              <w:jc w:val="center"/>
            </w:pPr>
          </w:p>
        </w:tc>
        <w:tc>
          <w:tcPr>
            <w:tcW w:w="1740" w:type="dxa"/>
            <w:gridSpan w:val="4"/>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1178" w:type="dxa"/>
            <w:gridSpan w:val="2"/>
            <w:vAlign w:val="center"/>
          </w:tcPr>
          <w:p>
            <w:pPr>
              <w:jc w:val="center"/>
            </w:pPr>
            <w:r>
              <w:t>2</w:t>
            </w:r>
          </w:p>
        </w:tc>
        <w:tc>
          <w:tcPr>
            <w:tcW w:w="2320" w:type="dxa"/>
            <w:gridSpan w:val="8"/>
            <w:vAlign w:val="center"/>
          </w:tcPr>
          <w:p>
            <w:pPr>
              <w:jc w:val="center"/>
            </w:pPr>
          </w:p>
        </w:tc>
        <w:tc>
          <w:tcPr>
            <w:tcW w:w="3033" w:type="dxa"/>
            <w:gridSpan w:val="10"/>
            <w:vAlign w:val="center"/>
          </w:tcPr>
          <w:p>
            <w:pPr>
              <w:jc w:val="center"/>
            </w:pPr>
          </w:p>
        </w:tc>
        <w:tc>
          <w:tcPr>
            <w:tcW w:w="1740" w:type="dxa"/>
            <w:gridSpan w:val="4"/>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1178" w:type="dxa"/>
            <w:gridSpan w:val="2"/>
            <w:vAlign w:val="center"/>
          </w:tcPr>
          <w:p>
            <w:pPr>
              <w:jc w:val="center"/>
            </w:pPr>
            <w:r>
              <w:t>3</w:t>
            </w:r>
          </w:p>
        </w:tc>
        <w:tc>
          <w:tcPr>
            <w:tcW w:w="2320" w:type="dxa"/>
            <w:gridSpan w:val="8"/>
            <w:vAlign w:val="center"/>
          </w:tcPr>
          <w:p>
            <w:pPr>
              <w:jc w:val="center"/>
            </w:pPr>
          </w:p>
        </w:tc>
        <w:tc>
          <w:tcPr>
            <w:tcW w:w="3033" w:type="dxa"/>
            <w:gridSpan w:val="10"/>
            <w:vAlign w:val="center"/>
          </w:tcPr>
          <w:p>
            <w:pPr>
              <w:jc w:val="center"/>
            </w:pPr>
          </w:p>
        </w:tc>
        <w:tc>
          <w:tcPr>
            <w:tcW w:w="1740" w:type="dxa"/>
            <w:gridSpan w:val="4"/>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1178" w:type="dxa"/>
            <w:gridSpan w:val="2"/>
            <w:vAlign w:val="center"/>
          </w:tcPr>
          <w:p>
            <w:pPr>
              <w:jc w:val="center"/>
            </w:pPr>
            <w:r>
              <w:t>4</w:t>
            </w:r>
          </w:p>
        </w:tc>
        <w:tc>
          <w:tcPr>
            <w:tcW w:w="2320" w:type="dxa"/>
            <w:gridSpan w:val="8"/>
            <w:vAlign w:val="center"/>
          </w:tcPr>
          <w:p>
            <w:pPr>
              <w:jc w:val="center"/>
            </w:pPr>
          </w:p>
        </w:tc>
        <w:tc>
          <w:tcPr>
            <w:tcW w:w="3033" w:type="dxa"/>
            <w:gridSpan w:val="10"/>
            <w:vAlign w:val="center"/>
          </w:tcPr>
          <w:p>
            <w:pPr>
              <w:jc w:val="center"/>
            </w:pPr>
          </w:p>
        </w:tc>
        <w:tc>
          <w:tcPr>
            <w:tcW w:w="1740" w:type="dxa"/>
            <w:gridSpan w:val="4"/>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1178" w:type="dxa"/>
            <w:gridSpan w:val="2"/>
            <w:vAlign w:val="center"/>
          </w:tcPr>
          <w:p>
            <w:pPr>
              <w:jc w:val="center"/>
            </w:pPr>
            <w:r>
              <w:t>5</w:t>
            </w:r>
          </w:p>
        </w:tc>
        <w:tc>
          <w:tcPr>
            <w:tcW w:w="2320" w:type="dxa"/>
            <w:gridSpan w:val="8"/>
            <w:vAlign w:val="center"/>
          </w:tcPr>
          <w:p>
            <w:pPr>
              <w:jc w:val="center"/>
            </w:pPr>
          </w:p>
        </w:tc>
        <w:tc>
          <w:tcPr>
            <w:tcW w:w="3033" w:type="dxa"/>
            <w:gridSpan w:val="10"/>
            <w:vAlign w:val="center"/>
          </w:tcPr>
          <w:p>
            <w:pPr>
              <w:jc w:val="center"/>
            </w:pPr>
          </w:p>
        </w:tc>
        <w:tc>
          <w:tcPr>
            <w:tcW w:w="1740" w:type="dxa"/>
            <w:gridSpan w:val="4"/>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8271" w:type="dxa"/>
            <w:gridSpan w:val="24"/>
            <w:vAlign w:val="center"/>
          </w:tcPr>
          <w:p>
            <w:pPr>
              <w:jc w:val="both"/>
              <w:rPr>
                <w:rFonts w:hint="eastAsia" w:eastAsia="宋体"/>
                <w:lang w:val="en-US" w:eastAsia="zh-CN"/>
              </w:rPr>
            </w:pPr>
            <w:r>
              <w:rPr>
                <w:rFonts w:hint="eastAsia"/>
                <w:lang w:val="en-US" w:eastAsia="zh-CN"/>
              </w:rPr>
              <w:t>2.</w:t>
            </w:r>
            <w:r>
              <w:rPr>
                <w:rFonts w:ascii="Times New Roman" w:hAnsi="Times New Roman" w:cs="Times New Roman"/>
              </w:rPr>
              <w:t>标准样件检出率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1178" w:type="dxa"/>
            <w:gridSpan w:val="2"/>
            <w:vAlign w:val="center"/>
          </w:tcPr>
          <w:p>
            <w:pPr>
              <w:jc w:val="center"/>
            </w:pPr>
            <w:r>
              <w:t>序号</w:t>
            </w:r>
          </w:p>
        </w:tc>
        <w:tc>
          <w:tcPr>
            <w:tcW w:w="1634" w:type="dxa"/>
            <w:gridSpan w:val="5"/>
            <w:vAlign w:val="center"/>
          </w:tcPr>
          <w:p>
            <w:pPr>
              <w:jc w:val="center"/>
            </w:pPr>
            <w:r>
              <w:t>摆放的标准样件个数（Ti）</w:t>
            </w:r>
          </w:p>
        </w:tc>
        <w:tc>
          <w:tcPr>
            <w:tcW w:w="1900" w:type="dxa"/>
            <w:gridSpan w:val="8"/>
            <w:vAlign w:val="center"/>
          </w:tcPr>
          <w:p>
            <w:pPr>
              <w:jc w:val="center"/>
            </w:pPr>
            <w:r>
              <w:t>扫描准确发现的标准样件个数（Ni）</w:t>
            </w:r>
          </w:p>
        </w:tc>
        <w:tc>
          <w:tcPr>
            <w:tcW w:w="1819" w:type="dxa"/>
            <w:gridSpan w:val="5"/>
            <w:vAlign w:val="center"/>
          </w:tcPr>
          <w:p>
            <w:pPr>
              <w:jc w:val="center"/>
            </w:pPr>
            <w:r>
              <w:t>标准样件检出率（P</w:t>
            </w:r>
            <w:r>
              <w:rPr>
                <w:vertAlign w:val="subscript"/>
              </w:rPr>
              <w:t>标准</w:t>
            </w:r>
            <w:r>
              <w:t>）</w:t>
            </w:r>
          </w:p>
        </w:tc>
        <w:tc>
          <w:tcPr>
            <w:tcW w:w="1740" w:type="dxa"/>
            <w:gridSpan w:val="4"/>
            <w:vAlign w:val="center"/>
          </w:tcPr>
          <w:p>
            <w:pPr>
              <w:jc w:val="center"/>
            </w:pPr>
            <w: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1178" w:type="dxa"/>
            <w:gridSpan w:val="2"/>
            <w:vAlign w:val="center"/>
          </w:tcPr>
          <w:p>
            <w:pPr>
              <w:jc w:val="center"/>
            </w:pPr>
            <w:r>
              <w:t>1</w:t>
            </w:r>
          </w:p>
        </w:tc>
        <w:tc>
          <w:tcPr>
            <w:tcW w:w="1634" w:type="dxa"/>
            <w:gridSpan w:val="5"/>
            <w:vAlign w:val="center"/>
          </w:tcPr>
          <w:p>
            <w:pPr>
              <w:jc w:val="center"/>
            </w:pPr>
          </w:p>
        </w:tc>
        <w:tc>
          <w:tcPr>
            <w:tcW w:w="1900" w:type="dxa"/>
            <w:gridSpan w:val="8"/>
            <w:vAlign w:val="center"/>
          </w:tcPr>
          <w:p>
            <w:pPr>
              <w:jc w:val="center"/>
            </w:pPr>
          </w:p>
        </w:tc>
        <w:tc>
          <w:tcPr>
            <w:tcW w:w="1819" w:type="dxa"/>
            <w:gridSpan w:val="5"/>
            <w:vMerge w:val="restart"/>
            <w:vAlign w:val="center"/>
          </w:tcPr>
          <w:p>
            <w:pPr>
              <w:jc w:val="center"/>
            </w:pPr>
          </w:p>
        </w:tc>
        <w:tc>
          <w:tcPr>
            <w:tcW w:w="1740" w:type="dxa"/>
            <w:gridSpan w:val="4"/>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1178" w:type="dxa"/>
            <w:gridSpan w:val="2"/>
            <w:vAlign w:val="center"/>
          </w:tcPr>
          <w:p>
            <w:pPr>
              <w:jc w:val="center"/>
            </w:pPr>
            <w:r>
              <w:t>2</w:t>
            </w:r>
          </w:p>
        </w:tc>
        <w:tc>
          <w:tcPr>
            <w:tcW w:w="1634" w:type="dxa"/>
            <w:gridSpan w:val="5"/>
            <w:vAlign w:val="center"/>
          </w:tcPr>
          <w:p>
            <w:pPr>
              <w:jc w:val="center"/>
            </w:pPr>
          </w:p>
        </w:tc>
        <w:tc>
          <w:tcPr>
            <w:tcW w:w="1900" w:type="dxa"/>
            <w:gridSpan w:val="8"/>
            <w:vAlign w:val="center"/>
          </w:tcPr>
          <w:p>
            <w:pPr>
              <w:jc w:val="center"/>
            </w:pPr>
          </w:p>
        </w:tc>
        <w:tc>
          <w:tcPr>
            <w:tcW w:w="1819" w:type="dxa"/>
            <w:gridSpan w:val="5"/>
            <w:vMerge w:val="continue"/>
            <w:vAlign w:val="center"/>
          </w:tcPr>
          <w:p>
            <w:pPr>
              <w:jc w:val="center"/>
            </w:pPr>
          </w:p>
        </w:tc>
        <w:tc>
          <w:tcPr>
            <w:tcW w:w="1740" w:type="dxa"/>
            <w:gridSpan w:val="4"/>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1178" w:type="dxa"/>
            <w:gridSpan w:val="2"/>
            <w:vAlign w:val="center"/>
          </w:tcPr>
          <w:p>
            <w:pPr>
              <w:jc w:val="center"/>
            </w:pPr>
            <w:r>
              <w:t>3</w:t>
            </w:r>
          </w:p>
        </w:tc>
        <w:tc>
          <w:tcPr>
            <w:tcW w:w="1634" w:type="dxa"/>
            <w:gridSpan w:val="5"/>
            <w:vAlign w:val="center"/>
          </w:tcPr>
          <w:p>
            <w:pPr>
              <w:jc w:val="center"/>
            </w:pPr>
          </w:p>
        </w:tc>
        <w:tc>
          <w:tcPr>
            <w:tcW w:w="1900" w:type="dxa"/>
            <w:gridSpan w:val="8"/>
            <w:vAlign w:val="center"/>
          </w:tcPr>
          <w:p>
            <w:pPr>
              <w:jc w:val="center"/>
            </w:pPr>
          </w:p>
        </w:tc>
        <w:tc>
          <w:tcPr>
            <w:tcW w:w="1819" w:type="dxa"/>
            <w:gridSpan w:val="5"/>
            <w:vMerge w:val="continue"/>
            <w:vAlign w:val="center"/>
          </w:tcPr>
          <w:p>
            <w:pPr>
              <w:jc w:val="center"/>
            </w:pPr>
          </w:p>
        </w:tc>
        <w:tc>
          <w:tcPr>
            <w:tcW w:w="1740" w:type="dxa"/>
            <w:gridSpan w:val="4"/>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1178" w:type="dxa"/>
            <w:gridSpan w:val="2"/>
            <w:vAlign w:val="center"/>
          </w:tcPr>
          <w:p>
            <w:pPr>
              <w:jc w:val="center"/>
            </w:pPr>
            <w:r>
              <w:t>4</w:t>
            </w:r>
          </w:p>
        </w:tc>
        <w:tc>
          <w:tcPr>
            <w:tcW w:w="1634" w:type="dxa"/>
            <w:gridSpan w:val="5"/>
            <w:vAlign w:val="center"/>
          </w:tcPr>
          <w:p>
            <w:pPr>
              <w:jc w:val="center"/>
            </w:pPr>
          </w:p>
        </w:tc>
        <w:tc>
          <w:tcPr>
            <w:tcW w:w="1900" w:type="dxa"/>
            <w:gridSpan w:val="8"/>
            <w:vAlign w:val="center"/>
          </w:tcPr>
          <w:p>
            <w:pPr>
              <w:jc w:val="center"/>
            </w:pPr>
          </w:p>
        </w:tc>
        <w:tc>
          <w:tcPr>
            <w:tcW w:w="1819" w:type="dxa"/>
            <w:gridSpan w:val="5"/>
            <w:vMerge w:val="continue"/>
            <w:vAlign w:val="center"/>
          </w:tcPr>
          <w:p>
            <w:pPr>
              <w:jc w:val="center"/>
            </w:pPr>
          </w:p>
        </w:tc>
        <w:tc>
          <w:tcPr>
            <w:tcW w:w="1740" w:type="dxa"/>
            <w:gridSpan w:val="4"/>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1178" w:type="dxa"/>
            <w:gridSpan w:val="2"/>
            <w:vAlign w:val="center"/>
          </w:tcPr>
          <w:p>
            <w:pPr>
              <w:jc w:val="center"/>
            </w:pPr>
            <w:r>
              <w:t>5</w:t>
            </w:r>
          </w:p>
        </w:tc>
        <w:tc>
          <w:tcPr>
            <w:tcW w:w="1634" w:type="dxa"/>
            <w:gridSpan w:val="5"/>
            <w:vAlign w:val="center"/>
          </w:tcPr>
          <w:p>
            <w:pPr>
              <w:jc w:val="center"/>
            </w:pPr>
          </w:p>
        </w:tc>
        <w:tc>
          <w:tcPr>
            <w:tcW w:w="1900" w:type="dxa"/>
            <w:gridSpan w:val="8"/>
            <w:vAlign w:val="center"/>
          </w:tcPr>
          <w:p>
            <w:pPr>
              <w:jc w:val="center"/>
            </w:pPr>
          </w:p>
        </w:tc>
        <w:tc>
          <w:tcPr>
            <w:tcW w:w="1819" w:type="dxa"/>
            <w:gridSpan w:val="5"/>
            <w:vMerge w:val="continue"/>
            <w:vAlign w:val="center"/>
          </w:tcPr>
          <w:p>
            <w:pPr>
              <w:jc w:val="center"/>
            </w:pPr>
          </w:p>
        </w:tc>
        <w:tc>
          <w:tcPr>
            <w:tcW w:w="1740" w:type="dxa"/>
            <w:gridSpan w:val="4"/>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8271" w:type="dxa"/>
            <w:gridSpan w:val="24"/>
            <w:vAlign w:val="center"/>
          </w:tcPr>
          <w:p>
            <w:pPr>
              <w:jc w:val="both"/>
              <w:rPr>
                <w:rFonts w:hint="eastAsia" w:eastAsia="宋体"/>
                <w:lang w:val="en-US" w:eastAsia="zh-CN"/>
              </w:rPr>
            </w:pPr>
            <w:r>
              <w:rPr>
                <w:rFonts w:hint="eastAsia"/>
                <w:lang w:val="en-US" w:eastAsia="zh-CN"/>
              </w:rPr>
              <w:t>3.</w:t>
            </w:r>
            <w:r>
              <w:rPr>
                <w:rFonts w:ascii="Times New Roman" w:hAnsi="Times New Roman" w:cs="Times New Roman"/>
              </w:rPr>
              <w:t>测距示值误差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1178" w:type="dxa"/>
            <w:gridSpan w:val="2"/>
            <w:vAlign w:val="center"/>
          </w:tcPr>
          <w:p>
            <w:pPr>
              <w:jc w:val="center"/>
            </w:pPr>
            <w:r>
              <w:t>次数</w:t>
            </w:r>
          </w:p>
        </w:tc>
        <w:tc>
          <w:tcPr>
            <w:tcW w:w="1651" w:type="dxa"/>
            <w:gridSpan w:val="6"/>
            <w:vAlign w:val="center"/>
          </w:tcPr>
          <w:p>
            <w:pPr>
              <w:jc w:val="center"/>
            </w:pPr>
            <w:r>
              <w:t>实际距离（Ri）</w:t>
            </w:r>
          </w:p>
        </w:tc>
        <w:tc>
          <w:tcPr>
            <w:tcW w:w="1652" w:type="dxa"/>
            <w:gridSpan w:val="6"/>
            <w:vAlign w:val="center"/>
          </w:tcPr>
          <w:p>
            <w:pPr>
              <w:jc w:val="center"/>
            </w:pPr>
            <w:r>
              <w:t>上报距离（Ri′）</w:t>
            </w:r>
          </w:p>
        </w:tc>
        <w:tc>
          <w:tcPr>
            <w:tcW w:w="2050" w:type="dxa"/>
            <w:gridSpan w:val="6"/>
            <w:vAlign w:val="center"/>
          </w:tcPr>
          <w:p>
            <w:pPr>
              <w:jc w:val="center"/>
            </w:pPr>
            <w:r>
              <w:t>测距示值误差（Δd）</w:t>
            </w:r>
          </w:p>
        </w:tc>
        <w:tc>
          <w:tcPr>
            <w:tcW w:w="1740" w:type="dxa"/>
            <w:gridSpan w:val="4"/>
            <w:vAlign w:val="center"/>
          </w:tcPr>
          <w:p>
            <w:pPr>
              <w:jc w:val="center"/>
            </w:pPr>
            <w: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1178" w:type="dxa"/>
            <w:gridSpan w:val="2"/>
            <w:vAlign w:val="center"/>
          </w:tcPr>
          <w:p>
            <w:pPr>
              <w:jc w:val="center"/>
            </w:pPr>
            <w:r>
              <w:t>1</w:t>
            </w:r>
          </w:p>
        </w:tc>
        <w:tc>
          <w:tcPr>
            <w:tcW w:w="1651" w:type="dxa"/>
            <w:gridSpan w:val="6"/>
            <w:vAlign w:val="center"/>
          </w:tcPr>
          <w:p>
            <w:pPr>
              <w:jc w:val="center"/>
            </w:pPr>
          </w:p>
        </w:tc>
        <w:tc>
          <w:tcPr>
            <w:tcW w:w="1652" w:type="dxa"/>
            <w:gridSpan w:val="6"/>
            <w:vAlign w:val="center"/>
          </w:tcPr>
          <w:p>
            <w:pPr>
              <w:jc w:val="center"/>
            </w:pPr>
          </w:p>
        </w:tc>
        <w:tc>
          <w:tcPr>
            <w:tcW w:w="2050" w:type="dxa"/>
            <w:gridSpan w:val="6"/>
            <w:vMerge w:val="restart"/>
            <w:vAlign w:val="center"/>
          </w:tcPr>
          <w:p>
            <w:pPr>
              <w:jc w:val="center"/>
            </w:pPr>
          </w:p>
        </w:tc>
        <w:tc>
          <w:tcPr>
            <w:tcW w:w="1740" w:type="dxa"/>
            <w:gridSpan w:val="4"/>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1178" w:type="dxa"/>
            <w:gridSpan w:val="2"/>
            <w:vAlign w:val="center"/>
          </w:tcPr>
          <w:p>
            <w:pPr>
              <w:jc w:val="center"/>
            </w:pPr>
            <w:r>
              <w:t>2</w:t>
            </w:r>
          </w:p>
        </w:tc>
        <w:tc>
          <w:tcPr>
            <w:tcW w:w="1651" w:type="dxa"/>
            <w:gridSpan w:val="6"/>
            <w:vAlign w:val="center"/>
          </w:tcPr>
          <w:p>
            <w:pPr>
              <w:jc w:val="center"/>
            </w:pPr>
          </w:p>
        </w:tc>
        <w:tc>
          <w:tcPr>
            <w:tcW w:w="1652" w:type="dxa"/>
            <w:gridSpan w:val="6"/>
            <w:vAlign w:val="center"/>
          </w:tcPr>
          <w:p>
            <w:pPr>
              <w:jc w:val="center"/>
            </w:pPr>
          </w:p>
        </w:tc>
        <w:tc>
          <w:tcPr>
            <w:tcW w:w="2050" w:type="dxa"/>
            <w:gridSpan w:val="6"/>
            <w:vMerge w:val="continue"/>
            <w:vAlign w:val="center"/>
          </w:tcPr>
          <w:p>
            <w:pPr>
              <w:jc w:val="center"/>
            </w:pPr>
          </w:p>
        </w:tc>
        <w:tc>
          <w:tcPr>
            <w:tcW w:w="1740" w:type="dxa"/>
            <w:gridSpan w:val="4"/>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1178" w:type="dxa"/>
            <w:gridSpan w:val="2"/>
            <w:vAlign w:val="center"/>
          </w:tcPr>
          <w:p>
            <w:pPr>
              <w:jc w:val="center"/>
            </w:pPr>
            <w:r>
              <w:t>3</w:t>
            </w:r>
          </w:p>
        </w:tc>
        <w:tc>
          <w:tcPr>
            <w:tcW w:w="1651" w:type="dxa"/>
            <w:gridSpan w:val="6"/>
            <w:vAlign w:val="center"/>
          </w:tcPr>
          <w:p>
            <w:pPr>
              <w:jc w:val="center"/>
            </w:pPr>
          </w:p>
        </w:tc>
        <w:tc>
          <w:tcPr>
            <w:tcW w:w="1652" w:type="dxa"/>
            <w:gridSpan w:val="6"/>
            <w:vAlign w:val="center"/>
          </w:tcPr>
          <w:p>
            <w:pPr>
              <w:jc w:val="center"/>
            </w:pPr>
          </w:p>
        </w:tc>
        <w:tc>
          <w:tcPr>
            <w:tcW w:w="2050" w:type="dxa"/>
            <w:gridSpan w:val="6"/>
            <w:vMerge w:val="continue"/>
            <w:vAlign w:val="center"/>
          </w:tcPr>
          <w:p>
            <w:pPr>
              <w:jc w:val="center"/>
            </w:pPr>
          </w:p>
        </w:tc>
        <w:tc>
          <w:tcPr>
            <w:tcW w:w="1740" w:type="dxa"/>
            <w:gridSpan w:val="4"/>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1178" w:type="dxa"/>
            <w:gridSpan w:val="2"/>
            <w:vAlign w:val="center"/>
          </w:tcPr>
          <w:p>
            <w:pPr>
              <w:jc w:val="center"/>
            </w:pPr>
            <w:r>
              <w:t>4</w:t>
            </w:r>
          </w:p>
        </w:tc>
        <w:tc>
          <w:tcPr>
            <w:tcW w:w="1651" w:type="dxa"/>
            <w:gridSpan w:val="6"/>
            <w:vAlign w:val="center"/>
          </w:tcPr>
          <w:p>
            <w:pPr>
              <w:jc w:val="center"/>
            </w:pPr>
          </w:p>
        </w:tc>
        <w:tc>
          <w:tcPr>
            <w:tcW w:w="1652" w:type="dxa"/>
            <w:gridSpan w:val="6"/>
            <w:vAlign w:val="center"/>
          </w:tcPr>
          <w:p>
            <w:pPr>
              <w:jc w:val="center"/>
            </w:pPr>
          </w:p>
        </w:tc>
        <w:tc>
          <w:tcPr>
            <w:tcW w:w="2050" w:type="dxa"/>
            <w:gridSpan w:val="6"/>
            <w:vMerge w:val="continue"/>
            <w:vAlign w:val="center"/>
          </w:tcPr>
          <w:p>
            <w:pPr>
              <w:jc w:val="center"/>
            </w:pPr>
          </w:p>
        </w:tc>
        <w:tc>
          <w:tcPr>
            <w:tcW w:w="1740" w:type="dxa"/>
            <w:gridSpan w:val="4"/>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1178" w:type="dxa"/>
            <w:gridSpan w:val="2"/>
            <w:vAlign w:val="center"/>
          </w:tcPr>
          <w:p>
            <w:pPr>
              <w:jc w:val="center"/>
            </w:pPr>
            <w:r>
              <w:t>5</w:t>
            </w:r>
          </w:p>
        </w:tc>
        <w:tc>
          <w:tcPr>
            <w:tcW w:w="1651" w:type="dxa"/>
            <w:gridSpan w:val="6"/>
            <w:vAlign w:val="center"/>
          </w:tcPr>
          <w:p>
            <w:pPr>
              <w:jc w:val="center"/>
            </w:pPr>
          </w:p>
        </w:tc>
        <w:tc>
          <w:tcPr>
            <w:tcW w:w="1652" w:type="dxa"/>
            <w:gridSpan w:val="6"/>
            <w:vAlign w:val="center"/>
          </w:tcPr>
          <w:p>
            <w:pPr>
              <w:jc w:val="center"/>
            </w:pPr>
          </w:p>
        </w:tc>
        <w:tc>
          <w:tcPr>
            <w:tcW w:w="2050" w:type="dxa"/>
            <w:gridSpan w:val="6"/>
            <w:vMerge w:val="continue"/>
            <w:vAlign w:val="center"/>
          </w:tcPr>
          <w:p>
            <w:pPr>
              <w:jc w:val="center"/>
            </w:pPr>
          </w:p>
        </w:tc>
        <w:tc>
          <w:tcPr>
            <w:tcW w:w="1740" w:type="dxa"/>
            <w:gridSpan w:val="4"/>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8271" w:type="dxa"/>
            <w:gridSpan w:val="24"/>
            <w:vAlign w:val="center"/>
          </w:tcPr>
          <w:p>
            <w:pPr>
              <w:jc w:val="both"/>
              <w:rPr>
                <w:rFonts w:hint="eastAsia" w:eastAsia="宋体"/>
                <w:lang w:val="en-US" w:eastAsia="zh-CN"/>
              </w:rPr>
            </w:pPr>
            <w:r>
              <w:rPr>
                <w:rFonts w:hint="eastAsia"/>
                <w:lang w:val="en-US" w:eastAsia="zh-CN"/>
              </w:rPr>
              <w:t>4.</w:t>
            </w:r>
            <w:r>
              <w:rPr>
                <w:rFonts w:ascii="Times New Roman" w:hAnsi="Times New Roman" w:cs="Times New Roman"/>
              </w:rPr>
              <w:t>测角示值误差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753" w:type="dxa"/>
            <w:vAlign w:val="center"/>
          </w:tcPr>
          <w:p>
            <w:pPr>
              <w:jc w:val="center"/>
            </w:pPr>
            <w:r>
              <w:t>次数</w:t>
            </w:r>
          </w:p>
        </w:tc>
        <w:tc>
          <w:tcPr>
            <w:tcW w:w="783" w:type="dxa"/>
            <w:gridSpan w:val="3"/>
            <w:vAlign w:val="center"/>
          </w:tcPr>
          <w:p>
            <w:pPr>
              <w:jc w:val="center"/>
              <w:rPr>
                <w:rFonts w:hint="eastAsia"/>
                <w:lang w:val="en-US" w:eastAsia="zh-CN"/>
              </w:rPr>
            </w:pPr>
            <w:r>
              <w:rPr>
                <w:rFonts w:hint="eastAsia"/>
                <w:lang w:val="en-US" w:eastAsia="zh-CN"/>
              </w:rPr>
              <w:t>前组</w:t>
            </w:r>
          </w:p>
          <w:p>
            <w:pPr>
              <w:jc w:val="center"/>
            </w:pPr>
            <w:r>
              <w:t>距离（Ri）</w:t>
            </w:r>
          </w:p>
        </w:tc>
        <w:tc>
          <w:tcPr>
            <w:tcW w:w="817" w:type="dxa"/>
            <w:gridSpan w:val="2"/>
            <w:vAlign w:val="center"/>
          </w:tcPr>
          <w:p>
            <w:pPr>
              <w:jc w:val="center"/>
              <w:rPr>
                <w:rFonts w:hint="eastAsia"/>
                <w:lang w:val="en-US" w:eastAsia="zh-CN"/>
              </w:rPr>
            </w:pPr>
            <w:r>
              <w:rPr>
                <w:rFonts w:hint="eastAsia"/>
                <w:lang w:val="en-US" w:eastAsia="zh-CN"/>
              </w:rPr>
              <w:t>后组</w:t>
            </w:r>
          </w:p>
          <w:p>
            <w:pPr>
              <w:jc w:val="center"/>
            </w:pPr>
            <w:r>
              <w:t>距离（Ri</w:t>
            </w:r>
            <w:r>
              <w:rPr>
                <w:rFonts w:hint="default" w:ascii="Times New Roman" w:hAnsi="Times New Roman" w:cs="Times New Roman"/>
                <w:lang w:val="en-US" w:eastAsia="zh-CN"/>
              </w:rPr>
              <w:t>′</w:t>
            </w:r>
            <w:r>
              <w:t>）</w:t>
            </w:r>
          </w:p>
        </w:tc>
        <w:tc>
          <w:tcPr>
            <w:tcW w:w="900" w:type="dxa"/>
            <w:gridSpan w:val="3"/>
            <w:vAlign w:val="center"/>
          </w:tcPr>
          <w:p>
            <w:pPr>
              <w:jc w:val="center"/>
            </w:pPr>
            <w:r>
              <w:rPr>
                <w:rFonts w:hint="eastAsia"/>
                <w:lang w:val="en-US" w:eastAsia="zh-CN"/>
              </w:rPr>
              <w:t>两组异物</w:t>
            </w:r>
            <w:r>
              <w:t>距离（L）</w:t>
            </w:r>
          </w:p>
        </w:tc>
        <w:tc>
          <w:tcPr>
            <w:tcW w:w="867" w:type="dxa"/>
            <w:gridSpan w:val="3"/>
            <w:vAlign w:val="center"/>
          </w:tcPr>
          <w:p>
            <w:pPr>
              <w:jc w:val="center"/>
            </w:pPr>
            <w:r>
              <w:rPr>
                <w:rFonts w:hint="eastAsia"/>
                <w:lang w:val="en-US" w:eastAsia="zh-CN"/>
              </w:rPr>
              <w:t>前组</w:t>
            </w:r>
            <w:r>
              <w:t>上报角度（</w:t>
            </w:r>
            <w:r>
              <w:rPr>
                <w:sz w:val="24"/>
              </w:rPr>
              <w:t>θ</w:t>
            </w:r>
            <w:r>
              <w:rPr>
                <w:sz w:val="24"/>
                <w:vertAlign w:val="subscript"/>
              </w:rPr>
              <w:t>i</w:t>
            </w:r>
            <w:r>
              <w:t>）</w:t>
            </w:r>
          </w:p>
        </w:tc>
        <w:tc>
          <w:tcPr>
            <w:tcW w:w="866" w:type="dxa"/>
            <w:gridSpan w:val="4"/>
            <w:vAlign w:val="center"/>
          </w:tcPr>
          <w:p>
            <w:pPr>
              <w:jc w:val="center"/>
            </w:pPr>
            <w:r>
              <w:rPr>
                <w:rFonts w:hint="eastAsia"/>
                <w:lang w:val="en-US" w:eastAsia="zh-CN"/>
              </w:rPr>
              <w:t>后组</w:t>
            </w:r>
            <w:r>
              <w:t>上报角度（</w:t>
            </w:r>
            <w:r>
              <w:rPr>
                <w:sz w:val="24"/>
              </w:rPr>
              <w:t>θ</w:t>
            </w:r>
            <w:r>
              <w:rPr>
                <w:sz w:val="24"/>
                <w:vertAlign w:val="subscript"/>
              </w:rPr>
              <w:t>i</w:t>
            </w:r>
            <w:r>
              <w:rPr>
                <w:sz w:val="24"/>
              </w:rPr>
              <w:t>′</w:t>
            </w:r>
            <w:r>
              <w:t>）</w:t>
            </w:r>
          </w:p>
        </w:tc>
        <w:tc>
          <w:tcPr>
            <w:tcW w:w="934" w:type="dxa"/>
            <w:gridSpan w:val="2"/>
            <w:vAlign w:val="center"/>
          </w:tcPr>
          <w:p>
            <w:pPr>
              <w:jc w:val="center"/>
            </w:pPr>
            <w:r>
              <w:t>测试</w:t>
            </w:r>
          </w:p>
          <w:p>
            <w:pPr>
              <w:jc w:val="center"/>
            </w:pPr>
            <w:r>
              <w:t>夹角（</w:t>
            </w:r>
            <w:r>
              <w:rPr>
                <w:sz w:val="24"/>
              </w:rPr>
              <w:t>Δθ</w:t>
            </w:r>
            <w:r>
              <w:rPr>
                <w:sz w:val="24"/>
                <w:vertAlign w:val="subscript"/>
              </w:rPr>
              <w:t>i</w:t>
            </w:r>
            <w:r>
              <w:t>）</w:t>
            </w:r>
          </w:p>
        </w:tc>
        <w:tc>
          <w:tcPr>
            <w:tcW w:w="900" w:type="dxa"/>
            <w:gridSpan w:val="3"/>
            <w:vAlign w:val="center"/>
          </w:tcPr>
          <w:p>
            <w:pPr>
              <w:jc w:val="center"/>
            </w:pPr>
            <w:r>
              <w:t>理论</w:t>
            </w:r>
          </w:p>
          <w:p>
            <w:pPr>
              <w:jc w:val="center"/>
            </w:pPr>
            <w:r>
              <w:t>夹角（</w:t>
            </w:r>
            <w:r>
              <w:rPr>
                <w:sz w:val="24"/>
              </w:rPr>
              <w:t>Δθ</w:t>
            </w:r>
            <w:r>
              <w:rPr>
                <w:sz w:val="24"/>
                <w:vertAlign w:val="subscript"/>
              </w:rPr>
              <w:t>i</w:t>
            </w:r>
            <w:r>
              <w:rPr>
                <w:sz w:val="24"/>
              </w:rPr>
              <w:t>′</w:t>
            </w:r>
            <w:r>
              <w:t>）</w:t>
            </w:r>
          </w:p>
        </w:tc>
        <w:tc>
          <w:tcPr>
            <w:tcW w:w="900" w:type="dxa"/>
            <w:gridSpan w:val="2"/>
            <w:vAlign w:val="center"/>
          </w:tcPr>
          <w:p>
            <w:pPr>
              <w:jc w:val="center"/>
            </w:pPr>
            <w:r>
              <w:t>测角示值误差（</w:t>
            </w:r>
            <w:r>
              <w:rPr>
                <w:sz w:val="24"/>
              </w:rPr>
              <w:t>Δθ</w:t>
            </w:r>
            <w:r>
              <w:t>）</w:t>
            </w:r>
          </w:p>
        </w:tc>
        <w:tc>
          <w:tcPr>
            <w:tcW w:w="551" w:type="dxa"/>
            <w:vAlign w:val="center"/>
          </w:tcPr>
          <w:p>
            <w:pPr>
              <w:jc w:val="center"/>
            </w:pPr>
            <w: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753" w:type="dxa"/>
            <w:vAlign w:val="center"/>
          </w:tcPr>
          <w:p>
            <w:pPr>
              <w:jc w:val="center"/>
            </w:pPr>
            <w:r>
              <w:t>1</w:t>
            </w:r>
          </w:p>
        </w:tc>
        <w:tc>
          <w:tcPr>
            <w:tcW w:w="783" w:type="dxa"/>
            <w:gridSpan w:val="3"/>
            <w:vAlign w:val="center"/>
          </w:tcPr>
          <w:p>
            <w:pPr>
              <w:jc w:val="center"/>
            </w:pPr>
          </w:p>
        </w:tc>
        <w:tc>
          <w:tcPr>
            <w:tcW w:w="817" w:type="dxa"/>
            <w:gridSpan w:val="2"/>
            <w:vAlign w:val="center"/>
          </w:tcPr>
          <w:p>
            <w:pPr>
              <w:jc w:val="center"/>
            </w:pPr>
          </w:p>
        </w:tc>
        <w:tc>
          <w:tcPr>
            <w:tcW w:w="900" w:type="dxa"/>
            <w:gridSpan w:val="3"/>
            <w:vAlign w:val="center"/>
          </w:tcPr>
          <w:p>
            <w:pPr>
              <w:jc w:val="center"/>
            </w:pPr>
          </w:p>
        </w:tc>
        <w:tc>
          <w:tcPr>
            <w:tcW w:w="867" w:type="dxa"/>
            <w:gridSpan w:val="3"/>
            <w:vAlign w:val="center"/>
          </w:tcPr>
          <w:p>
            <w:pPr>
              <w:jc w:val="center"/>
            </w:pPr>
          </w:p>
        </w:tc>
        <w:tc>
          <w:tcPr>
            <w:tcW w:w="866" w:type="dxa"/>
            <w:gridSpan w:val="4"/>
            <w:vAlign w:val="center"/>
          </w:tcPr>
          <w:p>
            <w:pPr>
              <w:jc w:val="center"/>
            </w:pPr>
          </w:p>
        </w:tc>
        <w:tc>
          <w:tcPr>
            <w:tcW w:w="934" w:type="dxa"/>
            <w:gridSpan w:val="2"/>
            <w:vAlign w:val="center"/>
          </w:tcPr>
          <w:p>
            <w:pPr>
              <w:jc w:val="center"/>
            </w:pPr>
          </w:p>
        </w:tc>
        <w:tc>
          <w:tcPr>
            <w:tcW w:w="900" w:type="dxa"/>
            <w:gridSpan w:val="3"/>
            <w:vAlign w:val="center"/>
          </w:tcPr>
          <w:p>
            <w:pPr>
              <w:jc w:val="center"/>
            </w:pPr>
          </w:p>
        </w:tc>
        <w:tc>
          <w:tcPr>
            <w:tcW w:w="900" w:type="dxa"/>
            <w:gridSpan w:val="2"/>
            <w:vMerge w:val="restart"/>
            <w:vAlign w:val="center"/>
          </w:tcPr>
          <w:p>
            <w:pPr>
              <w:jc w:val="center"/>
            </w:pPr>
          </w:p>
        </w:tc>
        <w:tc>
          <w:tcPr>
            <w:tcW w:w="551"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753" w:type="dxa"/>
            <w:vAlign w:val="center"/>
          </w:tcPr>
          <w:p>
            <w:pPr>
              <w:jc w:val="center"/>
            </w:pPr>
            <w:r>
              <w:t>2</w:t>
            </w:r>
          </w:p>
        </w:tc>
        <w:tc>
          <w:tcPr>
            <w:tcW w:w="783" w:type="dxa"/>
            <w:gridSpan w:val="3"/>
            <w:vAlign w:val="center"/>
          </w:tcPr>
          <w:p>
            <w:pPr>
              <w:jc w:val="center"/>
            </w:pPr>
          </w:p>
        </w:tc>
        <w:tc>
          <w:tcPr>
            <w:tcW w:w="817" w:type="dxa"/>
            <w:gridSpan w:val="2"/>
            <w:vAlign w:val="center"/>
          </w:tcPr>
          <w:p>
            <w:pPr>
              <w:jc w:val="center"/>
            </w:pPr>
          </w:p>
        </w:tc>
        <w:tc>
          <w:tcPr>
            <w:tcW w:w="900" w:type="dxa"/>
            <w:gridSpan w:val="3"/>
            <w:vAlign w:val="center"/>
          </w:tcPr>
          <w:p>
            <w:pPr>
              <w:jc w:val="center"/>
            </w:pPr>
          </w:p>
        </w:tc>
        <w:tc>
          <w:tcPr>
            <w:tcW w:w="867" w:type="dxa"/>
            <w:gridSpan w:val="3"/>
            <w:vAlign w:val="center"/>
          </w:tcPr>
          <w:p>
            <w:pPr>
              <w:jc w:val="center"/>
            </w:pPr>
          </w:p>
        </w:tc>
        <w:tc>
          <w:tcPr>
            <w:tcW w:w="866" w:type="dxa"/>
            <w:gridSpan w:val="4"/>
            <w:vAlign w:val="center"/>
          </w:tcPr>
          <w:p>
            <w:pPr>
              <w:jc w:val="center"/>
            </w:pPr>
          </w:p>
        </w:tc>
        <w:tc>
          <w:tcPr>
            <w:tcW w:w="934" w:type="dxa"/>
            <w:gridSpan w:val="2"/>
            <w:vAlign w:val="center"/>
          </w:tcPr>
          <w:p>
            <w:pPr>
              <w:jc w:val="center"/>
            </w:pPr>
          </w:p>
        </w:tc>
        <w:tc>
          <w:tcPr>
            <w:tcW w:w="900" w:type="dxa"/>
            <w:gridSpan w:val="3"/>
            <w:vAlign w:val="center"/>
          </w:tcPr>
          <w:p>
            <w:pPr>
              <w:jc w:val="center"/>
            </w:pPr>
          </w:p>
        </w:tc>
        <w:tc>
          <w:tcPr>
            <w:tcW w:w="900" w:type="dxa"/>
            <w:gridSpan w:val="2"/>
            <w:vMerge w:val="continue"/>
            <w:vAlign w:val="center"/>
          </w:tcPr>
          <w:p>
            <w:pPr>
              <w:jc w:val="center"/>
            </w:pPr>
          </w:p>
        </w:tc>
        <w:tc>
          <w:tcPr>
            <w:tcW w:w="551"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753" w:type="dxa"/>
            <w:vAlign w:val="center"/>
          </w:tcPr>
          <w:p>
            <w:pPr>
              <w:jc w:val="center"/>
            </w:pPr>
            <w:r>
              <w:t>3</w:t>
            </w:r>
          </w:p>
        </w:tc>
        <w:tc>
          <w:tcPr>
            <w:tcW w:w="783" w:type="dxa"/>
            <w:gridSpan w:val="3"/>
            <w:vAlign w:val="center"/>
          </w:tcPr>
          <w:p>
            <w:pPr>
              <w:jc w:val="center"/>
            </w:pPr>
          </w:p>
        </w:tc>
        <w:tc>
          <w:tcPr>
            <w:tcW w:w="817" w:type="dxa"/>
            <w:gridSpan w:val="2"/>
            <w:vAlign w:val="center"/>
          </w:tcPr>
          <w:p>
            <w:pPr>
              <w:jc w:val="center"/>
            </w:pPr>
          </w:p>
        </w:tc>
        <w:tc>
          <w:tcPr>
            <w:tcW w:w="900" w:type="dxa"/>
            <w:gridSpan w:val="3"/>
            <w:vAlign w:val="center"/>
          </w:tcPr>
          <w:p>
            <w:pPr>
              <w:jc w:val="center"/>
            </w:pPr>
          </w:p>
        </w:tc>
        <w:tc>
          <w:tcPr>
            <w:tcW w:w="867" w:type="dxa"/>
            <w:gridSpan w:val="3"/>
            <w:vAlign w:val="center"/>
          </w:tcPr>
          <w:p>
            <w:pPr>
              <w:jc w:val="center"/>
            </w:pPr>
          </w:p>
        </w:tc>
        <w:tc>
          <w:tcPr>
            <w:tcW w:w="866" w:type="dxa"/>
            <w:gridSpan w:val="4"/>
            <w:vAlign w:val="center"/>
          </w:tcPr>
          <w:p>
            <w:pPr>
              <w:jc w:val="center"/>
            </w:pPr>
          </w:p>
        </w:tc>
        <w:tc>
          <w:tcPr>
            <w:tcW w:w="934" w:type="dxa"/>
            <w:gridSpan w:val="2"/>
            <w:vAlign w:val="center"/>
          </w:tcPr>
          <w:p>
            <w:pPr>
              <w:jc w:val="center"/>
            </w:pPr>
          </w:p>
        </w:tc>
        <w:tc>
          <w:tcPr>
            <w:tcW w:w="900" w:type="dxa"/>
            <w:gridSpan w:val="3"/>
            <w:vAlign w:val="center"/>
          </w:tcPr>
          <w:p>
            <w:pPr>
              <w:jc w:val="center"/>
            </w:pPr>
          </w:p>
        </w:tc>
        <w:tc>
          <w:tcPr>
            <w:tcW w:w="900" w:type="dxa"/>
            <w:gridSpan w:val="2"/>
            <w:vMerge w:val="continue"/>
            <w:vAlign w:val="center"/>
          </w:tcPr>
          <w:p>
            <w:pPr>
              <w:jc w:val="center"/>
            </w:pPr>
          </w:p>
        </w:tc>
        <w:tc>
          <w:tcPr>
            <w:tcW w:w="551"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753" w:type="dxa"/>
            <w:vAlign w:val="center"/>
          </w:tcPr>
          <w:p>
            <w:pPr>
              <w:jc w:val="center"/>
            </w:pPr>
            <w:r>
              <w:t>4</w:t>
            </w:r>
          </w:p>
        </w:tc>
        <w:tc>
          <w:tcPr>
            <w:tcW w:w="783" w:type="dxa"/>
            <w:gridSpan w:val="3"/>
            <w:vAlign w:val="center"/>
          </w:tcPr>
          <w:p>
            <w:pPr>
              <w:jc w:val="center"/>
            </w:pPr>
          </w:p>
        </w:tc>
        <w:tc>
          <w:tcPr>
            <w:tcW w:w="817" w:type="dxa"/>
            <w:gridSpan w:val="2"/>
            <w:vAlign w:val="center"/>
          </w:tcPr>
          <w:p>
            <w:pPr>
              <w:jc w:val="center"/>
            </w:pPr>
          </w:p>
        </w:tc>
        <w:tc>
          <w:tcPr>
            <w:tcW w:w="900" w:type="dxa"/>
            <w:gridSpan w:val="3"/>
            <w:vAlign w:val="center"/>
          </w:tcPr>
          <w:p>
            <w:pPr>
              <w:jc w:val="center"/>
            </w:pPr>
          </w:p>
        </w:tc>
        <w:tc>
          <w:tcPr>
            <w:tcW w:w="867" w:type="dxa"/>
            <w:gridSpan w:val="3"/>
            <w:vAlign w:val="center"/>
          </w:tcPr>
          <w:p>
            <w:pPr>
              <w:jc w:val="center"/>
            </w:pPr>
          </w:p>
        </w:tc>
        <w:tc>
          <w:tcPr>
            <w:tcW w:w="866" w:type="dxa"/>
            <w:gridSpan w:val="4"/>
            <w:vAlign w:val="center"/>
          </w:tcPr>
          <w:p>
            <w:pPr>
              <w:jc w:val="center"/>
            </w:pPr>
          </w:p>
        </w:tc>
        <w:tc>
          <w:tcPr>
            <w:tcW w:w="934" w:type="dxa"/>
            <w:gridSpan w:val="2"/>
            <w:vAlign w:val="center"/>
          </w:tcPr>
          <w:p>
            <w:pPr>
              <w:jc w:val="center"/>
            </w:pPr>
          </w:p>
        </w:tc>
        <w:tc>
          <w:tcPr>
            <w:tcW w:w="900" w:type="dxa"/>
            <w:gridSpan w:val="3"/>
            <w:vAlign w:val="center"/>
          </w:tcPr>
          <w:p>
            <w:pPr>
              <w:jc w:val="center"/>
            </w:pPr>
          </w:p>
        </w:tc>
        <w:tc>
          <w:tcPr>
            <w:tcW w:w="900" w:type="dxa"/>
            <w:gridSpan w:val="2"/>
            <w:vMerge w:val="continue"/>
            <w:vAlign w:val="center"/>
          </w:tcPr>
          <w:p>
            <w:pPr>
              <w:jc w:val="center"/>
            </w:pPr>
          </w:p>
        </w:tc>
        <w:tc>
          <w:tcPr>
            <w:tcW w:w="551"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753" w:type="dxa"/>
            <w:vAlign w:val="center"/>
          </w:tcPr>
          <w:p>
            <w:pPr>
              <w:jc w:val="center"/>
            </w:pPr>
            <w:r>
              <w:t>5</w:t>
            </w:r>
          </w:p>
        </w:tc>
        <w:tc>
          <w:tcPr>
            <w:tcW w:w="783" w:type="dxa"/>
            <w:gridSpan w:val="3"/>
            <w:vAlign w:val="center"/>
          </w:tcPr>
          <w:p>
            <w:pPr>
              <w:jc w:val="center"/>
            </w:pPr>
          </w:p>
        </w:tc>
        <w:tc>
          <w:tcPr>
            <w:tcW w:w="817" w:type="dxa"/>
            <w:gridSpan w:val="2"/>
            <w:vAlign w:val="center"/>
          </w:tcPr>
          <w:p>
            <w:pPr>
              <w:jc w:val="center"/>
            </w:pPr>
          </w:p>
        </w:tc>
        <w:tc>
          <w:tcPr>
            <w:tcW w:w="900" w:type="dxa"/>
            <w:gridSpan w:val="3"/>
            <w:vAlign w:val="center"/>
          </w:tcPr>
          <w:p>
            <w:pPr>
              <w:jc w:val="center"/>
            </w:pPr>
          </w:p>
        </w:tc>
        <w:tc>
          <w:tcPr>
            <w:tcW w:w="867" w:type="dxa"/>
            <w:gridSpan w:val="3"/>
            <w:vAlign w:val="center"/>
          </w:tcPr>
          <w:p>
            <w:pPr>
              <w:jc w:val="center"/>
            </w:pPr>
          </w:p>
        </w:tc>
        <w:tc>
          <w:tcPr>
            <w:tcW w:w="866" w:type="dxa"/>
            <w:gridSpan w:val="4"/>
            <w:vAlign w:val="center"/>
          </w:tcPr>
          <w:p>
            <w:pPr>
              <w:jc w:val="center"/>
            </w:pPr>
          </w:p>
        </w:tc>
        <w:tc>
          <w:tcPr>
            <w:tcW w:w="934" w:type="dxa"/>
            <w:gridSpan w:val="2"/>
            <w:vAlign w:val="center"/>
          </w:tcPr>
          <w:p>
            <w:pPr>
              <w:jc w:val="center"/>
            </w:pPr>
          </w:p>
        </w:tc>
        <w:tc>
          <w:tcPr>
            <w:tcW w:w="900" w:type="dxa"/>
            <w:gridSpan w:val="3"/>
            <w:vAlign w:val="center"/>
          </w:tcPr>
          <w:p>
            <w:pPr>
              <w:jc w:val="center"/>
            </w:pPr>
          </w:p>
        </w:tc>
        <w:tc>
          <w:tcPr>
            <w:tcW w:w="900" w:type="dxa"/>
            <w:gridSpan w:val="2"/>
            <w:vMerge w:val="continue"/>
            <w:vAlign w:val="center"/>
          </w:tcPr>
          <w:p>
            <w:pPr>
              <w:jc w:val="center"/>
            </w:pPr>
          </w:p>
        </w:tc>
        <w:tc>
          <w:tcPr>
            <w:tcW w:w="551"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8271" w:type="dxa"/>
            <w:gridSpan w:val="24"/>
            <w:vAlign w:val="center"/>
          </w:tcPr>
          <w:p>
            <w:pPr>
              <w:jc w:val="both"/>
              <w:rPr>
                <w:rFonts w:hint="eastAsia" w:eastAsia="宋体"/>
                <w:lang w:val="en-US" w:eastAsia="zh-CN"/>
              </w:rPr>
            </w:pPr>
            <w:r>
              <w:rPr>
                <w:rFonts w:hint="eastAsia"/>
                <w:lang w:val="en-US" w:eastAsia="zh-CN"/>
              </w:rPr>
              <w:t>5.</w:t>
            </w:r>
            <w:r>
              <w:rPr>
                <w:rFonts w:hint="eastAsia" w:ascii="Times New Roman" w:hAnsi="Times New Roman" w:cs="Times New Roman"/>
              </w:rPr>
              <w:t>响应</w:t>
            </w:r>
            <w:r>
              <w:rPr>
                <w:rFonts w:ascii="Times New Roman" w:hAnsi="Times New Roman" w:cs="Times New Roman"/>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1485" w:type="dxa"/>
            <w:gridSpan w:val="3"/>
            <w:vAlign w:val="center"/>
          </w:tcPr>
          <w:p>
            <w:pPr>
              <w:jc w:val="center"/>
            </w:pPr>
            <w:r>
              <w:t>次数</w:t>
            </w:r>
          </w:p>
        </w:tc>
        <w:tc>
          <w:tcPr>
            <w:tcW w:w="5046" w:type="dxa"/>
            <w:gridSpan w:val="17"/>
            <w:vAlign w:val="center"/>
          </w:tcPr>
          <w:p>
            <w:pPr>
              <w:jc w:val="center"/>
            </w:pPr>
            <w:r>
              <w:rPr>
                <w:rFonts w:hint="eastAsia"/>
              </w:rPr>
              <w:t>响应</w:t>
            </w:r>
            <w:r>
              <w:t>时间（Ti）</w:t>
            </w:r>
          </w:p>
        </w:tc>
        <w:tc>
          <w:tcPr>
            <w:tcW w:w="1740" w:type="dxa"/>
            <w:gridSpan w:val="4"/>
            <w:vAlign w:val="center"/>
          </w:tcPr>
          <w:p>
            <w:pPr>
              <w:jc w:val="center"/>
            </w:pPr>
            <w: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1485" w:type="dxa"/>
            <w:gridSpan w:val="3"/>
            <w:vAlign w:val="center"/>
          </w:tcPr>
          <w:p>
            <w:pPr>
              <w:jc w:val="center"/>
            </w:pPr>
            <w:r>
              <w:t>1</w:t>
            </w:r>
          </w:p>
        </w:tc>
        <w:tc>
          <w:tcPr>
            <w:tcW w:w="5046" w:type="dxa"/>
            <w:gridSpan w:val="17"/>
            <w:vAlign w:val="center"/>
          </w:tcPr>
          <w:p>
            <w:pPr>
              <w:jc w:val="center"/>
            </w:pPr>
          </w:p>
        </w:tc>
        <w:tc>
          <w:tcPr>
            <w:tcW w:w="1740" w:type="dxa"/>
            <w:gridSpan w:val="4"/>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1485" w:type="dxa"/>
            <w:gridSpan w:val="3"/>
            <w:vAlign w:val="center"/>
          </w:tcPr>
          <w:p>
            <w:pPr>
              <w:jc w:val="center"/>
            </w:pPr>
            <w:r>
              <w:t>2</w:t>
            </w:r>
          </w:p>
        </w:tc>
        <w:tc>
          <w:tcPr>
            <w:tcW w:w="5046" w:type="dxa"/>
            <w:gridSpan w:val="17"/>
            <w:vAlign w:val="center"/>
          </w:tcPr>
          <w:p>
            <w:pPr>
              <w:jc w:val="center"/>
            </w:pPr>
          </w:p>
        </w:tc>
        <w:tc>
          <w:tcPr>
            <w:tcW w:w="1740" w:type="dxa"/>
            <w:gridSpan w:val="4"/>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1485" w:type="dxa"/>
            <w:gridSpan w:val="3"/>
            <w:vAlign w:val="center"/>
          </w:tcPr>
          <w:p>
            <w:pPr>
              <w:jc w:val="center"/>
            </w:pPr>
            <w:r>
              <w:t>3</w:t>
            </w:r>
          </w:p>
        </w:tc>
        <w:tc>
          <w:tcPr>
            <w:tcW w:w="5046" w:type="dxa"/>
            <w:gridSpan w:val="17"/>
            <w:vAlign w:val="center"/>
          </w:tcPr>
          <w:p>
            <w:pPr>
              <w:jc w:val="center"/>
            </w:pPr>
          </w:p>
        </w:tc>
        <w:tc>
          <w:tcPr>
            <w:tcW w:w="1740" w:type="dxa"/>
            <w:gridSpan w:val="4"/>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1485" w:type="dxa"/>
            <w:gridSpan w:val="3"/>
            <w:vAlign w:val="center"/>
          </w:tcPr>
          <w:p>
            <w:pPr>
              <w:jc w:val="center"/>
            </w:pPr>
            <w:r>
              <w:t>4</w:t>
            </w:r>
          </w:p>
        </w:tc>
        <w:tc>
          <w:tcPr>
            <w:tcW w:w="5046" w:type="dxa"/>
            <w:gridSpan w:val="17"/>
            <w:vAlign w:val="center"/>
          </w:tcPr>
          <w:p>
            <w:pPr>
              <w:jc w:val="center"/>
            </w:pPr>
          </w:p>
        </w:tc>
        <w:tc>
          <w:tcPr>
            <w:tcW w:w="1740" w:type="dxa"/>
            <w:gridSpan w:val="4"/>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1485" w:type="dxa"/>
            <w:gridSpan w:val="3"/>
            <w:vAlign w:val="center"/>
          </w:tcPr>
          <w:p>
            <w:pPr>
              <w:jc w:val="center"/>
            </w:pPr>
            <w:r>
              <w:t>5</w:t>
            </w:r>
          </w:p>
        </w:tc>
        <w:tc>
          <w:tcPr>
            <w:tcW w:w="5046" w:type="dxa"/>
            <w:gridSpan w:val="17"/>
            <w:vAlign w:val="center"/>
          </w:tcPr>
          <w:p>
            <w:pPr>
              <w:jc w:val="center"/>
            </w:pPr>
          </w:p>
        </w:tc>
        <w:tc>
          <w:tcPr>
            <w:tcW w:w="1740" w:type="dxa"/>
            <w:gridSpan w:val="4"/>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4" w:hRule="atLeast"/>
          <w:jc w:val="center"/>
        </w:trPr>
        <w:tc>
          <w:tcPr>
            <w:tcW w:w="4135" w:type="dxa"/>
            <w:gridSpan w:val="13"/>
            <w:tcBorders>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lang w:val="en-US"/>
              </w:rPr>
            </w:pPr>
            <w:r>
              <w:rPr>
                <w:rFonts w:hint="eastAsia" w:ascii="Times New Roman" w:hAnsi="Times New Roman" w:cs="Times New Roman"/>
                <w:lang w:val="en-US" w:eastAsia="zh-CN"/>
              </w:rPr>
              <w:t>校准</w:t>
            </w:r>
            <w:r>
              <w:rPr>
                <w:rFonts w:hint="eastAsia" w:cs="Times New Roman"/>
                <w:lang w:val="en-US" w:eastAsia="zh-CN"/>
              </w:rPr>
              <w:t>人</w:t>
            </w:r>
            <w:r>
              <w:rPr>
                <w:rFonts w:hint="eastAsia" w:ascii="Times New Roman" w:hAnsi="Times New Roman" w:cs="Times New Roman"/>
                <w:lang w:val="en-US" w:eastAsia="zh-CN"/>
              </w:rPr>
              <w:t>员</w:t>
            </w:r>
            <w:r>
              <w:rPr>
                <w:rFonts w:hint="eastAsia" w:cs="Times New Roman"/>
                <w:lang w:val="en-US" w:eastAsia="zh-CN"/>
              </w:rPr>
              <w:t>：</w:t>
            </w:r>
            <w:r>
              <w:rPr>
                <w:rFonts w:hint="eastAsia" w:cs="Times New Roman"/>
                <w:u w:val="single"/>
                <w:lang w:val="en-US" w:eastAsia="zh-CN"/>
              </w:rPr>
              <w:t xml:space="preserve">                  </w:t>
            </w:r>
          </w:p>
        </w:tc>
        <w:tc>
          <w:tcPr>
            <w:tcW w:w="4136" w:type="dxa"/>
            <w:gridSpan w:val="11"/>
            <w:tcBorders>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pPr>
            <w:r>
              <w:rPr>
                <w:rFonts w:hint="eastAsia" w:ascii="Times New Roman" w:hAnsi="Times New Roman" w:cs="Times New Roman"/>
                <w:lang w:val="en-US" w:eastAsia="zh-CN"/>
              </w:rPr>
              <w:t>核验</w:t>
            </w:r>
            <w:r>
              <w:rPr>
                <w:rFonts w:hint="eastAsia" w:cs="Times New Roman"/>
                <w:lang w:val="en-US" w:eastAsia="zh-CN"/>
              </w:rPr>
              <w:t>人</w:t>
            </w:r>
            <w:r>
              <w:rPr>
                <w:rFonts w:hint="eastAsia" w:ascii="Times New Roman" w:hAnsi="Times New Roman" w:cs="Times New Roman"/>
                <w:lang w:val="en-US" w:eastAsia="zh-CN"/>
              </w:rPr>
              <w:t>员</w:t>
            </w:r>
            <w:r>
              <w:rPr>
                <w:rFonts w:hint="eastAsia" w:cs="Times New Roman"/>
                <w:lang w:val="en-US" w:eastAsia="zh-CN"/>
              </w:rPr>
              <w:t>：</w:t>
            </w:r>
            <w:r>
              <w:rPr>
                <w:rFonts w:hint="eastAsia" w:cs="Times New Roman"/>
                <w:u w:val="single"/>
                <w:lang w:val="en-US" w:eastAsia="zh-CN"/>
              </w:rPr>
              <w:t xml:space="preserve">                      </w:t>
            </w:r>
          </w:p>
        </w:tc>
      </w:tr>
    </w:tbl>
    <w:p>
      <w:pPr>
        <w:pStyle w:val="8"/>
        <w:spacing w:before="156" w:beforeLines="50" w:after="0"/>
        <w:rPr>
          <w:rFonts w:ascii="Times New Roman" w:hAnsi="Times New Roman" w:cs="Times New Roman"/>
        </w:rPr>
      </w:pPr>
      <w:r>
        <w:rPr>
          <w:rFonts w:hint="eastAsia" w:ascii="Times New Roman" w:hAnsi="Times New Roman" w:cs="Times New Roman"/>
          <w:lang w:val="en-US" w:eastAsia="zh-CN"/>
        </w:rPr>
        <w:t xml:space="preserve">       </w:t>
      </w:r>
    </w:p>
    <w:p>
      <w:pPr>
        <w:rPr>
          <w:rFonts w:ascii="Times New Roman" w:hAnsi="Times New Roman" w:cs="Times New Roman"/>
        </w:rPr>
        <w:sectPr>
          <w:footerReference r:id="rId14" w:type="default"/>
          <w:footerReference r:id="rId15" w:type="even"/>
          <w:pgSz w:w="11906" w:h="16838"/>
          <w:pgMar w:top="1440" w:right="1800" w:bottom="1440" w:left="1800" w:header="907" w:footer="680" w:gutter="0"/>
          <w:pgBorders>
            <w:top w:val="none" w:sz="0" w:space="0"/>
            <w:left w:val="none" w:sz="0" w:space="0"/>
            <w:bottom w:val="none" w:sz="0" w:space="0"/>
            <w:right w:val="none" w:sz="0" w:space="0"/>
          </w:pgBorders>
          <w:pgNumType w:start="1"/>
          <w:cols w:space="425" w:num="1"/>
          <w:docGrid w:type="lines" w:linePitch="312" w:charSpace="0"/>
        </w:sectPr>
      </w:pPr>
    </w:p>
    <w:p>
      <w:pPr>
        <w:pStyle w:val="2"/>
        <w:spacing w:before="0" w:after="0" w:line="360" w:lineRule="auto"/>
        <w:rPr>
          <w:rFonts w:hint="eastAsia" w:eastAsia="黑体"/>
          <w:b w:val="0"/>
          <w:bCs w:val="0"/>
          <w:color w:val="000000"/>
          <w:sz w:val="28"/>
          <w:szCs w:val="28"/>
          <w:lang w:eastAsia="zh-CN"/>
        </w:rPr>
      </w:pPr>
      <w:bookmarkStart w:id="30" w:name="_Toc20086"/>
      <w:r>
        <w:rPr>
          <w:rFonts w:eastAsia="黑体"/>
          <w:b w:val="0"/>
          <w:bCs w:val="0"/>
          <w:color w:val="000000"/>
          <w:sz w:val="28"/>
          <w:szCs w:val="28"/>
        </w:rPr>
        <w:t>附录</w:t>
      </w:r>
      <w:r>
        <w:rPr>
          <w:rFonts w:hint="eastAsia" w:eastAsia="黑体"/>
          <w:b w:val="0"/>
          <w:bCs w:val="0"/>
          <w:color w:val="000000"/>
          <w:sz w:val="28"/>
          <w:szCs w:val="28"/>
          <w:lang w:val="en-US" w:eastAsia="zh-CN"/>
        </w:rPr>
        <w:t>B</w:t>
      </w:r>
      <w:bookmarkEnd w:id="30"/>
    </w:p>
    <w:p>
      <w:pPr>
        <w:pStyle w:val="34"/>
        <w:keepNext w:val="0"/>
        <w:keepLines w:val="0"/>
        <w:pageBreakBefore w:val="0"/>
        <w:widowControl w:val="0"/>
        <w:numPr>
          <w:ilvl w:val="0"/>
          <w:numId w:val="0"/>
        </w:numPr>
        <w:kinsoku/>
        <w:wordWrap/>
        <w:overflowPunct/>
        <w:topLinePunct w:val="0"/>
        <w:autoSpaceDE/>
        <w:autoSpaceDN/>
        <w:bidi w:val="0"/>
        <w:adjustRightInd/>
        <w:snapToGrid/>
        <w:spacing w:after="240" w:line="360" w:lineRule="auto"/>
        <w:textAlignment w:val="auto"/>
        <w:outlineLvl w:val="9"/>
        <w:rPr>
          <w:rFonts w:hint="eastAsia" w:ascii="Times New Roman"/>
          <w:kern w:val="2"/>
          <w:sz w:val="28"/>
          <w:szCs w:val="28"/>
          <w:lang w:val="en-US" w:eastAsia="zh-CN"/>
        </w:rPr>
      </w:pPr>
      <w:r>
        <w:rPr>
          <w:rFonts w:hint="eastAsia" w:ascii="Times New Roman"/>
          <w:kern w:val="2"/>
          <w:sz w:val="28"/>
          <w:szCs w:val="28"/>
          <w:lang w:val="en-US" w:eastAsia="zh-CN"/>
        </w:rPr>
        <w:t>校准证书（内页）参考格式</w:t>
      </w:r>
    </w:p>
    <w:tbl>
      <w:tblPr>
        <w:tblStyle w:val="32"/>
        <w:tblW w:w="8522"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23"/>
        <w:gridCol w:w="2510"/>
        <w:gridCol w:w="3633"/>
        <w:gridCol w:w="145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923" w:type="dxa"/>
            <w:vAlign w:val="center"/>
          </w:tcPr>
          <w:p>
            <w:pPr>
              <w:jc w:val="center"/>
              <w:rPr>
                <w:rFonts w:eastAsia="黑体"/>
                <w:szCs w:val="21"/>
              </w:rPr>
            </w:pPr>
            <w:r>
              <w:rPr>
                <w:rFonts w:eastAsia="黑体"/>
                <w:szCs w:val="21"/>
              </w:rPr>
              <w:t>序号</w:t>
            </w:r>
          </w:p>
        </w:tc>
        <w:tc>
          <w:tcPr>
            <w:tcW w:w="2510" w:type="dxa"/>
            <w:shd w:val="clear" w:color="auto" w:fill="auto"/>
            <w:vAlign w:val="center"/>
          </w:tcPr>
          <w:p>
            <w:pPr>
              <w:jc w:val="center"/>
              <w:rPr>
                <w:rFonts w:eastAsia="黑体"/>
                <w:szCs w:val="21"/>
              </w:rPr>
            </w:pPr>
            <w:r>
              <w:rPr>
                <w:rFonts w:hint="eastAsia" w:eastAsia="黑体"/>
                <w:szCs w:val="21"/>
                <w:lang w:val="en-US" w:eastAsia="zh-CN"/>
              </w:rPr>
              <w:t>校准</w:t>
            </w:r>
            <w:r>
              <w:rPr>
                <w:rFonts w:eastAsia="黑体"/>
                <w:szCs w:val="21"/>
              </w:rPr>
              <w:t>内容</w:t>
            </w:r>
          </w:p>
        </w:tc>
        <w:tc>
          <w:tcPr>
            <w:tcW w:w="3633" w:type="dxa"/>
            <w:vAlign w:val="center"/>
          </w:tcPr>
          <w:p>
            <w:pPr>
              <w:jc w:val="center"/>
              <w:rPr>
                <w:rFonts w:eastAsia="黑体"/>
                <w:szCs w:val="21"/>
              </w:rPr>
            </w:pPr>
            <w:r>
              <w:rPr>
                <w:rFonts w:hint="eastAsia" w:eastAsia="黑体"/>
                <w:szCs w:val="21"/>
                <w:lang w:eastAsia="zh-CN"/>
              </w:rPr>
              <w:t>校准</w:t>
            </w:r>
            <w:r>
              <w:rPr>
                <w:rFonts w:eastAsia="黑体"/>
                <w:szCs w:val="21"/>
              </w:rPr>
              <w:t>结果</w:t>
            </w:r>
          </w:p>
        </w:tc>
        <w:tc>
          <w:tcPr>
            <w:tcW w:w="1456" w:type="dxa"/>
            <w:vAlign w:val="center"/>
          </w:tcPr>
          <w:p>
            <w:pPr>
              <w:jc w:val="center"/>
              <w:rPr>
                <w:rFonts w:eastAsia="黑体"/>
                <w:szCs w:val="21"/>
              </w:rPr>
            </w:pPr>
            <w:r>
              <w:rPr>
                <w:rFonts w:eastAsia="黑体"/>
                <w:szCs w:val="21"/>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923" w:type="dxa"/>
            <w:vAlign w:val="center"/>
          </w:tcPr>
          <w:p>
            <w:pPr>
              <w:jc w:val="center"/>
              <w:rPr>
                <w:szCs w:val="21"/>
              </w:rPr>
            </w:pPr>
            <w:r>
              <w:rPr>
                <w:szCs w:val="21"/>
              </w:rPr>
              <w:t>1</w:t>
            </w:r>
          </w:p>
        </w:tc>
        <w:tc>
          <w:tcPr>
            <w:tcW w:w="2510" w:type="dxa"/>
            <w:shd w:val="clear" w:color="auto" w:fill="auto"/>
            <w:vAlign w:val="center"/>
          </w:tcPr>
          <w:p>
            <w:pPr>
              <w:jc w:val="center"/>
              <w:rPr>
                <w:szCs w:val="21"/>
              </w:rPr>
            </w:pPr>
            <w:r>
              <w:rPr>
                <w:szCs w:val="21"/>
              </w:rPr>
              <w:t>探测范围</w:t>
            </w:r>
          </w:p>
        </w:tc>
        <w:tc>
          <w:tcPr>
            <w:tcW w:w="3633" w:type="dxa"/>
            <w:tcBorders>
              <w:bottom w:val="single" w:color="auto" w:sz="4" w:space="0"/>
            </w:tcBorders>
            <w:vAlign w:val="center"/>
          </w:tcPr>
          <w:p>
            <w:pPr>
              <w:jc w:val="center"/>
              <w:rPr>
                <w:szCs w:val="21"/>
              </w:rPr>
            </w:pPr>
          </w:p>
        </w:tc>
        <w:tc>
          <w:tcPr>
            <w:tcW w:w="1456" w:type="dxa"/>
            <w:tcBorders>
              <w:bottom w:val="single" w:color="auto" w:sz="4" w:space="0"/>
            </w:tcBorders>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923" w:type="dxa"/>
            <w:vAlign w:val="center"/>
          </w:tcPr>
          <w:p>
            <w:pPr>
              <w:jc w:val="center"/>
              <w:rPr>
                <w:szCs w:val="21"/>
              </w:rPr>
            </w:pPr>
            <w:r>
              <w:rPr>
                <w:szCs w:val="21"/>
              </w:rPr>
              <w:t>2</w:t>
            </w:r>
          </w:p>
        </w:tc>
        <w:tc>
          <w:tcPr>
            <w:tcW w:w="2510" w:type="dxa"/>
            <w:shd w:val="clear" w:color="auto" w:fill="auto"/>
            <w:vAlign w:val="center"/>
          </w:tcPr>
          <w:p>
            <w:pPr>
              <w:jc w:val="center"/>
              <w:rPr>
                <w:szCs w:val="21"/>
              </w:rPr>
            </w:pPr>
            <w:r>
              <w:rPr>
                <w:szCs w:val="21"/>
              </w:rPr>
              <w:t>标准样件检出率</w:t>
            </w:r>
          </w:p>
        </w:tc>
        <w:tc>
          <w:tcPr>
            <w:tcW w:w="3633" w:type="dxa"/>
            <w:tcBorders>
              <w:top w:val="single" w:color="auto" w:sz="4" w:space="0"/>
              <w:bottom w:val="single" w:color="auto" w:sz="4" w:space="0"/>
            </w:tcBorders>
            <w:vAlign w:val="center"/>
          </w:tcPr>
          <w:p>
            <w:pPr>
              <w:jc w:val="center"/>
              <w:rPr>
                <w:szCs w:val="21"/>
              </w:rPr>
            </w:pPr>
          </w:p>
        </w:tc>
        <w:tc>
          <w:tcPr>
            <w:tcW w:w="1456" w:type="dxa"/>
            <w:tcBorders>
              <w:top w:val="single" w:color="auto" w:sz="4" w:space="0"/>
              <w:bottom w:val="single" w:color="auto" w:sz="4" w:space="0"/>
            </w:tcBorders>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923" w:type="dxa"/>
            <w:vAlign w:val="center"/>
          </w:tcPr>
          <w:p>
            <w:pPr>
              <w:jc w:val="center"/>
              <w:rPr>
                <w:szCs w:val="21"/>
              </w:rPr>
            </w:pPr>
            <w:r>
              <w:rPr>
                <w:szCs w:val="21"/>
              </w:rPr>
              <w:t>3</w:t>
            </w:r>
          </w:p>
        </w:tc>
        <w:tc>
          <w:tcPr>
            <w:tcW w:w="2510" w:type="dxa"/>
            <w:shd w:val="clear" w:color="auto" w:fill="auto"/>
            <w:vAlign w:val="center"/>
          </w:tcPr>
          <w:p>
            <w:pPr>
              <w:jc w:val="center"/>
              <w:rPr>
                <w:szCs w:val="21"/>
              </w:rPr>
            </w:pPr>
            <w:r>
              <w:rPr>
                <w:szCs w:val="21"/>
              </w:rPr>
              <w:t>测距示值误差</w:t>
            </w:r>
          </w:p>
        </w:tc>
        <w:tc>
          <w:tcPr>
            <w:tcW w:w="3633" w:type="dxa"/>
            <w:tcBorders>
              <w:bottom w:val="single" w:color="auto" w:sz="4" w:space="0"/>
            </w:tcBorders>
            <w:vAlign w:val="center"/>
          </w:tcPr>
          <w:p>
            <w:pPr>
              <w:jc w:val="center"/>
              <w:rPr>
                <w:szCs w:val="21"/>
              </w:rPr>
            </w:pPr>
          </w:p>
        </w:tc>
        <w:tc>
          <w:tcPr>
            <w:tcW w:w="1456" w:type="dxa"/>
            <w:tcBorders>
              <w:bottom w:val="single" w:color="auto" w:sz="4" w:space="0"/>
            </w:tcBorders>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923" w:type="dxa"/>
            <w:vAlign w:val="center"/>
          </w:tcPr>
          <w:p>
            <w:pPr>
              <w:jc w:val="center"/>
              <w:rPr>
                <w:szCs w:val="21"/>
              </w:rPr>
            </w:pPr>
            <w:r>
              <w:rPr>
                <w:szCs w:val="21"/>
              </w:rPr>
              <w:t>4</w:t>
            </w:r>
          </w:p>
        </w:tc>
        <w:tc>
          <w:tcPr>
            <w:tcW w:w="2510" w:type="dxa"/>
            <w:shd w:val="clear" w:color="auto" w:fill="auto"/>
            <w:vAlign w:val="center"/>
          </w:tcPr>
          <w:p>
            <w:pPr>
              <w:jc w:val="center"/>
              <w:rPr>
                <w:szCs w:val="21"/>
              </w:rPr>
            </w:pPr>
            <w:r>
              <w:rPr>
                <w:szCs w:val="21"/>
              </w:rPr>
              <w:t>测角示值误差</w:t>
            </w:r>
          </w:p>
        </w:tc>
        <w:tc>
          <w:tcPr>
            <w:tcW w:w="3633" w:type="dxa"/>
            <w:vAlign w:val="center"/>
          </w:tcPr>
          <w:p>
            <w:pPr>
              <w:jc w:val="center"/>
              <w:rPr>
                <w:szCs w:val="21"/>
              </w:rPr>
            </w:pPr>
          </w:p>
        </w:tc>
        <w:tc>
          <w:tcPr>
            <w:tcW w:w="1456" w:type="dxa"/>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27" w:hRule="atLeast"/>
          <w:jc w:val="center"/>
        </w:trPr>
        <w:tc>
          <w:tcPr>
            <w:tcW w:w="92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szCs w:val="21"/>
              </w:rPr>
            </w:pPr>
            <w:r>
              <w:rPr>
                <w:szCs w:val="21"/>
              </w:rPr>
              <w:t>5</w:t>
            </w:r>
          </w:p>
        </w:tc>
        <w:tc>
          <w:tcPr>
            <w:tcW w:w="2510" w:type="dxa"/>
            <w:shd w:val="clear" w:color="auto" w:fill="auto"/>
            <w:vAlign w:val="center"/>
          </w:tcPr>
          <w:p>
            <w:pPr>
              <w:pStyle w:val="54"/>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sz w:val="21"/>
                <w:szCs w:val="21"/>
              </w:rPr>
            </w:pPr>
            <w:r>
              <w:rPr>
                <w:rFonts w:hint="eastAsia"/>
                <w:sz w:val="21"/>
                <w:szCs w:val="21"/>
              </w:rPr>
              <w:t>响应</w:t>
            </w:r>
            <w:r>
              <w:rPr>
                <w:sz w:val="21"/>
                <w:szCs w:val="21"/>
              </w:rPr>
              <w:t>时间</w:t>
            </w:r>
          </w:p>
        </w:tc>
        <w:tc>
          <w:tcPr>
            <w:tcW w:w="3633" w:type="dxa"/>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szCs w:val="21"/>
              </w:rPr>
            </w:pPr>
          </w:p>
        </w:tc>
        <w:tc>
          <w:tcPr>
            <w:tcW w:w="1456"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szCs w:val="21"/>
              </w:rPr>
            </w:pPr>
          </w:p>
        </w:tc>
      </w:tr>
    </w:tbl>
    <w:p>
      <w:pPr>
        <w:widowControl/>
        <w:jc w:val="left"/>
        <w:rPr>
          <w:color w:val="000000"/>
          <w:sz w:val="24"/>
        </w:rPr>
      </w:pPr>
      <w:r>
        <w:rPr>
          <w:color w:val="000000"/>
          <w:sz w:val="24"/>
        </w:rPr>
        <w:br w:type="page"/>
      </w:r>
      <w:bookmarkStart w:id="39" w:name="_GoBack"/>
      <w:bookmarkEnd w:id="39"/>
    </w:p>
    <w:p>
      <w:pPr>
        <w:pStyle w:val="2"/>
        <w:spacing w:before="0" w:after="0" w:line="360" w:lineRule="auto"/>
        <w:rPr>
          <w:rFonts w:hint="eastAsia" w:eastAsia="黑体"/>
          <w:b w:val="0"/>
          <w:bCs w:val="0"/>
          <w:color w:val="000000"/>
          <w:sz w:val="28"/>
          <w:szCs w:val="28"/>
          <w:lang w:eastAsia="zh-CN"/>
        </w:rPr>
      </w:pPr>
      <w:bookmarkStart w:id="31" w:name="_Toc101789267"/>
      <w:bookmarkStart w:id="32" w:name="_Toc24797"/>
      <w:r>
        <w:rPr>
          <w:rFonts w:hint="eastAsia" w:eastAsia="黑体"/>
          <w:b w:val="0"/>
          <w:bCs w:val="0"/>
          <w:color w:val="000000"/>
          <w:sz w:val="28"/>
          <w:szCs w:val="28"/>
        </w:rPr>
        <w:t>附录</w:t>
      </w:r>
      <w:bookmarkEnd w:id="31"/>
      <w:r>
        <w:rPr>
          <w:rFonts w:hint="eastAsia" w:eastAsia="黑体"/>
          <w:b w:val="0"/>
          <w:bCs w:val="0"/>
          <w:color w:val="000000"/>
          <w:sz w:val="28"/>
          <w:szCs w:val="28"/>
          <w:lang w:val="en-US" w:eastAsia="zh-CN"/>
        </w:rPr>
        <w:t>C</w:t>
      </w:r>
      <w:bookmarkEnd w:id="32"/>
    </w:p>
    <w:p>
      <w:pPr>
        <w:pStyle w:val="34"/>
        <w:widowControl w:val="0"/>
        <w:numPr>
          <w:ilvl w:val="0"/>
          <w:numId w:val="0"/>
        </w:numPr>
        <w:spacing w:before="156" w:beforeLines="50" w:line="360" w:lineRule="auto"/>
        <w:rPr>
          <w:rFonts w:hAnsi="宋体"/>
          <w:kern w:val="2"/>
          <w:sz w:val="28"/>
          <w:szCs w:val="28"/>
        </w:rPr>
      </w:pPr>
      <w:r>
        <w:rPr>
          <w:rFonts w:hint="eastAsia" w:hAnsi="宋体"/>
          <w:kern w:val="2"/>
          <w:sz w:val="28"/>
          <w:szCs w:val="28"/>
        </w:rPr>
        <w:t>机场道面外来物探测设备</w:t>
      </w:r>
      <w:bookmarkStart w:id="33" w:name="_Hlk130830388"/>
      <w:r>
        <w:rPr>
          <w:rFonts w:hint="eastAsia" w:hAnsi="宋体"/>
          <w:kern w:val="2"/>
          <w:sz w:val="28"/>
          <w:szCs w:val="28"/>
        </w:rPr>
        <w:t>测距示值误差</w:t>
      </w:r>
      <w:bookmarkEnd w:id="33"/>
      <w:r>
        <w:rPr>
          <w:rFonts w:hAnsi="宋体"/>
          <w:kern w:val="2"/>
          <w:sz w:val="28"/>
          <w:szCs w:val="28"/>
        </w:rPr>
        <w:t>结果测量不确定度评定示例</w:t>
      </w:r>
    </w:p>
    <w:p>
      <w:pPr>
        <w:spacing w:line="480" w:lineRule="auto"/>
        <w:rPr>
          <w:sz w:val="24"/>
        </w:rPr>
      </w:pPr>
      <w:r>
        <w:rPr>
          <w:sz w:val="24"/>
        </w:rPr>
        <w:t>C.1</w:t>
      </w:r>
      <w:r>
        <w:rPr>
          <w:sz w:val="24"/>
        </w:rPr>
        <w:tab/>
      </w:r>
      <w:r>
        <w:rPr>
          <w:sz w:val="24"/>
        </w:rPr>
        <w:t>测量原理</w:t>
      </w:r>
    </w:p>
    <w:p>
      <w:pPr>
        <w:spacing w:line="520" w:lineRule="exact"/>
        <w:ind w:firstLine="480" w:firstLineChars="200"/>
        <w:rPr>
          <w:sz w:val="24"/>
        </w:rPr>
      </w:pPr>
      <w:r>
        <w:rPr>
          <w:sz w:val="24"/>
        </w:rPr>
        <w:t>选择某款机场道面外来物探测设备在30m测距校准点上进行模拟测距误差的测量不确定度分析与评定。通过参考设备生成需要校准的30m距离点，然后通过机场道面外来物探测设备进行测量。将机场道面外来物探测设备得到的距离测量值与参考设备生成的标准距离值进行比较，从而计算出本次校准结果的测距示值误差。</w:t>
      </w:r>
    </w:p>
    <w:p>
      <w:pPr>
        <w:spacing w:line="480" w:lineRule="auto"/>
        <w:rPr>
          <w:sz w:val="24"/>
        </w:rPr>
      </w:pPr>
      <w:bookmarkStart w:id="34" w:name="_Toc330722633"/>
      <w:r>
        <w:rPr>
          <w:sz w:val="24"/>
        </w:rPr>
        <w:t>C.2</w:t>
      </w:r>
      <w:r>
        <w:rPr>
          <w:sz w:val="24"/>
        </w:rPr>
        <w:tab/>
      </w:r>
      <w:r>
        <w:rPr>
          <w:sz w:val="24"/>
        </w:rPr>
        <w:t>测量模型</w:t>
      </w:r>
      <w:bookmarkEnd w:id="34"/>
    </w:p>
    <w:p>
      <w:pPr>
        <w:spacing w:line="520" w:lineRule="exact"/>
        <w:ind w:firstLine="480" w:firstLineChars="200"/>
        <w:rPr>
          <w:sz w:val="24"/>
        </w:rPr>
      </w:pPr>
      <w:r>
        <w:rPr>
          <w:sz w:val="24"/>
        </w:rPr>
        <w:t>根据上述测距示值误差的测量原理，测距示值误差</w:t>
      </w:r>
      <m:oMath>
        <m:r>
          <w:rPr>
            <w:rFonts w:ascii="Cambria Math" w:hAnsi="Cambria Math"/>
            <w:sz w:val="24"/>
          </w:rPr>
          <m:t>Δd</m:t>
        </m:r>
      </m:oMath>
      <w:r>
        <w:rPr>
          <w:sz w:val="24"/>
        </w:rPr>
        <w:t>可以表示为</w:t>
      </w:r>
    </w:p>
    <w:p>
      <w:pPr>
        <w:pStyle w:val="55"/>
        <w:wordWrap w:val="0"/>
      </w:pPr>
      <w:r>
        <w:tab/>
      </w:r>
      <m:oMath>
        <m:r>
          <w:rPr>
            <w:rFonts w:ascii="Cambria Math" w:hAnsi="Cambria Math"/>
          </w:rPr>
          <m:t>Δd=d−</m:t>
        </m:r>
        <m:sSub>
          <m:sSubPr>
            <m:ctrlPr>
              <w:rPr>
                <w:rFonts w:ascii="Cambria Math" w:hAnsi="Cambria Math"/>
              </w:rPr>
            </m:ctrlPr>
          </m:sSubPr>
          <m:e>
            <m:r>
              <w:rPr>
                <w:rFonts w:ascii="Cambria Math" w:hAnsi="Cambria Math"/>
              </w:rPr>
              <m:t>d</m:t>
            </m:r>
            <m:ctrlPr>
              <w:rPr>
                <w:rFonts w:ascii="Cambria Math" w:hAnsi="Cambria Math"/>
              </w:rPr>
            </m:ctrlPr>
          </m:e>
          <m:sub>
            <m:r>
              <w:rPr>
                <w:rFonts w:ascii="Cambria Math" w:hAnsi="Cambria Math"/>
              </w:rPr>
              <m:t>0</m:t>
            </m:r>
            <m:ctrlPr>
              <w:rPr>
                <w:rFonts w:ascii="Cambria Math" w:hAnsi="Cambria Math"/>
              </w:rPr>
            </m:ctrlPr>
          </m:sub>
        </m:sSub>
      </m:oMath>
      <w:r>
        <w:t xml:space="preserve">    </w:t>
      </w:r>
      <w:r>
        <w:tab/>
      </w:r>
      <w:r>
        <w:t xml:space="preserve">   (C</w:t>
      </w:r>
      <w:r>
        <w:rPr>
          <w:rFonts w:hint="eastAsia"/>
          <w:lang w:val="en-US" w:eastAsia="zh-CN"/>
        </w:rPr>
        <w:t>.</w:t>
      </w:r>
      <w:r>
        <w:t>1)</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9"/>
        <w:rPr>
          <w:sz w:val="24"/>
        </w:rPr>
      </w:pPr>
      <w:r>
        <w:rPr>
          <w:sz w:val="24"/>
        </w:rPr>
        <w:t>式中：</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9"/>
        <w:rPr>
          <w:sz w:val="24"/>
        </w:rPr>
      </w:pPr>
      <m:oMath>
        <m:r>
          <w:rPr>
            <w:rFonts w:ascii="Cambria Math" w:hAnsi="Cambria Math"/>
            <w:sz w:val="24"/>
          </w:rPr>
          <m:t>Δd</m:t>
        </m:r>
      </m:oMath>
      <w:r>
        <w:rPr>
          <w:sz w:val="24"/>
        </w:rPr>
        <w:t>——本次测量结果的测距示值误差，m；</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9"/>
        <w:rPr>
          <w:sz w:val="24"/>
        </w:rPr>
      </w:pPr>
      <m:oMath>
        <m:r>
          <w:rPr>
            <w:rFonts w:ascii="Cambria Math" w:hAnsi="Cambria Math"/>
            <w:sz w:val="24"/>
          </w:rPr>
          <m:t>d</m:t>
        </m:r>
      </m:oMath>
      <w:r>
        <w:rPr>
          <w:sz w:val="24"/>
        </w:rPr>
        <w:t>——机场道面外来物探测设备得到的距离测量值，m；</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9"/>
        <w:rPr>
          <w:sz w:val="24"/>
        </w:rPr>
      </w:pPr>
      <m:oMath>
        <m:sSub>
          <m:sSubPr>
            <m:ctrlPr>
              <w:rPr>
                <w:rFonts w:ascii="Cambria Math" w:hAnsi="Cambria Math"/>
                <w:sz w:val="24"/>
              </w:rPr>
            </m:ctrlPr>
          </m:sSubPr>
          <m:e>
            <m:r>
              <w:rPr>
                <w:rFonts w:ascii="Cambria Math" w:hAnsi="Cambria Math"/>
                <w:sz w:val="24"/>
              </w:rPr>
              <m:t>d</m:t>
            </m:r>
            <m:ctrlPr>
              <w:rPr>
                <w:rFonts w:ascii="Cambria Math" w:hAnsi="Cambria Math"/>
                <w:sz w:val="24"/>
              </w:rPr>
            </m:ctrlPr>
          </m:e>
          <m:sub>
            <m:r>
              <w:rPr>
                <w:rFonts w:ascii="Cambria Math" w:hAnsi="Cambria Math"/>
                <w:sz w:val="24"/>
              </w:rPr>
              <m:t>0</m:t>
            </m:r>
            <m:ctrlPr>
              <w:rPr>
                <w:rFonts w:ascii="Cambria Math" w:hAnsi="Cambria Math"/>
                <w:sz w:val="24"/>
              </w:rPr>
            </m:ctrlPr>
          </m:sub>
        </m:sSub>
      </m:oMath>
      <w:r>
        <w:rPr>
          <w:sz w:val="24"/>
        </w:rPr>
        <w:t>——参考设备得到的标准距离值，m。</w:t>
      </w:r>
    </w:p>
    <w:p>
      <w:pPr>
        <w:spacing w:line="520" w:lineRule="exact"/>
        <w:ind w:firstLine="480" w:firstLineChars="200"/>
        <w:rPr>
          <w:sz w:val="24"/>
        </w:rPr>
      </w:pPr>
      <w:r>
        <w:rPr>
          <w:sz w:val="24"/>
        </w:rPr>
        <w:t>根据式(C</w:t>
      </w:r>
      <w:r>
        <w:rPr>
          <w:rFonts w:hint="eastAsia"/>
          <w:sz w:val="24"/>
          <w:lang w:val="en-US" w:eastAsia="zh-CN"/>
        </w:rPr>
        <w:t>.</w:t>
      </w:r>
      <w:r>
        <w:rPr>
          <w:sz w:val="24"/>
        </w:rPr>
        <w:t>1)给出的</w:t>
      </w:r>
      <w:r>
        <w:rPr>
          <w:rFonts w:hint="eastAsia"/>
          <w:sz w:val="24"/>
          <w:lang w:eastAsia="zh-CN"/>
        </w:rPr>
        <w:t>测量模型</w:t>
      </w:r>
      <w:r>
        <w:rPr>
          <w:sz w:val="24"/>
        </w:rPr>
        <w:t>，测距示值误差</w:t>
      </w:r>
      <m:oMath>
        <m:r>
          <w:rPr>
            <w:rFonts w:ascii="Cambria Math" w:hAnsi="Cambria Math"/>
            <w:sz w:val="24"/>
          </w:rPr>
          <m:t>Δd</m:t>
        </m:r>
      </m:oMath>
      <w:r>
        <w:rPr>
          <w:sz w:val="24"/>
        </w:rPr>
        <w:t>的合成方差可表示为</w:t>
      </w:r>
    </w:p>
    <w:p>
      <w:pPr>
        <w:pStyle w:val="55"/>
      </w:pPr>
      <w:r>
        <w:tab/>
      </w:r>
      <m:oMath>
        <m:sSubSup>
          <m:sSubSupPr>
            <m:ctrlPr>
              <w:rPr>
                <w:rFonts w:ascii="Cambria Math" w:hAnsi="Cambria Math"/>
              </w:rPr>
            </m:ctrlPr>
          </m:sSubSupPr>
          <m:e>
            <m:r>
              <w:rPr>
                <w:rFonts w:ascii="Cambria Math" w:hAnsi="Cambria Math"/>
              </w:rPr>
              <m:t>u</m:t>
            </m:r>
            <m:ctrlPr>
              <w:rPr>
                <w:rFonts w:ascii="Cambria Math" w:hAnsi="Cambria Math"/>
              </w:rPr>
            </m:ctrlPr>
          </m:e>
          <m:sub>
            <m:r>
              <m:rPr>
                <m:nor/>
                <m:sty m:val="p"/>
              </m:rPr>
              <w:rPr>
                <w:rFonts w:ascii="Cambria Math" w:hAnsi="Cambria Math"/>
                <w:b w:val="0"/>
                <w:i w:val="0"/>
              </w:rPr>
              <m:t>d</m:t>
            </m:r>
            <m:ctrlPr>
              <w:rPr>
                <w:rFonts w:ascii="Cambria Math" w:hAnsi="Cambria Math"/>
              </w:rPr>
            </m:ctrlPr>
          </m:sub>
          <m:sup>
            <m:r>
              <m:rPr>
                <m:nor/>
                <m:sty m:val="p"/>
              </m:rPr>
              <w:rPr>
                <w:rFonts w:ascii="Cambria Math" w:hAnsi="Cambria Math"/>
                <w:b w:val="0"/>
                <w:i w:val="0"/>
              </w:rPr>
              <m:t>2</m:t>
            </m:r>
            <m:ctrlPr>
              <w:rPr>
                <w:rFonts w:ascii="Cambria Math" w:hAnsi="Cambria Math"/>
              </w:rPr>
            </m:ctrlPr>
          </m:sup>
        </m:sSubSup>
        <m:d>
          <m:dPr>
            <m:ctrlPr>
              <w:rPr>
                <w:rFonts w:ascii="Cambria Math" w:hAnsi="Cambria Math"/>
              </w:rPr>
            </m:ctrlPr>
          </m:dPr>
          <m:e>
            <m:r>
              <w:rPr>
                <w:rFonts w:ascii="Cambria Math" w:hAnsi="Cambria Math"/>
              </w:rPr>
              <m:t>Δd</m:t>
            </m:r>
            <m:ctrlPr>
              <w:rPr>
                <w:rFonts w:ascii="Cambria Math" w:hAnsi="Cambria Math"/>
              </w:rPr>
            </m:ctrlPr>
          </m:e>
        </m:d>
        <m:r>
          <w:rPr>
            <w:rFonts w:ascii="Cambria Math" w:hAnsi="Cambria Math"/>
          </w:rPr>
          <m:t>=</m:t>
        </m:r>
        <m:sSubSup>
          <m:sSubSupPr>
            <m:ctrlPr>
              <w:rPr>
                <w:rFonts w:ascii="Cambria Math" w:hAnsi="Cambria Math"/>
              </w:rPr>
            </m:ctrlPr>
          </m:sSubSupPr>
          <m:e>
            <m:r>
              <w:rPr>
                <w:rFonts w:ascii="Cambria Math" w:hAnsi="Cambria Math"/>
              </w:rPr>
              <m:t>c</m:t>
            </m:r>
            <m:ctrlPr>
              <w:rPr>
                <w:rFonts w:ascii="Cambria Math" w:hAnsi="Cambria Math"/>
              </w:rPr>
            </m:ctrlPr>
          </m:e>
          <m:sub>
            <m:r>
              <w:rPr>
                <w:rFonts w:ascii="Cambria Math" w:hAnsi="Cambria Math"/>
              </w:rPr>
              <m:t>1</m:t>
            </m:r>
            <m:ctrlPr>
              <w:rPr>
                <w:rFonts w:ascii="Cambria Math" w:hAnsi="Cambria Math"/>
              </w:rPr>
            </m:ctrlPr>
          </m:sub>
          <m:sup>
            <m:r>
              <w:rPr>
                <w:rFonts w:ascii="Cambria Math" w:hAnsi="Cambria Math"/>
              </w:rPr>
              <m:t>2</m:t>
            </m:r>
            <m:ctrlPr>
              <w:rPr>
                <w:rFonts w:ascii="Cambria Math" w:hAnsi="Cambria Math"/>
              </w:rPr>
            </m:ctrlPr>
          </m:sup>
        </m:sSubSup>
        <m:r>
          <w:rPr>
            <w:rFonts w:ascii="Cambria Math" w:hAnsi="Cambria Math"/>
          </w:rPr>
          <m:t>⋅</m:t>
        </m:r>
        <m:sSup>
          <m:sSupPr>
            <m:ctrlPr>
              <w:rPr>
                <w:rFonts w:ascii="Cambria Math" w:hAnsi="Cambria Math"/>
              </w:rPr>
            </m:ctrlPr>
          </m:sSupPr>
          <m:e>
            <m:r>
              <w:rPr>
                <w:rFonts w:ascii="Cambria Math" w:hAnsi="Cambria Math"/>
              </w:rPr>
              <m:t>u</m:t>
            </m:r>
            <m:ctrlPr>
              <w:rPr>
                <w:rFonts w:ascii="Cambria Math" w:hAnsi="Cambria Math"/>
              </w:rPr>
            </m:ctrlPr>
          </m:e>
          <m:sup>
            <m:r>
              <w:rPr>
                <w:rFonts w:ascii="Cambria Math" w:hAnsi="Cambria Math"/>
              </w:rPr>
              <m:t>2</m:t>
            </m:r>
            <m:ctrlPr>
              <w:rPr>
                <w:rFonts w:ascii="Cambria Math" w:hAnsi="Cambria Math"/>
              </w:rPr>
            </m:ctrlPr>
          </m:sup>
        </m:sSup>
        <m:d>
          <m:dPr>
            <m:ctrlPr>
              <w:rPr>
                <w:rFonts w:ascii="Cambria Math" w:hAnsi="Cambria Math"/>
              </w:rPr>
            </m:ctrlPr>
          </m:dPr>
          <m:e>
            <m:r>
              <w:rPr>
                <w:rFonts w:ascii="Cambria Math" w:hAnsi="Cambria Math"/>
              </w:rPr>
              <m:t>d</m:t>
            </m:r>
            <m:ctrlPr>
              <w:rPr>
                <w:rFonts w:ascii="Cambria Math" w:hAnsi="Cambria Math"/>
              </w:rPr>
            </m:ctrlPr>
          </m:e>
        </m:d>
        <m:r>
          <w:rPr>
            <w:rFonts w:ascii="Cambria Math" w:hAnsi="Cambria Math"/>
          </w:rPr>
          <m:t>+</m:t>
        </m:r>
        <m:sSubSup>
          <m:sSubSupPr>
            <m:ctrlPr>
              <w:rPr>
                <w:rFonts w:ascii="Cambria Math" w:hAnsi="Cambria Math"/>
              </w:rPr>
            </m:ctrlPr>
          </m:sSubSupPr>
          <m:e>
            <m:r>
              <w:rPr>
                <w:rFonts w:ascii="Cambria Math" w:hAnsi="Cambria Math"/>
              </w:rPr>
              <m:t>c</m:t>
            </m:r>
            <m:ctrlPr>
              <w:rPr>
                <w:rFonts w:ascii="Cambria Math" w:hAnsi="Cambria Math"/>
              </w:rPr>
            </m:ctrlPr>
          </m:e>
          <m:sub>
            <m:r>
              <w:rPr>
                <w:rFonts w:ascii="Cambria Math" w:hAnsi="Cambria Math"/>
              </w:rPr>
              <m:t>2</m:t>
            </m:r>
            <m:ctrlPr>
              <w:rPr>
                <w:rFonts w:ascii="Cambria Math" w:hAnsi="Cambria Math"/>
              </w:rPr>
            </m:ctrlPr>
          </m:sub>
          <m:sup>
            <m:r>
              <w:rPr>
                <w:rFonts w:ascii="Cambria Math" w:hAnsi="Cambria Math"/>
              </w:rPr>
              <m:t>2</m:t>
            </m:r>
            <m:ctrlPr>
              <w:rPr>
                <w:rFonts w:ascii="Cambria Math" w:hAnsi="Cambria Math"/>
              </w:rPr>
            </m:ctrlPr>
          </m:sup>
        </m:sSubSup>
        <m:r>
          <w:rPr>
            <w:rFonts w:ascii="Cambria Math" w:hAnsi="Cambria Math"/>
          </w:rPr>
          <m:t>⋅</m:t>
        </m:r>
        <m:sSup>
          <m:sSupPr>
            <m:ctrlPr>
              <w:rPr>
                <w:rFonts w:ascii="Cambria Math" w:hAnsi="Cambria Math"/>
              </w:rPr>
            </m:ctrlPr>
          </m:sSupPr>
          <m:e>
            <m:r>
              <w:rPr>
                <w:rFonts w:ascii="Cambria Math" w:hAnsi="Cambria Math"/>
              </w:rPr>
              <m:t>u</m:t>
            </m:r>
            <m:ctrlPr>
              <w:rPr>
                <w:rFonts w:ascii="Cambria Math" w:hAnsi="Cambria Math"/>
              </w:rPr>
            </m:ctrlPr>
          </m:e>
          <m:sup>
            <m:r>
              <w:rPr>
                <w:rFonts w:ascii="Cambria Math" w:hAnsi="Cambria Math"/>
              </w:rPr>
              <m:t>2</m:t>
            </m:r>
            <m:ctrlPr>
              <w:rPr>
                <w:rFonts w:ascii="Cambria Math" w:hAnsi="Cambria Math"/>
              </w:rPr>
            </m:ctrlPr>
          </m:sup>
        </m:sSup>
        <m:d>
          <m:dPr>
            <m:ctrlPr>
              <w:rPr>
                <w:rFonts w:ascii="Cambria Math" w:hAnsi="Cambria Math"/>
              </w:rPr>
            </m:ctrlPr>
          </m:dPr>
          <m:e>
            <m:sSub>
              <m:sSubPr>
                <m:ctrlPr>
                  <w:rPr>
                    <w:rFonts w:ascii="Cambria Math" w:hAnsi="Cambria Math"/>
                  </w:rPr>
                </m:ctrlPr>
              </m:sSubPr>
              <m:e>
                <m:r>
                  <w:rPr>
                    <w:rFonts w:ascii="Cambria Math" w:hAnsi="Cambria Math"/>
                  </w:rPr>
                  <m:t>d</m:t>
                </m:r>
                <m:ctrlPr>
                  <w:rPr>
                    <w:rFonts w:ascii="Cambria Math" w:hAnsi="Cambria Math"/>
                  </w:rPr>
                </m:ctrlPr>
              </m:e>
              <m:sub>
                <m:r>
                  <w:rPr>
                    <w:rFonts w:ascii="Cambria Math" w:hAnsi="Cambria Math"/>
                  </w:rPr>
                  <m:t>0</m:t>
                </m:r>
                <m:ctrlPr>
                  <w:rPr>
                    <w:rFonts w:ascii="Cambria Math" w:hAnsi="Cambria Math"/>
                  </w:rPr>
                </m:ctrlPr>
              </m:sub>
            </m:sSub>
            <m:ctrlPr>
              <w:rPr>
                <w:rFonts w:ascii="Cambria Math" w:hAnsi="Cambria Math"/>
              </w:rPr>
            </m:ctrlPr>
          </m:e>
        </m:d>
      </m:oMath>
      <w:r>
        <w:tab/>
      </w:r>
      <w:r>
        <w:t>(C</w:t>
      </w:r>
      <w:r>
        <w:rPr>
          <w:rFonts w:hint="eastAsia"/>
          <w:lang w:val="en-US" w:eastAsia="zh-CN"/>
        </w:rPr>
        <w:t>.</w:t>
      </w:r>
      <w:r>
        <w:t>2)</w:t>
      </w:r>
    </w:p>
    <w:p>
      <w:pPr>
        <w:spacing w:line="520" w:lineRule="exact"/>
        <w:rPr>
          <w:sz w:val="24"/>
        </w:rPr>
      </w:pPr>
      <w:r>
        <w:rPr>
          <w:sz w:val="24"/>
        </w:rPr>
        <w:t>其中，灵敏度系数</w:t>
      </w:r>
    </w:p>
    <w:p>
      <w:pPr>
        <w:pStyle w:val="55"/>
      </w:pPr>
      <w:r>
        <w:tab/>
      </w:r>
      <m:oMath>
        <m:m>
          <m:mPr>
            <m:mcs>
              <m:mc>
                <m:mcPr>
                  <m:count m:val="2"/>
                  <m:mcJc m:val="center"/>
                </m:mcPr>
              </m:mc>
            </m:mcs>
            <m:plcHide m:val="1"/>
            <m:ctrlPr>
              <w:rPr>
                <w:rFonts w:ascii="Cambria Math" w:hAnsi="Cambria Math"/>
              </w:rPr>
            </m:ctrlPr>
          </m:mPr>
          <m:mr>
            <m:e>
              <m:sSub>
                <m:sSubPr>
                  <m:ctrlPr>
                    <w:rPr>
                      <w:rFonts w:ascii="Cambria Math" w:hAnsi="Cambria Math"/>
                    </w:rPr>
                  </m:ctrlPr>
                </m:sSubPr>
                <m:e>
                  <m:r>
                    <w:rPr>
                      <w:rFonts w:ascii="Cambria Math" w:hAnsi="Cambria Math"/>
                    </w:rPr>
                    <m:t>c</m:t>
                  </m:r>
                  <m:ctrlPr>
                    <w:rPr>
                      <w:rFonts w:ascii="Cambria Math" w:hAnsi="Cambria Math"/>
                    </w:rPr>
                  </m:ctrlPr>
                </m:e>
                <m:sub>
                  <m:r>
                    <w:rPr>
                      <w:rFonts w:ascii="Cambria Math" w:hAnsi="Cambria Math"/>
                    </w:rPr>
                    <m:t>1</m:t>
                  </m:r>
                  <m:ctrlPr>
                    <w:rPr>
                      <w:rFonts w:ascii="Cambria Math" w:hAnsi="Cambria Math"/>
                    </w:rPr>
                  </m:ctrlPr>
                </m:sub>
              </m:sSub>
              <m:r>
                <w:rPr>
                  <w:rFonts w:ascii="Cambria Math" w:hAnsi="Cambria Math"/>
                </w:rPr>
                <m:t>=</m:t>
              </m:r>
              <m:f>
                <m:fPr>
                  <m:ctrlPr>
                    <w:rPr>
                      <w:rFonts w:ascii="Cambria Math" w:hAnsi="Cambria Math"/>
                    </w:rPr>
                  </m:ctrlPr>
                </m:fPr>
                <m:num>
                  <m:r>
                    <w:rPr>
                      <w:rFonts w:ascii="Cambria Math" w:hAnsi="Cambria Math"/>
                    </w:rPr>
                    <m:t>∂Δd</m:t>
                  </m:r>
                  <m:ctrlPr>
                    <w:rPr>
                      <w:rFonts w:ascii="Cambria Math" w:hAnsi="Cambria Math"/>
                    </w:rPr>
                  </m:ctrlPr>
                </m:num>
                <m:den>
                  <m:r>
                    <w:rPr>
                      <w:rFonts w:ascii="Cambria Math" w:hAnsi="Cambria Math"/>
                    </w:rPr>
                    <m:t>∂d</m:t>
                  </m:r>
                  <m:ctrlPr>
                    <w:rPr>
                      <w:rFonts w:ascii="Cambria Math" w:hAnsi="Cambria Math"/>
                    </w:rPr>
                  </m:ctrlPr>
                </m:den>
              </m:f>
              <m:r>
                <w:rPr>
                  <w:rFonts w:ascii="Cambria Math" w:hAnsi="Cambria Math"/>
                </w:rPr>
                <m:t>=1</m:t>
              </m:r>
              <m:ctrlPr>
                <w:rPr>
                  <w:rFonts w:ascii="Cambria Math" w:hAnsi="Cambria Math"/>
                </w:rPr>
              </m:ctrlPr>
            </m:e>
            <m:e>
              <m:sSub>
                <m:sSubPr>
                  <m:ctrlPr>
                    <w:rPr>
                      <w:rFonts w:ascii="Cambria Math" w:hAnsi="Cambria Math"/>
                    </w:rPr>
                  </m:ctrlPr>
                </m:sSubPr>
                <m:e>
                  <m:r>
                    <w:rPr>
                      <w:rFonts w:ascii="Cambria Math" w:hAnsi="Cambria Math"/>
                    </w:rPr>
                    <m:t>c</m:t>
                  </m:r>
                  <m:ctrlPr>
                    <w:rPr>
                      <w:rFonts w:ascii="Cambria Math" w:hAnsi="Cambria Math"/>
                    </w:rPr>
                  </m:ctrlPr>
                </m:e>
                <m:sub>
                  <m:r>
                    <w:rPr>
                      <w:rFonts w:ascii="Cambria Math" w:hAnsi="Cambria Math"/>
                    </w:rPr>
                    <m:t>2</m:t>
                  </m:r>
                  <m:ctrlPr>
                    <w:rPr>
                      <w:rFonts w:ascii="Cambria Math" w:hAnsi="Cambria Math"/>
                    </w:rPr>
                  </m:ctrlPr>
                </m:sub>
              </m:sSub>
              <m:r>
                <w:rPr>
                  <w:rFonts w:ascii="Cambria Math" w:hAnsi="Cambria Math"/>
                </w:rPr>
                <m:t>=</m:t>
              </m:r>
              <m:f>
                <m:fPr>
                  <m:ctrlPr>
                    <w:rPr>
                      <w:rFonts w:ascii="Cambria Math" w:hAnsi="Cambria Math"/>
                    </w:rPr>
                  </m:ctrlPr>
                </m:fPr>
                <m:num>
                  <m:r>
                    <w:rPr>
                      <w:rFonts w:ascii="Cambria Math" w:hAnsi="Cambria Math"/>
                    </w:rPr>
                    <m:t>∂Δd</m:t>
                  </m:r>
                  <m:ctrlPr>
                    <w:rPr>
                      <w:rFonts w:ascii="Cambria Math" w:hAnsi="Cambria Math"/>
                    </w:rPr>
                  </m:ctrlPr>
                </m:num>
                <m:den>
                  <m:r>
                    <w:rPr>
                      <w:rFonts w:ascii="Cambria Math" w:hAnsi="Cambria Math"/>
                    </w:rPr>
                    <m:t>∂</m:t>
                  </m:r>
                  <m:sSub>
                    <m:sSubPr>
                      <m:ctrlPr>
                        <w:rPr>
                          <w:rFonts w:ascii="Cambria Math" w:hAnsi="Cambria Math"/>
                        </w:rPr>
                      </m:ctrlPr>
                    </m:sSubPr>
                    <m:e>
                      <m:r>
                        <w:rPr>
                          <w:rFonts w:ascii="Cambria Math" w:hAnsi="Cambria Math"/>
                        </w:rPr>
                        <m:t>d</m:t>
                      </m:r>
                      <m:ctrlPr>
                        <w:rPr>
                          <w:rFonts w:ascii="Cambria Math" w:hAnsi="Cambria Math"/>
                        </w:rPr>
                      </m:ctrlPr>
                    </m:e>
                    <m:sub>
                      <m:r>
                        <w:rPr>
                          <w:rFonts w:ascii="Cambria Math" w:hAnsi="Cambria Math"/>
                        </w:rPr>
                        <m:t>0</m:t>
                      </m:r>
                      <m:ctrlPr>
                        <w:rPr>
                          <w:rFonts w:ascii="Cambria Math" w:hAnsi="Cambria Math"/>
                        </w:rPr>
                      </m:ctrlPr>
                    </m:sub>
                  </m:sSub>
                  <m:ctrlPr>
                    <w:rPr>
                      <w:rFonts w:ascii="Cambria Math" w:hAnsi="Cambria Math"/>
                    </w:rPr>
                  </m:ctrlPr>
                </m:den>
              </m:f>
              <m:r>
                <w:rPr>
                  <w:rFonts w:ascii="Cambria Math" w:hAnsi="Cambria Math"/>
                </w:rPr>
                <m:t>=−1</m:t>
              </m:r>
              <m:ctrlPr>
                <w:rPr>
                  <w:rFonts w:ascii="Cambria Math" w:hAnsi="Cambria Math"/>
                </w:rPr>
              </m:ctrlPr>
            </m:e>
          </m:mr>
        </m:m>
      </m:oMath>
      <w:r>
        <w:tab/>
      </w:r>
      <w:r>
        <w:t>(C</w:t>
      </w:r>
      <w:r>
        <w:rPr>
          <w:rFonts w:hint="eastAsia"/>
          <w:lang w:val="en-US" w:eastAsia="zh-CN"/>
        </w:rPr>
        <w:t>.</w:t>
      </w:r>
      <w:r>
        <w:t>3)</w:t>
      </w:r>
    </w:p>
    <w:p>
      <w:pPr>
        <w:spacing w:line="520" w:lineRule="exact"/>
        <w:ind w:firstLine="480" w:firstLineChars="200"/>
        <w:rPr>
          <w:sz w:val="24"/>
        </w:rPr>
      </w:pPr>
      <w:r>
        <w:rPr>
          <w:sz w:val="24"/>
        </w:rPr>
        <w:t>故式(C</w:t>
      </w:r>
      <w:r>
        <w:rPr>
          <w:rFonts w:hint="eastAsia"/>
          <w:sz w:val="24"/>
          <w:lang w:val="en-US" w:eastAsia="zh-CN"/>
        </w:rPr>
        <w:t>.</w:t>
      </w:r>
      <w:r>
        <w:rPr>
          <w:sz w:val="24"/>
        </w:rPr>
        <w:t>2)可表示为</w:t>
      </w:r>
    </w:p>
    <w:p>
      <w:pPr>
        <w:pStyle w:val="55"/>
      </w:pPr>
      <w:r>
        <w:tab/>
      </w:r>
      <m:oMath>
        <m:sSubSup>
          <m:sSubSupPr>
            <m:ctrlPr>
              <w:rPr>
                <w:rFonts w:ascii="Cambria Math" w:hAnsi="Cambria Math"/>
              </w:rPr>
            </m:ctrlPr>
          </m:sSubSupPr>
          <m:e>
            <m:r>
              <w:rPr>
                <w:rFonts w:ascii="Cambria Math" w:hAnsi="Cambria Math"/>
              </w:rPr>
              <m:t>u</m:t>
            </m:r>
            <m:ctrlPr>
              <w:rPr>
                <w:rFonts w:ascii="Cambria Math" w:hAnsi="Cambria Math"/>
              </w:rPr>
            </m:ctrlPr>
          </m:e>
          <m:sub>
            <m:r>
              <m:rPr>
                <m:nor/>
                <m:sty m:val="p"/>
              </m:rPr>
              <w:rPr>
                <w:rFonts w:ascii="Cambria Math" w:hAnsi="Cambria Math"/>
                <w:b w:val="0"/>
                <w:i w:val="0"/>
              </w:rPr>
              <m:t>d</m:t>
            </m:r>
            <m:ctrlPr>
              <w:rPr>
                <w:rFonts w:ascii="Cambria Math" w:hAnsi="Cambria Math"/>
              </w:rPr>
            </m:ctrlPr>
          </m:sub>
          <m:sup>
            <m:r>
              <m:rPr>
                <m:nor/>
                <m:sty m:val="p"/>
              </m:rPr>
              <w:rPr>
                <w:rFonts w:ascii="Cambria Math" w:hAnsi="Cambria Math"/>
                <w:b w:val="0"/>
                <w:i w:val="0"/>
              </w:rPr>
              <m:t>2</m:t>
            </m:r>
            <m:ctrlPr>
              <w:rPr>
                <w:rFonts w:ascii="Cambria Math" w:hAnsi="Cambria Math"/>
              </w:rPr>
            </m:ctrlPr>
          </m:sup>
        </m:sSubSup>
        <m:d>
          <m:dPr>
            <m:ctrlPr>
              <w:rPr>
                <w:rFonts w:ascii="Cambria Math" w:hAnsi="Cambria Math"/>
              </w:rPr>
            </m:ctrlPr>
          </m:dPr>
          <m:e>
            <m:r>
              <w:rPr>
                <w:rFonts w:ascii="Cambria Math" w:hAnsi="Cambria Math"/>
              </w:rPr>
              <m:t>Δd</m:t>
            </m:r>
            <m:ctrlPr>
              <w:rPr>
                <w:rFonts w:ascii="Cambria Math" w:hAnsi="Cambria Math"/>
              </w:rPr>
            </m:ctrlPr>
          </m:e>
        </m:d>
        <m:r>
          <w:rPr>
            <w:rFonts w:ascii="Cambria Math" w:hAnsi="Cambria Math"/>
          </w:rPr>
          <m:t>=</m:t>
        </m:r>
        <m:sSup>
          <m:sSupPr>
            <m:ctrlPr>
              <w:rPr>
                <w:rFonts w:ascii="Cambria Math" w:hAnsi="Cambria Math"/>
              </w:rPr>
            </m:ctrlPr>
          </m:sSupPr>
          <m:e>
            <m:r>
              <w:rPr>
                <w:rFonts w:ascii="Cambria Math" w:hAnsi="Cambria Math"/>
              </w:rPr>
              <m:t>u</m:t>
            </m:r>
            <m:ctrlPr>
              <w:rPr>
                <w:rFonts w:ascii="Cambria Math" w:hAnsi="Cambria Math"/>
              </w:rPr>
            </m:ctrlPr>
          </m:e>
          <m:sup>
            <m:r>
              <w:rPr>
                <w:rFonts w:ascii="Cambria Math" w:hAnsi="Cambria Math"/>
              </w:rPr>
              <m:t>2</m:t>
            </m:r>
            <m:ctrlPr>
              <w:rPr>
                <w:rFonts w:ascii="Cambria Math" w:hAnsi="Cambria Math"/>
              </w:rPr>
            </m:ctrlPr>
          </m:sup>
        </m:sSup>
        <m:d>
          <m:dPr>
            <m:ctrlPr>
              <w:rPr>
                <w:rFonts w:ascii="Cambria Math" w:hAnsi="Cambria Math"/>
              </w:rPr>
            </m:ctrlPr>
          </m:dPr>
          <m:e>
            <m:r>
              <w:rPr>
                <w:rFonts w:ascii="Cambria Math" w:hAnsi="Cambria Math"/>
              </w:rPr>
              <m:t>d</m:t>
            </m:r>
            <m:ctrlPr>
              <w:rPr>
                <w:rFonts w:ascii="Cambria Math" w:hAnsi="Cambria Math"/>
              </w:rPr>
            </m:ctrlPr>
          </m:e>
        </m:d>
        <m:r>
          <w:rPr>
            <w:rFonts w:ascii="Cambria Math" w:hAnsi="Cambria Math"/>
          </w:rPr>
          <m:t>+</m:t>
        </m:r>
        <m:sSup>
          <m:sSupPr>
            <m:ctrlPr>
              <w:rPr>
                <w:rFonts w:ascii="Cambria Math" w:hAnsi="Cambria Math"/>
              </w:rPr>
            </m:ctrlPr>
          </m:sSupPr>
          <m:e>
            <m:r>
              <w:rPr>
                <w:rFonts w:ascii="Cambria Math" w:hAnsi="Cambria Math"/>
              </w:rPr>
              <m:t>u</m:t>
            </m:r>
            <m:ctrlPr>
              <w:rPr>
                <w:rFonts w:ascii="Cambria Math" w:hAnsi="Cambria Math"/>
              </w:rPr>
            </m:ctrlPr>
          </m:e>
          <m:sup>
            <m:r>
              <w:rPr>
                <w:rFonts w:ascii="Cambria Math" w:hAnsi="Cambria Math"/>
              </w:rPr>
              <m:t>2</m:t>
            </m:r>
            <m:ctrlPr>
              <w:rPr>
                <w:rFonts w:ascii="Cambria Math" w:hAnsi="Cambria Math"/>
              </w:rPr>
            </m:ctrlPr>
          </m:sup>
        </m:sSup>
        <m:d>
          <m:dPr>
            <m:ctrlPr>
              <w:rPr>
                <w:rFonts w:ascii="Cambria Math" w:hAnsi="Cambria Math"/>
              </w:rPr>
            </m:ctrlPr>
          </m:dPr>
          <m:e>
            <m:sSub>
              <m:sSubPr>
                <m:ctrlPr>
                  <w:rPr>
                    <w:rFonts w:ascii="Cambria Math" w:hAnsi="Cambria Math"/>
                  </w:rPr>
                </m:ctrlPr>
              </m:sSubPr>
              <m:e>
                <m:r>
                  <w:rPr>
                    <w:rFonts w:ascii="Cambria Math" w:hAnsi="Cambria Math"/>
                  </w:rPr>
                  <m:t>d</m:t>
                </m:r>
                <m:ctrlPr>
                  <w:rPr>
                    <w:rFonts w:ascii="Cambria Math" w:hAnsi="Cambria Math"/>
                  </w:rPr>
                </m:ctrlPr>
              </m:e>
              <m:sub>
                <m:r>
                  <w:rPr>
                    <w:rFonts w:ascii="Cambria Math" w:hAnsi="Cambria Math"/>
                  </w:rPr>
                  <m:t>0</m:t>
                </m:r>
                <m:ctrlPr>
                  <w:rPr>
                    <w:rFonts w:ascii="Cambria Math" w:hAnsi="Cambria Math"/>
                  </w:rPr>
                </m:ctrlPr>
              </m:sub>
            </m:sSub>
            <m:ctrlPr>
              <w:rPr>
                <w:rFonts w:ascii="Cambria Math" w:hAnsi="Cambria Math"/>
              </w:rPr>
            </m:ctrlPr>
          </m:e>
        </m:d>
      </m:oMath>
      <w:r>
        <w:tab/>
      </w:r>
      <w:r>
        <w:t>(C</w:t>
      </w:r>
      <w:r>
        <w:rPr>
          <w:rFonts w:hint="eastAsia"/>
          <w:lang w:val="en-US" w:eastAsia="zh-CN"/>
        </w:rPr>
        <w:t>.</w:t>
      </w:r>
      <w:r>
        <w:t>4)</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9"/>
        <w:rPr>
          <w:sz w:val="24"/>
        </w:rPr>
      </w:pPr>
      <w:r>
        <w:rPr>
          <w:sz w:val="24"/>
        </w:rPr>
        <w:t>式中：</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9"/>
        <w:rPr>
          <w:sz w:val="24"/>
        </w:rPr>
      </w:pPr>
      <m:oMath>
        <m:r>
          <w:rPr>
            <w:rFonts w:ascii="Cambria Math" w:hAnsi="Cambria Math"/>
            <w:sz w:val="24"/>
          </w:rPr>
          <m:t>u</m:t>
        </m:r>
        <m:d>
          <m:dPr>
            <m:ctrlPr>
              <w:rPr>
                <w:rFonts w:ascii="Cambria Math" w:hAnsi="Cambria Math"/>
                <w:sz w:val="24"/>
              </w:rPr>
            </m:ctrlPr>
          </m:dPr>
          <m:e>
            <m:r>
              <w:rPr>
                <w:rFonts w:ascii="Cambria Math" w:hAnsi="Cambria Math"/>
                <w:sz w:val="24"/>
              </w:rPr>
              <m:t>d</m:t>
            </m:r>
            <m:ctrlPr>
              <w:rPr>
                <w:rFonts w:ascii="Cambria Math" w:hAnsi="Cambria Math"/>
                <w:sz w:val="24"/>
              </w:rPr>
            </m:ctrlPr>
          </m:e>
        </m:d>
      </m:oMath>
      <w:r>
        <w:rPr>
          <w:sz w:val="24"/>
        </w:rPr>
        <w:t>——机场道面外来物探测设备距离测量值的标准不确定度分量；</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9"/>
        <w:rPr>
          <w:sz w:val="24"/>
        </w:rPr>
      </w:pPr>
      <m:oMath>
        <m:r>
          <w:rPr>
            <w:rFonts w:ascii="Cambria Math" w:hAnsi="Cambria Math"/>
            <w:sz w:val="24"/>
          </w:rPr>
          <m:t>u</m:t>
        </m:r>
        <m:d>
          <m:dPr>
            <m:ctrlPr>
              <w:rPr>
                <w:rFonts w:ascii="Cambria Math" w:hAnsi="Cambria Math"/>
                <w:sz w:val="24"/>
              </w:rPr>
            </m:ctrlPr>
          </m:dPr>
          <m:e>
            <m:sSub>
              <m:sSubPr>
                <m:ctrlPr>
                  <w:rPr>
                    <w:rFonts w:ascii="Cambria Math" w:hAnsi="Cambria Math"/>
                    <w:sz w:val="24"/>
                  </w:rPr>
                </m:ctrlPr>
              </m:sSubPr>
              <m:e>
                <m:r>
                  <w:rPr>
                    <w:rFonts w:ascii="Cambria Math" w:hAnsi="Cambria Math"/>
                    <w:sz w:val="24"/>
                  </w:rPr>
                  <m:t>d</m:t>
                </m:r>
                <m:ctrlPr>
                  <w:rPr>
                    <w:rFonts w:ascii="Cambria Math" w:hAnsi="Cambria Math"/>
                    <w:sz w:val="24"/>
                  </w:rPr>
                </m:ctrlPr>
              </m:e>
              <m:sub>
                <m:r>
                  <w:rPr>
                    <w:rFonts w:ascii="Cambria Math" w:hAnsi="Cambria Math"/>
                    <w:sz w:val="24"/>
                  </w:rPr>
                  <m:t>0</m:t>
                </m:r>
                <m:ctrlPr>
                  <w:rPr>
                    <w:rFonts w:ascii="Cambria Math" w:hAnsi="Cambria Math"/>
                    <w:sz w:val="24"/>
                  </w:rPr>
                </m:ctrlPr>
              </m:sub>
            </m:sSub>
            <m:ctrlPr>
              <w:rPr>
                <w:rFonts w:ascii="Cambria Math" w:hAnsi="Cambria Math"/>
                <w:sz w:val="24"/>
              </w:rPr>
            </m:ctrlPr>
          </m:e>
        </m:d>
      </m:oMath>
      <w:r>
        <w:rPr>
          <w:sz w:val="24"/>
        </w:rPr>
        <w:t>——参考设备得到的标准距离值的不确定度分量。</w:t>
      </w:r>
    </w:p>
    <w:p>
      <w:pPr>
        <w:spacing w:line="480" w:lineRule="auto"/>
        <w:rPr>
          <w:sz w:val="24"/>
        </w:rPr>
      </w:pPr>
      <w:bookmarkStart w:id="35" w:name="_Toc330722634"/>
      <w:r>
        <w:rPr>
          <w:sz w:val="24"/>
        </w:rPr>
        <w:t>C.3</w:t>
      </w:r>
      <w:r>
        <w:rPr>
          <w:sz w:val="24"/>
        </w:rPr>
        <w:tab/>
      </w:r>
      <w:r>
        <w:rPr>
          <w:sz w:val="24"/>
        </w:rPr>
        <w:t>不确定度分量</w:t>
      </w:r>
      <w:bookmarkEnd w:id="35"/>
    </w:p>
    <w:p>
      <w:pPr>
        <w:spacing w:line="520" w:lineRule="exact"/>
        <w:ind w:firstLine="480" w:firstLineChars="200"/>
        <w:rPr>
          <w:sz w:val="24"/>
        </w:rPr>
      </w:pPr>
      <w:r>
        <w:rPr>
          <w:sz w:val="24"/>
        </w:rPr>
        <w:t>由上一节的</w:t>
      </w:r>
      <w:r>
        <w:rPr>
          <w:rFonts w:hint="eastAsia"/>
          <w:sz w:val="24"/>
          <w:lang w:eastAsia="zh-CN"/>
        </w:rPr>
        <w:t>测量模型</w:t>
      </w:r>
      <w:r>
        <w:rPr>
          <w:sz w:val="24"/>
        </w:rPr>
        <w:t>分析可知，测距示值误差的标准不确定度分量包含两部分：参考设备得到的标准距离值的不确定度分量</w:t>
      </w:r>
      <m:oMath>
        <m:r>
          <w:rPr>
            <w:rFonts w:ascii="Cambria Math" w:hAnsi="Cambria Math"/>
            <w:sz w:val="24"/>
          </w:rPr>
          <m:t>u</m:t>
        </m:r>
        <m:d>
          <m:dPr>
            <m:ctrlPr>
              <w:rPr>
                <w:rFonts w:ascii="Cambria Math" w:hAnsi="Cambria Math"/>
                <w:sz w:val="24"/>
              </w:rPr>
            </m:ctrlPr>
          </m:dPr>
          <m:e>
            <m:sSub>
              <m:sSubPr>
                <m:ctrlPr>
                  <w:rPr>
                    <w:rFonts w:ascii="Cambria Math" w:hAnsi="Cambria Math"/>
                    <w:sz w:val="24"/>
                  </w:rPr>
                </m:ctrlPr>
              </m:sSubPr>
              <m:e>
                <m:r>
                  <w:rPr>
                    <w:rFonts w:ascii="Cambria Math" w:hAnsi="Cambria Math"/>
                    <w:sz w:val="24"/>
                  </w:rPr>
                  <m:t>d</m:t>
                </m:r>
                <m:ctrlPr>
                  <w:rPr>
                    <w:rFonts w:ascii="Cambria Math" w:hAnsi="Cambria Math"/>
                    <w:sz w:val="24"/>
                  </w:rPr>
                </m:ctrlPr>
              </m:e>
              <m:sub>
                <m:r>
                  <w:rPr>
                    <w:rFonts w:ascii="Cambria Math" w:hAnsi="Cambria Math"/>
                    <w:sz w:val="24"/>
                  </w:rPr>
                  <m:t>0</m:t>
                </m:r>
                <m:ctrlPr>
                  <w:rPr>
                    <w:rFonts w:ascii="Cambria Math" w:hAnsi="Cambria Math"/>
                    <w:sz w:val="24"/>
                  </w:rPr>
                </m:ctrlPr>
              </m:sub>
            </m:sSub>
            <m:ctrlPr>
              <w:rPr>
                <w:rFonts w:ascii="Cambria Math" w:hAnsi="Cambria Math"/>
                <w:sz w:val="24"/>
              </w:rPr>
            </m:ctrlPr>
          </m:e>
        </m:d>
      </m:oMath>
      <w:r>
        <w:rPr>
          <w:sz w:val="24"/>
        </w:rPr>
        <w:t>和机场道面外来物探测设备距离测量值的标准不确定度分量</w:t>
      </w:r>
      <m:oMath>
        <m:r>
          <w:rPr>
            <w:rFonts w:ascii="Cambria Math" w:hAnsi="Cambria Math"/>
            <w:sz w:val="24"/>
          </w:rPr>
          <m:t>u</m:t>
        </m:r>
        <m:d>
          <m:dPr>
            <m:ctrlPr>
              <w:rPr>
                <w:rFonts w:ascii="Cambria Math" w:hAnsi="Cambria Math"/>
                <w:sz w:val="24"/>
              </w:rPr>
            </m:ctrlPr>
          </m:dPr>
          <m:e>
            <m:r>
              <w:rPr>
                <w:rFonts w:ascii="Cambria Math" w:hAnsi="Cambria Math"/>
                <w:sz w:val="24"/>
              </w:rPr>
              <m:t>d</m:t>
            </m:r>
            <m:ctrlPr>
              <w:rPr>
                <w:rFonts w:ascii="Cambria Math" w:hAnsi="Cambria Math"/>
                <w:sz w:val="24"/>
              </w:rPr>
            </m:ctrlPr>
          </m:e>
        </m:d>
      </m:oMath>
      <w:r>
        <w:rPr>
          <w:sz w:val="24"/>
        </w:rPr>
        <w:t>，下面分别对这两部分的标准不确定度分量进行分析。</w:t>
      </w:r>
    </w:p>
    <w:p>
      <w:pPr>
        <w:rPr>
          <w:sz w:val="24"/>
        </w:rPr>
      </w:pPr>
      <w:r>
        <w:rPr>
          <w:sz w:val="24"/>
        </w:rPr>
        <w:t>C.3.1</w:t>
      </w:r>
      <w:r>
        <w:rPr>
          <w:sz w:val="24"/>
        </w:rPr>
        <w:tab/>
      </w:r>
      <w:r>
        <w:rPr>
          <w:sz w:val="24"/>
        </w:rPr>
        <w:t>参考设备得到的标准距离值的不确定度分量</w:t>
      </w:r>
      <m:oMath>
        <m:r>
          <w:rPr>
            <w:rFonts w:ascii="Cambria Math" w:hAnsi="Cambria Math"/>
            <w:sz w:val="24"/>
          </w:rPr>
          <m:t>u</m:t>
        </m:r>
        <m:d>
          <m:dPr>
            <m:ctrlPr>
              <w:rPr>
                <w:rFonts w:ascii="Cambria Math" w:hAnsi="Cambria Math"/>
                <w:sz w:val="24"/>
              </w:rPr>
            </m:ctrlPr>
          </m:dPr>
          <m:e>
            <m:sSub>
              <m:sSubPr>
                <m:ctrlPr>
                  <w:rPr>
                    <w:rFonts w:ascii="Cambria Math" w:hAnsi="Cambria Math"/>
                    <w:sz w:val="24"/>
                  </w:rPr>
                </m:ctrlPr>
              </m:sSubPr>
              <m:e>
                <m:r>
                  <w:rPr>
                    <w:rFonts w:ascii="Cambria Math" w:hAnsi="Cambria Math"/>
                    <w:sz w:val="24"/>
                  </w:rPr>
                  <m:t>d</m:t>
                </m:r>
                <m:ctrlPr>
                  <w:rPr>
                    <w:rFonts w:ascii="Cambria Math" w:hAnsi="Cambria Math"/>
                    <w:sz w:val="24"/>
                  </w:rPr>
                </m:ctrlPr>
              </m:e>
              <m:sub>
                <m:r>
                  <w:rPr>
                    <w:rFonts w:ascii="Cambria Math" w:hAnsi="Cambria Math"/>
                    <w:sz w:val="24"/>
                  </w:rPr>
                  <m:t>0</m:t>
                </m:r>
                <m:ctrlPr>
                  <w:rPr>
                    <w:rFonts w:ascii="Cambria Math" w:hAnsi="Cambria Math"/>
                    <w:sz w:val="24"/>
                  </w:rPr>
                </m:ctrlPr>
              </m:sub>
            </m:sSub>
            <m:ctrlPr>
              <w:rPr>
                <w:rFonts w:ascii="Cambria Math" w:hAnsi="Cambria Math"/>
                <w:sz w:val="24"/>
              </w:rPr>
            </m:ctrlPr>
          </m:e>
        </m:d>
      </m:oMath>
    </w:p>
    <w:p>
      <w:pPr>
        <w:spacing w:line="520" w:lineRule="exact"/>
        <w:ind w:firstLine="480" w:firstLineChars="200"/>
        <w:rPr>
          <w:sz w:val="24"/>
        </w:rPr>
      </w:pPr>
      <w:r>
        <w:rPr>
          <w:sz w:val="24"/>
        </w:rPr>
        <w:t>由于参考设备的最大允许误差为</w:t>
      </w:r>
      <m:oMath>
        <m:r>
          <w:rPr>
            <w:rFonts w:ascii="Cambria Math" w:hAnsi="Cambria Math"/>
            <w:sz w:val="24"/>
          </w:rPr>
          <m:t>±0.1</m:t>
        </m:r>
        <m:r>
          <m:rPr>
            <m:sty m:val="p"/>
          </m:rPr>
          <w:rPr>
            <w:rFonts w:ascii="Cambria Math" w:hAnsi="Cambria Math"/>
            <w:sz w:val="24"/>
          </w:rPr>
          <m:t>m</m:t>
        </m:r>
      </m:oMath>
      <w:r>
        <w:rPr>
          <w:sz w:val="24"/>
        </w:rPr>
        <w:t>，并且以矩形分布估计，因此参考设备得到的标准距离值的不确定度分量</w:t>
      </w:r>
      <m:oMath>
        <m:r>
          <w:rPr>
            <w:rFonts w:ascii="Cambria Math" w:hAnsi="Cambria Math"/>
            <w:sz w:val="24"/>
          </w:rPr>
          <m:t>u</m:t>
        </m:r>
        <m:d>
          <m:dPr>
            <m:ctrlPr>
              <w:rPr>
                <w:rFonts w:ascii="Cambria Math" w:hAnsi="Cambria Math"/>
                <w:sz w:val="24"/>
              </w:rPr>
            </m:ctrlPr>
          </m:dPr>
          <m:e>
            <m:sSub>
              <m:sSubPr>
                <m:ctrlPr>
                  <w:rPr>
                    <w:rFonts w:ascii="Cambria Math" w:hAnsi="Cambria Math"/>
                    <w:sz w:val="24"/>
                  </w:rPr>
                </m:ctrlPr>
              </m:sSubPr>
              <m:e>
                <m:r>
                  <w:rPr>
                    <w:rFonts w:ascii="Cambria Math" w:hAnsi="Cambria Math"/>
                    <w:sz w:val="24"/>
                  </w:rPr>
                  <m:t>d</m:t>
                </m:r>
                <m:ctrlPr>
                  <w:rPr>
                    <w:rFonts w:ascii="Cambria Math" w:hAnsi="Cambria Math"/>
                    <w:sz w:val="24"/>
                  </w:rPr>
                </m:ctrlPr>
              </m:e>
              <m:sub>
                <m:r>
                  <w:rPr>
                    <w:rFonts w:ascii="Cambria Math" w:hAnsi="Cambria Math"/>
                    <w:sz w:val="24"/>
                  </w:rPr>
                  <m:t>0</m:t>
                </m:r>
                <m:ctrlPr>
                  <w:rPr>
                    <w:rFonts w:ascii="Cambria Math" w:hAnsi="Cambria Math"/>
                    <w:sz w:val="24"/>
                  </w:rPr>
                </m:ctrlPr>
              </m:sub>
            </m:sSub>
            <m:ctrlPr>
              <w:rPr>
                <w:rFonts w:ascii="Cambria Math" w:hAnsi="Cambria Math"/>
                <w:sz w:val="24"/>
              </w:rPr>
            </m:ctrlPr>
          </m:e>
        </m:d>
      </m:oMath>
      <w:r>
        <w:rPr>
          <w:sz w:val="24"/>
        </w:rPr>
        <w:t>为</w:t>
      </w:r>
    </w:p>
    <w:p>
      <w:pPr>
        <w:pStyle w:val="55"/>
      </w:pPr>
      <w:r>
        <w:tab/>
      </w:r>
      <m:oMath>
        <m:r>
          <w:rPr>
            <w:rFonts w:ascii="Cambria Math" w:hAnsi="Cambria Math"/>
          </w:rPr>
          <m:t>u</m:t>
        </m:r>
        <m:d>
          <m:dPr>
            <m:ctrlPr>
              <w:rPr>
                <w:rFonts w:ascii="Cambria Math" w:hAnsi="Cambria Math"/>
              </w:rPr>
            </m:ctrlPr>
          </m:dPr>
          <m:e>
            <m:sSub>
              <m:sSubPr>
                <m:ctrlPr>
                  <w:rPr>
                    <w:rFonts w:ascii="Cambria Math" w:hAnsi="Cambria Math"/>
                    <w:i/>
                  </w:rPr>
                </m:ctrlPr>
              </m:sSubPr>
              <m:e>
                <m:r>
                  <w:rPr>
                    <w:rFonts w:ascii="Cambria Math" w:hAnsi="Cambria Math"/>
                  </w:rPr>
                  <m:t>d</m:t>
                </m:r>
                <m:ctrlPr>
                  <w:rPr>
                    <w:rFonts w:ascii="Cambria Math" w:hAnsi="Cambria Math"/>
                    <w:i/>
                  </w:rPr>
                </m:ctrlPr>
              </m:e>
              <m:sub>
                <m:r>
                  <w:rPr>
                    <w:rFonts w:ascii="Cambria Math" w:hAnsi="Cambria Math"/>
                  </w:rPr>
                  <m:t>0</m:t>
                </m:r>
                <m:ctrlPr>
                  <w:rPr>
                    <w:rFonts w:ascii="Cambria Math" w:hAnsi="Cambria Math"/>
                    <w:i/>
                  </w:rPr>
                </m:ctrlPr>
              </m:sub>
            </m:sSub>
            <m:ctrlPr>
              <w:rPr>
                <w:rFonts w:ascii="Cambria Math" w:hAnsi="Cambria Math"/>
              </w:rPr>
            </m:ctrlPr>
          </m:e>
        </m:d>
        <m:r>
          <w:rPr>
            <w:rFonts w:ascii="Cambria Math" w:hAnsi="Cambria Math"/>
          </w:rPr>
          <m:t>=</m:t>
        </m:r>
        <m:f>
          <m:fPr>
            <m:ctrlPr>
              <w:rPr>
                <w:rFonts w:ascii="Cambria Math" w:hAnsi="Cambria Math"/>
                <w:i/>
              </w:rPr>
            </m:ctrlPr>
          </m:fPr>
          <m:num>
            <m:r>
              <w:rPr>
                <w:rFonts w:ascii="Cambria Math" w:hAnsi="Cambria Math"/>
              </w:rPr>
              <m:t>0.1</m:t>
            </m:r>
            <m:ctrlPr>
              <w:rPr>
                <w:rFonts w:ascii="Cambria Math" w:hAnsi="Cambria Math"/>
                <w:i/>
              </w:rPr>
            </m:ctrlPr>
          </m:num>
          <m:den>
            <m:rad>
              <m:radPr>
                <m:degHide m:val="1"/>
                <m:ctrlPr>
                  <w:rPr>
                    <w:rFonts w:ascii="Cambria Math" w:hAnsi="Cambria Math"/>
                    <w:i/>
                  </w:rPr>
                </m:ctrlPr>
              </m:radPr>
              <m:deg>
                <m:ctrlPr>
                  <w:rPr>
                    <w:rFonts w:ascii="Cambria Math" w:hAnsi="Cambria Math"/>
                    <w:i/>
                  </w:rPr>
                </m:ctrlPr>
              </m:deg>
              <m:e>
                <m:r>
                  <w:rPr>
                    <w:rFonts w:ascii="Cambria Math" w:hAnsi="Cambria Math"/>
                  </w:rPr>
                  <m:t>3</m:t>
                </m:r>
                <m:ctrlPr>
                  <w:rPr>
                    <w:rFonts w:ascii="Cambria Math" w:hAnsi="Cambria Math"/>
                    <w:i/>
                  </w:rPr>
                </m:ctrlPr>
              </m:e>
            </m:rad>
            <m:ctrlPr>
              <w:rPr>
                <w:rFonts w:ascii="Cambria Math" w:hAnsi="Cambria Math"/>
                <w:i/>
              </w:rPr>
            </m:ctrlPr>
          </m:den>
        </m:f>
        <m:r>
          <w:rPr>
            <w:rFonts w:ascii="Cambria Math" w:hAnsi="Cambria Math"/>
          </w:rPr>
          <m:t xml:space="preserve">=0.058 </m:t>
        </m:r>
        <m:r>
          <m:rPr>
            <m:sty m:val="p"/>
          </m:rPr>
          <w:rPr>
            <w:rFonts w:ascii="Cambria Math" w:hAnsi="Cambria Math"/>
          </w:rPr>
          <m:t>m</m:t>
        </m:r>
      </m:oMath>
      <w:r>
        <w:tab/>
      </w:r>
      <w:r>
        <w:t xml:space="preserve"> (C</w:t>
      </w:r>
      <w:r>
        <w:rPr>
          <w:rFonts w:hint="eastAsia"/>
          <w:lang w:val="en-US" w:eastAsia="zh-CN"/>
        </w:rPr>
        <w:t>.</w:t>
      </w:r>
      <w:r>
        <w:t>5)</w:t>
      </w:r>
    </w:p>
    <w:p>
      <w:pPr>
        <w:rPr>
          <w:sz w:val="24"/>
        </w:rPr>
      </w:pPr>
      <w:r>
        <w:rPr>
          <w:sz w:val="24"/>
        </w:rPr>
        <w:t>C.3.2</w:t>
      </w:r>
      <w:r>
        <w:rPr>
          <w:sz w:val="24"/>
        </w:rPr>
        <w:tab/>
      </w:r>
      <w:r>
        <w:rPr>
          <w:sz w:val="24"/>
        </w:rPr>
        <w:t>距离测量值的标准不确定度分量</w:t>
      </w:r>
      <m:oMath>
        <m:r>
          <w:rPr>
            <w:rFonts w:ascii="Cambria Math" w:hAnsi="Cambria Math"/>
            <w:sz w:val="24"/>
          </w:rPr>
          <m:t>u</m:t>
        </m:r>
        <m:d>
          <m:dPr>
            <m:ctrlPr>
              <w:rPr>
                <w:rFonts w:ascii="Cambria Math" w:hAnsi="Cambria Math"/>
                <w:sz w:val="24"/>
              </w:rPr>
            </m:ctrlPr>
          </m:dPr>
          <m:e>
            <m:r>
              <w:rPr>
                <w:rFonts w:ascii="Cambria Math" w:hAnsi="Cambria Math"/>
                <w:sz w:val="24"/>
              </w:rPr>
              <m:t>d</m:t>
            </m:r>
            <m:ctrlPr>
              <w:rPr>
                <w:rFonts w:ascii="Cambria Math" w:hAnsi="Cambria Math"/>
                <w:sz w:val="24"/>
              </w:rPr>
            </m:ctrlPr>
          </m:e>
        </m:d>
      </m:oMath>
    </w:p>
    <w:p>
      <w:pPr>
        <w:spacing w:line="520" w:lineRule="exact"/>
        <w:ind w:firstLine="480" w:firstLineChars="200"/>
        <w:rPr>
          <w:sz w:val="24"/>
        </w:rPr>
      </w:pPr>
      <w:r>
        <w:rPr>
          <w:sz w:val="24"/>
        </w:rPr>
        <w:t>机场道面外来物探测设备距离测量值共包含2个不确定度分量，分别为测量重复性引入的不确定度分量</w:t>
      </w:r>
      <m:oMath>
        <m:sSub>
          <m:sSubPr>
            <m:ctrlPr>
              <w:rPr>
                <w:rFonts w:ascii="Cambria Math" w:hAnsi="Cambria Math"/>
                <w:sz w:val="24"/>
              </w:rPr>
            </m:ctrlPr>
          </m:sSubPr>
          <m:e>
            <m:r>
              <w:rPr>
                <w:rFonts w:ascii="Cambria Math" w:hAnsi="Cambria Math"/>
                <w:sz w:val="24"/>
              </w:rPr>
              <m:t>u</m:t>
            </m:r>
            <m:ctrlPr>
              <w:rPr>
                <w:rFonts w:ascii="Cambria Math" w:hAnsi="Cambria Math"/>
                <w:sz w:val="24"/>
              </w:rPr>
            </m:ctrlPr>
          </m:e>
          <m:sub>
            <m:r>
              <w:rPr>
                <w:rFonts w:ascii="Cambria Math" w:hAnsi="Cambria Math"/>
                <w:sz w:val="24"/>
              </w:rPr>
              <m:t>1</m:t>
            </m:r>
            <m:ctrlPr>
              <w:rPr>
                <w:rFonts w:ascii="Cambria Math" w:hAnsi="Cambria Math"/>
                <w:sz w:val="24"/>
              </w:rPr>
            </m:ctrlPr>
          </m:sub>
        </m:sSub>
        <m:d>
          <m:dPr>
            <m:ctrlPr>
              <w:rPr>
                <w:rFonts w:ascii="Cambria Math" w:hAnsi="Cambria Math"/>
                <w:sz w:val="24"/>
              </w:rPr>
            </m:ctrlPr>
          </m:dPr>
          <m:e>
            <m:r>
              <w:rPr>
                <w:rFonts w:ascii="Cambria Math" w:hAnsi="Cambria Math"/>
                <w:sz w:val="24"/>
              </w:rPr>
              <m:t>d</m:t>
            </m:r>
            <m:ctrlPr>
              <w:rPr>
                <w:rFonts w:ascii="Cambria Math" w:hAnsi="Cambria Math"/>
                <w:sz w:val="24"/>
              </w:rPr>
            </m:ctrlPr>
          </m:e>
        </m:d>
      </m:oMath>
      <w:r>
        <w:rPr>
          <w:sz w:val="24"/>
        </w:rPr>
        <w:t>以及分辨力引入的不确定度分量</w:t>
      </w:r>
      <m:oMath>
        <m:sSub>
          <m:sSubPr>
            <m:ctrlPr>
              <w:rPr>
                <w:rFonts w:ascii="Cambria Math" w:hAnsi="Cambria Math"/>
                <w:sz w:val="24"/>
              </w:rPr>
            </m:ctrlPr>
          </m:sSubPr>
          <m:e>
            <m:r>
              <w:rPr>
                <w:rFonts w:ascii="Cambria Math" w:hAnsi="Cambria Math"/>
                <w:sz w:val="24"/>
              </w:rPr>
              <m:t>u</m:t>
            </m:r>
            <m:ctrlPr>
              <w:rPr>
                <w:rFonts w:ascii="Cambria Math" w:hAnsi="Cambria Math"/>
                <w:sz w:val="24"/>
              </w:rPr>
            </m:ctrlPr>
          </m:e>
          <m:sub>
            <m:r>
              <w:rPr>
                <w:rFonts w:ascii="Cambria Math" w:hAnsi="Cambria Math"/>
                <w:sz w:val="24"/>
              </w:rPr>
              <m:t>2</m:t>
            </m:r>
            <m:ctrlPr>
              <w:rPr>
                <w:rFonts w:ascii="Cambria Math" w:hAnsi="Cambria Math"/>
                <w:sz w:val="24"/>
              </w:rPr>
            </m:ctrlPr>
          </m:sub>
        </m:sSub>
        <m:d>
          <m:dPr>
            <m:ctrlPr>
              <w:rPr>
                <w:rFonts w:ascii="Cambria Math" w:hAnsi="Cambria Math"/>
                <w:sz w:val="24"/>
              </w:rPr>
            </m:ctrlPr>
          </m:dPr>
          <m:e>
            <m:r>
              <w:rPr>
                <w:rFonts w:ascii="Cambria Math" w:hAnsi="Cambria Math"/>
                <w:sz w:val="24"/>
              </w:rPr>
              <m:t>d</m:t>
            </m:r>
            <m:ctrlPr>
              <w:rPr>
                <w:rFonts w:ascii="Cambria Math" w:hAnsi="Cambria Math"/>
                <w:sz w:val="24"/>
              </w:rPr>
            </m:ctrlPr>
          </m:e>
        </m:d>
      </m:oMath>
      <w:r>
        <w:rPr>
          <w:sz w:val="24"/>
        </w:rPr>
        <w:t>。</w:t>
      </w:r>
    </w:p>
    <w:p>
      <w:pPr>
        <w:spacing w:line="520" w:lineRule="exact"/>
        <w:ind w:firstLine="480" w:firstLineChars="200"/>
        <w:rPr>
          <w:sz w:val="24"/>
        </w:rPr>
      </w:pPr>
      <w:r>
        <w:rPr>
          <w:sz w:val="24"/>
        </w:rPr>
        <w:t>(1) 测量重复性引入的不确定度分量</w:t>
      </w:r>
      <m:oMath>
        <m:sSub>
          <m:sSubPr>
            <m:ctrlPr>
              <w:rPr>
                <w:rFonts w:ascii="Cambria Math" w:hAnsi="Cambria Math"/>
                <w:sz w:val="24"/>
              </w:rPr>
            </m:ctrlPr>
          </m:sSubPr>
          <m:e>
            <m:r>
              <w:rPr>
                <w:rFonts w:ascii="Cambria Math" w:hAnsi="Cambria Math"/>
                <w:sz w:val="24"/>
              </w:rPr>
              <m:t>u</m:t>
            </m:r>
            <m:ctrlPr>
              <w:rPr>
                <w:rFonts w:ascii="Cambria Math" w:hAnsi="Cambria Math"/>
                <w:sz w:val="24"/>
              </w:rPr>
            </m:ctrlPr>
          </m:e>
          <m:sub>
            <m:r>
              <w:rPr>
                <w:rFonts w:ascii="Cambria Math" w:hAnsi="Cambria Math"/>
                <w:sz w:val="24"/>
              </w:rPr>
              <m:t>1</m:t>
            </m:r>
            <m:ctrlPr>
              <w:rPr>
                <w:rFonts w:ascii="Cambria Math" w:hAnsi="Cambria Math"/>
                <w:sz w:val="24"/>
              </w:rPr>
            </m:ctrlPr>
          </m:sub>
        </m:sSub>
        <m:d>
          <m:dPr>
            <m:ctrlPr>
              <w:rPr>
                <w:rFonts w:ascii="Cambria Math" w:hAnsi="Cambria Math"/>
                <w:sz w:val="24"/>
              </w:rPr>
            </m:ctrlPr>
          </m:dPr>
          <m:e>
            <m:r>
              <w:rPr>
                <w:rFonts w:ascii="Cambria Math" w:hAnsi="Cambria Math"/>
                <w:sz w:val="24"/>
              </w:rPr>
              <m:t>d</m:t>
            </m:r>
            <m:ctrlPr>
              <w:rPr>
                <w:rFonts w:ascii="Cambria Math" w:hAnsi="Cambria Math"/>
                <w:sz w:val="24"/>
              </w:rPr>
            </m:ctrlPr>
          </m:e>
        </m:d>
      </m:oMath>
    </w:p>
    <w:p>
      <w:pPr>
        <w:spacing w:line="520" w:lineRule="exact"/>
        <w:ind w:firstLine="480" w:firstLineChars="200"/>
        <w:rPr>
          <w:sz w:val="24"/>
        </w:rPr>
      </w:pPr>
      <w:r>
        <w:rPr>
          <w:sz w:val="24"/>
        </w:rPr>
        <w:t>当</w:t>
      </w:r>
      <m:oMath>
        <m:sSub>
          <m:sSubPr>
            <m:ctrlPr>
              <w:rPr>
                <w:rFonts w:ascii="Cambria Math" w:hAnsi="Cambria Math"/>
                <w:i/>
                <w:sz w:val="24"/>
              </w:rPr>
            </m:ctrlPr>
          </m:sSubPr>
          <m:e>
            <m:r>
              <w:rPr>
                <w:rFonts w:ascii="Cambria Math" w:hAnsi="Cambria Math"/>
                <w:sz w:val="24"/>
              </w:rPr>
              <m:t>d</m:t>
            </m:r>
            <m:ctrlPr>
              <w:rPr>
                <w:rFonts w:ascii="Cambria Math" w:hAnsi="Cambria Math"/>
                <w:i/>
                <w:sz w:val="24"/>
              </w:rPr>
            </m:ctrlPr>
          </m:e>
          <m:sub>
            <m:r>
              <m:rPr>
                <m:sty m:val="p"/>
              </m:rPr>
              <w:rPr>
                <w:rFonts w:ascii="Cambria Math" w:hAnsi="Cambria Math"/>
                <w:sz w:val="24"/>
              </w:rPr>
              <m:t>0</m:t>
            </m:r>
            <m:ctrlPr>
              <w:rPr>
                <w:rFonts w:ascii="Cambria Math" w:hAnsi="Cambria Math"/>
                <w:i/>
                <w:sz w:val="24"/>
              </w:rPr>
            </m:ctrlPr>
          </m:sub>
        </m:sSub>
        <m:r>
          <w:rPr>
            <w:rFonts w:ascii="Cambria Math" w:hAnsi="Cambria Math"/>
            <w:sz w:val="24"/>
          </w:rPr>
          <m:t xml:space="preserve">=30.0m </m:t>
        </m:r>
      </m:oMath>
      <w:r>
        <w:rPr>
          <w:sz w:val="24"/>
        </w:rPr>
        <w:t>时，机场道面外来物探测设备的10次测量结果为</w:t>
      </w:r>
    </w:p>
    <w:p>
      <w:pPr>
        <w:pStyle w:val="55"/>
        <w:spacing w:line="360" w:lineRule="auto"/>
      </w:pPr>
      <w:r>
        <w:tab/>
      </w:r>
      <m:oMath>
        <m:m>
          <m:mPr>
            <m:mcs>
              <m:mc>
                <m:mcPr>
                  <m:count m:val="3"/>
                  <m:mcJc m:val="center"/>
                </m:mcPr>
              </m:mc>
            </m:mcs>
            <m:ctrlPr>
              <w:rPr>
                <w:rFonts w:ascii="Cambria Math" w:hAnsi="Cambria Math"/>
              </w:rPr>
            </m:ctrlPr>
          </m:mPr>
          <m:mr>
            <m:e>
              <m:sSub>
                <m:sSubPr>
                  <m:ctrlPr>
                    <w:rPr>
                      <w:rFonts w:ascii="Cambria Math" w:hAnsi="Cambria Math"/>
                      <w:i/>
                    </w:rPr>
                  </m:ctrlPr>
                </m:sSubPr>
                <m:e>
                  <m:r>
                    <w:rPr>
                      <w:rFonts w:ascii="Cambria Math" w:hAnsi="Cambria Math"/>
                    </w:rPr>
                    <m:t>x</m:t>
                  </m:r>
                  <m:ctrlPr>
                    <w:rPr>
                      <w:rFonts w:ascii="Cambria Math" w:hAnsi="Cambria Math"/>
                      <w:i/>
                    </w:rPr>
                  </m:ctrlPr>
                </m:e>
                <m:sub>
                  <m:r>
                    <w:rPr>
                      <w:rFonts w:ascii="Cambria Math" w:hAnsi="Cambria Math"/>
                    </w:rPr>
                    <m:t>1</m:t>
                  </m:r>
                  <m:ctrlPr>
                    <w:rPr>
                      <w:rFonts w:ascii="Cambria Math" w:hAnsi="Cambria Math"/>
                      <w:i/>
                    </w:rPr>
                  </m:ctrlPr>
                </m:sub>
              </m:sSub>
              <m:r>
                <w:rPr>
                  <w:rFonts w:ascii="Cambria Math" w:hAnsi="Cambria Math"/>
                </w:rPr>
                <m:t>=29.8 m</m:t>
              </m:r>
              <m:ctrlPr>
                <w:rPr>
                  <w:rFonts w:ascii="Cambria Math" w:hAnsi="Cambria Math"/>
                </w:rPr>
              </m:ctrlPr>
            </m:e>
            <m:e>
              <m:sSub>
                <m:sSubPr>
                  <m:ctrlPr>
                    <w:rPr>
                      <w:rFonts w:ascii="Cambria Math" w:hAnsi="Cambria Math"/>
                      <w:i/>
                    </w:rPr>
                  </m:ctrlPr>
                </m:sSubPr>
                <m:e>
                  <m:r>
                    <w:rPr>
                      <w:rFonts w:ascii="Cambria Math" w:hAnsi="Cambria Math"/>
                    </w:rPr>
                    <m:t>x</m:t>
                  </m:r>
                  <m:ctrlPr>
                    <w:rPr>
                      <w:rFonts w:ascii="Cambria Math" w:hAnsi="Cambria Math"/>
                      <w:i/>
                    </w:rPr>
                  </m:ctrlPr>
                </m:e>
                <m:sub>
                  <m:r>
                    <w:rPr>
                      <w:rFonts w:ascii="Cambria Math" w:hAnsi="Cambria Math"/>
                    </w:rPr>
                    <m:t>2</m:t>
                  </m:r>
                  <m:ctrlPr>
                    <w:rPr>
                      <w:rFonts w:ascii="Cambria Math" w:hAnsi="Cambria Math"/>
                      <w:i/>
                    </w:rPr>
                  </m:ctrlPr>
                </m:sub>
              </m:sSub>
              <m:r>
                <w:rPr>
                  <w:rFonts w:ascii="Cambria Math" w:hAnsi="Cambria Math"/>
                </w:rPr>
                <m:t>=30.0 m</m:t>
              </m:r>
              <m:ctrlPr>
                <w:rPr>
                  <w:rFonts w:ascii="Cambria Math" w:hAnsi="Cambria Math"/>
                </w:rPr>
              </m:ctrlPr>
            </m:e>
            <m:e>
              <m:sSub>
                <m:sSubPr>
                  <m:ctrlPr>
                    <w:rPr>
                      <w:rFonts w:ascii="Cambria Math" w:hAnsi="Cambria Math"/>
                      <w:i/>
                    </w:rPr>
                  </m:ctrlPr>
                </m:sSubPr>
                <m:e>
                  <m:r>
                    <w:rPr>
                      <w:rFonts w:ascii="Cambria Math" w:hAnsi="Cambria Math"/>
                    </w:rPr>
                    <m:t>x</m:t>
                  </m:r>
                  <m:ctrlPr>
                    <w:rPr>
                      <w:rFonts w:ascii="Cambria Math" w:hAnsi="Cambria Math"/>
                      <w:i/>
                    </w:rPr>
                  </m:ctrlPr>
                </m:e>
                <m:sub>
                  <m:r>
                    <w:rPr>
                      <w:rFonts w:ascii="Cambria Math" w:hAnsi="Cambria Math"/>
                    </w:rPr>
                    <m:t>3</m:t>
                  </m:r>
                  <m:ctrlPr>
                    <w:rPr>
                      <w:rFonts w:ascii="Cambria Math" w:hAnsi="Cambria Math"/>
                      <w:i/>
                    </w:rPr>
                  </m:ctrlPr>
                </m:sub>
              </m:sSub>
              <m:r>
                <w:rPr>
                  <w:rFonts w:ascii="Cambria Math" w:hAnsi="Cambria Math"/>
                </w:rPr>
                <m:t>=29.9 m</m:t>
              </m:r>
              <m:ctrlPr>
                <w:rPr>
                  <w:rFonts w:ascii="Cambria Math" w:hAnsi="Cambria Math"/>
                </w:rPr>
              </m:ctrlPr>
            </m:e>
          </m:mr>
          <m:mr>
            <m:e>
              <m:sSub>
                <m:sSubPr>
                  <m:ctrlPr>
                    <w:rPr>
                      <w:rFonts w:ascii="Cambria Math" w:hAnsi="Cambria Math"/>
                      <w:i/>
                    </w:rPr>
                  </m:ctrlPr>
                </m:sSubPr>
                <m:e>
                  <m:r>
                    <w:rPr>
                      <w:rFonts w:ascii="Cambria Math" w:hAnsi="Cambria Math"/>
                    </w:rPr>
                    <m:t>x</m:t>
                  </m:r>
                  <m:ctrlPr>
                    <w:rPr>
                      <w:rFonts w:ascii="Cambria Math" w:hAnsi="Cambria Math"/>
                      <w:i/>
                    </w:rPr>
                  </m:ctrlPr>
                </m:e>
                <m:sub>
                  <m:r>
                    <w:rPr>
                      <w:rFonts w:ascii="Cambria Math" w:hAnsi="Cambria Math"/>
                    </w:rPr>
                    <m:t>5</m:t>
                  </m:r>
                  <m:ctrlPr>
                    <w:rPr>
                      <w:rFonts w:ascii="Cambria Math" w:hAnsi="Cambria Math"/>
                      <w:i/>
                    </w:rPr>
                  </m:ctrlPr>
                </m:sub>
              </m:sSub>
              <m:r>
                <w:rPr>
                  <w:rFonts w:ascii="Cambria Math" w:hAnsi="Cambria Math"/>
                </w:rPr>
                <m:t>=30.2</m:t>
              </m:r>
              <m:r>
                <m:rPr>
                  <m:sty m:val="p"/>
                </m:rPr>
                <w:rPr>
                  <w:rFonts w:ascii="Cambria Math" w:hAnsi="Cambria Math"/>
                </w:rPr>
                <m:t xml:space="preserve"> </m:t>
              </m:r>
              <m:r>
                <w:rPr>
                  <w:rFonts w:ascii="Cambria Math" w:hAnsi="Cambria Math"/>
                </w:rPr>
                <m:t>m</m:t>
              </m:r>
              <m:ctrlPr>
                <w:rPr>
                  <w:rFonts w:ascii="Cambria Math" w:hAnsi="Cambria Math"/>
                </w:rPr>
              </m:ctrlPr>
            </m:e>
            <m:e>
              <m:sSub>
                <m:sSubPr>
                  <m:ctrlPr>
                    <w:rPr>
                      <w:rFonts w:ascii="Cambria Math" w:hAnsi="Cambria Math"/>
                      <w:i/>
                    </w:rPr>
                  </m:ctrlPr>
                </m:sSubPr>
                <m:e>
                  <m:r>
                    <w:rPr>
                      <w:rFonts w:ascii="Cambria Math" w:hAnsi="Cambria Math"/>
                    </w:rPr>
                    <m:t>x</m:t>
                  </m:r>
                  <m:ctrlPr>
                    <w:rPr>
                      <w:rFonts w:ascii="Cambria Math" w:hAnsi="Cambria Math"/>
                      <w:i/>
                    </w:rPr>
                  </m:ctrlPr>
                </m:e>
                <m:sub>
                  <m:r>
                    <w:rPr>
                      <w:rFonts w:ascii="Cambria Math" w:hAnsi="Cambria Math"/>
                    </w:rPr>
                    <m:t>6</m:t>
                  </m:r>
                  <m:ctrlPr>
                    <w:rPr>
                      <w:rFonts w:ascii="Cambria Math" w:hAnsi="Cambria Math"/>
                      <w:i/>
                    </w:rPr>
                  </m:ctrlPr>
                </m:sub>
              </m:sSub>
              <m:r>
                <w:rPr>
                  <w:rFonts w:ascii="Cambria Math" w:hAnsi="Cambria Math"/>
                </w:rPr>
                <m:t>=30.1</m:t>
              </m:r>
              <m:r>
                <m:rPr>
                  <m:sty m:val="p"/>
                </m:rPr>
                <w:rPr>
                  <w:rFonts w:ascii="Cambria Math" w:hAnsi="Cambria Math"/>
                </w:rPr>
                <m:t xml:space="preserve"> </m:t>
              </m:r>
              <m:r>
                <w:rPr>
                  <w:rFonts w:ascii="Cambria Math" w:hAnsi="Cambria Math"/>
                </w:rPr>
                <m:t>m</m:t>
              </m:r>
              <m:ctrlPr>
                <w:rPr>
                  <w:rFonts w:ascii="Cambria Math" w:hAnsi="Cambria Math"/>
                </w:rPr>
              </m:ctrlPr>
            </m:e>
            <m:e>
              <m:sSub>
                <m:sSubPr>
                  <m:ctrlPr>
                    <w:rPr>
                      <w:rFonts w:ascii="Cambria Math" w:hAnsi="Cambria Math"/>
                      <w:i/>
                    </w:rPr>
                  </m:ctrlPr>
                </m:sSubPr>
                <m:e>
                  <m:r>
                    <w:rPr>
                      <w:rFonts w:ascii="Cambria Math" w:hAnsi="Cambria Math"/>
                    </w:rPr>
                    <m:t>x</m:t>
                  </m:r>
                  <m:ctrlPr>
                    <w:rPr>
                      <w:rFonts w:ascii="Cambria Math" w:hAnsi="Cambria Math"/>
                      <w:i/>
                    </w:rPr>
                  </m:ctrlPr>
                </m:e>
                <m:sub>
                  <m:r>
                    <w:rPr>
                      <w:rFonts w:ascii="Cambria Math" w:hAnsi="Cambria Math"/>
                    </w:rPr>
                    <m:t>7</m:t>
                  </m:r>
                  <m:ctrlPr>
                    <w:rPr>
                      <w:rFonts w:ascii="Cambria Math" w:hAnsi="Cambria Math"/>
                      <w:i/>
                    </w:rPr>
                  </m:ctrlPr>
                </m:sub>
              </m:sSub>
              <m:r>
                <w:rPr>
                  <w:rFonts w:ascii="Cambria Math" w:hAnsi="Cambria Math"/>
                </w:rPr>
                <m:t>=30.1 m</m:t>
              </m:r>
              <m:ctrlPr>
                <w:rPr>
                  <w:rFonts w:ascii="Cambria Math" w:hAnsi="Cambria Math"/>
                </w:rPr>
              </m:ctrlPr>
            </m:e>
          </m:mr>
          <m:mr>
            <m:e>
              <m:sSub>
                <m:sSubPr>
                  <m:ctrlPr>
                    <w:rPr>
                      <w:rFonts w:ascii="Cambria Math" w:hAnsi="Cambria Math"/>
                      <w:i/>
                    </w:rPr>
                  </m:ctrlPr>
                </m:sSubPr>
                <m:e>
                  <m:r>
                    <w:rPr>
                      <w:rFonts w:ascii="Cambria Math" w:hAnsi="Cambria Math"/>
                    </w:rPr>
                    <m:t>x</m:t>
                  </m:r>
                  <m:ctrlPr>
                    <w:rPr>
                      <w:rFonts w:ascii="Cambria Math" w:hAnsi="Cambria Math"/>
                      <w:i/>
                    </w:rPr>
                  </m:ctrlPr>
                </m:e>
                <m:sub>
                  <m:r>
                    <w:rPr>
                      <w:rFonts w:ascii="Cambria Math" w:hAnsi="Cambria Math"/>
                    </w:rPr>
                    <m:t>9</m:t>
                  </m:r>
                  <m:ctrlPr>
                    <w:rPr>
                      <w:rFonts w:ascii="Cambria Math" w:hAnsi="Cambria Math"/>
                      <w:i/>
                    </w:rPr>
                  </m:ctrlPr>
                </m:sub>
              </m:sSub>
              <m:r>
                <w:rPr>
                  <w:rFonts w:ascii="Cambria Math" w:hAnsi="Cambria Math"/>
                </w:rPr>
                <m:t>=30.0m</m:t>
              </m:r>
              <m:ctrlPr>
                <w:rPr>
                  <w:rFonts w:ascii="Cambria Math" w:hAnsi="Cambria Math"/>
                </w:rPr>
              </m:ctrlPr>
            </m:e>
            <m:e>
              <m:sSub>
                <m:sSubPr>
                  <m:ctrlPr>
                    <w:rPr>
                      <w:rFonts w:ascii="Cambria Math" w:hAnsi="Cambria Math"/>
                      <w:i/>
                    </w:rPr>
                  </m:ctrlPr>
                </m:sSubPr>
                <m:e>
                  <m:r>
                    <w:rPr>
                      <w:rFonts w:ascii="Cambria Math" w:hAnsi="Cambria Math"/>
                    </w:rPr>
                    <m:t>x</m:t>
                  </m:r>
                  <m:ctrlPr>
                    <w:rPr>
                      <w:rFonts w:ascii="Cambria Math" w:hAnsi="Cambria Math"/>
                      <w:i/>
                    </w:rPr>
                  </m:ctrlPr>
                </m:e>
                <m:sub>
                  <m:r>
                    <w:rPr>
                      <w:rFonts w:ascii="Cambria Math" w:hAnsi="Cambria Math"/>
                    </w:rPr>
                    <m:t>10</m:t>
                  </m:r>
                  <m:ctrlPr>
                    <w:rPr>
                      <w:rFonts w:ascii="Cambria Math" w:hAnsi="Cambria Math"/>
                      <w:i/>
                    </w:rPr>
                  </m:ctrlPr>
                </m:sub>
              </m:sSub>
              <m:r>
                <w:rPr>
                  <w:rFonts w:ascii="Cambria Math" w:hAnsi="Cambria Math"/>
                </w:rPr>
                <m:t>=29.9</m:t>
              </m:r>
              <m:r>
                <m:rPr>
                  <m:sty m:val="p"/>
                </m:rPr>
                <w:rPr>
                  <w:rFonts w:ascii="Cambria Math" w:hAnsi="Cambria Math"/>
                </w:rPr>
                <m:t xml:space="preserve"> </m:t>
              </m:r>
              <m:r>
                <w:rPr>
                  <w:rFonts w:ascii="Cambria Math" w:hAnsi="Cambria Math"/>
                </w:rPr>
                <m:t>m</m:t>
              </m:r>
              <m:ctrlPr>
                <w:rPr>
                  <w:rFonts w:ascii="Cambria Math" w:hAnsi="Cambria Math"/>
                </w:rPr>
              </m:ctrlPr>
            </m:e>
            <m:e>
              <m:ctrlPr>
                <w:rPr>
                  <w:rFonts w:ascii="Cambria Math" w:hAnsi="Cambria Math"/>
                </w:rPr>
              </m:ctrlPr>
            </m:e>
          </m:mr>
        </m:m>
        <m:r>
          <w:rPr>
            <w:rFonts w:ascii="Cambria Math" w:hAnsi="Cambria Math"/>
          </w:rPr>
          <m:t xml:space="preserve">  </m:t>
        </m:r>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x</m:t>
                  </m:r>
                  <m:ctrlPr>
                    <w:rPr>
                      <w:rFonts w:ascii="Cambria Math" w:hAnsi="Cambria Math"/>
                      <w:i/>
                    </w:rPr>
                  </m:ctrlPr>
                </m:e>
                <m:sub>
                  <m:r>
                    <w:rPr>
                      <w:rFonts w:ascii="Cambria Math" w:hAnsi="Cambria Math"/>
                    </w:rPr>
                    <m:t>4</m:t>
                  </m:r>
                  <m:ctrlPr>
                    <w:rPr>
                      <w:rFonts w:ascii="Cambria Math" w:hAnsi="Cambria Math"/>
                      <w:i/>
                    </w:rPr>
                  </m:ctrlPr>
                </m:sub>
              </m:sSub>
              <m:r>
                <w:rPr>
                  <w:rFonts w:ascii="Cambria Math" w:hAnsi="Cambria Math"/>
                </w:rPr>
                <m:t>=30.1</m:t>
              </m:r>
              <m:r>
                <m:rPr>
                  <m:sty m:val="p"/>
                </m:rPr>
                <w:rPr>
                  <w:rFonts w:ascii="Cambria Math" w:hAnsi="Cambria Math"/>
                </w:rPr>
                <m:t xml:space="preserve"> </m:t>
              </m:r>
              <m:r>
                <w:rPr>
                  <w:rFonts w:ascii="Cambria Math" w:hAnsi="Cambria Math"/>
                </w:rPr>
                <m:t>m</m:t>
              </m:r>
              <m:ctrlPr>
                <w:rPr>
                  <w:rFonts w:ascii="Cambria Math" w:hAnsi="Cambria Math"/>
                  <w:i/>
                </w:rPr>
              </m:ctrlPr>
            </m:e>
          </m:mr>
          <m:mr>
            <m:e>
              <m:sSub>
                <m:sSubPr>
                  <m:ctrlPr>
                    <w:rPr>
                      <w:rFonts w:ascii="Cambria Math" w:hAnsi="Cambria Math"/>
                      <w:i/>
                    </w:rPr>
                  </m:ctrlPr>
                </m:sSubPr>
                <m:e>
                  <m:r>
                    <w:rPr>
                      <w:rFonts w:ascii="Cambria Math" w:hAnsi="Cambria Math"/>
                    </w:rPr>
                    <m:t>x</m:t>
                  </m:r>
                  <m:ctrlPr>
                    <w:rPr>
                      <w:rFonts w:ascii="Cambria Math" w:hAnsi="Cambria Math"/>
                      <w:i/>
                    </w:rPr>
                  </m:ctrlPr>
                </m:e>
                <m:sub>
                  <m:r>
                    <w:rPr>
                      <w:rFonts w:ascii="Cambria Math" w:hAnsi="Cambria Math"/>
                    </w:rPr>
                    <m:t>8</m:t>
                  </m:r>
                  <m:ctrlPr>
                    <w:rPr>
                      <w:rFonts w:ascii="Cambria Math" w:hAnsi="Cambria Math"/>
                      <w:i/>
                    </w:rPr>
                  </m:ctrlPr>
                </m:sub>
              </m:sSub>
              <m:r>
                <w:rPr>
                  <w:rFonts w:ascii="Cambria Math" w:hAnsi="Cambria Math"/>
                </w:rPr>
                <m:t>=29.9</m:t>
              </m:r>
              <m:r>
                <m:rPr>
                  <m:sty m:val="p"/>
                </m:rPr>
                <w:rPr>
                  <w:rFonts w:ascii="Cambria Math" w:hAnsi="Cambria Math"/>
                </w:rPr>
                <m:t xml:space="preserve"> </m:t>
              </m:r>
              <m:r>
                <w:rPr>
                  <w:rFonts w:ascii="Cambria Math" w:hAnsi="Cambria Math"/>
                </w:rPr>
                <m:t>m</m:t>
              </m:r>
              <m:ctrlPr>
                <w:rPr>
                  <w:rFonts w:ascii="Cambria Math" w:hAnsi="Cambria Math"/>
                  <w:i/>
                </w:rPr>
              </m:ctrlPr>
            </m:e>
          </m:mr>
          <m:mr>
            <m:e>
              <m:ctrlPr>
                <w:rPr>
                  <w:rFonts w:ascii="Cambria Math" w:hAnsi="Cambria Math"/>
                  <w:i/>
                </w:rPr>
              </m:ctrlPr>
            </m:e>
          </m:mr>
        </m:m>
      </m:oMath>
      <w:r>
        <w:tab/>
      </w:r>
      <w:r>
        <w:t xml:space="preserve">    (C</w:t>
      </w:r>
      <w:r>
        <w:rPr>
          <w:rFonts w:hint="eastAsia"/>
          <w:lang w:val="en-US" w:eastAsia="zh-CN"/>
        </w:rPr>
        <w:t>.</w:t>
      </w:r>
      <w:r>
        <w:t>6)</w:t>
      </w:r>
    </w:p>
    <w:p>
      <w:pPr>
        <w:spacing w:line="520" w:lineRule="exact"/>
        <w:ind w:firstLine="480" w:firstLineChars="200"/>
        <w:rPr>
          <w:sz w:val="24"/>
        </w:rPr>
      </w:pPr>
      <w:r>
        <w:rPr>
          <w:sz w:val="24"/>
        </w:rPr>
        <w:t>则10次测量结果的平均值为</w:t>
      </w:r>
    </w:p>
    <w:p>
      <w:pPr>
        <w:pStyle w:val="55"/>
      </w:pPr>
      <w:r>
        <w:tab/>
      </w:r>
      <m:oMath>
        <m:acc>
          <m:accPr>
            <m:chr m:val="̅"/>
            <m:ctrlPr>
              <w:rPr>
                <w:rFonts w:ascii="Cambria Math" w:hAnsi="Cambria Math"/>
              </w:rPr>
            </m:ctrlPr>
          </m:accPr>
          <m:e>
            <m:r>
              <w:rPr>
                <w:rFonts w:ascii="Cambria Math" w:hAnsi="Cambria Math"/>
              </w:rPr>
              <m:t>x</m:t>
            </m:r>
            <m:ctrlPr>
              <w:rPr>
                <w:rFonts w:ascii="Cambria Math" w:hAnsi="Cambria Math"/>
              </w:rPr>
            </m:ctrlPr>
          </m:e>
        </m:acc>
        <m: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ctrlPr>
                  <w:rPr>
                    <w:rFonts w:ascii="Cambria Math" w:hAnsi="Cambria Math"/>
                    <w:i/>
                  </w:rPr>
                </m:ctrlPr>
              </m:num>
              <m:den>
                <m:r>
                  <w:rPr>
                    <w:rFonts w:ascii="Cambria Math" w:hAnsi="Cambria Math"/>
                  </w:rPr>
                  <m:t>10</m:t>
                </m:r>
                <m:ctrlPr>
                  <w:rPr>
                    <w:rFonts w:ascii="Cambria Math" w:hAnsi="Cambria Math"/>
                    <w:i/>
                  </w:rPr>
                </m:ctrlPr>
              </m:den>
            </m:f>
            <m:nary>
              <m:naryPr>
                <m:chr m:val="∑"/>
                <m:limLoc m:val="undOvr"/>
                <m:ctrlPr>
                  <w:rPr>
                    <w:rFonts w:ascii="Cambria Math" w:hAnsi="Cambria Math"/>
                    <w:i/>
                  </w:rPr>
                </m:ctrlPr>
              </m:naryPr>
              <m:sub>
                <m:r>
                  <w:rPr>
                    <w:rFonts w:ascii="Cambria Math" w:hAnsi="Cambria Math"/>
                  </w:rPr>
                  <m:t>i=1</m:t>
                </m:r>
                <m:ctrlPr>
                  <w:rPr>
                    <w:rFonts w:ascii="Cambria Math" w:hAnsi="Cambria Math"/>
                    <w:i/>
                  </w:rPr>
                </m:ctrlPr>
              </m:sub>
              <m:sup>
                <m:r>
                  <w:rPr>
                    <w:rFonts w:ascii="Cambria Math" w:hAnsi="Cambria Math"/>
                  </w:rPr>
                  <m:t>10</m:t>
                </m:r>
                <m:ctrlPr>
                  <w:rPr>
                    <w:rFonts w:ascii="Cambria Math" w:hAnsi="Cambria Math"/>
                    <w:i/>
                  </w:rPr>
                </m:ctrlPr>
              </m:sup>
              <m:e>
                <m:sSub>
                  <m:sSubPr>
                    <m:ctrlPr>
                      <w:rPr>
                        <w:rFonts w:ascii="Cambria Math" w:hAnsi="Cambria Math"/>
                        <w:i/>
                      </w:rPr>
                    </m:ctrlPr>
                  </m:sSubPr>
                  <m:e>
                    <m:r>
                      <w:rPr>
                        <w:rFonts w:ascii="Cambria Math" w:hAnsi="Cambria Math"/>
                      </w:rPr>
                      <m:t>x</m:t>
                    </m:r>
                    <m:ctrlPr>
                      <w:rPr>
                        <w:rFonts w:ascii="Cambria Math" w:hAnsi="Cambria Math"/>
                        <w:i/>
                      </w:rPr>
                    </m:ctrlPr>
                  </m:e>
                  <m:sub>
                    <m:r>
                      <w:rPr>
                        <w:rFonts w:ascii="Cambria Math" w:hAnsi="Cambria Math"/>
                      </w:rPr>
                      <m:t>i</m:t>
                    </m:r>
                    <m:ctrlPr>
                      <w:rPr>
                        <w:rFonts w:ascii="Cambria Math" w:hAnsi="Cambria Math"/>
                        <w:i/>
                      </w:rPr>
                    </m:ctrlPr>
                  </m:sub>
                </m:sSub>
                <m:ctrlPr>
                  <w:rPr>
                    <w:rFonts w:ascii="Cambria Math" w:hAnsi="Cambria Math"/>
                    <w:i/>
                  </w:rPr>
                </m:ctrlPr>
              </m:e>
            </m:nary>
            <m:ctrlPr>
              <w:rPr>
                <w:rFonts w:ascii="Cambria Math" w:hAnsi="Cambria Math"/>
                <w:i/>
              </w:rPr>
            </m:ctrlPr>
          </m:e>
        </m:box>
        <m:r>
          <w:rPr>
            <w:rFonts w:ascii="Cambria Math" w:hAnsi="Cambria Math"/>
          </w:rPr>
          <m:t>=30.0 m</m:t>
        </m:r>
      </m:oMath>
      <w:r>
        <w:tab/>
      </w:r>
      <w:r>
        <w:t>(C</w:t>
      </w:r>
      <w:r>
        <w:rPr>
          <w:rFonts w:hint="eastAsia"/>
          <w:lang w:val="en-US" w:eastAsia="zh-CN"/>
        </w:rPr>
        <w:t>.</w:t>
      </w:r>
      <w:r>
        <w:t>7)</w:t>
      </w:r>
    </w:p>
    <w:p>
      <w:pPr>
        <w:spacing w:line="520" w:lineRule="exact"/>
        <w:ind w:firstLine="480" w:firstLineChars="200"/>
        <w:rPr>
          <w:sz w:val="24"/>
        </w:rPr>
      </w:pPr>
      <w:r>
        <w:rPr>
          <w:sz w:val="24"/>
        </w:rPr>
        <w:t>单次测量结果的实验标准差为</w:t>
      </w:r>
    </w:p>
    <w:p>
      <w:pPr>
        <w:pStyle w:val="55"/>
      </w:pPr>
      <w:r>
        <w:tab/>
      </w:r>
      <m:oMath>
        <m:r>
          <w:rPr>
            <w:rFonts w:ascii="Cambria Math" w:hAnsi="Cambria Math"/>
          </w:rPr>
          <m:t>s</m:t>
        </m:r>
        <m:d>
          <m:dPr>
            <m:ctrlPr>
              <w:rPr>
                <w:rFonts w:ascii="Cambria Math" w:hAnsi="Cambria Math"/>
                <w:i/>
              </w:rPr>
            </m:ctrlPr>
          </m:dPr>
          <m:e>
            <m:sSub>
              <m:sSubPr>
                <m:ctrlPr>
                  <w:rPr>
                    <w:rFonts w:ascii="Cambria Math" w:hAnsi="Cambria Math"/>
                    <w:i/>
                  </w:rPr>
                </m:ctrlPr>
              </m:sSubPr>
              <m:e>
                <m:r>
                  <w:rPr>
                    <w:rFonts w:ascii="Cambria Math" w:hAnsi="Cambria Math"/>
                  </w:rPr>
                  <m:t>x</m:t>
                </m:r>
                <m:ctrlPr>
                  <w:rPr>
                    <w:rFonts w:ascii="Cambria Math" w:hAnsi="Cambria Math"/>
                    <w:i/>
                  </w:rPr>
                </m:ctrlPr>
              </m:e>
              <m:sub>
                <m:r>
                  <w:rPr>
                    <w:rFonts w:ascii="Cambria Math" w:hAnsi="Cambria Math"/>
                  </w:rPr>
                  <m:t>i</m:t>
                </m:r>
                <m:ctrlPr>
                  <w:rPr>
                    <w:rFonts w:ascii="Cambria Math" w:hAnsi="Cambria Math"/>
                    <w:i/>
                  </w:rPr>
                </m:ctrlPr>
              </m:sub>
            </m:sSub>
            <m:ctrlPr>
              <w:rPr>
                <w:rFonts w:ascii="Cambria Math" w:hAnsi="Cambria Math"/>
                <w:i/>
              </w:rPr>
            </m:ctrlPr>
          </m:e>
        </m:d>
        <m:r>
          <w:rPr>
            <w:rFonts w:ascii="Cambria Math" w:hAnsi="Cambria Math"/>
          </w:rPr>
          <m:t>=</m:t>
        </m:r>
        <m:rad>
          <m:radPr>
            <m:degHide m:val="1"/>
            <m:ctrlPr>
              <w:rPr>
                <w:rFonts w:ascii="Cambria Math" w:hAnsi="Cambria Math"/>
                <w:i/>
              </w:rPr>
            </m:ctrlPr>
          </m:radPr>
          <m:deg>
            <m:ctrlPr>
              <w:rPr>
                <w:rFonts w:ascii="Cambria Math" w:hAnsi="Cambria Math"/>
                <w:i/>
              </w:rPr>
            </m:ctrlPr>
          </m:deg>
          <m:e>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ctrlPr>
                      <w:rPr>
                        <w:rFonts w:ascii="Cambria Math" w:hAnsi="Cambria Math"/>
                        <w:i/>
                      </w:rPr>
                    </m:ctrlPr>
                  </m:sub>
                  <m:sup>
                    <m:r>
                      <w:rPr>
                        <w:rFonts w:ascii="Cambria Math" w:hAnsi="Cambria Math"/>
                      </w:rPr>
                      <m:t>10</m:t>
                    </m:r>
                    <m:ctrlPr>
                      <w:rPr>
                        <w:rFonts w:ascii="Cambria Math" w:hAnsi="Cambria Math"/>
                        <w:i/>
                      </w:rPr>
                    </m:ctrlP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ctrlPr>
                                  <w:rPr>
                                    <w:rFonts w:ascii="Cambria Math" w:hAnsi="Cambria Math"/>
                                    <w:i/>
                                  </w:rPr>
                                </m:ctrlPr>
                              </m:e>
                              <m:sub>
                                <m:r>
                                  <w:rPr>
                                    <w:rFonts w:ascii="Cambria Math" w:hAnsi="Cambria Math"/>
                                  </w:rPr>
                                  <m:t>i</m:t>
                                </m:r>
                                <m:ctrlPr>
                                  <w:rPr>
                                    <w:rFonts w:ascii="Cambria Math" w:hAnsi="Cambria Math"/>
                                    <w:i/>
                                  </w:rPr>
                                </m:ctrlPr>
                              </m:sub>
                            </m:sSub>
                            <m:r>
                              <w:rPr>
                                <w:rFonts w:ascii="Cambria Math" w:hAnsi="Cambria Math"/>
                              </w:rPr>
                              <m:t>−</m:t>
                            </m:r>
                            <m:acc>
                              <m:accPr>
                                <m:chr m:val="̅"/>
                                <m:ctrlPr>
                                  <w:rPr>
                                    <w:rFonts w:ascii="Cambria Math" w:hAnsi="Cambria Math"/>
                                  </w:rPr>
                                </m:ctrlPr>
                              </m:accPr>
                              <m:e>
                                <m:r>
                                  <w:rPr>
                                    <w:rFonts w:ascii="Cambria Math" w:hAnsi="Cambria Math"/>
                                  </w:rPr>
                                  <m:t>x</m:t>
                                </m:r>
                                <m:ctrlPr>
                                  <w:rPr>
                                    <w:rFonts w:ascii="Cambria Math" w:hAnsi="Cambria Math"/>
                                  </w:rPr>
                                </m:ctrlPr>
                              </m:e>
                            </m:acc>
                            <m:ctrlPr>
                              <w:rPr>
                                <w:rFonts w:ascii="Cambria Math" w:hAnsi="Cambria Math"/>
                                <w:i/>
                              </w:rPr>
                            </m:ctrlPr>
                          </m:e>
                        </m:d>
                        <m:ctrlPr>
                          <w:rPr>
                            <w:rFonts w:ascii="Cambria Math" w:hAnsi="Cambria Math"/>
                            <w:i/>
                          </w:rPr>
                        </m:ctrlPr>
                      </m:e>
                      <m:sup>
                        <m:r>
                          <w:rPr>
                            <w:rFonts w:ascii="Cambria Math" w:hAnsi="Cambria Math"/>
                          </w:rPr>
                          <m:t>2</m:t>
                        </m:r>
                        <m:ctrlPr>
                          <w:rPr>
                            <w:rFonts w:ascii="Cambria Math" w:hAnsi="Cambria Math"/>
                            <w:i/>
                          </w:rPr>
                        </m:ctrlPr>
                      </m:sup>
                    </m:sSup>
                    <m:ctrlPr>
                      <w:rPr>
                        <w:rFonts w:ascii="Cambria Math" w:hAnsi="Cambria Math"/>
                        <w:i/>
                      </w:rPr>
                    </m:ctrlPr>
                  </m:e>
                </m:nary>
                <m:ctrlPr>
                  <w:rPr>
                    <w:rFonts w:ascii="Cambria Math" w:hAnsi="Cambria Math"/>
                    <w:i/>
                  </w:rPr>
                </m:ctrlPr>
              </m:num>
              <m:den>
                <m:r>
                  <w:rPr>
                    <w:rFonts w:ascii="Cambria Math" w:hAnsi="Cambria Math"/>
                  </w:rPr>
                  <m:t>9</m:t>
                </m:r>
                <m:ctrlPr>
                  <w:rPr>
                    <w:rFonts w:ascii="Cambria Math" w:hAnsi="Cambria Math"/>
                    <w:i/>
                  </w:rPr>
                </m:ctrlPr>
              </m:den>
            </m:f>
            <m:ctrlPr>
              <w:rPr>
                <w:rFonts w:ascii="Cambria Math" w:hAnsi="Cambria Math"/>
                <w:i/>
              </w:rPr>
            </m:ctrlPr>
          </m:e>
        </m:rad>
        <m:r>
          <w:rPr>
            <w:rFonts w:ascii="Cambria Math" w:hAnsi="Cambria Math"/>
          </w:rPr>
          <m:t xml:space="preserve">=0.12 </m:t>
        </m:r>
        <m:r>
          <m:rPr>
            <m:sty m:val="p"/>
          </m:rPr>
          <w:rPr>
            <w:rFonts w:ascii="Cambria Math" w:hAnsi="Cambria Math"/>
          </w:rPr>
          <m:t>m</m:t>
        </m:r>
      </m:oMath>
      <w:r>
        <w:tab/>
      </w:r>
      <w:r>
        <w:t>(C</w:t>
      </w:r>
      <w:r>
        <w:rPr>
          <w:rFonts w:hint="eastAsia"/>
          <w:lang w:val="en-US" w:eastAsia="zh-CN"/>
        </w:rPr>
        <w:t>.</w:t>
      </w:r>
      <w:r>
        <w:t>8)</w:t>
      </w:r>
    </w:p>
    <w:p>
      <w:pPr>
        <w:spacing w:line="520" w:lineRule="exact"/>
        <w:ind w:firstLine="480" w:firstLineChars="200"/>
        <w:rPr>
          <w:sz w:val="24"/>
        </w:rPr>
      </w:pPr>
      <w:r>
        <w:rPr>
          <w:sz w:val="24"/>
        </w:rPr>
        <w:t>因此，在</w:t>
      </w:r>
      <m:oMath>
        <m:sSub>
          <m:sSubPr>
            <m:ctrlPr>
              <w:rPr>
                <w:rFonts w:ascii="Cambria Math" w:hAnsi="Cambria Math"/>
                <w:i/>
                <w:sz w:val="24"/>
              </w:rPr>
            </m:ctrlPr>
          </m:sSubPr>
          <m:e>
            <m:r>
              <w:rPr>
                <w:rFonts w:ascii="Cambria Math" w:hAnsi="Cambria Math"/>
                <w:sz w:val="24"/>
              </w:rPr>
              <m:t>d</m:t>
            </m:r>
            <m:ctrlPr>
              <w:rPr>
                <w:rFonts w:ascii="Cambria Math" w:hAnsi="Cambria Math"/>
                <w:i/>
                <w:sz w:val="24"/>
              </w:rPr>
            </m:ctrlPr>
          </m:e>
          <m:sub>
            <m:r>
              <m:rPr>
                <m:sty m:val="p"/>
              </m:rPr>
              <w:rPr>
                <w:rFonts w:ascii="Cambria Math" w:hAnsi="Cambria Math"/>
                <w:sz w:val="24"/>
              </w:rPr>
              <m:t>0</m:t>
            </m:r>
            <m:ctrlPr>
              <w:rPr>
                <w:rFonts w:ascii="Cambria Math" w:hAnsi="Cambria Math"/>
                <w:i/>
                <w:sz w:val="24"/>
              </w:rPr>
            </m:ctrlPr>
          </m:sub>
        </m:sSub>
        <m:r>
          <w:rPr>
            <w:rFonts w:ascii="Cambria Math" w:hAnsi="Cambria Math"/>
            <w:sz w:val="24"/>
          </w:rPr>
          <m:t>=30m</m:t>
        </m:r>
      </m:oMath>
      <w:r>
        <w:rPr>
          <w:sz w:val="24"/>
        </w:rPr>
        <w:t>的距离位置处，由测量重复性引入的不确定度分量</w:t>
      </w:r>
      <m:oMath>
        <m:sSub>
          <m:sSubPr>
            <m:ctrlPr>
              <w:rPr>
                <w:rFonts w:ascii="Cambria Math" w:hAnsi="Cambria Math"/>
                <w:i/>
                <w:sz w:val="24"/>
              </w:rPr>
            </m:ctrlPr>
          </m:sSubPr>
          <m:e>
            <m:r>
              <w:rPr>
                <w:rFonts w:ascii="Cambria Math" w:hAnsi="Cambria Math"/>
                <w:sz w:val="24"/>
              </w:rPr>
              <m:t>u</m:t>
            </m:r>
            <m:ctrlPr>
              <w:rPr>
                <w:rFonts w:ascii="Cambria Math" w:hAnsi="Cambria Math"/>
                <w:i/>
                <w:sz w:val="24"/>
              </w:rPr>
            </m:ctrlPr>
          </m:e>
          <m:sub>
            <m:r>
              <w:rPr>
                <w:rFonts w:ascii="Cambria Math" w:hAnsi="Cambria Math"/>
                <w:sz w:val="24"/>
              </w:rPr>
              <m:t>1</m:t>
            </m:r>
            <m:ctrlPr>
              <w:rPr>
                <w:rFonts w:ascii="Cambria Math" w:hAnsi="Cambria Math"/>
                <w:i/>
                <w:sz w:val="24"/>
              </w:rPr>
            </m:ctrlPr>
          </m:sub>
        </m:sSub>
        <m:d>
          <m:dPr>
            <m:ctrlPr>
              <w:rPr>
                <w:rFonts w:ascii="Cambria Math" w:hAnsi="Cambria Math"/>
                <w:i/>
                <w:sz w:val="24"/>
              </w:rPr>
            </m:ctrlPr>
          </m:dPr>
          <m:e>
            <m:r>
              <w:rPr>
                <w:rFonts w:ascii="Cambria Math" w:hAnsi="Cambria Math"/>
                <w:sz w:val="24"/>
              </w:rPr>
              <m:t>v</m:t>
            </m:r>
            <m:ctrlPr>
              <w:rPr>
                <w:rFonts w:ascii="Cambria Math" w:hAnsi="Cambria Math"/>
                <w:i/>
                <w:sz w:val="24"/>
              </w:rPr>
            </m:ctrlPr>
          </m:e>
        </m:d>
      </m:oMath>
      <w:r>
        <w:rPr>
          <w:sz w:val="24"/>
        </w:rPr>
        <w:t>为</w:t>
      </w:r>
    </w:p>
    <w:p>
      <w:pPr>
        <w:pStyle w:val="55"/>
      </w:pPr>
      <w:r>
        <w:tab/>
      </w:r>
      <m:oMath>
        <m:sSub>
          <m:sSubPr>
            <m:ctrlPr>
              <w:rPr>
                <w:rFonts w:ascii="Cambria Math" w:hAnsi="Cambria Math"/>
                <w:i/>
              </w:rPr>
            </m:ctrlPr>
          </m:sSubPr>
          <m:e>
            <m:r>
              <w:rPr>
                <w:rFonts w:ascii="Cambria Math" w:hAnsi="Cambria Math"/>
              </w:rPr>
              <m:t>u</m:t>
            </m:r>
            <m:ctrlPr>
              <w:rPr>
                <w:rFonts w:ascii="Cambria Math" w:hAnsi="Cambria Math"/>
                <w:i/>
              </w:rPr>
            </m:ctrlPr>
          </m:e>
          <m:sub>
            <m:r>
              <w:rPr>
                <w:rFonts w:ascii="Cambria Math" w:hAnsi="Cambria Math"/>
              </w:rPr>
              <m:t>1</m:t>
            </m:r>
            <m:ctrlPr>
              <w:rPr>
                <w:rFonts w:ascii="Cambria Math" w:hAnsi="Cambria Math"/>
                <w:i/>
              </w:rPr>
            </m:ctrlPr>
          </m:sub>
        </m:sSub>
        <m:d>
          <m:dPr>
            <m:ctrlPr>
              <w:rPr>
                <w:rFonts w:ascii="Cambria Math" w:hAnsi="Cambria Math"/>
              </w:rPr>
            </m:ctrlPr>
          </m:dPr>
          <m:e>
            <m:r>
              <w:rPr>
                <w:rFonts w:ascii="Cambria Math" w:hAnsi="Cambria Math"/>
              </w:rPr>
              <m:t>d</m:t>
            </m:r>
            <m:ctrlPr>
              <w:rPr>
                <w:rFonts w:ascii="Cambria Math" w:hAnsi="Cambria Math"/>
              </w:rPr>
            </m:ctrlPr>
          </m:e>
        </m:d>
        <m: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s</m:t>
                </m:r>
                <m:d>
                  <m:dPr>
                    <m:ctrlPr>
                      <w:rPr>
                        <w:rFonts w:ascii="Cambria Math" w:hAnsi="Cambria Math"/>
                      </w:rPr>
                    </m:ctrlPr>
                  </m:dPr>
                  <m:e>
                    <m:sSub>
                      <m:sSubPr>
                        <m:ctrlPr>
                          <w:rPr>
                            <w:rFonts w:ascii="Cambria Math" w:hAnsi="Cambria Math"/>
                            <w:i/>
                          </w:rPr>
                        </m:ctrlPr>
                      </m:sSubPr>
                      <m:e>
                        <m:r>
                          <w:rPr>
                            <w:rFonts w:ascii="Cambria Math" w:hAnsi="Cambria Math"/>
                          </w:rPr>
                          <m:t>x</m:t>
                        </m:r>
                        <m:ctrlPr>
                          <w:rPr>
                            <w:rFonts w:ascii="Cambria Math" w:hAnsi="Cambria Math"/>
                            <w:i/>
                          </w:rPr>
                        </m:ctrlPr>
                      </m:e>
                      <m:sub>
                        <m:r>
                          <w:rPr>
                            <w:rFonts w:ascii="Cambria Math" w:hAnsi="Cambria Math"/>
                          </w:rPr>
                          <m:t>i</m:t>
                        </m:r>
                        <m:ctrlPr>
                          <w:rPr>
                            <w:rFonts w:ascii="Cambria Math" w:hAnsi="Cambria Math"/>
                            <w:i/>
                          </w:rPr>
                        </m:ctrlPr>
                      </m:sub>
                    </m:sSub>
                    <m:ctrlPr>
                      <w:rPr>
                        <w:rFonts w:ascii="Cambria Math" w:hAnsi="Cambria Math"/>
                      </w:rPr>
                    </m:ctrlPr>
                  </m:e>
                </m:d>
                <m:ctrlPr>
                  <w:rPr>
                    <w:rFonts w:ascii="Cambria Math" w:hAnsi="Cambria Math"/>
                    <w:i/>
                  </w:rPr>
                </m:ctrlPr>
              </m:num>
              <m:den>
                <m:rad>
                  <m:radPr>
                    <m:degHide m:val="1"/>
                    <m:ctrlPr>
                      <w:rPr>
                        <w:rFonts w:ascii="Cambria Math" w:hAnsi="Cambria Math"/>
                        <w:i/>
                      </w:rPr>
                    </m:ctrlPr>
                  </m:radPr>
                  <m:deg>
                    <m:ctrlPr>
                      <w:rPr>
                        <w:rFonts w:ascii="Cambria Math" w:hAnsi="Cambria Math"/>
                        <w:i/>
                      </w:rPr>
                    </m:ctrlPr>
                  </m:deg>
                  <m:e>
                    <m:r>
                      <w:rPr>
                        <w:rFonts w:ascii="Cambria Math" w:hAnsi="Cambria Math"/>
                      </w:rPr>
                      <m:t>10</m:t>
                    </m:r>
                    <m:ctrlPr>
                      <w:rPr>
                        <w:rFonts w:ascii="Cambria Math" w:hAnsi="Cambria Math"/>
                        <w:i/>
                      </w:rPr>
                    </m:ctrlPr>
                  </m:e>
                </m:rad>
                <m:ctrlPr>
                  <w:rPr>
                    <w:rFonts w:ascii="Cambria Math" w:hAnsi="Cambria Math"/>
                    <w:i/>
                  </w:rPr>
                </m:ctrlPr>
              </m:den>
            </m:f>
            <m:ctrlPr>
              <w:rPr>
                <w:rFonts w:ascii="Cambria Math" w:hAnsi="Cambria Math"/>
                <w:i/>
              </w:rPr>
            </m:ctrlPr>
          </m:e>
        </m:box>
        <m:r>
          <w:rPr>
            <w:rFonts w:ascii="Cambria Math" w:hAnsi="Cambria Math"/>
          </w:rPr>
          <m:t xml:space="preserve">=0.037 </m:t>
        </m:r>
        <m:r>
          <m:rPr>
            <m:sty m:val="p"/>
          </m:rPr>
          <w:rPr>
            <w:rFonts w:ascii="Cambria Math" w:hAnsi="Cambria Math"/>
          </w:rPr>
          <m:t>m</m:t>
        </m:r>
      </m:oMath>
      <w:r>
        <w:tab/>
      </w:r>
      <w:r>
        <w:t>(C</w:t>
      </w:r>
      <w:r>
        <w:rPr>
          <w:rFonts w:hint="eastAsia"/>
          <w:lang w:val="en-US" w:eastAsia="zh-CN"/>
        </w:rPr>
        <w:t>.</w:t>
      </w:r>
      <w:r>
        <w:t>9)</w:t>
      </w:r>
    </w:p>
    <w:p>
      <w:pPr>
        <w:spacing w:line="520" w:lineRule="exact"/>
        <w:ind w:firstLine="480" w:firstLineChars="200"/>
        <w:rPr>
          <w:sz w:val="24"/>
        </w:rPr>
      </w:pPr>
      <w:r>
        <w:rPr>
          <w:sz w:val="24"/>
        </w:rPr>
        <w:t>(2) 分辨力引入的不确定度分量</w:t>
      </w:r>
      <m:oMath>
        <m:sSub>
          <m:sSubPr>
            <m:ctrlPr>
              <w:rPr>
                <w:rFonts w:ascii="Cambria Math" w:hAnsi="Cambria Math"/>
                <w:i/>
                <w:sz w:val="24"/>
              </w:rPr>
            </m:ctrlPr>
          </m:sSubPr>
          <m:e>
            <m:r>
              <w:rPr>
                <w:rFonts w:ascii="Cambria Math" w:hAnsi="Cambria Math"/>
                <w:sz w:val="24"/>
              </w:rPr>
              <m:t>u</m:t>
            </m:r>
            <m:ctrlPr>
              <w:rPr>
                <w:rFonts w:ascii="Cambria Math" w:hAnsi="Cambria Math"/>
                <w:i/>
                <w:sz w:val="24"/>
              </w:rPr>
            </m:ctrlPr>
          </m:e>
          <m:sub>
            <m:r>
              <w:rPr>
                <w:rFonts w:ascii="Cambria Math" w:hAnsi="Cambria Math"/>
                <w:sz w:val="24"/>
              </w:rPr>
              <m:t>2</m:t>
            </m:r>
            <m:ctrlPr>
              <w:rPr>
                <w:rFonts w:ascii="Cambria Math" w:hAnsi="Cambria Math"/>
                <w:i/>
                <w:sz w:val="24"/>
              </w:rPr>
            </m:ctrlPr>
          </m:sub>
        </m:sSub>
        <m:d>
          <m:dPr>
            <m:ctrlPr>
              <w:rPr>
                <w:rFonts w:ascii="Cambria Math" w:hAnsi="Cambria Math"/>
                <w:i/>
                <w:sz w:val="24"/>
              </w:rPr>
            </m:ctrlPr>
          </m:dPr>
          <m:e>
            <m:r>
              <w:rPr>
                <w:rFonts w:ascii="Cambria Math" w:hAnsi="Cambria Math"/>
                <w:sz w:val="24"/>
              </w:rPr>
              <m:t>d</m:t>
            </m:r>
            <m:ctrlPr>
              <w:rPr>
                <w:rFonts w:ascii="Cambria Math" w:hAnsi="Cambria Math"/>
                <w:i/>
                <w:sz w:val="24"/>
              </w:rPr>
            </m:ctrlPr>
          </m:e>
        </m:d>
      </m:oMath>
    </w:p>
    <w:p>
      <w:pPr>
        <w:spacing w:line="520" w:lineRule="exact"/>
        <w:ind w:firstLine="480" w:firstLineChars="200"/>
        <w:rPr>
          <w:sz w:val="24"/>
        </w:rPr>
      </w:pPr>
      <w:r>
        <w:rPr>
          <w:sz w:val="24"/>
        </w:rPr>
        <w:t>该机场道面外来物探测设备的距离分辨力为0.1 m，则由此带来的不确定度分量</w:t>
      </w:r>
      <m:oMath>
        <m:sSub>
          <m:sSubPr>
            <m:ctrlPr>
              <w:rPr>
                <w:rFonts w:ascii="Cambria Math" w:hAnsi="Cambria Math"/>
                <w:i/>
                <w:sz w:val="24"/>
              </w:rPr>
            </m:ctrlPr>
          </m:sSubPr>
          <m:e>
            <m:r>
              <w:rPr>
                <w:rFonts w:ascii="Cambria Math" w:hAnsi="Cambria Math"/>
                <w:sz w:val="24"/>
              </w:rPr>
              <m:t>u</m:t>
            </m:r>
            <m:ctrlPr>
              <w:rPr>
                <w:rFonts w:ascii="Cambria Math" w:hAnsi="Cambria Math"/>
                <w:i/>
                <w:sz w:val="24"/>
              </w:rPr>
            </m:ctrlPr>
          </m:e>
          <m:sub>
            <m:r>
              <w:rPr>
                <w:rFonts w:ascii="Cambria Math" w:hAnsi="Cambria Math"/>
                <w:sz w:val="24"/>
              </w:rPr>
              <m:t>2</m:t>
            </m:r>
            <m:ctrlPr>
              <w:rPr>
                <w:rFonts w:ascii="Cambria Math" w:hAnsi="Cambria Math"/>
                <w:i/>
                <w:sz w:val="24"/>
              </w:rPr>
            </m:ctrlPr>
          </m:sub>
        </m:sSub>
        <m:d>
          <m:dPr>
            <m:ctrlPr>
              <w:rPr>
                <w:rFonts w:ascii="Cambria Math" w:hAnsi="Cambria Math"/>
                <w:i/>
                <w:sz w:val="24"/>
              </w:rPr>
            </m:ctrlPr>
          </m:dPr>
          <m:e>
            <m:r>
              <w:rPr>
                <w:rFonts w:ascii="Cambria Math" w:hAnsi="Cambria Math"/>
                <w:sz w:val="24"/>
              </w:rPr>
              <m:t>d</m:t>
            </m:r>
            <m:ctrlPr>
              <w:rPr>
                <w:rFonts w:ascii="Cambria Math" w:hAnsi="Cambria Math"/>
                <w:i/>
                <w:sz w:val="24"/>
              </w:rPr>
            </m:ctrlPr>
          </m:e>
        </m:d>
      </m:oMath>
      <w:r>
        <w:rPr>
          <w:sz w:val="24"/>
        </w:rPr>
        <w:t>为</w:t>
      </w:r>
    </w:p>
    <w:p>
      <w:pPr>
        <w:pStyle w:val="55"/>
      </w:pPr>
      <w:r>
        <w:tab/>
      </w:r>
      <m:oMath>
        <m:sSub>
          <m:sSubPr>
            <m:ctrlPr>
              <w:rPr>
                <w:rFonts w:ascii="Cambria Math" w:hAnsi="Cambria Math"/>
                <w:i/>
              </w:rPr>
            </m:ctrlPr>
          </m:sSubPr>
          <m:e>
            <m:r>
              <w:rPr>
                <w:rFonts w:ascii="Cambria Math" w:hAnsi="Cambria Math"/>
              </w:rPr>
              <m:t>u</m:t>
            </m:r>
            <m:ctrlPr>
              <w:rPr>
                <w:rFonts w:ascii="Cambria Math" w:hAnsi="Cambria Math"/>
                <w:i/>
              </w:rPr>
            </m:ctrlPr>
          </m:e>
          <m:sub>
            <m:r>
              <w:rPr>
                <w:rFonts w:ascii="Cambria Math" w:hAnsi="Cambria Math"/>
              </w:rPr>
              <m:t>2</m:t>
            </m:r>
            <m:ctrlPr>
              <w:rPr>
                <w:rFonts w:ascii="Cambria Math" w:hAnsi="Cambria Math"/>
                <w:i/>
              </w:rPr>
            </m:ctrlPr>
          </m:sub>
        </m:sSub>
        <m:d>
          <m:dPr>
            <m:ctrlPr>
              <w:rPr>
                <w:rFonts w:ascii="Cambria Math" w:hAnsi="Cambria Math"/>
              </w:rPr>
            </m:ctrlPr>
          </m:dPr>
          <m:e>
            <m:r>
              <w:rPr>
                <w:rFonts w:ascii="Cambria Math" w:hAnsi="Cambria Math"/>
              </w:rPr>
              <m:t>d</m:t>
            </m:r>
            <m:ctrlPr>
              <w:rPr>
                <w:rFonts w:ascii="Cambria Math" w:hAnsi="Cambria Math"/>
              </w:rPr>
            </m:ctrlPr>
          </m:e>
        </m:d>
        <m: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0.1</m:t>
                </m:r>
                <m:ctrlPr>
                  <w:rPr>
                    <w:rFonts w:ascii="Cambria Math" w:hAnsi="Cambria Math"/>
                    <w:i/>
                  </w:rPr>
                </m:ctrlPr>
              </m:num>
              <m:den>
                <m:r>
                  <w:rPr>
                    <w:rFonts w:ascii="Cambria Math" w:hAnsi="Cambria Math"/>
                  </w:rPr>
                  <m:t>2</m:t>
                </m:r>
                <m:rad>
                  <m:radPr>
                    <m:degHide m:val="1"/>
                    <m:ctrlPr>
                      <w:rPr>
                        <w:rFonts w:ascii="Cambria Math" w:hAnsi="Cambria Math"/>
                        <w:i/>
                      </w:rPr>
                    </m:ctrlPr>
                  </m:radPr>
                  <m:deg>
                    <m:ctrlPr>
                      <w:rPr>
                        <w:rFonts w:ascii="Cambria Math" w:hAnsi="Cambria Math"/>
                        <w:i/>
                      </w:rPr>
                    </m:ctrlPr>
                  </m:deg>
                  <m:e>
                    <m:r>
                      <w:rPr>
                        <w:rFonts w:ascii="Cambria Math" w:hAnsi="Cambria Math"/>
                      </w:rPr>
                      <m:t>3</m:t>
                    </m:r>
                    <m:ctrlPr>
                      <w:rPr>
                        <w:rFonts w:ascii="Cambria Math" w:hAnsi="Cambria Math"/>
                        <w:i/>
                      </w:rPr>
                    </m:ctrlPr>
                  </m:e>
                </m:rad>
                <m:ctrlPr>
                  <w:rPr>
                    <w:rFonts w:ascii="Cambria Math" w:hAnsi="Cambria Math"/>
                    <w:i/>
                  </w:rPr>
                </m:ctrlPr>
              </m:den>
            </m:f>
            <m:ctrlPr>
              <w:rPr>
                <w:rFonts w:ascii="Cambria Math" w:hAnsi="Cambria Math"/>
                <w:i/>
              </w:rPr>
            </m:ctrlPr>
          </m:e>
        </m:box>
        <m:r>
          <w:rPr>
            <w:rFonts w:ascii="Cambria Math" w:hAnsi="Cambria Math"/>
          </w:rPr>
          <m:t>=0.029</m:t>
        </m:r>
        <m:r>
          <m:rPr>
            <m:sty m:val="p"/>
          </m:rPr>
          <w:rPr>
            <w:rFonts w:ascii="Cambria Math" w:hAnsi="Cambria Math"/>
          </w:rPr>
          <m:t>m</m:t>
        </m:r>
      </m:oMath>
      <w:r>
        <w:tab/>
      </w:r>
      <w:r>
        <w:t>(C</w:t>
      </w:r>
      <w:r>
        <w:rPr>
          <w:rFonts w:hint="eastAsia"/>
          <w:lang w:val="en-US" w:eastAsia="zh-CN"/>
        </w:rPr>
        <w:t>.</w:t>
      </w:r>
      <w:r>
        <w:t>10)</w:t>
      </w:r>
    </w:p>
    <w:p>
      <w:pPr>
        <w:spacing w:line="520" w:lineRule="exact"/>
        <w:ind w:firstLine="480" w:firstLineChars="200"/>
        <w:rPr>
          <w:sz w:val="24"/>
        </w:rPr>
      </w:pPr>
      <w:r>
        <w:rPr>
          <w:sz w:val="24"/>
        </w:rPr>
        <w:t>取上述2个不确定度分量的较大值，故在30m的距离校准点上，机场道面外来物探测设备距离测量值的标准不确定度分量</w:t>
      </w:r>
      <m:oMath>
        <m:r>
          <w:rPr>
            <w:rFonts w:ascii="Cambria Math" w:hAnsi="Cambria Math"/>
            <w:sz w:val="24"/>
          </w:rPr>
          <m:t>u</m:t>
        </m:r>
        <m:d>
          <m:dPr>
            <m:ctrlPr>
              <w:rPr>
                <w:rFonts w:ascii="Cambria Math" w:hAnsi="Cambria Math"/>
                <w:i/>
                <w:sz w:val="24"/>
              </w:rPr>
            </m:ctrlPr>
          </m:dPr>
          <m:e>
            <m:r>
              <w:rPr>
                <w:rFonts w:ascii="Cambria Math" w:hAnsi="Cambria Math"/>
                <w:sz w:val="24"/>
              </w:rPr>
              <m:t>d</m:t>
            </m:r>
            <m:ctrlPr>
              <w:rPr>
                <w:rFonts w:ascii="Cambria Math" w:hAnsi="Cambria Math"/>
                <w:i/>
                <w:sz w:val="24"/>
              </w:rPr>
            </m:ctrlPr>
          </m:e>
        </m:d>
      </m:oMath>
      <w:r>
        <w:rPr>
          <w:sz w:val="24"/>
        </w:rPr>
        <w:t>为</w:t>
      </w:r>
    </w:p>
    <w:p>
      <w:pPr>
        <w:pStyle w:val="55"/>
      </w:pPr>
      <w:r>
        <w:tab/>
      </w:r>
      <m:oMath>
        <m:r>
          <w:rPr>
            <w:rFonts w:ascii="Cambria Math" w:hAnsi="Cambria Math"/>
          </w:rPr>
          <m:t>u</m:t>
        </m:r>
        <m:d>
          <m:dPr>
            <m:ctrlPr>
              <w:rPr>
                <w:rFonts w:ascii="Cambria Math" w:hAnsi="Cambria Math"/>
              </w:rPr>
            </m:ctrlPr>
          </m:dPr>
          <m:e>
            <m:r>
              <w:rPr>
                <w:rFonts w:ascii="Cambria Math" w:hAnsi="Cambria Math"/>
              </w:rPr>
              <m:t>d</m:t>
            </m:r>
            <m:ctrlPr>
              <w:rPr>
                <w:rFonts w:ascii="Cambria Math" w:hAnsi="Cambria Math"/>
              </w:rPr>
            </m:ctrlPr>
          </m:e>
        </m:d>
        <m:r>
          <w:rPr>
            <w:rFonts w:ascii="Cambria Math" w:hAnsi="Cambria Math"/>
          </w:rPr>
          <m:t>=</m:t>
        </m:r>
        <m:sSub>
          <m:sSubPr>
            <m:ctrlPr>
              <w:rPr>
                <w:rFonts w:ascii="Cambria Math" w:hAnsi="Cambria Math"/>
                <w:i/>
              </w:rPr>
            </m:ctrlPr>
          </m:sSubPr>
          <m:e>
            <m:r>
              <w:rPr>
                <w:rFonts w:ascii="Cambria Math" w:hAnsi="Cambria Math"/>
              </w:rPr>
              <m:t>u</m:t>
            </m:r>
            <m:ctrlPr>
              <w:rPr>
                <w:rFonts w:ascii="Cambria Math" w:hAnsi="Cambria Math"/>
                <w:i/>
              </w:rPr>
            </m:ctrlPr>
          </m:e>
          <m:sub>
            <m:r>
              <w:rPr>
                <w:rFonts w:ascii="Cambria Math" w:hAnsi="Cambria Math"/>
              </w:rPr>
              <m:t>1</m:t>
            </m:r>
            <m:ctrlPr>
              <w:rPr>
                <w:rFonts w:ascii="Cambria Math" w:hAnsi="Cambria Math"/>
                <w:i/>
              </w:rPr>
            </m:ctrlPr>
          </m:sub>
        </m:sSub>
        <m:d>
          <m:dPr>
            <m:ctrlPr>
              <w:rPr>
                <w:rFonts w:ascii="Cambria Math" w:hAnsi="Cambria Math"/>
              </w:rPr>
            </m:ctrlPr>
          </m:dPr>
          <m:e>
            <m:r>
              <w:rPr>
                <w:rFonts w:ascii="Cambria Math" w:hAnsi="Cambria Math"/>
              </w:rPr>
              <m:t>d</m:t>
            </m:r>
            <m:ctrlPr>
              <w:rPr>
                <w:rFonts w:ascii="Cambria Math" w:hAnsi="Cambria Math"/>
              </w:rPr>
            </m:ctrlPr>
          </m:e>
        </m:d>
        <m:r>
          <w:rPr>
            <w:rFonts w:ascii="Cambria Math" w:hAnsi="Cambria Math"/>
          </w:rPr>
          <m:t xml:space="preserve">=0.037 </m:t>
        </m:r>
        <m:r>
          <m:rPr>
            <m:sty m:val="p"/>
          </m:rPr>
          <w:rPr>
            <w:rFonts w:ascii="Cambria Math" w:hAnsi="Cambria Math"/>
          </w:rPr>
          <m:t>m</m:t>
        </m:r>
      </m:oMath>
      <w:r>
        <w:tab/>
      </w:r>
      <w:r>
        <w:t>(C</w:t>
      </w:r>
      <w:r>
        <w:rPr>
          <w:rFonts w:hint="eastAsia"/>
          <w:lang w:val="en-US" w:eastAsia="zh-CN"/>
        </w:rPr>
        <w:t>.</w:t>
      </w:r>
      <w:r>
        <w:t>11)</w:t>
      </w:r>
    </w:p>
    <w:p/>
    <w:p>
      <w:pPr>
        <w:spacing w:line="480" w:lineRule="auto"/>
        <w:rPr>
          <w:sz w:val="24"/>
        </w:rPr>
      </w:pPr>
      <w:bookmarkStart w:id="36" w:name="_Toc330722635"/>
      <w:r>
        <w:rPr>
          <w:sz w:val="24"/>
        </w:rPr>
        <w:t>C.4</w:t>
      </w:r>
      <w:r>
        <w:rPr>
          <w:sz w:val="24"/>
        </w:rPr>
        <w:tab/>
      </w:r>
      <w:r>
        <w:rPr>
          <w:sz w:val="24"/>
        </w:rPr>
        <w:t>相关性</w:t>
      </w:r>
      <w:bookmarkEnd w:id="36"/>
    </w:p>
    <w:p>
      <w:pPr>
        <w:spacing w:line="520" w:lineRule="exact"/>
        <w:ind w:firstLine="480" w:firstLineChars="200"/>
        <w:rPr>
          <w:sz w:val="24"/>
        </w:rPr>
      </w:pPr>
      <w:r>
        <w:rPr>
          <w:sz w:val="24"/>
        </w:rPr>
        <w:t>各输入量之间不存在需要考虑的相关性。</w:t>
      </w:r>
    </w:p>
    <w:p>
      <w:pPr>
        <w:spacing w:line="480" w:lineRule="auto"/>
        <w:rPr>
          <w:sz w:val="24"/>
        </w:rPr>
      </w:pPr>
      <w:bookmarkStart w:id="37" w:name="_Toc330722636"/>
      <w:r>
        <w:rPr>
          <w:sz w:val="24"/>
        </w:rPr>
        <w:t>C.5</w:t>
      </w:r>
      <w:r>
        <w:rPr>
          <w:sz w:val="24"/>
        </w:rPr>
        <w:tab/>
      </w:r>
      <w:r>
        <w:rPr>
          <w:sz w:val="24"/>
        </w:rPr>
        <w:t>合成标准不确定度</w:t>
      </w:r>
      <w:bookmarkEnd w:id="37"/>
    </w:p>
    <w:p>
      <w:pPr>
        <w:spacing w:line="520" w:lineRule="exact"/>
        <w:ind w:firstLine="480" w:firstLineChars="200"/>
        <w:rPr>
          <w:sz w:val="24"/>
        </w:rPr>
      </w:pPr>
      <w:r>
        <w:rPr>
          <w:sz w:val="24"/>
        </w:rPr>
        <w:t>根据式(C</w:t>
      </w:r>
      <w:r>
        <w:rPr>
          <w:rFonts w:hint="eastAsia"/>
          <w:sz w:val="24"/>
          <w:lang w:val="en-US" w:eastAsia="zh-CN"/>
        </w:rPr>
        <w:t>.</w:t>
      </w:r>
      <w:r>
        <w:rPr>
          <w:sz w:val="24"/>
        </w:rPr>
        <w:t>4)，在30m距离校准点上的合成标准不确定度为</w:t>
      </w:r>
    </w:p>
    <w:p>
      <w:pPr>
        <w:pStyle w:val="55"/>
      </w:pPr>
      <w:r>
        <w:tab/>
      </w:r>
      <m:oMath>
        <m:sSub>
          <m:sSubPr>
            <m:ctrlPr>
              <w:rPr>
                <w:rFonts w:ascii="Cambria Math" w:hAnsi="Cambria Math"/>
                <w:i/>
              </w:rPr>
            </m:ctrlPr>
          </m:sSubPr>
          <m:e>
            <m:r>
              <w:rPr>
                <w:rFonts w:ascii="Cambria Math" w:hAnsi="Cambria Math"/>
              </w:rPr>
              <m:t>u</m:t>
            </m:r>
            <m:ctrlPr>
              <w:rPr>
                <w:rFonts w:ascii="Cambria Math" w:hAnsi="Cambria Math"/>
                <w:i/>
              </w:rPr>
            </m:ctrlPr>
          </m:e>
          <m:sub>
            <m:r>
              <m:rPr>
                <m:sty m:val="p"/>
              </m:rPr>
              <w:rPr>
                <w:rFonts w:ascii="Cambria Math" w:hAnsi="Cambria Math"/>
              </w:rPr>
              <m:t>c</m:t>
            </m:r>
            <m:ctrlPr>
              <w:rPr>
                <w:rFonts w:ascii="Cambria Math" w:hAnsi="Cambria Math"/>
                <w:i/>
              </w:rPr>
            </m:ctrlPr>
          </m:sub>
        </m:sSub>
        <m:d>
          <m:dPr>
            <m:ctrlPr>
              <w:rPr>
                <w:rFonts w:ascii="Cambria Math" w:hAnsi="Cambria Math"/>
                <w:i/>
              </w:rPr>
            </m:ctrlPr>
          </m:dPr>
          <m:e>
            <m:r>
              <w:rPr>
                <w:rFonts w:ascii="Cambria Math" w:hAnsi="Cambria Math"/>
              </w:rPr>
              <m:t>∆d</m:t>
            </m:r>
            <m:ctrlPr>
              <w:rPr>
                <w:rFonts w:ascii="Cambria Math" w:hAnsi="Cambria Math"/>
                <w:i/>
              </w:rPr>
            </m:ctrlPr>
          </m:e>
        </m:d>
        <m:r>
          <w:rPr>
            <w:rFonts w:ascii="Cambria Math" w:hAnsi="Cambria Math"/>
          </w:rPr>
          <m:t>=</m:t>
        </m:r>
        <m:rad>
          <m:radPr>
            <m:degHide m:val="1"/>
            <m:ctrlPr>
              <w:rPr>
                <w:rFonts w:ascii="Cambria Math" w:hAnsi="Cambria Math"/>
                <w:i/>
              </w:rPr>
            </m:ctrlPr>
          </m:radPr>
          <m:deg>
            <m:ctrlPr>
              <w:rPr>
                <w:rFonts w:ascii="Cambria Math" w:hAnsi="Cambria Math"/>
                <w:i/>
              </w:rPr>
            </m:ctrlPr>
          </m:deg>
          <m:e>
            <m:sSup>
              <m:sSupPr>
                <m:ctrlPr>
                  <w:rPr>
                    <w:rFonts w:ascii="Cambria Math" w:hAnsi="Cambria Math"/>
                    <w:i/>
                  </w:rPr>
                </m:ctrlPr>
              </m:sSupPr>
              <m:e>
                <m:r>
                  <w:rPr>
                    <w:rFonts w:ascii="Cambria Math" w:hAnsi="Cambria Math"/>
                  </w:rPr>
                  <m:t>u</m:t>
                </m:r>
                <m:ctrlPr>
                  <w:rPr>
                    <w:rFonts w:ascii="Cambria Math" w:hAnsi="Cambria Math"/>
                    <w:i/>
                  </w:rPr>
                </m:ctrlPr>
              </m:e>
              <m:sup>
                <m:r>
                  <w:rPr>
                    <w:rFonts w:ascii="Cambria Math" w:hAnsi="Cambria Math"/>
                  </w:rPr>
                  <m:t>2</m:t>
                </m:r>
                <m:ctrlPr>
                  <w:rPr>
                    <w:rFonts w:ascii="Cambria Math" w:hAnsi="Cambria Math"/>
                    <w:i/>
                  </w:rPr>
                </m:ctrlPr>
              </m:sup>
            </m:sSup>
            <m:d>
              <m:dPr>
                <m:ctrlPr>
                  <w:rPr>
                    <w:rFonts w:ascii="Cambria Math" w:hAnsi="Cambria Math"/>
                  </w:rPr>
                </m:ctrlPr>
              </m:dPr>
              <m:e>
                <m:r>
                  <w:rPr>
                    <w:rFonts w:ascii="Cambria Math" w:hAnsi="Cambria Math"/>
                  </w:rPr>
                  <m:t>d</m:t>
                </m:r>
                <m:ctrlPr>
                  <w:rPr>
                    <w:rFonts w:ascii="Cambria Math" w:hAnsi="Cambria Math"/>
                  </w:rPr>
                </m:ctrlPr>
              </m:e>
            </m:d>
            <m:r>
              <w:rPr>
                <w:rFonts w:ascii="Cambria Math" w:hAnsi="Cambria Math"/>
              </w:rPr>
              <m:t>+</m:t>
            </m:r>
            <m:sSup>
              <m:sSupPr>
                <m:ctrlPr>
                  <w:rPr>
                    <w:rFonts w:ascii="Cambria Math" w:hAnsi="Cambria Math"/>
                    <w:i/>
                  </w:rPr>
                </m:ctrlPr>
              </m:sSupPr>
              <m:e>
                <m:r>
                  <w:rPr>
                    <w:rFonts w:ascii="Cambria Math" w:hAnsi="Cambria Math"/>
                  </w:rPr>
                  <m:t>u</m:t>
                </m:r>
                <m:ctrlPr>
                  <w:rPr>
                    <w:rFonts w:ascii="Cambria Math" w:hAnsi="Cambria Math"/>
                    <w:i/>
                  </w:rPr>
                </m:ctrlPr>
              </m:e>
              <m:sup>
                <m:r>
                  <w:rPr>
                    <w:rFonts w:ascii="Cambria Math" w:hAnsi="Cambria Math"/>
                  </w:rPr>
                  <m:t>2</m:t>
                </m:r>
                <m:ctrlPr>
                  <w:rPr>
                    <w:rFonts w:ascii="Cambria Math" w:hAnsi="Cambria Math"/>
                    <w:i/>
                  </w:rPr>
                </m:ctrlPr>
              </m:sup>
            </m:sSup>
            <m:d>
              <m:dPr>
                <m:ctrlPr>
                  <w:rPr>
                    <w:rFonts w:ascii="Cambria Math" w:hAnsi="Cambria Math"/>
                  </w:rPr>
                </m:ctrlPr>
              </m:dPr>
              <m:e>
                <m:sSub>
                  <m:sSubPr>
                    <m:ctrlPr>
                      <w:rPr>
                        <w:rFonts w:ascii="Cambria Math" w:hAnsi="Cambria Math"/>
                        <w:i/>
                      </w:rPr>
                    </m:ctrlPr>
                  </m:sSubPr>
                  <m:e>
                    <m:r>
                      <w:rPr>
                        <w:rFonts w:ascii="Cambria Math" w:hAnsi="Cambria Math"/>
                      </w:rPr>
                      <m:t>d</m:t>
                    </m:r>
                    <m:ctrlPr>
                      <w:rPr>
                        <w:rFonts w:ascii="Cambria Math" w:hAnsi="Cambria Math"/>
                        <w:i/>
                      </w:rPr>
                    </m:ctrlPr>
                  </m:e>
                  <m:sub>
                    <m:r>
                      <w:rPr>
                        <w:rFonts w:ascii="Cambria Math" w:hAnsi="Cambria Math"/>
                      </w:rPr>
                      <m:t>0</m:t>
                    </m:r>
                    <m:ctrlPr>
                      <w:rPr>
                        <w:rFonts w:ascii="Cambria Math" w:hAnsi="Cambria Math"/>
                        <w:i/>
                      </w:rPr>
                    </m:ctrlPr>
                  </m:sub>
                </m:sSub>
                <m:ctrlPr>
                  <w:rPr>
                    <w:rFonts w:ascii="Cambria Math" w:hAnsi="Cambria Math"/>
                  </w:rPr>
                </m:ctrlPr>
              </m:e>
            </m:d>
            <m:ctrlPr>
              <w:rPr>
                <w:rFonts w:ascii="Cambria Math" w:hAnsi="Cambria Math"/>
                <w:i/>
              </w:rPr>
            </m:ctrlPr>
          </m:e>
        </m:rad>
        <m:r>
          <w:rPr>
            <w:rFonts w:ascii="Cambria Math" w:hAnsi="Cambria Math"/>
          </w:rPr>
          <m:t>=</m:t>
        </m:r>
        <m:rad>
          <m:radPr>
            <m:degHide m:val="1"/>
            <m:ctrlPr>
              <w:rPr>
                <w:rFonts w:ascii="Cambria Math" w:hAnsi="Cambria Math"/>
                <w:i/>
              </w:rPr>
            </m:ctrlPr>
          </m:radPr>
          <m:deg>
            <m:ctrlPr>
              <w:rPr>
                <w:rFonts w:ascii="Cambria Math" w:hAnsi="Cambria Math"/>
                <w:i/>
              </w:rPr>
            </m:ctrlPr>
          </m:deg>
          <m:e>
            <m:sSup>
              <m:sSupPr>
                <m:ctrlPr>
                  <w:rPr>
                    <w:rFonts w:ascii="Cambria Math" w:hAnsi="Cambria Math"/>
                    <w:i/>
                  </w:rPr>
                </m:ctrlPr>
              </m:sSupPr>
              <m:e>
                <m:r>
                  <w:rPr>
                    <w:rFonts w:ascii="Cambria Math" w:hAnsi="Cambria Math"/>
                  </w:rPr>
                  <m:t>0.037</m:t>
                </m:r>
                <m:ctrlPr>
                  <w:rPr>
                    <w:rFonts w:ascii="Cambria Math" w:hAnsi="Cambria Math"/>
                    <w:i/>
                  </w:rPr>
                </m:ctrlPr>
              </m:e>
              <m:sup>
                <m:r>
                  <w:rPr>
                    <w:rFonts w:ascii="Cambria Math" w:hAnsi="Cambria Math"/>
                  </w:rPr>
                  <m:t>2</m:t>
                </m:r>
                <m:ctrlPr>
                  <w:rPr>
                    <w:rFonts w:ascii="Cambria Math" w:hAnsi="Cambria Math"/>
                    <w:i/>
                  </w:rPr>
                </m:ctrlPr>
              </m:sup>
            </m:sSup>
            <m:r>
              <w:rPr>
                <w:rFonts w:ascii="Cambria Math" w:hAnsi="Cambria Math"/>
              </w:rPr>
              <m:t>+</m:t>
            </m:r>
            <m:sSup>
              <m:sSupPr>
                <m:ctrlPr>
                  <w:rPr>
                    <w:rFonts w:ascii="Cambria Math" w:hAnsi="Cambria Math"/>
                    <w:i/>
                  </w:rPr>
                </m:ctrlPr>
              </m:sSupPr>
              <m:e>
                <m:r>
                  <w:rPr>
                    <w:rFonts w:ascii="Cambria Math" w:hAnsi="Cambria Math"/>
                  </w:rPr>
                  <m:t>0.058</m:t>
                </m:r>
                <m:ctrlPr>
                  <w:rPr>
                    <w:rFonts w:ascii="Cambria Math" w:hAnsi="Cambria Math"/>
                    <w:i/>
                  </w:rPr>
                </m:ctrlPr>
              </m:e>
              <m:sup>
                <m:r>
                  <w:rPr>
                    <w:rFonts w:ascii="Cambria Math" w:hAnsi="Cambria Math"/>
                  </w:rPr>
                  <m:t>2</m:t>
                </m:r>
                <m:ctrlPr>
                  <w:rPr>
                    <w:rFonts w:ascii="Cambria Math" w:hAnsi="Cambria Math"/>
                    <w:i/>
                  </w:rPr>
                </m:ctrlPr>
              </m:sup>
            </m:sSup>
            <m:ctrlPr>
              <w:rPr>
                <w:rFonts w:ascii="Cambria Math" w:hAnsi="Cambria Math"/>
                <w:i/>
              </w:rPr>
            </m:ctrlPr>
          </m:e>
        </m:rad>
        <m:r>
          <w:rPr>
            <w:rFonts w:ascii="Cambria Math" w:hAnsi="Cambria Math"/>
          </w:rPr>
          <m:t>=0.069m</m:t>
        </m:r>
      </m:oMath>
      <w:r>
        <w:tab/>
      </w:r>
      <w:r>
        <w:t>(C</w:t>
      </w:r>
      <w:r>
        <w:rPr>
          <w:rFonts w:hint="eastAsia"/>
          <w:lang w:val="en-US" w:eastAsia="zh-CN"/>
        </w:rPr>
        <w:t>.</w:t>
      </w:r>
      <w:r>
        <w:t>12)</w:t>
      </w:r>
    </w:p>
    <w:p>
      <w:pPr>
        <w:spacing w:line="480" w:lineRule="auto"/>
        <w:rPr>
          <w:sz w:val="24"/>
        </w:rPr>
      </w:pPr>
      <w:bookmarkStart w:id="38" w:name="_Toc330722637"/>
      <w:r>
        <w:rPr>
          <w:sz w:val="24"/>
        </w:rPr>
        <w:t>C.6</w:t>
      </w:r>
      <w:r>
        <w:rPr>
          <w:sz w:val="24"/>
        </w:rPr>
        <w:tab/>
      </w:r>
      <w:r>
        <w:rPr>
          <w:sz w:val="24"/>
        </w:rPr>
        <w:t>扩展不确定度</w:t>
      </w:r>
      <w:bookmarkEnd w:id="38"/>
    </w:p>
    <w:p>
      <w:pPr>
        <w:spacing w:line="520" w:lineRule="exact"/>
        <w:ind w:firstLine="480" w:firstLineChars="200"/>
        <w:rPr>
          <w:sz w:val="24"/>
        </w:rPr>
      </w:pPr>
      <w:r>
        <w:rPr>
          <w:sz w:val="24"/>
        </w:rPr>
        <w:t>取包含因子</w:t>
      </w:r>
      <m:oMath>
        <m:r>
          <w:rPr>
            <w:rFonts w:ascii="Cambria Math" w:hAnsi="Cambria Math"/>
            <w:sz w:val="24"/>
          </w:rPr>
          <m:t>k=2</m:t>
        </m:r>
      </m:oMath>
      <w:r>
        <w:rPr>
          <w:sz w:val="24"/>
        </w:rPr>
        <w:t>，于是在30m距离校准点上的扩展不确定度为</w:t>
      </w:r>
    </w:p>
    <w:p>
      <w:pPr>
        <w:pStyle w:val="55"/>
      </w:pPr>
      <w:r>
        <w:tab/>
      </w:r>
      <m:oMath>
        <m:r>
          <w:rPr>
            <w:rFonts w:ascii="Cambria Math" w:hAnsi="Cambria Math"/>
          </w:rPr>
          <m:t>U</m:t>
        </m:r>
        <m:d>
          <m:dPr>
            <m:ctrlPr>
              <w:rPr>
                <w:rFonts w:ascii="Cambria Math" w:hAnsi="Cambria Math"/>
              </w:rPr>
            </m:ctrlPr>
          </m:dPr>
          <m:e>
            <m:r>
              <w:rPr>
                <w:rFonts w:ascii="Cambria Math" w:hAnsi="Cambria Math"/>
              </w:rPr>
              <m:t>∆d</m:t>
            </m:r>
            <m:ctrlPr>
              <w:rPr>
                <w:rFonts w:ascii="Cambria Math" w:hAnsi="Cambria Math"/>
              </w:rPr>
            </m:ctrlPr>
          </m:e>
        </m:d>
        <m:r>
          <w:rPr>
            <w:rFonts w:ascii="Cambria Math" w:hAnsi="Cambria Math"/>
          </w:rPr>
          <m:t>=k∙</m:t>
        </m:r>
        <m:sSub>
          <m:sSubPr>
            <m:ctrlPr>
              <w:rPr>
                <w:rFonts w:ascii="Cambria Math" w:hAnsi="Cambria Math"/>
                <w:i/>
              </w:rPr>
            </m:ctrlPr>
          </m:sSubPr>
          <m:e>
            <m:r>
              <w:rPr>
                <w:rFonts w:ascii="Cambria Math" w:hAnsi="Cambria Math"/>
              </w:rPr>
              <m:t>u</m:t>
            </m:r>
            <m:ctrlPr>
              <w:rPr>
                <w:rFonts w:ascii="Cambria Math" w:hAnsi="Cambria Math"/>
                <w:i/>
              </w:rPr>
            </m:ctrlPr>
          </m:e>
          <m:sub>
            <m:r>
              <m:rPr>
                <m:sty m:val="p"/>
              </m:rPr>
              <w:rPr>
                <w:rFonts w:ascii="Cambria Math" w:hAnsi="Cambria Math"/>
              </w:rPr>
              <m:t>c</m:t>
            </m:r>
            <m:ctrlPr>
              <w:rPr>
                <w:rFonts w:ascii="Cambria Math" w:hAnsi="Cambria Math"/>
                <w:i/>
              </w:rPr>
            </m:ctrlPr>
          </m:sub>
        </m:sSub>
        <m:d>
          <m:dPr>
            <m:ctrlPr>
              <w:rPr>
                <w:rFonts w:ascii="Cambria Math" w:hAnsi="Cambria Math"/>
                <w:i/>
              </w:rPr>
            </m:ctrlPr>
          </m:dPr>
          <m:e>
            <m:r>
              <w:rPr>
                <w:rFonts w:ascii="Cambria Math" w:hAnsi="Cambria Math"/>
              </w:rPr>
              <m:t>∆d</m:t>
            </m:r>
            <m:ctrlPr>
              <w:rPr>
                <w:rFonts w:ascii="Cambria Math" w:hAnsi="Cambria Math"/>
                <w:i/>
              </w:rPr>
            </m:ctrlPr>
          </m:e>
        </m:d>
        <m:r>
          <w:rPr>
            <w:rFonts w:ascii="Cambria Math" w:hAnsi="Cambria Math"/>
          </w:rPr>
          <m:t>=0.14m</m:t>
        </m:r>
      </m:oMath>
      <w:r>
        <w:tab/>
      </w:r>
      <w:r>
        <w:t>(C</w:t>
      </w:r>
      <w:r>
        <w:rPr>
          <w:rFonts w:hint="eastAsia"/>
          <w:lang w:val="en-US" w:eastAsia="zh-CN"/>
        </w:rPr>
        <w:t>.</w:t>
      </w:r>
      <w:r>
        <w:t>13)</w:t>
      </w:r>
    </w:p>
    <w:p>
      <w:pPr>
        <w:spacing w:line="480" w:lineRule="auto"/>
        <w:rPr>
          <w:sz w:val="24"/>
        </w:rPr>
      </w:pPr>
      <w:r>
        <w:rPr>
          <w:sz w:val="24"/>
        </w:rPr>
        <w:t>C.7</w:t>
      </w:r>
      <w:r>
        <w:rPr>
          <w:sz w:val="24"/>
        </w:rPr>
        <w:tab/>
      </w:r>
      <w:r>
        <w:rPr>
          <w:sz w:val="24"/>
        </w:rPr>
        <w:t>结论</w:t>
      </w:r>
    </w:p>
    <w:p>
      <w:pPr>
        <w:spacing w:line="520" w:lineRule="exact"/>
        <w:ind w:firstLine="480" w:firstLineChars="200"/>
        <w:rPr>
          <w:sz w:val="24"/>
        </w:rPr>
      </w:pPr>
      <w:r>
        <w:rPr>
          <w:sz w:val="24"/>
        </w:rPr>
        <w:t>该款现场测速标准装置在30.0m距离校准点上的测距平均值为30.00 m，模拟测速误差扩展不确定度为0.14m (</w:t>
      </w:r>
      <w:r>
        <w:rPr>
          <w:i/>
          <w:sz w:val="24"/>
        </w:rPr>
        <w:t>k</w:t>
      </w:r>
      <w:r>
        <w:rPr>
          <w:sz w:val="24"/>
        </w:rPr>
        <w:t>=2)。</w:t>
      </w:r>
    </w:p>
    <w:p>
      <w:pPr>
        <w:pStyle w:val="35"/>
        <w:ind w:firstLine="420"/>
        <w:rPr>
          <w:rFonts w:ascii="Times New Roman"/>
        </w:rPr>
      </w:pPr>
    </w:p>
    <w:p>
      <w:pPr>
        <w:pStyle w:val="35"/>
        <w:ind w:firstLine="420"/>
        <w:rPr>
          <w:rFonts w:ascii="Times New Roman"/>
        </w:rPr>
      </w:pPr>
    </w:p>
    <w:sectPr>
      <w:pgSz w:w="11906" w:h="16838"/>
      <w:pgMar w:top="1440" w:right="1800" w:bottom="1440" w:left="1800" w:header="907" w:footer="680"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E-BZ">
    <w:altName w:val="Segoe Print"/>
    <w:panose1 w:val="00000000000000000000"/>
    <w:charset w:val="00"/>
    <w:family w:val="auto"/>
    <w:pitch w:val="default"/>
    <w:sig w:usb0="00000000" w:usb1="00000000" w:usb2="00000000" w:usb3="00000000" w:csb0="00000000" w:csb1="00000000"/>
  </w:font>
  <w:font w:name="E-BX">
    <w:altName w:val="Segoe Print"/>
    <w:panose1 w:val="00000000000000000000"/>
    <w:charset w:val="00"/>
    <w:family w:val="auto"/>
    <w:pitch w:val="default"/>
    <w:sig w:usb0="00000000" w:usb1="00000000" w:usb2="00000000" w:usb3="00000000" w:csb0="00000000" w:csb1="00000000"/>
  </w:font>
  <w:font w:name="FZFSK--GBK1-0">
    <w:altName w:val="Segoe Print"/>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Cambria Math">
    <w:panose1 w:val="02040503050406030204"/>
    <w:charset w:val="00"/>
    <w:family w:val="roman"/>
    <w:pitch w:val="default"/>
    <w:sig w:usb0="E00002FF" w:usb1="420024FF" w:usb2="00000000" w:usb3="00000000" w:csb0="200001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pPr>
      <w:pStyle w:val="18"/>
      <w:jc w:val="center"/>
    </w:pPr>
    <w:r>
      <w:fldChar w:fldCharType="begin"/>
    </w:r>
    <w:r>
      <w:instrText xml:space="preserve"> PAGE   \* MERGEFORMAT 2</w:instrText>
    </w:r>
    <w:r>
      <w:rPr>
        <w:lang w:val="zh-CN"/>
      </w:rPr>
      <w:instrText xml:space="preserve">2</w:instrTex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黑体" w:eastAsia="黑体"/>
        <w:szCs w:val="21"/>
      </w:rPr>
    </w:pPr>
  </w:p>
  <w:p>
    <w:pPr>
      <w:pStyle w:val="18"/>
      <w:framePr w:wrap="around" w:vAnchor="text" w:hAnchor="margin" w:xAlign="center" w:y="1"/>
      <w:rPr>
        <w:rStyle w:val="28"/>
      </w:rPr>
    </w:pPr>
    <w:r>
      <w:fldChar w:fldCharType="begin"/>
    </w:r>
    <w:r>
      <w:rPr>
        <w:rStyle w:val="28"/>
      </w:rPr>
      <w:instrText xml:space="preserve">PAGE  </w:instrText>
    </w:r>
    <w:r>
      <w:fldChar w:fldCharType="separate"/>
    </w:r>
    <w:r>
      <w:rPr>
        <w:rStyle w:val="28"/>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p>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黑体" w:eastAsia="黑体"/>
        <w:szCs w:val="2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fldChar w:fldCharType="begin"/>
    </w:r>
    <w:r>
      <w:instrText xml:space="preserve">PAGE   \* MERGEFORMAT</w:instrText>
    </w:r>
    <w:r>
      <w:fldChar w:fldCharType="separate"/>
    </w:r>
    <w:r>
      <w:rPr>
        <w:lang w:val="zh-CN"/>
      </w:rPr>
      <w:t>II</w:t>
    </w:r>
    <w:r>
      <w:rPr>
        <w:lang w:val="zh-CN"/>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right"/>
    </w:pPr>
    <w:r>
      <w:fldChar w:fldCharType="begin"/>
    </w:r>
    <w:r>
      <w:instrText xml:space="preserve">PAGE   \* MERGEFORMAT</w:instrText>
    </w:r>
    <w:r>
      <w:fldChar w:fldCharType="separate"/>
    </w:r>
    <w:r>
      <w:rPr>
        <w:lang w:val="zh-CN"/>
      </w:rPr>
      <w:t>I</w:t>
    </w:r>
    <w:r>
      <w:rPr>
        <w:lang w:val="zh-CN"/>
      </w:rPr>
      <w:fldChar w:fldCharType="end"/>
    </w:r>
  </w:p>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right"/>
      <w:rPr>
        <w:rStyle w:val="28"/>
      </w:rPr>
    </w:pPr>
    <w:r>
      <w:fldChar w:fldCharType="begin"/>
    </w:r>
    <w:r>
      <w:instrText xml:space="preserve">PAGE   \* MERGEFORMAT</w:instrText>
    </w:r>
    <w:r>
      <w:fldChar w:fldCharType="separate"/>
    </w:r>
    <w:r>
      <w:rPr>
        <w:lang w:val="zh-CN"/>
      </w:rPr>
      <w:t>15</w:t>
    </w:r>
    <w:r>
      <w:rPr>
        <w:lang w:val="zh-CN"/>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fldChar w:fldCharType="begin"/>
    </w:r>
    <w:r>
      <w:instrText xml:space="preserve">PAGE   \* MERGEFORMAT</w:instrText>
    </w:r>
    <w:r>
      <w:fldChar w:fldCharType="separate"/>
    </w:r>
    <w:r>
      <w:rPr>
        <w:lang w:val="zh-CN"/>
      </w:rPr>
      <w:t>14</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rPr>
        <w:rFonts w:ascii="黑体" w:hAnsi="黑体" w:eastAsia="黑体"/>
      </w:rPr>
    </w:pPr>
    <w:r>
      <w:rPr>
        <w:rFonts w:hint="eastAsia" w:ascii="黑体" w:hAnsi="黑体" w:eastAsia="黑体"/>
      </w:rPr>
      <w:t xml:space="preserve">JJF </w:t>
    </w:r>
    <w:r>
      <w:rPr>
        <w:rFonts w:ascii="黑体" w:hAnsi="黑体" w:eastAsia="黑体"/>
      </w:rPr>
      <w:t>XXXX-</w:t>
    </w:r>
    <w:r>
      <w:rPr>
        <w:rFonts w:hint="eastAsia" w:ascii="黑体" w:hAnsi="黑体" w:eastAsia="黑体"/>
      </w:rPr>
      <w:t>20</w:t>
    </w:r>
    <w:r>
      <w:rPr>
        <w:rFonts w:ascii="黑体" w:hAnsi="黑体" w:eastAsia="黑体"/>
      </w:rPr>
      <w:t>2X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rPr>
        <w:sz w:val="21"/>
      </w:rPr>
    </w:pPr>
    <w:r>
      <w:rPr>
        <w:rFonts w:hint="eastAsia"/>
        <w:sz w:val="21"/>
      </w:rPr>
      <w:t xml:space="preserve">JJF </w:t>
    </w:r>
    <w:r>
      <w:rPr>
        <w:sz w:val="21"/>
      </w:rPr>
      <w:t>XXXX-202X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1"/>
      </w:pBdr>
      <w:jc w:val="center"/>
    </w:pPr>
    <w:r>
      <w:rPr>
        <w:rFonts w:hint="eastAsia"/>
      </w:rPr>
      <w:t xml:space="preserve">JJF </w:t>
    </w:r>
    <w:r>
      <w:t>XXXX-</w:t>
    </w:r>
    <w:r>
      <w:rPr>
        <w:rFonts w:hint="eastAsia"/>
      </w:rPr>
      <w:t>20</w:t>
    </w:r>
    <w:r>
      <w:t>2</w:t>
    </w:r>
    <w:r>
      <w:rPr>
        <w:rFonts w:hint="eastAsia"/>
      </w:rPr>
      <w:t>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A"/>
    <w:multiLevelType w:val="multilevel"/>
    <w:tmpl w:val="0000001A"/>
    <w:lvl w:ilvl="0" w:tentative="0">
      <w:start w:val="1"/>
      <w:numFmt w:val="decimal"/>
      <w:pStyle w:val="34"/>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00000023"/>
    <w:multiLevelType w:val="multilevel"/>
    <w:tmpl w:val="00000023"/>
    <w:lvl w:ilvl="0" w:tentative="0">
      <w:start w:val="1"/>
      <w:numFmt w:val="lowerLetter"/>
      <w:pStyle w:val="52"/>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UxODE1ZGJlNjJiMzI3OTAyNzllODc3MmU3ZGI3YmIifQ=="/>
  </w:docVars>
  <w:rsids>
    <w:rsidRoot w:val="00675EFD"/>
    <w:rsid w:val="00030201"/>
    <w:rsid w:val="000945FC"/>
    <w:rsid w:val="001F73E7"/>
    <w:rsid w:val="00233360"/>
    <w:rsid w:val="00262BAB"/>
    <w:rsid w:val="00300663"/>
    <w:rsid w:val="00350211"/>
    <w:rsid w:val="00393D33"/>
    <w:rsid w:val="003A3DB3"/>
    <w:rsid w:val="00417BD4"/>
    <w:rsid w:val="0043160D"/>
    <w:rsid w:val="00477018"/>
    <w:rsid w:val="004B39A0"/>
    <w:rsid w:val="004D20B6"/>
    <w:rsid w:val="004D4B7A"/>
    <w:rsid w:val="00572F13"/>
    <w:rsid w:val="005956EA"/>
    <w:rsid w:val="00675EFD"/>
    <w:rsid w:val="006A3303"/>
    <w:rsid w:val="006B5B0D"/>
    <w:rsid w:val="006E0351"/>
    <w:rsid w:val="0073512E"/>
    <w:rsid w:val="00752D61"/>
    <w:rsid w:val="00764B9E"/>
    <w:rsid w:val="00800D5E"/>
    <w:rsid w:val="00855F26"/>
    <w:rsid w:val="008E4F18"/>
    <w:rsid w:val="009A136E"/>
    <w:rsid w:val="009A5429"/>
    <w:rsid w:val="00A01B04"/>
    <w:rsid w:val="00AD0647"/>
    <w:rsid w:val="00B2093C"/>
    <w:rsid w:val="00BC5106"/>
    <w:rsid w:val="00BE7A16"/>
    <w:rsid w:val="00C25AB1"/>
    <w:rsid w:val="00C8199E"/>
    <w:rsid w:val="00CF0A1C"/>
    <w:rsid w:val="00D37CDC"/>
    <w:rsid w:val="00D456F6"/>
    <w:rsid w:val="00D91621"/>
    <w:rsid w:val="00ED58A4"/>
    <w:rsid w:val="00EF589F"/>
    <w:rsid w:val="00F62C64"/>
    <w:rsid w:val="00F9375C"/>
    <w:rsid w:val="06AB431A"/>
    <w:rsid w:val="06D01FD2"/>
    <w:rsid w:val="07797F74"/>
    <w:rsid w:val="09772110"/>
    <w:rsid w:val="0A0408BC"/>
    <w:rsid w:val="0F6D575B"/>
    <w:rsid w:val="10626F0F"/>
    <w:rsid w:val="111A4958"/>
    <w:rsid w:val="11543352"/>
    <w:rsid w:val="12152F8F"/>
    <w:rsid w:val="12E52961"/>
    <w:rsid w:val="15C9192A"/>
    <w:rsid w:val="1A1E49AB"/>
    <w:rsid w:val="1C335AFA"/>
    <w:rsid w:val="280A4AA5"/>
    <w:rsid w:val="2ABF1892"/>
    <w:rsid w:val="2B4774E5"/>
    <w:rsid w:val="2E4827B8"/>
    <w:rsid w:val="35864E2B"/>
    <w:rsid w:val="395F4A2E"/>
    <w:rsid w:val="3A2D0010"/>
    <w:rsid w:val="3EC128B3"/>
    <w:rsid w:val="3F071A76"/>
    <w:rsid w:val="3F3D5593"/>
    <w:rsid w:val="4123304C"/>
    <w:rsid w:val="50C21CE9"/>
    <w:rsid w:val="539006CC"/>
    <w:rsid w:val="53B91355"/>
    <w:rsid w:val="54AB6860"/>
    <w:rsid w:val="5B9A45CC"/>
    <w:rsid w:val="67117F6D"/>
    <w:rsid w:val="671F2508"/>
    <w:rsid w:val="6ABB43EB"/>
    <w:rsid w:val="6B22547A"/>
    <w:rsid w:val="6CDB6AF8"/>
    <w:rsid w:val="73484A11"/>
    <w:rsid w:val="771E54EC"/>
    <w:rsid w:val="781D1FBF"/>
    <w:rsid w:val="7C743857"/>
    <w:rsid w:val="7CB12966"/>
    <w:rsid w:val="7D1454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qFormat="1" w:unhideWhenUsed="0"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spacing w:line="360" w:lineRule="auto"/>
      <w:jc w:val="center"/>
      <w:outlineLvl w:val="2"/>
    </w:pPr>
    <w:rPr>
      <w:b/>
      <w:color w:val="FF0000"/>
      <w:sz w:val="44"/>
    </w:rPr>
  </w:style>
  <w:style w:type="character" w:default="1" w:styleId="27">
    <w:name w:val="Default Paragraph Font"/>
    <w:semiHidden/>
    <w:unhideWhenUsed/>
    <w:qFormat/>
    <w:uiPriority w:val="1"/>
  </w:style>
  <w:style w:type="table" w:default="1" w:styleId="32">
    <w:name w:val="Normal Table"/>
    <w:semiHidden/>
    <w:unhideWhenUsed/>
    <w:qFormat/>
    <w:uiPriority w:val="99"/>
    <w:tblPr>
      <w:tblLayout w:type="fixed"/>
      <w:tblCellMar>
        <w:top w:w="0" w:type="dxa"/>
        <w:left w:w="108" w:type="dxa"/>
        <w:bottom w:w="0" w:type="dxa"/>
        <w:right w:w="108" w:type="dxa"/>
      </w:tblCellMar>
    </w:tblPr>
  </w:style>
  <w:style w:type="paragraph" w:styleId="5">
    <w:name w:val="annotation subject"/>
    <w:basedOn w:val="6"/>
    <w:next w:val="6"/>
    <w:link w:val="41"/>
    <w:qFormat/>
    <w:uiPriority w:val="99"/>
    <w:rPr>
      <w:b/>
      <w:bCs/>
    </w:rPr>
  </w:style>
  <w:style w:type="paragraph" w:styleId="6">
    <w:name w:val="annotation text"/>
    <w:basedOn w:val="1"/>
    <w:link w:val="40"/>
    <w:qFormat/>
    <w:uiPriority w:val="99"/>
    <w:pPr>
      <w:jc w:val="left"/>
    </w:pPr>
  </w:style>
  <w:style w:type="paragraph" w:styleId="7">
    <w:name w:val="toc 7"/>
    <w:basedOn w:val="1"/>
    <w:next w:val="1"/>
    <w:qFormat/>
    <w:uiPriority w:val="0"/>
    <w:pPr>
      <w:ind w:left="2520" w:leftChars="1200"/>
    </w:pPr>
  </w:style>
  <w:style w:type="paragraph" w:styleId="8">
    <w:name w:val="caption"/>
    <w:basedOn w:val="1"/>
    <w:next w:val="1"/>
    <w:link w:val="51"/>
    <w:qFormat/>
    <w:uiPriority w:val="35"/>
    <w:pPr>
      <w:adjustRightInd w:val="0"/>
      <w:snapToGrid w:val="0"/>
      <w:spacing w:before="152" w:after="160" w:line="360" w:lineRule="auto"/>
      <w:jc w:val="center"/>
    </w:pPr>
    <w:rPr>
      <w:rFonts w:ascii="Arial" w:hAnsi="Arial" w:eastAsia="黑体" w:cs="Arial"/>
      <w:sz w:val="24"/>
      <w:szCs w:val="20"/>
    </w:rPr>
  </w:style>
  <w:style w:type="paragraph" w:styleId="9">
    <w:name w:val="Body Text"/>
    <w:basedOn w:val="1"/>
    <w:qFormat/>
    <w:uiPriority w:val="0"/>
    <w:pPr>
      <w:spacing w:line="360" w:lineRule="auto"/>
      <w:jc w:val="center"/>
    </w:pPr>
    <w:rPr>
      <w:b/>
      <w:sz w:val="44"/>
    </w:rPr>
  </w:style>
  <w:style w:type="paragraph" w:styleId="10">
    <w:name w:val="Body Text Indent"/>
    <w:basedOn w:val="1"/>
    <w:qFormat/>
    <w:uiPriority w:val="0"/>
    <w:pPr>
      <w:spacing w:line="360" w:lineRule="auto"/>
      <w:ind w:firstLine="540" w:firstLineChars="225"/>
    </w:pPr>
    <w:rPr>
      <w:sz w:val="24"/>
    </w:rPr>
  </w:style>
  <w:style w:type="paragraph" w:styleId="11">
    <w:name w:val="toc 5"/>
    <w:basedOn w:val="1"/>
    <w:next w:val="1"/>
    <w:qFormat/>
    <w:uiPriority w:val="0"/>
    <w:pPr>
      <w:ind w:left="1680" w:leftChars="800"/>
    </w:pPr>
  </w:style>
  <w:style w:type="paragraph" w:styleId="12">
    <w:name w:val="toc 3"/>
    <w:basedOn w:val="1"/>
    <w:next w:val="1"/>
    <w:qFormat/>
    <w:uiPriority w:val="0"/>
    <w:pPr>
      <w:ind w:left="840" w:leftChars="400"/>
    </w:pPr>
  </w:style>
  <w:style w:type="paragraph" w:styleId="13">
    <w:name w:val="Plain Text"/>
    <w:basedOn w:val="1"/>
    <w:qFormat/>
    <w:uiPriority w:val="0"/>
    <w:rPr>
      <w:rFonts w:ascii="宋体" w:hAnsi="Courier New"/>
      <w:szCs w:val="21"/>
    </w:rPr>
  </w:style>
  <w:style w:type="paragraph" w:styleId="14">
    <w:name w:val="toc 8"/>
    <w:basedOn w:val="1"/>
    <w:next w:val="1"/>
    <w:qFormat/>
    <w:uiPriority w:val="0"/>
    <w:pPr>
      <w:ind w:left="2940" w:leftChars="1400"/>
    </w:pPr>
  </w:style>
  <w:style w:type="paragraph" w:styleId="15">
    <w:name w:val="Date"/>
    <w:basedOn w:val="1"/>
    <w:next w:val="1"/>
    <w:link w:val="46"/>
    <w:qFormat/>
    <w:uiPriority w:val="0"/>
    <w:pPr>
      <w:ind w:left="100" w:leftChars="2500"/>
    </w:pPr>
  </w:style>
  <w:style w:type="paragraph" w:styleId="16">
    <w:name w:val="Body Text Indent 2"/>
    <w:basedOn w:val="1"/>
    <w:qFormat/>
    <w:uiPriority w:val="0"/>
    <w:pPr>
      <w:spacing w:line="360" w:lineRule="auto"/>
      <w:ind w:left="-2" w:leftChars="-1" w:firstLine="1"/>
    </w:pPr>
    <w:rPr>
      <w:sz w:val="24"/>
    </w:rPr>
  </w:style>
  <w:style w:type="paragraph" w:styleId="17">
    <w:name w:val="Balloon Text"/>
    <w:basedOn w:val="1"/>
    <w:link w:val="42"/>
    <w:qFormat/>
    <w:uiPriority w:val="99"/>
    <w:rPr>
      <w:sz w:val="18"/>
      <w:szCs w:val="18"/>
    </w:rPr>
  </w:style>
  <w:style w:type="paragraph" w:styleId="18">
    <w:name w:val="footer"/>
    <w:basedOn w:val="1"/>
    <w:link w:val="38"/>
    <w:qFormat/>
    <w:uiPriority w:val="99"/>
    <w:pPr>
      <w:tabs>
        <w:tab w:val="center" w:pos="4153"/>
        <w:tab w:val="right" w:pos="8306"/>
      </w:tabs>
      <w:snapToGrid w:val="0"/>
      <w:jc w:val="left"/>
    </w:pPr>
    <w:rPr>
      <w:sz w:val="18"/>
      <w:szCs w:val="18"/>
    </w:rPr>
  </w:style>
  <w:style w:type="paragraph" w:styleId="19">
    <w:name w:val="header"/>
    <w:basedOn w:val="1"/>
    <w:link w:val="37"/>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style>
  <w:style w:type="paragraph" w:styleId="21">
    <w:name w:val="toc 4"/>
    <w:basedOn w:val="1"/>
    <w:next w:val="1"/>
    <w:qFormat/>
    <w:uiPriority w:val="0"/>
    <w:pPr>
      <w:ind w:left="1260" w:leftChars="600"/>
    </w:pPr>
  </w:style>
  <w:style w:type="paragraph" w:styleId="22">
    <w:name w:val="toc 6"/>
    <w:basedOn w:val="1"/>
    <w:next w:val="1"/>
    <w:qFormat/>
    <w:uiPriority w:val="0"/>
    <w:pPr>
      <w:ind w:left="2100" w:leftChars="1000"/>
    </w:pPr>
  </w:style>
  <w:style w:type="paragraph" w:styleId="23">
    <w:name w:val="Body Text Indent 3"/>
    <w:basedOn w:val="1"/>
    <w:qFormat/>
    <w:uiPriority w:val="0"/>
    <w:pPr>
      <w:ind w:firstLine="538" w:firstLineChars="192"/>
    </w:pPr>
    <w:rPr>
      <w:rFonts w:ascii="宋体" w:hAnsi="宋体"/>
      <w:sz w:val="28"/>
    </w:rPr>
  </w:style>
  <w:style w:type="paragraph" w:styleId="24">
    <w:name w:val="toc 2"/>
    <w:basedOn w:val="1"/>
    <w:next w:val="1"/>
    <w:qFormat/>
    <w:uiPriority w:val="39"/>
    <w:pPr>
      <w:ind w:left="420" w:leftChars="200"/>
    </w:pPr>
  </w:style>
  <w:style w:type="paragraph" w:styleId="25">
    <w:name w:val="toc 9"/>
    <w:basedOn w:val="1"/>
    <w:next w:val="1"/>
    <w:qFormat/>
    <w:uiPriority w:val="0"/>
    <w:pPr>
      <w:ind w:left="3360" w:leftChars="1600"/>
    </w:pPr>
  </w:style>
  <w:style w:type="paragraph" w:styleId="26">
    <w:name w:val="Title"/>
    <w:basedOn w:val="1"/>
    <w:qFormat/>
    <w:uiPriority w:val="0"/>
    <w:pPr>
      <w:spacing w:line="360" w:lineRule="auto"/>
      <w:ind w:left="6375" w:firstLine="425"/>
      <w:jc w:val="center"/>
    </w:pPr>
    <w:rPr>
      <w:rFonts w:eastAsia="黑体"/>
      <w:sz w:val="60"/>
      <w:szCs w:val="20"/>
    </w:rPr>
  </w:style>
  <w:style w:type="character" w:styleId="28">
    <w:name w:val="page number"/>
    <w:basedOn w:val="27"/>
    <w:qFormat/>
    <w:uiPriority w:val="0"/>
  </w:style>
  <w:style w:type="character" w:styleId="29">
    <w:name w:val="FollowedHyperlink"/>
    <w:qFormat/>
    <w:uiPriority w:val="0"/>
    <w:rPr>
      <w:color w:val="800080"/>
      <w:u w:val="single"/>
    </w:rPr>
  </w:style>
  <w:style w:type="character" w:styleId="30">
    <w:name w:val="Hyperlink"/>
    <w:qFormat/>
    <w:uiPriority w:val="99"/>
    <w:rPr>
      <w:color w:val="0000FF"/>
      <w:u w:val="single"/>
    </w:rPr>
  </w:style>
  <w:style w:type="character" w:styleId="31">
    <w:name w:val="annotation reference"/>
    <w:qFormat/>
    <w:uiPriority w:val="99"/>
    <w:rPr>
      <w:sz w:val="21"/>
      <w:szCs w:val="21"/>
    </w:rPr>
  </w:style>
  <w:style w:type="table" w:styleId="33">
    <w:name w:val="Table Grid"/>
    <w:basedOn w:val="3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4">
    <w:name w:val="正文图标题"/>
    <w:next w:val="35"/>
    <w:qFormat/>
    <w:uiPriority w:val="0"/>
    <w:pPr>
      <w:numPr>
        <w:ilvl w:val="0"/>
        <w:numId w:val="1"/>
      </w:numPr>
      <w:jc w:val="center"/>
    </w:pPr>
    <w:rPr>
      <w:rFonts w:ascii="黑体" w:hAnsi="Times New Roman" w:eastAsia="黑体" w:cs="Times New Roman"/>
      <w:sz w:val="21"/>
      <w:lang w:val="en-US" w:eastAsia="zh-CN" w:bidi="ar-SA"/>
    </w:rPr>
  </w:style>
  <w:style w:type="paragraph" w:customStyle="1" w:styleId="35">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6">
    <w:name w:val="TOC 标题1"/>
    <w:basedOn w:val="2"/>
    <w:next w:val="1"/>
    <w:qFormat/>
    <w:uiPriority w:val="39"/>
    <w:pPr>
      <w:outlineLvl w:val="9"/>
    </w:pPr>
  </w:style>
  <w:style w:type="character" w:customStyle="1" w:styleId="37">
    <w:name w:val="页眉 字符"/>
    <w:link w:val="19"/>
    <w:qFormat/>
    <w:uiPriority w:val="99"/>
    <w:rPr>
      <w:kern w:val="2"/>
      <w:sz w:val="18"/>
      <w:szCs w:val="18"/>
    </w:rPr>
  </w:style>
  <w:style w:type="character" w:customStyle="1" w:styleId="38">
    <w:name w:val="页脚 字符"/>
    <w:link w:val="18"/>
    <w:qFormat/>
    <w:uiPriority w:val="99"/>
    <w:rPr>
      <w:kern w:val="2"/>
      <w:sz w:val="18"/>
      <w:szCs w:val="18"/>
    </w:rPr>
  </w:style>
  <w:style w:type="character" w:customStyle="1" w:styleId="39">
    <w:name w:val="标题 1 字符"/>
    <w:link w:val="2"/>
    <w:qFormat/>
    <w:uiPriority w:val="0"/>
    <w:rPr>
      <w:b/>
      <w:bCs/>
      <w:kern w:val="44"/>
      <w:sz w:val="44"/>
      <w:szCs w:val="44"/>
    </w:rPr>
  </w:style>
  <w:style w:type="character" w:customStyle="1" w:styleId="40">
    <w:name w:val="批注文字 字符"/>
    <w:link w:val="6"/>
    <w:qFormat/>
    <w:uiPriority w:val="99"/>
    <w:rPr>
      <w:kern w:val="2"/>
      <w:sz w:val="21"/>
      <w:szCs w:val="24"/>
    </w:rPr>
  </w:style>
  <w:style w:type="character" w:customStyle="1" w:styleId="41">
    <w:name w:val="批注主题 字符"/>
    <w:link w:val="5"/>
    <w:qFormat/>
    <w:uiPriority w:val="99"/>
    <w:rPr>
      <w:b/>
      <w:bCs/>
      <w:kern w:val="2"/>
      <w:sz w:val="21"/>
      <w:szCs w:val="24"/>
    </w:rPr>
  </w:style>
  <w:style w:type="character" w:customStyle="1" w:styleId="42">
    <w:name w:val="批注框文本 字符"/>
    <w:link w:val="17"/>
    <w:qFormat/>
    <w:uiPriority w:val="99"/>
    <w:rPr>
      <w:kern w:val="2"/>
      <w:sz w:val="18"/>
      <w:szCs w:val="18"/>
    </w:rPr>
  </w:style>
  <w:style w:type="paragraph" w:customStyle="1" w:styleId="43">
    <w:name w:val="修订1"/>
    <w:qFormat/>
    <w:uiPriority w:val="99"/>
    <w:rPr>
      <w:rFonts w:ascii="Times New Roman" w:hAnsi="Times New Roman" w:eastAsia="宋体" w:cs="Times New Roman"/>
      <w:kern w:val="2"/>
      <w:sz w:val="21"/>
      <w:szCs w:val="24"/>
      <w:lang w:val="en-US" w:eastAsia="zh-CN" w:bidi="ar-SA"/>
    </w:rPr>
  </w:style>
  <w:style w:type="character" w:styleId="44">
    <w:name w:val="Placeholder Text"/>
    <w:basedOn w:val="27"/>
    <w:qFormat/>
    <w:uiPriority w:val="99"/>
    <w:rPr>
      <w:color w:val="808080"/>
    </w:rPr>
  </w:style>
  <w:style w:type="paragraph" w:styleId="45">
    <w:name w:val="List Paragraph"/>
    <w:basedOn w:val="1"/>
    <w:qFormat/>
    <w:uiPriority w:val="99"/>
    <w:pPr>
      <w:ind w:firstLine="420" w:firstLineChars="200"/>
    </w:pPr>
  </w:style>
  <w:style w:type="character" w:customStyle="1" w:styleId="46">
    <w:name w:val="日期 字符"/>
    <w:basedOn w:val="27"/>
    <w:link w:val="15"/>
    <w:qFormat/>
    <w:uiPriority w:val="0"/>
    <w:rPr>
      <w:kern w:val="2"/>
      <w:sz w:val="21"/>
      <w:szCs w:val="24"/>
    </w:rPr>
  </w:style>
  <w:style w:type="character" w:customStyle="1" w:styleId="47">
    <w:name w:val="fontstyle01"/>
    <w:basedOn w:val="27"/>
    <w:qFormat/>
    <w:uiPriority w:val="0"/>
    <w:rPr>
      <w:rFonts w:hint="default" w:ascii="E-BZ" w:hAnsi="E-BZ"/>
      <w:color w:val="000000"/>
      <w:sz w:val="30"/>
      <w:szCs w:val="30"/>
    </w:rPr>
  </w:style>
  <w:style w:type="character" w:customStyle="1" w:styleId="48">
    <w:name w:val="fontstyle11"/>
    <w:basedOn w:val="27"/>
    <w:qFormat/>
    <w:uiPriority w:val="0"/>
    <w:rPr>
      <w:rFonts w:hint="default" w:ascii="E-BX" w:hAnsi="E-BX"/>
      <w:color w:val="000000"/>
      <w:sz w:val="30"/>
      <w:szCs w:val="30"/>
    </w:rPr>
  </w:style>
  <w:style w:type="character" w:customStyle="1" w:styleId="49">
    <w:name w:val="fontstyle31"/>
    <w:basedOn w:val="27"/>
    <w:qFormat/>
    <w:uiPriority w:val="0"/>
    <w:rPr>
      <w:rFonts w:hint="default" w:ascii="E-BZ" w:hAnsi="E-BZ"/>
      <w:color w:val="000000"/>
      <w:sz w:val="30"/>
      <w:szCs w:val="30"/>
    </w:rPr>
  </w:style>
  <w:style w:type="character" w:customStyle="1" w:styleId="50">
    <w:name w:val="fontstyle21"/>
    <w:basedOn w:val="27"/>
    <w:qFormat/>
    <w:uiPriority w:val="0"/>
    <w:rPr>
      <w:rFonts w:hint="default" w:ascii="FZFSK--GBK1-0" w:hAnsi="FZFSK--GBK1-0"/>
      <w:color w:val="000000"/>
      <w:sz w:val="30"/>
      <w:szCs w:val="30"/>
    </w:rPr>
  </w:style>
  <w:style w:type="character" w:customStyle="1" w:styleId="51">
    <w:name w:val="题注 字符"/>
    <w:link w:val="8"/>
    <w:qFormat/>
    <w:uiPriority w:val="35"/>
    <w:rPr>
      <w:rFonts w:ascii="Arial" w:hAnsi="Arial" w:eastAsia="黑体" w:cs="Arial"/>
      <w:kern w:val="2"/>
      <w:sz w:val="24"/>
      <w:lang w:val="en-US" w:eastAsia="zh-CN"/>
    </w:rPr>
  </w:style>
  <w:style w:type="paragraph" w:customStyle="1" w:styleId="52">
    <w:name w:val="Char Char2 Char Char Char Char Char Char Char Char Char Char Char Char"/>
    <w:basedOn w:val="1"/>
    <w:qFormat/>
    <w:uiPriority w:val="0"/>
    <w:pPr>
      <w:numPr>
        <w:ilvl w:val="0"/>
        <w:numId w:val="2"/>
      </w:numPr>
    </w:pPr>
  </w:style>
  <w:style w:type="character" w:customStyle="1" w:styleId="53">
    <w:name w:val="第1层字母编号列项1[Alt+A][SWIEE] Char"/>
    <w:link w:val="54"/>
    <w:qFormat/>
    <w:uiPriority w:val="0"/>
    <w:rPr>
      <w:sz w:val="24"/>
    </w:rPr>
  </w:style>
  <w:style w:type="paragraph" w:customStyle="1" w:styleId="54">
    <w:name w:val="第1层字母编号列项1[Alt+A][SWIEE]"/>
    <w:link w:val="53"/>
    <w:qFormat/>
    <w:uiPriority w:val="0"/>
    <w:pPr>
      <w:widowControl w:val="0"/>
      <w:adjustRightInd w:val="0"/>
      <w:snapToGrid w:val="0"/>
      <w:spacing w:line="360" w:lineRule="auto"/>
      <w:jc w:val="both"/>
    </w:pPr>
    <w:rPr>
      <w:rFonts w:ascii="Times New Roman" w:hAnsi="Times New Roman" w:eastAsia="宋体" w:cs="Times New Roman"/>
      <w:sz w:val="24"/>
      <w:lang w:val="en-US" w:eastAsia="zh-CN" w:bidi="ar-SA"/>
    </w:rPr>
  </w:style>
  <w:style w:type="paragraph" w:customStyle="1" w:styleId="55">
    <w:name w:val="MTDisplayEquation"/>
    <w:basedOn w:val="1"/>
    <w:next w:val="1"/>
    <w:qFormat/>
    <w:uiPriority w:val="0"/>
    <w:pPr>
      <w:tabs>
        <w:tab w:val="center" w:pos="4160"/>
        <w:tab w:val="right" w:pos="8320"/>
      </w:tabs>
      <w:ind w:firstLine="420"/>
      <w:jc w:val="right"/>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6" Type="http://schemas.openxmlformats.org/officeDocument/2006/relationships/fontTable" Target="fontTable.xml"/><Relationship Id="rId45" Type="http://schemas.openxmlformats.org/officeDocument/2006/relationships/customXml" Target="../customXml/item2.xml"/><Relationship Id="rId44" Type="http://schemas.openxmlformats.org/officeDocument/2006/relationships/numbering" Target="numbering.xml"/><Relationship Id="rId43" Type="http://schemas.openxmlformats.org/officeDocument/2006/relationships/customXml" Target="../customXml/item1.xml"/><Relationship Id="rId42" Type="http://schemas.openxmlformats.org/officeDocument/2006/relationships/oleObject" Target="embeddings/oleObject11.bin"/><Relationship Id="rId41" Type="http://schemas.openxmlformats.org/officeDocument/2006/relationships/image" Target="media/image15.wmf"/><Relationship Id="rId40" Type="http://schemas.openxmlformats.org/officeDocument/2006/relationships/oleObject" Target="embeddings/oleObject10.bin"/><Relationship Id="rId4" Type="http://schemas.openxmlformats.org/officeDocument/2006/relationships/header" Target="header2.xml"/><Relationship Id="rId39" Type="http://schemas.openxmlformats.org/officeDocument/2006/relationships/image" Target="media/image14.wmf"/><Relationship Id="rId38" Type="http://schemas.openxmlformats.org/officeDocument/2006/relationships/oleObject" Target="embeddings/oleObject9.bin"/><Relationship Id="rId37" Type="http://schemas.openxmlformats.org/officeDocument/2006/relationships/image" Target="media/image13.jpeg"/><Relationship Id="rId36" Type="http://schemas.openxmlformats.org/officeDocument/2006/relationships/image" Target="media/image12.wmf"/><Relationship Id="rId35" Type="http://schemas.openxmlformats.org/officeDocument/2006/relationships/oleObject" Target="embeddings/oleObject8.bin"/><Relationship Id="rId34" Type="http://schemas.openxmlformats.org/officeDocument/2006/relationships/image" Target="media/image11.wmf"/><Relationship Id="rId33" Type="http://schemas.openxmlformats.org/officeDocument/2006/relationships/oleObject" Target="embeddings/oleObject7.bin"/><Relationship Id="rId32" Type="http://schemas.openxmlformats.org/officeDocument/2006/relationships/image" Target="media/image10.wmf"/><Relationship Id="rId31" Type="http://schemas.openxmlformats.org/officeDocument/2006/relationships/oleObject" Target="embeddings/oleObject6.bin"/><Relationship Id="rId30" Type="http://schemas.openxmlformats.org/officeDocument/2006/relationships/image" Target="media/image9.wmf"/><Relationship Id="rId3" Type="http://schemas.openxmlformats.org/officeDocument/2006/relationships/header" Target="header1.xml"/><Relationship Id="rId29" Type="http://schemas.openxmlformats.org/officeDocument/2006/relationships/oleObject" Target="embeddings/oleObject5.bin"/><Relationship Id="rId28" Type="http://schemas.openxmlformats.org/officeDocument/2006/relationships/image" Target="media/image8.wmf"/><Relationship Id="rId27" Type="http://schemas.openxmlformats.org/officeDocument/2006/relationships/oleObject" Target="embeddings/oleObject4.bin"/><Relationship Id="rId26" Type="http://schemas.openxmlformats.org/officeDocument/2006/relationships/image" Target="media/image7.wmf"/><Relationship Id="rId25" Type="http://schemas.openxmlformats.org/officeDocument/2006/relationships/oleObject" Target="embeddings/oleObject3.bin"/><Relationship Id="rId24" Type="http://schemas.openxmlformats.org/officeDocument/2006/relationships/image" Target="media/image6.wmf"/><Relationship Id="rId23" Type="http://schemas.openxmlformats.org/officeDocument/2006/relationships/oleObject" Target="embeddings/oleObject2.bin"/><Relationship Id="rId22" Type="http://schemas.openxmlformats.org/officeDocument/2006/relationships/image" Target="media/image5.wmf"/><Relationship Id="rId21" Type="http://schemas.openxmlformats.org/officeDocument/2006/relationships/oleObject" Target="embeddings/oleObject1.bin"/><Relationship Id="rId20" Type="http://schemas.openxmlformats.org/officeDocument/2006/relationships/image" Target="media/image4.png"/><Relationship Id="rId2" Type="http://schemas.openxmlformats.org/officeDocument/2006/relationships/settings" Target="settings.xml"/><Relationship Id="rId19" Type="http://schemas.openxmlformats.org/officeDocument/2006/relationships/image" Target="media/image3.jpeg"/><Relationship Id="rId18" Type="http://schemas.openxmlformats.org/officeDocument/2006/relationships/image" Target="media/image2.png"/><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23CC70-7DDB-4ACB-9DEE-589C41B89F22}">
  <ds:schemaRefs/>
</ds:datastoreItem>
</file>

<file path=docProps/app.xml><?xml version="1.0" encoding="utf-8"?>
<Properties xmlns="http://schemas.openxmlformats.org/officeDocument/2006/extended-properties" xmlns:vt="http://schemas.openxmlformats.org/officeDocument/2006/docPropsVTypes">
  <Template>Normal.dotm</Template>
  <Company>rioh</Company>
  <Pages>21</Pages>
  <Words>1882</Words>
  <Characters>2592</Characters>
  <Lines>69</Lines>
  <Paragraphs>19</Paragraphs>
  <TotalTime>1</TotalTime>
  <ScaleCrop>false</ScaleCrop>
  <LinksUpToDate>false</LinksUpToDate>
  <CharactersWithSpaces>2823</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2024-10-07T13:17:00Z</dcterms:created>
  <dc:creator>zzl</dc:creator>
  <cp:lastModifiedBy>admin</cp:lastModifiedBy>
  <cp:lastPrinted>2023-10-11T02:42:00Z</cp:lastPrinted>
  <dcterms:modified xsi:type="dcterms:W3CDTF">2026-08-20T07:03:46Z</dcterms:modified>
  <dc:title>机场道面外来物探测设备计量测试规范</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y fmtid="{D5CDD505-2E9C-101B-9397-08002B2CF9AE}" pid="3" name="ICV">
    <vt:lpwstr>EFD9F64AE2AF4A85B251A31232DD4B06_13</vt:lpwstr>
  </property>
  <property fmtid="{D5CDD505-2E9C-101B-9397-08002B2CF9AE}" pid="4" name="KSOTemplateDocerSaveRecord">
    <vt:lpwstr>eyJoZGlkIjoiYmUxODE1ZGJlNjJiMzI3OTAyNzllODc3MmU3ZGI3YmIiLCJ1c2VySWQiOiIyMTQ5MzAzNTMifQ==</vt:lpwstr>
  </property>
</Properties>
</file>