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4"/>
        </w:rPr>
      </w:pPr>
    </w:p>
    <w:p>
      <w:pPr>
        <w:jc w:val="center"/>
        <w:rPr>
          <w:b/>
          <w:sz w:val="24"/>
        </w:rPr>
      </w:pPr>
    </w:p>
    <w:p>
      <w:pPr>
        <w:jc w:val="center"/>
        <w:rPr>
          <w:b/>
          <w:sz w:val="24"/>
        </w:rPr>
      </w:pPr>
    </w:p>
    <w:p>
      <w:pPr>
        <w:jc w:val="center"/>
        <w:rPr>
          <w:b/>
          <w:sz w:val="30"/>
          <w:szCs w:val="30"/>
        </w:rPr>
      </w:pPr>
    </w:p>
    <w:p>
      <w:pPr>
        <w:jc w:val="center"/>
        <w:rPr>
          <w:b/>
          <w:sz w:val="30"/>
          <w:szCs w:val="30"/>
        </w:rPr>
      </w:pPr>
    </w:p>
    <w:p>
      <w:pPr>
        <w:spacing w:line="360" w:lineRule="auto"/>
        <w:jc w:val="center"/>
        <w:rPr>
          <w:rFonts w:ascii="黑体" w:hAnsi="黑体" w:eastAsia="黑体"/>
          <w:sz w:val="48"/>
          <w:szCs w:val="48"/>
        </w:rPr>
      </w:pPr>
      <w:r>
        <w:rPr>
          <w:rFonts w:hint="eastAsia" w:ascii="黑体" w:hAnsi="黑体" w:eastAsia="黑体"/>
          <w:sz w:val="48"/>
          <w:szCs w:val="48"/>
        </w:rPr>
        <w:t>JJ</w:t>
      </w:r>
      <w:r>
        <w:rPr>
          <w:rFonts w:ascii="黑体" w:hAnsi="黑体" w:eastAsia="黑体"/>
          <w:sz w:val="48"/>
          <w:szCs w:val="48"/>
        </w:rPr>
        <w:t>F</w:t>
      </w:r>
      <w:r>
        <w:rPr>
          <w:rFonts w:hint="eastAsia" w:ascii="黑体" w:hAnsi="黑体" w:eastAsia="黑体"/>
          <w:sz w:val="48"/>
          <w:szCs w:val="48"/>
        </w:rPr>
        <w:t xml:space="preserve"> XXXX-20</w:t>
      </w:r>
      <w:r>
        <w:rPr>
          <w:rFonts w:ascii="黑体" w:hAnsi="黑体" w:eastAsia="黑体"/>
          <w:sz w:val="48"/>
          <w:szCs w:val="48"/>
        </w:rPr>
        <w:t>2</w:t>
      </w:r>
      <w:r>
        <w:rPr>
          <w:rFonts w:hint="eastAsia" w:ascii="黑体" w:hAnsi="黑体" w:eastAsia="黑体"/>
          <w:sz w:val="48"/>
          <w:szCs w:val="48"/>
        </w:rPr>
        <w:t>X《</w:t>
      </w:r>
      <w:bookmarkStart w:id="0" w:name="_Hlk102655881"/>
      <w:r>
        <w:rPr>
          <w:rFonts w:hint="eastAsia" w:ascii="黑体" w:hAnsi="黑体" w:eastAsia="黑体"/>
          <w:sz w:val="48"/>
          <w:szCs w:val="48"/>
        </w:rPr>
        <w:t>基于毫米波雷达的边灯固定式</w:t>
      </w:r>
      <w:r>
        <w:rPr>
          <w:rFonts w:eastAsia="黑体"/>
          <w:sz w:val="48"/>
          <w:szCs w:val="48"/>
        </w:rPr>
        <w:t>机场道面外来物探测设备</w:t>
      </w:r>
      <w:bookmarkEnd w:id="0"/>
      <w:r>
        <w:rPr>
          <w:rFonts w:hint="eastAsia" w:eastAsia="黑体"/>
          <w:sz w:val="48"/>
          <w:szCs w:val="48"/>
        </w:rPr>
        <w:t>校准</w:t>
      </w:r>
      <w:r>
        <w:rPr>
          <w:rFonts w:eastAsia="黑体"/>
          <w:sz w:val="48"/>
          <w:szCs w:val="48"/>
        </w:rPr>
        <w:t>规范</w:t>
      </w:r>
      <w:r>
        <w:rPr>
          <w:rFonts w:hint="eastAsia" w:ascii="黑体" w:hAnsi="黑体" w:eastAsia="黑体"/>
          <w:sz w:val="48"/>
          <w:szCs w:val="48"/>
        </w:rPr>
        <w:t>》</w:t>
      </w:r>
    </w:p>
    <w:p>
      <w:pPr>
        <w:spacing w:line="360" w:lineRule="auto"/>
        <w:jc w:val="center"/>
        <w:rPr>
          <w:rFonts w:ascii="宋体" w:hAnsi="宋体"/>
          <w:b/>
          <w:sz w:val="44"/>
          <w:szCs w:val="44"/>
        </w:rPr>
      </w:pPr>
    </w:p>
    <w:p>
      <w:pPr>
        <w:spacing w:line="360" w:lineRule="auto"/>
        <w:jc w:val="center"/>
        <w:rPr>
          <w:rFonts w:ascii="宋体" w:hAnsi="宋体"/>
          <w:b/>
          <w:sz w:val="44"/>
          <w:szCs w:val="44"/>
        </w:rPr>
      </w:pPr>
    </w:p>
    <w:p>
      <w:pPr>
        <w:spacing w:line="360" w:lineRule="auto"/>
        <w:jc w:val="center"/>
        <w:rPr>
          <w:rFonts w:ascii="黑体" w:hAnsi="黑体" w:eastAsia="黑体"/>
          <w:sz w:val="48"/>
          <w:szCs w:val="48"/>
        </w:rPr>
      </w:pPr>
      <w:r>
        <w:rPr>
          <w:rFonts w:hint="eastAsia" w:ascii="黑体" w:hAnsi="黑体" w:eastAsia="黑体"/>
          <w:sz w:val="48"/>
          <w:szCs w:val="48"/>
        </w:rPr>
        <w:t>编制说明</w:t>
      </w:r>
    </w:p>
    <w:p>
      <w:pPr>
        <w:spacing w:line="360" w:lineRule="auto"/>
        <w:jc w:val="center"/>
        <w:rPr>
          <w:b/>
          <w:sz w:val="30"/>
          <w:szCs w:val="30"/>
        </w:rPr>
      </w:pPr>
    </w:p>
    <w:p>
      <w:pPr>
        <w:spacing w:line="360" w:lineRule="auto"/>
        <w:jc w:val="center"/>
        <w:rPr>
          <w:b/>
          <w:sz w:val="24"/>
        </w:rPr>
      </w:pPr>
    </w:p>
    <w:p>
      <w:pPr>
        <w:spacing w:line="360" w:lineRule="auto"/>
        <w:jc w:val="center"/>
        <w:rPr>
          <w:b/>
          <w:sz w:val="24"/>
        </w:rPr>
      </w:pPr>
    </w:p>
    <w:p>
      <w:pPr>
        <w:spacing w:line="360" w:lineRule="auto"/>
        <w:jc w:val="center"/>
        <w:rPr>
          <w:b/>
          <w:sz w:val="24"/>
        </w:rPr>
      </w:pPr>
    </w:p>
    <w:p>
      <w:pPr>
        <w:spacing w:line="360" w:lineRule="auto"/>
        <w:jc w:val="center"/>
        <w:rPr>
          <w:b/>
          <w:sz w:val="24"/>
        </w:rPr>
      </w:pPr>
    </w:p>
    <w:p>
      <w:pPr>
        <w:spacing w:line="360" w:lineRule="auto"/>
        <w:jc w:val="center"/>
        <w:rPr>
          <w:b/>
          <w:sz w:val="24"/>
        </w:rPr>
      </w:pPr>
    </w:p>
    <w:p>
      <w:pPr>
        <w:spacing w:line="360" w:lineRule="auto"/>
        <w:jc w:val="center"/>
        <w:rPr>
          <w:b/>
          <w:sz w:val="24"/>
        </w:rPr>
      </w:pPr>
    </w:p>
    <w:p>
      <w:pPr>
        <w:spacing w:line="360" w:lineRule="auto"/>
        <w:jc w:val="center"/>
        <w:rPr>
          <w:b/>
          <w:sz w:val="24"/>
        </w:rPr>
      </w:pPr>
    </w:p>
    <w:p>
      <w:pPr>
        <w:spacing w:line="360" w:lineRule="auto"/>
        <w:jc w:val="center"/>
        <w:rPr>
          <w:b/>
          <w:sz w:val="24"/>
        </w:rPr>
      </w:pPr>
    </w:p>
    <w:p>
      <w:pPr>
        <w:spacing w:line="360" w:lineRule="auto"/>
        <w:jc w:val="center"/>
        <w:rPr>
          <w:b/>
          <w:sz w:val="24"/>
        </w:rPr>
      </w:pPr>
    </w:p>
    <w:p>
      <w:pPr>
        <w:spacing w:line="360" w:lineRule="auto"/>
        <w:jc w:val="center"/>
        <w:rPr>
          <w:b/>
          <w:sz w:val="24"/>
        </w:rPr>
      </w:pPr>
    </w:p>
    <w:p>
      <w:pPr>
        <w:spacing w:line="360" w:lineRule="auto"/>
        <w:jc w:val="center"/>
        <w:rPr>
          <w:rFonts w:ascii="黑体" w:hAnsi="黑体" w:eastAsia="黑体"/>
          <w:sz w:val="44"/>
          <w:szCs w:val="44"/>
        </w:rPr>
      </w:pPr>
      <w:r>
        <w:rPr>
          <w:rFonts w:hint="eastAsia" w:ascii="黑体" w:hAnsi="黑体" w:eastAsia="黑体"/>
          <w:sz w:val="44"/>
          <w:szCs w:val="44"/>
        </w:rPr>
        <w:t>《基于毫米波雷达的边灯固定式</w:t>
      </w:r>
      <w:r>
        <w:rPr>
          <w:rFonts w:ascii="黑体" w:hAnsi="黑体" w:eastAsia="黑体"/>
          <w:sz w:val="44"/>
          <w:szCs w:val="44"/>
        </w:rPr>
        <w:t>机场道面外来物探测设备</w:t>
      </w:r>
      <w:r>
        <w:rPr>
          <w:rFonts w:hint="eastAsia" w:ascii="黑体" w:hAnsi="黑体" w:eastAsia="黑体"/>
          <w:sz w:val="44"/>
          <w:szCs w:val="44"/>
        </w:rPr>
        <w:t>校准规范》制定起草组</w:t>
      </w:r>
    </w:p>
    <w:p>
      <w:pPr>
        <w:spacing w:line="360" w:lineRule="auto"/>
        <w:jc w:val="center"/>
        <w:rPr>
          <w:rFonts w:ascii="黑体" w:hAnsi="黑体" w:eastAsia="黑体"/>
          <w:sz w:val="44"/>
          <w:szCs w:val="44"/>
        </w:rPr>
      </w:pPr>
      <w:r>
        <w:rPr>
          <w:rFonts w:hint="eastAsia" w:ascii="黑体" w:hAnsi="黑体" w:eastAsia="黑体"/>
          <w:sz w:val="44"/>
          <w:szCs w:val="44"/>
        </w:rPr>
        <w:t>20</w:t>
      </w:r>
      <w:r>
        <w:rPr>
          <w:rFonts w:ascii="黑体" w:hAnsi="黑体" w:eastAsia="黑体"/>
          <w:sz w:val="44"/>
          <w:szCs w:val="44"/>
        </w:rPr>
        <w:t>2</w:t>
      </w:r>
      <w:r>
        <w:rPr>
          <w:rFonts w:hint="eastAsia" w:ascii="黑体" w:hAnsi="黑体" w:eastAsia="黑体"/>
          <w:sz w:val="44"/>
          <w:szCs w:val="44"/>
          <w:lang w:val="en-US" w:eastAsia="zh-CN"/>
        </w:rPr>
        <w:t>5</w:t>
      </w:r>
      <w:r>
        <w:rPr>
          <w:rFonts w:hint="eastAsia" w:ascii="黑体" w:hAnsi="黑体" w:eastAsia="黑体"/>
          <w:sz w:val="44"/>
          <w:szCs w:val="44"/>
        </w:rPr>
        <w:t>年</w:t>
      </w:r>
      <w:r>
        <w:rPr>
          <w:rFonts w:hint="eastAsia" w:ascii="黑体" w:hAnsi="黑体" w:eastAsia="黑体"/>
          <w:sz w:val="44"/>
          <w:szCs w:val="44"/>
          <w:lang w:val="en-US" w:eastAsia="zh-CN"/>
        </w:rPr>
        <w:t>9</w:t>
      </w:r>
      <w:r>
        <w:rPr>
          <w:rFonts w:hint="eastAsia" w:ascii="黑体" w:hAnsi="黑体" w:eastAsia="黑体"/>
          <w:sz w:val="44"/>
          <w:szCs w:val="44"/>
        </w:rPr>
        <w:t>月</w:t>
      </w:r>
    </w:p>
    <w:p>
      <w:pPr>
        <w:spacing w:line="360" w:lineRule="auto"/>
        <w:jc w:val="center"/>
        <w:rPr>
          <w:b/>
          <w:sz w:val="24"/>
        </w:rPr>
      </w:pPr>
    </w:p>
    <w:p>
      <w:pPr>
        <w:spacing w:after="240" w:afterLines="100" w:line="360" w:lineRule="auto"/>
        <w:jc w:val="center"/>
        <w:rPr>
          <w:rFonts w:ascii="宋体" w:hAnsi="宋体"/>
          <w:b/>
          <w:sz w:val="32"/>
          <w:szCs w:val="32"/>
        </w:rPr>
        <w:sectPr>
          <w:footerReference r:id="rId3" w:type="default"/>
          <w:footerReference r:id="rId4" w:type="even"/>
          <w:pgSz w:w="11906" w:h="16838"/>
          <w:pgMar w:top="1440" w:right="1418" w:bottom="1440" w:left="1418" w:header="851" w:footer="992" w:gutter="0"/>
          <w:pgNumType w:start="0"/>
          <w:cols w:space="425" w:num="1"/>
          <w:docGrid w:linePitch="312" w:charSpace="0"/>
        </w:sectPr>
      </w:pPr>
    </w:p>
    <w:p>
      <w:pPr>
        <w:spacing w:after="312" w:afterLines="100" w:line="360" w:lineRule="auto"/>
        <w:jc w:val="center"/>
        <w:rPr>
          <w:rFonts w:ascii="宋体" w:hAnsi="宋体"/>
          <w:b/>
          <w:sz w:val="32"/>
          <w:szCs w:val="32"/>
        </w:rPr>
      </w:pPr>
      <w:r>
        <w:rPr>
          <w:rFonts w:ascii="宋体" w:hAnsi="宋体"/>
          <w:b/>
          <w:sz w:val="32"/>
          <w:szCs w:val="32"/>
        </w:rPr>
        <w:t>编制说明</w:t>
      </w:r>
    </w:p>
    <w:p>
      <w:pPr>
        <w:spacing w:line="520" w:lineRule="exact"/>
        <w:rPr>
          <w:rFonts w:eastAsia="黑体"/>
          <w:sz w:val="28"/>
        </w:rPr>
      </w:pPr>
      <w:r>
        <w:rPr>
          <w:rFonts w:eastAsia="黑体"/>
          <w:sz w:val="28"/>
        </w:rPr>
        <w:t>一、任务来源</w:t>
      </w:r>
    </w:p>
    <w:p>
      <w:pPr>
        <w:spacing w:line="360" w:lineRule="auto"/>
        <w:ind w:firstLine="560" w:firstLineChars="200"/>
        <w:rPr>
          <w:sz w:val="28"/>
        </w:rPr>
      </w:pPr>
      <w:r>
        <w:rPr>
          <w:sz w:val="28"/>
        </w:rPr>
        <w:t>根据全国振动冲击转速计量技术委员会“关于下发202</w:t>
      </w:r>
      <w:r>
        <w:rPr>
          <w:rFonts w:hint="eastAsia"/>
          <w:sz w:val="28"/>
        </w:rPr>
        <w:t>3</w:t>
      </w:r>
      <w:r>
        <w:rPr>
          <w:sz w:val="28"/>
        </w:rPr>
        <w:t>年国家计量技术规范</w:t>
      </w:r>
      <w:r>
        <w:rPr>
          <w:rFonts w:hint="eastAsia"/>
          <w:sz w:val="28"/>
        </w:rPr>
        <w:t>项目</w:t>
      </w:r>
      <w:r>
        <w:rPr>
          <w:sz w:val="28"/>
        </w:rPr>
        <w:t>制定、</w:t>
      </w:r>
      <w:r>
        <w:rPr>
          <w:rFonts w:hint="eastAsia"/>
          <w:sz w:val="28"/>
        </w:rPr>
        <w:t>修订</w:t>
      </w:r>
      <w:r>
        <w:rPr>
          <w:sz w:val="28"/>
        </w:rPr>
        <w:t>计划的通知”，由</w:t>
      </w:r>
      <w:r>
        <w:rPr>
          <w:rFonts w:hint="eastAsia" w:eastAsia="黑体"/>
          <w:bCs/>
          <w:sz w:val="28"/>
          <w:lang w:val="en-US" w:eastAsia="zh-CN"/>
        </w:rPr>
        <w:t>XXXX</w:t>
      </w:r>
      <w:r>
        <w:rPr>
          <w:sz w:val="28"/>
        </w:rPr>
        <w:t>牵头，</w:t>
      </w:r>
      <w:r>
        <w:rPr>
          <w:rFonts w:hint="eastAsia" w:eastAsia="黑体"/>
          <w:bCs/>
          <w:sz w:val="28"/>
          <w:lang w:val="en-US" w:eastAsia="zh-CN"/>
        </w:rPr>
        <w:t>XXXX</w:t>
      </w:r>
      <w:r>
        <w:rPr>
          <w:sz w:val="28"/>
        </w:rPr>
        <w:t>、</w:t>
      </w:r>
      <w:r>
        <w:rPr>
          <w:rFonts w:hint="eastAsia" w:eastAsia="黑体"/>
          <w:bCs/>
          <w:sz w:val="28"/>
          <w:lang w:val="en-US" w:eastAsia="zh-CN"/>
        </w:rPr>
        <w:t>XXXX</w:t>
      </w:r>
      <w:r>
        <w:rPr>
          <w:rFonts w:hint="eastAsia"/>
          <w:sz w:val="28"/>
        </w:rPr>
        <w:t>、</w:t>
      </w:r>
      <w:r>
        <w:rPr>
          <w:rFonts w:hint="eastAsia" w:eastAsia="黑体"/>
          <w:bCs/>
          <w:sz w:val="28"/>
          <w:lang w:val="en-US" w:eastAsia="zh-CN"/>
        </w:rPr>
        <w:t>XXXX</w:t>
      </w:r>
      <w:r>
        <w:rPr>
          <w:rFonts w:hint="eastAsia"/>
          <w:sz w:val="28"/>
        </w:rPr>
        <w:t>、</w:t>
      </w:r>
      <w:r>
        <w:rPr>
          <w:rFonts w:hint="eastAsia" w:eastAsia="黑体"/>
          <w:bCs/>
          <w:sz w:val="28"/>
          <w:lang w:val="en-US" w:eastAsia="zh-CN"/>
        </w:rPr>
        <w:t>XXXX</w:t>
      </w:r>
      <w:r>
        <w:rPr>
          <w:sz w:val="28"/>
        </w:rPr>
        <w:t>等单位参与，共同起草制定《</w:t>
      </w:r>
      <w:r>
        <w:rPr>
          <w:rFonts w:hint="eastAsia"/>
          <w:sz w:val="28"/>
        </w:rPr>
        <w:t>基于毫米波雷达的边灯固定式</w:t>
      </w:r>
      <w:r>
        <w:rPr>
          <w:sz w:val="28"/>
        </w:rPr>
        <w:t>机场道面外来物探测设备</w:t>
      </w:r>
      <w:r>
        <w:rPr>
          <w:rFonts w:hint="eastAsia"/>
          <w:sz w:val="28"/>
        </w:rPr>
        <w:t>校准规范</w:t>
      </w:r>
      <w:r>
        <w:rPr>
          <w:sz w:val="28"/>
        </w:rPr>
        <w:t>》</w:t>
      </w:r>
      <w:r>
        <w:rPr>
          <w:rFonts w:hint="eastAsia"/>
          <w:sz w:val="28"/>
        </w:rPr>
        <w:t>，归口全国振动冲击转速计量技术委员会。</w:t>
      </w:r>
    </w:p>
    <w:p>
      <w:pPr>
        <w:spacing w:line="520" w:lineRule="exact"/>
        <w:rPr>
          <w:rFonts w:eastAsia="黑体"/>
          <w:sz w:val="28"/>
        </w:rPr>
      </w:pPr>
      <w:r>
        <w:rPr>
          <w:rFonts w:eastAsia="黑体"/>
          <w:sz w:val="28"/>
        </w:rPr>
        <w:t>二、校准规范制定的主要技术依据</w:t>
      </w:r>
    </w:p>
    <w:p>
      <w:pPr>
        <w:spacing w:line="520" w:lineRule="exact"/>
        <w:ind w:firstLine="560" w:firstLineChars="200"/>
        <w:rPr>
          <w:sz w:val="28"/>
        </w:rPr>
      </w:pPr>
      <w:r>
        <w:rPr>
          <w:sz w:val="28"/>
        </w:rPr>
        <w:t>本校准规范制定过程中，主要参考和依据了以下</w:t>
      </w:r>
      <w:r>
        <w:rPr>
          <w:rFonts w:hint="eastAsia"/>
          <w:sz w:val="28"/>
        </w:rPr>
        <w:t>民航局通告</w:t>
      </w:r>
      <w:r>
        <w:rPr>
          <w:sz w:val="28"/>
        </w:rPr>
        <w:t>和国际建议：</w:t>
      </w:r>
    </w:p>
    <w:p>
      <w:pPr>
        <w:pStyle w:val="4"/>
        <w:spacing w:line="312" w:lineRule="auto"/>
        <w:ind w:firstLine="0"/>
      </w:pPr>
      <w:r>
        <w:rPr>
          <w:rFonts w:hint="eastAsia"/>
        </w:rPr>
        <w:t>1、DOT/FAA</w:t>
      </w:r>
      <w:r>
        <w:t>/</w:t>
      </w:r>
      <w:r>
        <w:rPr>
          <w:rFonts w:hint="eastAsia"/>
        </w:rPr>
        <w:t>AR</w:t>
      </w:r>
      <w:r>
        <w:t xml:space="preserve">-11/12 </w:t>
      </w:r>
      <w:r>
        <w:rPr>
          <w:rFonts w:hint="eastAsia"/>
        </w:rPr>
        <w:t>《</w:t>
      </w:r>
      <w:r>
        <w:t>Performance Assessment of a Mobile, Radar-Based Foreign Object Debris Detection System</w:t>
      </w:r>
      <w:r>
        <w:rPr>
          <w:rFonts w:hint="eastAsia"/>
        </w:rPr>
        <w:t>》</w:t>
      </w:r>
    </w:p>
    <w:p>
      <w:pPr>
        <w:pStyle w:val="4"/>
        <w:spacing w:line="312" w:lineRule="auto"/>
        <w:ind w:left="0" w:firstLine="360"/>
      </w:pPr>
      <w:r>
        <w:rPr>
          <w:rFonts w:hint="eastAsia"/>
        </w:rPr>
        <w:t>2、AC-</w:t>
      </w:r>
      <w:r>
        <w:t>137-</w:t>
      </w:r>
      <w:r>
        <w:rPr>
          <w:rFonts w:hint="eastAsia"/>
        </w:rPr>
        <w:t>CA-</w:t>
      </w:r>
      <w:r>
        <w:t>2024-01</w:t>
      </w:r>
      <w:r>
        <w:rPr>
          <w:rFonts w:hint="eastAsia"/>
        </w:rPr>
        <w:t>《</w:t>
      </w:r>
      <w:r>
        <w:t>机场道面外来物探测设备</w:t>
      </w:r>
      <w:r>
        <w:rPr>
          <w:rFonts w:hint="eastAsia"/>
        </w:rPr>
        <w:t>技术要求》</w:t>
      </w:r>
    </w:p>
    <w:p>
      <w:pPr>
        <w:pStyle w:val="4"/>
        <w:spacing w:line="312" w:lineRule="auto"/>
        <w:ind w:left="0" w:firstLine="360"/>
      </w:pPr>
      <w:r>
        <w:rPr>
          <w:rFonts w:hint="eastAsia"/>
        </w:rPr>
        <w:t>3、MH500</w:t>
      </w:r>
      <w:r>
        <w:t>1</w:t>
      </w:r>
      <w:r>
        <w:rPr>
          <w:rFonts w:hint="eastAsia"/>
        </w:rPr>
        <w:t>《民用机场飞行区技术标准》</w:t>
      </w:r>
    </w:p>
    <w:p>
      <w:pPr>
        <w:spacing w:line="520" w:lineRule="exact"/>
        <w:rPr>
          <w:rFonts w:eastAsia="黑体"/>
          <w:sz w:val="28"/>
        </w:rPr>
      </w:pPr>
      <w:r>
        <w:rPr>
          <w:rFonts w:eastAsia="黑体"/>
          <w:sz w:val="28"/>
        </w:rPr>
        <w:t>三、校准规范的制定背景</w:t>
      </w:r>
    </w:p>
    <w:p>
      <w:pPr>
        <w:spacing w:line="560" w:lineRule="exact"/>
        <w:ind w:firstLine="560" w:firstLineChars="200"/>
        <w:rPr>
          <w:sz w:val="28"/>
        </w:rPr>
      </w:pPr>
      <w:r>
        <w:rPr>
          <w:rFonts w:hint="eastAsia"/>
          <w:sz w:val="28"/>
        </w:rPr>
        <w:t>机场道面外来物（后简称“FOD”）指的是任何不属于机场但是出现在机场运作区域并可能对机场造成损失或者对飞机造成损害的外来物品。机场道面上的外来物可以很容易被吸入到发动机，导致发动机失效，碎片也会堆积在机械装置中，影响起落架、机翼等设备的正常运行。</w:t>
      </w:r>
    </w:p>
    <w:p>
      <w:pPr>
        <w:spacing w:line="560" w:lineRule="exact"/>
        <w:ind w:firstLine="560" w:firstLineChars="200"/>
        <w:rPr>
          <w:sz w:val="28"/>
        </w:rPr>
      </w:pPr>
      <w:r>
        <w:rPr>
          <w:rFonts w:hint="eastAsia"/>
          <w:sz w:val="28"/>
        </w:rPr>
        <w:t>根据F</w:t>
      </w:r>
      <w:r>
        <w:rPr>
          <w:sz w:val="28"/>
        </w:rPr>
        <w:t>AA</w:t>
      </w:r>
      <w:r>
        <w:rPr>
          <w:rFonts w:hint="eastAsia"/>
          <w:sz w:val="28"/>
        </w:rPr>
        <w:t>（美国联邦飞行管理局）的统计，机场道面外来物造成的损害约给航空业造成每年40亿美元的损失。我国民航局机场司出版的《FOD防范手册》指出：从2007年5月到2008年5月，FOD损伤飞机轮胎的事件在我国有4500起，并且逐年按照30%~60%左右的增幅不断增长。因此，一向不被人注意的机场道面外来物近年来愈加引起了民航局的高度重视。</w:t>
      </w:r>
    </w:p>
    <w:p>
      <w:pPr>
        <w:spacing w:line="560" w:lineRule="exact"/>
        <w:ind w:firstLine="560" w:firstLineChars="200"/>
        <w:rPr>
          <w:sz w:val="28"/>
        </w:rPr>
      </w:pPr>
      <w:r>
        <w:rPr>
          <w:rFonts w:hint="eastAsia"/>
          <w:sz w:val="28"/>
        </w:rPr>
        <w:t>传统机场道面外来物检测手段较为单一，国内大多数机场跑道检查工作主要靠道面巡查人员人工完成，在道面巡查时关闭跑道，使得航班通行能力不仅效率低、受制于光照影响无法进行全天候探测，而且占用了宝贵的跑道使用时间。随着实时监控技术和计算机目标识别技术日益成熟，开发自动化的机场跑道异物检测系统已经成为可能。</w:t>
      </w:r>
    </w:p>
    <w:p>
      <w:pPr>
        <w:spacing w:line="560" w:lineRule="exact"/>
        <w:ind w:firstLine="560" w:firstLineChars="200"/>
        <w:rPr>
          <w:sz w:val="28"/>
        </w:rPr>
      </w:pPr>
      <w:r>
        <w:rPr>
          <w:rFonts w:hint="eastAsia"/>
          <w:sz w:val="28"/>
        </w:rPr>
        <w:t>国外在约十年前开始研发自动化跑道监测及FOD探测系统，国际主流供货商共有四个厂商，分别来自新加坡、美国、英国和以色列。各类产品的探测体制不同，安装使用方法也各有区别，汇总如表1所示。</w:t>
      </w:r>
    </w:p>
    <w:p>
      <w:pPr>
        <w:spacing w:line="560" w:lineRule="exact"/>
        <w:ind w:firstLine="560" w:firstLineChars="200"/>
        <w:jc w:val="center"/>
        <w:rPr>
          <w:sz w:val="28"/>
        </w:rPr>
      </w:pPr>
      <w:r>
        <w:rPr>
          <w:rFonts w:hint="eastAsia"/>
          <w:sz w:val="28"/>
        </w:rPr>
        <w:t>表1  国外各类FOD探测系统</w:t>
      </w:r>
    </w:p>
    <w:tbl>
      <w:tblPr>
        <w:tblStyle w:val="14"/>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1476"/>
        <w:gridCol w:w="2352"/>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0" w:type="dxa"/>
            <w:vAlign w:val="center"/>
          </w:tcPr>
          <w:p>
            <w:pPr>
              <w:spacing w:line="560" w:lineRule="exact"/>
              <w:rPr>
                <w:sz w:val="28"/>
              </w:rPr>
            </w:pPr>
            <w:r>
              <w:rPr>
                <w:rFonts w:hint="eastAsia"/>
                <w:sz w:val="28"/>
              </w:rPr>
              <w:t>国家</w:t>
            </w:r>
          </w:p>
        </w:tc>
        <w:tc>
          <w:tcPr>
            <w:tcW w:w="1476" w:type="dxa"/>
            <w:vAlign w:val="center"/>
          </w:tcPr>
          <w:p>
            <w:pPr>
              <w:spacing w:line="560" w:lineRule="exact"/>
              <w:rPr>
                <w:sz w:val="28"/>
              </w:rPr>
            </w:pPr>
            <w:r>
              <w:rPr>
                <w:rFonts w:hint="eastAsia"/>
                <w:sz w:val="28"/>
              </w:rPr>
              <w:t>公司</w:t>
            </w:r>
          </w:p>
        </w:tc>
        <w:tc>
          <w:tcPr>
            <w:tcW w:w="2352" w:type="dxa"/>
            <w:vAlign w:val="center"/>
          </w:tcPr>
          <w:p>
            <w:pPr>
              <w:spacing w:line="560" w:lineRule="exact"/>
              <w:rPr>
                <w:sz w:val="28"/>
              </w:rPr>
            </w:pPr>
            <w:r>
              <w:rPr>
                <w:rFonts w:hint="eastAsia"/>
                <w:sz w:val="28"/>
              </w:rPr>
              <w:t>产品/体制</w:t>
            </w:r>
          </w:p>
        </w:tc>
        <w:tc>
          <w:tcPr>
            <w:tcW w:w="3544" w:type="dxa"/>
            <w:vAlign w:val="center"/>
          </w:tcPr>
          <w:p>
            <w:pPr>
              <w:spacing w:line="560" w:lineRule="exact"/>
              <w:ind w:firstLine="560" w:firstLineChars="200"/>
              <w:rPr>
                <w:sz w:val="28"/>
              </w:rPr>
            </w:pPr>
            <w:r>
              <w:rPr>
                <w:rFonts w:hint="eastAsia"/>
                <w:sz w:val="28"/>
              </w:rPr>
              <w:t>应用机场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0" w:type="dxa"/>
            <w:vAlign w:val="center"/>
          </w:tcPr>
          <w:p>
            <w:pPr>
              <w:spacing w:line="560" w:lineRule="exact"/>
              <w:rPr>
                <w:sz w:val="28"/>
              </w:rPr>
            </w:pPr>
            <w:r>
              <w:rPr>
                <w:rFonts w:hint="eastAsia"/>
                <w:sz w:val="28"/>
              </w:rPr>
              <w:t>新加坡</w:t>
            </w:r>
          </w:p>
        </w:tc>
        <w:tc>
          <w:tcPr>
            <w:tcW w:w="1476" w:type="dxa"/>
            <w:vAlign w:val="center"/>
          </w:tcPr>
          <w:p>
            <w:pPr>
              <w:spacing w:line="560" w:lineRule="exact"/>
              <w:rPr>
                <w:sz w:val="28"/>
              </w:rPr>
            </w:pPr>
            <w:r>
              <w:rPr>
                <w:rFonts w:hint="eastAsia"/>
                <w:sz w:val="28"/>
              </w:rPr>
              <w:t>Stratech</w:t>
            </w:r>
          </w:p>
        </w:tc>
        <w:tc>
          <w:tcPr>
            <w:tcW w:w="2352" w:type="dxa"/>
            <w:vAlign w:val="center"/>
          </w:tcPr>
          <w:p>
            <w:pPr>
              <w:spacing w:line="560" w:lineRule="exact"/>
              <w:rPr>
                <w:sz w:val="28"/>
              </w:rPr>
            </w:pPr>
            <w:r>
              <w:rPr>
                <w:sz w:val="28"/>
              </w:rPr>
              <w:t>塔架式</w:t>
            </w:r>
            <w:r>
              <w:rPr>
                <w:rFonts w:hint="eastAsia"/>
                <w:sz w:val="28"/>
              </w:rPr>
              <w:t>，</w:t>
            </w:r>
            <w:r>
              <w:rPr>
                <w:sz w:val="28"/>
              </w:rPr>
              <w:t>纯光学</w:t>
            </w:r>
          </w:p>
        </w:tc>
        <w:tc>
          <w:tcPr>
            <w:tcW w:w="3544" w:type="dxa"/>
            <w:vAlign w:val="center"/>
          </w:tcPr>
          <w:p>
            <w:pPr>
              <w:spacing w:line="560" w:lineRule="exact"/>
              <w:rPr>
                <w:sz w:val="28"/>
              </w:rPr>
            </w:pPr>
            <w:r>
              <w:rPr>
                <w:sz w:val="28"/>
              </w:rPr>
              <w:t>新加坡樟宜机场</w:t>
            </w:r>
            <w:r>
              <w:rPr>
                <w:rFonts w:hint="eastAsia"/>
                <w:sz w:val="28"/>
              </w:rPr>
              <w:t>、</w:t>
            </w:r>
            <w:r>
              <w:rPr>
                <w:sz w:val="28"/>
              </w:rPr>
              <w:t>香港国际机场</w:t>
            </w:r>
            <w:r>
              <w:rPr>
                <w:rFonts w:hint="eastAsia"/>
                <w:sz w:val="28"/>
              </w:rPr>
              <w:t>、</w:t>
            </w:r>
            <w:r>
              <w:rPr>
                <w:sz w:val="28"/>
              </w:rPr>
              <w:t>迪拜机场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0" w:type="dxa"/>
            <w:vAlign w:val="center"/>
          </w:tcPr>
          <w:p>
            <w:pPr>
              <w:spacing w:line="560" w:lineRule="exact"/>
              <w:rPr>
                <w:sz w:val="28"/>
              </w:rPr>
            </w:pPr>
            <w:r>
              <w:rPr>
                <w:rFonts w:hint="eastAsia"/>
                <w:sz w:val="28"/>
              </w:rPr>
              <w:t>美国</w:t>
            </w:r>
          </w:p>
        </w:tc>
        <w:tc>
          <w:tcPr>
            <w:tcW w:w="1476" w:type="dxa"/>
            <w:vAlign w:val="center"/>
          </w:tcPr>
          <w:p>
            <w:pPr>
              <w:spacing w:line="560" w:lineRule="exact"/>
              <w:rPr>
                <w:sz w:val="28"/>
              </w:rPr>
            </w:pPr>
            <w:r>
              <w:rPr>
                <w:rFonts w:hint="eastAsia"/>
                <w:sz w:val="28"/>
              </w:rPr>
              <w:t>Trex Enterprises</w:t>
            </w:r>
          </w:p>
        </w:tc>
        <w:tc>
          <w:tcPr>
            <w:tcW w:w="2352" w:type="dxa"/>
            <w:vAlign w:val="center"/>
          </w:tcPr>
          <w:p>
            <w:pPr>
              <w:spacing w:line="560" w:lineRule="exact"/>
              <w:rPr>
                <w:sz w:val="28"/>
              </w:rPr>
            </w:pPr>
            <w:r>
              <w:rPr>
                <w:rFonts w:hint="eastAsia"/>
                <w:sz w:val="28"/>
              </w:rPr>
              <w:t>以雷达为核心探测手段</w:t>
            </w:r>
          </w:p>
        </w:tc>
        <w:tc>
          <w:tcPr>
            <w:tcW w:w="3544" w:type="dxa"/>
            <w:vAlign w:val="center"/>
          </w:tcPr>
          <w:p>
            <w:pPr>
              <w:spacing w:line="560" w:lineRule="exact"/>
              <w:rPr>
                <w:sz w:val="28"/>
              </w:rPr>
            </w:pPr>
            <w:r>
              <w:rPr>
                <w:sz w:val="28"/>
              </w:rPr>
              <w:t>美国海军陆战队各级航空站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0" w:type="dxa"/>
            <w:vAlign w:val="center"/>
          </w:tcPr>
          <w:p>
            <w:pPr>
              <w:spacing w:line="560" w:lineRule="exact"/>
              <w:rPr>
                <w:sz w:val="28"/>
              </w:rPr>
            </w:pPr>
            <w:r>
              <w:rPr>
                <w:rFonts w:hint="eastAsia"/>
                <w:sz w:val="28"/>
              </w:rPr>
              <w:t>英国</w:t>
            </w:r>
          </w:p>
        </w:tc>
        <w:tc>
          <w:tcPr>
            <w:tcW w:w="1476" w:type="dxa"/>
            <w:vAlign w:val="center"/>
          </w:tcPr>
          <w:p>
            <w:pPr>
              <w:spacing w:line="560" w:lineRule="exact"/>
              <w:rPr>
                <w:sz w:val="28"/>
              </w:rPr>
            </w:pPr>
            <w:r>
              <w:rPr>
                <w:rFonts w:hint="eastAsia"/>
                <w:sz w:val="28"/>
              </w:rPr>
              <w:t>MOOG</w:t>
            </w:r>
          </w:p>
        </w:tc>
        <w:tc>
          <w:tcPr>
            <w:tcW w:w="2352" w:type="dxa"/>
            <w:vAlign w:val="center"/>
          </w:tcPr>
          <w:p>
            <w:pPr>
              <w:spacing w:line="560" w:lineRule="exact"/>
              <w:rPr>
                <w:sz w:val="28"/>
              </w:rPr>
            </w:pPr>
            <w:r>
              <w:rPr>
                <w:rFonts w:hint="eastAsia"/>
                <w:sz w:val="28"/>
              </w:rPr>
              <w:t>以雷达为核心探测手段，</w:t>
            </w:r>
            <w:r>
              <w:rPr>
                <w:sz w:val="28"/>
              </w:rPr>
              <w:t>塔架式</w:t>
            </w:r>
          </w:p>
        </w:tc>
        <w:tc>
          <w:tcPr>
            <w:tcW w:w="3544" w:type="dxa"/>
            <w:vAlign w:val="center"/>
          </w:tcPr>
          <w:p>
            <w:pPr>
              <w:spacing w:line="560" w:lineRule="exact"/>
              <w:rPr>
                <w:sz w:val="28"/>
              </w:rPr>
            </w:pPr>
            <w:r>
              <w:rPr>
                <w:sz w:val="28"/>
              </w:rPr>
              <w:t>伦敦希思罗机场</w:t>
            </w:r>
            <w:r>
              <w:rPr>
                <w:rFonts w:hint="eastAsia"/>
                <w:sz w:val="28"/>
              </w:rPr>
              <w:t>、</w:t>
            </w:r>
            <w:r>
              <w:rPr>
                <w:sz w:val="28"/>
              </w:rPr>
              <w:t>多哈哈迈德机场</w:t>
            </w:r>
            <w:r>
              <w:rPr>
                <w:rFonts w:hint="eastAsia"/>
                <w:sz w:val="28"/>
              </w:rPr>
              <w:t>、</w:t>
            </w:r>
            <w:r>
              <w:rPr>
                <w:sz w:val="28"/>
              </w:rPr>
              <w:t>温哥华国际机场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0" w:type="dxa"/>
            <w:vAlign w:val="center"/>
          </w:tcPr>
          <w:p>
            <w:pPr>
              <w:spacing w:line="560" w:lineRule="exact"/>
              <w:rPr>
                <w:sz w:val="28"/>
              </w:rPr>
            </w:pPr>
            <w:r>
              <w:rPr>
                <w:rFonts w:hint="eastAsia"/>
                <w:sz w:val="28"/>
              </w:rPr>
              <w:t>以色列</w:t>
            </w:r>
          </w:p>
        </w:tc>
        <w:tc>
          <w:tcPr>
            <w:tcW w:w="1476" w:type="dxa"/>
            <w:vAlign w:val="center"/>
          </w:tcPr>
          <w:p>
            <w:pPr>
              <w:spacing w:line="560" w:lineRule="exact"/>
              <w:rPr>
                <w:sz w:val="28"/>
              </w:rPr>
            </w:pPr>
            <w:r>
              <w:rPr>
                <w:rFonts w:hint="eastAsia"/>
                <w:sz w:val="28"/>
              </w:rPr>
              <w:t>Xsight</w:t>
            </w:r>
          </w:p>
        </w:tc>
        <w:tc>
          <w:tcPr>
            <w:tcW w:w="2352" w:type="dxa"/>
            <w:vAlign w:val="center"/>
          </w:tcPr>
          <w:p>
            <w:pPr>
              <w:spacing w:line="560" w:lineRule="exact"/>
              <w:rPr>
                <w:sz w:val="28"/>
              </w:rPr>
            </w:pPr>
            <w:r>
              <w:rPr>
                <w:sz w:val="28"/>
              </w:rPr>
              <w:t>边灯式</w:t>
            </w:r>
            <w:r>
              <w:rPr>
                <w:rFonts w:hint="eastAsia"/>
                <w:sz w:val="28"/>
              </w:rPr>
              <w:t>，</w:t>
            </w:r>
            <w:r>
              <w:rPr>
                <w:sz w:val="28"/>
              </w:rPr>
              <w:t>光学加雷达</w:t>
            </w:r>
          </w:p>
        </w:tc>
        <w:tc>
          <w:tcPr>
            <w:tcW w:w="3544" w:type="dxa"/>
            <w:vAlign w:val="center"/>
          </w:tcPr>
          <w:p>
            <w:pPr>
              <w:spacing w:line="560" w:lineRule="exact"/>
              <w:rPr>
                <w:sz w:val="28"/>
              </w:rPr>
            </w:pPr>
            <w:r>
              <w:rPr>
                <w:rFonts w:hint="eastAsia"/>
                <w:sz w:val="28"/>
              </w:rPr>
              <w:t>波士顿洛根、本古里安、新曼谷机场、西雅图机场等</w:t>
            </w:r>
          </w:p>
        </w:tc>
      </w:tr>
    </w:tbl>
    <w:p>
      <w:pPr>
        <w:spacing w:line="560" w:lineRule="exact"/>
        <w:ind w:firstLine="560" w:firstLineChars="200"/>
        <w:rPr>
          <w:sz w:val="28"/>
        </w:rPr>
      </w:pPr>
      <w:r>
        <w:rPr>
          <w:rFonts w:hint="eastAsia"/>
          <w:sz w:val="28"/>
        </w:rPr>
        <w:t>国内大多数机场仍采用人工定时巡逻清理异物的方式，容易形成监控死角和时间上的不连续性，且处理异物的效率极低，容易疏漏。国内机场跑道异物检测技术研究于2009年国家民航总局机场司民航局安全技术中心编写了《FOD防范手册》，为我国FOD检测系统提供了标准化参照。国内民航局在2</w:t>
      </w:r>
      <w:r>
        <w:rPr>
          <w:sz w:val="28"/>
        </w:rPr>
        <w:t>024</w:t>
      </w:r>
      <w:r>
        <w:rPr>
          <w:rFonts w:hint="eastAsia"/>
          <w:sz w:val="28"/>
        </w:rPr>
        <w:t>年，修订了I</w:t>
      </w:r>
      <w:r>
        <w:rPr>
          <w:sz w:val="28"/>
        </w:rPr>
        <w:t>B-CA-2016-01</w:t>
      </w:r>
      <w:r>
        <w:rPr>
          <w:rFonts w:hint="eastAsia"/>
          <w:sz w:val="28"/>
        </w:rPr>
        <w:t>“机场道面外来物探测设备”管理文件标准，改为AC-</w:t>
      </w:r>
      <w:r>
        <w:rPr>
          <w:sz w:val="28"/>
        </w:rPr>
        <w:t>137-</w:t>
      </w:r>
      <w:r>
        <w:rPr>
          <w:rFonts w:hint="eastAsia"/>
          <w:sz w:val="28"/>
        </w:rPr>
        <w:t>CA-</w:t>
      </w:r>
      <w:r>
        <w:rPr>
          <w:sz w:val="28"/>
        </w:rPr>
        <w:t>2024-01</w:t>
      </w:r>
      <w:r>
        <w:rPr>
          <w:rFonts w:hint="eastAsia"/>
          <w:sz w:val="28"/>
        </w:rPr>
        <w:t>《</w:t>
      </w:r>
      <w:r>
        <w:rPr>
          <w:sz w:val="28"/>
        </w:rPr>
        <w:t>机场道面外来物探测设备</w:t>
      </w:r>
      <w:r>
        <w:rPr>
          <w:rFonts w:hint="eastAsia"/>
          <w:sz w:val="28"/>
        </w:rPr>
        <w:t>技术要求》。标准中规定了F</w:t>
      </w:r>
      <w:r>
        <w:rPr>
          <w:sz w:val="28"/>
        </w:rPr>
        <w:t>OD</w:t>
      </w:r>
      <w:r>
        <w:rPr>
          <w:rFonts w:hint="eastAsia"/>
          <w:sz w:val="28"/>
        </w:rPr>
        <w:t>探测的基本功能要求、性能要求和环境适应性要求。目前国内主流供货商及产品体制如表2所示。</w:t>
      </w:r>
    </w:p>
    <w:p>
      <w:pPr>
        <w:spacing w:line="560" w:lineRule="exact"/>
        <w:ind w:firstLine="560" w:firstLineChars="200"/>
        <w:jc w:val="center"/>
        <w:rPr>
          <w:sz w:val="28"/>
        </w:rPr>
      </w:pPr>
      <w:r>
        <w:rPr>
          <w:rFonts w:hint="eastAsia"/>
          <w:sz w:val="28"/>
        </w:rPr>
        <w:t>表2  国内各类FOD探测系统</w:t>
      </w:r>
    </w:p>
    <w:tbl>
      <w:tblPr>
        <w:tblStyle w:val="14"/>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3005"/>
        <w:gridCol w:w="3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93" w:type="dxa"/>
            <w:vAlign w:val="center"/>
          </w:tcPr>
          <w:p>
            <w:pPr>
              <w:spacing w:line="560" w:lineRule="exact"/>
              <w:rPr>
                <w:sz w:val="28"/>
              </w:rPr>
            </w:pPr>
            <w:r>
              <w:rPr>
                <w:rFonts w:hint="eastAsia"/>
                <w:sz w:val="28"/>
              </w:rPr>
              <w:t>公司</w:t>
            </w:r>
          </w:p>
        </w:tc>
        <w:tc>
          <w:tcPr>
            <w:tcW w:w="3005" w:type="dxa"/>
            <w:vAlign w:val="center"/>
          </w:tcPr>
          <w:p>
            <w:pPr>
              <w:spacing w:line="560" w:lineRule="exact"/>
              <w:rPr>
                <w:sz w:val="28"/>
              </w:rPr>
            </w:pPr>
            <w:r>
              <w:rPr>
                <w:rFonts w:hint="eastAsia"/>
                <w:sz w:val="28"/>
              </w:rPr>
              <w:t>产品/体制</w:t>
            </w:r>
          </w:p>
        </w:tc>
        <w:tc>
          <w:tcPr>
            <w:tcW w:w="3515" w:type="dxa"/>
            <w:vAlign w:val="center"/>
          </w:tcPr>
          <w:p>
            <w:pPr>
              <w:spacing w:line="560" w:lineRule="exact"/>
              <w:ind w:firstLine="560" w:firstLineChars="200"/>
              <w:rPr>
                <w:sz w:val="28"/>
              </w:rPr>
            </w:pPr>
            <w:r>
              <w:rPr>
                <w:rFonts w:hint="eastAsia"/>
                <w:sz w:val="28"/>
              </w:rPr>
              <w:t>应用机场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93" w:type="dxa"/>
            <w:vAlign w:val="center"/>
          </w:tcPr>
          <w:p>
            <w:pPr>
              <w:spacing w:line="560" w:lineRule="exact"/>
              <w:rPr>
                <w:sz w:val="28"/>
              </w:rPr>
            </w:pPr>
            <w:r>
              <w:rPr>
                <w:rFonts w:hint="eastAsia"/>
                <w:sz w:val="28"/>
              </w:rPr>
              <w:t>民航二所</w:t>
            </w:r>
          </w:p>
        </w:tc>
        <w:tc>
          <w:tcPr>
            <w:tcW w:w="3005" w:type="dxa"/>
            <w:vAlign w:val="center"/>
          </w:tcPr>
          <w:p>
            <w:pPr>
              <w:spacing w:line="560" w:lineRule="exact"/>
              <w:rPr>
                <w:sz w:val="28"/>
              </w:rPr>
            </w:pPr>
            <w:r>
              <w:rPr>
                <w:rFonts w:hint="eastAsia"/>
                <w:sz w:val="28"/>
              </w:rPr>
              <w:t>边灯式，以雷达为主要探测手段</w:t>
            </w:r>
          </w:p>
        </w:tc>
        <w:tc>
          <w:tcPr>
            <w:tcW w:w="3515" w:type="dxa"/>
            <w:vAlign w:val="center"/>
          </w:tcPr>
          <w:p>
            <w:pPr>
              <w:spacing w:line="560" w:lineRule="exact"/>
              <w:rPr>
                <w:sz w:val="28"/>
              </w:rPr>
            </w:pPr>
            <w:r>
              <w:rPr>
                <w:rFonts w:hint="eastAsia"/>
                <w:sz w:val="28"/>
              </w:rPr>
              <w:t>首都机场，大兴机场等民用机场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93" w:type="dxa"/>
            <w:vAlign w:val="center"/>
          </w:tcPr>
          <w:p>
            <w:pPr>
              <w:spacing w:line="560" w:lineRule="exact"/>
              <w:rPr>
                <w:sz w:val="28"/>
              </w:rPr>
            </w:pPr>
            <w:r>
              <w:rPr>
                <w:rFonts w:hint="eastAsia"/>
                <w:sz w:val="28"/>
              </w:rPr>
              <w:t>理工雷科</w:t>
            </w:r>
          </w:p>
        </w:tc>
        <w:tc>
          <w:tcPr>
            <w:tcW w:w="3005" w:type="dxa"/>
            <w:vAlign w:val="center"/>
          </w:tcPr>
          <w:p>
            <w:pPr>
              <w:spacing w:line="560" w:lineRule="exact"/>
              <w:rPr>
                <w:sz w:val="28"/>
              </w:rPr>
            </w:pPr>
            <w:r>
              <w:rPr>
                <w:rFonts w:hint="eastAsia"/>
                <w:sz w:val="28"/>
              </w:rPr>
              <w:t>边灯式，车载式，以雷达为主要探测手段</w:t>
            </w:r>
          </w:p>
        </w:tc>
        <w:tc>
          <w:tcPr>
            <w:tcW w:w="3515" w:type="dxa"/>
            <w:vAlign w:val="center"/>
          </w:tcPr>
          <w:p>
            <w:pPr>
              <w:spacing w:line="560" w:lineRule="exact"/>
              <w:rPr>
                <w:sz w:val="28"/>
              </w:rPr>
            </w:pPr>
            <w:r>
              <w:rPr>
                <w:rFonts w:hint="eastAsia"/>
                <w:sz w:val="28"/>
              </w:rPr>
              <w:t>首都机场，大兴机场，天府机场，鄂州机场等民用机场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93" w:type="dxa"/>
            <w:vAlign w:val="center"/>
          </w:tcPr>
          <w:p>
            <w:pPr>
              <w:spacing w:line="560" w:lineRule="exact"/>
              <w:rPr>
                <w:sz w:val="28"/>
              </w:rPr>
            </w:pPr>
            <w:r>
              <w:rPr>
                <w:sz w:val="28"/>
              </w:rPr>
              <w:t>中航雷达与电子设备研究院</w:t>
            </w:r>
          </w:p>
        </w:tc>
        <w:tc>
          <w:tcPr>
            <w:tcW w:w="3005" w:type="dxa"/>
            <w:vAlign w:val="center"/>
          </w:tcPr>
          <w:p>
            <w:pPr>
              <w:spacing w:line="560" w:lineRule="exact"/>
              <w:rPr>
                <w:sz w:val="28"/>
              </w:rPr>
            </w:pPr>
            <w:r>
              <w:rPr>
                <w:sz w:val="28"/>
              </w:rPr>
              <w:t>塔架式</w:t>
            </w:r>
            <w:r>
              <w:rPr>
                <w:rFonts w:hint="eastAsia"/>
                <w:sz w:val="28"/>
              </w:rPr>
              <w:t>，以雷达为核心探测手段</w:t>
            </w:r>
            <w:r>
              <w:rPr>
                <w:sz w:val="28"/>
              </w:rPr>
              <w:t xml:space="preserve"> </w:t>
            </w:r>
          </w:p>
        </w:tc>
        <w:tc>
          <w:tcPr>
            <w:tcW w:w="3515" w:type="dxa"/>
            <w:vAlign w:val="center"/>
          </w:tcPr>
          <w:p>
            <w:pPr>
              <w:spacing w:line="560" w:lineRule="exact"/>
              <w:rPr>
                <w:sz w:val="28"/>
              </w:rPr>
            </w:pPr>
            <w:r>
              <w:rPr>
                <w:rFonts w:hint="eastAsia"/>
                <w:sz w:val="28"/>
              </w:rPr>
              <w:t>胶东国际机场等民用机场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93" w:type="dxa"/>
            <w:vAlign w:val="center"/>
          </w:tcPr>
          <w:p>
            <w:pPr>
              <w:spacing w:line="560" w:lineRule="exact"/>
              <w:rPr>
                <w:sz w:val="28"/>
              </w:rPr>
            </w:pPr>
            <w:r>
              <w:rPr>
                <w:rFonts w:hint="eastAsia"/>
                <w:sz w:val="28"/>
              </w:rPr>
              <w:t>广州辰创</w:t>
            </w:r>
          </w:p>
        </w:tc>
        <w:tc>
          <w:tcPr>
            <w:tcW w:w="3005" w:type="dxa"/>
            <w:vAlign w:val="center"/>
          </w:tcPr>
          <w:p>
            <w:pPr>
              <w:spacing w:line="560" w:lineRule="exact"/>
              <w:rPr>
                <w:sz w:val="28"/>
              </w:rPr>
            </w:pPr>
            <w:r>
              <w:rPr>
                <w:sz w:val="28"/>
              </w:rPr>
              <w:t>边灯式</w:t>
            </w:r>
            <w:r>
              <w:rPr>
                <w:rFonts w:hint="eastAsia"/>
                <w:sz w:val="28"/>
              </w:rPr>
              <w:t>，以雷达为核心探测手段</w:t>
            </w:r>
          </w:p>
        </w:tc>
        <w:tc>
          <w:tcPr>
            <w:tcW w:w="3515" w:type="dxa"/>
            <w:vAlign w:val="center"/>
          </w:tcPr>
          <w:p>
            <w:pPr>
              <w:spacing w:line="560" w:lineRule="exact"/>
              <w:rPr>
                <w:sz w:val="28"/>
              </w:rPr>
            </w:pPr>
            <w:r>
              <w:rPr>
                <w:rFonts w:hint="eastAsia"/>
                <w:sz w:val="28"/>
              </w:rPr>
              <w:t>民用机场试用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93" w:type="dxa"/>
            <w:vAlign w:val="center"/>
          </w:tcPr>
          <w:p>
            <w:pPr>
              <w:spacing w:line="560" w:lineRule="exact"/>
              <w:rPr>
                <w:sz w:val="28"/>
              </w:rPr>
            </w:pPr>
            <w:r>
              <w:rPr>
                <w:rFonts w:hint="eastAsia"/>
                <w:sz w:val="28"/>
              </w:rPr>
              <w:t>湖南华诺星空</w:t>
            </w:r>
          </w:p>
        </w:tc>
        <w:tc>
          <w:tcPr>
            <w:tcW w:w="3005" w:type="dxa"/>
            <w:vAlign w:val="center"/>
          </w:tcPr>
          <w:p>
            <w:pPr>
              <w:spacing w:line="560" w:lineRule="exact"/>
              <w:rPr>
                <w:sz w:val="28"/>
              </w:rPr>
            </w:pPr>
            <w:r>
              <w:rPr>
                <w:sz w:val="28"/>
              </w:rPr>
              <w:t>边灯式</w:t>
            </w:r>
            <w:r>
              <w:rPr>
                <w:rFonts w:hint="eastAsia"/>
                <w:sz w:val="28"/>
              </w:rPr>
              <w:t>，以雷达为核心探测手段</w:t>
            </w:r>
          </w:p>
        </w:tc>
        <w:tc>
          <w:tcPr>
            <w:tcW w:w="3515" w:type="dxa"/>
            <w:vAlign w:val="center"/>
          </w:tcPr>
          <w:p>
            <w:pPr>
              <w:spacing w:line="560" w:lineRule="exact"/>
              <w:rPr>
                <w:sz w:val="28"/>
              </w:rPr>
            </w:pPr>
            <w:r>
              <w:rPr>
                <w:rFonts w:hint="eastAsia"/>
                <w:sz w:val="28"/>
              </w:rPr>
              <w:t>首都机场，大兴机场等民用机场</w:t>
            </w:r>
          </w:p>
        </w:tc>
      </w:tr>
    </w:tbl>
    <w:p>
      <w:pPr>
        <w:spacing w:line="560" w:lineRule="exact"/>
        <w:ind w:firstLine="560" w:firstLineChars="200"/>
        <w:rPr>
          <w:sz w:val="28"/>
        </w:rPr>
      </w:pPr>
      <w:r>
        <w:rPr>
          <w:rFonts w:hint="eastAsia"/>
          <w:sz w:val="28"/>
        </w:rPr>
        <w:t>从市场规模来看</w:t>
      </w:r>
      <w:r>
        <w:rPr>
          <w:sz w:val="28"/>
        </w:rPr>
        <w:t>，民航</w:t>
      </w:r>
      <w:r>
        <w:rPr>
          <w:rFonts w:hint="eastAsia"/>
          <w:sz w:val="28"/>
        </w:rPr>
        <w:t>《</w:t>
      </w:r>
      <w:r>
        <w:rPr>
          <w:sz w:val="28"/>
        </w:rPr>
        <w:t>十四五发展纲要</w:t>
      </w:r>
      <w:r>
        <w:rPr>
          <w:rFonts w:hint="eastAsia"/>
          <w:sz w:val="28"/>
        </w:rPr>
        <w:t>》</w:t>
      </w:r>
      <w:r>
        <w:rPr>
          <w:sz w:val="28"/>
        </w:rPr>
        <w:t>指示，“十四五”期间新建及改扩建机场数量可达100个以上，且中大型机场要求具有FOD自动化检测识别的能力，按照每个机场1~2条跑道计算，共有潜在跑道200条以上，根据目前以布设的进口探测设备成交价格计算，总市场规模近百亿元；军用市场来说，目前已经布设的机场数量为零，根据不同使用场景，固定式适合布设至航母及军舰起降跑道，移动式适合布设中小型军用飞机训练机场，不同谱型产品市场规模近十亿元。</w:t>
      </w:r>
    </w:p>
    <w:p>
      <w:pPr>
        <w:spacing w:line="560" w:lineRule="exact"/>
        <w:ind w:firstLine="560" w:firstLineChars="200"/>
        <w:rPr>
          <w:sz w:val="28"/>
        </w:rPr>
      </w:pPr>
      <w:r>
        <w:rPr>
          <w:rFonts w:hint="eastAsia"/>
          <w:sz w:val="28"/>
        </w:rPr>
        <w:t>从已有技术规范来看，国内目前尚未对此设备有标准规范，不同厂商无法保证布设于机场上的设备在出厂前具备机场使用条件下的功能及性能指标，且只依靠实验室对雷达器件的静态参数测试无法在实际使用中达到效果。为了进一步规范行业市场秩序，建立统一的测试校准规范迫在眉睫。</w:t>
      </w:r>
    </w:p>
    <w:p>
      <w:pPr>
        <w:spacing w:line="360" w:lineRule="auto"/>
        <w:ind w:firstLine="420"/>
        <w:rPr>
          <w:sz w:val="24"/>
        </w:rPr>
      </w:pPr>
      <w:r>
        <w:rPr>
          <w:sz w:val="28"/>
        </w:rPr>
        <w:t>本</w:t>
      </w:r>
      <w:r>
        <w:rPr>
          <w:rFonts w:hint="eastAsia"/>
          <w:sz w:val="28"/>
        </w:rPr>
        <w:t>测试</w:t>
      </w:r>
      <w:r>
        <w:rPr>
          <w:sz w:val="28"/>
        </w:rPr>
        <w:t>规范</w:t>
      </w:r>
      <w:r>
        <w:rPr>
          <w:rFonts w:hint="eastAsia"/>
          <w:sz w:val="28"/>
        </w:rPr>
        <w:t>主要通过外场测试来保证其设备性能，用户通常关注探测设备是否能检测出机场跑道中的微小异物，探测设备范围是否可以覆盖整条跑道，异物信息是否可以准确定位并上报到用户操作终端以及异物探测整体的响应时间等指标。依据AC-</w:t>
      </w:r>
      <w:r>
        <w:rPr>
          <w:sz w:val="28"/>
        </w:rPr>
        <w:t>137-</w:t>
      </w:r>
      <w:r>
        <w:rPr>
          <w:rFonts w:hint="eastAsia"/>
          <w:sz w:val="28"/>
        </w:rPr>
        <w:t>CA-</w:t>
      </w:r>
      <w:r>
        <w:rPr>
          <w:sz w:val="28"/>
        </w:rPr>
        <w:t>2024-01</w:t>
      </w:r>
      <w:r>
        <w:rPr>
          <w:rFonts w:hint="eastAsia"/>
          <w:sz w:val="28"/>
        </w:rPr>
        <w:t>《</w:t>
      </w:r>
      <w:r>
        <w:rPr>
          <w:sz w:val="28"/>
        </w:rPr>
        <w:t>机场道面外来物探测设备</w:t>
      </w:r>
      <w:r>
        <w:rPr>
          <w:rFonts w:hint="eastAsia"/>
          <w:sz w:val="28"/>
        </w:rPr>
        <w:t>技术要求》民航通告要求，测试过程</w:t>
      </w:r>
      <w:r>
        <w:rPr>
          <w:sz w:val="28"/>
        </w:rPr>
        <w:t>主要包括</w:t>
      </w:r>
      <w:r>
        <w:rPr>
          <w:rFonts w:hint="eastAsia"/>
          <w:sz w:val="28"/>
        </w:rPr>
        <w:t>以下5项</w:t>
      </w:r>
      <w:r>
        <w:rPr>
          <w:sz w:val="28"/>
        </w:rPr>
        <w:t>：</w:t>
      </w:r>
    </w:p>
    <w:p>
      <w:pPr>
        <w:numPr>
          <w:ilvl w:val="0"/>
          <w:numId w:val="1"/>
        </w:numPr>
        <w:spacing w:line="360" w:lineRule="auto"/>
        <w:ind w:firstLine="127"/>
        <w:jc w:val="left"/>
        <w:rPr>
          <w:sz w:val="28"/>
        </w:rPr>
      </w:pPr>
      <w:r>
        <w:rPr>
          <w:rFonts w:hint="eastAsia"/>
          <w:sz w:val="28"/>
        </w:rPr>
        <w:t>探测范围：探测设备应覆盖机场跑道区域，探测范围应不小于6</w:t>
      </w:r>
      <w:r>
        <w:rPr>
          <w:sz w:val="28"/>
        </w:rPr>
        <w:t>8</w:t>
      </w:r>
      <w:r>
        <w:rPr>
          <w:rFonts w:hint="eastAsia"/>
          <w:sz w:val="28"/>
        </w:rPr>
        <w:t>m；</w:t>
      </w:r>
    </w:p>
    <w:p>
      <w:pPr>
        <w:numPr>
          <w:ilvl w:val="0"/>
          <w:numId w:val="1"/>
        </w:numPr>
        <w:spacing w:line="360" w:lineRule="auto"/>
        <w:ind w:firstLine="127"/>
        <w:jc w:val="left"/>
        <w:rPr>
          <w:sz w:val="28"/>
        </w:rPr>
      </w:pPr>
      <w:r>
        <w:rPr>
          <w:rFonts w:hint="eastAsia"/>
          <w:sz w:val="28"/>
        </w:rPr>
        <w:t>标准样件检出率：应大于9</w:t>
      </w:r>
      <w:r>
        <w:rPr>
          <w:sz w:val="28"/>
        </w:rPr>
        <w:t>5%</w:t>
      </w:r>
      <w:r>
        <w:rPr>
          <w:rFonts w:hint="eastAsia"/>
          <w:sz w:val="28"/>
        </w:rPr>
        <w:t>；</w:t>
      </w:r>
    </w:p>
    <w:p>
      <w:pPr>
        <w:numPr>
          <w:ilvl w:val="0"/>
          <w:numId w:val="1"/>
        </w:numPr>
        <w:spacing w:line="360" w:lineRule="auto"/>
        <w:ind w:firstLine="127"/>
        <w:jc w:val="left"/>
        <w:rPr>
          <w:sz w:val="28"/>
        </w:rPr>
      </w:pPr>
      <w:r>
        <w:rPr>
          <w:rFonts w:hint="eastAsia"/>
          <w:sz w:val="28"/>
        </w:rPr>
        <w:t>测距示值误差：应不大于1m；</w:t>
      </w:r>
    </w:p>
    <w:p>
      <w:pPr>
        <w:numPr>
          <w:ilvl w:val="0"/>
          <w:numId w:val="1"/>
        </w:numPr>
        <w:spacing w:line="360" w:lineRule="auto"/>
        <w:ind w:firstLine="127"/>
        <w:jc w:val="left"/>
        <w:rPr>
          <w:sz w:val="28"/>
        </w:rPr>
      </w:pPr>
      <w:r>
        <w:rPr>
          <w:rFonts w:hint="eastAsia"/>
          <w:sz w:val="28"/>
        </w:rPr>
        <w:t>测角示值误差：应不大于1°；</w:t>
      </w:r>
    </w:p>
    <w:p>
      <w:pPr>
        <w:numPr>
          <w:ilvl w:val="0"/>
          <w:numId w:val="1"/>
        </w:numPr>
        <w:spacing w:line="360" w:lineRule="auto"/>
        <w:ind w:firstLine="127"/>
        <w:jc w:val="left"/>
        <w:rPr>
          <w:sz w:val="28"/>
        </w:rPr>
      </w:pPr>
      <w:r>
        <w:rPr>
          <w:rFonts w:hint="eastAsia"/>
          <w:sz w:val="28"/>
        </w:rPr>
        <w:t>响应时间：应用于交通密度高机场的设备，出现FOD时不大于2min更新信息；其他情况，不大于4min更新信息。</w:t>
      </w:r>
    </w:p>
    <w:p>
      <w:pPr>
        <w:spacing w:line="520" w:lineRule="exact"/>
        <w:ind w:firstLine="560" w:firstLineChars="200"/>
        <w:rPr>
          <w:sz w:val="28"/>
        </w:rPr>
      </w:pPr>
      <w:r>
        <w:rPr>
          <w:sz w:val="28"/>
        </w:rPr>
        <w:t>本</w:t>
      </w:r>
      <w:r>
        <w:rPr>
          <w:rFonts w:hint="eastAsia"/>
          <w:sz w:val="28"/>
        </w:rPr>
        <w:t>测试</w:t>
      </w:r>
      <w:r>
        <w:rPr>
          <w:sz w:val="28"/>
        </w:rPr>
        <w:t>规范通过</w:t>
      </w:r>
      <w:r>
        <w:rPr>
          <w:rFonts w:hint="eastAsia"/>
          <w:sz w:val="28"/>
        </w:rPr>
        <w:t>外场测试及在线比对的</w:t>
      </w:r>
      <w:r>
        <w:rPr>
          <w:sz w:val="28"/>
        </w:rPr>
        <w:t>方法实现对</w:t>
      </w:r>
      <w:r>
        <w:rPr>
          <w:rFonts w:hint="eastAsia"/>
          <w:sz w:val="28"/>
        </w:rPr>
        <w:t>机场道面外来物探测设备</w:t>
      </w:r>
      <w:r>
        <w:rPr>
          <w:sz w:val="28"/>
        </w:rPr>
        <w:t>装置的检定，满足其建标溯源需求，规范我国</w:t>
      </w:r>
      <w:r>
        <w:rPr>
          <w:rFonts w:hint="eastAsia"/>
          <w:sz w:val="28"/>
        </w:rPr>
        <w:t>机场道面外来物探测设备外场测试</w:t>
      </w:r>
      <w:r>
        <w:rPr>
          <w:sz w:val="28"/>
        </w:rPr>
        <w:t>检定方法，推动我国</w:t>
      </w:r>
      <w:r>
        <w:rPr>
          <w:rFonts w:hint="eastAsia"/>
          <w:sz w:val="28"/>
        </w:rPr>
        <w:t>机场道面外来物探测</w:t>
      </w:r>
      <w:r>
        <w:rPr>
          <w:sz w:val="28"/>
        </w:rPr>
        <w:t>领域国家规范的健全发展。</w:t>
      </w:r>
    </w:p>
    <w:p>
      <w:pPr>
        <w:spacing w:line="520" w:lineRule="exact"/>
        <w:rPr>
          <w:rFonts w:eastAsia="黑体"/>
          <w:sz w:val="28"/>
        </w:rPr>
      </w:pPr>
      <w:r>
        <w:rPr>
          <w:rFonts w:hint="eastAsia" w:eastAsia="黑体"/>
          <w:sz w:val="28"/>
        </w:rPr>
        <w:t>四、编制过程</w:t>
      </w:r>
    </w:p>
    <w:p>
      <w:pPr>
        <w:spacing w:line="520" w:lineRule="exact"/>
        <w:ind w:firstLine="560" w:firstLineChars="200"/>
        <w:rPr>
          <w:sz w:val="28"/>
        </w:rPr>
      </w:pPr>
      <w:r>
        <w:rPr>
          <w:rFonts w:hint="eastAsia"/>
          <w:sz w:val="28"/>
        </w:rPr>
        <w:t>《基于毫米波雷达的边灯固定式</w:t>
      </w:r>
      <w:r>
        <w:rPr>
          <w:sz w:val="28"/>
        </w:rPr>
        <w:t>机场道面外来物探测设备</w:t>
      </w:r>
      <w:r>
        <w:rPr>
          <w:rFonts w:hint="eastAsia"/>
          <w:sz w:val="28"/>
        </w:rPr>
        <w:t>校准规范》起草组由以下单位组成：</w:t>
      </w:r>
    </w:p>
    <w:p>
      <w:pPr>
        <w:spacing w:line="520" w:lineRule="exact"/>
        <w:ind w:firstLine="560" w:firstLineChars="200"/>
        <w:rPr>
          <w:sz w:val="28"/>
        </w:rPr>
      </w:pPr>
      <w:r>
        <w:rPr>
          <w:rFonts w:hint="eastAsia"/>
          <w:sz w:val="28"/>
        </w:rPr>
        <w:t>主要起草单位：</w:t>
      </w:r>
      <w:r>
        <w:rPr>
          <w:rFonts w:hint="eastAsia" w:eastAsia="黑体"/>
          <w:bCs/>
          <w:sz w:val="28"/>
          <w:lang w:val="en-US" w:eastAsia="zh-CN"/>
        </w:rPr>
        <w:t>XXXX</w:t>
      </w:r>
      <w:r>
        <w:rPr>
          <w:rFonts w:hint="eastAsia"/>
          <w:sz w:val="28"/>
        </w:rPr>
        <w:t>。</w:t>
      </w:r>
    </w:p>
    <w:p>
      <w:pPr>
        <w:spacing w:line="520" w:lineRule="exact"/>
        <w:ind w:firstLine="560" w:firstLineChars="200"/>
        <w:rPr>
          <w:sz w:val="28"/>
        </w:rPr>
      </w:pPr>
      <w:r>
        <w:rPr>
          <w:rFonts w:hint="eastAsia"/>
          <w:sz w:val="28"/>
        </w:rPr>
        <w:t>参加起草单位：</w:t>
      </w:r>
      <w:r>
        <w:rPr>
          <w:rFonts w:hint="eastAsia" w:eastAsia="黑体"/>
          <w:bCs/>
          <w:sz w:val="28"/>
          <w:lang w:val="en-US" w:eastAsia="zh-CN"/>
        </w:rPr>
        <w:t>XXXX</w:t>
      </w:r>
      <w:r>
        <w:rPr>
          <w:sz w:val="28"/>
        </w:rPr>
        <w:t>、</w:t>
      </w:r>
      <w:r>
        <w:rPr>
          <w:rFonts w:hint="eastAsia" w:eastAsia="黑体"/>
          <w:bCs/>
          <w:sz w:val="28"/>
          <w:lang w:val="en-US" w:eastAsia="zh-CN"/>
        </w:rPr>
        <w:t>XXXX</w:t>
      </w:r>
      <w:r>
        <w:rPr>
          <w:rFonts w:hint="eastAsia"/>
          <w:sz w:val="28"/>
        </w:rPr>
        <w:t>、</w:t>
      </w:r>
      <w:r>
        <w:rPr>
          <w:rFonts w:hint="eastAsia" w:eastAsia="黑体"/>
          <w:bCs/>
          <w:sz w:val="28"/>
          <w:lang w:val="en-US" w:eastAsia="zh-CN"/>
        </w:rPr>
        <w:t>XXXX</w:t>
      </w:r>
      <w:r>
        <w:rPr>
          <w:rFonts w:hint="eastAsia"/>
          <w:sz w:val="28"/>
        </w:rPr>
        <w:t>、</w:t>
      </w:r>
      <w:r>
        <w:rPr>
          <w:rFonts w:hint="eastAsia" w:eastAsia="黑体"/>
          <w:bCs/>
          <w:sz w:val="28"/>
          <w:lang w:val="en-US" w:eastAsia="zh-CN"/>
        </w:rPr>
        <w:t>XXXX</w:t>
      </w:r>
      <w:r>
        <w:rPr>
          <w:rFonts w:hint="eastAsia"/>
          <w:sz w:val="28"/>
        </w:rPr>
        <w:t>等。</w:t>
      </w:r>
    </w:p>
    <w:p>
      <w:pPr>
        <w:spacing w:line="520" w:lineRule="exact"/>
        <w:ind w:firstLine="560" w:firstLineChars="200"/>
        <w:rPr>
          <w:sz w:val="28"/>
        </w:rPr>
      </w:pPr>
      <w:r>
        <w:rPr>
          <w:rFonts w:hint="eastAsia"/>
          <w:sz w:val="28"/>
        </w:rPr>
        <w:t>2020年至</w:t>
      </w:r>
      <w:r>
        <w:rPr>
          <w:sz w:val="28"/>
        </w:rPr>
        <w:t>20</w:t>
      </w:r>
      <w:r>
        <w:rPr>
          <w:rFonts w:hint="eastAsia"/>
          <w:sz w:val="28"/>
        </w:rPr>
        <w:t>22年，在正式</w:t>
      </w:r>
      <w:r>
        <w:rPr>
          <w:sz w:val="28"/>
        </w:rPr>
        <w:t>申请</w:t>
      </w:r>
      <w:r>
        <w:rPr>
          <w:rFonts w:hint="eastAsia"/>
          <w:sz w:val="28"/>
        </w:rPr>
        <w:t>规范制定</w:t>
      </w:r>
      <w:r>
        <w:rPr>
          <w:sz w:val="28"/>
        </w:rPr>
        <w:t>任务前，对国内现有的机场道面外来物探测设备</w:t>
      </w:r>
      <w:r>
        <w:rPr>
          <w:rFonts w:hint="eastAsia"/>
          <w:sz w:val="28"/>
        </w:rPr>
        <w:t>进行</w:t>
      </w:r>
      <w:r>
        <w:rPr>
          <w:sz w:val="28"/>
        </w:rPr>
        <w:t>大样本的</w:t>
      </w:r>
      <w:r>
        <w:rPr>
          <w:rFonts w:hint="eastAsia"/>
          <w:sz w:val="28"/>
        </w:rPr>
        <w:t>外场测试</w:t>
      </w:r>
      <w:r>
        <w:rPr>
          <w:sz w:val="28"/>
        </w:rPr>
        <w:t>，取得了大量的试验数据</w:t>
      </w:r>
      <w:r>
        <w:rPr>
          <w:rFonts w:hint="eastAsia"/>
          <w:sz w:val="28"/>
        </w:rPr>
        <w:t>。</w:t>
      </w:r>
    </w:p>
    <w:p>
      <w:pPr>
        <w:spacing w:line="520" w:lineRule="exact"/>
        <w:ind w:firstLine="560" w:firstLineChars="200"/>
        <w:rPr>
          <w:sz w:val="28"/>
        </w:rPr>
      </w:pPr>
      <w:r>
        <w:rPr>
          <w:rFonts w:hint="eastAsia"/>
          <w:sz w:val="28"/>
        </w:rPr>
        <w:t>2022年6月</w:t>
      </w:r>
      <w:r>
        <w:rPr>
          <w:sz w:val="28"/>
        </w:rPr>
        <w:t>，在大量</w:t>
      </w:r>
      <w:r>
        <w:rPr>
          <w:rFonts w:hint="eastAsia"/>
          <w:sz w:val="28"/>
        </w:rPr>
        <w:t>前期</w:t>
      </w:r>
      <w:r>
        <w:rPr>
          <w:sz w:val="28"/>
        </w:rPr>
        <w:t>工作的基础上，向</w:t>
      </w:r>
      <w:r>
        <w:rPr>
          <w:rFonts w:hint="eastAsia"/>
          <w:sz w:val="28"/>
        </w:rPr>
        <w:t>全国振动冲击转速计量技术委员会秘书处</w:t>
      </w:r>
      <w:r>
        <w:rPr>
          <w:sz w:val="28"/>
        </w:rPr>
        <w:t>正式提出</w:t>
      </w:r>
      <w:r>
        <w:rPr>
          <w:rFonts w:hint="eastAsia"/>
          <w:sz w:val="28"/>
        </w:rPr>
        <w:t>制定</w:t>
      </w:r>
      <w:r>
        <w:rPr>
          <w:sz w:val="28"/>
        </w:rPr>
        <w:t>申请。</w:t>
      </w:r>
    </w:p>
    <w:p>
      <w:pPr>
        <w:spacing w:line="520" w:lineRule="exact"/>
        <w:ind w:firstLine="560" w:firstLineChars="200"/>
        <w:rPr>
          <w:sz w:val="28"/>
        </w:rPr>
      </w:pPr>
      <w:r>
        <w:rPr>
          <w:rFonts w:hint="eastAsia"/>
          <w:sz w:val="28"/>
        </w:rPr>
        <w:t>2023年2月，接到技术委员会秘书处的正式制定任务后，确定了规范起草小组成员，对规范制定工作进行分工并定出工作计划。</w:t>
      </w:r>
    </w:p>
    <w:p>
      <w:pPr>
        <w:spacing w:line="520" w:lineRule="exact"/>
        <w:ind w:firstLine="560" w:firstLineChars="200"/>
        <w:rPr>
          <w:sz w:val="28"/>
        </w:rPr>
      </w:pPr>
      <w:r>
        <w:rPr>
          <w:rFonts w:hint="eastAsia"/>
          <w:sz w:val="28"/>
        </w:rPr>
        <w:t>20</w:t>
      </w:r>
      <w:r>
        <w:rPr>
          <w:sz w:val="28"/>
        </w:rPr>
        <w:t>2</w:t>
      </w:r>
      <w:r>
        <w:rPr>
          <w:rFonts w:hint="eastAsia"/>
          <w:sz w:val="28"/>
        </w:rPr>
        <w:t>3年3月，完成了规范制定初稿，并在起草小组内部进行</w:t>
      </w:r>
      <w:r>
        <w:rPr>
          <w:sz w:val="28"/>
        </w:rPr>
        <w:t>了</w:t>
      </w:r>
      <w:r>
        <w:rPr>
          <w:rFonts w:hint="eastAsia"/>
          <w:sz w:val="28"/>
        </w:rPr>
        <w:t>征求意见并进行了修改。</w:t>
      </w:r>
    </w:p>
    <w:p>
      <w:pPr>
        <w:spacing w:line="520" w:lineRule="exact"/>
        <w:ind w:firstLine="560" w:firstLineChars="200"/>
        <w:rPr>
          <w:sz w:val="28"/>
        </w:rPr>
      </w:pPr>
      <w:r>
        <w:rPr>
          <w:rFonts w:hint="eastAsia"/>
          <w:sz w:val="28"/>
        </w:rPr>
        <w:t>20</w:t>
      </w:r>
      <w:r>
        <w:rPr>
          <w:sz w:val="28"/>
        </w:rPr>
        <w:t>2</w:t>
      </w:r>
      <w:r>
        <w:rPr>
          <w:rFonts w:hint="eastAsia"/>
          <w:sz w:val="28"/>
        </w:rPr>
        <w:t>3年4月，在全国振动冲击转速计量技术委员会技术法规预审会上，技术委员会专家对规范进行了预审。</w:t>
      </w:r>
    </w:p>
    <w:p>
      <w:pPr>
        <w:spacing w:line="520" w:lineRule="exact"/>
        <w:ind w:firstLine="560" w:firstLineChars="200"/>
        <w:rPr>
          <w:sz w:val="28"/>
        </w:rPr>
      </w:pPr>
      <w:r>
        <w:rPr>
          <w:rFonts w:hint="eastAsia"/>
          <w:sz w:val="28"/>
        </w:rPr>
        <w:t>2</w:t>
      </w:r>
      <w:r>
        <w:rPr>
          <w:sz w:val="28"/>
        </w:rPr>
        <w:t>023</w:t>
      </w:r>
      <w:r>
        <w:rPr>
          <w:rFonts w:hint="eastAsia"/>
          <w:sz w:val="28"/>
        </w:rPr>
        <w:t>年1</w:t>
      </w:r>
      <w:r>
        <w:rPr>
          <w:sz w:val="28"/>
        </w:rPr>
        <w:t>0</w:t>
      </w:r>
      <w:r>
        <w:rPr>
          <w:rFonts w:hint="eastAsia"/>
          <w:sz w:val="28"/>
        </w:rPr>
        <w:t>月，在全国振动冲击转速计量技术委员会技术法规初审会上，技术委员会专家对规范进行了初审。</w:t>
      </w:r>
    </w:p>
    <w:p>
      <w:pPr>
        <w:spacing w:line="520" w:lineRule="exact"/>
        <w:ind w:firstLine="560" w:firstLineChars="200"/>
        <w:rPr>
          <w:sz w:val="28"/>
        </w:rPr>
      </w:pPr>
      <w:r>
        <w:rPr>
          <w:sz w:val="28"/>
        </w:rPr>
        <w:t>2023</w:t>
      </w:r>
      <w:r>
        <w:rPr>
          <w:rFonts w:hint="eastAsia"/>
          <w:sz w:val="28"/>
        </w:rPr>
        <w:t>年</w:t>
      </w:r>
      <w:r>
        <w:rPr>
          <w:sz w:val="28"/>
        </w:rPr>
        <w:t>10</w:t>
      </w:r>
      <w:r>
        <w:rPr>
          <w:rFonts w:hint="eastAsia"/>
          <w:sz w:val="28"/>
        </w:rPr>
        <w:t>月~2</w:t>
      </w:r>
      <w:r>
        <w:rPr>
          <w:sz w:val="28"/>
        </w:rPr>
        <w:t>024</w:t>
      </w:r>
      <w:r>
        <w:rPr>
          <w:rFonts w:hint="eastAsia"/>
          <w:sz w:val="28"/>
        </w:rPr>
        <w:t>年</w:t>
      </w:r>
      <w:r>
        <w:rPr>
          <w:sz w:val="28"/>
        </w:rPr>
        <w:t>9</w:t>
      </w:r>
      <w:r>
        <w:rPr>
          <w:rFonts w:hint="eastAsia"/>
          <w:sz w:val="28"/>
        </w:rPr>
        <w:t>月，起草组成员分别对市面上多款设备进行实地测试，形成测试报告；同时在技术委员会协调下，向航科院法规处与中国民航大学征求相关意见，并根据民航局新修订通告对规范内容进行相应修改，同时根据前一次初审会专家提出的修改意见对规范内容进行修改。</w:t>
      </w:r>
    </w:p>
    <w:p>
      <w:pPr>
        <w:spacing w:line="520" w:lineRule="exact"/>
        <w:ind w:firstLine="560" w:firstLineChars="200"/>
        <w:rPr>
          <w:sz w:val="28"/>
        </w:rPr>
      </w:pPr>
      <w:r>
        <w:rPr>
          <w:rFonts w:hint="eastAsia"/>
          <w:sz w:val="28"/>
        </w:rPr>
        <w:t>2</w:t>
      </w:r>
      <w:r>
        <w:rPr>
          <w:sz w:val="28"/>
        </w:rPr>
        <w:t>024</w:t>
      </w:r>
      <w:r>
        <w:rPr>
          <w:rFonts w:hint="eastAsia"/>
          <w:sz w:val="28"/>
        </w:rPr>
        <w:t>年1</w:t>
      </w:r>
      <w:r>
        <w:rPr>
          <w:sz w:val="28"/>
        </w:rPr>
        <w:t>0</w:t>
      </w:r>
      <w:r>
        <w:rPr>
          <w:rFonts w:hint="eastAsia"/>
          <w:sz w:val="28"/>
        </w:rPr>
        <w:t>月，在全国振动冲击转速计量技术委员会技术法规初审会上，技术委员会专家对规范再次进行初审。</w:t>
      </w:r>
      <w:bookmarkStart w:id="1" w:name="_GoBack"/>
      <w:bookmarkEnd w:id="1"/>
    </w:p>
    <w:p>
      <w:pPr>
        <w:spacing w:line="520" w:lineRule="exact"/>
        <w:ind w:firstLine="560" w:firstLineChars="200"/>
        <w:rPr>
          <w:sz w:val="28"/>
        </w:rPr>
      </w:pPr>
      <w:r>
        <w:rPr>
          <w:rFonts w:hint="eastAsia"/>
          <w:sz w:val="28"/>
          <w:lang w:val="en-US" w:eastAsia="zh-CN"/>
        </w:rPr>
        <w:t>2024年10月</w:t>
      </w:r>
      <w:r>
        <w:rPr>
          <w:rFonts w:hint="eastAsia"/>
          <w:sz w:val="28"/>
        </w:rPr>
        <w:t>~2</w:t>
      </w:r>
      <w:r>
        <w:rPr>
          <w:sz w:val="28"/>
        </w:rPr>
        <w:t>02</w:t>
      </w:r>
      <w:r>
        <w:rPr>
          <w:rFonts w:hint="eastAsia"/>
          <w:sz w:val="28"/>
          <w:lang w:val="en-US" w:eastAsia="zh-CN"/>
        </w:rPr>
        <w:t>5</w:t>
      </w:r>
      <w:r>
        <w:rPr>
          <w:rFonts w:hint="eastAsia"/>
          <w:sz w:val="28"/>
        </w:rPr>
        <w:t>年</w:t>
      </w:r>
      <w:r>
        <w:rPr>
          <w:rFonts w:hint="eastAsia"/>
          <w:sz w:val="28"/>
          <w:lang w:val="en-US" w:eastAsia="zh-CN"/>
        </w:rPr>
        <w:t>9</w:t>
      </w:r>
      <w:r>
        <w:rPr>
          <w:rFonts w:hint="eastAsia"/>
          <w:sz w:val="28"/>
        </w:rPr>
        <w:t>月起草小组根据专家提出的修改意见对规范内容进行修改。</w:t>
      </w:r>
    </w:p>
    <w:p>
      <w:pPr>
        <w:spacing w:line="520" w:lineRule="exact"/>
        <w:rPr>
          <w:rFonts w:eastAsia="黑体"/>
          <w:sz w:val="28"/>
        </w:rPr>
      </w:pPr>
      <w:r>
        <w:rPr>
          <w:rFonts w:hint="eastAsia" w:eastAsia="黑体"/>
          <w:sz w:val="28"/>
        </w:rPr>
        <w:t>五</w:t>
      </w:r>
      <w:r>
        <w:rPr>
          <w:rFonts w:eastAsia="黑体"/>
          <w:sz w:val="28"/>
        </w:rPr>
        <w:t>、与现有国家标准和国家规程规范的关系</w:t>
      </w:r>
    </w:p>
    <w:p>
      <w:pPr>
        <w:spacing w:line="520" w:lineRule="exact"/>
        <w:ind w:firstLine="560" w:firstLineChars="200"/>
        <w:rPr>
          <w:sz w:val="28"/>
        </w:rPr>
      </w:pPr>
      <w:r>
        <w:rPr>
          <w:rFonts w:hint="eastAsia"/>
          <w:sz w:val="28"/>
        </w:rPr>
        <w:t>本规范与民航信息通告等</w:t>
      </w:r>
      <w:r>
        <w:rPr>
          <w:sz w:val="28"/>
        </w:rPr>
        <w:t>几项现有</w:t>
      </w:r>
      <w:r>
        <w:rPr>
          <w:rFonts w:hint="eastAsia"/>
          <w:sz w:val="28"/>
        </w:rPr>
        <w:t>依据文件中</w:t>
      </w:r>
      <w:r>
        <w:rPr>
          <w:sz w:val="28"/>
        </w:rPr>
        <w:t>的</w:t>
      </w:r>
      <w:r>
        <w:rPr>
          <w:rFonts w:hint="eastAsia"/>
          <w:sz w:val="28"/>
        </w:rPr>
        <w:t>技术</w:t>
      </w:r>
      <w:r>
        <w:rPr>
          <w:sz w:val="28"/>
        </w:rPr>
        <w:t>指标保持一致，</w:t>
      </w:r>
      <w:r>
        <w:rPr>
          <w:rFonts w:hint="eastAsia"/>
          <w:sz w:val="28"/>
        </w:rPr>
        <w:t>但无已发布技术规范。</w:t>
      </w:r>
    </w:p>
    <w:p>
      <w:pPr>
        <w:spacing w:line="520" w:lineRule="exact"/>
        <w:rPr>
          <w:rFonts w:eastAsia="黑体"/>
          <w:sz w:val="28"/>
        </w:rPr>
      </w:pPr>
      <w:r>
        <w:rPr>
          <w:rFonts w:hint="eastAsia" w:eastAsia="黑体"/>
          <w:sz w:val="28"/>
        </w:rPr>
        <w:t>六</w:t>
      </w:r>
      <w:r>
        <w:rPr>
          <w:rFonts w:eastAsia="黑体"/>
          <w:sz w:val="28"/>
        </w:rPr>
        <w:t>、主要制定内容及说明</w:t>
      </w:r>
    </w:p>
    <w:p>
      <w:pPr>
        <w:spacing w:line="520" w:lineRule="exact"/>
        <w:ind w:firstLine="560" w:firstLineChars="200"/>
        <w:rPr>
          <w:sz w:val="28"/>
        </w:rPr>
      </w:pPr>
      <w:r>
        <w:rPr>
          <w:rFonts w:hint="eastAsia"/>
          <w:sz w:val="28"/>
        </w:rPr>
        <w:t>1、编写格式</w:t>
      </w:r>
    </w:p>
    <w:p>
      <w:pPr>
        <w:spacing w:line="520" w:lineRule="exact"/>
        <w:ind w:firstLine="560" w:firstLineChars="200"/>
        <w:rPr>
          <w:sz w:val="28"/>
        </w:rPr>
      </w:pPr>
      <w:r>
        <w:rPr>
          <w:rFonts w:hint="eastAsia"/>
          <w:sz w:val="28"/>
        </w:rPr>
        <w:t>编写格式依据JJF1071《国家计量校准规范编写规则》。</w:t>
      </w:r>
    </w:p>
    <w:p>
      <w:pPr>
        <w:spacing w:line="520" w:lineRule="exact"/>
        <w:ind w:firstLine="560" w:firstLineChars="200"/>
        <w:rPr>
          <w:sz w:val="28"/>
        </w:rPr>
      </w:pPr>
      <w:r>
        <w:rPr>
          <w:rFonts w:hint="eastAsia"/>
          <w:sz w:val="28"/>
        </w:rPr>
        <w:t>2、适用范围</w:t>
      </w:r>
    </w:p>
    <w:p>
      <w:pPr>
        <w:spacing w:line="520" w:lineRule="exact"/>
        <w:ind w:firstLine="560" w:firstLineChars="200"/>
        <w:rPr>
          <w:sz w:val="28"/>
        </w:rPr>
      </w:pPr>
      <w:r>
        <w:rPr>
          <w:rFonts w:hint="eastAsia"/>
          <w:sz w:val="28"/>
        </w:rPr>
        <w:t>本规范适用于以毫米波雷达为核心测量单元的边灯固定式</w:t>
      </w:r>
      <w:r>
        <w:rPr>
          <w:sz w:val="28"/>
        </w:rPr>
        <w:t>机场道面外来物雷达探测设备的</w:t>
      </w:r>
      <w:r>
        <w:rPr>
          <w:rFonts w:hint="eastAsia"/>
          <w:sz w:val="28"/>
        </w:rPr>
        <w:t>校准。</w:t>
      </w:r>
    </w:p>
    <w:p>
      <w:pPr>
        <w:spacing w:line="520" w:lineRule="exact"/>
        <w:ind w:firstLine="560" w:firstLineChars="200"/>
        <w:rPr>
          <w:sz w:val="28"/>
        </w:rPr>
      </w:pPr>
      <w:r>
        <w:rPr>
          <w:rFonts w:hint="eastAsia"/>
          <w:sz w:val="28"/>
        </w:rPr>
        <w:t>3、制定的主要内容</w:t>
      </w:r>
    </w:p>
    <w:p>
      <w:pPr>
        <w:spacing w:line="520" w:lineRule="exact"/>
        <w:ind w:firstLine="560" w:firstLineChars="200"/>
        <w:rPr>
          <w:sz w:val="28"/>
        </w:rPr>
      </w:pPr>
      <w:r>
        <w:rPr>
          <w:sz w:val="28"/>
        </w:rPr>
        <w:t>（1）</w:t>
      </w:r>
      <w:r>
        <w:rPr>
          <w:rFonts w:hint="eastAsia"/>
          <w:sz w:val="28"/>
        </w:rPr>
        <w:t>规定</w:t>
      </w:r>
      <w:r>
        <w:rPr>
          <w:sz w:val="28"/>
        </w:rPr>
        <w:t>了</w:t>
      </w:r>
      <w:r>
        <w:rPr>
          <w:rFonts w:hint="eastAsia"/>
          <w:sz w:val="28"/>
        </w:rPr>
        <w:t>机场道面外来物探测设备、活动区、测试场地、外来物和测试用标准样件等5项</w:t>
      </w:r>
      <w:r>
        <w:rPr>
          <w:sz w:val="28"/>
        </w:rPr>
        <w:t>术语以及术语的英文释义。</w:t>
      </w:r>
    </w:p>
    <w:p>
      <w:pPr>
        <w:spacing w:line="520" w:lineRule="exact"/>
        <w:ind w:firstLine="560" w:firstLineChars="200"/>
        <w:rPr>
          <w:sz w:val="28"/>
        </w:rPr>
      </w:pPr>
      <w:r>
        <w:rPr>
          <w:sz w:val="28"/>
        </w:rPr>
        <w:t>（2）</w:t>
      </w:r>
      <w:r>
        <w:rPr>
          <w:rFonts w:hint="eastAsia"/>
          <w:sz w:val="28"/>
        </w:rPr>
        <w:t>概述中明确了机场道面外来物探测设备的用途</w:t>
      </w:r>
      <w:r>
        <w:rPr>
          <w:sz w:val="28"/>
        </w:rPr>
        <w:t>、分类</w:t>
      </w:r>
      <w:r>
        <w:rPr>
          <w:rFonts w:hint="eastAsia"/>
          <w:sz w:val="28"/>
        </w:rPr>
        <w:t>、</w:t>
      </w:r>
      <w:r>
        <w:rPr>
          <w:sz w:val="28"/>
        </w:rPr>
        <w:t>组成和安装要求。</w:t>
      </w:r>
    </w:p>
    <w:p>
      <w:pPr>
        <w:spacing w:line="520" w:lineRule="exact"/>
        <w:ind w:firstLine="560" w:firstLineChars="200"/>
        <w:rPr>
          <w:sz w:val="28"/>
        </w:rPr>
      </w:pPr>
      <w:r>
        <w:rPr>
          <w:sz w:val="28"/>
        </w:rPr>
        <w:t>（3）</w:t>
      </w:r>
      <w:r>
        <w:rPr>
          <w:rFonts w:hint="eastAsia"/>
          <w:sz w:val="28"/>
        </w:rPr>
        <w:t>计量</w:t>
      </w:r>
      <w:r>
        <w:rPr>
          <w:sz w:val="28"/>
        </w:rPr>
        <w:t>特性</w:t>
      </w:r>
      <w:r>
        <w:rPr>
          <w:rFonts w:hint="eastAsia"/>
          <w:sz w:val="28"/>
        </w:rPr>
        <w:t>要求中规定</w:t>
      </w:r>
      <w:r>
        <w:rPr>
          <w:sz w:val="28"/>
        </w:rPr>
        <w:t>了</w:t>
      </w:r>
      <w:r>
        <w:rPr>
          <w:rFonts w:hint="eastAsia"/>
          <w:sz w:val="28"/>
        </w:rPr>
        <w:t>机场道面外来物探测设备的探测范围</w:t>
      </w:r>
      <w:r>
        <w:rPr>
          <w:sz w:val="28"/>
        </w:rPr>
        <w:t>、</w:t>
      </w:r>
      <w:r>
        <w:rPr>
          <w:rFonts w:hint="eastAsia"/>
          <w:sz w:val="28"/>
        </w:rPr>
        <w:t>标准样件检出率、测距示值误差、测角示值误差</w:t>
      </w:r>
      <w:r>
        <w:rPr>
          <w:sz w:val="28"/>
        </w:rPr>
        <w:t>和</w:t>
      </w:r>
      <w:r>
        <w:rPr>
          <w:rFonts w:hint="eastAsia"/>
          <w:sz w:val="28"/>
        </w:rPr>
        <w:t>响应时间的</w:t>
      </w:r>
      <w:r>
        <w:rPr>
          <w:sz w:val="28"/>
        </w:rPr>
        <w:t>具体技术指标要求。</w:t>
      </w:r>
    </w:p>
    <w:p>
      <w:pPr>
        <w:spacing w:line="520" w:lineRule="exact"/>
        <w:ind w:firstLine="560" w:firstLineChars="200"/>
        <w:rPr>
          <w:sz w:val="28"/>
        </w:rPr>
      </w:pPr>
      <w:r>
        <w:rPr>
          <w:sz w:val="28"/>
        </w:rPr>
        <w:t>（4）</w:t>
      </w:r>
      <w:r>
        <w:rPr>
          <w:rFonts w:hint="eastAsia"/>
          <w:sz w:val="28"/>
        </w:rPr>
        <w:t>校准条件中明确</w:t>
      </w:r>
      <w:r>
        <w:rPr>
          <w:sz w:val="28"/>
        </w:rPr>
        <w:t>了</w:t>
      </w:r>
      <w:r>
        <w:rPr>
          <w:rFonts w:hint="eastAsia"/>
          <w:sz w:val="28"/>
        </w:rPr>
        <w:t>对环境条件和测量标准及其他设备的要求</w:t>
      </w:r>
      <w:r>
        <w:rPr>
          <w:sz w:val="28"/>
        </w:rPr>
        <w:t>。</w:t>
      </w:r>
    </w:p>
    <w:p>
      <w:pPr>
        <w:spacing w:line="520" w:lineRule="exact"/>
        <w:ind w:firstLine="560" w:firstLineChars="200"/>
        <w:rPr>
          <w:sz w:val="28"/>
        </w:rPr>
      </w:pPr>
      <w:r>
        <w:rPr>
          <w:sz w:val="28"/>
        </w:rPr>
        <w:t>（5）</w:t>
      </w:r>
      <w:r>
        <w:rPr>
          <w:rFonts w:hint="eastAsia"/>
          <w:sz w:val="28"/>
        </w:rPr>
        <w:t>校准项目中明确</w:t>
      </w:r>
      <w:r>
        <w:rPr>
          <w:sz w:val="28"/>
        </w:rPr>
        <w:t>了</w:t>
      </w:r>
      <w:r>
        <w:rPr>
          <w:rFonts w:hint="eastAsia"/>
          <w:sz w:val="28"/>
        </w:rPr>
        <w:t>机场道面外来物探测设备</w:t>
      </w:r>
      <w:r>
        <w:rPr>
          <w:sz w:val="28"/>
        </w:rPr>
        <w:t>的校准项目</w:t>
      </w:r>
      <w:r>
        <w:rPr>
          <w:rFonts w:hint="eastAsia"/>
          <w:sz w:val="28"/>
        </w:rPr>
        <w:t>列表。</w:t>
      </w:r>
      <w:r>
        <w:rPr>
          <w:sz w:val="28"/>
        </w:rPr>
        <w:t>首次校准时建议校准全部项目</w:t>
      </w:r>
      <w:r>
        <w:rPr>
          <w:rFonts w:hint="eastAsia"/>
          <w:sz w:val="28"/>
        </w:rPr>
        <w:t>，后续</w:t>
      </w:r>
      <w:r>
        <w:rPr>
          <w:sz w:val="28"/>
        </w:rPr>
        <w:t>校准时可以</w:t>
      </w:r>
      <w:r>
        <w:rPr>
          <w:rFonts w:hint="eastAsia"/>
          <w:sz w:val="28"/>
        </w:rPr>
        <w:t>根据</w:t>
      </w:r>
      <w:r>
        <w:rPr>
          <w:sz w:val="28"/>
        </w:rPr>
        <w:t>客户要求选择其中的</w:t>
      </w:r>
      <w:r>
        <w:rPr>
          <w:rFonts w:hint="eastAsia"/>
          <w:sz w:val="28"/>
        </w:rPr>
        <w:t>校准</w:t>
      </w:r>
      <w:r>
        <w:rPr>
          <w:sz w:val="28"/>
        </w:rPr>
        <w:t>项目。</w:t>
      </w:r>
    </w:p>
    <w:p>
      <w:pPr>
        <w:spacing w:line="520" w:lineRule="exact"/>
        <w:ind w:firstLine="560" w:firstLineChars="200"/>
        <w:rPr>
          <w:sz w:val="28"/>
        </w:rPr>
      </w:pPr>
      <w:r>
        <w:rPr>
          <w:sz w:val="28"/>
        </w:rPr>
        <w:t>（6）</w:t>
      </w:r>
      <w:r>
        <w:rPr>
          <w:rFonts w:hint="eastAsia"/>
          <w:sz w:val="28"/>
        </w:rPr>
        <w:t>校准方法中</w:t>
      </w:r>
      <w:r>
        <w:rPr>
          <w:sz w:val="28"/>
        </w:rPr>
        <w:t>规定了</w:t>
      </w:r>
      <w:r>
        <w:rPr>
          <w:rFonts w:hint="eastAsia"/>
          <w:sz w:val="28"/>
        </w:rPr>
        <w:t>外观及工作正常性检查、探测范围</w:t>
      </w:r>
      <w:r>
        <w:rPr>
          <w:sz w:val="28"/>
        </w:rPr>
        <w:t>、</w:t>
      </w:r>
      <w:r>
        <w:rPr>
          <w:rFonts w:hint="eastAsia"/>
          <w:sz w:val="28"/>
        </w:rPr>
        <w:t>标准样件检出率、测距示值误差、测角示值误差</w:t>
      </w:r>
      <w:r>
        <w:rPr>
          <w:sz w:val="28"/>
        </w:rPr>
        <w:t>和</w:t>
      </w:r>
      <w:r>
        <w:rPr>
          <w:rFonts w:hint="eastAsia"/>
          <w:sz w:val="28"/>
        </w:rPr>
        <w:t>响应时间等校准</w:t>
      </w:r>
      <w:r>
        <w:rPr>
          <w:sz w:val="28"/>
        </w:rPr>
        <w:t>项目的详细</w:t>
      </w:r>
      <w:r>
        <w:rPr>
          <w:rFonts w:hint="eastAsia"/>
          <w:sz w:val="28"/>
        </w:rPr>
        <w:t>校准</w:t>
      </w:r>
      <w:r>
        <w:rPr>
          <w:sz w:val="28"/>
        </w:rPr>
        <w:t>方法</w:t>
      </w:r>
      <w:r>
        <w:rPr>
          <w:rFonts w:hint="eastAsia"/>
          <w:sz w:val="28"/>
        </w:rPr>
        <w:t>。</w:t>
      </w:r>
    </w:p>
    <w:p>
      <w:pPr>
        <w:spacing w:line="520" w:lineRule="exact"/>
        <w:ind w:firstLine="560" w:firstLineChars="200"/>
        <w:rPr>
          <w:sz w:val="28"/>
        </w:rPr>
      </w:pPr>
      <w:r>
        <w:rPr>
          <w:sz w:val="28"/>
        </w:rPr>
        <w:t>（7）</w:t>
      </w:r>
      <w:r>
        <w:rPr>
          <w:rFonts w:hint="eastAsia"/>
          <w:sz w:val="28"/>
        </w:rPr>
        <w:t>校准结果表达中规定</w:t>
      </w:r>
      <w:r>
        <w:rPr>
          <w:sz w:val="28"/>
        </w:rPr>
        <w:t>了</w:t>
      </w:r>
      <w:r>
        <w:rPr>
          <w:rFonts w:hint="eastAsia"/>
          <w:sz w:val="28"/>
        </w:rPr>
        <w:t>校准证书中</w:t>
      </w:r>
      <w:r>
        <w:rPr>
          <w:sz w:val="28"/>
        </w:rPr>
        <w:t>至少包括</w:t>
      </w:r>
      <w:r>
        <w:rPr>
          <w:rFonts w:hint="eastAsia"/>
          <w:sz w:val="28"/>
        </w:rPr>
        <w:t>的</w:t>
      </w:r>
      <w:r>
        <w:rPr>
          <w:sz w:val="28"/>
        </w:rPr>
        <w:t>信息，并在附录</w:t>
      </w:r>
      <w:r>
        <w:rPr>
          <w:rFonts w:hint="eastAsia"/>
          <w:sz w:val="28"/>
        </w:rPr>
        <w:t>B</w:t>
      </w:r>
      <w:r>
        <w:rPr>
          <w:sz w:val="28"/>
        </w:rPr>
        <w:t>中</w:t>
      </w:r>
      <w:r>
        <w:rPr>
          <w:rFonts w:hint="eastAsia"/>
          <w:sz w:val="28"/>
        </w:rPr>
        <w:t>给出</w:t>
      </w:r>
      <w:r>
        <w:rPr>
          <w:sz w:val="28"/>
        </w:rPr>
        <w:t>了内页格式</w:t>
      </w:r>
      <w:r>
        <w:rPr>
          <w:rFonts w:hint="eastAsia"/>
          <w:sz w:val="28"/>
        </w:rPr>
        <w:t>。</w:t>
      </w:r>
    </w:p>
    <w:p>
      <w:pPr>
        <w:spacing w:line="520" w:lineRule="exact"/>
        <w:ind w:firstLine="560" w:firstLineChars="200"/>
        <w:rPr>
          <w:sz w:val="28"/>
        </w:rPr>
      </w:pPr>
      <w:r>
        <w:rPr>
          <w:sz w:val="28"/>
        </w:rPr>
        <w:t>（8）</w:t>
      </w:r>
      <w:r>
        <w:rPr>
          <w:rFonts w:hint="eastAsia"/>
          <w:sz w:val="28"/>
        </w:rPr>
        <w:t>由于复校时间间隔长短是由仪器的使用情况、使用者、仪器本身质量等诸多因素决定的，因此，送校者可根据实际使用情况自主决定复校时间间隔。建议复校时间间隔为1年。</w:t>
      </w:r>
    </w:p>
    <w:p>
      <w:pPr>
        <w:spacing w:line="520" w:lineRule="exact"/>
        <w:ind w:firstLine="560" w:firstLineChars="200"/>
        <w:rPr>
          <w:sz w:val="28"/>
        </w:rPr>
      </w:pPr>
      <w:r>
        <w:rPr>
          <w:sz w:val="28"/>
        </w:rPr>
        <w:t>4、鉴于机场道面外来物探测设备</w:t>
      </w:r>
      <w:r>
        <w:rPr>
          <w:rFonts w:hint="eastAsia"/>
          <w:sz w:val="28"/>
        </w:rPr>
        <w:t>的</w:t>
      </w:r>
      <w:r>
        <w:rPr>
          <w:sz w:val="28"/>
        </w:rPr>
        <w:t>技术仍在发展之中，我们在</w:t>
      </w:r>
      <w:r>
        <w:rPr>
          <w:rFonts w:hint="eastAsia"/>
          <w:sz w:val="28"/>
        </w:rPr>
        <w:t>校准规范</w:t>
      </w:r>
      <w:r>
        <w:rPr>
          <w:sz w:val="28"/>
        </w:rPr>
        <w:t>中</w:t>
      </w:r>
      <w:r>
        <w:rPr>
          <w:rFonts w:hint="eastAsia"/>
          <w:sz w:val="28"/>
        </w:rPr>
        <w:t>偏重</w:t>
      </w:r>
      <w:r>
        <w:rPr>
          <w:sz w:val="28"/>
        </w:rPr>
        <w:t>于</w:t>
      </w:r>
      <w:r>
        <w:rPr>
          <w:rFonts w:hint="eastAsia"/>
          <w:sz w:val="28"/>
        </w:rPr>
        <w:t>对</w:t>
      </w:r>
      <w:r>
        <w:rPr>
          <w:sz w:val="28"/>
        </w:rPr>
        <w:t>机场道面外来物探测设备</w:t>
      </w:r>
      <w:r>
        <w:rPr>
          <w:rFonts w:hint="eastAsia"/>
          <w:sz w:val="28"/>
        </w:rPr>
        <w:t>的计量</w:t>
      </w:r>
      <w:r>
        <w:rPr>
          <w:sz w:val="28"/>
        </w:rPr>
        <w:t>特性</w:t>
      </w:r>
      <w:r>
        <w:rPr>
          <w:rFonts w:hint="eastAsia"/>
          <w:sz w:val="28"/>
        </w:rPr>
        <w:t>技术</w:t>
      </w:r>
      <w:r>
        <w:rPr>
          <w:sz w:val="28"/>
        </w:rPr>
        <w:t>指标</w:t>
      </w:r>
      <w:r>
        <w:rPr>
          <w:rFonts w:hint="eastAsia"/>
          <w:sz w:val="28"/>
        </w:rPr>
        <w:t>进行了要求</w:t>
      </w:r>
      <w:r>
        <w:rPr>
          <w:sz w:val="28"/>
        </w:rPr>
        <w:t>，而未对机场道面外来物探测设备</w:t>
      </w:r>
      <w:r>
        <w:rPr>
          <w:rFonts w:hint="eastAsia"/>
          <w:sz w:val="28"/>
        </w:rPr>
        <w:t>的</w:t>
      </w:r>
      <w:r>
        <w:rPr>
          <w:sz w:val="28"/>
        </w:rPr>
        <w:t>具体工作</w:t>
      </w:r>
      <w:r>
        <w:rPr>
          <w:rFonts w:hint="eastAsia"/>
          <w:sz w:val="28"/>
        </w:rPr>
        <w:t>原理进行限制，</w:t>
      </w:r>
      <w:r>
        <w:rPr>
          <w:sz w:val="28"/>
        </w:rPr>
        <w:t>以保证</w:t>
      </w:r>
      <w:r>
        <w:rPr>
          <w:rFonts w:hint="eastAsia"/>
          <w:sz w:val="28"/>
        </w:rPr>
        <w:t>本校准规范将来也能够适用</w:t>
      </w:r>
      <w:r>
        <w:rPr>
          <w:sz w:val="28"/>
        </w:rPr>
        <w:t>于</w:t>
      </w:r>
      <w:r>
        <w:rPr>
          <w:rFonts w:hint="eastAsia"/>
          <w:sz w:val="28"/>
        </w:rPr>
        <w:t>采用其它</w:t>
      </w:r>
      <w:r>
        <w:rPr>
          <w:sz w:val="28"/>
        </w:rPr>
        <w:t>工作</w:t>
      </w:r>
      <w:r>
        <w:rPr>
          <w:rFonts w:hint="eastAsia"/>
          <w:sz w:val="28"/>
        </w:rPr>
        <w:t>原理的</w:t>
      </w:r>
      <w:r>
        <w:rPr>
          <w:sz w:val="28"/>
        </w:rPr>
        <w:t>机场道面外来物探测设备。</w:t>
      </w:r>
    </w:p>
    <w:p>
      <w:pPr>
        <w:jc w:val="right"/>
        <w:rPr>
          <w:sz w:val="28"/>
        </w:rPr>
      </w:pPr>
      <w:r>
        <w:rPr>
          <w:rFonts w:hint="eastAsia"/>
          <w:sz w:val="28"/>
        </w:rPr>
        <w:t>《基于毫米波雷达的边灯固定式</w:t>
      </w:r>
      <w:r>
        <w:rPr>
          <w:sz w:val="28"/>
        </w:rPr>
        <w:t>机场道面外来物探测设备</w:t>
      </w:r>
      <w:r>
        <w:rPr>
          <w:rFonts w:hint="eastAsia"/>
          <w:sz w:val="28"/>
        </w:rPr>
        <w:t>校准规范》</w:t>
      </w:r>
    </w:p>
    <w:p>
      <w:pPr>
        <w:jc w:val="right"/>
        <w:rPr>
          <w:sz w:val="28"/>
        </w:rPr>
      </w:pPr>
      <w:r>
        <w:rPr>
          <w:sz w:val="28"/>
        </w:rPr>
        <w:t>起草小组</w:t>
      </w:r>
    </w:p>
    <w:p>
      <w:pPr>
        <w:pStyle w:val="5"/>
        <w:ind w:left="99" w:leftChars="47" w:firstLine="5040" w:firstLineChars="1800"/>
        <w:jc w:val="right"/>
        <w:rPr>
          <w:rFonts w:ascii="Times New Roman" w:hAnsi="Times New Roman"/>
        </w:rPr>
      </w:pPr>
      <w:r>
        <w:rPr>
          <w:rFonts w:ascii="Times New Roman" w:hAnsi="Times New Roman"/>
        </w:rPr>
        <w:t>202</w:t>
      </w:r>
      <w:r>
        <w:rPr>
          <w:rFonts w:hint="eastAsia" w:ascii="Times New Roman" w:hAnsi="Times New Roman"/>
          <w:lang w:val="en-US" w:eastAsia="zh-CN"/>
        </w:rPr>
        <w:t>5</w:t>
      </w:r>
      <w:r>
        <w:rPr>
          <w:rFonts w:ascii="Times New Roman" w:hAnsi="Times New Roman"/>
        </w:rPr>
        <w:t>年</w:t>
      </w:r>
      <w:r>
        <w:rPr>
          <w:rFonts w:hint="eastAsia" w:ascii="Times New Roman" w:hAnsi="Times New Roman"/>
          <w:lang w:val="en-US" w:eastAsia="zh-CN"/>
        </w:rPr>
        <w:t>9</w:t>
      </w:r>
      <w:r>
        <w:rPr>
          <w:rFonts w:ascii="Times New Roman" w:hAnsi="Times New Roman"/>
        </w:rPr>
        <w:t>月</w:t>
      </w: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7</w:t>
    </w:r>
    <w:r>
      <w:rPr>
        <w:lang w:val="zh-CN"/>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48235B"/>
    <w:multiLevelType w:val="multilevel"/>
    <w:tmpl w:val="5F48235B"/>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UxODE1ZGJlNjJiMzI3OTAyNzllODc3MmU3ZGI3YmIifQ=="/>
  </w:docVars>
  <w:rsids>
    <w:rsidRoot w:val="00773DD6"/>
    <w:rsid w:val="00132624"/>
    <w:rsid w:val="00135C14"/>
    <w:rsid w:val="001C50CD"/>
    <w:rsid w:val="00216E17"/>
    <w:rsid w:val="003207BA"/>
    <w:rsid w:val="0038431A"/>
    <w:rsid w:val="00401336"/>
    <w:rsid w:val="0042268D"/>
    <w:rsid w:val="006B307C"/>
    <w:rsid w:val="006D0016"/>
    <w:rsid w:val="007608BE"/>
    <w:rsid w:val="00773DD6"/>
    <w:rsid w:val="00792CE9"/>
    <w:rsid w:val="00900D3B"/>
    <w:rsid w:val="00A47334"/>
    <w:rsid w:val="00B3311D"/>
    <w:rsid w:val="00B4656C"/>
    <w:rsid w:val="00C46554"/>
    <w:rsid w:val="00CD381A"/>
    <w:rsid w:val="00D67F77"/>
    <w:rsid w:val="00E61364"/>
    <w:rsid w:val="00F423F4"/>
    <w:rsid w:val="00FB14A9"/>
    <w:rsid w:val="105A40DF"/>
    <w:rsid w:val="13AA2B10"/>
    <w:rsid w:val="32355F99"/>
    <w:rsid w:val="330C3501"/>
    <w:rsid w:val="3C743469"/>
    <w:rsid w:val="3FDA3177"/>
    <w:rsid w:val="44F6244A"/>
    <w:rsid w:val="6252656D"/>
    <w:rsid w:val="66FE4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22"/>
    <w:semiHidden/>
    <w:unhideWhenUsed/>
    <w:uiPriority w:val="99"/>
    <w:rPr>
      <w:b/>
      <w:bCs/>
    </w:rPr>
  </w:style>
  <w:style w:type="paragraph" w:styleId="3">
    <w:name w:val="annotation text"/>
    <w:basedOn w:val="1"/>
    <w:link w:val="21"/>
    <w:semiHidden/>
    <w:unhideWhenUsed/>
    <w:qFormat/>
    <w:uiPriority w:val="99"/>
    <w:pPr>
      <w:jc w:val="left"/>
    </w:pPr>
  </w:style>
  <w:style w:type="paragraph" w:styleId="4">
    <w:name w:val="Body Text Indent"/>
    <w:basedOn w:val="1"/>
    <w:link w:val="17"/>
    <w:qFormat/>
    <w:uiPriority w:val="0"/>
    <w:pPr>
      <w:ind w:left="360" w:firstLine="558"/>
    </w:pPr>
    <w:rPr>
      <w:sz w:val="28"/>
    </w:rPr>
  </w:style>
  <w:style w:type="paragraph" w:styleId="5">
    <w:name w:val="Date"/>
    <w:basedOn w:val="1"/>
    <w:next w:val="1"/>
    <w:link w:val="20"/>
    <w:qFormat/>
    <w:uiPriority w:val="0"/>
    <w:pPr>
      <w:ind w:left="100" w:leftChars="2500"/>
    </w:pPr>
    <w:rPr>
      <w:rFonts w:ascii="宋体" w:hAnsi="宋体"/>
      <w:sz w:val="28"/>
    </w:rPr>
  </w:style>
  <w:style w:type="paragraph" w:styleId="6">
    <w:name w:val="Balloon Text"/>
    <w:basedOn w:val="1"/>
    <w:link w:val="23"/>
    <w:semiHidden/>
    <w:unhideWhenUsed/>
    <w:uiPriority w:val="99"/>
    <w:rPr>
      <w:sz w:val="18"/>
      <w:szCs w:val="18"/>
    </w:rPr>
  </w:style>
  <w:style w:type="paragraph" w:styleId="7">
    <w:name w:val="footer"/>
    <w:basedOn w:val="1"/>
    <w:link w:val="16"/>
    <w:qFormat/>
    <w:uiPriority w:val="0"/>
    <w:pPr>
      <w:tabs>
        <w:tab w:val="center" w:pos="4153"/>
        <w:tab w:val="right" w:pos="8306"/>
      </w:tabs>
      <w:snapToGrid w:val="0"/>
      <w:jc w:val="left"/>
    </w:pPr>
    <w:rPr>
      <w:sz w:val="18"/>
      <w:szCs w:val="18"/>
    </w:rPr>
  </w:style>
  <w:style w:type="paragraph" w:styleId="8">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character" w:styleId="10">
    <w:name w:val="page number"/>
    <w:uiPriority w:val="0"/>
  </w:style>
  <w:style w:type="character" w:styleId="11">
    <w:name w:val="Emphasis"/>
    <w:basedOn w:val="9"/>
    <w:qFormat/>
    <w:uiPriority w:val="20"/>
    <w:rPr>
      <w:i/>
    </w:rPr>
  </w:style>
  <w:style w:type="character" w:styleId="12">
    <w:name w:val="annotation reference"/>
    <w:basedOn w:val="9"/>
    <w:semiHidden/>
    <w:unhideWhenUsed/>
    <w:qFormat/>
    <w:uiPriority w:val="99"/>
    <w:rPr>
      <w:sz w:val="21"/>
      <w:szCs w:val="21"/>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5">
    <w:name w:val="页眉 字符"/>
    <w:link w:val="8"/>
    <w:uiPriority w:val="99"/>
    <w:rPr>
      <w:kern w:val="2"/>
      <w:sz w:val="18"/>
      <w:szCs w:val="18"/>
    </w:rPr>
  </w:style>
  <w:style w:type="character" w:customStyle="1" w:styleId="16">
    <w:name w:val="页脚 字符"/>
    <w:link w:val="7"/>
    <w:uiPriority w:val="99"/>
    <w:rPr>
      <w:kern w:val="2"/>
      <w:sz w:val="18"/>
      <w:szCs w:val="18"/>
    </w:rPr>
  </w:style>
  <w:style w:type="character" w:customStyle="1" w:styleId="17">
    <w:name w:val="正文文本缩进 字符"/>
    <w:link w:val="4"/>
    <w:uiPriority w:val="0"/>
    <w:rPr>
      <w:kern w:val="2"/>
      <w:sz w:val="28"/>
      <w:szCs w:val="24"/>
    </w:rPr>
  </w:style>
  <w:style w:type="paragraph" w:customStyle="1" w:styleId="18">
    <w:name w:val="段"/>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9">
    <w:name w:val="页脚 Char"/>
    <w:qFormat/>
    <w:uiPriority w:val="0"/>
    <w:rPr>
      <w:kern w:val="2"/>
      <w:sz w:val="18"/>
      <w:szCs w:val="18"/>
    </w:rPr>
  </w:style>
  <w:style w:type="character" w:customStyle="1" w:styleId="20">
    <w:name w:val="日期 字符"/>
    <w:link w:val="5"/>
    <w:qFormat/>
    <w:uiPriority w:val="0"/>
    <w:rPr>
      <w:rFonts w:ascii="宋体" w:hAnsi="宋体"/>
      <w:kern w:val="2"/>
      <w:sz w:val="28"/>
      <w:szCs w:val="24"/>
    </w:rPr>
  </w:style>
  <w:style w:type="character" w:customStyle="1" w:styleId="21">
    <w:name w:val="批注文字 字符"/>
    <w:basedOn w:val="9"/>
    <w:link w:val="3"/>
    <w:semiHidden/>
    <w:qFormat/>
    <w:uiPriority w:val="99"/>
    <w:rPr>
      <w:kern w:val="2"/>
      <w:sz w:val="21"/>
      <w:szCs w:val="24"/>
    </w:rPr>
  </w:style>
  <w:style w:type="character" w:customStyle="1" w:styleId="22">
    <w:name w:val="批注主题 字符"/>
    <w:basedOn w:val="21"/>
    <w:link w:val="2"/>
    <w:semiHidden/>
    <w:qFormat/>
    <w:uiPriority w:val="99"/>
    <w:rPr>
      <w:b/>
      <w:bCs/>
      <w:kern w:val="2"/>
      <w:sz w:val="21"/>
      <w:szCs w:val="24"/>
    </w:rPr>
  </w:style>
  <w:style w:type="character" w:customStyle="1" w:styleId="23">
    <w:name w:val="批注框文本 字符"/>
    <w:basedOn w:val="9"/>
    <w:link w:val="6"/>
    <w:semiHidden/>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3503</Words>
  <Characters>3800</Characters>
  <Lines>28</Lines>
  <Paragraphs>7</Paragraphs>
  <TotalTime>1</TotalTime>
  <ScaleCrop>false</ScaleCrop>
  <LinksUpToDate>false</LinksUpToDate>
  <CharactersWithSpaces>3818</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2024-10-07T13:19:00Z</dcterms:created>
  <dc:creator>creatx</dc:creator>
  <cp:lastModifiedBy>Medusa</cp:lastModifiedBy>
  <dcterms:modified xsi:type="dcterms:W3CDTF">2026-08-20T03:43:13Z</dcterms:modified>
  <dc:title>四川省地方计量检定规程</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y fmtid="{D5CDD505-2E9C-101B-9397-08002B2CF9AE}" pid="3" name="ICV">
    <vt:lpwstr>9B45D0E935FA4AC6A64F4B9DCA7DDD68_13</vt:lpwstr>
  </property>
  <property fmtid="{D5CDD505-2E9C-101B-9397-08002B2CF9AE}" pid="4" name="KSOTemplateDocerSaveRecord">
    <vt:lpwstr>eyJoZGlkIjoiYmUxODE1ZGJlNjJiMzI3OTAyNzllODc3MmU3ZGI3YmIiLCJ1c2VySWQiOiIyMTQ5MzAzNTMifQ==</vt:lpwstr>
  </property>
</Properties>
</file>