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B113" w14:textId="77777777" w:rsidR="0062288A" w:rsidRDefault="0062288A">
      <w:pPr>
        <w:spacing w:line="360" w:lineRule="auto"/>
        <w:jc w:val="center"/>
        <w:rPr>
          <w:rFonts w:ascii="黑体" w:eastAsia="黑体"/>
          <w:sz w:val="32"/>
          <w:szCs w:val="32"/>
        </w:rPr>
      </w:pPr>
    </w:p>
    <w:p w14:paraId="1215E1B3" w14:textId="77777777" w:rsidR="0062288A" w:rsidRDefault="0062288A">
      <w:pPr>
        <w:spacing w:line="360" w:lineRule="auto"/>
        <w:jc w:val="center"/>
        <w:rPr>
          <w:rFonts w:ascii="黑体" w:eastAsia="黑体"/>
          <w:sz w:val="32"/>
          <w:szCs w:val="32"/>
        </w:rPr>
      </w:pPr>
    </w:p>
    <w:p w14:paraId="6C80418D" w14:textId="36E7B115" w:rsidR="0062288A" w:rsidRDefault="00A0390B">
      <w:pPr>
        <w:spacing w:line="360" w:lineRule="auto"/>
        <w:jc w:val="center"/>
        <w:rPr>
          <w:rFonts w:ascii="黑体" w:eastAsia="黑体"/>
          <w:sz w:val="36"/>
          <w:szCs w:val="36"/>
        </w:rPr>
      </w:pPr>
      <w:r>
        <w:rPr>
          <w:rFonts w:ascii="黑体" w:eastAsia="黑体" w:hint="eastAsia"/>
          <w:sz w:val="36"/>
          <w:szCs w:val="36"/>
        </w:rPr>
        <w:t>电动水平振动试验台检定规程</w:t>
      </w:r>
    </w:p>
    <w:p w14:paraId="0F5FC0E7" w14:textId="77777777" w:rsidR="0062288A" w:rsidRDefault="0062288A">
      <w:pPr>
        <w:spacing w:line="360" w:lineRule="auto"/>
        <w:jc w:val="center"/>
        <w:rPr>
          <w:rFonts w:ascii="黑体" w:eastAsia="黑体"/>
          <w:sz w:val="36"/>
          <w:szCs w:val="36"/>
        </w:rPr>
      </w:pPr>
    </w:p>
    <w:p w14:paraId="67780900" w14:textId="77777777" w:rsidR="0062288A" w:rsidRDefault="00D541BD">
      <w:pPr>
        <w:spacing w:line="360" w:lineRule="auto"/>
        <w:jc w:val="center"/>
        <w:rPr>
          <w:rFonts w:ascii="黑体" w:eastAsia="黑体"/>
          <w:sz w:val="36"/>
          <w:szCs w:val="36"/>
        </w:rPr>
      </w:pPr>
      <w:r>
        <w:rPr>
          <w:rFonts w:ascii="黑体" w:eastAsia="黑体" w:hint="eastAsia"/>
          <w:sz w:val="36"/>
          <w:szCs w:val="36"/>
        </w:rPr>
        <w:t>编制</w:t>
      </w:r>
      <w:r w:rsidR="00EB60DD">
        <w:rPr>
          <w:rFonts w:ascii="黑体" w:eastAsia="黑体" w:hint="eastAsia"/>
          <w:sz w:val="36"/>
          <w:szCs w:val="36"/>
        </w:rPr>
        <w:t>说明</w:t>
      </w:r>
    </w:p>
    <w:p w14:paraId="02FE2FDA" w14:textId="77777777" w:rsidR="0062288A" w:rsidRDefault="0062288A">
      <w:pPr>
        <w:spacing w:beforeLines="100" w:before="312"/>
        <w:jc w:val="center"/>
        <w:rPr>
          <w:sz w:val="32"/>
          <w:szCs w:val="32"/>
        </w:rPr>
      </w:pPr>
    </w:p>
    <w:p w14:paraId="6C7E726B" w14:textId="77777777" w:rsidR="0062288A" w:rsidRDefault="0062288A">
      <w:pPr>
        <w:spacing w:beforeLines="100" w:before="312"/>
        <w:jc w:val="center"/>
        <w:rPr>
          <w:sz w:val="32"/>
          <w:szCs w:val="32"/>
        </w:rPr>
      </w:pPr>
    </w:p>
    <w:p w14:paraId="49F863DD" w14:textId="77777777" w:rsidR="0062288A" w:rsidRDefault="0062288A">
      <w:pPr>
        <w:spacing w:beforeLines="100" w:before="312"/>
        <w:jc w:val="center"/>
        <w:rPr>
          <w:sz w:val="32"/>
          <w:szCs w:val="32"/>
        </w:rPr>
      </w:pPr>
    </w:p>
    <w:p w14:paraId="591C02E7" w14:textId="77777777" w:rsidR="0062288A" w:rsidRDefault="0062288A">
      <w:pPr>
        <w:spacing w:beforeLines="100" w:before="312"/>
        <w:jc w:val="center"/>
        <w:rPr>
          <w:sz w:val="32"/>
          <w:szCs w:val="32"/>
        </w:rPr>
      </w:pPr>
    </w:p>
    <w:p w14:paraId="22A84E28" w14:textId="77777777" w:rsidR="0062288A" w:rsidRDefault="0062288A">
      <w:pPr>
        <w:spacing w:beforeLines="100" w:before="312"/>
        <w:jc w:val="center"/>
        <w:rPr>
          <w:sz w:val="32"/>
          <w:szCs w:val="32"/>
        </w:rPr>
      </w:pPr>
    </w:p>
    <w:p w14:paraId="2DCB2023" w14:textId="77777777" w:rsidR="0062288A" w:rsidRDefault="0062288A">
      <w:pPr>
        <w:spacing w:beforeLines="100" w:before="312"/>
        <w:jc w:val="center"/>
        <w:rPr>
          <w:sz w:val="32"/>
          <w:szCs w:val="32"/>
        </w:rPr>
      </w:pPr>
    </w:p>
    <w:p w14:paraId="649C9CC1" w14:textId="77777777" w:rsidR="0062288A" w:rsidRDefault="0062288A">
      <w:pPr>
        <w:spacing w:beforeLines="100" w:before="312"/>
        <w:jc w:val="center"/>
        <w:rPr>
          <w:sz w:val="32"/>
          <w:szCs w:val="32"/>
        </w:rPr>
      </w:pPr>
    </w:p>
    <w:p w14:paraId="645022A2" w14:textId="77777777" w:rsidR="00A0390B" w:rsidRDefault="00A0390B">
      <w:pPr>
        <w:spacing w:beforeLines="100" w:before="312"/>
        <w:jc w:val="center"/>
        <w:rPr>
          <w:sz w:val="32"/>
          <w:szCs w:val="32"/>
        </w:rPr>
      </w:pPr>
    </w:p>
    <w:p w14:paraId="6736813C" w14:textId="7EEFE217" w:rsidR="0062288A" w:rsidRPr="00A0390B" w:rsidRDefault="00D541BD" w:rsidP="00585EBF">
      <w:pPr>
        <w:spacing w:line="360" w:lineRule="auto"/>
        <w:jc w:val="center"/>
        <w:rPr>
          <w:rFonts w:hAnsi="宋体" w:hint="eastAsia"/>
          <w:sz w:val="32"/>
          <w:szCs w:val="32"/>
        </w:rPr>
      </w:pPr>
      <w:r>
        <w:rPr>
          <w:rFonts w:hint="eastAsia"/>
          <w:sz w:val="32"/>
          <w:szCs w:val="32"/>
        </w:rPr>
        <w:t>起草：</w:t>
      </w:r>
      <w:r w:rsidR="00A0390B" w:rsidRPr="00A0390B">
        <w:rPr>
          <w:rFonts w:hAnsi="宋体" w:hint="eastAsia"/>
          <w:sz w:val="32"/>
          <w:szCs w:val="32"/>
        </w:rPr>
        <w:t>电动水平振动试验台检定规程</w:t>
      </w:r>
      <w:r w:rsidR="00A0390B">
        <w:rPr>
          <w:rFonts w:hint="eastAsia"/>
          <w:sz w:val="32"/>
          <w:szCs w:val="32"/>
        </w:rPr>
        <w:t>起草</w:t>
      </w:r>
      <w:r>
        <w:rPr>
          <w:rFonts w:hint="eastAsia"/>
          <w:sz w:val="32"/>
          <w:szCs w:val="32"/>
        </w:rPr>
        <w:t>组</w:t>
      </w:r>
    </w:p>
    <w:p w14:paraId="3108D4EE" w14:textId="4BB62EB9" w:rsidR="00E07722" w:rsidRDefault="00E07722" w:rsidP="00585EBF">
      <w:pPr>
        <w:spacing w:beforeLines="100" w:before="312"/>
        <w:jc w:val="center"/>
        <w:rPr>
          <w:sz w:val="32"/>
          <w:szCs w:val="32"/>
        </w:rPr>
      </w:pPr>
      <w:r>
        <w:rPr>
          <w:rFonts w:hint="eastAsia"/>
          <w:sz w:val="32"/>
          <w:szCs w:val="32"/>
        </w:rPr>
        <w:t>审查：全国振动冲击转速计量技术委员会</w:t>
      </w:r>
    </w:p>
    <w:p w14:paraId="3ADD8B26" w14:textId="1291612D" w:rsidR="0062288A" w:rsidRPr="00113493" w:rsidRDefault="00CF3898">
      <w:pPr>
        <w:spacing w:beforeLines="100" w:before="312"/>
        <w:jc w:val="center"/>
        <w:rPr>
          <w:rFonts w:ascii="Times New Roman"/>
          <w:sz w:val="32"/>
          <w:szCs w:val="32"/>
        </w:rPr>
      </w:pPr>
      <w:r>
        <w:rPr>
          <w:rFonts w:ascii="Times New Roman" w:hint="eastAsia"/>
          <w:sz w:val="32"/>
          <w:szCs w:val="32"/>
        </w:rPr>
        <w:t>2026.8</w:t>
      </w:r>
    </w:p>
    <w:p w14:paraId="602FFEBA" w14:textId="77777777" w:rsidR="0062288A" w:rsidRDefault="0062288A">
      <w:pPr>
        <w:widowControl/>
        <w:adjustRightInd/>
        <w:spacing w:line="240" w:lineRule="auto"/>
        <w:rPr>
          <w:rFonts w:ascii="黑体" w:eastAsia="黑体"/>
          <w:sz w:val="32"/>
          <w:szCs w:val="32"/>
        </w:rPr>
      </w:pPr>
    </w:p>
    <w:p w14:paraId="2C4C222D" w14:textId="77777777" w:rsidR="0062288A" w:rsidRDefault="0062288A">
      <w:pPr>
        <w:widowControl/>
        <w:adjustRightInd/>
        <w:spacing w:line="240" w:lineRule="auto"/>
        <w:rPr>
          <w:rFonts w:ascii="黑体" w:eastAsia="黑体"/>
          <w:sz w:val="32"/>
          <w:szCs w:val="32"/>
        </w:rPr>
      </w:pPr>
    </w:p>
    <w:p w14:paraId="7D0F9ECE" w14:textId="5BE98282" w:rsidR="0062288A" w:rsidRPr="00A0390B" w:rsidRDefault="00A0390B" w:rsidP="00A0390B">
      <w:pPr>
        <w:spacing w:line="360" w:lineRule="auto"/>
        <w:jc w:val="center"/>
        <w:rPr>
          <w:rFonts w:ascii="黑体" w:eastAsia="黑体"/>
          <w:sz w:val="32"/>
          <w:szCs w:val="32"/>
        </w:rPr>
      </w:pPr>
      <w:r w:rsidRPr="00A0390B">
        <w:rPr>
          <w:rFonts w:ascii="黑体" w:eastAsia="黑体" w:hint="eastAsia"/>
          <w:sz w:val="32"/>
          <w:szCs w:val="32"/>
        </w:rPr>
        <w:t>电动水平振动试验台检定规程</w:t>
      </w:r>
      <w:r w:rsidR="006D1E71" w:rsidRPr="00A0390B">
        <w:rPr>
          <w:rFonts w:ascii="黑体" w:eastAsia="黑体" w:hint="eastAsia"/>
          <w:sz w:val="32"/>
          <w:szCs w:val="32"/>
        </w:rPr>
        <w:t>编制</w:t>
      </w:r>
      <w:r w:rsidR="00EB60DD" w:rsidRPr="00A0390B">
        <w:rPr>
          <w:rFonts w:ascii="黑体" w:eastAsia="黑体" w:hint="eastAsia"/>
          <w:sz w:val="32"/>
          <w:szCs w:val="32"/>
        </w:rPr>
        <w:t>说明</w:t>
      </w:r>
    </w:p>
    <w:p w14:paraId="5B4C4D81" w14:textId="77777777" w:rsidR="0062288A" w:rsidRDefault="00EB60DD">
      <w:pPr>
        <w:pStyle w:val="787815"/>
        <w:numPr>
          <w:ilvl w:val="0"/>
          <w:numId w:val="0"/>
        </w:numPr>
        <w:rPr>
          <w:rFonts w:hint="eastAsia"/>
        </w:rPr>
      </w:pPr>
      <w:r>
        <w:rPr>
          <w:rFonts w:hint="eastAsia"/>
        </w:rPr>
        <w:t>1 任务来源</w:t>
      </w:r>
    </w:p>
    <w:p w14:paraId="194633B2" w14:textId="35563961" w:rsidR="0062288A" w:rsidRDefault="00EB60DD">
      <w:pPr>
        <w:pStyle w:val="21"/>
        <w:tabs>
          <w:tab w:val="left" w:pos="926"/>
        </w:tabs>
        <w:snapToGrid w:val="0"/>
        <w:spacing w:line="360" w:lineRule="auto"/>
        <w:ind w:leftChars="-3" w:left="-6" w:rightChars="-40" w:right="-84" w:firstLine="480"/>
        <w:rPr>
          <w:bCs/>
          <w:sz w:val="24"/>
        </w:rPr>
      </w:pPr>
      <w:r>
        <w:rPr>
          <w:rFonts w:hint="eastAsia"/>
          <w:bCs/>
          <w:sz w:val="24"/>
        </w:rPr>
        <w:t>“</w:t>
      </w:r>
      <w:r w:rsidR="00A0390B" w:rsidRPr="00A0390B">
        <w:rPr>
          <w:sz w:val="24"/>
          <w:szCs w:val="21"/>
        </w:rPr>
        <w:t>电动水平振动试验台</w:t>
      </w:r>
      <w:r w:rsidR="00A0390B">
        <w:rPr>
          <w:rFonts w:hint="eastAsia"/>
          <w:bCs/>
          <w:sz w:val="24"/>
        </w:rPr>
        <w:t>检定规程</w:t>
      </w:r>
      <w:r>
        <w:rPr>
          <w:bCs/>
          <w:sz w:val="24"/>
        </w:rPr>
        <w:t>”</w:t>
      </w:r>
      <w:r>
        <w:rPr>
          <w:bCs/>
          <w:sz w:val="24"/>
        </w:rPr>
        <w:t>项目来源于国振计委</w:t>
      </w:r>
      <w:r>
        <w:rPr>
          <w:bCs/>
          <w:sz w:val="24"/>
        </w:rPr>
        <w:t xml:space="preserve"> [</w:t>
      </w:r>
      <w:r>
        <w:rPr>
          <w:rFonts w:hint="eastAsia"/>
          <w:bCs/>
          <w:sz w:val="24"/>
        </w:rPr>
        <w:t>2</w:t>
      </w:r>
      <w:r>
        <w:rPr>
          <w:bCs/>
          <w:sz w:val="24"/>
        </w:rPr>
        <w:t>0</w:t>
      </w:r>
      <w:r w:rsidR="00A0390B">
        <w:rPr>
          <w:rFonts w:hint="eastAsia"/>
          <w:bCs/>
          <w:sz w:val="24"/>
        </w:rPr>
        <w:t>18</w:t>
      </w:r>
      <w:r>
        <w:rPr>
          <w:bCs/>
          <w:sz w:val="24"/>
        </w:rPr>
        <w:t>]</w:t>
      </w:r>
      <w:r w:rsidR="00A0390B">
        <w:rPr>
          <w:rFonts w:hint="eastAsia"/>
          <w:bCs/>
          <w:sz w:val="24"/>
        </w:rPr>
        <w:t>15</w:t>
      </w:r>
      <w:r>
        <w:rPr>
          <w:rFonts w:hint="eastAsia"/>
          <w:bCs/>
          <w:sz w:val="24"/>
        </w:rPr>
        <w:t>号“</w:t>
      </w:r>
      <w:r w:rsidR="00A0390B">
        <w:rPr>
          <w:rFonts w:hint="eastAsia"/>
          <w:bCs/>
          <w:sz w:val="24"/>
        </w:rPr>
        <w:t>关于下发</w:t>
      </w:r>
      <w:r w:rsidR="00A0390B">
        <w:rPr>
          <w:rFonts w:hint="eastAsia"/>
          <w:bCs/>
          <w:sz w:val="24"/>
        </w:rPr>
        <w:t>2018</w:t>
      </w:r>
      <w:r w:rsidR="00A0390B">
        <w:rPr>
          <w:rFonts w:hint="eastAsia"/>
          <w:bCs/>
          <w:sz w:val="24"/>
        </w:rPr>
        <w:t>年国家计量技术规范制定、修订计划的通知</w:t>
      </w:r>
      <w:r>
        <w:rPr>
          <w:rFonts w:hint="eastAsia"/>
          <w:bCs/>
          <w:sz w:val="24"/>
        </w:rPr>
        <w:t>”。</w:t>
      </w:r>
      <w:r>
        <w:rPr>
          <w:bCs/>
          <w:sz w:val="24"/>
        </w:rPr>
        <w:t xml:space="preserve"> </w:t>
      </w:r>
      <w:r>
        <w:rPr>
          <w:bCs/>
          <w:sz w:val="24"/>
        </w:rPr>
        <w:t>本规范由全</w:t>
      </w:r>
      <w:r>
        <w:rPr>
          <w:rFonts w:hint="eastAsia"/>
          <w:bCs/>
          <w:sz w:val="24"/>
        </w:rPr>
        <w:t>国振动冲击转速技术委员会提出并归口，由</w:t>
      </w:r>
      <w:r w:rsidR="00756C0A">
        <w:rPr>
          <w:rFonts w:hint="eastAsia"/>
          <w:bCs/>
          <w:sz w:val="24"/>
        </w:rPr>
        <w:t xml:space="preserve"> </w:t>
      </w:r>
      <w:r w:rsidR="00CD6BB9">
        <w:rPr>
          <w:rFonts w:hint="eastAsia"/>
          <w:bCs/>
          <w:sz w:val="24"/>
        </w:rPr>
        <w:t>联合</w:t>
      </w:r>
      <w:r>
        <w:rPr>
          <w:rFonts w:hint="eastAsia"/>
          <w:bCs/>
          <w:sz w:val="24"/>
        </w:rPr>
        <w:t>起草。</w:t>
      </w:r>
    </w:p>
    <w:p w14:paraId="3539E15F" w14:textId="5A1E2831" w:rsidR="0062288A" w:rsidRDefault="00A0390B">
      <w:pPr>
        <w:pStyle w:val="21"/>
        <w:tabs>
          <w:tab w:val="left" w:pos="926"/>
        </w:tabs>
        <w:snapToGrid w:val="0"/>
        <w:spacing w:line="360" w:lineRule="auto"/>
        <w:ind w:leftChars="-3" w:left="-6" w:rightChars="-40" w:right="-84" w:firstLine="480"/>
        <w:rPr>
          <w:bCs/>
          <w:sz w:val="24"/>
        </w:rPr>
      </w:pPr>
      <w:r>
        <w:rPr>
          <w:rFonts w:hint="eastAsia"/>
          <w:bCs/>
          <w:sz w:val="24"/>
        </w:rPr>
        <w:t>修</w:t>
      </w:r>
      <w:r w:rsidR="00EB60DD">
        <w:rPr>
          <w:bCs/>
          <w:sz w:val="24"/>
        </w:rPr>
        <w:t>订本规程的目的是</w:t>
      </w:r>
      <w:r>
        <w:rPr>
          <w:rFonts w:hint="eastAsia"/>
          <w:bCs/>
          <w:sz w:val="24"/>
        </w:rPr>
        <w:t>对电动水平振动试验台的检定项目进行更新</w:t>
      </w:r>
      <w:r w:rsidR="00EB60DD">
        <w:rPr>
          <w:bCs/>
          <w:sz w:val="24"/>
        </w:rPr>
        <w:t>，</w:t>
      </w:r>
      <w:r w:rsidRPr="00A0390B">
        <w:rPr>
          <w:rFonts w:hint="eastAsia"/>
          <w:bCs/>
          <w:sz w:val="24"/>
        </w:rPr>
        <w:t>增加</w:t>
      </w:r>
      <w:r w:rsidRPr="00A0390B">
        <w:rPr>
          <w:sz w:val="24"/>
        </w:rPr>
        <w:t>随机振动</w:t>
      </w:r>
      <w:r w:rsidRPr="00A0390B">
        <w:rPr>
          <w:rFonts w:hint="eastAsia"/>
          <w:sz w:val="24"/>
        </w:rPr>
        <w:t>、正</w:t>
      </w:r>
      <w:r>
        <w:rPr>
          <w:rFonts w:hint="eastAsia"/>
          <w:sz w:val="24"/>
        </w:rPr>
        <w:t>弦</w:t>
      </w:r>
      <w:r w:rsidRPr="00A0390B">
        <w:rPr>
          <w:rFonts w:hint="eastAsia"/>
          <w:sz w:val="24"/>
        </w:rPr>
        <w:t>加</w:t>
      </w:r>
      <w:r w:rsidRPr="00A0390B">
        <w:rPr>
          <w:sz w:val="24"/>
        </w:rPr>
        <w:t>宽带</w:t>
      </w:r>
      <w:r w:rsidRPr="00A0390B">
        <w:rPr>
          <w:rFonts w:hint="eastAsia"/>
          <w:sz w:val="24"/>
        </w:rPr>
        <w:t>随机振动、</w:t>
      </w:r>
      <w:r w:rsidRPr="00A0390B">
        <w:rPr>
          <w:sz w:val="24"/>
        </w:rPr>
        <w:t>窄带随机加宽带随机</w:t>
      </w:r>
      <w:r w:rsidR="00585EBF">
        <w:rPr>
          <w:rFonts w:hint="eastAsia"/>
          <w:sz w:val="24"/>
        </w:rPr>
        <w:t>等</w:t>
      </w:r>
      <w:r w:rsidRPr="00A0390B">
        <w:rPr>
          <w:sz w:val="24"/>
        </w:rPr>
        <w:t>的</w:t>
      </w:r>
      <w:r w:rsidRPr="00A0390B">
        <w:rPr>
          <w:rFonts w:hint="eastAsia"/>
          <w:sz w:val="24"/>
        </w:rPr>
        <w:t>计量特性</w:t>
      </w:r>
      <w:r w:rsidRPr="00A0390B">
        <w:rPr>
          <w:sz w:val="24"/>
        </w:rPr>
        <w:t>要求</w:t>
      </w:r>
      <w:r w:rsidR="00585EBF">
        <w:rPr>
          <w:rFonts w:hint="eastAsia"/>
          <w:sz w:val="24"/>
        </w:rPr>
        <w:t>，对</w:t>
      </w:r>
      <w:r w:rsidR="00585EBF" w:rsidRPr="00C06CEA">
        <w:rPr>
          <w:sz w:val="24"/>
        </w:rPr>
        <w:t>部分计量性能要求做了调整</w:t>
      </w:r>
      <w:r w:rsidR="00EB60DD">
        <w:rPr>
          <w:bCs/>
          <w:sz w:val="24"/>
        </w:rPr>
        <w:t>。</w:t>
      </w:r>
    </w:p>
    <w:p w14:paraId="0887CBB6" w14:textId="543AF5D1" w:rsidR="0062288A" w:rsidRDefault="00EB60DD">
      <w:pPr>
        <w:pStyle w:val="787815"/>
        <w:numPr>
          <w:ilvl w:val="0"/>
          <w:numId w:val="0"/>
        </w:numPr>
        <w:rPr>
          <w:rFonts w:hint="eastAsia"/>
        </w:rPr>
      </w:pPr>
      <w:bookmarkStart w:id="0" w:name="_Toc353171097"/>
      <w:r>
        <w:rPr>
          <w:rFonts w:hint="eastAsia"/>
        </w:rPr>
        <w:t>2 规范</w:t>
      </w:r>
      <w:r w:rsidR="00327EC8">
        <w:rPr>
          <w:rFonts w:hint="eastAsia"/>
        </w:rPr>
        <w:t>修</w:t>
      </w:r>
      <w:r>
        <w:rPr>
          <w:rFonts w:hint="eastAsia"/>
        </w:rPr>
        <w:t>订的必要性</w:t>
      </w:r>
    </w:p>
    <w:bookmarkEnd w:id="0"/>
    <w:p w14:paraId="52208842" w14:textId="710AEAB9" w:rsidR="00327EC8" w:rsidRPr="00327EC8" w:rsidRDefault="00327EC8" w:rsidP="00327EC8">
      <w:pPr>
        <w:pStyle w:val="21"/>
        <w:tabs>
          <w:tab w:val="left" w:pos="926"/>
        </w:tabs>
        <w:snapToGrid w:val="0"/>
        <w:spacing w:line="360" w:lineRule="auto"/>
        <w:ind w:leftChars="-3" w:left="-6" w:rightChars="-40" w:right="-84" w:firstLine="480"/>
        <w:rPr>
          <w:bCs/>
          <w:sz w:val="24"/>
        </w:rPr>
      </w:pPr>
      <w:r w:rsidRPr="00327EC8">
        <w:rPr>
          <w:bCs/>
          <w:sz w:val="24"/>
        </w:rPr>
        <w:t>电动水平振动试验台被广泛应用于产品振动环境适应性试验以及作为各类振动测试系统的核心设备。目前国内外与电动水平振动试验台相关的标准主要有：</w:t>
      </w:r>
      <w:r w:rsidRPr="00327EC8">
        <w:rPr>
          <w:bCs/>
          <w:sz w:val="24"/>
        </w:rPr>
        <w:t xml:space="preserve">GB/T </w:t>
      </w:r>
      <w:r w:rsidR="00756C0A">
        <w:rPr>
          <w:rFonts w:hint="eastAsia"/>
          <w:bCs/>
          <w:sz w:val="24"/>
        </w:rPr>
        <w:t>7670</w:t>
      </w:r>
      <w:r w:rsidRPr="00327EC8">
        <w:rPr>
          <w:bCs/>
          <w:sz w:val="24"/>
        </w:rPr>
        <w:t>-200</w:t>
      </w:r>
      <w:r w:rsidR="00756C0A">
        <w:rPr>
          <w:rFonts w:hint="eastAsia"/>
          <w:bCs/>
          <w:sz w:val="24"/>
        </w:rPr>
        <w:t>9</w:t>
      </w:r>
      <w:r w:rsidRPr="00327EC8">
        <w:rPr>
          <w:bCs/>
          <w:sz w:val="24"/>
        </w:rPr>
        <w:t>《</w:t>
      </w:r>
      <w:r w:rsidR="00756C0A">
        <w:rPr>
          <w:rFonts w:hint="eastAsia"/>
          <w:bCs/>
          <w:sz w:val="24"/>
        </w:rPr>
        <w:t>电动振动发生系统（设备）性能特性</w:t>
      </w:r>
      <w:r w:rsidRPr="00327EC8">
        <w:rPr>
          <w:bCs/>
          <w:sz w:val="24"/>
        </w:rPr>
        <w:t>》、</w:t>
      </w:r>
      <w:r w:rsidRPr="00327EC8">
        <w:rPr>
          <w:bCs/>
          <w:sz w:val="24"/>
        </w:rPr>
        <w:t>JJG 948-2018</w:t>
      </w:r>
      <w:r w:rsidRPr="00327EC8">
        <w:rPr>
          <w:bCs/>
          <w:sz w:val="24"/>
        </w:rPr>
        <w:t>《电动振动试验系统检定规程》等。</w:t>
      </w:r>
      <w:r w:rsidR="00756C0A" w:rsidRPr="00327EC8">
        <w:rPr>
          <w:bCs/>
          <w:sz w:val="24"/>
        </w:rPr>
        <w:t xml:space="preserve">GB/T </w:t>
      </w:r>
      <w:r w:rsidR="00756C0A">
        <w:rPr>
          <w:rFonts w:hint="eastAsia"/>
          <w:bCs/>
          <w:sz w:val="24"/>
        </w:rPr>
        <w:t>7670</w:t>
      </w:r>
      <w:r w:rsidR="00756C0A" w:rsidRPr="00327EC8">
        <w:rPr>
          <w:bCs/>
          <w:sz w:val="24"/>
        </w:rPr>
        <w:t>-200</w:t>
      </w:r>
      <w:r w:rsidR="00756C0A">
        <w:rPr>
          <w:rFonts w:hint="eastAsia"/>
          <w:bCs/>
          <w:sz w:val="24"/>
        </w:rPr>
        <w:t>9</w:t>
      </w:r>
      <w:r w:rsidRPr="00327EC8">
        <w:rPr>
          <w:bCs/>
          <w:sz w:val="24"/>
        </w:rPr>
        <w:t>主要规定了振动试验机的一般特性描述方法，未系统涵盖动态性能参数的校准要求；</w:t>
      </w:r>
      <w:r w:rsidRPr="00327EC8">
        <w:rPr>
          <w:bCs/>
          <w:sz w:val="24"/>
        </w:rPr>
        <w:t>JJG 948-2018</w:t>
      </w:r>
      <w:r w:rsidRPr="00327EC8">
        <w:rPr>
          <w:bCs/>
          <w:sz w:val="24"/>
        </w:rPr>
        <w:t>虽然针对电动振动试验系统的计量检定，但未涉及水平滑台与系统联合使用时的特性评价</w:t>
      </w:r>
      <w:r w:rsidR="00756C0A">
        <w:rPr>
          <w:rFonts w:hint="eastAsia"/>
          <w:bCs/>
          <w:sz w:val="24"/>
        </w:rPr>
        <w:t>。</w:t>
      </w:r>
      <w:r w:rsidR="00756C0A">
        <w:rPr>
          <w:rFonts w:hint="eastAsia"/>
          <w:bCs/>
          <w:sz w:val="24"/>
        </w:rPr>
        <w:t>JJG 1000-2005</w:t>
      </w:r>
      <w:r w:rsidRPr="00327EC8">
        <w:rPr>
          <w:bCs/>
          <w:sz w:val="24"/>
        </w:rPr>
        <w:t>缺乏</w:t>
      </w:r>
      <w:r w:rsidR="00756C0A">
        <w:rPr>
          <w:rFonts w:hint="eastAsia"/>
          <w:bCs/>
          <w:sz w:val="24"/>
        </w:rPr>
        <w:t>对</w:t>
      </w:r>
      <w:r w:rsidR="00756C0A" w:rsidRPr="00327EC8">
        <w:rPr>
          <w:bCs/>
          <w:sz w:val="24"/>
        </w:rPr>
        <w:t>电动水平振动试验台</w:t>
      </w:r>
      <w:r w:rsidR="00756C0A">
        <w:rPr>
          <w:rFonts w:hint="eastAsia"/>
          <w:bCs/>
          <w:sz w:val="24"/>
        </w:rPr>
        <w:t>随机振动计量</w:t>
      </w:r>
      <w:r w:rsidRPr="00327EC8">
        <w:rPr>
          <w:bCs/>
          <w:sz w:val="24"/>
        </w:rPr>
        <w:t>特性的</w:t>
      </w:r>
      <w:r w:rsidR="00756C0A">
        <w:rPr>
          <w:rFonts w:hint="eastAsia"/>
          <w:bCs/>
          <w:sz w:val="24"/>
        </w:rPr>
        <w:t>要求</w:t>
      </w:r>
      <w:r w:rsidRPr="00327EC8">
        <w:rPr>
          <w:bCs/>
          <w:sz w:val="24"/>
        </w:rPr>
        <w:t>。</w:t>
      </w:r>
    </w:p>
    <w:p w14:paraId="5C9EC28F" w14:textId="4ADBAD9F" w:rsidR="0062288A" w:rsidRDefault="00327EC8" w:rsidP="00756C0A">
      <w:pPr>
        <w:pStyle w:val="21"/>
        <w:tabs>
          <w:tab w:val="left" w:pos="926"/>
        </w:tabs>
        <w:snapToGrid w:val="0"/>
        <w:spacing w:line="360" w:lineRule="auto"/>
        <w:ind w:leftChars="-3" w:left="-6" w:rightChars="-40" w:right="-84" w:firstLine="480"/>
        <w:rPr>
          <w:bCs/>
          <w:sz w:val="24"/>
        </w:rPr>
      </w:pPr>
      <w:r w:rsidRPr="00327EC8">
        <w:rPr>
          <w:bCs/>
          <w:sz w:val="24"/>
        </w:rPr>
        <w:t>目前在汽车、电子、航空航天等领域的实际试验中，需在负载状态下进行</w:t>
      </w:r>
      <w:r w:rsidR="00756C0A">
        <w:rPr>
          <w:rFonts w:hint="eastAsia"/>
          <w:bCs/>
          <w:sz w:val="24"/>
        </w:rPr>
        <w:t>更加复杂</w:t>
      </w:r>
      <w:r w:rsidRPr="00327EC8">
        <w:rPr>
          <w:bCs/>
          <w:sz w:val="24"/>
        </w:rPr>
        <w:t>振动测试，这就要求对水平振动试验台在真实工况下的动态特性进行</w:t>
      </w:r>
      <w:r w:rsidR="00756C0A">
        <w:rPr>
          <w:rFonts w:hint="eastAsia"/>
          <w:bCs/>
          <w:sz w:val="24"/>
        </w:rPr>
        <w:t>检定</w:t>
      </w:r>
      <w:r w:rsidRPr="00327EC8">
        <w:rPr>
          <w:bCs/>
          <w:sz w:val="24"/>
        </w:rPr>
        <w:t>，以确保试验数据的有效性与可靠性。此外，本规范的及时制定对于统一行业技术标准，推动电动水平振动试验台动态校准工作有据可依，实现振动量值传递的准确与一致，具有</w:t>
      </w:r>
      <w:r>
        <w:rPr>
          <w:rFonts w:hint="eastAsia"/>
          <w:bCs/>
          <w:sz w:val="24"/>
        </w:rPr>
        <w:t>切实</w:t>
      </w:r>
      <w:r w:rsidRPr="00327EC8">
        <w:rPr>
          <w:bCs/>
          <w:sz w:val="24"/>
        </w:rPr>
        <w:t>的需求和现实意义。</w:t>
      </w:r>
    </w:p>
    <w:p w14:paraId="216B418A" w14:textId="77777777" w:rsidR="0062288A" w:rsidRDefault="00EB60DD">
      <w:pPr>
        <w:pStyle w:val="787815"/>
        <w:numPr>
          <w:ilvl w:val="0"/>
          <w:numId w:val="0"/>
        </w:numPr>
        <w:ind w:left="482" w:hanging="482"/>
        <w:rPr>
          <w:rFonts w:hint="eastAsia"/>
        </w:rPr>
      </w:pPr>
      <w:r>
        <w:rPr>
          <w:rFonts w:hint="eastAsia"/>
        </w:rPr>
        <w:t xml:space="preserve">3 </w:t>
      </w:r>
      <w:r w:rsidR="006D1E71">
        <w:rPr>
          <w:rFonts w:hint="eastAsia"/>
        </w:rPr>
        <w:t>规范制定技术</w:t>
      </w:r>
      <w:r>
        <w:rPr>
          <w:rFonts w:hint="eastAsia"/>
        </w:rPr>
        <w:t>依据</w:t>
      </w:r>
    </w:p>
    <w:p w14:paraId="2ABE0EDF" w14:textId="6B1C14B1" w:rsidR="009439B4" w:rsidRDefault="00EB60DD">
      <w:pPr>
        <w:spacing w:line="360" w:lineRule="auto"/>
        <w:ind w:firstLineChars="200" w:firstLine="480"/>
        <w:rPr>
          <w:rFonts w:ascii="Times New Roman"/>
          <w:bCs/>
          <w:kern w:val="2"/>
          <w:sz w:val="24"/>
          <w:szCs w:val="24"/>
        </w:rPr>
      </w:pPr>
      <w:r>
        <w:rPr>
          <w:rFonts w:ascii="Times New Roman" w:hint="eastAsia"/>
          <w:bCs/>
          <w:kern w:val="2"/>
          <w:sz w:val="24"/>
          <w:szCs w:val="24"/>
        </w:rPr>
        <w:t>本次开展</w:t>
      </w:r>
      <w:r w:rsidR="00F53287" w:rsidRPr="00A0390B">
        <w:rPr>
          <w:sz w:val="24"/>
          <w:szCs w:val="21"/>
        </w:rPr>
        <w:t>电动水平振动试验台</w:t>
      </w:r>
      <w:r w:rsidR="00F53287">
        <w:rPr>
          <w:rFonts w:hint="eastAsia"/>
          <w:bCs/>
          <w:sz w:val="24"/>
        </w:rPr>
        <w:t>检定规程</w:t>
      </w:r>
      <w:r>
        <w:rPr>
          <w:rFonts w:ascii="Times New Roman" w:hint="eastAsia"/>
          <w:bCs/>
          <w:kern w:val="2"/>
          <w:sz w:val="24"/>
          <w:szCs w:val="24"/>
        </w:rPr>
        <w:t>的制订，依据《国家计量检定规</w:t>
      </w:r>
      <w:r>
        <w:rPr>
          <w:rFonts w:ascii="Times New Roman"/>
          <w:bCs/>
          <w:kern w:val="2"/>
          <w:sz w:val="24"/>
          <w:szCs w:val="24"/>
        </w:rPr>
        <w:t>程管理办法》、</w:t>
      </w:r>
      <w:r>
        <w:rPr>
          <w:rFonts w:ascii="Times New Roman"/>
          <w:bCs/>
          <w:kern w:val="2"/>
          <w:sz w:val="24"/>
          <w:szCs w:val="24"/>
        </w:rPr>
        <w:t>JJF 1001</w:t>
      </w:r>
      <w:r>
        <w:rPr>
          <w:rFonts w:ascii="Times New Roman"/>
          <w:bCs/>
          <w:kern w:val="2"/>
          <w:sz w:val="24"/>
          <w:szCs w:val="24"/>
        </w:rPr>
        <w:t>《通用计量术语及定义》、</w:t>
      </w:r>
      <w:r>
        <w:rPr>
          <w:rFonts w:ascii="Times New Roman"/>
          <w:bCs/>
          <w:kern w:val="2"/>
          <w:sz w:val="24"/>
          <w:szCs w:val="24"/>
        </w:rPr>
        <w:t>JJF 1071</w:t>
      </w:r>
      <w:r>
        <w:rPr>
          <w:rFonts w:ascii="Times New Roman"/>
          <w:bCs/>
          <w:kern w:val="2"/>
          <w:sz w:val="24"/>
          <w:szCs w:val="24"/>
        </w:rPr>
        <w:t>《国家计量校准规范编写规则》和</w:t>
      </w:r>
      <w:r>
        <w:rPr>
          <w:rFonts w:ascii="Times New Roman"/>
          <w:bCs/>
          <w:kern w:val="2"/>
          <w:sz w:val="24"/>
          <w:szCs w:val="24"/>
        </w:rPr>
        <w:t>JJF 1059.1</w:t>
      </w:r>
      <w:r>
        <w:rPr>
          <w:rFonts w:ascii="Times New Roman"/>
          <w:bCs/>
          <w:kern w:val="2"/>
          <w:sz w:val="24"/>
          <w:szCs w:val="24"/>
        </w:rPr>
        <w:t>《测量不确定度评定与表示》</w:t>
      </w:r>
      <w:r w:rsidR="009630C3">
        <w:rPr>
          <w:spacing w:val="2"/>
          <w:sz w:val="24"/>
        </w:rPr>
        <w:t>给出的规则和格式编制</w:t>
      </w:r>
      <w:r>
        <w:rPr>
          <w:rFonts w:ascii="Times New Roman" w:hint="eastAsia"/>
          <w:bCs/>
          <w:kern w:val="2"/>
          <w:sz w:val="24"/>
          <w:szCs w:val="24"/>
        </w:rPr>
        <w:t>。</w:t>
      </w:r>
    </w:p>
    <w:p w14:paraId="584D3C47" w14:textId="15C892F4" w:rsidR="0062288A" w:rsidRPr="00E170EF" w:rsidRDefault="009630C3" w:rsidP="00E170EF">
      <w:pPr>
        <w:tabs>
          <w:tab w:val="left" w:pos="4680"/>
        </w:tabs>
        <w:spacing w:line="360" w:lineRule="auto"/>
        <w:rPr>
          <w:rFonts w:ascii="Times New Roman"/>
          <w:bCs/>
          <w:sz w:val="24"/>
        </w:rPr>
      </w:pPr>
      <w:r>
        <w:rPr>
          <w:rFonts w:ascii="Times New Roman" w:hint="eastAsia"/>
          <w:bCs/>
          <w:sz w:val="24"/>
          <w:szCs w:val="24"/>
        </w:rPr>
        <w:t>规程</w:t>
      </w:r>
      <w:r>
        <w:rPr>
          <w:sz w:val="24"/>
        </w:rPr>
        <w:t>主要技术指标和</w:t>
      </w:r>
      <w:r>
        <w:rPr>
          <w:rFonts w:hint="eastAsia"/>
          <w:sz w:val="24"/>
        </w:rPr>
        <w:t>校准</w:t>
      </w:r>
      <w:r>
        <w:rPr>
          <w:sz w:val="24"/>
        </w:rPr>
        <w:t>方法</w:t>
      </w:r>
      <w:r w:rsidR="009439B4">
        <w:rPr>
          <w:rFonts w:ascii="Times New Roman" w:hint="eastAsia"/>
          <w:bCs/>
          <w:sz w:val="24"/>
          <w:szCs w:val="24"/>
        </w:rPr>
        <w:t>，</w:t>
      </w:r>
      <w:r w:rsidR="00756C0A" w:rsidRPr="00327EC8">
        <w:rPr>
          <w:rFonts w:ascii="Times New Roman"/>
          <w:bCs/>
          <w:kern w:val="2"/>
          <w:sz w:val="24"/>
          <w:szCs w:val="24"/>
        </w:rPr>
        <w:t>JJG 948-2018</w:t>
      </w:r>
      <w:r w:rsidR="00756C0A" w:rsidRPr="00327EC8">
        <w:rPr>
          <w:rFonts w:ascii="Times New Roman"/>
          <w:bCs/>
          <w:kern w:val="2"/>
          <w:sz w:val="24"/>
          <w:szCs w:val="24"/>
        </w:rPr>
        <w:t>《电动振动试验系统检定规程》</w:t>
      </w:r>
      <w:r w:rsidR="00EB60DD">
        <w:rPr>
          <w:rFonts w:ascii="Times New Roman" w:hint="eastAsia"/>
          <w:bCs/>
          <w:sz w:val="24"/>
          <w:szCs w:val="24"/>
        </w:rPr>
        <w:t>的规定</w:t>
      </w:r>
      <w:r>
        <w:rPr>
          <w:rFonts w:ascii="Times New Roman" w:hint="eastAsia"/>
          <w:bCs/>
          <w:sz w:val="24"/>
          <w:szCs w:val="24"/>
        </w:rPr>
        <w:t>进行编制</w:t>
      </w:r>
      <w:r w:rsidR="00EB60DD">
        <w:rPr>
          <w:rFonts w:ascii="Times New Roman" w:hint="eastAsia"/>
          <w:bCs/>
          <w:sz w:val="24"/>
          <w:szCs w:val="24"/>
        </w:rPr>
        <w:t>，并结合</w:t>
      </w:r>
      <w:r w:rsidR="00756C0A" w:rsidRPr="00327EC8">
        <w:rPr>
          <w:rFonts w:ascii="Times New Roman"/>
          <w:bCs/>
          <w:kern w:val="2"/>
          <w:sz w:val="24"/>
          <w:szCs w:val="24"/>
        </w:rPr>
        <w:t>电动水平振动试验台</w:t>
      </w:r>
      <w:r w:rsidR="00EB60DD">
        <w:rPr>
          <w:rFonts w:ascii="Times New Roman" w:hint="eastAsia"/>
          <w:bCs/>
          <w:sz w:val="24"/>
          <w:szCs w:val="24"/>
        </w:rPr>
        <w:t>的工作原理及制造技术的发展，力</w:t>
      </w:r>
      <w:r w:rsidR="00EB60DD">
        <w:rPr>
          <w:rFonts w:ascii="Times New Roman" w:hint="eastAsia"/>
          <w:bCs/>
          <w:sz w:val="24"/>
          <w:szCs w:val="24"/>
        </w:rPr>
        <w:lastRenderedPageBreak/>
        <w:t>求完善整个技术内容，以满足</w:t>
      </w:r>
      <w:r w:rsidR="00BB7236" w:rsidRPr="009630C3">
        <w:rPr>
          <w:rFonts w:ascii="Times New Roman" w:hint="eastAsia"/>
          <w:bCs/>
          <w:sz w:val="24"/>
          <w:szCs w:val="24"/>
        </w:rPr>
        <w:t>民用领域</w:t>
      </w:r>
      <w:r w:rsidR="00EB60DD">
        <w:rPr>
          <w:rFonts w:ascii="Times New Roman" w:hint="eastAsia"/>
          <w:bCs/>
          <w:sz w:val="24"/>
          <w:szCs w:val="24"/>
        </w:rPr>
        <w:t>应变计的生产制造企业、广大用户和计量机构对该规范的需求。</w:t>
      </w:r>
    </w:p>
    <w:p w14:paraId="260E63A2" w14:textId="77777777" w:rsidR="0062288A" w:rsidRDefault="00EB60DD">
      <w:pPr>
        <w:pStyle w:val="787815"/>
        <w:numPr>
          <w:ilvl w:val="0"/>
          <w:numId w:val="0"/>
        </w:numPr>
        <w:ind w:left="482" w:hanging="482"/>
        <w:rPr>
          <w:rFonts w:hint="eastAsia"/>
        </w:rPr>
      </w:pPr>
      <w:r>
        <w:rPr>
          <w:rFonts w:hint="eastAsia"/>
        </w:rPr>
        <w:t>4 编制工作过程简介</w:t>
      </w:r>
    </w:p>
    <w:p w14:paraId="56B87F21" w14:textId="42CF8AD0" w:rsidR="0062288A" w:rsidRDefault="00EB60DD" w:rsidP="007671F9">
      <w:pPr>
        <w:spacing w:line="360" w:lineRule="auto"/>
        <w:ind w:firstLineChars="200" w:firstLine="480"/>
        <w:rPr>
          <w:rFonts w:ascii="Times New Roman"/>
          <w:noProof/>
          <w:sz w:val="24"/>
        </w:rPr>
      </w:pPr>
      <w:r>
        <w:rPr>
          <w:rFonts w:hAnsi="宋体" w:hint="eastAsia"/>
          <w:sz w:val="24"/>
        </w:rPr>
        <w:t>自本规范计划项目下达后，起草小组就开始收集与</w:t>
      </w:r>
      <w:r w:rsidR="00756C0A" w:rsidRPr="00327EC8">
        <w:rPr>
          <w:rFonts w:ascii="Times New Roman"/>
          <w:bCs/>
          <w:kern w:val="2"/>
          <w:sz w:val="24"/>
          <w:szCs w:val="24"/>
        </w:rPr>
        <w:t>电动水平振动试验台</w:t>
      </w:r>
      <w:r>
        <w:rPr>
          <w:rFonts w:hAnsi="宋体" w:hint="eastAsia"/>
          <w:sz w:val="24"/>
        </w:rPr>
        <w:t>有关的国际标准、国内标准和资料，进行了细致的分析研</w:t>
      </w:r>
      <w:r>
        <w:rPr>
          <w:rFonts w:ascii="Times New Roman"/>
          <w:sz w:val="24"/>
        </w:rPr>
        <w:t>究。</w:t>
      </w:r>
      <w:r w:rsidR="00756C0A">
        <w:rPr>
          <w:rFonts w:ascii="Times New Roman" w:hint="eastAsia"/>
          <w:sz w:val="24"/>
        </w:rPr>
        <w:t>多次开会讨论规程修订的内容</w:t>
      </w:r>
      <w:r w:rsidR="00033EF0">
        <w:rPr>
          <w:rFonts w:ascii="Times New Roman" w:hint="eastAsia"/>
          <w:sz w:val="24"/>
        </w:rPr>
        <w:t>，</w:t>
      </w:r>
      <w:r w:rsidR="00756C0A">
        <w:rPr>
          <w:rFonts w:ascii="Times New Roman" w:hint="eastAsia"/>
          <w:sz w:val="24"/>
        </w:rPr>
        <w:t>在初步确定了修订内容之后，</w:t>
      </w:r>
      <w:r w:rsidR="00033EF0">
        <w:rPr>
          <w:rFonts w:ascii="Times New Roman" w:hint="eastAsia"/>
          <w:sz w:val="24"/>
        </w:rPr>
        <w:t>按</w:t>
      </w:r>
      <w:r w:rsidR="00756C0A">
        <w:rPr>
          <w:rFonts w:ascii="Times New Roman" w:hint="eastAsia"/>
          <w:sz w:val="24"/>
        </w:rPr>
        <w:t>规范</w:t>
      </w:r>
      <w:r w:rsidR="00033EF0">
        <w:rPr>
          <w:rFonts w:ascii="Times New Roman" w:hint="eastAsia"/>
          <w:sz w:val="24"/>
        </w:rPr>
        <w:t>要求</w:t>
      </w:r>
      <w:r w:rsidR="00756C0A">
        <w:rPr>
          <w:rFonts w:ascii="Times New Roman" w:hint="eastAsia"/>
          <w:noProof/>
          <w:sz w:val="24"/>
        </w:rPr>
        <w:t>检定</w:t>
      </w:r>
      <w:r w:rsidR="00033EF0" w:rsidRPr="00AE126F">
        <w:rPr>
          <w:rFonts w:ascii="Times New Roman"/>
          <w:noProof/>
          <w:sz w:val="24"/>
        </w:rPr>
        <w:t>方法，</w:t>
      </w:r>
      <w:r w:rsidR="007671F9">
        <w:rPr>
          <w:rFonts w:ascii="Times New Roman" w:hint="eastAsia"/>
          <w:noProof/>
          <w:sz w:val="24"/>
        </w:rPr>
        <w:t>选取了不同厂家不同型号规格的</w:t>
      </w:r>
      <w:r w:rsidR="007671F9" w:rsidRPr="00327EC8">
        <w:rPr>
          <w:rFonts w:ascii="Times New Roman"/>
          <w:bCs/>
          <w:kern w:val="2"/>
          <w:sz w:val="24"/>
          <w:szCs w:val="24"/>
        </w:rPr>
        <w:t>电动水平振动试验台</w:t>
      </w:r>
      <w:r w:rsidR="00033EF0" w:rsidRPr="00AE126F">
        <w:rPr>
          <w:rFonts w:ascii="Times New Roman"/>
          <w:noProof/>
          <w:sz w:val="24"/>
        </w:rPr>
        <w:t>进行</w:t>
      </w:r>
      <w:r w:rsidR="007671F9">
        <w:rPr>
          <w:rFonts w:ascii="Times New Roman" w:hint="eastAsia"/>
          <w:noProof/>
          <w:sz w:val="24"/>
        </w:rPr>
        <w:t>了多次</w:t>
      </w:r>
      <w:r w:rsidR="00033EF0" w:rsidRPr="00AE126F">
        <w:rPr>
          <w:rFonts w:ascii="Times New Roman"/>
          <w:noProof/>
          <w:sz w:val="24"/>
        </w:rPr>
        <w:t>试验，总结分析</w:t>
      </w:r>
      <w:r w:rsidR="00033EF0">
        <w:rPr>
          <w:rFonts w:ascii="Times New Roman" w:hint="eastAsia"/>
          <w:noProof/>
          <w:sz w:val="24"/>
        </w:rPr>
        <w:t>试验</w:t>
      </w:r>
      <w:r w:rsidR="00033EF0">
        <w:rPr>
          <w:rFonts w:ascii="Times New Roman"/>
          <w:noProof/>
          <w:sz w:val="24"/>
        </w:rPr>
        <w:t>结果并</w:t>
      </w:r>
      <w:r w:rsidR="007671F9">
        <w:rPr>
          <w:rFonts w:ascii="Times New Roman" w:hint="eastAsia"/>
          <w:noProof/>
          <w:sz w:val="24"/>
        </w:rPr>
        <w:t>调整规程要求</w:t>
      </w:r>
      <w:r w:rsidR="00033EF0" w:rsidRPr="00AE126F">
        <w:rPr>
          <w:rFonts w:ascii="Times New Roman"/>
          <w:noProof/>
          <w:sz w:val="24"/>
        </w:rPr>
        <w:t>，确保试验方法科学</w:t>
      </w:r>
      <w:r w:rsidR="007671F9">
        <w:rPr>
          <w:rFonts w:ascii="Times New Roman" w:hint="eastAsia"/>
          <w:noProof/>
          <w:sz w:val="24"/>
        </w:rPr>
        <w:t>可靠</w:t>
      </w:r>
      <w:r w:rsidR="00033EF0" w:rsidRPr="00AE126F">
        <w:rPr>
          <w:rFonts w:ascii="Times New Roman"/>
          <w:noProof/>
          <w:sz w:val="24"/>
        </w:rPr>
        <w:t>。</w:t>
      </w:r>
      <w:r w:rsidR="00033EF0">
        <w:rPr>
          <w:rFonts w:ascii="Times New Roman" w:hint="eastAsia"/>
          <w:noProof/>
          <w:sz w:val="24"/>
        </w:rPr>
        <w:t>起草</w:t>
      </w:r>
      <w:r w:rsidR="00033EF0" w:rsidRPr="00AE126F">
        <w:rPr>
          <w:rFonts w:ascii="Times New Roman"/>
          <w:noProof/>
          <w:sz w:val="24"/>
        </w:rPr>
        <w:t>小组开始编写校准规范和试验方法初稿。</w:t>
      </w:r>
      <w:r w:rsidR="00033EF0" w:rsidRPr="00AE126F">
        <w:rPr>
          <w:rFonts w:ascii="Times New Roman"/>
          <w:sz w:val="24"/>
        </w:rPr>
        <w:t>经过</w:t>
      </w:r>
      <w:r w:rsidR="00033EF0" w:rsidRPr="00AE126F">
        <w:rPr>
          <w:rFonts w:ascii="Times New Roman"/>
          <w:noProof/>
          <w:sz w:val="24"/>
        </w:rPr>
        <w:t>分析和讨论，于</w:t>
      </w:r>
      <w:r w:rsidR="00033EF0">
        <w:rPr>
          <w:rFonts w:ascii="Times New Roman"/>
          <w:noProof/>
          <w:sz w:val="24"/>
        </w:rPr>
        <w:t>202</w:t>
      </w:r>
      <w:r w:rsidR="007671F9">
        <w:rPr>
          <w:rFonts w:ascii="Times New Roman" w:hint="eastAsia"/>
          <w:noProof/>
          <w:sz w:val="24"/>
        </w:rPr>
        <w:t>5</w:t>
      </w:r>
      <w:r w:rsidR="00033EF0" w:rsidRPr="00AE126F">
        <w:rPr>
          <w:rFonts w:ascii="Times New Roman"/>
          <w:noProof/>
          <w:sz w:val="24"/>
        </w:rPr>
        <w:t>年</w:t>
      </w:r>
      <w:r w:rsidR="007671F9">
        <w:rPr>
          <w:rFonts w:ascii="Times New Roman" w:hint="eastAsia"/>
          <w:noProof/>
          <w:sz w:val="24"/>
        </w:rPr>
        <w:t>10</w:t>
      </w:r>
      <w:r w:rsidR="00033EF0" w:rsidRPr="00AE126F">
        <w:rPr>
          <w:rFonts w:ascii="Times New Roman"/>
          <w:noProof/>
          <w:sz w:val="24"/>
        </w:rPr>
        <w:t>月完成校准规范初稿的撰写</w:t>
      </w:r>
      <w:r w:rsidR="00AB684C">
        <w:rPr>
          <w:rFonts w:ascii="Times New Roman" w:hint="eastAsia"/>
          <w:noProof/>
          <w:sz w:val="24"/>
        </w:rPr>
        <w:t>（内容</w:t>
      </w:r>
      <w:r w:rsidR="00AB684C">
        <w:rPr>
          <w:rFonts w:ascii="Times New Roman" w:hint="eastAsia"/>
          <w:noProof/>
          <w:sz w:val="24"/>
        </w:rPr>
        <w:t>5</w:t>
      </w:r>
      <w:r w:rsidR="00AB684C">
        <w:rPr>
          <w:rFonts w:ascii="Times New Roman" w:hint="eastAsia"/>
          <w:noProof/>
          <w:sz w:val="24"/>
        </w:rPr>
        <w:t>）</w:t>
      </w:r>
      <w:r w:rsidR="00AB684C">
        <w:rPr>
          <w:rFonts w:ascii="Times New Roman" w:hint="eastAsia"/>
          <w:noProof/>
          <w:sz w:val="24"/>
        </w:rPr>
        <w:t>。</w:t>
      </w:r>
    </w:p>
    <w:p w14:paraId="4B24A232" w14:textId="1AAB5153" w:rsidR="00AB684C" w:rsidRPr="00AB684C" w:rsidRDefault="00AB684C" w:rsidP="007671F9">
      <w:pPr>
        <w:spacing w:line="360" w:lineRule="auto"/>
        <w:ind w:firstLineChars="200" w:firstLine="480"/>
        <w:rPr>
          <w:rFonts w:ascii="Times New Roman" w:hint="eastAsia"/>
          <w:noProof/>
          <w:sz w:val="24"/>
        </w:rPr>
      </w:pPr>
      <w:r>
        <w:rPr>
          <w:rFonts w:ascii="Times New Roman" w:hint="eastAsia"/>
          <w:noProof/>
          <w:sz w:val="24"/>
        </w:rPr>
        <w:t>2025</w:t>
      </w:r>
      <w:r>
        <w:rPr>
          <w:rFonts w:ascii="Times New Roman" w:hint="eastAsia"/>
          <w:noProof/>
          <w:sz w:val="24"/>
        </w:rPr>
        <w:t>年</w:t>
      </w:r>
      <w:r>
        <w:rPr>
          <w:rFonts w:ascii="Times New Roman" w:hint="eastAsia"/>
          <w:noProof/>
          <w:sz w:val="24"/>
        </w:rPr>
        <w:t>11</w:t>
      </w:r>
      <w:r>
        <w:rPr>
          <w:rFonts w:ascii="Times New Roman" w:hint="eastAsia"/>
          <w:noProof/>
          <w:sz w:val="24"/>
        </w:rPr>
        <w:t>月会后，经过多次实验与讨论，于</w:t>
      </w:r>
      <w:r>
        <w:rPr>
          <w:rFonts w:ascii="Times New Roman" w:hint="eastAsia"/>
          <w:noProof/>
          <w:sz w:val="24"/>
        </w:rPr>
        <w:t>2026.8</w:t>
      </w:r>
      <w:r>
        <w:rPr>
          <w:rFonts w:ascii="Times New Roman" w:hint="eastAsia"/>
          <w:noProof/>
          <w:sz w:val="24"/>
        </w:rPr>
        <w:t>完成此次征求意见稿的修订（内容</w:t>
      </w:r>
      <w:r>
        <w:rPr>
          <w:rFonts w:ascii="Times New Roman" w:hint="eastAsia"/>
          <w:noProof/>
          <w:sz w:val="24"/>
        </w:rPr>
        <w:t>6</w:t>
      </w:r>
      <w:r>
        <w:rPr>
          <w:rFonts w:ascii="Times New Roman" w:hint="eastAsia"/>
          <w:noProof/>
          <w:sz w:val="24"/>
        </w:rPr>
        <w:t>）。</w:t>
      </w:r>
    </w:p>
    <w:p w14:paraId="14FF836E" w14:textId="377564A3" w:rsidR="00E67E31" w:rsidRDefault="007671F9" w:rsidP="007671F9">
      <w:pPr>
        <w:pStyle w:val="787815"/>
        <w:numPr>
          <w:ilvl w:val="0"/>
          <w:numId w:val="3"/>
        </w:numPr>
        <w:ind w:firstLineChars="0"/>
        <w:rPr>
          <w:rFonts w:hint="eastAsia"/>
        </w:rPr>
      </w:pPr>
      <w:r>
        <w:rPr>
          <w:rFonts w:hint="eastAsia"/>
        </w:rPr>
        <w:t>修</w:t>
      </w:r>
      <w:r w:rsidR="00E67E31">
        <w:rPr>
          <w:rFonts w:hint="eastAsia"/>
        </w:rPr>
        <w:t>订内容的说明</w:t>
      </w:r>
    </w:p>
    <w:p w14:paraId="2961C790" w14:textId="69FA45DA" w:rsidR="00E67E31" w:rsidRPr="000229F6" w:rsidRDefault="007671F9" w:rsidP="007671F9">
      <w:pPr>
        <w:spacing w:line="360" w:lineRule="auto"/>
        <w:rPr>
          <w:rFonts w:asciiTheme="majorEastAsia" w:eastAsiaTheme="majorEastAsia" w:hAnsiTheme="majorEastAsia" w:hint="eastAsia"/>
          <w:sz w:val="24"/>
          <w:szCs w:val="24"/>
        </w:rPr>
      </w:pPr>
      <w:r w:rsidRPr="000229F6">
        <w:rPr>
          <w:rFonts w:asciiTheme="majorEastAsia" w:eastAsiaTheme="majorEastAsia" w:hAnsiTheme="majorEastAsia" w:hint="eastAsia"/>
          <w:sz w:val="24"/>
          <w:szCs w:val="24"/>
        </w:rPr>
        <w:t>5.1</w:t>
      </w:r>
      <w:r w:rsidR="00E67E31" w:rsidRPr="000229F6">
        <w:rPr>
          <w:rFonts w:asciiTheme="majorEastAsia" w:eastAsiaTheme="majorEastAsia" w:hAnsiTheme="majorEastAsia"/>
          <w:sz w:val="24"/>
          <w:szCs w:val="24"/>
        </w:rPr>
        <w:t>计量特性</w:t>
      </w:r>
      <w:bookmarkStart w:id="1" w:name="_Toc496642777"/>
      <w:r w:rsidRPr="000229F6">
        <w:rPr>
          <w:rFonts w:asciiTheme="majorEastAsia" w:eastAsiaTheme="majorEastAsia" w:hAnsiTheme="majorEastAsia" w:hint="eastAsia"/>
          <w:sz w:val="24"/>
          <w:szCs w:val="24"/>
        </w:rPr>
        <w:t>变更</w:t>
      </w:r>
    </w:p>
    <w:p w14:paraId="36727325" w14:textId="1DAC28BA" w:rsidR="007671F9" w:rsidRPr="000229F6" w:rsidRDefault="007671F9" w:rsidP="007671F9">
      <w:pPr>
        <w:spacing w:line="360" w:lineRule="auto"/>
        <w:rPr>
          <w:sz w:val="24"/>
          <w:szCs w:val="24"/>
        </w:rPr>
      </w:pPr>
      <w:r w:rsidRPr="000229F6">
        <w:rPr>
          <w:rFonts w:asciiTheme="majorEastAsia" w:eastAsiaTheme="majorEastAsia" w:hAnsiTheme="majorEastAsia" w:hint="eastAsia"/>
          <w:sz w:val="24"/>
          <w:szCs w:val="24"/>
        </w:rPr>
        <w:t>5.1.1</w:t>
      </w:r>
      <w:r w:rsidRPr="000229F6">
        <w:rPr>
          <w:sz w:val="24"/>
          <w:szCs w:val="24"/>
        </w:rPr>
        <w:t>振动频率示值误差</w:t>
      </w:r>
    </w:p>
    <w:p w14:paraId="60B81F73" w14:textId="459C8123" w:rsidR="000229F6" w:rsidRPr="000229F6" w:rsidRDefault="000229F6" w:rsidP="000229F6">
      <w:pPr>
        <w:spacing w:line="400" w:lineRule="exact"/>
        <w:ind w:firstLineChars="200" w:firstLine="480"/>
        <w:rPr>
          <w:rFonts w:ascii="Times New Roman"/>
          <w:sz w:val="24"/>
          <w:szCs w:val="24"/>
        </w:rPr>
      </w:pPr>
      <w:r w:rsidRPr="000229F6">
        <w:rPr>
          <w:rFonts w:ascii="Times New Roman"/>
          <w:sz w:val="24"/>
          <w:szCs w:val="24"/>
        </w:rPr>
        <w:t>将</w:t>
      </w:r>
      <w:r w:rsidRPr="000229F6">
        <w:rPr>
          <w:rFonts w:ascii="Times New Roman"/>
          <w:sz w:val="24"/>
          <w:szCs w:val="24"/>
        </w:rPr>
        <w:t>“5Hz≤</w:t>
      </w:r>
      <w:r w:rsidRPr="000229F6">
        <w:rPr>
          <w:rFonts w:ascii="Times New Roman"/>
          <w:i/>
          <w:iCs/>
          <w:color w:val="000000"/>
          <w:sz w:val="24"/>
          <w:szCs w:val="24"/>
        </w:rPr>
        <w:t>f</w:t>
      </w:r>
      <w:r w:rsidRPr="000229F6">
        <w:rPr>
          <w:rFonts w:ascii="Times New Roman"/>
          <w:sz w:val="24"/>
          <w:szCs w:val="24"/>
        </w:rPr>
        <w:t>≤50Hz,</w:t>
      </w:r>
      <w:r w:rsidRPr="000229F6">
        <w:rPr>
          <w:rFonts w:ascii="Times New Roman"/>
          <w:sz w:val="24"/>
          <w:szCs w:val="24"/>
        </w:rPr>
        <w:t>不超过</w:t>
      </w:r>
      <w:r w:rsidRPr="000229F6">
        <w:rPr>
          <w:rFonts w:ascii="Times New Roman"/>
          <w:sz w:val="24"/>
          <w:szCs w:val="24"/>
        </w:rPr>
        <w:t xml:space="preserve">±1Hz; </w:t>
      </w:r>
      <w:r w:rsidRPr="000229F6">
        <w:rPr>
          <w:rFonts w:ascii="Times New Roman"/>
          <w:i/>
          <w:iCs/>
          <w:color w:val="000000"/>
          <w:sz w:val="24"/>
          <w:szCs w:val="24"/>
        </w:rPr>
        <w:t>f</w:t>
      </w:r>
      <w:r w:rsidRPr="000229F6">
        <w:rPr>
          <w:rFonts w:ascii="Times New Roman"/>
          <w:sz w:val="24"/>
          <w:szCs w:val="24"/>
        </w:rPr>
        <w:t xml:space="preserve"> &gt;50Hz,</w:t>
      </w:r>
      <w:r w:rsidRPr="000229F6">
        <w:rPr>
          <w:rFonts w:ascii="Times New Roman"/>
          <w:sz w:val="24"/>
          <w:szCs w:val="24"/>
        </w:rPr>
        <w:t>不超过</w:t>
      </w:r>
      <w:r w:rsidRPr="000229F6">
        <w:rPr>
          <w:rFonts w:ascii="Times New Roman"/>
          <w:sz w:val="24"/>
          <w:szCs w:val="24"/>
        </w:rPr>
        <w:t>±2%</w:t>
      </w:r>
      <w:r w:rsidRPr="000229F6">
        <w:rPr>
          <w:rFonts w:ascii="Times New Roman"/>
          <w:i/>
          <w:iCs/>
          <w:color w:val="000000"/>
          <w:sz w:val="24"/>
          <w:szCs w:val="24"/>
        </w:rPr>
        <w:t xml:space="preserve"> f</w:t>
      </w:r>
      <w:r w:rsidRPr="000229F6">
        <w:rPr>
          <w:rFonts w:ascii="Times New Roman"/>
          <w:sz w:val="24"/>
          <w:szCs w:val="24"/>
        </w:rPr>
        <w:t>。</w:t>
      </w:r>
      <w:r w:rsidRPr="000229F6">
        <w:rPr>
          <w:rFonts w:ascii="Times New Roman"/>
          <w:sz w:val="24"/>
          <w:szCs w:val="24"/>
        </w:rPr>
        <w:t xml:space="preserve">” </w:t>
      </w:r>
      <w:r w:rsidRPr="000229F6">
        <w:rPr>
          <w:rFonts w:ascii="Times New Roman"/>
          <w:sz w:val="24"/>
          <w:szCs w:val="24"/>
        </w:rPr>
        <w:t>修改为</w:t>
      </w:r>
      <w:r w:rsidRPr="000229F6">
        <w:rPr>
          <w:rFonts w:ascii="Times New Roman"/>
          <w:sz w:val="24"/>
          <w:szCs w:val="24"/>
        </w:rPr>
        <w:t>“</w:t>
      </w:r>
      <w:r w:rsidRPr="000229F6">
        <w:rPr>
          <w:rFonts w:ascii="Times New Roman"/>
          <w:sz w:val="24"/>
          <w:szCs w:val="24"/>
        </w:rPr>
        <w:t>振动频率示值误差如表</w:t>
      </w:r>
      <w:r w:rsidRPr="000229F6">
        <w:rPr>
          <w:rFonts w:ascii="Times New Roman"/>
          <w:sz w:val="24"/>
          <w:szCs w:val="24"/>
        </w:rPr>
        <w:t>1</w:t>
      </w:r>
      <w:r w:rsidRPr="000229F6">
        <w:rPr>
          <w:rFonts w:ascii="Times New Roman"/>
          <w:sz w:val="24"/>
          <w:szCs w:val="24"/>
        </w:rPr>
        <w:t>所示：</w:t>
      </w:r>
      <w:r w:rsidRPr="000229F6">
        <w:rPr>
          <w:rFonts w:ascii="Times New Roman"/>
          <w:sz w:val="24"/>
          <w:szCs w:val="24"/>
        </w:rPr>
        <w:t>”</w:t>
      </w:r>
    </w:p>
    <w:p w14:paraId="129B7B63" w14:textId="77777777" w:rsidR="000229F6" w:rsidRPr="000229F6" w:rsidRDefault="000229F6" w:rsidP="000229F6">
      <w:pPr>
        <w:wordWrap w:val="0"/>
        <w:spacing w:before="100" w:line="260" w:lineRule="atLeast"/>
        <w:ind w:firstLine="420"/>
        <w:jc w:val="center"/>
        <w:textAlignment w:val="baseline"/>
        <w:rPr>
          <w:rFonts w:ascii="Times New Roman"/>
          <w:color w:val="000000"/>
          <w:sz w:val="24"/>
          <w:szCs w:val="24"/>
        </w:rPr>
      </w:pPr>
      <w:r w:rsidRPr="000229F6">
        <w:rPr>
          <w:rFonts w:ascii="Times New Roman"/>
          <w:color w:val="000000"/>
          <w:sz w:val="24"/>
          <w:szCs w:val="24"/>
        </w:rPr>
        <w:t>表</w:t>
      </w:r>
      <w:r w:rsidRPr="000229F6">
        <w:rPr>
          <w:rFonts w:ascii="Times New Roman"/>
          <w:color w:val="000000"/>
          <w:sz w:val="24"/>
          <w:szCs w:val="24"/>
        </w:rPr>
        <w:t xml:space="preserve"> 1 </w:t>
      </w:r>
      <w:r w:rsidRPr="000229F6">
        <w:rPr>
          <w:rFonts w:ascii="Times New Roman"/>
          <w:color w:val="000000"/>
          <w:sz w:val="24"/>
          <w:szCs w:val="24"/>
        </w:rPr>
        <w:t>频率示值误差</w:t>
      </w:r>
    </w:p>
    <w:tbl>
      <w:tblPr>
        <w:tblW w:w="0" w:type="auto"/>
        <w:tblInd w:w="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260"/>
        <w:gridCol w:w="2260"/>
        <w:gridCol w:w="2280"/>
        <w:gridCol w:w="2220"/>
      </w:tblGrid>
      <w:tr w:rsidR="000229F6" w:rsidRPr="000229F6" w14:paraId="2D44B5C2" w14:textId="77777777" w:rsidTr="00D96401">
        <w:trPr>
          <w:trHeight w:val="300"/>
        </w:trPr>
        <w:tc>
          <w:tcPr>
            <w:tcW w:w="2260" w:type="dxa"/>
            <w:vAlign w:val="center"/>
          </w:tcPr>
          <w:p w14:paraId="71D93B0F"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频率范围</w:t>
            </w:r>
          </w:p>
        </w:tc>
        <w:tc>
          <w:tcPr>
            <w:tcW w:w="2260" w:type="dxa"/>
            <w:vAlign w:val="center"/>
          </w:tcPr>
          <w:p w14:paraId="35BBB432"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A</w:t>
            </w:r>
            <w:r w:rsidRPr="000229F6">
              <w:rPr>
                <w:rFonts w:ascii="Times New Roman"/>
                <w:color w:val="000000"/>
                <w:sz w:val="24"/>
                <w:szCs w:val="24"/>
              </w:rPr>
              <w:t>级</w:t>
            </w:r>
          </w:p>
        </w:tc>
        <w:tc>
          <w:tcPr>
            <w:tcW w:w="2280" w:type="dxa"/>
            <w:vAlign w:val="center"/>
          </w:tcPr>
          <w:p w14:paraId="7CFCC4D7"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B</w:t>
            </w:r>
            <w:r w:rsidRPr="000229F6">
              <w:rPr>
                <w:rFonts w:ascii="Times New Roman"/>
                <w:color w:val="000000"/>
                <w:sz w:val="24"/>
                <w:szCs w:val="24"/>
              </w:rPr>
              <w:t>级</w:t>
            </w:r>
          </w:p>
        </w:tc>
        <w:tc>
          <w:tcPr>
            <w:tcW w:w="2220" w:type="dxa"/>
            <w:vAlign w:val="center"/>
          </w:tcPr>
          <w:p w14:paraId="081874C7"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C</w:t>
            </w:r>
            <w:r w:rsidRPr="000229F6">
              <w:rPr>
                <w:rFonts w:ascii="Times New Roman"/>
                <w:color w:val="000000"/>
                <w:sz w:val="24"/>
                <w:szCs w:val="24"/>
              </w:rPr>
              <w:t>级</w:t>
            </w:r>
          </w:p>
        </w:tc>
      </w:tr>
      <w:tr w:rsidR="000229F6" w:rsidRPr="000229F6" w14:paraId="5B69A8EA" w14:textId="77777777" w:rsidTr="00D96401">
        <w:trPr>
          <w:trHeight w:val="300"/>
        </w:trPr>
        <w:tc>
          <w:tcPr>
            <w:tcW w:w="2260" w:type="dxa"/>
            <w:vAlign w:val="center"/>
          </w:tcPr>
          <w:p w14:paraId="3FFDA78C"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i/>
                <w:iCs/>
                <w:color w:val="000000"/>
                <w:sz w:val="24"/>
                <w:szCs w:val="24"/>
              </w:rPr>
              <w:t xml:space="preserve">f </w:t>
            </w:r>
            <w:r w:rsidRPr="000229F6">
              <w:rPr>
                <w:rFonts w:ascii="Times New Roman"/>
                <w:color w:val="000000"/>
                <w:sz w:val="24"/>
                <w:szCs w:val="24"/>
              </w:rPr>
              <w:t>&lt;100 Hz</w:t>
            </w:r>
          </w:p>
        </w:tc>
        <w:tc>
          <w:tcPr>
            <w:tcW w:w="2260" w:type="dxa"/>
            <w:vAlign w:val="center"/>
          </w:tcPr>
          <w:p w14:paraId="0111780F"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±0.05 Hz</w:t>
            </w:r>
          </w:p>
        </w:tc>
        <w:tc>
          <w:tcPr>
            <w:tcW w:w="2280" w:type="dxa"/>
            <w:vAlign w:val="center"/>
          </w:tcPr>
          <w:p w14:paraId="163794E5"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±0.1 Hz</w:t>
            </w:r>
          </w:p>
        </w:tc>
        <w:tc>
          <w:tcPr>
            <w:tcW w:w="2220" w:type="dxa"/>
            <w:vAlign w:val="center"/>
          </w:tcPr>
          <w:p w14:paraId="6D57C691"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±0.5 Hz</w:t>
            </w:r>
          </w:p>
        </w:tc>
      </w:tr>
      <w:tr w:rsidR="000229F6" w:rsidRPr="000229F6" w14:paraId="27A41672" w14:textId="77777777" w:rsidTr="00D96401">
        <w:trPr>
          <w:trHeight w:val="300"/>
        </w:trPr>
        <w:tc>
          <w:tcPr>
            <w:tcW w:w="2260" w:type="dxa"/>
            <w:vAlign w:val="center"/>
          </w:tcPr>
          <w:p w14:paraId="7F820161"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i/>
                <w:iCs/>
                <w:color w:val="000000"/>
                <w:sz w:val="24"/>
                <w:szCs w:val="24"/>
              </w:rPr>
              <w:t>f</w:t>
            </w:r>
            <w:r w:rsidRPr="000229F6">
              <w:rPr>
                <w:rFonts w:ascii="Times New Roman"/>
                <w:color w:val="000000"/>
                <w:sz w:val="24"/>
                <w:szCs w:val="24"/>
              </w:rPr>
              <w:t xml:space="preserve"> ≥100 Hz</w:t>
            </w:r>
          </w:p>
        </w:tc>
        <w:tc>
          <w:tcPr>
            <w:tcW w:w="2260" w:type="dxa"/>
            <w:vAlign w:val="center"/>
          </w:tcPr>
          <w:p w14:paraId="397BE76A"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±0.05%</w:t>
            </w:r>
          </w:p>
        </w:tc>
        <w:tc>
          <w:tcPr>
            <w:tcW w:w="2280" w:type="dxa"/>
            <w:vAlign w:val="center"/>
          </w:tcPr>
          <w:p w14:paraId="6169AD0A"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±0.1%</w:t>
            </w:r>
          </w:p>
        </w:tc>
        <w:tc>
          <w:tcPr>
            <w:tcW w:w="2220" w:type="dxa"/>
            <w:vAlign w:val="center"/>
          </w:tcPr>
          <w:p w14:paraId="2E20492D"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±0.5%</w:t>
            </w:r>
          </w:p>
        </w:tc>
      </w:tr>
    </w:tbl>
    <w:p w14:paraId="7386AC01" w14:textId="7AFAD03D" w:rsidR="007671F9" w:rsidRPr="000229F6" w:rsidRDefault="000229F6" w:rsidP="000229F6">
      <w:pPr>
        <w:spacing w:line="360" w:lineRule="auto"/>
        <w:rPr>
          <w:rFonts w:ascii="Times New Roman" w:eastAsiaTheme="majorEastAsia"/>
          <w:sz w:val="24"/>
          <w:szCs w:val="24"/>
        </w:rPr>
      </w:pPr>
      <w:r w:rsidRPr="000229F6">
        <w:rPr>
          <w:rFonts w:hAnsi="宋体"/>
          <w:sz w:val="24"/>
          <w:szCs w:val="24"/>
        </w:rPr>
        <w:t>5.1.2</w:t>
      </w:r>
      <w:r w:rsidRPr="000229F6">
        <w:rPr>
          <w:rFonts w:ascii="Times New Roman" w:eastAsiaTheme="majorEastAsia"/>
          <w:sz w:val="24"/>
          <w:szCs w:val="24"/>
        </w:rPr>
        <w:t>振动加速度</w:t>
      </w:r>
      <w:r w:rsidRPr="000229F6">
        <w:rPr>
          <w:rFonts w:ascii="Times New Roman" w:eastAsiaTheme="majorEastAsia"/>
          <w:sz w:val="24"/>
          <w:szCs w:val="24"/>
        </w:rPr>
        <w:t xml:space="preserve"> (</w:t>
      </w:r>
      <w:r w:rsidRPr="000229F6">
        <w:rPr>
          <w:rFonts w:ascii="Times New Roman" w:eastAsiaTheme="majorEastAsia"/>
          <w:sz w:val="24"/>
          <w:szCs w:val="24"/>
        </w:rPr>
        <w:t>或位移</w:t>
      </w:r>
      <w:r w:rsidRPr="000229F6">
        <w:rPr>
          <w:rFonts w:ascii="Times New Roman" w:eastAsiaTheme="majorEastAsia"/>
          <w:sz w:val="24"/>
          <w:szCs w:val="24"/>
        </w:rPr>
        <w:t>)</w:t>
      </w:r>
      <w:r w:rsidRPr="000229F6">
        <w:rPr>
          <w:rFonts w:ascii="Times New Roman" w:eastAsiaTheme="majorEastAsia"/>
          <w:sz w:val="24"/>
          <w:szCs w:val="24"/>
        </w:rPr>
        <w:t>示值误差</w:t>
      </w:r>
    </w:p>
    <w:p w14:paraId="262C25AA" w14:textId="4ABE8761" w:rsidR="000229F6" w:rsidRPr="000229F6" w:rsidRDefault="000229F6" w:rsidP="000229F6">
      <w:pPr>
        <w:spacing w:line="400" w:lineRule="exact"/>
        <w:ind w:firstLineChars="200" w:firstLine="480"/>
        <w:rPr>
          <w:rFonts w:ascii="Times New Roman"/>
          <w:sz w:val="24"/>
          <w:szCs w:val="24"/>
        </w:rPr>
      </w:pPr>
      <w:r w:rsidRPr="000229F6">
        <w:rPr>
          <w:rFonts w:ascii="Times New Roman" w:eastAsiaTheme="majorEastAsia"/>
          <w:sz w:val="24"/>
          <w:szCs w:val="24"/>
        </w:rPr>
        <w:t>将</w:t>
      </w:r>
      <w:r w:rsidRPr="000229F6">
        <w:rPr>
          <w:rFonts w:ascii="Times New Roman" w:eastAsiaTheme="majorEastAsia"/>
          <w:sz w:val="24"/>
          <w:szCs w:val="24"/>
        </w:rPr>
        <w:t>“</w:t>
      </w:r>
      <w:r w:rsidRPr="000229F6">
        <w:rPr>
          <w:rFonts w:ascii="Times New Roman" w:eastAsiaTheme="majorEastAsia"/>
          <w:sz w:val="24"/>
          <w:szCs w:val="24"/>
        </w:rPr>
        <w:t>水平振动台的振动加速度</w:t>
      </w:r>
      <w:r w:rsidRPr="000229F6">
        <w:rPr>
          <w:rFonts w:ascii="Times New Roman" w:eastAsiaTheme="majorEastAsia"/>
          <w:sz w:val="24"/>
          <w:szCs w:val="24"/>
        </w:rPr>
        <w:t xml:space="preserve"> (</w:t>
      </w:r>
      <w:r w:rsidRPr="000229F6">
        <w:rPr>
          <w:rFonts w:ascii="Times New Roman" w:eastAsiaTheme="majorEastAsia"/>
          <w:sz w:val="24"/>
          <w:szCs w:val="24"/>
        </w:rPr>
        <w:t>或位移</w:t>
      </w:r>
      <w:r w:rsidRPr="000229F6">
        <w:rPr>
          <w:rFonts w:ascii="Times New Roman" w:eastAsiaTheme="majorEastAsia"/>
          <w:sz w:val="24"/>
          <w:szCs w:val="24"/>
        </w:rPr>
        <w:t>)</w:t>
      </w:r>
      <w:r w:rsidRPr="000229F6">
        <w:rPr>
          <w:rFonts w:ascii="Times New Roman" w:eastAsiaTheme="majorEastAsia"/>
          <w:sz w:val="24"/>
          <w:szCs w:val="24"/>
        </w:rPr>
        <w:t>的示值误差不超过</w:t>
      </w:r>
      <w:r w:rsidRPr="000229F6">
        <w:rPr>
          <w:rFonts w:ascii="Times New Roman" w:eastAsiaTheme="majorEastAsia"/>
          <w:sz w:val="24"/>
          <w:szCs w:val="24"/>
        </w:rPr>
        <w:t>±10%</w:t>
      </w:r>
      <w:r w:rsidRPr="000229F6">
        <w:rPr>
          <w:rFonts w:ascii="Times New Roman" w:eastAsiaTheme="majorEastAsia"/>
          <w:sz w:val="24"/>
          <w:szCs w:val="24"/>
        </w:rPr>
        <w:t>。</w:t>
      </w:r>
      <w:r w:rsidRPr="000229F6">
        <w:rPr>
          <w:rFonts w:ascii="Times New Roman" w:eastAsiaTheme="majorEastAsia"/>
          <w:sz w:val="24"/>
          <w:szCs w:val="24"/>
        </w:rPr>
        <w:t>”</w:t>
      </w:r>
      <w:r w:rsidRPr="000229F6">
        <w:rPr>
          <w:rFonts w:ascii="Times New Roman" w:eastAsiaTheme="majorEastAsia"/>
          <w:sz w:val="24"/>
          <w:szCs w:val="24"/>
        </w:rPr>
        <w:t>修改为</w:t>
      </w:r>
      <w:r w:rsidRPr="000229F6">
        <w:rPr>
          <w:rFonts w:ascii="Times New Roman" w:eastAsiaTheme="majorEastAsia"/>
          <w:sz w:val="24"/>
          <w:szCs w:val="24"/>
        </w:rPr>
        <w:t>“</w:t>
      </w:r>
      <w:r w:rsidRPr="000229F6">
        <w:rPr>
          <w:rFonts w:ascii="Times New Roman"/>
          <w:sz w:val="24"/>
          <w:szCs w:val="24"/>
        </w:rPr>
        <w:t>水平振动台的振动加速度</w:t>
      </w:r>
      <w:r w:rsidRPr="000229F6">
        <w:rPr>
          <w:rFonts w:ascii="Times New Roman"/>
          <w:sz w:val="24"/>
          <w:szCs w:val="24"/>
        </w:rPr>
        <w:t xml:space="preserve"> (</w:t>
      </w:r>
      <w:r w:rsidRPr="000229F6">
        <w:rPr>
          <w:rFonts w:ascii="Times New Roman"/>
          <w:sz w:val="24"/>
          <w:szCs w:val="24"/>
        </w:rPr>
        <w:t>或位移</w:t>
      </w:r>
      <w:r w:rsidRPr="000229F6">
        <w:rPr>
          <w:rFonts w:ascii="Times New Roman"/>
          <w:sz w:val="24"/>
          <w:szCs w:val="24"/>
        </w:rPr>
        <w:t xml:space="preserve">) </w:t>
      </w:r>
      <w:r w:rsidRPr="000229F6">
        <w:rPr>
          <w:rFonts w:ascii="Times New Roman"/>
          <w:sz w:val="24"/>
          <w:szCs w:val="24"/>
        </w:rPr>
        <w:t>的示值误差如表</w:t>
      </w:r>
      <w:r w:rsidRPr="000229F6">
        <w:rPr>
          <w:rFonts w:ascii="Times New Roman"/>
          <w:sz w:val="24"/>
          <w:szCs w:val="24"/>
        </w:rPr>
        <w:t>2</w:t>
      </w:r>
      <w:r w:rsidRPr="000229F6">
        <w:rPr>
          <w:rFonts w:ascii="Times New Roman"/>
          <w:sz w:val="24"/>
          <w:szCs w:val="24"/>
        </w:rPr>
        <w:t>所示：</w:t>
      </w:r>
      <w:r w:rsidRPr="000229F6">
        <w:rPr>
          <w:rFonts w:ascii="Times New Roman"/>
          <w:sz w:val="24"/>
          <w:szCs w:val="24"/>
        </w:rPr>
        <w:t>”</w:t>
      </w:r>
    </w:p>
    <w:p w14:paraId="06ADA654" w14:textId="77777777" w:rsidR="000229F6" w:rsidRPr="000229F6" w:rsidRDefault="000229F6" w:rsidP="000229F6">
      <w:pPr>
        <w:wordWrap w:val="0"/>
        <w:spacing w:before="100" w:line="260" w:lineRule="atLeast"/>
        <w:ind w:firstLine="420"/>
        <w:jc w:val="center"/>
        <w:textAlignment w:val="baseline"/>
        <w:rPr>
          <w:rFonts w:ascii="Times New Roman"/>
          <w:color w:val="000000"/>
          <w:sz w:val="24"/>
          <w:szCs w:val="24"/>
        </w:rPr>
      </w:pPr>
      <w:r w:rsidRPr="000229F6">
        <w:rPr>
          <w:rFonts w:ascii="Times New Roman"/>
          <w:color w:val="000000"/>
          <w:sz w:val="24"/>
          <w:szCs w:val="24"/>
        </w:rPr>
        <w:t>表</w:t>
      </w:r>
      <w:r w:rsidRPr="000229F6">
        <w:rPr>
          <w:rFonts w:ascii="Times New Roman"/>
          <w:color w:val="000000"/>
          <w:sz w:val="24"/>
          <w:szCs w:val="24"/>
        </w:rPr>
        <w:t xml:space="preserve"> 2 </w:t>
      </w:r>
      <w:r w:rsidRPr="000229F6">
        <w:rPr>
          <w:rFonts w:ascii="Times New Roman"/>
          <w:color w:val="000000"/>
          <w:sz w:val="24"/>
          <w:szCs w:val="24"/>
        </w:rPr>
        <w:t>振动加速度幅值示值误差</w:t>
      </w:r>
    </w:p>
    <w:tbl>
      <w:tblPr>
        <w:tblW w:w="0" w:type="auto"/>
        <w:tblInd w:w="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280"/>
        <w:gridCol w:w="2280"/>
        <w:gridCol w:w="2320"/>
        <w:gridCol w:w="2200"/>
      </w:tblGrid>
      <w:tr w:rsidR="000229F6" w:rsidRPr="000229F6" w14:paraId="6037D373" w14:textId="77777777" w:rsidTr="00D96401">
        <w:trPr>
          <w:trHeight w:val="360"/>
        </w:trPr>
        <w:tc>
          <w:tcPr>
            <w:tcW w:w="2280" w:type="dxa"/>
            <w:vAlign w:val="center"/>
          </w:tcPr>
          <w:p w14:paraId="4ED2A780"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级别</w:t>
            </w:r>
          </w:p>
        </w:tc>
        <w:tc>
          <w:tcPr>
            <w:tcW w:w="2280" w:type="dxa"/>
            <w:vAlign w:val="center"/>
          </w:tcPr>
          <w:p w14:paraId="0270C22E"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A</w:t>
            </w:r>
            <w:r w:rsidRPr="000229F6">
              <w:rPr>
                <w:rFonts w:ascii="Times New Roman"/>
                <w:color w:val="000000"/>
                <w:sz w:val="24"/>
                <w:szCs w:val="24"/>
              </w:rPr>
              <w:t>级</w:t>
            </w:r>
          </w:p>
        </w:tc>
        <w:tc>
          <w:tcPr>
            <w:tcW w:w="2320" w:type="dxa"/>
            <w:vAlign w:val="center"/>
          </w:tcPr>
          <w:p w14:paraId="3AD608AC"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B</w:t>
            </w:r>
            <w:r w:rsidRPr="000229F6">
              <w:rPr>
                <w:rFonts w:ascii="Times New Roman"/>
                <w:color w:val="000000"/>
                <w:sz w:val="24"/>
                <w:szCs w:val="24"/>
              </w:rPr>
              <w:t>级</w:t>
            </w:r>
          </w:p>
        </w:tc>
        <w:tc>
          <w:tcPr>
            <w:tcW w:w="2200" w:type="dxa"/>
            <w:vAlign w:val="center"/>
          </w:tcPr>
          <w:p w14:paraId="40177D89"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C</w:t>
            </w:r>
            <w:r w:rsidRPr="000229F6">
              <w:rPr>
                <w:rFonts w:ascii="Times New Roman"/>
                <w:color w:val="000000"/>
                <w:sz w:val="24"/>
                <w:szCs w:val="24"/>
              </w:rPr>
              <w:t>级</w:t>
            </w:r>
          </w:p>
        </w:tc>
      </w:tr>
      <w:tr w:rsidR="000229F6" w:rsidRPr="000229F6" w14:paraId="1AF7EE64" w14:textId="77777777" w:rsidTr="00D96401">
        <w:trPr>
          <w:trHeight w:val="360"/>
        </w:trPr>
        <w:tc>
          <w:tcPr>
            <w:tcW w:w="2280" w:type="dxa"/>
            <w:vAlign w:val="center"/>
          </w:tcPr>
          <w:p w14:paraId="58B7C515"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幅值示值误差</w:t>
            </w:r>
          </w:p>
        </w:tc>
        <w:tc>
          <w:tcPr>
            <w:tcW w:w="2280" w:type="dxa"/>
            <w:vAlign w:val="center"/>
          </w:tcPr>
          <w:p w14:paraId="1D109C75"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±5%</w:t>
            </w:r>
          </w:p>
        </w:tc>
        <w:tc>
          <w:tcPr>
            <w:tcW w:w="2320" w:type="dxa"/>
            <w:vAlign w:val="center"/>
          </w:tcPr>
          <w:p w14:paraId="214F0893"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±8%</w:t>
            </w:r>
          </w:p>
        </w:tc>
        <w:tc>
          <w:tcPr>
            <w:tcW w:w="2200" w:type="dxa"/>
            <w:vAlign w:val="center"/>
          </w:tcPr>
          <w:p w14:paraId="7008C199" w14:textId="77777777" w:rsidR="000229F6" w:rsidRPr="000229F6" w:rsidRDefault="000229F6" w:rsidP="00D96401">
            <w:pPr>
              <w:wordWrap w:val="0"/>
              <w:spacing w:line="260" w:lineRule="atLeast"/>
              <w:jc w:val="center"/>
              <w:textAlignment w:val="baseline"/>
              <w:rPr>
                <w:rFonts w:ascii="Times New Roman"/>
                <w:sz w:val="24"/>
                <w:szCs w:val="24"/>
              </w:rPr>
            </w:pPr>
            <w:r w:rsidRPr="000229F6">
              <w:rPr>
                <w:rFonts w:ascii="Times New Roman"/>
                <w:color w:val="000000"/>
                <w:sz w:val="24"/>
                <w:szCs w:val="24"/>
              </w:rPr>
              <w:t>±10%</w:t>
            </w:r>
          </w:p>
        </w:tc>
      </w:tr>
    </w:tbl>
    <w:p w14:paraId="023E9899" w14:textId="05E1CAFC" w:rsidR="00CF236F" w:rsidRPr="00B923A9" w:rsidRDefault="00CF236F" w:rsidP="000229F6">
      <w:pPr>
        <w:spacing w:line="360" w:lineRule="auto"/>
        <w:rPr>
          <w:rFonts w:asciiTheme="majorEastAsia" w:eastAsiaTheme="majorEastAsia" w:hAnsiTheme="majorEastAsia" w:hint="eastAsia"/>
          <w:sz w:val="32"/>
          <w:szCs w:val="32"/>
        </w:rPr>
      </w:pPr>
      <w:r>
        <w:rPr>
          <w:rFonts w:asciiTheme="majorEastAsia" w:eastAsiaTheme="majorEastAsia" w:hAnsiTheme="majorEastAsia" w:hint="eastAsia"/>
          <w:sz w:val="24"/>
          <w:szCs w:val="24"/>
        </w:rPr>
        <w:t>5.1.3正弦推力</w:t>
      </w:r>
      <w:r w:rsidRPr="00B923A9">
        <w:rPr>
          <w:sz w:val="24"/>
          <w:szCs w:val="22"/>
        </w:rPr>
        <w:t>应符合生产制造厂出厂指标</w:t>
      </w:r>
      <w:r w:rsidRPr="00B923A9">
        <w:rPr>
          <w:rFonts w:hint="eastAsia"/>
          <w:sz w:val="24"/>
          <w:szCs w:val="22"/>
        </w:rPr>
        <w:t>，</w:t>
      </w:r>
      <w:r w:rsidRPr="00B923A9">
        <w:rPr>
          <w:sz w:val="24"/>
          <w:szCs w:val="22"/>
        </w:rPr>
        <w:t>偏差应不大于</w:t>
      </w:r>
      <w:r w:rsidRPr="00B923A9">
        <w:rPr>
          <w:sz w:val="24"/>
          <w:szCs w:val="22"/>
        </w:rPr>
        <w:t>±</w:t>
      </w:r>
      <w:r w:rsidRPr="00B923A9">
        <w:rPr>
          <w:rFonts w:hint="eastAsia"/>
          <w:sz w:val="24"/>
          <w:szCs w:val="22"/>
        </w:rPr>
        <w:t>20</w:t>
      </w:r>
      <w:r w:rsidRPr="00B923A9">
        <w:rPr>
          <w:sz w:val="24"/>
          <w:szCs w:val="22"/>
        </w:rPr>
        <w:t>%。</w:t>
      </w:r>
    </w:p>
    <w:p w14:paraId="6747D932" w14:textId="3670CCFF" w:rsidR="00CF236F" w:rsidRPr="009E0651" w:rsidRDefault="000229F6" w:rsidP="000229F6">
      <w:pPr>
        <w:spacing w:line="360" w:lineRule="auto"/>
        <w:rPr>
          <w:sz w:val="24"/>
          <w:szCs w:val="22"/>
        </w:rPr>
      </w:pPr>
      <w:r>
        <w:rPr>
          <w:rFonts w:asciiTheme="majorEastAsia" w:eastAsiaTheme="majorEastAsia" w:hAnsiTheme="majorEastAsia" w:hint="eastAsia"/>
          <w:sz w:val="24"/>
          <w:szCs w:val="24"/>
        </w:rPr>
        <w:t>5.1.</w:t>
      </w:r>
      <w:r w:rsidR="00CF236F">
        <w:rPr>
          <w:rFonts w:asciiTheme="majorEastAsia" w:eastAsiaTheme="majorEastAsia" w:hAnsiTheme="majorEastAsia" w:hint="eastAsia"/>
          <w:sz w:val="24"/>
          <w:szCs w:val="24"/>
        </w:rPr>
        <w:t>4</w:t>
      </w:r>
      <w:r w:rsidRPr="009E0651">
        <w:rPr>
          <w:sz w:val="24"/>
          <w:szCs w:val="22"/>
        </w:rPr>
        <w:t>随机振动</w:t>
      </w:r>
    </w:p>
    <w:p w14:paraId="6EEFA50E" w14:textId="28641EE1" w:rsidR="009E0651" w:rsidRPr="009E0651" w:rsidRDefault="009E0651" w:rsidP="009E0651">
      <w:pPr>
        <w:spacing w:line="360" w:lineRule="auto"/>
        <w:ind w:firstLineChars="200" w:firstLine="480"/>
        <w:rPr>
          <w:rFonts w:asciiTheme="majorEastAsia" w:eastAsiaTheme="majorEastAsia" w:hAnsiTheme="majorEastAsia" w:hint="eastAsia"/>
          <w:sz w:val="32"/>
          <w:szCs w:val="32"/>
        </w:rPr>
      </w:pPr>
      <w:r w:rsidRPr="009E0651">
        <w:rPr>
          <w:rFonts w:hint="eastAsia"/>
          <w:sz w:val="24"/>
          <w:szCs w:val="22"/>
        </w:rPr>
        <w:t>增加随机振动计量特性要求，包括“</w:t>
      </w:r>
      <w:r w:rsidRPr="009E0651">
        <w:rPr>
          <w:sz w:val="24"/>
          <w:szCs w:val="22"/>
        </w:rPr>
        <w:t>随机加速度功率谱控制动态范围</w:t>
      </w:r>
      <w:r w:rsidRPr="009E0651">
        <w:rPr>
          <w:rFonts w:hint="eastAsia"/>
          <w:sz w:val="24"/>
          <w:szCs w:val="22"/>
        </w:rPr>
        <w:t>、</w:t>
      </w:r>
      <w:r w:rsidRPr="009E0651">
        <w:rPr>
          <w:sz w:val="24"/>
          <w:szCs w:val="22"/>
        </w:rPr>
        <w:t>随机加速度总均方根值示值误差</w:t>
      </w:r>
      <w:r w:rsidRPr="009E0651">
        <w:rPr>
          <w:rFonts w:hint="eastAsia"/>
          <w:sz w:val="24"/>
          <w:szCs w:val="22"/>
        </w:rPr>
        <w:t>、</w:t>
      </w:r>
      <w:r w:rsidRPr="009E0651">
        <w:rPr>
          <w:sz w:val="24"/>
          <w:szCs w:val="22"/>
        </w:rPr>
        <w:t>随机振动工作频率范围外加速度总均方根值与</w:t>
      </w:r>
      <w:r w:rsidRPr="009E0651">
        <w:rPr>
          <w:sz w:val="24"/>
          <w:szCs w:val="22"/>
        </w:rPr>
        <w:lastRenderedPageBreak/>
        <w:t>工作频率范围内加速度总均方根值的比</w:t>
      </w:r>
      <w:r w:rsidRPr="009E0651">
        <w:rPr>
          <w:rFonts w:hint="eastAsia"/>
          <w:sz w:val="24"/>
          <w:szCs w:val="22"/>
        </w:rPr>
        <w:t>、</w:t>
      </w:r>
      <w:r w:rsidRPr="009E0651">
        <w:rPr>
          <w:sz w:val="24"/>
          <w:szCs w:val="22"/>
        </w:rPr>
        <w:t>随机加速度总均方根值均匀度</w:t>
      </w:r>
      <w:r w:rsidRPr="009E0651">
        <w:rPr>
          <w:rFonts w:hint="eastAsia"/>
          <w:sz w:val="24"/>
          <w:szCs w:val="22"/>
        </w:rPr>
        <w:t>、</w:t>
      </w:r>
      <w:r w:rsidRPr="009E0651">
        <w:rPr>
          <w:sz w:val="24"/>
          <w:szCs w:val="22"/>
        </w:rPr>
        <w:t>随机加速度横向振动比</w:t>
      </w:r>
      <w:r w:rsidRPr="009E0651">
        <w:rPr>
          <w:rFonts w:hint="eastAsia"/>
          <w:sz w:val="24"/>
          <w:szCs w:val="22"/>
        </w:rPr>
        <w:t>、</w:t>
      </w:r>
      <w:r w:rsidRPr="009E0651">
        <w:rPr>
          <w:sz w:val="24"/>
          <w:szCs w:val="22"/>
        </w:rPr>
        <w:t>随机振动加速度功率谱密度示值误差</w:t>
      </w:r>
      <w:r w:rsidRPr="009E0651">
        <w:rPr>
          <w:rFonts w:hint="eastAsia"/>
          <w:sz w:val="24"/>
          <w:szCs w:val="22"/>
        </w:rPr>
        <w:t>、</w:t>
      </w:r>
      <w:r w:rsidRPr="009E0651">
        <w:rPr>
          <w:sz w:val="24"/>
          <w:szCs w:val="22"/>
        </w:rPr>
        <w:t>加速度总均方根值和加速度功率谱密度控制精度</w:t>
      </w:r>
      <w:r w:rsidRPr="009E0651">
        <w:rPr>
          <w:rFonts w:hint="eastAsia"/>
          <w:sz w:val="24"/>
          <w:szCs w:val="22"/>
        </w:rPr>
        <w:t>、</w:t>
      </w:r>
      <w:r w:rsidRPr="009E0651">
        <w:rPr>
          <w:sz w:val="24"/>
          <w:szCs w:val="22"/>
        </w:rPr>
        <w:t>正弦加宽带随机振动试验加速度总均方根值示值</w:t>
      </w:r>
      <w:r w:rsidRPr="009E0651">
        <w:rPr>
          <w:rFonts w:hint="eastAsia"/>
          <w:sz w:val="24"/>
          <w:szCs w:val="22"/>
        </w:rPr>
        <w:t>、</w:t>
      </w:r>
      <w:r w:rsidRPr="009E0651">
        <w:rPr>
          <w:sz w:val="24"/>
          <w:szCs w:val="22"/>
        </w:rPr>
        <w:t>正弦加宽带随机振动试验正弦信号幅值示值误差</w:t>
      </w:r>
      <w:r w:rsidRPr="009E0651">
        <w:rPr>
          <w:rFonts w:hint="eastAsia"/>
          <w:sz w:val="24"/>
          <w:szCs w:val="22"/>
        </w:rPr>
        <w:t>、</w:t>
      </w:r>
      <w:r w:rsidRPr="009E0651">
        <w:rPr>
          <w:sz w:val="24"/>
          <w:szCs w:val="22"/>
        </w:rPr>
        <w:t>正弦加宽带随机振动试验宽带随机振动信号加速度功率谱密度示值误差</w:t>
      </w:r>
      <w:r w:rsidRPr="009E0651">
        <w:rPr>
          <w:rFonts w:hint="eastAsia"/>
          <w:sz w:val="24"/>
          <w:szCs w:val="22"/>
        </w:rPr>
        <w:t>、</w:t>
      </w:r>
      <w:r w:rsidRPr="009E0651">
        <w:rPr>
          <w:sz w:val="24"/>
          <w:szCs w:val="22"/>
        </w:rPr>
        <w:t>窄带随机加宽带随机振动试验加速度总均方根值示值误差</w:t>
      </w:r>
      <w:r w:rsidRPr="009E0651">
        <w:rPr>
          <w:rFonts w:hint="eastAsia"/>
          <w:sz w:val="24"/>
          <w:szCs w:val="22"/>
        </w:rPr>
        <w:t>、</w:t>
      </w:r>
      <w:r w:rsidRPr="009E0651">
        <w:rPr>
          <w:sz w:val="24"/>
          <w:szCs w:val="22"/>
        </w:rPr>
        <w:t>窄带随机加宽带随机振动试验随机振动信号加速度功率谱密度示值误差</w:t>
      </w:r>
      <w:r w:rsidRPr="009E0651">
        <w:rPr>
          <w:rFonts w:hint="eastAsia"/>
          <w:sz w:val="24"/>
          <w:szCs w:val="22"/>
        </w:rPr>
        <w:t>、</w:t>
      </w:r>
      <w:r w:rsidR="00CF236F">
        <w:rPr>
          <w:rFonts w:hint="eastAsia"/>
          <w:sz w:val="24"/>
          <w:szCs w:val="22"/>
        </w:rPr>
        <w:t>随机推力、</w:t>
      </w:r>
      <w:r w:rsidRPr="009E0651">
        <w:rPr>
          <w:sz w:val="24"/>
          <w:szCs w:val="22"/>
        </w:rPr>
        <w:t>最大倾覆力矩</w:t>
      </w:r>
      <w:r w:rsidRPr="009E0651">
        <w:rPr>
          <w:rFonts w:hint="eastAsia"/>
          <w:sz w:val="24"/>
          <w:szCs w:val="22"/>
        </w:rPr>
        <w:t>、</w:t>
      </w:r>
      <w:r w:rsidRPr="009E0651">
        <w:rPr>
          <w:sz w:val="24"/>
          <w:szCs w:val="22"/>
        </w:rPr>
        <w:t>最大偏转力矩</w:t>
      </w:r>
      <w:r>
        <w:rPr>
          <w:rFonts w:hint="eastAsia"/>
          <w:sz w:val="24"/>
          <w:szCs w:val="22"/>
        </w:rPr>
        <w:t>。”</w:t>
      </w:r>
    </w:p>
    <w:bookmarkEnd w:id="1"/>
    <w:p w14:paraId="3A8899FD" w14:textId="101520E9" w:rsidR="004153CF" w:rsidRDefault="00CF3898" w:rsidP="00CF3898">
      <w:pPr>
        <w:pStyle w:val="ab"/>
        <w:numPr>
          <w:ilvl w:val="0"/>
          <w:numId w:val="3"/>
        </w:numPr>
        <w:spacing w:beforeLines="50" w:before="156" w:line="360" w:lineRule="auto"/>
        <w:ind w:firstLineChars="0"/>
        <w:rPr>
          <w:rFonts w:hAnsi="宋体" w:hint="eastAsia"/>
          <w:b/>
          <w:bCs/>
          <w:sz w:val="24"/>
        </w:rPr>
      </w:pPr>
      <w:r w:rsidRPr="00CF3898">
        <w:rPr>
          <w:rFonts w:hAnsi="宋体" w:hint="eastAsia"/>
          <w:b/>
          <w:bCs/>
          <w:sz w:val="24"/>
        </w:rPr>
        <w:t>后续修订说明</w:t>
      </w:r>
    </w:p>
    <w:p w14:paraId="5EF82395" w14:textId="5148092B" w:rsidR="00CF3898" w:rsidRDefault="00347131" w:rsidP="007610D2">
      <w:pPr>
        <w:spacing w:beforeLines="50" w:before="156" w:line="360" w:lineRule="auto"/>
        <w:ind w:firstLineChars="200" w:firstLine="480"/>
        <w:rPr>
          <w:rFonts w:hAnsi="宋体" w:hint="eastAsia"/>
          <w:sz w:val="24"/>
        </w:rPr>
      </w:pPr>
      <w:r w:rsidRPr="007610D2">
        <w:rPr>
          <w:rFonts w:hAnsi="宋体" w:hint="eastAsia"/>
          <w:sz w:val="24"/>
        </w:rPr>
        <w:t>2025年11月</w:t>
      </w:r>
      <w:r w:rsidR="007610D2" w:rsidRPr="007610D2">
        <w:rPr>
          <w:rFonts w:hAnsi="宋体" w:hint="eastAsia"/>
          <w:sz w:val="24"/>
        </w:rPr>
        <w:t>参与规程审定会，与会专家提出多项意见，起草组讨论后采纳部分项目如下</w:t>
      </w:r>
      <w:r w:rsidR="007610D2">
        <w:rPr>
          <w:rFonts w:hAnsi="宋体" w:hint="eastAsia"/>
          <w:sz w:val="24"/>
        </w:rPr>
        <w:t>：</w:t>
      </w:r>
    </w:p>
    <w:p w14:paraId="048DFB05" w14:textId="3ABD9D13" w:rsidR="007610D2" w:rsidRPr="007610D2" w:rsidRDefault="007610D2" w:rsidP="007610D2">
      <w:pPr>
        <w:spacing w:beforeLines="50" w:before="156" w:line="360" w:lineRule="auto"/>
        <w:ind w:firstLineChars="200" w:firstLine="480"/>
        <w:rPr>
          <w:rFonts w:asciiTheme="minorEastAsia" w:eastAsiaTheme="minorEastAsia" w:hAnsiTheme="minorEastAsia" w:hint="eastAsia"/>
          <w:sz w:val="24"/>
          <w:szCs w:val="24"/>
        </w:rPr>
      </w:pPr>
      <w:r w:rsidRPr="007610D2">
        <w:rPr>
          <w:rFonts w:asciiTheme="minorEastAsia" w:eastAsiaTheme="minorEastAsia" w:hAnsiTheme="minorEastAsia" w:hint="eastAsia"/>
          <w:sz w:val="24"/>
          <w:szCs w:val="24"/>
        </w:rPr>
        <w:t>更新2引用文件为最新版本；补充4概述内容；5计量特性调整多项内容的参数要求，对5.8、5.9关于台面尺寸</w:t>
      </w:r>
      <w:r w:rsidRPr="007610D2">
        <w:rPr>
          <w:rFonts w:asciiTheme="minorEastAsia" w:eastAsiaTheme="minorEastAsia" w:hAnsiTheme="minorEastAsia"/>
          <w:sz w:val="24"/>
          <w:szCs w:val="24"/>
        </w:rPr>
        <w:t>(L×b)&gt;</w:t>
      </w:r>
      <w:r w:rsidRPr="007610D2">
        <w:rPr>
          <w:rFonts w:asciiTheme="minorEastAsia" w:eastAsiaTheme="minorEastAsia" w:hAnsiTheme="minorEastAsia" w:hint="eastAsia"/>
          <w:sz w:val="24"/>
          <w:szCs w:val="24"/>
        </w:rPr>
        <w:t>8</w:t>
      </w:r>
      <w:r w:rsidRPr="007610D2">
        <w:rPr>
          <w:rFonts w:asciiTheme="minorEastAsia" w:eastAsiaTheme="minorEastAsia" w:hAnsiTheme="minorEastAsia"/>
          <w:sz w:val="24"/>
          <w:szCs w:val="24"/>
        </w:rPr>
        <w:t>00×</w:t>
      </w:r>
      <w:r w:rsidRPr="007610D2">
        <w:rPr>
          <w:rFonts w:asciiTheme="minorEastAsia" w:eastAsiaTheme="minorEastAsia" w:hAnsiTheme="minorEastAsia" w:hint="eastAsia"/>
          <w:sz w:val="24"/>
          <w:szCs w:val="24"/>
        </w:rPr>
        <w:t>8</w:t>
      </w:r>
      <w:r w:rsidRPr="007610D2">
        <w:rPr>
          <w:rFonts w:asciiTheme="minorEastAsia" w:eastAsiaTheme="minorEastAsia" w:hAnsiTheme="minorEastAsia"/>
          <w:sz w:val="24"/>
          <w:szCs w:val="24"/>
        </w:rPr>
        <w:t>00</w:t>
      </w:r>
      <w:r w:rsidRPr="007610D2">
        <w:rPr>
          <w:rFonts w:asciiTheme="minorEastAsia" w:eastAsiaTheme="minorEastAsia" w:hAnsiTheme="minorEastAsia" w:hint="eastAsia"/>
          <w:sz w:val="24"/>
          <w:szCs w:val="24"/>
        </w:rPr>
        <w:t>的要求做出调整</w:t>
      </w:r>
      <w:r>
        <w:rPr>
          <w:rFonts w:asciiTheme="minorEastAsia" w:eastAsiaTheme="minorEastAsia" w:hAnsiTheme="minorEastAsia" w:hint="eastAsia"/>
          <w:sz w:val="24"/>
          <w:szCs w:val="24"/>
        </w:rPr>
        <w:t>，取消关于随机振动、混合振动的计量特性要求</w:t>
      </w:r>
      <w:r w:rsidR="00E63913">
        <w:rPr>
          <w:rFonts w:asciiTheme="minorEastAsia" w:eastAsiaTheme="minorEastAsia" w:hAnsiTheme="minorEastAsia" w:hint="eastAsia"/>
          <w:sz w:val="24"/>
          <w:szCs w:val="24"/>
        </w:rPr>
        <w:t>；修改6通用技术要求的描述；修改7计量器具控制的关于标准器的内容；7检定方法中，修改7.3.5的公式同948一致，增加7.3.8、7.3.9的传感器安装示意图，增加7.3.12关于关于6.2噪声检测的内容。</w:t>
      </w:r>
    </w:p>
    <w:p w14:paraId="41B42D61" w14:textId="77777777" w:rsidR="000229F6" w:rsidRDefault="000229F6" w:rsidP="00E67E31">
      <w:pPr>
        <w:spacing w:beforeLines="50" w:before="156" w:line="360" w:lineRule="auto"/>
        <w:jc w:val="right"/>
        <w:rPr>
          <w:rFonts w:ascii="Times New Roman"/>
          <w:sz w:val="24"/>
        </w:rPr>
      </w:pPr>
    </w:p>
    <w:p w14:paraId="1E3E3BD8" w14:textId="77777777" w:rsidR="004153CF" w:rsidRDefault="004153CF" w:rsidP="00E67E31">
      <w:pPr>
        <w:spacing w:beforeLines="50" w:before="156" w:line="360" w:lineRule="auto"/>
        <w:jc w:val="right"/>
        <w:rPr>
          <w:rFonts w:ascii="Times New Roman"/>
          <w:sz w:val="24"/>
        </w:rPr>
      </w:pPr>
    </w:p>
    <w:p w14:paraId="0305E7C9" w14:textId="6ACEE543" w:rsidR="00E67E31" w:rsidRDefault="00E67E31" w:rsidP="00E67E31">
      <w:pPr>
        <w:spacing w:beforeLines="50" w:before="156" w:line="360" w:lineRule="auto"/>
        <w:jc w:val="right"/>
        <w:rPr>
          <w:rFonts w:ascii="Times New Roman"/>
          <w:sz w:val="24"/>
        </w:rPr>
      </w:pPr>
      <w:r>
        <w:rPr>
          <w:rFonts w:ascii="Times New Roman"/>
          <w:sz w:val="24"/>
        </w:rPr>
        <w:t>规范起草工作组</w:t>
      </w:r>
    </w:p>
    <w:p w14:paraId="40ABD95D" w14:textId="6EC532BC" w:rsidR="0062288A" w:rsidRDefault="00E67E31" w:rsidP="00456975">
      <w:pPr>
        <w:wordWrap w:val="0"/>
        <w:spacing w:line="360" w:lineRule="auto"/>
        <w:jc w:val="right"/>
        <w:rPr>
          <w:rFonts w:ascii="Times New Roman"/>
          <w:sz w:val="24"/>
        </w:rPr>
      </w:pPr>
      <w:r>
        <w:rPr>
          <w:rFonts w:ascii="Times New Roman"/>
          <w:sz w:val="24"/>
        </w:rPr>
        <w:t>202</w:t>
      </w:r>
      <w:r w:rsidR="00CF3898">
        <w:rPr>
          <w:rFonts w:ascii="Times New Roman" w:hint="eastAsia"/>
          <w:sz w:val="24"/>
        </w:rPr>
        <w:t>6.8</w:t>
      </w:r>
      <w:r>
        <w:rPr>
          <w:rFonts w:ascii="Times New Roman"/>
          <w:sz w:val="24"/>
        </w:rPr>
        <w:tab/>
      </w:r>
      <w:r w:rsidR="00EB60DD">
        <w:rPr>
          <w:rFonts w:ascii="Times New Roman"/>
          <w:sz w:val="24"/>
        </w:rPr>
        <w:tab/>
      </w:r>
    </w:p>
    <w:sectPr w:rsidR="0062288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2D924" w14:textId="77777777" w:rsidR="003B4C30" w:rsidRDefault="003B4C30">
      <w:pPr>
        <w:spacing w:line="240" w:lineRule="auto"/>
      </w:pPr>
      <w:r>
        <w:separator/>
      </w:r>
    </w:p>
  </w:endnote>
  <w:endnote w:type="continuationSeparator" w:id="0">
    <w:p w14:paraId="687697EE" w14:textId="77777777" w:rsidR="003B4C30" w:rsidRDefault="003B4C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337911"/>
      <w:docPartObj>
        <w:docPartGallery w:val="AutoText"/>
      </w:docPartObj>
    </w:sdtPr>
    <w:sdtEndPr>
      <w:rPr>
        <w:rFonts w:ascii="Times New Roman" w:hAnsi="Times New Roman" w:cs="Times New Roman"/>
      </w:rPr>
    </w:sdtEndPr>
    <w:sdtContent>
      <w:p w14:paraId="4A9156EA" w14:textId="29EF349C" w:rsidR="0062288A" w:rsidRDefault="00EB60DD">
        <w:pPr>
          <w:pStyle w:val="a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D24E50" w:rsidRPr="00D24E50">
          <w:rPr>
            <w:rFonts w:ascii="Times New Roman" w:hAnsi="Times New Roman" w:cs="Times New Roman"/>
            <w:noProof/>
            <w:lang w:val="zh-CN"/>
          </w:rPr>
          <w:t>4</w:t>
        </w:r>
        <w:r>
          <w:rPr>
            <w:rFonts w:ascii="Times New Roman" w:hAnsi="Times New Roman" w:cs="Times New Roman"/>
          </w:rPr>
          <w:fldChar w:fldCharType="end"/>
        </w:r>
      </w:p>
    </w:sdtContent>
  </w:sdt>
  <w:p w14:paraId="44C0283F" w14:textId="77777777" w:rsidR="0062288A" w:rsidRDefault="0062288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80E4B" w14:textId="77777777" w:rsidR="003B4C30" w:rsidRDefault="003B4C30">
      <w:pPr>
        <w:spacing w:line="240" w:lineRule="auto"/>
      </w:pPr>
      <w:r>
        <w:separator/>
      </w:r>
    </w:p>
  </w:footnote>
  <w:footnote w:type="continuationSeparator" w:id="0">
    <w:p w14:paraId="0E56AD8F" w14:textId="77777777" w:rsidR="003B4C30" w:rsidRDefault="003B4C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18D"/>
    <w:multiLevelType w:val="hybridMultilevel"/>
    <w:tmpl w:val="49989DC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266647B"/>
    <w:multiLevelType w:val="multilevel"/>
    <w:tmpl w:val="2266647B"/>
    <w:lvl w:ilvl="0">
      <w:start w:val="1"/>
      <w:numFmt w:val="decimal"/>
      <w:pStyle w:val="787815"/>
      <w:lvlText w:val="%1"/>
      <w:lvlJc w:val="left"/>
      <w:pPr>
        <w:ind w:left="420" w:hanging="420"/>
      </w:pPr>
      <w:rPr>
        <w:rFonts w:ascii="黑体" w:eastAsia="黑体" w:hAnsiTheme="majorHAnsi" w:hint="eastAsia"/>
        <w:b/>
      </w:rPr>
    </w:lvl>
    <w:lvl w:ilvl="1">
      <w:start w:val="2"/>
      <w:numFmt w:val="decimal"/>
      <w:isLgl/>
      <w:lvlText w:val="%1.%2"/>
      <w:lvlJc w:val="left"/>
      <w:pPr>
        <w:ind w:left="480" w:hanging="48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6D57694"/>
    <w:multiLevelType w:val="multilevel"/>
    <w:tmpl w:val="26D57694"/>
    <w:lvl w:ilvl="0">
      <w:start w:val="1"/>
      <w:numFmt w:val="decimal"/>
      <w:lvlText w:val="6.%1"/>
      <w:lvlJc w:val="left"/>
      <w:pPr>
        <w:ind w:left="420" w:hanging="420"/>
      </w:pPr>
      <w:rPr>
        <w:rFonts w:ascii="黑体" w:eastAsia="黑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CED38BB"/>
    <w:multiLevelType w:val="hybridMultilevel"/>
    <w:tmpl w:val="72661F72"/>
    <w:lvl w:ilvl="0" w:tplc="81003E30">
      <w:start w:val="5"/>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35914028">
    <w:abstractNumId w:val="1"/>
  </w:num>
  <w:num w:numId="2" w16cid:durableId="1655405429">
    <w:abstractNumId w:val="2"/>
  </w:num>
  <w:num w:numId="3" w16cid:durableId="845173530">
    <w:abstractNumId w:val="3"/>
  </w:num>
  <w:num w:numId="4" w16cid:durableId="2067950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1F"/>
    <w:rsid w:val="00012372"/>
    <w:rsid w:val="000229F6"/>
    <w:rsid w:val="00033EF0"/>
    <w:rsid w:val="00036D87"/>
    <w:rsid w:val="00037C37"/>
    <w:rsid w:val="00041ABF"/>
    <w:rsid w:val="00041B2E"/>
    <w:rsid w:val="0004231B"/>
    <w:rsid w:val="00056D52"/>
    <w:rsid w:val="000701AC"/>
    <w:rsid w:val="00074017"/>
    <w:rsid w:val="000A7685"/>
    <w:rsid w:val="000B2924"/>
    <w:rsid w:val="000B2AFF"/>
    <w:rsid w:val="000B5D6C"/>
    <w:rsid w:val="000C02A9"/>
    <w:rsid w:val="000C5569"/>
    <w:rsid w:val="000E33B1"/>
    <w:rsid w:val="000E4C99"/>
    <w:rsid w:val="000F212E"/>
    <w:rsid w:val="000F5DC8"/>
    <w:rsid w:val="00104C1C"/>
    <w:rsid w:val="00106104"/>
    <w:rsid w:val="001079E5"/>
    <w:rsid w:val="00113493"/>
    <w:rsid w:val="001149FD"/>
    <w:rsid w:val="0011788D"/>
    <w:rsid w:val="00123F21"/>
    <w:rsid w:val="00133F21"/>
    <w:rsid w:val="00141B81"/>
    <w:rsid w:val="001455BE"/>
    <w:rsid w:val="0015250D"/>
    <w:rsid w:val="00162ED6"/>
    <w:rsid w:val="00163887"/>
    <w:rsid w:val="00165395"/>
    <w:rsid w:val="00174F73"/>
    <w:rsid w:val="00175333"/>
    <w:rsid w:val="00183DEF"/>
    <w:rsid w:val="00184D44"/>
    <w:rsid w:val="001B1BD0"/>
    <w:rsid w:val="001E20FA"/>
    <w:rsid w:val="001E3A1F"/>
    <w:rsid w:val="001F3136"/>
    <w:rsid w:val="002002E8"/>
    <w:rsid w:val="00200A20"/>
    <w:rsid w:val="00204141"/>
    <w:rsid w:val="00205E7F"/>
    <w:rsid w:val="0021704C"/>
    <w:rsid w:val="002238C8"/>
    <w:rsid w:val="00223B77"/>
    <w:rsid w:val="00225C1C"/>
    <w:rsid w:val="002321BA"/>
    <w:rsid w:val="002368E2"/>
    <w:rsid w:val="00247DEE"/>
    <w:rsid w:val="00260AE0"/>
    <w:rsid w:val="00287488"/>
    <w:rsid w:val="00293D3E"/>
    <w:rsid w:val="00293DAB"/>
    <w:rsid w:val="002A468D"/>
    <w:rsid w:val="002A671D"/>
    <w:rsid w:val="002C5FA5"/>
    <w:rsid w:val="002D08B0"/>
    <w:rsid w:val="002D092E"/>
    <w:rsid w:val="002F676E"/>
    <w:rsid w:val="00310022"/>
    <w:rsid w:val="003153C1"/>
    <w:rsid w:val="00323784"/>
    <w:rsid w:val="00326062"/>
    <w:rsid w:val="00327EC8"/>
    <w:rsid w:val="003332A6"/>
    <w:rsid w:val="003347C9"/>
    <w:rsid w:val="00347131"/>
    <w:rsid w:val="0034714B"/>
    <w:rsid w:val="00352086"/>
    <w:rsid w:val="0035733C"/>
    <w:rsid w:val="00374161"/>
    <w:rsid w:val="00376354"/>
    <w:rsid w:val="003B4C30"/>
    <w:rsid w:val="003C568A"/>
    <w:rsid w:val="003D4112"/>
    <w:rsid w:val="003F5E93"/>
    <w:rsid w:val="00405A90"/>
    <w:rsid w:val="00405CA2"/>
    <w:rsid w:val="00414289"/>
    <w:rsid w:val="004153CF"/>
    <w:rsid w:val="004323EC"/>
    <w:rsid w:val="00434F3C"/>
    <w:rsid w:val="004532A0"/>
    <w:rsid w:val="00456975"/>
    <w:rsid w:val="00466705"/>
    <w:rsid w:val="004710AD"/>
    <w:rsid w:val="004721DF"/>
    <w:rsid w:val="00473584"/>
    <w:rsid w:val="00474054"/>
    <w:rsid w:val="00491612"/>
    <w:rsid w:val="00496BE1"/>
    <w:rsid w:val="004979D6"/>
    <w:rsid w:val="004A0181"/>
    <w:rsid w:val="004B1250"/>
    <w:rsid w:val="004B27C1"/>
    <w:rsid w:val="004B4BED"/>
    <w:rsid w:val="004D1278"/>
    <w:rsid w:val="004D6B9C"/>
    <w:rsid w:val="004E2B37"/>
    <w:rsid w:val="004F1FE2"/>
    <w:rsid w:val="004F6DAF"/>
    <w:rsid w:val="00500D59"/>
    <w:rsid w:val="00515ED4"/>
    <w:rsid w:val="00517BD6"/>
    <w:rsid w:val="00527D56"/>
    <w:rsid w:val="005338CF"/>
    <w:rsid w:val="00533D4F"/>
    <w:rsid w:val="00546E7B"/>
    <w:rsid w:val="005477E6"/>
    <w:rsid w:val="00553643"/>
    <w:rsid w:val="00554A19"/>
    <w:rsid w:val="00565826"/>
    <w:rsid w:val="00566DD1"/>
    <w:rsid w:val="005830DD"/>
    <w:rsid w:val="00585EBF"/>
    <w:rsid w:val="00596A4B"/>
    <w:rsid w:val="005A727C"/>
    <w:rsid w:val="005B2FFA"/>
    <w:rsid w:val="005B5109"/>
    <w:rsid w:val="005C065A"/>
    <w:rsid w:val="005C17E6"/>
    <w:rsid w:val="005C3789"/>
    <w:rsid w:val="005C6335"/>
    <w:rsid w:val="005D43FA"/>
    <w:rsid w:val="005D4F93"/>
    <w:rsid w:val="005D7880"/>
    <w:rsid w:val="00613DC8"/>
    <w:rsid w:val="006168F9"/>
    <w:rsid w:val="0062288A"/>
    <w:rsid w:val="00623982"/>
    <w:rsid w:val="00631B6A"/>
    <w:rsid w:val="00651FD4"/>
    <w:rsid w:val="00652FE9"/>
    <w:rsid w:val="00661452"/>
    <w:rsid w:val="00664E72"/>
    <w:rsid w:val="00683727"/>
    <w:rsid w:val="00683DCB"/>
    <w:rsid w:val="00692199"/>
    <w:rsid w:val="006931F4"/>
    <w:rsid w:val="006957EA"/>
    <w:rsid w:val="006B7502"/>
    <w:rsid w:val="006C3626"/>
    <w:rsid w:val="006C384E"/>
    <w:rsid w:val="006D1E71"/>
    <w:rsid w:val="006D341A"/>
    <w:rsid w:val="006E2A7C"/>
    <w:rsid w:val="006E7927"/>
    <w:rsid w:val="006E7EBB"/>
    <w:rsid w:val="006F5BE5"/>
    <w:rsid w:val="00713333"/>
    <w:rsid w:val="007219A8"/>
    <w:rsid w:val="00725EEF"/>
    <w:rsid w:val="00750247"/>
    <w:rsid w:val="00756377"/>
    <w:rsid w:val="0075648F"/>
    <w:rsid w:val="00756C0A"/>
    <w:rsid w:val="007600B0"/>
    <w:rsid w:val="007610D2"/>
    <w:rsid w:val="007612A7"/>
    <w:rsid w:val="007671F9"/>
    <w:rsid w:val="007A7F2F"/>
    <w:rsid w:val="007B258B"/>
    <w:rsid w:val="007B2A00"/>
    <w:rsid w:val="007B7D07"/>
    <w:rsid w:val="007E3F56"/>
    <w:rsid w:val="007F17FE"/>
    <w:rsid w:val="00806666"/>
    <w:rsid w:val="008165EC"/>
    <w:rsid w:val="008250A3"/>
    <w:rsid w:val="008312D6"/>
    <w:rsid w:val="0085004F"/>
    <w:rsid w:val="00870534"/>
    <w:rsid w:val="0087528E"/>
    <w:rsid w:val="0087625C"/>
    <w:rsid w:val="00880A0C"/>
    <w:rsid w:val="00893C12"/>
    <w:rsid w:val="008A1121"/>
    <w:rsid w:val="008B74A0"/>
    <w:rsid w:val="008D0B75"/>
    <w:rsid w:val="008D75E8"/>
    <w:rsid w:val="009010A1"/>
    <w:rsid w:val="0091352F"/>
    <w:rsid w:val="009173DF"/>
    <w:rsid w:val="00926378"/>
    <w:rsid w:val="00926F11"/>
    <w:rsid w:val="00940786"/>
    <w:rsid w:val="00941E79"/>
    <w:rsid w:val="009439B4"/>
    <w:rsid w:val="009451A1"/>
    <w:rsid w:val="00955542"/>
    <w:rsid w:val="009630C3"/>
    <w:rsid w:val="00975549"/>
    <w:rsid w:val="00984ED6"/>
    <w:rsid w:val="009A5C1B"/>
    <w:rsid w:val="009C242C"/>
    <w:rsid w:val="009E0434"/>
    <w:rsid w:val="009E0651"/>
    <w:rsid w:val="009E1C18"/>
    <w:rsid w:val="009F1F81"/>
    <w:rsid w:val="009F49CF"/>
    <w:rsid w:val="009F661D"/>
    <w:rsid w:val="00A0390B"/>
    <w:rsid w:val="00A30D0A"/>
    <w:rsid w:val="00A4029D"/>
    <w:rsid w:val="00A5719B"/>
    <w:rsid w:val="00A602C9"/>
    <w:rsid w:val="00A64953"/>
    <w:rsid w:val="00A7434C"/>
    <w:rsid w:val="00A75B6A"/>
    <w:rsid w:val="00A80160"/>
    <w:rsid w:val="00A81054"/>
    <w:rsid w:val="00A828A6"/>
    <w:rsid w:val="00A8682C"/>
    <w:rsid w:val="00A8731E"/>
    <w:rsid w:val="00A8751F"/>
    <w:rsid w:val="00AA6E25"/>
    <w:rsid w:val="00AA6E39"/>
    <w:rsid w:val="00AB0AB7"/>
    <w:rsid w:val="00AB304D"/>
    <w:rsid w:val="00AB435F"/>
    <w:rsid w:val="00AB684C"/>
    <w:rsid w:val="00AC6BE9"/>
    <w:rsid w:val="00AD1A5E"/>
    <w:rsid w:val="00AD6053"/>
    <w:rsid w:val="00AD7261"/>
    <w:rsid w:val="00AE0ED3"/>
    <w:rsid w:val="00AE126F"/>
    <w:rsid w:val="00AE63F8"/>
    <w:rsid w:val="00AF64F1"/>
    <w:rsid w:val="00AF6FA2"/>
    <w:rsid w:val="00B173A0"/>
    <w:rsid w:val="00B20B8C"/>
    <w:rsid w:val="00B267C4"/>
    <w:rsid w:val="00B46137"/>
    <w:rsid w:val="00B472B8"/>
    <w:rsid w:val="00B6256E"/>
    <w:rsid w:val="00B6434C"/>
    <w:rsid w:val="00B64978"/>
    <w:rsid w:val="00B923A9"/>
    <w:rsid w:val="00B92FCC"/>
    <w:rsid w:val="00B93385"/>
    <w:rsid w:val="00B96468"/>
    <w:rsid w:val="00BA61AF"/>
    <w:rsid w:val="00BB1F97"/>
    <w:rsid w:val="00BB3C74"/>
    <w:rsid w:val="00BB7236"/>
    <w:rsid w:val="00BC114F"/>
    <w:rsid w:val="00BC20A3"/>
    <w:rsid w:val="00BC2B14"/>
    <w:rsid w:val="00BC406F"/>
    <w:rsid w:val="00BE0368"/>
    <w:rsid w:val="00BE73CD"/>
    <w:rsid w:val="00C00DDC"/>
    <w:rsid w:val="00C138B6"/>
    <w:rsid w:val="00C13B34"/>
    <w:rsid w:val="00C13BB2"/>
    <w:rsid w:val="00C17158"/>
    <w:rsid w:val="00C270A2"/>
    <w:rsid w:val="00C275D1"/>
    <w:rsid w:val="00C45B27"/>
    <w:rsid w:val="00C567B8"/>
    <w:rsid w:val="00C72613"/>
    <w:rsid w:val="00C81BA9"/>
    <w:rsid w:val="00C930AC"/>
    <w:rsid w:val="00CB1EB1"/>
    <w:rsid w:val="00CB37D3"/>
    <w:rsid w:val="00CC0A16"/>
    <w:rsid w:val="00CD0B94"/>
    <w:rsid w:val="00CD6BB9"/>
    <w:rsid w:val="00CE103A"/>
    <w:rsid w:val="00CF20C6"/>
    <w:rsid w:val="00CF236F"/>
    <w:rsid w:val="00CF2491"/>
    <w:rsid w:val="00CF3898"/>
    <w:rsid w:val="00D04EEE"/>
    <w:rsid w:val="00D11170"/>
    <w:rsid w:val="00D16497"/>
    <w:rsid w:val="00D216C8"/>
    <w:rsid w:val="00D24E50"/>
    <w:rsid w:val="00D26458"/>
    <w:rsid w:val="00D2681B"/>
    <w:rsid w:val="00D353DC"/>
    <w:rsid w:val="00D43290"/>
    <w:rsid w:val="00D45238"/>
    <w:rsid w:val="00D541BD"/>
    <w:rsid w:val="00D66D1F"/>
    <w:rsid w:val="00D777EB"/>
    <w:rsid w:val="00D83BB0"/>
    <w:rsid w:val="00D84FC0"/>
    <w:rsid w:val="00D86825"/>
    <w:rsid w:val="00D86EDD"/>
    <w:rsid w:val="00D9466D"/>
    <w:rsid w:val="00DA3929"/>
    <w:rsid w:val="00DA53D5"/>
    <w:rsid w:val="00DA5576"/>
    <w:rsid w:val="00DB7ABB"/>
    <w:rsid w:val="00DB7BEC"/>
    <w:rsid w:val="00DF4F95"/>
    <w:rsid w:val="00E00C6E"/>
    <w:rsid w:val="00E01FE7"/>
    <w:rsid w:val="00E02943"/>
    <w:rsid w:val="00E04F65"/>
    <w:rsid w:val="00E07722"/>
    <w:rsid w:val="00E15D0F"/>
    <w:rsid w:val="00E170EF"/>
    <w:rsid w:val="00E217D3"/>
    <w:rsid w:val="00E24665"/>
    <w:rsid w:val="00E32EE1"/>
    <w:rsid w:val="00E36243"/>
    <w:rsid w:val="00E51DFE"/>
    <w:rsid w:val="00E63913"/>
    <w:rsid w:val="00E664F1"/>
    <w:rsid w:val="00E67E31"/>
    <w:rsid w:val="00E8437C"/>
    <w:rsid w:val="00E86F6F"/>
    <w:rsid w:val="00EA69BB"/>
    <w:rsid w:val="00EB60DD"/>
    <w:rsid w:val="00EE1AB4"/>
    <w:rsid w:val="00EE7FF0"/>
    <w:rsid w:val="00EF3C0A"/>
    <w:rsid w:val="00F04121"/>
    <w:rsid w:val="00F24188"/>
    <w:rsid w:val="00F36B18"/>
    <w:rsid w:val="00F46397"/>
    <w:rsid w:val="00F47FB5"/>
    <w:rsid w:val="00F53287"/>
    <w:rsid w:val="00F5402D"/>
    <w:rsid w:val="00F611D2"/>
    <w:rsid w:val="00F6290B"/>
    <w:rsid w:val="00FB65A6"/>
    <w:rsid w:val="00FC607B"/>
    <w:rsid w:val="00FD4359"/>
    <w:rsid w:val="00FE02A0"/>
    <w:rsid w:val="22A75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D0AA6"/>
  <w15:docId w15:val="{C962FF8F-C8E2-49F2-8584-5C4EE0E2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15" w:lineRule="atLeast"/>
    </w:pPr>
    <w:rPr>
      <w:rFonts w:ascii="宋体" w:eastAsia="宋体" w:hAnsi="Times New Roman" w:cs="Times New Roman"/>
      <w:sz w:val="21"/>
    </w:rPr>
  </w:style>
  <w:style w:type="paragraph" w:styleId="1">
    <w:name w:val="heading 1"/>
    <w:basedOn w:val="a"/>
    <w:next w:val="a"/>
    <w:link w:val="10"/>
    <w:uiPriority w:val="9"/>
    <w:qFormat/>
    <w:pPr>
      <w:keepNext/>
      <w:keepLines/>
      <w:spacing w:before="340" w:after="330" w:line="578" w:lineRule="atLeast"/>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pPr>
      <w:spacing w:after="120"/>
      <w:ind w:leftChars="200" w:left="420"/>
    </w:pPr>
  </w:style>
  <w:style w:type="paragraph" w:styleId="21">
    <w:name w:val="Body Text Indent 2"/>
    <w:basedOn w:val="a"/>
    <w:link w:val="22"/>
    <w:semiHidden/>
    <w:unhideWhenUsed/>
    <w:pPr>
      <w:adjustRightInd/>
      <w:spacing w:line="240" w:lineRule="auto"/>
      <w:ind w:firstLineChars="200" w:firstLine="600"/>
    </w:pPr>
    <w:rPr>
      <w:rFonts w:ascii="Times New Roman"/>
      <w:kern w:val="2"/>
      <w:sz w:val="30"/>
      <w:szCs w:val="24"/>
    </w:rPr>
  </w:style>
  <w:style w:type="paragraph" w:styleId="a5">
    <w:name w:val="footer"/>
    <w:basedOn w:val="a"/>
    <w:link w:val="a6"/>
    <w:uiPriority w:val="99"/>
    <w:unhideWhenUsed/>
    <w:pPr>
      <w:tabs>
        <w:tab w:val="center" w:pos="4153"/>
        <w:tab w:val="right" w:pos="8306"/>
      </w:tabs>
      <w:adjustRightInd/>
      <w:snapToGrid w:val="0"/>
      <w:spacing w:line="240" w:lineRule="auto"/>
    </w:pPr>
    <w:rPr>
      <w:rFonts w:asciiTheme="minorHAnsi" w:eastAsiaTheme="minorEastAsia" w:hAnsiTheme="minorHAnsi" w:cstheme="minorBidi"/>
      <w:kern w:val="2"/>
      <w:sz w:val="18"/>
      <w:szCs w:val="18"/>
    </w:rPr>
  </w:style>
  <w:style w:type="paragraph" w:styleId="a7">
    <w:name w:val="header"/>
    <w:basedOn w:val="a"/>
    <w:link w:val="a8"/>
    <w:uiPriority w:val="99"/>
    <w:unhideWhenUsed/>
    <w:pPr>
      <w:pBdr>
        <w:bottom w:val="single" w:sz="6" w:space="1" w:color="auto"/>
      </w:pBdr>
      <w:tabs>
        <w:tab w:val="center" w:pos="4153"/>
        <w:tab w:val="right" w:pos="8306"/>
      </w:tabs>
      <w:adjustRightInd/>
      <w:snapToGrid w:val="0"/>
      <w:spacing w:line="240" w:lineRule="auto"/>
      <w:jc w:val="center"/>
    </w:pPr>
    <w:rPr>
      <w:rFonts w:asciiTheme="minorHAnsi" w:eastAsiaTheme="minorEastAsia" w:hAnsiTheme="minorHAnsi" w:cstheme="minorBidi"/>
      <w:kern w:val="2"/>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customStyle="1" w:styleId="787815">
    <w:name w:val="样式 黑体 小四 两端对齐 段前: 7.8 磅 段后: 7.8 磅 行距: 1.5 倍行距"/>
    <w:basedOn w:val="1"/>
    <w:pPr>
      <w:numPr>
        <w:numId w:val="1"/>
      </w:numPr>
      <w:spacing w:beforeLines="50" w:before="156" w:after="0" w:line="360" w:lineRule="auto"/>
      <w:ind w:left="482" w:hangingChars="200" w:hanging="482"/>
      <w:jc w:val="both"/>
    </w:pPr>
    <w:rPr>
      <w:rFonts w:asciiTheme="majorEastAsia" w:eastAsiaTheme="majorEastAsia" w:hAnsiTheme="majorEastAsia" w:cs="宋体"/>
      <w:kern w:val="2"/>
      <w:sz w:val="24"/>
      <w:szCs w:val="24"/>
    </w:rPr>
  </w:style>
  <w:style w:type="character" w:customStyle="1" w:styleId="10">
    <w:name w:val="标题 1 字符"/>
    <w:basedOn w:val="a0"/>
    <w:link w:val="1"/>
    <w:uiPriority w:val="9"/>
    <w:rPr>
      <w:rFonts w:ascii="宋体" w:eastAsia="宋体" w:hAnsi="Times New Roman" w:cs="Times New Roman"/>
      <w:b/>
      <w:bCs/>
      <w:kern w:val="44"/>
      <w:sz w:val="44"/>
      <w:szCs w:val="44"/>
    </w:rPr>
  </w:style>
  <w:style w:type="paragraph" w:customStyle="1" w:styleId="aa">
    <w:name w:val="段"/>
    <w:link w:val="Char"/>
    <w:pPr>
      <w:autoSpaceDE w:val="0"/>
      <w:autoSpaceDN w:val="0"/>
      <w:ind w:firstLineChars="200" w:firstLine="200"/>
      <w:jc w:val="both"/>
    </w:pPr>
    <w:rPr>
      <w:rFonts w:ascii="宋体" w:eastAsia="宋体" w:hAnsi="Times New Roman" w:cs="Times New Roman"/>
      <w:sz w:val="21"/>
    </w:rPr>
  </w:style>
  <w:style w:type="character" w:customStyle="1" w:styleId="Char">
    <w:name w:val="段 Char"/>
    <w:basedOn w:val="a0"/>
    <w:link w:val="aa"/>
    <w:rPr>
      <w:rFonts w:ascii="宋体" w:eastAsia="宋体" w:hAnsi="Times New Roman" w:cs="Times New Roman"/>
      <w:kern w:val="0"/>
      <w:szCs w:val="20"/>
    </w:rPr>
  </w:style>
  <w:style w:type="paragraph" w:styleId="ab">
    <w:name w:val="List Paragraph"/>
    <w:basedOn w:val="a"/>
    <w:uiPriority w:val="34"/>
    <w:qFormat/>
    <w:pPr>
      <w:ind w:firstLineChars="200" w:firstLine="420"/>
    </w:pPr>
  </w:style>
  <w:style w:type="character" w:customStyle="1" w:styleId="22">
    <w:name w:val="正文文本缩进 2 字符"/>
    <w:basedOn w:val="a0"/>
    <w:link w:val="21"/>
    <w:semiHidden/>
    <w:rPr>
      <w:rFonts w:ascii="Times New Roman" w:eastAsia="宋体" w:hAnsi="Times New Roman" w:cs="Times New Roman"/>
      <w:sz w:val="30"/>
      <w:szCs w:val="24"/>
    </w:rPr>
  </w:style>
  <w:style w:type="character" w:customStyle="1" w:styleId="20">
    <w:name w:val="标题 2 字符"/>
    <w:basedOn w:val="a0"/>
    <w:link w:val="2"/>
    <w:uiPriority w:val="9"/>
    <w:semiHidden/>
    <w:rPr>
      <w:rFonts w:asciiTheme="majorHAnsi" w:eastAsiaTheme="majorEastAsia" w:hAnsiTheme="majorHAnsi" w:cstheme="majorBidi"/>
      <w:b/>
      <w:bCs/>
      <w:kern w:val="0"/>
      <w:sz w:val="32"/>
      <w:szCs w:val="32"/>
    </w:rPr>
  </w:style>
  <w:style w:type="character" w:customStyle="1" w:styleId="a4">
    <w:name w:val="正文文本缩进 字符"/>
    <w:basedOn w:val="a0"/>
    <w:link w:val="a3"/>
    <w:uiPriority w:val="99"/>
    <w:semiHidden/>
    <w:rPr>
      <w:rFonts w:ascii="宋体" w:eastAsia="宋体" w:hAnsi="Times New Roman" w:cs="Times New Roman"/>
      <w:kern w:val="0"/>
      <w:szCs w:val="20"/>
    </w:rPr>
  </w:style>
  <w:style w:type="character" w:styleId="ac">
    <w:name w:val="annotation reference"/>
    <w:basedOn w:val="a0"/>
    <w:uiPriority w:val="99"/>
    <w:semiHidden/>
    <w:unhideWhenUsed/>
    <w:rsid w:val="00405A90"/>
    <w:rPr>
      <w:sz w:val="21"/>
      <w:szCs w:val="21"/>
    </w:rPr>
  </w:style>
  <w:style w:type="paragraph" w:styleId="ad">
    <w:name w:val="annotation text"/>
    <w:basedOn w:val="a"/>
    <w:link w:val="ae"/>
    <w:uiPriority w:val="99"/>
    <w:semiHidden/>
    <w:unhideWhenUsed/>
    <w:rsid w:val="00405A90"/>
  </w:style>
  <w:style w:type="character" w:customStyle="1" w:styleId="ae">
    <w:name w:val="批注文字 字符"/>
    <w:basedOn w:val="a0"/>
    <w:link w:val="ad"/>
    <w:uiPriority w:val="99"/>
    <w:semiHidden/>
    <w:rsid w:val="00405A90"/>
    <w:rPr>
      <w:rFonts w:ascii="宋体" w:eastAsia="宋体" w:hAnsi="Times New Roman" w:cs="Times New Roman"/>
      <w:sz w:val="21"/>
    </w:rPr>
  </w:style>
  <w:style w:type="paragraph" w:styleId="af">
    <w:name w:val="annotation subject"/>
    <w:basedOn w:val="ad"/>
    <w:next w:val="ad"/>
    <w:link w:val="af0"/>
    <w:uiPriority w:val="99"/>
    <w:semiHidden/>
    <w:unhideWhenUsed/>
    <w:rsid w:val="00405A90"/>
    <w:rPr>
      <w:b/>
      <w:bCs/>
    </w:rPr>
  </w:style>
  <w:style w:type="character" w:customStyle="1" w:styleId="af0">
    <w:name w:val="批注主题 字符"/>
    <w:basedOn w:val="ae"/>
    <w:link w:val="af"/>
    <w:uiPriority w:val="99"/>
    <w:semiHidden/>
    <w:rsid w:val="00405A90"/>
    <w:rPr>
      <w:rFonts w:ascii="宋体" w:eastAsia="宋体" w:hAnsi="Times New Roman" w:cs="Times New Roman"/>
      <w:b/>
      <w:bCs/>
      <w:sz w:val="21"/>
    </w:rPr>
  </w:style>
  <w:style w:type="paragraph" w:styleId="af1">
    <w:name w:val="Balloon Text"/>
    <w:basedOn w:val="a"/>
    <w:link w:val="af2"/>
    <w:uiPriority w:val="99"/>
    <w:semiHidden/>
    <w:unhideWhenUsed/>
    <w:rsid w:val="00405A90"/>
    <w:pPr>
      <w:spacing w:line="240" w:lineRule="auto"/>
    </w:pPr>
    <w:rPr>
      <w:sz w:val="18"/>
      <w:szCs w:val="18"/>
    </w:rPr>
  </w:style>
  <w:style w:type="character" w:customStyle="1" w:styleId="af2">
    <w:name w:val="批注框文本 字符"/>
    <w:basedOn w:val="a0"/>
    <w:link w:val="af1"/>
    <w:uiPriority w:val="99"/>
    <w:semiHidden/>
    <w:rsid w:val="00405A90"/>
    <w:rPr>
      <w:rFonts w:ascii="宋体" w:eastAsia="宋体" w:hAnsi="Times New Roman" w:cs="Times New Roman"/>
      <w:sz w:val="18"/>
      <w:szCs w:val="18"/>
    </w:rPr>
  </w:style>
  <w:style w:type="paragraph" w:styleId="af3">
    <w:name w:val="Plain Text"/>
    <w:basedOn w:val="a"/>
    <w:link w:val="af4"/>
    <w:rsid w:val="004532A0"/>
    <w:pPr>
      <w:adjustRightInd/>
      <w:spacing w:line="240" w:lineRule="auto"/>
      <w:jc w:val="both"/>
    </w:pPr>
    <w:rPr>
      <w:rFonts w:hAnsi="Courier New" w:cs="Courier New"/>
      <w:kern w:val="2"/>
      <w:szCs w:val="21"/>
    </w:rPr>
  </w:style>
  <w:style w:type="character" w:customStyle="1" w:styleId="af4">
    <w:name w:val="纯文本 字符"/>
    <w:basedOn w:val="a0"/>
    <w:link w:val="af3"/>
    <w:rsid w:val="004532A0"/>
    <w:rPr>
      <w:rFonts w:ascii="宋体" w:eastAsia="宋体" w:hAnsi="Courier New" w:cs="Courier New"/>
      <w:kern w:val="2"/>
      <w:sz w:val="21"/>
      <w:szCs w:val="21"/>
    </w:rPr>
  </w:style>
  <w:style w:type="paragraph" w:styleId="af5">
    <w:name w:val="Title"/>
    <w:basedOn w:val="a"/>
    <w:link w:val="af6"/>
    <w:qFormat/>
    <w:rsid w:val="009630C3"/>
    <w:pPr>
      <w:adjustRightInd/>
      <w:spacing w:before="240" w:after="60" w:line="240" w:lineRule="auto"/>
      <w:jc w:val="center"/>
      <w:outlineLvl w:val="0"/>
    </w:pPr>
    <w:rPr>
      <w:rFonts w:ascii="Arial" w:eastAsia="黑体" w:hAnsi="Arial" w:cs="Arial"/>
      <w:b/>
      <w:bCs/>
      <w:kern w:val="2"/>
      <w:sz w:val="44"/>
      <w:szCs w:val="32"/>
    </w:rPr>
  </w:style>
  <w:style w:type="character" w:customStyle="1" w:styleId="af6">
    <w:name w:val="标题 字符"/>
    <w:basedOn w:val="a0"/>
    <w:link w:val="af5"/>
    <w:rsid w:val="009630C3"/>
    <w:rPr>
      <w:rFonts w:ascii="Arial" w:eastAsia="黑体" w:hAnsi="Arial" w:cs="Arial"/>
      <w:b/>
      <w:bCs/>
      <w:kern w:val="2"/>
      <w:sz w:val="44"/>
      <w:szCs w:val="32"/>
    </w:rPr>
  </w:style>
  <w:style w:type="character" w:customStyle="1" w:styleId="fontstyle01">
    <w:name w:val="fontstyle01"/>
    <w:rsid w:val="00A828A6"/>
    <w:rPr>
      <w:rFonts w:ascii="宋体" w:eastAsia="宋体" w:hAnsi="宋体"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DBF55-B179-413B-8CC6-EA0BC71E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323</Words>
  <Characters>1845</Characters>
  <Application>Microsoft Office Word</Application>
  <DocSecurity>0</DocSecurity>
  <Lines>15</Lines>
  <Paragraphs>4</Paragraphs>
  <ScaleCrop>false</ScaleCrop>
  <Company>jlzx</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郑术力</dc:creator>
  <cp:lastModifiedBy>炜迪 周</cp:lastModifiedBy>
  <cp:revision>4</cp:revision>
  <dcterms:created xsi:type="dcterms:W3CDTF">2026-08-18T11:42:00Z</dcterms:created>
  <dcterms:modified xsi:type="dcterms:W3CDTF">2026-08-18T14:50:00Z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37B34DE761134C788C2B0C706912BB85</vt:lpwstr>
  </property>
</Properties>
</file>