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A1B428">
      <w:pPr>
        <w:adjustRightInd w:val="0"/>
        <w:snapToGrid w:val="0"/>
        <w:spacing w:line="500" w:lineRule="exact"/>
        <w:jc w:val="center"/>
        <w:rPr>
          <w:rFonts w:hint="eastAsia" w:eastAsia="黑体"/>
          <w:bCs/>
          <w:sz w:val="32"/>
          <w:lang w:eastAsia="zh-CN"/>
        </w:rPr>
      </w:pPr>
      <w:r>
        <w:rPr>
          <w:rFonts w:hint="eastAsia" w:eastAsia="黑体"/>
          <w:bCs/>
          <w:sz w:val="32"/>
        </w:rPr>
        <w:t>JJF 1333-</w:t>
      </w:r>
      <w:r>
        <w:rPr>
          <w:rFonts w:hint="default" w:ascii="Arial" w:hAnsi="Arial" w:eastAsia="黑体" w:cs="Arial"/>
          <w:bCs/>
          <w:sz w:val="32"/>
        </w:rPr>
        <w:t>××××</w:t>
      </w:r>
      <w:r>
        <w:rPr>
          <w:rFonts w:hint="eastAsia" w:eastAsia="黑体"/>
          <w:bCs/>
          <w:sz w:val="32"/>
          <w:lang w:eastAsia="zh-CN"/>
        </w:rPr>
        <w:t>《</w:t>
      </w:r>
      <w:r>
        <w:rPr>
          <w:rFonts w:hint="eastAsia" w:eastAsia="黑体"/>
          <w:bCs/>
          <w:sz w:val="32"/>
        </w:rPr>
        <w:t>自动轨道衡型式评价大纲</w:t>
      </w:r>
      <w:r>
        <w:rPr>
          <w:rFonts w:hint="eastAsia" w:eastAsia="黑体"/>
          <w:bCs/>
          <w:sz w:val="32"/>
          <w:lang w:eastAsia="zh-CN"/>
        </w:rPr>
        <w:t>》</w:t>
      </w:r>
    </w:p>
    <w:p w14:paraId="35AEED5B">
      <w:pPr>
        <w:spacing w:line="500" w:lineRule="exact"/>
        <w:jc w:val="center"/>
        <w:rPr>
          <w:color w:val="000000"/>
          <w:sz w:val="28"/>
          <w:szCs w:val="28"/>
        </w:rPr>
      </w:pPr>
      <w:r>
        <w:rPr>
          <w:rFonts w:hint="eastAsia"/>
          <w:color w:val="000000"/>
          <w:sz w:val="28"/>
          <w:szCs w:val="28"/>
        </w:rPr>
        <w:t>（</w:t>
      </w:r>
      <w:r>
        <w:rPr>
          <w:rFonts w:hint="eastAsia"/>
          <w:color w:val="000000"/>
          <w:sz w:val="28"/>
          <w:szCs w:val="28"/>
          <w:lang w:val="en-US" w:eastAsia="zh-CN"/>
        </w:rPr>
        <w:t>征求意见稿</w:t>
      </w:r>
      <w:r>
        <w:rPr>
          <w:rFonts w:hint="eastAsia"/>
          <w:color w:val="000000"/>
          <w:sz w:val="28"/>
          <w:szCs w:val="28"/>
        </w:rPr>
        <w:t>）</w:t>
      </w:r>
    </w:p>
    <w:p w14:paraId="3B192956">
      <w:pPr>
        <w:spacing w:line="500" w:lineRule="exact"/>
        <w:jc w:val="center"/>
        <w:rPr>
          <w:rFonts w:eastAsia="黑体"/>
          <w:color w:val="000000"/>
          <w:sz w:val="28"/>
          <w:szCs w:val="28"/>
        </w:rPr>
      </w:pPr>
      <w:r>
        <w:rPr>
          <w:rFonts w:hint="eastAsia" w:ascii="Times New Roman" w:hAnsi="黑体" w:eastAsia="黑体" w:cs="宋体"/>
          <w:kern w:val="0"/>
          <w:sz w:val="28"/>
          <w:szCs w:val="28"/>
        </w:rPr>
        <w:t>计量技术规范</w:t>
      </w:r>
      <w:r>
        <w:rPr>
          <w:rFonts w:hint="eastAsia" w:eastAsia="黑体"/>
          <w:color w:val="000000"/>
          <w:sz w:val="28"/>
          <w:szCs w:val="28"/>
        </w:rPr>
        <w:t>编</w:t>
      </w:r>
      <w:r>
        <w:rPr>
          <w:rFonts w:hint="eastAsia" w:eastAsia="黑体"/>
          <w:color w:val="000000"/>
          <w:sz w:val="28"/>
          <w:szCs w:val="28"/>
          <w:lang w:val="en-US" w:eastAsia="zh-CN"/>
        </w:rPr>
        <w:t>写</w:t>
      </w:r>
      <w:r>
        <w:rPr>
          <w:rFonts w:hint="eastAsia" w:eastAsia="黑体"/>
          <w:color w:val="000000"/>
          <w:sz w:val="28"/>
          <w:szCs w:val="28"/>
        </w:rPr>
        <w:t>说明</w:t>
      </w:r>
      <w:bookmarkStart w:id="1" w:name="_GoBack"/>
      <w:bookmarkEnd w:id="1"/>
    </w:p>
    <w:p w14:paraId="2B66D03D">
      <w:pPr>
        <w:numPr>
          <w:ilvl w:val="0"/>
          <w:numId w:val="11"/>
        </w:numPr>
        <w:spacing w:line="360" w:lineRule="auto"/>
        <w:ind w:right="42" w:rightChars="20"/>
        <w:rPr>
          <w:rFonts w:ascii="Times New Roman" w:hAnsi="Times New Roman" w:eastAsia="黑体"/>
          <w:sz w:val="24"/>
          <w:szCs w:val="24"/>
        </w:rPr>
      </w:pPr>
      <w:r>
        <w:rPr>
          <w:rFonts w:hint="eastAsia" w:ascii="Times New Roman" w:hAnsi="黑体" w:eastAsia="黑体"/>
          <w:sz w:val="24"/>
          <w:szCs w:val="24"/>
        </w:rPr>
        <w:t>任务来源</w:t>
      </w:r>
    </w:p>
    <w:p w14:paraId="3FEDFA58">
      <w:pPr>
        <w:tabs>
          <w:tab w:val="left" w:pos="388"/>
        </w:tabs>
        <w:spacing w:line="440" w:lineRule="exact"/>
        <w:ind w:firstLine="458" w:firstLineChars="191"/>
        <w:rPr>
          <w:rFonts w:hint="eastAsia" w:ascii="Times New Roman" w:hAnsi="Times New Roman" w:eastAsia="宋体" w:cs="Times New Roman"/>
          <w:color w:val="000000" w:themeColor="text1"/>
          <w:sz w:val="24"/>
        </w:rPr>
      </w:pPr>
      <w:r>
        <w:rPr>
          <w:rFonts w:hint="eastAsia"/>
          <w:color w:val="000000" w:themeColor="text1"/>
          <w:sz w:val="24"/>
        </w:rPr>
        <w:t>根</w:t>
      </w:r>
      <w:r>
        <w:rPr>
          <w:rFonts w:hint="eastAsia" w:ascii="Times New Roman" w:hAnsi="Times New Roman" w:eastAsia="宋体" w:cs="Times New Roman"/>
          <w:color w:val="000000" w:themeColor="text1"/>
          <w:sz w:val="24"/>
        </w:rPr>
        <w:t>据《</w:t>
      </w:r>
      <w:r>
        <w:rPr>
          <w:rFonts w:hint="eastAsia" w:ascii="Times New Roman" w:hAnsi="Times New Roman" w:eastAsia="宋体" w:cs="Times New Roman"/>
          <w:color w:val="000000" w:themeColor="text1"/>
          <w:sz w:val="24"/>
          <w:lang w:val="en-US" w:eastAsia="zh-CN"/>
        </w:rPr>
        <w:t xml:space="preserve">市场监管总局办公厅关于印发 </w:t>
      </w:r>
      <w:r>
        <w:rPr>
          <w:rFonts w:hint="default" w:ascii="Times New Roman" w:hAnsi="Times New Roman" w:eastAsia="宋体" w:cs="Times New Roman"/>
          <w:color w:val="000000" w:themeColor="text1"/>
          <w:sz w:val="24"/>
          <w:lang w:val="en-US" w:eastAsia="zh-CN"/>
        </w:rPr>
        <w:t xml:space="preserve">2026 </w:t>
      </w:r>
      <w:r>
        <w:rPr>
          <w:rFonts w:hint="eastAsia" w:ascii="Times New Roman" w:hAnsi="Times New Roman" w:eastAsia="宋体" w:cs="Times New Roman"/>
          <w:color w:val="000000" w:themeColor="text1"/>
          <w:sz w:val="24"/>
          <w:lang w:val="en-US" w:eastAsia="zh-CN"/>
        </w:rPr>
        <w:t>年国家计量技术规范制定、修订及宣贯计划的通知</w:t>
      </w:r>
      <w:r>
        <w:rPr>
          <w:rFonts w:hint="eastAsia" w:ascii="Times New Roman" w:hAnsi="Times New Roman" w:eastAsia="宋体" w:cs="Times New Roman"/>
          <w:color w:val="000000" w:themeColor="text1"/>
          <w:sz w:val="24"/>
        </w:rPr>
        <w:t>》（</w:t>
      </w:r>
      <w:r>
        <w:rPr>
          <w:rFonts w:hint="eastAsia" w:ascii="Times New Roman" w:hAnsi="Times New Roman" w:eastAsia="宋体" w:cs="Times New Roman"/>
          <w:color w:val="000000" w:themeColor="text1"/>
          <w:sz w:val="24"/>
          <w:lang w:val="en-US" w:eastAsia="zh-CN"/>
        </w:rPr>
        <w:t>市监计量发〔</w:t>
      </w:r>
      <w:r>
        <w:rPr>
          <w:rFonts w:hint="default" w:ascii="Times New Roman" w:hAnsi="Times New Roman" w:eastAsia="宋体" w:cs="Times New Roman"/>
          <w:color w:val="000000" w:themeColor="text1"/>
          <w:sz w:val="24"/>
          <w:lang w:val="en-US" w:eastAsia="zh-CN"/>
        </w:rPr>
        <w:t>2026</w:t>
      </w:r>
      <w:r>
        <w:rPr>
          <w:rFonts w:hint="eastAsia" w:ascii="Times New Roman" w:hAnsi="Times New Roman" w:eastAsia="宋体" w:cs="Times New Roman"/>
          <w:color w:val="000000" w:themeColor="text1"/>
          <w:sz w:val="24"/>
          <w:lang w:val="en-US" w:eastAsia="zh-CN"/>
        </w:rPr>
        <w:t>〕</w:t>
      </w:r>
      <w:r>
        <w:rPr>
          <w:rFonts w:hint="default" w:ascii="Times New Roman" w:hAnsi="Times New Roman" w:eastAsia="宋体" w:cs="Times New Roman"/>
          <w:color w:val="000000" w:themeColor="text1"/>
          <w:sz w:val="24"/>
          <w:lang w:val="en-US" w:eastAsia="zh-CN"/>
        </w:rPr>
        <w:t xml:space="preserve">63 </w:t>
      </w:r>
      <w:r>
        <w:rPr>
          <w:rFonts w:hint="eastAsia" w:ascii="Times New Roman" w:hAnsi="Times New Roman" w:eastAsia="宋体" w:cs="Times New Roman"/>
          <w:color w:val="000000" w:themeColor="text1"/>
          <w:sz w:val="24"/>
          <w:lang w:val="en-US" w:eastAsia="zh-CN"/>
        </w:rPr>
        <w:t>号</w:t>
      </w:r>
      <w:r>
        <w:rPr>
          <w:rFonts w:hint="eastAsia" w:ascii="Times New Roman" w:hAnsi="Times New Roman" w:eastAsia="宋体" w:cs="Times New Roman"/>
          <w:color w:val="000000" w:themeColor="text1"/>
          <w:sz w:val="24"/>
        </w:rPr>
        <w:t>），由</w:t>
      </w:r>
      <w:r>
        <w:rPr>
          <w:rFonts w:hint="eastAsia" w:ascii="Times New Roman" w:hAnsi="Times New Roman"/>
          <w:sz w:val="24"/>
          <w:szCs w:val="24"/>
        </w:rPr>
        <w:t>由全国铁路专用计量器具计量技术委员会铁路专用衡器容量分技术委员会归口</w:t>
      </w:r>
      <w:r>
        <w:rPr>
          <w:rFonts w:hint="eastAsia" w:ascii="Times New Roman" w:hAnsi="Times New Roman" w:eastAsia="宋体" w:cs="Times New Roman"/>
          <w:color w:val="000000" w:themeColor="text1"/>
          <w:sz w:val="24"/>
        </w:rPr>
        <w:t>，并由国家轨道衡计量站、中国铁道科学研究院集团有限公司标准计量研究所</w:t>
      </w:r>
      <w:r>
        <w:rPr>
          <w:rFonts w:hint="eastAsia" w:ascii="Times New Roman" w:hAnsi="Times New Roman" w:eastAsia="宋体" w:cs="Times New Roman"/>
          <w:color w:val="000000" w:themeColor="text1"/>
          <w:sz w:val="24"/>
          <w:lang w:eastAsia="zh-CN"/>
        </w:rPr>
        <w:t>、</w:t>
      </w:r>
      <w:r>
        <w:rPr>
          <w:rFonts w:hint="default" w:ascii="Times New Roman" w:hAnsi="Times New Roman" w:eastAsia="宋体" w:cs="Times New Roman"/>
          <w:color w:val="000000" w:themeColor="text1"/>
          <w:sz w:val="24"/>
        </w:rPr>
        <w:t>北京华横科技有限公司</w:t>
      </w:r>
      <w:r>
        <w:rPr>
          <w:rFonts w:hint="eastAsia" w:ascii="Times New Roman" w:hAnsi="Times New Roman" w:eastAsia="宋体" w:cs="Times New Roman"/>
          <w:color w:val="000000" w:themeColor="text1"/>
          <w:sz w:val="24"/>
          <w:lang w:eastAsia="zh-CN"/>
        </w:rPr>
        <w:t>、</w:t>
      </w:r>
      <w:r>
        <w:rPr>
          <w:rFonts w:hint="default" w:ascii="Times New Roman" w:hAnsi="Times New Roman" w:eastAsia="宋体" w:cs="Times New Roman"/>
          <w:color w:val="000000" w:themeColor="text1"/>
          <w:sz w:val="24"/>
        </w:rPr>
        <w:t>中国铁路上海局集团有限公司</w:t>
      </w:r>
      <w:r>
        <w:rPr>
          <w:rFonts w:hint="eastAsia" w:cs="Times New Roman"/>
          <w:color w:val="000000" w:themeColor="text1"/>
          <w:sz w:val="24"/>
          <w:lang w:val="en-US" w:eastAsia="zh-CN"/>
        </w:rPr>
        <w:t>科学技术研究所</w:t>
      </w:r>
      <w:r>
        <w:rPr>
          <w:rFonts w:hint="eastAsia" w:ascii="Times New Roman" w:hAnsi="Times New Roman" w:eastAsia="宋体" w:cs="Times New Roman"/>
          <w:color w:val="000000" w:themeColor="text1"/>
          <w:sz w:val="24"/>
        </w:rPr>
        <w:t>等起草单位共同起草。</w:t>
      </w:r>
    </w:p>
    <w:p w14:paraId="17C66426">
      <w:pPr>
        <w:tabs>
          <w:tab w:val="left" w:pos="388"/>
        </w:tabs>
        <w:spacing w:line="440" w:lineRule="exact"/>
        <w:ind w:firstLine="458" w:firstLineChars="191"/>
        <w:rPr>
          <w:rFonts w:hint="eastAsia" w:ascii="Times New Roman" w:hAnsi="Times New Roman" w:eastAsia="宋体" w:cs="Times New Roman"/>
          <w:color w:val="000000" w:themeColor="text1"/>
          <w:sz w:val="24"/>
        </w:rPr>
      </w:pPr>
      <w:r>
        <w:rPr>
          <w:rFonts w:hint="eastAsia" w:ascii="Times New Roman" w:hAnsi="Times New Roman" w:eastAsia="宋体" w:cs="Times New Roman"/>
          <w:color w:val="000000" w:themeColor="text1"/>
          <w:sz w:val="24"/>
        </w:rPr>
        <w:t>本规范是对JJF</w:t>
      </w:r>
      <w:r>
        <w:rPr>
          <w:rFonts w:hint="eastAsia" w:ascii="Times New Roman" w:hAnsi="Times New Roman" w:eastAsia="宋体" w:cs="Times New Roman"/>
          <w:color w:val="000000" w:themeColor="text1"/>
          <w:sz w:val="24"/>
          <w:lang w:val="en-US" w:eastAsia="zh-CN"/>
        </w:rPr>
        <w:t>1359</w:t>
      </w:r>
      <w:r>
        <w:rPr>
          <w:rFonts w:hint="eastAsia" w:ascii="Times New Roman" w:hAnsi="Times New Roman" w:eastAsia="宋体" w:cs="Times New Roman"/>
          <w:color w:val="000000" w:themeColor="text1"/>
          <w:sz w:val="24"/>
        </w:rPr>
        <w:t>-201</w:t>
      </w:r>
      <w:r>
        <w:rPr>
          <w:rFonts w:hint="eastAsia" w:ascii="Times New Roman" w:hAnsi="Times New Roman" w:eastAsia="宋体" w:cs="Times New Roman"/>
          <w:color w:val="000000" w:themeColor="text1"/>
          <w:sz w:val="24"/>
          <w:lang w:val="en-US" w:eastAsia="zh-CN"/>
        </w:rPr>
        <w:t>2</w:t>
      </w:r>
      <w:r>
        <w:rPr>
          <w:rFonts w:hint="eastAsia" w:ascii="Times New Roman" w:hAnsi="Times New Roman" w:eastAsia="宋体" w:cs="Times New Roman"/>
          <w:color w:val="000000" w:themeColor="text1"/>
          <w:sz w:val="24"/>
        </w:rPr>
        <w:t>《自动轨道衡（动态称量轨道衡）型式评价大纲》的修订。</w:t>
      </w:r>
    </w:p>
    <w:p w14:paraId="5D38F383">
      <w:pPr>
        <w:numPr>
          <w:ilvl w:val="0"/>
          <w:numId w:val="11"/>
        </w:numPr>
        <w:spacing w:line="360" w:lineRule="auto"/>
        <w:ind w:left="0" w:right="42" w:rightChars="20" w:firstLine="424" w:firstLineChars="177"/>
        <w:rPr>
          <w:rFonts w:ascii="Times New Roman" w:hAnsi="Times New Roman" w:eastAsia="黑体"/>
          <w:sz w:val="24"/>
          <w:szCs w:val="24"/>
        </w:rPr>
      </w:pPr>
      <w:bookmarkStart w:id="0" w:name="mainContent"/>
      <w:r>
        <w:rPr>
          <w:rFonts w:hint="eastAsia" w:ascii="Times New Roman" w:hAnsi="黑体" w:eastAsia="黑体"/>
          <w:sz w:val="24"/>
          <w:szCs w:val="24"/>
        </w:rPr>
        <w:t>编写依据</w:t>
      </w:r>
    </w:p>
    <w:p w14:paraId="549CCCDD">
      <w:pPr>
        <w:autoSpaceDE w:val="0"/>
        <w:autoSpaceDN w:val="0"/>
        <w:adjustRightInd w:val="0"/>
        <w:spacing w:line="360" w:lineRule="auto"/>
        <w:ind w:firstLine="420"/>
        <w:rPr>
          <w:rFonts w:hint="eastAsia" w:ascii="Times New Roman" w:hAnsi="Times New Roman" w:eastAsia="宋体"/>
          <w:sz w:val="24"/>
          <w:szCs w:val="24"/>
          <w:lang w:val="en-US" w:eastAsia="zh-CN"/>
        </w:rPr>
      </w:pPr>
      <w:r>
        <w:rPr>
          <w:rFonts w:hint="eastAsia" w:ascii="Times New Roman" w:hAnsi="Times New Roman"/>
          <w:sz w:val="24"/>
          <w:szCs w:val="24"/>
        </w:rPr>
        <w:t>本计量技术规范按照</w:t>
      </w:r>
      <w:r>
        <w:rPr>
          <w:rFonts w:ascii="Times New Roman" w:hAnsi="Times New Roman"/>
          <w:sz w:val="24"/>
          <w:szCs w:val="24"/>
        </w:rPr>
        <w:t>JJF1015-2014</w:t>
      </w:r>
      <w:r>
        <w:rPr>
          <w:rFonts w:hint="eastAsia" w:ascii="Times New Roman" w:hAnsi="Times New Roman"/>
          <w:sz w:val="24"/>
          <w:szCs w:val="24"/>
        </w:rPr>
        <w:t>《计量器具型式评价通用规范》和</w:t>
      </w:r>
      <w:r>
        <w:rPr>
          <w:rFonts w:ascii="Times New Roman" w:hAnsi="Times New Roman"/>
          <w:sz w:val="24"/>
          <w:szCs w:val="24"/>
        </w:rPr>
        <w:t>JJF1016-2014</w:t>
      </w:r>
      <w:r>
        <w:rPr>
          <w:rFonts w:hint="eastAsia" w:ascii="Times New Roman" w:hAnsi="Times New Roman"/>
          <w:sz w:val="24"/>
          <w:szCs w:val="24"/>
        </w:rPr>
        <w:t>《计量器具型式评价大纲编写导则》的相关要求编写，依据</w:t>
      </w:r>
      <w:r>
        <w:rPr>
          <w:rFonts w:ascii="Times New Roman" w:hAnsi="Times New Roman"/>
          <w:sz w:val="24"/>
          <w:szCs w:val="24"/>
        </w:rPr>
        <w:t xml:space="preserve">GB/T </w:t>
      </w:r>
      <w:r>
        <w:rPr>
          <w:rFonts w:hint="eastAsia" w:ascii="Times New Roman" w:hAnsi="Times New Roman"/>
          <w:sz w:val="24"/>
          <w:szCs w:val="24"/>
          <w:lang w:val="en-US" w:eastAsia="zh-CN"/>
        </w:rPr>
        <w:t>11885</w:t>
      </w:r>
      <w:r>
        <w:rPr>
          <w:rFonts w:hint="eastAsia" w:ascii="Times New Roman" w:hAnsi="Times New Roman"/>
          <w:sz w:val="24"/>
          <w:szCs w:val="24"/>
        </w:rPr>
        <w:t>《</w:t>
      </w:r>
      <w:r>
        <w:rPr>
          <w:rFonts w:hint="eastAsia" w:ascii="Times New Roman" w:hAnsi="Times New Roman"/>
          <w:sz w:val="24"/>
          <w:szCs w:val="24"/>
          <w:lang w:val="en-US" w:eastAsia="zh-CN"/>
        </w:rPr>
        <w:t>自动轨道衡</w:t>
      </w:r>
      <w:r>
        <w:rPr>
          <w:rFonts w:hint="eastAsia" w:ascii="Times New Roman" w:hAnsi="Times New Roman"/>
          <w:sz w:val="24"/>
          <w:szCs w:val="24"/>
        </w:rPr>
        <w:t>》、</w:t>
      </w:r>
      <w:r>
        <w:rPr>
          <w:rFonts w:hint="eastAsia" w:ascii="Times New Roman" w:hAnsi="Times New Roman" w:eastAsia="宋体" w:cs="Times New Roman"/>
          <w:color w:val="000000"/>
          <w:sz w:val="24"/>
          <w:szCs w:val="24"/>
        </w:rPr>
        <w:t>OIML R106</w:t>
      </w:r>
      <w:r>
        <w:rPr>
          <w:rFonts w:hint="eastAsia" w:ascii="Times New Roman" w:hAnsi="Times New Roman" w:eastAsia="宋体" w:cs="Times New Roman"/>
          <w:color w:val="000000"/>
          <w:sz w:val="24"/>
          <w:szCs w:val="24"/>
          <w:lang w:val="en-US" w:eastAsia="zh-CN"/>
        </w:rPr>
        <w:t>-1</w:t>
      </w:r>
      <w:r>
        <w:rPr>
          <w:rFonts w:hint="eastAsia"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lang w:val="en-US" w:eastAsia="zh-CN"/>
        </w:rPr>
        <w:t>2011</w:t>
      </w:r>
      <w:r>
        <w:rPr>
          <w:rFonts w:hint="eastAsia" w:ascii="Times New Roman" w:hAnsi="Times New Roman" w:eastAsia="宋体" w:cs="Times New Roman"/>
          <w:color w:val="000000"/>
          <w:sz w:val="24"/>
          <w:szCs w:val="24"/>
        </w:rPr>
        <w:t>《自动轨道衡</w:t>
      </w:r>
      <w:r>
        <w:rPr>
          <w:rFonts w:hint="eastAsia" w:ascii="Times New Roman" w:hAnsi="Times New Roman" w:eastAsia="宋体" w:cs="Times New Roman"/>
          <w:color w:val="000000"/>
          <w:sz w:val="24"/>
          <w:szCs w:val="24"/>
          <w:lang w:eastAsia="zh-CN"/>
        </w:rPr>
        <w:t>：</w:t>
      </w:r>
      <w:r>
        <w:rPr>
          <w:rFonts w:hint="eastAsia" w:ascii="Times New Roman" w:hAnsi="Times New Roman" w:eastAsia="宋体" w:cs="Times New Roman"/>
          <w:color w:val="000000"/>
          <w:sz w:val="24"/>
          <w:szCs w:val="24"/>
          <w:highlight w:val="none"/>
          <w:lang w:val="en-US" w:eastAsia="zh-CN"/>
        </w:rPr>
        <w:t>第1部分：计量与技术要求》（</w:t>
      </w:r>
      <w:r>
        <w:rPr>
          <w:rFonts w:hint="eastAsia" w:ascii="Times New Roman" w:hAnsi="Times New Roman" w:eastAsia="宋体" w:cs="Times New Roman"/>
          <w:i w:val="0"/>
          <w:iCs w:val="0"/>
          <w:caps w:val="0"/>
          <w:color w:val="000000"/>
          <w:spacing w:val="0"/>
          <w:sz w:val="24"/>
          <w:szCs w:val="24"/>
          <w:shd w:val="clear" w:color="auto" w:fill="auto"/>
        </w:rPr>
        <w:t>Automatic rail-weighbridges - Part 1: Metrological and technical requirements</w:t>
      </w:r>
      <w:r>
        <w:rPr>
          <w:rFonts w:hint="eastAsia" w:ascii="Times New Roman" w:hAnsi="Times New Roman" w:eastAsia="宋体" w:cs="Times New Roman"/>
          <w:color w:val="000000"/>
          <w:sz w:val="24"/>
          <w:szCs w:val="24"/>
          <w:highlight w:val="none"/>
          <w:lang w:val="en-US" w:eastAsia="zh-CN"/>
        </w:rPr>
        <w:t>）</w:t>
      </w:r>
      <w:r>
        <w:rPr>
          <w:rFonts w:hint="eastAsia" w:ascii="Times New Roman" w:hAnsi="Times New Roman" w:eastAsia="宋体" w:cs="Times New Roman"/>
          <w:color w:val="000000"/>
          <w:sz w:val="24"/>
          <w:szCs w:val="24"/>
        </w:rPr>
        <w:t>和JJG</w:t>
      </w:r>
      <w:r>
        <w:rPr>
          <w:rFonts w:hint="eastAsia" w:ascii="Times New Roman" w:hAnsi="Times New Roman" w:eastAsia="宋体" w:cs="Times New Roman"/>
          <w:color w:val="000000"/>
          <w:sz w:val="24"/>
          <w:szCs w:val="24"/>
          <w:lang w:val="en-US" w:eastAsia="zh-CN"/>
        </w:rPr>
        <w:t>234</w:t>
      </w:r>
      <w:r>
        <w:rPr>
          <w:rFonts w:hint="eastAsia"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lang w:val="en-US" w:eastAsia="zh-CN"/>
        </w:rPr>
        <w:t>自动</w:t>
      </w:r>
      <w:r>
        <w:rPr>
          <w:rFonts w:hint="eastAsia" w:ascii="Times New Roman" w:hAnsi="Times New Roman" w:eastAsia="宋体" w:cs="Times New Roman"/>
          <w:color w:val="000000"/>
          <w:sz w:val="24"/>
          <w:szCs w:val="24"/>
        </w:rPr>
        <w:t>轨道衡》</w:t>
      </w:r>
      <w:r>
        <w:rPr>
          <w:rFonts w:hint="eastAsia" w:cs="Times New Roman"/>
          <w:color w:val="000000"/>
          <w:sz w:val="24"/>
          <w:szCs w:val="24"/>
          <w:lang w:val="en-US" w:eastAsia="zh-CN"/>
        </w:rPr>
        <w:t>相关内容编写</w:t>
      </w:r>
      <w:r>
        <w:rPr>
          <w:rFonts w:hint="eastAsia" w:ascii="Times New Roman" w:hAnsi="Times New Roman"/>
          <w:sz w:val="24"/>
          <w:szCs w:val="24"/>
        </w:rPr>
        <w:t>，并保留了</w:t>
      </w:r>
      <w:r>
        <w:rPr>
          <w:rFonts w:hint="eastAsia" w:ascii="Times New Roman" w:hAnsi="Times New Roman" w:eastAsia="宋体" w:cs="Times New Roman"/>
          <w:color w:val="000000" w:themeColor="text1"/>
          <w:sz w:val="24"/>
        </w:rPr>
        <w:t>JJF</w:t>
      </w:r>
      <w:r>
        <w:rPr>
          <w:rFonts w:hint="eastAsia" w:ascii="Times New Roman" w:hAnsi="Times New Roman" w:eastAsia="宋体" w:cs="Times New Roman"/>
          <w:color w:val="000000" w:themeColor="text1"/>
          <w:sz w:val="24"/>
          <w:lang w:val="en-US" w:eastAsia="zh-CN"/>
        </w:rPr>
        <w:t>1359</w:t>
      </w:r>
      <w:r>
        <w:rPr>
          <w:rFonts w:hint="eastAsia" w:ascii="Times New Roman" w:hAnsi="Times New Roman" w:eastAsia="宋体" w:cs="Times New Roman"/>
          <w:color w:val="000000" w:themeColor="text1"/>
          <w:sz w:val="24"/>
        </w:rPr>
        <w:t>-201</w:t>
      </w:r>
      <w:r>
        <w:rPr>
          <w:rFonts w:hint="eastAsia" w:ascii="Times New Roman" w:hAnsi="Times New Roman" w:eastAsia="宋体" w:cs="Times New Roman"/>
          <w:color w:val="000000" w:themeColor="text1"/>
          <w:sz w:val="24"/>
          <w:lang w:val="en-US" w:eastAsia="zh-CN"/>
        </w:rPr>
        <w:t>2</w:t>
      </w:r>
      <w:r>
        <w:rPr>
          <w:rFonts w:hint="eastAsia" w:ascii="Times New Roman" w:hAnsi="Times New Roman" w:eastAsia="宋体" w:cs="Times New Roman"/>
          <w:color w:val="000000" w:themeColor="text1"/>
          <w:sz w:val="24"/>
        </w:rPr>
        <w:t>《自动轨道衡（动态称量轨道衡）型式评价大纲》</w:t>
      </w:r>
      <w:r>
        <w:rPr>
          <w:rFonts w:hint="eastAsia" w:ascii="Times New Roman" w:hAnsi="Times New Roman"/>
          <w:sz w:val="24"/>
          <w:szCs w:val="24"/>
        </w:rPr>
        <w:t>计量技术规范中行之有效的内容。</w:t>
      </w:r>
      <w:r>
        <w:rPr>
          <w:rFonts w:hint="eastAsia" w:ascii="Times New Roman" w:hAnsi="Times New Roman"/>
          <w:sz w:val="24"/>
          <w:szCs w:val="24"/>
          <w:lang w:val="en-US" w:eastAsia="zh-CN"/>
        </w:rPr>
        <w:t xml:space="preserve"> </w:t>
      </w:r>
    </w:p>
    <w:bookmarkEnd w:id="0"/>
    <w:p w14:paraId="1E6C0AB0">
      <w:pPr>
        <w:numPr>
          <w:ilvl w:val="0"/>
          <w:numId w:val="11"/>
        </w:numPr>
        <w:spacing w:line="360" w:lineRule="auto"/>
        <w:ind w:left="0" w:right="42" w:rightChars="20" w:firstLine="424" w:firstLineChars="177"/>
        <w:rPr>
          <w:rFonts w:ascii="Times New Roman" w:hAnsi="Times New Roman" w:eastAsia="黑体"/>
          <w:sz w:val="24"/>
          <w:szCs w:val="24"/>
        </w:rPr>
      </w:pPr>
      <w:r>
        <w:rPr>
          <w:rFonts w:hint="eastAsia" w:ascii="Times New Roman" w:hAnsi="黑体" w:eastAsia="黑体"/>
          <w:sz w:val="24"/>
          <w:szCs w:val="24"/>
        </w:rPr>
        <w:t>主要起草过程</w:t>
      </w:r>
    </w:p>
    <w:p w14:paraId="2145F363">
      <w:pPr>
        <w:spacing w:line="360" w:lineRule="auto"/>
        <w:ind w:firstLine="480" w:firstLineChars="200"/>
        <w:rPr>
          <w:rFonts w:ascii="Times New Roman" w:hAnsi="Times New Roman"/>
          <w:sz w:val="24"/>
          <w:szCs w:val="24"/>
        </w:rPr>
      </w:pPr>
      <w:r>
        <w:rPr>
          <w:rFonts w:hint="eastAsia" w:ascii="Times New Roman" w:cs="Times New Roman"/>
          <w:sz w:val="24"/>
          <w:szCs w:val="24"/>
        </w:rPr>
        <w:t>项目计划下达后，在归口技术委员会指导下，</w:t>
      </w:r>
      <w:r>
        <w:rPr>
          <w:rFonts w:hint="eastAsia" w:ascii="Times New Roman" w:hAnsi="Times New Roman" w:eastAsia="宋体" w:cs="Times New Roman"/>
          <w:color w:val="000000" w:themeColor="text1"/>
          <w:sz w:val="24"/>
        </w:rPr>
        <w:t>国家轨道衡计量站、中国铁道科学研究院集团</w:t>
      </w:r>
      <w:r>
        <w:rPr>
          <w:rFonts w:hint="eastAsia" w:ascii="Times New Roman" w:hAnsi="Times New Roman" w:eastAsia="宋体" w:cs="Times New Roman"/>
          <w:color w:val="000000"/>
          <w:sz w:val="24"/>
        </w:rPr>
        <w:t>有限公司</w:t>
      </w:r>
      <w:r>
        <w:rPr>
          <w:rFonts w:hint="eastAsia" w:ascii="Times New Roman" w:hAnsi="Times New Roman" w:eastAsia="宋体" w:cs="Times New Roman"/>
          <w:color w:val="000000" w:themeColor="text1"/>
          <w:sz w:val="24"/>
        </w:rPr>
        <w:t>标准计量研究所</w:t>
      </w:r>
      <w:r>
        <w:rPr>
          <w:rFonts w:hint="eastAsia" w:ascii="Times New Roman" w:hAnsi="Times New Roman" w:eastAsia="宋体" w:cs="Times New Roman"/>
          <w:color w:val="000000" w:themeColor="text1"/>
          <w:sz w:val="24"/>
          <w:lang w:eastAsia="zh-CN"/>
        </w:rPr>
        <w:t>、</w:t>
      </w:r>
      <w:r>
        <w:rPr>
          <w:rFonts w:hint="default" w:ascii="Times New Roman" w:hAnsi="Times New Roman" w:eastAsia="宋体" w:cs="Times New Roman"/>
          <w:color w:val="000000" w:themeColor="text1"/>
          <w:sz w:val="24"/>
        </w:rPr>
        <w:t>北京华横科技有限公司</w:t>
      </w:r>
      <w:r>
        <w:rPr>
          <w:rFonts w:hint="eastAsia" w:ascii="Times New Roman" w:hAnsi="Times New Roman" w:eastAsia="宋体" w:cs="Times New Roman"/>
          <w:color w:val="000000" w:themeColor="text1"/>
          <w:sz w:val="24"/>
          <w:lang w:eastAsia="zh-CN"/>
        </w:rPr>
        <w:t>、</w:t>
      </w:r>
      <w:r>
        <w:rPr>
          <w:rFonts w:hint="default" w:ascii="Times New Roman" w:hAnsi="Times New Roman" w:eastAsia="宋体" w:cs="Times New Roman"/>
          <w:color w:val="000000" w:themeColor="text1"/>
          <w:sz w:val="24"/>
        </w:rPr>
        <w:t>中国铁路上海局集团有限公司</w:t>
      </w:r>
      <w:r>
        <w:rPr>
          <w:rFonts w:hint="eastAsia" w:cs="Times New Roman"/>
          <w:color w:val="000000" w:themeColor="text1"/>
          <w:sz w:val="24"/>
          <w:lang w:val="en-US" w:eastAsia="zh-CN"/>
        </w:rPr>
        <w:t>科学技术研究所</w:t>
      </w:r>
      <w:r>
        <w:rPr>
          <w:rFonts w:hint="eastAsia" w:ascii="Times New Roman" w:cs="Times New Roman"/>
          <w:sz w:val="24"/>
          <w:szCs w:val="24"/>
        </w:rPr>
        <w:t>等单位成立了规范起草组。</w:t>
      </w:r>
      <w:r>
        <w:rPr>
          <w:rFonts w:hint="eastAsia" w:ascii="Times New Roman" w:hAnsi="Times New Roman"/>
          <w:sz w:val="24"/>
          <w:szCs w:val="24"/>
        </w:rPr>
        <w:t>根据我国国情，</w:t>
      </w:r>
      <w:r>
        <w:rPr>
          <w:rFonts w:ascii="Times New Roman" w:hAnsi="Times New Roman"/>
          <w:sz w:val="24"/>
          <w:szCs w:val="24"/>
        </w:rPr>
        <w:t>202</w:t>
      </w:r>
      <w:r>
        <w:rPr>
          <w:rFonts w:hint="eastAsia" w:ascii="Times New Roman" w:hAnsi="Times New Roman"/>
          <w:sz w:val="24"/>
          <w:szCs w:val="24"/>
          <w:lang w:val="en-US" w:eastAsia="zh-CN"/>
        </w:rPr>
        <w:t>6</w:t>
      </w:r>
      <w:r>
        <w:rPr>
          <w:rFonts w:hint="eastAsia" w:ascii="Times New Roman" w:hAnsi="Times New Roman"/>
          <w:sz w:val="24"/>
          <w:szCs w:val="24"/>
        </w:rPr>
        <w:t>年</w:t>
      </w:r>
      <w:r>
        <w:rPr>
          <w:rFonts w:ascii="Times New Roman" w:hAnsi="Times New Roman"/>
          <w:sz w:val="24"/>
          <w:szCs w:val="24"/>
        </w:rPr>
        <w:t>2</w:t>
      </w:r>
      <w:r>
        <w:rPr>
          <w:rFonts w:hint="eastAsia" w:ascii="Times New Roman" w:hAnsi="Times New Roman"/>
          <w:sz w:val="24"/>
          <w:szCs w:val="24"/>
        </w:rPr>
        <w:t>月</w:t>
      </w:r>
      <w:r>
        <w:rPr>
          <w:rFonts w:ascii="Times New Roman" w:hAnsi="Times New Roman"/>
          <w:sz w:val="24"/>
          <w:szCs w:val="24"/>
        </w:rPr>
        <w:t>~4</w:t>
      </w:r>
      <w:r>
        <w:rPr>
          <w:rFonts w:hint="eastAsia" w:ascii="Times New Roman" w:hAnsi="Times New Roman"/>
          <w:sz w:val="24"/>
          <w:szCs w:val="24"/>
        </w:rPr>
        <w:t>月</w:t>
      </w:r>
      <w:r>
        <w:rPr>
          <w:rFonts w:hint="eastAsia" w:ascii="Times New Roman" w:cs="Times New Roman"/>
          <w:sz w:val="24"/>
          <w:szCs w:val="24"/>
        </w:rPr>
        <w:t>起草组</w:t>
      </w:r>
      <w:r>
        <w:rPr>
          <w:rFonts w:hint="eastAsia" w:ascii="Times New Roman" w:hAnsi="Times New Roman"/>
          <w:sz w:val="24"/>
          <w:szCs w:val="24"/>
        </w:rPr>
        <w:t>考察了多家</w:t>
      </w:r>
      <w:r>
        <w:rPr>
          <w:rFonts w:hint="eastAsia" w:ascii="Times New Roman" w:hAnsi="Times New Roman"/>
          <w:sz w:val="24"/>
          <w:szCs w:val="24"/>
          <w:lang w:val="en-US" w:eastAsia="zh-CN"/>
        </w:rPr>
        <w:t>自动</w:t>
      </w:r>
      <w:r>
        <w:rPr>
          <w:rFonts w:hint="eastAsia" w:ascii="Times New Roman" w:hAnsi="Times New Roman"/>
          <w:sz w:val="24"/>
          <w:szCs w:val="24"/>
        </w:rPr>
        <w:t>轨道衡的生产企业、使用单位，与国内从事</w:t>
      </w:r>
      <w:r>
        <w:rPr>
          <w:rFonts w:hint="eastAsia" w:ascii="Times New Roman" w:hAnsi="Times New Roman"/>
          <w:sz w:val="24"/>
          <w:szCs w:val="24"/>
          <w:lang w:val="en-US" w:eastAsia="zh-CN"/>
        </w:rPr>
        <w:t>自动</w:t>
      </w:r>
      <w:r>
        <w:rPr>
          <w:rFonts w:hint="eastAsia" w:ascii="Times New Roman" w:hAnsi="Times New Roman"/>
          <w:sz w:val="24"/>
          <w:szCs w:val="24"/>
        </w:rPr>
        <w:t>轨道衡制造和计量工作的专家、学者们进行了广泛的交流和探讨，并得到了他们的大力支持和帮助，为修订大纲工作奠定了基础。</w:t>
      </w:r>
    </w:p>
    <w:p w14:paraId="0EB88CD8">
      <w:pPr>
        <w:pStyle w:val="97"/>
        <w:spacing w:line="440" w:lineRule="exact"/>
        <w:ind w:firstLine="480"/>
        <w:jc w:val="left"/>
        <w:rPr>
          <w:rFonts w:ascii="Times New Roman" w:cs="Times New Roman"/>
          <w:sz w:val="24"/>
          <w:szCs w:val="24"/>
        </w:rPr>
      </w:pPr>
      <w:r>
        <w:rPr>
          <w:rFonts w:hint="eastAsia" w:ascii="Times New Roman" w:cs="Times New Roman"/>
          <w:sz w:val="24"/>
          <w:szCs w:val="24"/>
        </w:rPr>
        <w:t>起草组对</w:t>
      </w:r>
      <w:r>
        <w:rPr>
          <w:rFonts w:hint="eastAsia" w:ascii="Times New Roman" w:cs="Times New Roman"/>
          <w:sz w:val="24"/>
          <w:szCs w:val="24"/>
          <w:lang w:val="en-US" w:eastAsia="zh-CN"/>
        </w:rPr>
        <w:t>自动轨道衡</w:t>
      </w:r>
      <w:r>
        <w:rPr>
          <w:rFonts w:hint="eastAsia" w:ascii="Times New Roman" w:cs="Times New Roman"/>
          <w:sz w:val="24"/>
          <w:szCs w:val="24"/>
        </w:rPr>
        <w:t>技术指标情况等进行了调研，收集了相关技术资料，在对前期工作深入讨论研究后，202</w:t>
      </w:r>
      <w:r>
        <w:rPr>
          <w:rFonts w:hint="eastAsia" w:ascii="Times New Roman" w:cs="Times New Roman"/>
          <w:sz w:val="24"/>
          <w:szCs w:val="24"/>
          <w:lang w:val="en-US" w:eastAsia="zh-CN"/>
        </w:rPr>
        <w:t>6</w:t>
      </w:r>
      <w:r>
        <w:rPr>
          <w:rFonts w:hint="eastAsia" w:ascii="Times New Roman" w:cs="Times New Roman"/>
          <w:sz w:val="24"/>
          <w:szCs w:val="24"/>
        </w:rPr>
        <w:t>年8月形成了本规范的征求意见稿。</w:t>
      </w:r>
    </w:p>
    <w:p w14:paraId="3147DB66">
      <w:pPr>
        <w:spacing w:line="360" w:lineRule="auto"/>
        <w:ind w:firstLine="480" w:firstLineChars="200"/>
        <w:rPr>
          <w:rFonts w:ascii="宋体" w:hAnsi="宋体"/>
          <w:color w:val="000000" w:themeColor="text1"/>
          <w:sz w:val="24"/>
          <w:highlight w:val="none"/>
        </w:rPr>
      </w:pPr>
      <w:r>
        <w:rPr>
          <w:rFonts w:hint="eastAsia" w:ascii="宋体" w:hAnsi="宋体"/>
          <w:color w:val="000000" w:themeColor="text1"/>
          <w:sz w:val="24"/>
          <w:highlight w:val="none"/>
        </w:rPr>
        <w:t>与</w:t>
      </w:r>
      <w:r>
        <w:rPr>
          <w:rFonts w:hint="eastAsia" w:ascii="Times New Roman" w:hAnsi="Times New Roman" w:eastAsia="宋体" w:cs="Times New Roman"/>
          <w:color w:val="000000" w:themeColor="text1"/>
          <w:sz w:val="24"/>
          <w:highlight w:val="none"/>
        </w:rPr>
        <w:t>JJF</w:t>
      </w:r>
      <w:r>
        <w:rPr>
          <w:rFonts w:hint="eastAsia" w:ascii="Times New Roman" w:hAnsi="Times New Roman" w:eastAsia="宋体" w:cs="Times New Roman"/>
          <w:color w:val="000000" w:themeColor="text1"/>
          <w:sz w:val="24"/>
          <w:highlight w:val="none"/>
          <w:lang w:val="en-US" w:eastAsia="zh-CN"/>
        </w:rPr>
        <w:t>1359</w:t>
      </w:r>
      <w:r>
        <w:rPr>
          <w:rFonts w:hint="eastAsia" w:ascii="Times New Roman" w:hAnsi="Times New Roman" w:eastAsia="宋体" w:cs="Times New Roman"/>
          <w:color w:val="000000" w:themeColor="text1"/>
          <w:sz w:val="24"/>
          <w:highlight w:val="none"/>
        </w:rPr>
        <w:t>-201</w:t>
      </w:r>
      <w:r>
        <w:rPr>
          <w:rFonts w:hint="eastAsia" w:ascii="Times New Roman" w:hAnsi="Times New Roman" w:eastAsia="宋体" w:cs="Times New Roman"/>
          <w:color w:val="000000" w:themeColor="text1"/>
          <w:sz w:val="24"/>
          <w:highlight w:val="none"/>
          <w:lang w:val="en-US" w:eastAsia="zh-CN"/>
        </w:rPr>
        <w:t>2</w:t>
      </w:r>
      <w:r>
        <w:rPr>
          <w:rFonts w:hint="eastAsia" w:ascii="Times New Roman" w:hAnsi="Times New Roman" w:eastAsia="宋体" w:cs="Times New Roman"/>
          <w:color w:val="000000" w:themeColor="text1"/>
          <w:sz w:val="24"/>
          <w:highlight w:val="none"/>
        </w:rPr>
        <w:t>《自动轨道衡（动态称量轨道衡）型式评价大纲》</w:t>
      </w:r>
      <w:r>
        <w:rPr>
          <w:rFonts w:hint="eastAsia" w:ascii="宋体" w:hAnsi="宋体"/>
          <w:color w:val="000000" w:themeColor="text1"/>
          <w:sz w:val="24"/>
          <w:highlight w:val="none"/>
        </w:rPr>
        <w:t>相比，本规范主要技术变化为：</w:t>
      </w:r>
    </w:p>
    <w:p w14:paraId="69834789">
      <w:pPr>
        <w:spacing w:line="360" w:lineRule="auto"/>
        <w:ind w:firstLine="480"/>
        <w:rPr>
          <w:rFonts w:hint="eastAsia" w:ascii="宋体" w:hAnsi="宋体" w:eastAsia="宋体" w:cs="宋体"/>
          <w:color w:val="000000"/>
          <w:sz w:val="24"/>
          <w:highlight w:val="none"/>
          <w:lang w:val="en-US" w:eastAsia="zh-CN"/>
        </w:rPr>
      </w:pPr>
      <w:r>
        <w:rPr>
          <w:rFonts w:hint="eastAsia" w:ascii="宋体" w:hAnsi="宋体" w:eastAsia="宋体" w:cs="宋体"/>
          <w:color w:val="000000"/>
          <w:sz w:val="24"/>
          <w:highlight w:val="none"/>
        </w:rPr>
        <w:t>──</w:t>
      </w:r>
      <w:r>
        <w:rPr>
          <w:rFonts w:hint="eastAsia" w:ascii="宋体" w:hAnsi="宋体" w:eastAsia="宋体" w:cs="宋体"/>
          <w:color w:val="000000"/>
          <w:sz w:val="24"/>
          <w:highlight w:val="none"/>
          <w:lang w:val="en-US" w:eastAsia="zh-CN"/>
        </w:rPr>
        <w:t>修改了大纲名称；</w:t>
      </w:r>
    </w:p>
    <w:p w14:paraId="04333CC8">
      <w:pPr>
        <w:spacing w:line="360" w:lineRule="auto"/>
        <w:ind w:firstLine="480"/>
        <w:rPr>
          <w:rFonts w:hint="eastAsia" w:ascii="宋体" w:hAnsi="宋体" w:eastAsia="宋体" w:cs="宋体"/>
          <w:color w:val="000000"/>
          <w:sz w:val="24"/>
          <w:highlight w:val="none"/>
        </w:rPr>
      </w:pPr>
      <w:r>
        <w:rPr>
          <w:rFonts w:hint="eastAsia" w:ascii="宋体" w:hAnsi="宋体" w:eastAsia="宋体" w:cs="宋体"/>
          <w:color w:val="000000"/>
          <w:sz w:val="24"/>
          <w:highlight w:val="none"/>
        </w:rPr>
        <w:t>──</w:t>
      </w:r>
      <w:r>
        <w:rPr>
          <w:rFonts w:hint="eastAsia" w:ascii="宋体" w:hAnsi="宋体" w:eastAsia="宋体" w:cs="宋体"/>
          <w:color w:val="000000"/>
          <w:sz w:val="24"/>
          <w:highlight w:val="none"/>
          <w:lang w:val="en-US" w:eastAsia="zh-CN"/>
        </w:rPr>
        <w:t>增加了</w:t>
      </w:r>
      <w:r>
        <w:rPr>
          <w:rFonts w:hint="eastAsia" w:ascii="宋体" w:hAnsi="宋体" w:eastAsia="宋体" w:cs="宋体"/>
          <w:color w:val="000000"/>
          <w:sz w:val="24"/>
          <w:highlight w:val="none"/>
        </w:rPr>
        <w:t>部分</w:t>
      </w:r>
      <w:r>
        <w:rPr>
          <w:rFonts w:hint="eastAsia" w:ascii="宋体" w:hAnsi="宋体" w:eastAsia="宋体" w:cs="宋体"/>
          <w:color w:val="000000"/>
          <w:sz w:val="24"/>
          <w:highlight w:val="none"/>
          <w:lang w:val="en-US" w:eastAsia="zh-CN"/>
        </w:rPr>
        <w:t>术语</w:t>
      </w:r>
      <w:r>
        <w:rPr>
          <w:rFonts w:hint="eastAsia" w:ascii="宋体" w:hAnsi="宋体" w:eastAsia="宋体" w:cs="宋体"/>
          <w:color w:val="000000"/>
          <w:sz w:val="24"/>
          <w:highlight w:val="none"/>
        </w:rPr>
        <w:t>；</w:t>
      </w:r>
    </w:p>
    <w:p w14:paraId="77D04C5D">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──增加了</w:t>
      </w:r>
      <w:r>
        <w:rPr>
          <w:rFonts w:hint="eastAsia" w:ascii="宋体" w:hAnsi="宋体" w:eastAsia="宋体" w:cs="宋体"/>
          <w:color w:val="000000"/>
          <w:sz w:val="24"/>
          <w:highlight w:val="none"/>
          <w:lang w:val="en-US" w:eastAsia="zh-CN"/>
        </w:rPr>
        <w:t>关键零部件一览表</w:t>
      </w:r>
      <w:r>
        <w:rPr>
          <w:rFonts w:hint="eastAsia" w:ascii="宋体" w:hAnsi="宋体" w:eastAsia="宋体" w:cs="宋体"/>
          <w:color w:val="000000"/>
          <w:sz w:val="24"/>
          <w:highlight w:val="none"/>
        </w:rPr>
        <w:t>；</w:t>
      </w:r>
    </w:p>
    <w:p w14:paraId="4D637332">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──增加了计量单位要求；</w:t>
      </w:r>
    </w:p>
    <w:p w14:paraId="10E780BA">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w:t>
      </w:r>
      <w:r>
        <w:rPr>
          <w:rFonts w:hint="eastAsia" w:ascii="宋体" w:hAnsi="宋体" w:eastAsia="宋体" w:cs="宋体"/>
          <w:color w:val="000000"/>
          <w:sz w:val="24"/>
          <w:highlight w:val="none"/>
          <w:lang w:val="en-US" w:eastAsia="zh-CN"/>
        </w:rPr>
        <w:t>增加了超偏载检测自动轨道衡相关要求及试验方法</w:t>
      </w:r>
      <w:r>
        <w:rPr>
          <w:rFonts w:hint="eastAsia" w:ascii="宋体" w:hAnsi="宋体" w:eastAsia="宋体" w:cs="宋体"/>
          <w:color w:val="000000"/>
          <w:sz w:val="24"/>
          <w:highlight w:val="none"/>
        </w:rPr>
        <w:t xml:space="preserve">； </w:t>
      </w:r>
    </w:p>
    <w:p w14:paraId="461D056F">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w:t>
      </w:r>
      <w:r>
        <w:rPr>
          <w:rFonts w:hint="eastAsia" w:ascii="宋体" w:hAnsi="宋体" w:eastAsia="宋体" w:cs="宋体"/>
          <w:color w:val="000000"/>
          <w:sz w:val="24"/>
          <w:highlight w:val="none"/>
          <w:lang w:val="en-US" w:eastAsia="zh-CN"/>
        </w:rPr>
        <w:t>修改了称量速度试验方法</w:t>
      </w:r>
      <w:r>
        <w:rPr>
          <w:rFonts w:hint="eastAsia" w:ascii="宋体" w:hAnsi="宋体" w:eastAsia="宋体" w:cs="宋体"/>
          <w:color w:val="000000"/>
          <w:sz w:val="24"/>
          <w:highlight w:val="none"/>
        </w:rPr>
        <w:t>；</w:t>
      </w:r>
    </w:p>
    <w:p w14:paraId="6EBD50D6">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w:t>
      </w:r>
      <w:r>
        <w:rPr>
          <w:rFonts w:hint="eastAsia" w:ascii="宋体" w:hAnsi="宋体" w:eastAsia="宋体" w:cs="宋体"/>
          <w:color w:val="000000"/>
          <w:sz w:val="24"/>
          <w:highlight w:val="none"/>
          <w:lang w:val="en-US" w:eastAsia="zh-CN"/>
        </w:rPr>
        <w:t>增加了标准信号发生器试验方法</w:t>
      </w:r>
      <w:r>
        <w:rPr>
          <w:rFonts w:hint="eastAsia" w:ascii="宋体" w:hAnsi="宋体" w:eastAsia="宋体" w:cs="宋体"/>
          <w:color w:val="000000"/>
          <w:sz w:val="24"/>
          <w:highlight w:val="none"/>
        </w:rPr>
        <w:t>；</w:t>
      </w:r>
    </w:p>
    <w:p w14:paraId="09C354D1">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w:t>
      </w:r>
      <w:r>
        <w:rPr>
          <w:rFonts w:hint="eastAsia" w:ascii="宋体" w:hAnsi="宋体" w:eastAsia="宋体" w:cs="宋体"/>
          <w:color w:val="000000"/>
          <w:sz w:val="24"/>
          <w:highlight w:val="none"/>
          <w:lang w:val="en-US" w:eastAsia="zh-CN"/>
        </w:rPr>
        <w:t>完善了软件要求需提供的文档和试验方法</w:t>
      </w:r>
      <w:r>
        <w:rPr>
          <w:rFonts w:hint="eastAsia" w:ascii="宋体" w:hAnsi="宋体" w:eastAsia="宋体" w:cs="宋体"/>
          <w:color w:val="000000"/>
          <w:sz w:val="24"/>
          <w:highlight w:val="none"/>
        </w:rPr>
        <w:t>；</w:t>
      </w:r>
    </w:p>
    <w:p w14:paraId="001E3D8D">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w:t>
      </w:r>
      <w:r>
        <w:rPr>
          <w:rFonts w:hint="eastAsia" w:ascii="宋体" w:hAnsi="宋体" w:eastAsia="宋体" w:cs="宋体"/>
          <w:color w:val="000000"/>
          <w:sz w:val="24"/>
          <w:highlight w:val="none"/>
          <w:lang w:val="en-US" w:eastAsia="zh-CN"/>
        </w:rPr>
        <w:t>增加了</w:t>
      </w:r>
      <w:r>
        <w:rPr>
          <w:rFonts w:hint="eastAsia" w:ascii="宋体" w:hAnsi="宋体" w:eastAsia="宋体" w:cs="宋体"/>
          <w:snapToGrid w:val="0"/>
          <w:color w:val="000000"/>
          <w:kern w:val="0"/>
          <w:sz w:val="24"/>
          <w:szCs w:val="24"/>
          <w:highlight w:val="none"/>
          <w:lang w:val="en-GB"/>
        </w:rPr>
        <w:t>试验项目所用主要计量器具和设备</w:t>
      </w:r>
      <w:r>
        <w:rPr>
          <w:rFonts w:hint="eastAsia" w:ascii="宋体" w:hAnsi="宋体" w:eastAsia="宋体" w:cs="宋体"/>
          <w:color w:val="000000"/>
          <w:sz w:val="24"/>
          <w:highlight w:val="none"/>
        </w:rPr>
        <w:t>；</w:t>
      </w:r>
    </w:p>
    <w:p w14:paraId="3A70D646">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w:t>
      </w:r>
      <w:r>
        <w:rPr>
          <w:rFonts w:hint="eastAsia" w:ascii="宋体" w:hAnsi="宋体" w:eastAsia="宋体" w:cs="宋体"/>
          <w:color w:val="000000"/>
          <w:sz w:val="24"/>
          <w:highlight w:val="none"/>
          <w:lang w:val="en-US" w:eastAsia="zh-CN"/>
        </w:rPr>
        <w:t>增加了</w:t>
      </w:r>
      <w:r>
        <w:rPr>
          <w:rFonts w:hint="eastAsia" w:ascii="宋体" w:hAnsi="宋体" w:eastAsia="宋体" w:cs="宋体"/>
          <w:b w:val="0"/>
          <w:bCs w:val="0"/>
          <w:snapToGrid w:val="0"/>
          <w:color w:val="000000"/>
          <w:kern w:val="0"/>
          <w:sz w:val="24"/>
          <w:szCs w:val="24"/>
          <w:highlight w:val="none"/>
          <w:lang w:val="en-GB" w:eastAsia="zh-CN"/>
        </w:rPr>
        <w:t>出具型式评价报告、样机和技术资料的保密</w:t>
      </w:r>
      <w:r>
        <w:rPr>
          <w:rFonts w:hint="eastAsia" w:ascii="宋体" w:hAnsi="宋体" w:eastAsia="宋体" w:cs="宋体"/>
          <w:b w:val="0"/>
          <w:bCs w:val="0"/>
          <w:snapToGrid w:val="0"/>
          <w:color w:val="000000"/>
          <w:kern w:val="0"/>
          <w:sz w:val="24"/>
          <w:szCs w:val="24"/>
          <w:highlight w:val="none"/>
          <w:lang w:val="en-US" w:eastAsia="zh-CN"/>
        </w:rPr>
        <w:t>内容；</w:t>
      </w:r>
    </w:p>
    <w:p w14:paraId="5A6F07C5">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──修改了附录B</w:t>
      </w:r>
      <w:r>
        <w:rPr>
          <w:rFonts w:hint="eastAsia" w:ascii="宋体" w:hAnsi="宋体" w:eastAsia="宋体" w:cs="宋体"/>
          <w:color w:val="000000"/>
          <w:sz w:val="24"/>
          <w:highlight w:val="none"/>
          <w:lang w:eastAsia="zh-CN"/>
        </w:rPr>
        <w:t>自动</w:t>
      </w:r>
      <w:r>
        <w:rPr>
          <w:rFonts w:hint="eastAsia" w:ascii="宋体" w:hAnsi="宋体" w:eastAsia="宋体" w:cs="宋体"/>
          <w:color w:val="000000"/>
          <w:sz w:val="24"/>
          <w:highlight w:val="none"/>
          <w:lang w:val="en-US" w:eastAsia="zh-CN"/>
        </w:rPr>
        <w:t>轨道衡型式评价原始记录</w:t>
      </w:r>
      <w:r>
        <w:rPr>
          <w:rFonts w:hint="eastAsia" w:ascii="宋体" w:hAnsi="宋体" w:eastAsia="宋体" w:cs="宋体"/>
          <w:color w:val="000000"/>
          <w:sz w:val="24"/>
          <w:highlight w:val="none"/>
        </w:rPr>
        <w:t>（推荐）。</w:t>
      </w:r>
    </w:p>
    <w:p w14:paraId="04BF5618">
      <w:pPr>
        <w:numPr>
          <w:ilvl w:val="0"/>
          <w:numId w:val="11"/>
        </w:numPr>
        <w:spacing w:line="360" w:lineRule="auto"/>
        <w:ind w:left="567" w:hanging="567"/>
        <w:rPr>
          <w:rFonts w:ascii="Times New Roman" w:hAnsi="Times New Roman" w:eastAsia="黑体"/>
          <w:sz w:val="24"/>
          <w:szCs w:val="24"/>
        </w:rPr>
      </w:pPr>
      <w:r>
        <w:rPr>
          <w:rFonts w:hint="eastAsia" w:ascii="Times New Roman" w:hAnsi="黑体" w:eastAsia="黑体"/>
          <w:sz w:val="24"/>
          <w:szCs w:val="24"/>
        </w:rPr>
        <w:t>采标情况说明</w:t>
      </w:r>
    </w:p>
    <w:p w14:paraId="3B56985B">
      <w:pPr>
        <w:autoSpaceDE w:val="0"/>
        <w:autoSpaceDN w:val="0"/>
        <w:adjustRightInd w:val="0"/>
        <w:spacing w:line="360" w:lineRule="auto"/>
        <w:ind w:firstLine="420"/>
        <w:jc w:val="left"/>
        <w:rPr>
          <w:rFonts w:ascii="Times New Roman" w:hAnsi="Times New Roman"/>
          <w:szCs w:val="21"/>
        </w:rPr>
      </w:pPr>
      <w:r>
        <w:rPr>
          <w:rFonts w:hint="eastAsia" w:ascii="Times New Roman" w:hAnsi="Times New Roman" w:eastAsia="宋体" w:cs="Times New Roman"/>
          <w:color w:val="000000"/>
          <w:sz w:val="24"/>
          <w:szCs w:val="24"/>
        </w:rPr>
        <w:t>本大纲以GB/T11885《自动轨道衡》、OIML R106</w:t>
      </w:r>
      <w:r>
        <w:rPr>
          <w:rFonts w:hint="eastAsia" w:ascii="Times New Roman" w:hAnsi="Times New Roman" w:eastAsia="宋体" w:cs="Times New Roman"/>
          <w:color w:val="000000"/>
          <w:sz w:val="24"/>
          <w:szCs w:val="24"/>
          <w:lang w:val="en-US" w:eastAsia="zh-CN"/>
        </w:rPr>
        <w:t>-1</w:t>
      </w:r>
      <w:r>
        <w:rPr>
          <w:rFonts w:hint="eastAsia"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lang w:val="en-US" w:eastAsia="zh-CN"/>
        </w:rPr>
        <w:t>2011</w:t>
      </w:r>
      <w:r>
        <w:rPr>
          <w:rFonts w:hint="eastAsia" w:ascii="Times New Roman" w:hAnsi="Times New Roman" w:eastAsia="宋体" w:cs="Times New Roman"/>
          <w:color w:val="000000"/>
          <w:sz w:val="24"/>
          <w:szCs w:val="24"/>
        </w:rPr>
        <w:t>《自动轨道衡</w:t>
      </w:r>
      <w:r>
        <w:rPr>
          <w:rFonts w:hint="eastAsia" w:ascii="Times New Roman" w:hAnsi="Times New Roman" w:eastAsia="宋体" w:cs="Times New Roman"/>
          <w:color w:val="000000"/>
          <w:sz w:val="24"/>
          <w:szCs w:val="24"/>
          <w:lang w:eastAsia="zh-CN"/>
        </w:rPr>
        <w:t>：</w:t>
      </w:r>
      <w:r>
        <w:rPr>
          <w:rFonts w:hint="eastAsia" w:ascii="Times New Roman" w:hAnsi="Times New Roman" w:eastAsia="宋体" w:cs="Times New Roman"/>
          <w:color w:val="000000"/>
          <w:sz w:val="24"/>
          <w:szCs w:val="24"/>
          <w:highlight w:val="none"/>
          <w:lang w:val="en-US" w:eastAsia="zh-CN"/>
        </w:rPr>
        <w:t>第1部分：计量与技术要求》（</w:t>
      </w:r>
      <w:r>
        <w:rPr>
          <w:rFonts w:hint="eastAsia" w:ascii="Times New Roman" w:hAnsi="Times New Roman" w:eastAsia="宋体" w:cs="Times New Roman"/>
          <w:i w:val="0"/>
          <w:iCs w:val="0"/>
          <w:caps w:val="0"/>
          <w:color w:val="000000"/>
          <w:spacing w:val="0"/>
          <w:sz w:val="24"/>
          <w:szCs w:val="24"/>
          <w:shd w:val="clear" w:color="auto" w:fill="auto"/>
        </w:rPr>
        <w:t>Automatic rail-weighbridges - Part 1: Metrological and technical requirements</w:t>
      </w:r>
      <w:r>
        <w:rPr>
          <w:rFonts w:hint="eastAsia" w:ascii="Times New Roman" w:hAnsi="Times New Roman" w:eastAsia="宋体" w:cs="Times New Roman"/>
          <w:color w:val="000000"/>
          <w:sz w:val="24"/>
          <w:szCs w:val="24"/>
          <w:highlight w:val="none"/>
          <w:lang w:val="en-US" w:eastAsia="zh-CN"/>
        </w:rPr>
        <w:t>）</w:t>
      </w:r>
      <w:r>
        <w:rPr>
          <w:rFonts w:hint="eastAsia" w:ascii="Times New Roman" w:hAnsi="Times New Roman" w:eastAsia="宋体" w:cs="Times New Roman"/>
          <w:color w:val="000000"/>
          <w:sz w:val="24"/>
          <w:szCs w:val="24"/>
        </w:rPr>
        <w:t>和JJG</w:t>
      </w:r>
      <w:r>
        <w:rPr>
          <w:rFonts w:hint="eastAsia" w:ascii="Times New Roman" w:hAnsi="Times New Roman" w:eastAsia="宋体" w:cs="Times New Roman"/>
          <w:color w:val="000000"/>
          <w:sz w:val="24"/>
          <w:szCs w:val="24"/>
          <w:lang w:val="en-US" w:eastAsia="zh-CN"/>
        </w:rPr>
        <w:t>234</w:t>
      </w:r>
      <w:r>
        <w:rPr>
          <w:rFonts w:hint="eastAsia"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lang w:val="en-US" w:eastAsia="zh-CN"/>
        </w:rPr>
        <w:t>自动</w:t>
      </w:r>
      <w:r>
        <w:rPr>
          <w:rFonts w:hint="eastAsia" w:ascii="Times New Roman" w:hAnsi="Times New Roman" w:eastAsia="宋体" w:cs="Times New Roman"/>
          <w:color w:val="000000"/>
          <w:sz w:val="24"/>
          <w:szCs w:val="24"/>
        </w:rPr>
        <w:t>轨道衡》为技术依据，结合我国</w:t>
      </w:r>
      <w:r>
        <w:rPr>
          <w:rFonts w:hint="eastAsia" w:ascii="Times New Roman" w:hAnsi="Times New Roman" w:eastAsia="宋体" w:cs="Times New Roman"/>
          <w:color w:val="000000"/>
          <w:sz w:val="24"/>
          <w:szCs w:val="24"/>
          <w:lang w:val="en-US" w:eastAsia="zh-CN"/>
        </w:rPr>
        <w:t>自动</w:t>
      </w:r>
      <w:r>
        <w:rPr>
          <w:rFonts w:hint="eastAsia" w:ascii="Times New Roman" w:hAnsi="Times New Roman" w:eastAsia="宋体" w:cs="Times New Roman"/>
          <w:color w:val="000000"/>
          <w:sz w:val="24"/>
          <w:szCs w:val="24"/>
        </w:rPr>
        <w:t>轨道衡的行业现状，对JJF 13</w:t>
      </w:r>
      <w:r>
        <w:rPr>
          <w:rFonts w:hint="eastAsia" w:ascii="Times New Roman" w:hAnsi="Times New Roman" w:eastAsia="宋体" w:cs="Times New Roman"/>
          <w:color w:val="000000"/>
          <w:sz w:val="24"/>
          <w:szCs w:val="24"/>
          <w:lang w:val="en-US" w:eastAsia="zh-CN"/>
        </w:rPr>
        <w:t>59</w:t>
      </w:r>
      <w:r>
        <w:rPr>
          <w:rFonts w:hint="eastAsia" w:ascii="Times New Roman" w:hAnsi="Times New Roman" w:eastAsia="宋体" w:cs="Times New Roman"/>
          <w:color w:val="000000"/>
          <w:sz w:val="24"/>
          <w:szCs w:val="24"/>
        </w:rPr>
        <w:t>-2012《</w:t>
      </w:r>
      <w:r>
        <w:rPr>
          <w:rFonts w:hint="eastAsia" w:ascii="Times New Roman" w:hAnsi="Times New Roman" w:eastAsia="宋体" w:cs="Times New Roman"/>
          <w:color w:val="000000"/>
          <w:sz w:val="24"/>
          <w:szCs w:val="24"/>
          <w:lang w:val="en-US" w:eastAsia="zh-CN"/>
        </w:rPr>
        <w:t>自动轨道衡（动态称量轨道衡）</w:t>
      </w:r>
      <w:r>
        <w:rPr>
          <w:rFonts w:hint="eastAsia" w:ascii="Times New Roman" w:hAnsi="Times New Roman" w:eastAsia="宋体" w:cs="Times New Roman"/>
          <w:color w:val="000000"/>
          <w:sz w:val="24"/>
          <w:szCs w:val="24"/>
        </w:rPr>
        <w:t>型式评价大纲》进行修订。技术要求参考了国际建议。</w:t>
      </w:r>
    </w:p>
    <w:p w14:paraId="041FB966">
      <w:pPr>
        <w:numPr>
          <w:ilvl w:val="0"/>
          <w:numId w:val="11"/>
        </w:numPr>
        <w:spacing w:line="360" w:lineRule="auto"/>
        <w:ind w:left="567" w:hanging="567"/>
        <w:rPr>
          <w:rFonts w:ascii="Times New Roman" w:hAnsi="Times New Roman" w:eastAsia="黑体"/>
          <w:sz w:val="24"/>
          <w:szCs w:val="24"/>
        </w:rPr>
      </w:pPr>
      <w:r>
        <w:rPr>
          <w:rFonts w:hint="eastAsia" w:ascii="Times New Roman" w:hAnsi="黑体" w:eastAsia="黑体"/>
          <w:sz w:val="24"/>
          <w:szCs w:val="24"/>
        </w:rPr>
        <w:t>意见分歧与处理</w:t>
      </w:r>
    </w:p>
    <w:p w14:paraId="50182577">
      <w:pPr>
        <w:autoSpaceDE w:val="0"/>
        <w:autoSpaceDN w:val="0"/>
        <w:adjustRightInd w:val="0"/>
        <w:spacing w:line="360" w:lineRule="auto"/>
        <w:ind w:firstLine="420"/>
        <w:jc w:val="left"/>
        <w:rPr>
          <w:rFonts w:ascii="Times New Roman"/>
          <w:sz w:val="24"/>
          <w:szCs w:val="24"/>
        </w:rPr>
      </w:pPr>
      <w:r>
        <w:rPr>
          <w:rFonts w:hint="eastAsia" w:ascii="Times New Roman"/>
          <w:sz w:val="24"/>
          <w:szCs w:val="24"/>
        </w:rPr>
        <w:t>本</w:t>
      </w:r>
      <w:r>
        <w:rPr>
          <w:rFonts w:hint="eastAsia" w:ascii="Times New Roman" w:hAnsi="Times New Roman"/>
          <w:sz w:val="24"/>
          <w:szCs w:val="24"/>
        </w:rPr>
        <w:t>计量技术规范</w:t>
      </w:r>
      <w:r>
        <w:rPr>
          <w:rFonts w:hint="eastAsia" w:ascii="Times New Roman"/>
          <w:sz w:val="24"/>
          <w:szCs w:val="24"/>
        </w:rPr>
        <w:t>在起草过程中未出现重大异议或分歧。</w:t>
      </w:r>
    </w:p>
    <w:p w14:paraId="1A156183">
      <w:pPr>
        <w:spacing w:line="440" w:lineRule="exact"/>
        <w:ind w:firstLine="480" w:firstLineChars="200"/>
        <w:jc w:val="right"/>
        <w:rPr>
          <w:rFonts w:ascii="宋体" w:hAnsi="宋体"/>
          <w:color w:val="000000"/>
          <w:sz w:val="24"/>
        </w:rPr>
      </w:pPr>
      <w:r>
        <w:rPr>
          <w:rFonts w:hint="eastAsia" w:ascii="Times New Roman" w:hAnsi="Times New Roman" w:eastAsia="宋体" w:cs="Times New Roman"/>
          <w:sz w:val="24"/>
        </w:rPr>
        <w:t>《自动轨道衡型式评价大纲</w:t>
      </w:r>
      <w:r>
        <w:rPr>
          <w:rFonts w:hint="eastAsia"/>
          <w:color w:val="000000"/>
          <w:sz w:val="24"/>
        </w:rPr>
        <w:t>》</w:t>
      </w:r>
      <w:r>
        <w:rPr>
          <w:rFonts w:hint="eastAsia" w:ascii="宋体" w:hAnsi="宋体"/>
          <w:color w:val="000000"/>
          <w:sz w:val="24"/>
        </w:rPr>
        <w:t>起草组</w:t>
      </w:r>
    </w:p>
    <w:p w14:paraId="09061D03">
      <w:pPr>
        <w:widowControl/>
        <w:spacing w:line="360" w:lineRule="auto"/>
        <w:jc w:val="right"/>
        <w:rPr>
          <w:rFonts w:ascii="宋体" w:hAnsi="宋体"/>
          <w:color w:val="000000"/>
          <w:sz w:val="24"/>
        </w:rPr>
      </w:pPr>
      <w:r>
        <w:rPr>
          <w:rFonts w:hint="eastAsia" w:ascii="宋体" w:hAnsi="宋体"/>
          <w:color w:val="000000"/>
          <w:sz w:val="24"/>
        </w:rPr>
        <w:t>202</w:t>
      </w:r>
      <w:r>
        <w:rPr>
          <w:rFonts w:hint="eastAsia" w:ascii="宋体" w:hAnsi="宋体"/>
          <w:color w:val="000000"/>
          <w:sz w:val="24"/>
          <w:lang w:val="en-US" w:eastAsia="zh-CN"/>
        </w:rPr>
        <w:t>6</w:t>
      </w:r>
      <w:r>
        <w:rPr>
          <w:rFonts w:ascii="宋体" w:hAnsi="宋体"/>
          <w:color w:val="000000"/>
          <w:sz w:val="24"/>
        </w:rPr>
        <w:t>年</w:t>
      </w:r>
      <w:r>
        <w:rPr>
          <w:rFonts w:hint="eastAsia" w:ascii="宋体" w:hAnsi="宋体"/>
          <w:color w:val="000000"/>
          <w:sz w:val="24"/>
          <w:lang w:val="en-US" w:eastAsia="zh-CN"/>
        </w:rPr>
        <w:t>8</w:t>
      </w:r>
      <w:r>
        <w:rPr>
          <w:rFonts w:ascii="宋体" w:hAnsi="宋体"/>
          <w:color w:val="000000"/>
          <w:sz w:val="24"/>
        </w:rPr>
        <w:t>月</w:t>
      </w:r>
    </w:p>
    <w:sectPr>
      <w:footerReference r:id="rId3" w:type="default"/>
      <w:pgSz w:w="11906" w:h="16838"/>
      <w:pgMar w:top="1361" w:right="1797" w:bottom="1361" w:left="1797"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crosoft YaHei UI">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5865"/>
    </w:sdtPr>
    <w:sdtContent>
      <w:sdt>
        <w:sdtPr>
          <w:id w:val="98381352"/>
        </w:sdtPr>
        <w:sdtContent>
          <w:p w14:paraId="54F8ADB8">
            <w:pPr>
              <w:pStyle w:val="55"/>
              <w:jc w:val="center"/>
            </w:pPr>
            <w:r>
              <w:rPr>
                <w:lang w:val="zh-CN"/>
              </w:rPr>
              <w:t xml:space="preserve"> </w:t>
            </w:r>
            <w:r>
              <w:fldChar w:fldCharType="begin"/>
            </w:r>
            <w:r>
              <w:instrText xml:space="preserve">PAGE</w:instrText>
            </w:r>
            <w:r>
              <w:fldChar w:fldCharType="separate"/>
            </w:r>
            <w:r>
              <w:t>3</w:t>
            </w:r>
            <w:r>
              <w:fldChar w:fldCharType="end"/>
            </w:r>
            <w:r>
              <w:rPr>
                <w:lang w:val="zh-CN"/>
              </w:rPr>
              <w:t xml:space="preserve"> / </w:t>
            </w:r>
            <w:r>
              <w:fldChar w:fldCharType="begin"/>
            </w:r>
            <w:r>
              <w:instrText xml:space="preserve">NUMPAGES</w:instrText>
            </w:r>
            <w:r>
              <w:fldChar w:fldCharType="separate"/>
            </w:r>
            <w:r>
              <w:t>4</w:t>
            </w:r>
            <w:r>
              <w:fldChar w:fldCharType="end"/>
            </w:r>
          </w:p>
        </w:sdtContent>
      </w:sdt>
    </w:sdtContent>
  </w:sdt>
  <w:p w14:paraId="39AE8896">
    <w:pPr>
      <w:pStyle w:val="5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5"/>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47"/>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36"/>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14"/>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46"/>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17"/>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33"/>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0"/>
      <w:lvlText w:val=""/>
      <w:lvlJc w:val="left"/>
      <w:pPr>
        <w:tabs>
          <w:tab w:val="left" w:pos="780"/>
        </w:tabs>
        <w:ind w:left="780" w:leftChars="200" w:hanging="360" w:hangingChars="200"/>
      </w:pPr>
      <w:rPr>
        <w:rFonts w:hint="default" w:ascii="Wingdings" w:hAnsi="Wingdings"/>
      </w:rPr>
    </w:lvl>
  </w:abstractNum>
  <w:abstractNum w:abstractNumId="8">
    <w:nsid w:val="FFFFFF88"/>
    <w:multiLevelType w:val="singleLevel"/>
    <w:tmpl w:val="FFFFFF88"/>
    <w:lvl w:ilvl="0" w:tentative="0">
      <w:start w:val="1"/>
      <w:numFmt w:val="decimal"/>
      <w:pStyle w:val="20"/>
      <w:lvlText w:val="%1."/>
      <w:lvlJc w:val="left"/>
      <w:pPr>
        <w:tabs>
          <w:tab w:val="left" w:pos="360"/>
        </w:tabs>
        <w:ind w:left="360" w:hanging="360" w:hangingChars="200"/>
      </w:pPr>
    </w:lvl>
  </w:abstractNum>
  <w:abstractNum w:abstractNumId="9">
    <w:nsid w:val="FFFFFF89"/>
    <w:multiLevelType w:val="singleLevel"/>
    <w:tmpl w:val="FFFFFF89"/>
    <w:lvl w:ilvl="0" w:tentative="0">
      <w:start w:val="1"/>
      <w:numFmt w:val="bullet"/>
      <w:pStyle w:val="24"/>
      <w:lvlText w:val=""/>
      <w:lvlJc w:val="left"/>
      <w:pPr>
        <w:tabs>
          <w:tab w:val="left" w:pos="360"/>
        </w:tabs>
        <w:ind w:left="360" w:hanging="360" w:hangingChars="200"/>
      </w:pPr>
      <w:rPr>
        <w:rFonts w:hint="default" w:ascii="Wingdings" w:hAnsi="Wingdings"/>
      </w:rPr>
    </w:lvl>
  </w:abstractNum>
  <w:abstractNum w:abstractNumId="10">
    <w:nsid w:val="48273399"/>
    <w:multiLevelType w:val="multilevel"/>
    <w:tmpl w:val="48273399"/>
    <w:lvl w:ilvl="0" w:tentative="0">
      <w:start w:val="1"/>
      <w:numFmt w:val="chineseCountingThousand"/>
      <w:suff w:val="space"/>
      <w:lvlText w:val="%1、"/>
      <w:lvlJc w:val="left"/>
      <w:pPr>
        <w:ind w:left="960" w:hanging="48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B510A0"/>
    <w:rsid w:val="00000B72"/>
    <w:rsid w:val="000014E4"/>
    <w:rsid w:val="00002423"/>
    <w:rsid w:val="00003E32"/>
    <w:rsid w:val="00012157"/>
    <w:rsid w:val="00013A43"/>
    <w:rsid w:val="000240AA"/>
    <w:rsid w:val="00030BEF"/>
    <w:rsid w:val="000316C0"/>
    <w:rsid w:val="00032250"/>
    <w:rsid w:val="000334A8"/>
    <w:rsid w:val="000437C3"/>
    <w:rsid w:val="00045EEF"/>
    <w:rsid w:val="00050D46"/>
    <w:rsid w:val="00055954"/>
    <w:rsid w:val="00056CFB"/>
    <w:rsid w:val="000600DE"/>
    <w:rsid w:val="000621D0"/>
    <w:rsid w:val="00063481"/>
    <w:rsid w:val="00065D2A"/>
    <w:rsid w:val="00066C25"/>
    <w:rsid w:val="00072564"/>
    <w:rsid w:val="00072EDA"/>
    <w:rsid w:val="00073161"/>
    <w:rsid w:val="000731BD"/>
    <w:rsid w:val="00073D7E"/>
    <w:rsid w:val="00077C0D"/>
    <w:rsid w:val="00083487"/>
    <w:rsid w:val="000849C7"/>
    <w:rsid w:val="00084D7A"/>
    <w:rsid w:val="000900A8"/>
    <w:rsid w:val="000918E2"/>
    <w:rsid w:val="00091ED7"/>
    <w:rsid w:val="00093184"/>
    <w:rsid w:val="0009521D"/>
    <w:rsid w:val="0009661A"/>
    <w:rsid w:val="00096683"/>
    <w:rsid w:val="00096EC6"/>
    <w:rsid w:val="000A1DF7"/>
    <w:rsid w:val="000A26CC"/>
    <w:rsid w:val="000A4FFE"/>
    <w:rsid w:val="000A7171"/>
    <w:rsid w:val="000B0B3B"/>
    <w:rsid w:val="000B0E84"/>
    <w:rsid w:val="000B19D4"/>
    <w:rsid w:val="000B23C1"/>
    <w:rsid w:val="000C1280"/>
    <w:rsid w:val="000C34BD"/>
    <w:rsid w:val="000C69E2"/>
    <w:rsid w:val="000C729B"/>
    <w:rsid w:val="000C7EC8"/>
    <w:rsid w:val="000D0D1B"/>
    <w:rsid w:val="000D0F04"/>
    <w:rsid w:val="000D138A"/>
    <w:rsid w:val="000D170B"/>
    <w:rsid w:val="000D1F75"/>
    <w:rsid w:val="000D4B83"/>
    <w:rsid w:val="000F0DAE"/>
    <w:rsid w:val="000F18F7"/>
    <w:rsid w:val="000F2886"/>
    <w:rsid w:val="000F5A66"/>
    <w:rsid w:val="000F6725"/>
    <w:rsid w:val="000F712E"/>
    <w:rsid w:val="00104BF5"/>
    <w:rsid w:val="00106498"/>
    <w:rsid w:val="0010712C"/>
    <w:rsid w:val="00107E81"/>
    <w:rsid w:val="0011023E"/>
    <w:rsid w:val="00110E74"/>
    <w:rsid w:val="0011446F"/>
    <w:rsid w:val="00115685"/>
    <w:rsid w:val="00120412"/>
    <w:rsid w:val="00120DB9"/>
    <w:rsid w:val="00127A5B"/>
    <w:rsid w:val="0013176D"/>
    <w:rsid w:val="00133041"/>
    <w:rsid w:val="00134111"/>
    <w:rsid w:val="0013412C"/>
    <w:rsid w:val="00135CDE"/>
    <w:rsid w:val="00136612"/>
    <w:rsid w:val="00137685"/>
    <w:rsid w:val="001403C7"/>
    <w:rsid w:val="00142102"/>
    <w:rsid w:val="00144BBE"/>
    <w:rsid w:val="00145D93"/>
    <w:rsid w:val="00150A66"/>
    <w:rsid w:val="001579EA"/>
    <w:rsid w:val="00161004"/>
    <w:rsid w:val="0016218F"/>
    <w:rsid w:val="001627F9"/>
    <w:rsid w:val="0016308D"/>
    <w:rsid w:val="001641CE"/>
    <w:rsid w:val="00166144"/>
    <w:rsid w:val="00166EE3"/>
    <w:rsid w:val="0016760A"/>
    <w:rsid w:val="00167CC7"/>
    <w:rsid w:val="00170228"/>
    <w:rsid w:val="00172406"/>
    <w:rsid w:val="00173476"/>
    <w:rsid w:val="001736AB"/>
    <w:rsid w:val="00175F13"/>
    <w:rsid w:val="00176391"/>
    <w:rsid w:val="00183806"/>
    <w:rsid w:val="00184FD4"/>
    <w:rsid w:val="00190FFE"/>
    <w:rsid w:val="00192D83"/>
    <w:rsid w:val="0019600E"/>
    <w:rsid w:val="001970FA"/>
    <w:rsid w:val="001A0F87"/>
    <w:rsid w:val="001A2000"/>
    <w:rsid w:val="001A392B"/>
    <w:rsid w:val="001A76C2"/>
    <w:rsid w:val="001B13C7"/>
    <w:rsid w:val="001B303E"/>
    <w:rsid w:val="001C03A9"/>
    <w:rsid w:val="001C0AD6"/>
    <w:rsid w:val="001C1CC7"/>
    <w:rsid w:val="001C222C"/>
    <w:rsid w:val="001C37EE"/>
    <w:rsid w:val="001C3DDB"/>
    <w:rsid w:val="001C62D4"/>
    <w:rsid w:val="001D2525"/>
    <w:rsid w:val="001D2B20"/>
    <w:rsid w:val="001E0BAC"/>
    <w:rsid w:val="001F097C"/>
    <w:rsid w:val="001F2E36"/>
    <w:rsid w:val="001F45BA"/>
    <w:rsid w:val="001F6F18"/>
    <w:rsid w:val="00200B95"/>
    <w:rsid w:val="00212F14"/>
    <w:rsid w:val="0021481C"/>
    <w:rsid w:val="002159AA"/>
    <w:rsid w:val="00215D66"/>
    <w:rsid w:val="00216B36"/>
    <w:rsid w:val="002206B6"/>
    <w:rsid w:val="00224D3D"/>
    <w:rsid w:val="002269C9"/>
    <w:rsid w:val="00227B9E"/>
    <w:rsid w:val="002303E4"/>
    <w:rsid w:val="00232F8C"/>
    <w:rsid w:val="0023470D"/>
    <w:rsid w:val="00235D61"/>
    <w:rsid w:val="002369C9"/>
    <w:rsid w:val="002404AF"/>
    <w:rsid w:val="00240B18"/>
    <w:rsid w:val="00241AA4"/>
    <w:rsid w:val="00242A45"/>
    <w:rsid w:val="00246958"/>
    <w:rsid w:val="00250EAE"/>
    <w:rsid w:val="002511EC"/>
    <w:rsid w:val="00251A72"/>
    <w:rsid w:val="00253D94"/>
    <w:rsid w:val="00254EA9"/>
    <w:rsid w:val="00255E92"/>
    <w:rsid w:val="0025614E"/>
    <w:rsid w:val="00257274"/>
    <w:rsid w:val="002601FB"/>
    <w:rsid w:val="00264F5E"/>
    <w:rsid w:val="00272F1E"/>
    <w:rsid w:val="00273EA8"/>
    <w:rsid w:val="00275BF0"/>
    <w:rsid w:val="0027646A"/>
    <w:rsid w:val="00276526"/>
    <w:rsid w:val="00277916"/>
    <w:rsid w:val="00293AB3"/>
    <w:rsid w:val="00293D82"/>
    <w:rsid w:val="002952F9"/>
    <w:rsid w:val="002968CF"/>
    <w:rsid w:val="00297B46"/>
    <w:rsid w:val="002A4502"/>
    <w:rsid w:val="002A5A04"/>
    <w:rsid w:val="002A694E"/>
    <w:rsid w:val="002B1FB9"/>
    <w:rsid w:val="002B2378"/>
    <w:rsid w:val="002B3B0E"/>
    <w:rsid w:val="002B4C81"/>
    <w:rsid w:val="002B5DD7"/>
    <w:rsid w:val="002B64B3"/>
    <w:rsid w:val="002C0C05"/>
    <w:rsid w:val="002C302B"/>
    <w:rsid w:val="002C4F47"/>
    <w:rsid w:val="002C5E67"/>
    <w:rsid w:val="002C6049"/>
    <w:rsid w:val="002C7A37"/>
    <w:rsid w:val="002D2575"/>
    <w:rsid w:val="002D29F1"/>
    <w:rsid w:val="002D3E34"/>
    <w:rsid w:val="002D6916"/>
    <w:rsid w:val="002D74BA"/>
    <w:rsid w:val="002E4361"/>
    <w:rsid w:val="002E505C"/>
    <w:rsid w:val="002F253F"/>
    <w:rsid w:val="002F34DF"/>
    <w:rsid w:val="002F5E6F"/>
    <w:rsid w:val="002F66E7"/>
    <w:rsid w:val="002F6DF3"/>
    <w:rsid w:val="0030235B"/>
    <w:rsid w:val="00303AAE"/>
    <w:rsid w:val="003057A6"/>
    <w:rsid w:val="003107EC"/>
    <w:rsid w:val="00312EC2"/>
    <w:rsid w:val="003143F3"/>
    <w:rsid w:val="00314CD2"/>
    <w:rsid w:val="00325F20"/>
    <w:rsid w:val="00331132"/>
    <w:rsid w:val="00335425"/>
    <w:rsid w:val="003426A9"/>
    <w:rsid w:val="00346541"/>
    <w:rsid w:val="0034720E"/>
    <w:rsid w:val="0035596A"/>
    <w:rsid w:val="00357705"/>
    <w:rsid w:val="00357808"/>
    <w:rsid w:val="003603AF"/>
    <w:rsid w:val="003626CF"/>
    <w:rsid w:val="003626F2"/>
    <w:rsid w:val="00362E80"/>
    <w:rsid w:val="0036474E"/>
    <w:rsid w:val="00364B4C"/>
    <w:rsid w:val="00365DD2"/>
    <w:rsid w:val="00374695"/>
    <w:rsid w:val="003747C4"/>
    <w:rsid w:val="00375BC4"/>
    <w:rsid w:val="003769B9"/>
    <w:rsid w:val="00376EB1"/>
    <w:rsid w:val="00380106"/>
    <w:rsid w:val="0038203F"/>
    <w:rsid w:val="00385607"/>
    <w:rsid w:val="003904FC"/>
    <w:rsid w:val="00394543"/>
    <w:rsid w:val="00394E82"/>
    <w:rsid w:val="003955E3"/>
    <w:rsid w:val="003A000B"/>
    <w:rsid w:val="003A1AE4"/>
    <w:rsid w:val="003A3CEB"/>
    <w:rsid w:val="003A4E56"/>
    <w:rsid w:val="003A7D4E"/>
    <w:rsid w:val="003B1204"/>
    <w:rsid w:val="003B1E27"/>
    <w:rsid w:val="003B213A"/>
    <w:rsid w:val="003B38B5"/>
    <w:rsid w:val="003B4265"/>
    <w:rsid w:val="003C0E21"/>
    <w:rsid w:val="003C25AC"/>
    <w:rsid w:val="003C2DE0"/>
    <w:rsid w:val="003C4C37"/>
    <w:rsid w:val="003C6670"/>
    <w:rsid w:val="003D1F39"/>
    <w:rsid w:val="003D3040"/>
    <w:rsid w:val="003D38C0"/>
    <w:rsid w:val="003D44E7"/>
    <w:rsid w:val="003D466D"/>
    <w:rsid w:val="003D5372"/>
    <w:rsid w:val="003D6F5A"/>
    <w:rsid w:val="003D7E5A"/>
    <w:rsid w:val="003E1014"/>
    <w:rsid w:val="003E4F25"/>
    <w:rsid w:val="003E5976"/>
    <w:rsid w:val="003E6C86"/>
    <w:rsid w:val="003E78A2"/>
    <w:rsid w:val="003F1F07"/>
    <w:rsid w:val="003F2C82"/>
    <w:rsid w:val="003F50BA"/>
    <w:rsid w:val="003F5931"/>
    <w:rsid w:val="003F67DF"/>
    <w:rsid w:val="003F6B2B"/>
    <w:rsid w:val="003F7B1F"/>
    <w:rsid w:val="004025B8"/>
    <w:rsid w:val="0040459A"/>
    <w:rsid w:val="00407191"/>
    <w:rsid w:val="004103D0"/>
    <w:rsid w:val="004108EE"/>
    <w:rsid w:val="0041144F"/>
    <w:rsid w:val="0041234B"/>
    <w:rsid w:val="00412417"/>
    <w:rsid w:val="00413EC7"/>
    <w:rsid w:val="0041553D"/>
    <w:rsid w:val="0041590B"/>
    <w:rsid w:val="00421A4F"/>
    <w:rsid w:val="00422561"/>
    <w:rsid w:val="00424138"/>
    <w:rsid w:val="00425DFE"/>
    <w:rsid w:val="00427EF0"/>
    <w:rsid w:val="00432DC7"/>
    <w:rsid w:val="00433489"/>
    <w:rsid w:val="004353C6"/>
    <w:rsid w:val="004427F2"/>
    <w:rsid w:val="00442DA2"/>
    <w:rsid w:val="0044472E"/>
    <w:rsid w:val="00444DBB"/>
    <w:rsid w:val="004459C6"/>
    <w:rsid w:val="00450D8D"/>
    <w:rsid w:val="00452764"/>
    <w:rsid w:val="00454DBF"/>
    <w:rsid w:val="004567AA"/>
    <w:rsid w:val="00456972"/>
    <w:rsid w:val="004576EC"/>
    <w:rsid w:val="0046086A"/>
    <w:rsid w:val="00470294"/>
    <w:rsid w:val="004707AA"/>
    <w:rsid w:val="004744CB"/>
    <w:rsid w:val="00475364"/>
    <w:rsid w:val="00475825"/>
    <w:rsid w:val="004774A5"/>
    <w:rsid w:val="00483847"/>
    <w:rsid w:val="0048566B"/>
    <w:rsid w:val="00485768"/>
    <w:rsid w:val="00487C1D"/>
    <w:rsid w:val="00487D22"/>
    <w:rsid w:val="00491CB1"/>
    <w:rsid w:val="00492149"/>
    <w:rsid w:val="00493135"/>
    <w:rsid w:val="00494694"/>
    <w:rsid w:val="00494E4A"/>
    <w:rsid w:val="00494FD5"/>
    <w:rsid w:val="00495456"/>
    <w:rsid w:val="00497E3E"/>
    <w:rsid w:val="004A3F44"/>
    <w:rsid w:val="004A63FD"/>
    <w:rsid w:val="004B390C"/>
    <w:rsid w:val="004B4AF0"/>
    <w:rsid w:val="004C3DC5"/>
    <w:rsid w:val="004C455D"/>
    <w:rsid w:val="004D0608"/>
    <w:rsid w:val="004D2D95"/>
    <w:rsid w:val="004D71BD"/>
    <w:rsid w:val="004E41B5"/>
    <w:rsid w:val="004E4F0F"/>
    <w:rsid w:val="004E4FC1"/>
    <w:rsid w:val="004F0996"/>
    <w:rsid w:val="004F1D5F"/>
    <w:rsid w:val="004F4E79"/>
    <w:rsid w:val="004F6B49"/>
    <w:rsid w:val="0050326F"/>
    <w:rsid w:val="00505CA2"/>
    <w:rsid w:val="005068FA"/>
    <w:rsid w:val="00513E6B"/>
    <w:rsid w:val="00513F24"/>
    <w:rsid w:val="00514A3B"/>
    <w:rsid w:val="005155BF"/>
    <w:rsid w:val="005178FE"/>
    <w:rsid w:val="005205F7"/>
    <w:rsid w:val="00520C85"/>
    <w:rsid w:val="00521933"/>
    <w:rsid w:val="00522223"/>
    <w:rsid w:val="00522387"/>
    <w:rsid w:val="00522952"/>
    <w:rsid w:val="00523721"/>
    <w:rsid w:val="00523E97"/>
    <w:rsid w:val="005260AA"/>
    <w:rsid w:val="005268DB"/>
    <w:rsid w:val="00531B50"/>
    <w:rsid w:val="00533267"/>
    <w:rsid w:val="00536865"/>
    <w:rsid w:val="00536FC5"/>
    <w:rsid w:val="00537A8B"/>
    <w:rsid w:val="00543050"/>
    <w:rsid w:val="005459BD"/>
    <w:rsid w:val="00545CAF"/>
    <w:rsid w:val="005461D4"/>
    <w:rsid w:val="0054788A"/>
    <w:rsid w:val="0055385C"/>
    <w:rsid w:val="00554B6F"/>
    <w:rsid w:val="00555FAC"/>
    <w:rsid w:val="005629E2"/>
    <w:rsid w:val="00563A66"/>
    <w:rsid w:val="0056709B"/>
    <w:rsid w:val="005675E8"/>
    <w:rsid w:val="00570302"/>
    <w:rsid w:val="00570316"/>
    <w:rsid w:val="00573208"/>
    <w:rsid w:val="00573712"/>
    <w:rsid w:val="00577306"/>
    <w:rsid w:val="00581215"/>
    <w:rsid w:val="00581D42"/>
    <w:rsid w:val="00584431"/>
    <w:rsid w:val="00587554"/>
    <w:rsid w:val="00590DEC"/>
    <w:rsid w:val="00592130"/>
    <w:rsid w:val="00595430"/>
    <w:rsid w:val="005A11F6"/>
    <w:rsid w:val="005A3988"/>
    <w:rsid w:val="005A3C5A"/>
    <w:rsid w:val="005A3EBC"/>
    <w:rsid w:val="005A7CC0"/>
    <w:rsid w:val="005B2DDC"/>
    <w:rsid w:val="005B3876"/>
    <w:rsid w:val="005B6D53"/>
    <w:rsid w:val="005B7DA7"/>
    <w:rsid w:val="005C36CE"/>
    <w:rsid w:val="005C40F4"/>
    <w:rsid w:val="005C4863"/>
    <w:rsid w:val="005C5E0F"/>
    <w:rsid w:val="005C62D0"/>
    <w:rsid w:val="005C6998"/>
    <w:rsid w:val="005C7A49"/>
    <w:rsid w:val="005D1D86"/>
    <w:rsid w:val="005D4432"/>
    <w:rsid w:val="005D4F65"/>
    <w:rsid w:val="005D76A1"/>
    <w:rsid w:val="005E25FE"/>
    <w:rsid w:val="005E327B"/>
    <w:rsid w:val="005E51D5"/>
    <w:rsid w:val="005E732C"/>
    <w:rsid w:val="005E7A76"/>
    <w:rsid w:val="005F0453"/>
    <w:rsid w:val="005F11A8"/>
    <w:rsid w:val="005F1987"/>
    <w:rsid w:val="0060584E"/>
    <w:rsid w:val="00605BFD"/>
    <w:rsid w:val="00605FAF"/>
    <w:rsid w:val="00610451"/>
    <w:rsid w:val="00611658"/>
    <w:rsid w:val="0061229F"/>
    <w:rsid w:val="00613B02"/>
    <w:rsid w:val="0061449D"/>
    <w:rsid w:val="00621587"/>
    <w:rsid w:val="00623666"/>
    <w:rsid w:val="00624115"/>
    <w:rsid w:val="006242EA"/>
    <w:rsid w:val="0062520C"/>
    <w:rsid w:val="006279C2"/>
    <w:rsid w:val="00631F6E"/>
    <w:rsid w:val="006355DA"/>
    <w:rsid w:val="00637297"/>
    <w:rsid w:val="006378CD"/>
    <w:rsid w:val="00637984"/>
    <w:rsid w:val="00641BC2"/>
    <w:rsid w:val="00644134"/>
    <w:rsid w:val="00646A20"/>
    <w:rsid w:val="00647EA4"/>
    <w:rsid w:val="00647F07"/>
    <w:rsid w:val="00651228"/>
    <w:rsid w:val="00654409"/>
    <w:rsid w:val="006552B0"/>
    <w:rsid w:val="00660EC1"/>
    <w:rsid w:val="00661012"/>
    <w:rsid w:val="00663148"/>
    <w:rsid w:val="0066367C"/>
    <w:rsid w:val="00663D0A"/>
    <w:rsid w:val="0066613D"/>
    <w:rsid w:val="006701FE"/>
    <w:rsid w:val="0067171F"/>
    <w:rsid w:val="00673381"/>
    <w:rsid w:val="00674D90"/>
    <w:rsid w:val="006755B5"/>
    <w:rsid w:val="006768BC"/>
    <w:rsid w:val="00681788"/>
    <w:rsid w:val="0068265D"/>
    <w:rsid w:val="00683EB8"/>
    <w:rsid w:val="00686E82"/>
    <w:rsid w:val="006960DF"/>
    <w:rsid w:val="006963B8"/>
    <w:rsid w:val="006A3C96"/>
    <w:rsid w:val="006A475F"/>
    <w:rsid w:val="006A6DE0"/>
    <w:rsid w:val="006B1E58"/>
    <w:rsid w:val="006B271F"/>
    <w:rsid w:val="006B420D"/>
    <w:rsid w:val="006B71E1"/>
    <w:rsid w:val="006B7581"/>
    <w:rsid w:val="006B7EBC"/>
    <w:rsid w:val="006C57C0"/>
    <w:rsid w:val="006C6033"/>
    <w:rsid w:val="006D2885"/>
    <w:rsid w:val="006D2A28"/>
    <w:rsid w:val="006D2B65"/>
    <w:rsid w:val="006D35EE"/>
    <w:rsid w:val="006D4A50"/>
    <w:rsid w:val="006E00A8"/>
    <w:rsid w:val="006E0CCE"/>
    <w:rsid w:val="006E1DBC"/>
    <w:rsid w:val="006E48CD"/>
    <w:rsid w:val="006E72E1"/>
    <w:rsid w:val="006E78D2"/>
    <w:rsid w:val="006F0AF2"/>
    <w:rsid w:val="006F673C"/>
    <w:rsid w:val="006F76FE"/>
    <w:rsid w:val="00704167"/>
    <w:rsid w:val="0070696B"/>
    <w:rsid w:val="0070697B"/>
    <w:rsid w:val="007121C7"/>
    <w:rsid w:val="0071547C"/>
    <w:rsid w:val="00716909"/>
    <w:rsid w:val="00716A95"/>
    <w:rsid w:val="0071722E"/>
    <w:rsid w:val="00717F47"/>
    <w:rsid w:val="007200C0"/>
    <w:rsid w:val="00722612"/>
    <w:rsid w:val="00725BB0"/>
    <w:rsid w:val="00727610"/>
    <w:rsid w:val="00727AB8"/>
    <w:rsid w:val="00733A75"/>
    <w:rsid w:val="007348E4"/>
    <w:rsid w:val="00736D12"/>
    <w:rsid w:val="0073726C"/>
    <w:rsid w:val="007413D7"/>
    <w:rsid w:val="0074191D"/>
    <w:rsid w:val="00741CD3"/>
    <w:rsid w:val="00742E5C"/>
    <w:rsid w:val="00742F44"/>
    <w:rsid w:val="00745A91"/>
    <w:rsid w:val="00747B92"/>
    <w:rsid w:val="00751F7F"/>
    <w:rsid w:val="00754351"/>
    <w:rsid w:val="00755458"/>
    <w:rsid w:val="00761E7B"/>
    <w:rsid w:val="00761FD0"/>
    <w:rsid w:val="00763067"/>
    <w:rsid w:val="00764007"/>
    <w:rsid w:val="00771806"/>
    <w:rsid w:val="00773490"/>
    <w:rsid w:val="00773FFF"/>
    <w:rsid w:val="00777006"/>
    <w:rsid w:val="00781209"/>
    <w:rsid w:val="00781957"/>
    <w:rsid w:val="007853FD"/>
    <w:rsid w:val="00785521"/>
    <w:rsid w:val="00785745"/>
    <w:rsid w:val="00786EE3"/>
    <w:rsid w:val="007873FF"/>
    <w:rsid w:val="007876B5"/>
    <w:rsid w:val="0079045B"/>
    <w:rsid w:val="00790523"/>
    <w:rsid w:val="00790B39"/>
    <w:rsid w:val="0079186E"/>
    <w:rsid w:val="00792067"/>
    <w:rsid w:val="00793F64"/>
    <w:rsid w:val="007954D0"/>
    <w:rsid w:val="007955DD"/>
    <w:rsid w:val="0079659E"/>
    <w:rsid w:val="007A0F59"/>
    <w:rsid w:val="007A2042"/>
    <w:rsid w:val="007A5BF5"/>
    <w:rsid w:val="007B297F"/>
    <w:rsid w:val="007B30AD"/>
    <w:rsid w:val="007B47B6"/>
    <w:rsid w:val="007B4E5C"/>
    <w:rsid w:val="007B53F3"/>
    <w:rsid w:val="007C0F4D"/>
    <w:rsid w:val="007C24A2"/>
    <w:rsid w:val="007C3EE1"/>
    <w:rsid w:val="007D0854"/>
    <w:rsid w:val="007D3D8D"/>
    <w:rsid w:val="007D4FAB"/>
    <w:rsid w:val="007D5997"/>
    <w:rsid w:val="007D59AC"/>
    <w:rsid w:val="007D7646"/>
    <w:rsid w:val="007E0EEA"/>
    <w:rsid w:val="007E298E"/>
    <w:rsid w:val="007E313F"/>
    <w:rsid w:val="007E4E8D"/>
    <w:rsid w:val="007E544C"/>
    <w:rsid w:val="007F2537"/>
    <w:rsid w:val="007F32B6"/>
    <w:rsid w:val="007F4DA5"/>
    <w:rsid w:val="007F6665"/>
    <w:rsid w:val="00803004"/>
    <w:rsid w:val="00804370"/>
    <w:rsid w:val="00816182"/>
    <w:rsid w:val="00816975"/>
    <w:rsid w:val="00817B05"/>
    <w:rsid w:val="00820DB4"/>
    <w:rsid w:val="00823D30"/>
    <w:rsid w:val="008263A7"/>
    <w:rsid w:val="00826FA5"/>
    <w:rsid w:val="00830A5F"/>
    <w:rsid w:val="00833AD7"/>
    <w:rsid w:val="0083420A"/>
    <w:rsid w:val="0083753E"/>
    <w:rsid w:val="008411C8"/>
    <w:rsid w:val="00842200"/>
    <w:rsid w:val="0084311F"/>
    <w:rsid w:val="00845232"/>
    <w:rsid w:val="0085586C"/>
    <w:rsid w:val="00857425"/>
    <w:rsid w:val="00875961"/>
    <w:rsid w:val="00876F15"/>
    <w:rsid w:val="00877580"/>
    <w:rsid w:val="008804B0"/>
    <w:rsid w:val="00890966"/>
    <w:rsid w:val="00891E4E"/>
    <w:rsid w:val="0089514D"/>
    <w:rsid w:val="0089588E"/>
    <w:rsid w:val="00896E50"/>
    <w:rsid w:val="008A12C8"/>
    <w:rsid w:val="008A23D9"/>
    <w:rsid w:val="008A4483"/>
    <w:rsid w:val="008A7805"/>
    <w:rsid w:val="008B2C0C"/>
    <w:rsid w:val="008B7857"/>
    <w:rsid w:val="008C17BA"/>
    <w:rsid w:val="008C1A76"/>
    <w:rsid w:val="008C3F09"/>
    <w:rsid w:val="008C4607"/>
    <w:rsid w:val="008C70D8"/>
    <w:rsid w:val="008D0D60"/>
    <w:rsid w:val="008D1056"/>
    <w:rsid w:val="008D45C0"/>
    <w:rsid w:val="008D50F4"/>
    <w:rsid w:val="008D6871"/>
    <w:rsid w:val="008D717F"/>
    <w:rsid w:val="008E0F2B"/>
    <w:rsid w:val="008E2F1E"/>
    <w:rsid w:val="008E4DDF"/>
    <w:rsid w:val="008E7F3E"/>
    <w:rsid w:val="008F097D"/>
    <w:rsid w:val="008F4F48"/>
    <w:rsid w:val="008F797B"/>
    <w:rsid w:val="008F7F50"/>
    <w:rsid w:val="009024CF"/>
    <w:rsid w:val="0090328C"/>
    <w:rsid w:val="009060B3"/>
    <w:rsid w:val="00907391"/>
    <w:rsid w:val="00910220"/>
    <w:rsid w:val="00911EC6"/>
    <w:rsid w:val="00913A82"/>
    <w:rsid w:val="00914BD0"/>
    <w:rsid w:val="0092048A"/>
    <w:rsid w:val="00922D95"/>
    <w:rsid w:val="009235FB"/>
    <w:rsid w:val="00926049"/>
    <w:rsid w:val="009276FE"/>
    <w:rsid w:val="00927EB9"/>
    <w:rsid w:val="009311D0"/>
    <w:rsid w:val="0093328A"/>
    <w:rsid w:val="009356B8"/>
    <w:rsid w:val="00937005"/>
    <w:rsid w:val="00937F8A"/>
    <w:rsid w:val="009403B7"/>
    <w:rsid w:val="00942014"/>
    <w:rsid w:val="00943F71"/>
    <w:rsid w:val="009562CA"/>
    <w:rsid w:val="00956B1B"/>
    <w:rsid w:val="009604F8"/>
    <w:rsid w:val="00961BB6"/>
    <w:rsid w:val="00966B84"/>
    <w:rsid w:val="00973409"/>
    <w:rsid w:val="00974524"/>
    <w:rsid w:val="00976D02"/>
    <w:rsid w:val="00981AAF"/>
    <w:rsid w:val="00983A67"/>
    <w:rsid w:val="00987DB2"/>
    <w:rsid w:val="009919E2"/>
    <w:rsid w:val="0099509B"/>
    <w:rsid w:val="009A02E8"/>
    <w:rsid w:val="009A326D"/>
    <w:rsid w:val="009A6F82"/>
    <w:rsid w:val="009B02DF"/>
    <w:rsid w:val="009B14F8"/>
    <w:rsid w:val="009B1EDB"/>
    <w:rsid w:val="009B2BD8"/>
    <w:rsid w:val="009B2DF4"/>
    <w:rsid w:val="009B33C3"/>
    <w:rsid w:val="009B373F"/>
    <w:rsid w:val="009B4647"/>
    <w:rsid w:val="009B489B"/>
    <w:rsid w:val="009B7CE0"/>
    <w:rsid w:val="009C0A3B"/>
    <w:rsid w:val="009D2243"/>
    <w:rsid w:val="009D24F9"/>
    <w:rsid w:val="009D3C96"/>
    <w:rsid w:val="009D3DE9"/>
    <w:rsid w:val="009E1B91"/>
    <w:rsid w:val="009E353C"/>
    <w:rsid w:val="009E5BCB"/>
    <w:rsid w:val="009E60DF"/>
    <w:rsid w:val="009E6D82"/>
    <w:rsid w:val="009E7950"/>
    <w:rsid w:val="009F046B"/>
    <w:rsid w:val="009F085E"/>
    <w:rsid w:val="009F20A8"/>
    <w:rsid w:val="009F213C"/>
    <w:rsid w:val="009F2668"/>
    <w:rsid w:val="009F3C42"/>
    <w:rsid w:val="009F7CB9"/>
    <w:rsid w:val="00A1099E"/>
    <w:rsid w:val="00A14134"/>
    <w:rsid w:val="00A15597"/>
    <w:rsid w:val="00A21772"/>
    <w:rsid w:val="00A22254"/>
    <w:rsid w:val="00A2245C"/>
    <w:rsid w:val="00A22BA1"/>
    <w:rsid w:val="00A23B2E"/>
    <w:rsid w:val="00A243C7"/>
    <w:rsid w:val="00A2519A"/>
    <w:rsid w:val="00A31CFE"/>
    <w:rsid w:val="00A31DDD"/>
    <w:rsid w:val="00A3236B"/>
    <w:rsid w:val="00A35478"/>
    <w:rsid w:val="00A35A5E"/>
    <w:rsid w:val="00A35AE1"/>
    <w:rsid w:val="00A370BF"/>
    <w:rsid w:val="00A376D2"/>
    <w:rsid w:val="00A4275C"/>
    <w:rsid w:val="00A433ED"/>
    <w:rsid w:val="00A46F89"/>
    <w:rsid w:val="00A50CF0"/>
    <w:rsid w:val="00A51A57"/>
    <w:rsid w:val="00A5203D"/>
    <w:rsid w:val="00A54667"/>
    <w:rsid w:val="00A6146F"/>
    <w:rsid w:val="00A61500"/>
    <w:rsid w:val="00A6171B"/>
    <w:rsid w:val="00A61850"/>
    <w:rsid w:val="00A61A73"/>
    <w:rsid w:val="00A6394A"/>
    <w:rsid w:val="00A66121"/>
    <w:rsid w:val="00A672C9"/>
    <w:rsid w:val="00A67FAA"/>
    <w:rsid w:val="00A72A84"/>
    <w:rsid w:val="00A72E92"/>
    <w:rsid w:val="00A73B09"/>
    <w:rsid w:val="00A74FA9"/>
    <w:rsid w:val="00A7742D"/>
    <w:rsid w:val="00A77820"/>
    <w:rsid w:val="00A82039"/>
    <w:rsid w:val="00A82B4E"/>
    <w:rsid w:val="00A82D7C"/>
    <w:rsid w:val="00A83EE3"/>
    <w:rsid w:val="00A855AE"/>
    <w:rsid w:val="00A85E92"/>
    <w:rsid w:val="00A86EE0"/>
    <w:rsid w:val="00A90B64"/>
    <w:rsid w:val="00A91507"/>
    <w:rsid w:val="00A962A8"/>
    <w:rsid w:val="00A96BCC"/>
    <w:rsid w:val="00A97A78"/>
    <w:rsid w:val="00AA032B"/>
    <w:rsid w:val="00AA36BF"/>
    <w:rsid w:val="00AA39B5"/>
    <w:rsid w:val="00AA3DC7"/>
    <w:rsid w:val="00AA49CD"/>
    <w:rsid w:val="00AA5A6A"/>
    <w:rsid w:val="00AB265F"/>
    <w:rsid w:val="00AB3FC6"/>
    <w:rsid w:val="00AB4208"/>
    <w:rsid w:val="00AB5BE8"/>
    <w:rsid w:val="00AC2881"/>
    <w:rsid w:val="00AC6B32"/>
    <w:rsid w:val="00AC7E63"/>
    <w:rsid w:val="00AD129C"/>
    <w:rsid w:val="00AD1619"/>
    <w:rsid w:val="00AD3577"/>
    <w:rsid w:val="00AD462D"/>
    <w:rsid w:val="00AD6A36"/>
    <w:rsid w:val="00AE2ED7"/>
    <w:rsid w:val="00AE300B"/>
    <w:rsid w:val="00AE3CEA"/>
    <w:rsid w:val="00AE7F49"/>
    <w:rsid w:val="00AF08CB"/>
    <w:rsid w:val="00AF49A0"/>
    <w:rsid w:val="00AF4C19"/>
    <w:rsid w:val="00AF758C"/>
    <w:rsid w:val="00AF79E3"/>
    <w:rsid w:val="00B01D0E"/>
    <w:rsid w:val="00B0205E"/>
    <w:rsid w:val="00B02319"/>
    <w:rsid w:val="00B03C35"/>
    <w:rsid w:val="00B079F1"/>
    <w:rsid w:val="00B11055"/>
    <w:rsid w:val="00B15335"/>
    <w:rsid w:val="00B163E8"/>
    <w:rsid w:val="00B1756D"/>
    <w:rsid w:val="00B2119D"/>
    <w:rsid w:val="00B22361"/>
    <w:rsid w:val="00B26B15"/>
    <w:rsid w:val="00B342EB"/>
    <w:rsid w:val="00B3573B"/>
    <w:rsid w:val="00B35E64"/>
    <w:rsid w:val="00B41E7E"/>
    <w:rsid w:val="00B42006"/>
    <w:rsid w:val="00B4214C"/>
    <w:rsid w:val="00B42EEE"/>
    <w:rsid w:val="00B43493"/>
    <w:rsid w:val="00B43788"/>
    <w:rsid w:val="00B43FFF"/>
    <w:rsid w:val="00B44CAA"/>
    <w:rsid w:val="00B4696D"/>
    <w:rsid w:val="00B474B4"/>
    <w:rsid w:val="00B510A0"/>
    <w:rsid w:val="00B533DB"/>
    <w:rsid w:val="00B53875"/>
    <w:rsid w:val="00B53BAA"/>
    <w:rsid w:val="00B56804"/>
    <w:rsid w:val="00B571D0"/>
    <w:rsid w:val="00B617DA"/>
    <w:rsid w:val="00B66282"/>
    <w:rsid w:val="00B73016"/>
    <w:rsid w:val="00B75852"/>
    <w:rsid w:val="00B82F71"/>
    <w:rsid w:val="00B8381D"/>
    <w:rsid w:val="00B83846"/>
    <w:rsid w:val="00B86797"/>
    <w:rsid w:val="00B93923"/>
    <w:rsid w:val="00B95B87"/>
    <w:rsid w:val="00B9680C"/>
    <w:rsid w:val="00B97C5E"/>
    <w:rsid w:val="00BA29AC"/>
    <w:rsid w:val="00BA5983"/>
    <w:rsid w:val="00BB1E44"/>
    <w:rsid w:val="00BB629F"/>
    <w:rsid w:val="00BB6E86"/>
    <w:rsid w:val="00BB6F4B"/>
    <w:rsid w:val="00BB7685"/>
    <w:rsid w:val="00BC0EF5"/>
    <w:rsid w:val="00BC1A4A"/>
    <w:rsid w:val="00BC40AB"/>
    <w:rsid w:val="00BC685F"/>
    <w:rsid w:val="00BD0949"/>
    <w:rsid w:val="00BD302E"/>
    <w:rsid w:val="00BD5AEF"/>
    <w:rsid w:val="00BD7C1F"/>
    <w:rsid w:val="00BE0960"/>
    <w:rsid w:val="00BE1041"/>
    <w:rsid w:val="00BE4E7E"/>
    <w:rsid w:val="00BE5730"/>
    <w:rsid w:val="00BE665D"/>
    <w:rsid w:val="00BE7992"/>
    <w:rsid w:val="00BF21D8"/>
    <w:rsid w:val="00BF24D2"/>
    <w:rsid w:val="00BF2649"/>
    <w:rsid w:val="00BF4238"/>
    <w:rsid w:val="00BF68CC"/>
    <w:rsid w:val="00C00123"/>
    <w:rsid w:val="00C00149"/>
    <w:rsid w:val="00C017E3"/>
    <w:rsid w:val="00C02157"/>
    <w:rsid w:val="00C03B63"/>
    <w:rsid w:val="00C054A7"/>
    <w:rsid w:val="00C0781F"/>
    <w:rsid w:val="00C102EA"/>
    <w:rsid w:val="00C12BD3"/>
    <w:rsid w:val="00C1535B"/>
    <w:rsid w:val="00C1544F"/>
    <w:rsid w:val="00C16A1C"/>
    <w:rsid w:val="00C1724C"/>
    <w:rsid w:val="00C216F9"/>
    <w:rsid w:val="00C22B0A"/>
    <w:rsid w:val="00C24F2B"/>
    <w:rsid w:val="00C25A5F"/>
    <w:rsid w:val="00C27C53"/>
    <w:rsid w:val="00C32868"/>
    <w:rsid w:val="00C32D76"/>
    <w:rsid w:val="00C33C5A"/>
    <w:rsid w:val="00C3517B"/>
    <w:rsid w:val="00C35CF6"/>
    <w:rsid w:val="00C37839"/>
    <w:rsid w:val="00C37C29"/>
    <w:rsid w:val="00C431CB"/>
    <w:rsid w:val="00C43B37"/>
    <w:rsid w:val="00C43E79"/>
    <w:rsid w:val="00C44D1A"/>
    <w:rsid w:val="00C44E8A"/>
    <w:rsid w:val="00C503B2"/>
    <w:rsid w:val="00C517E8"/>
    <w:rsid w:val="00C5449E"/>
    <w:rsid w:val="00C54719"/>
    <w:rsid w:val="00C621FA"/>
    <w:rsid w:val="00C64C33"/>
    <w:rsid w:val="00C666E2"/>
    <w:rsid w:val="00C7192B"/>
    <w:rsid w:val="00C727D1"/>
    <w:rsid w:val="00C91C00"/>
    <w:rsid w:val="00C947AD"/>
    <w:rsid w:val="00CA5364"/>
    <w:rsid w:val="00CA5CEC"/>
    <w:rsid w:val="00CA61B6"/>
    <w:rsid w:val="00CA7F05"/>
    <w:rsid w:val="00CB1347"/>
    <w:rsid w:val="00CB297D"/>
    <w:rsid w:val="00CB4209"/>
    <w:rsid w:val="00CB4E5D"/>
    <w:rsid w:val="00CB4FDD"/>
    <w:rsid w:val="00CC017E"/>
    <w:rsid w:val="00CC1EC7"/>
    <w:rsid w:val="00CC2ABE"/>
    <w:rsid w:val="00CC2F42"/>
    <w:rsid w:val="00CC55F8"/>
    <w:rsid w:val="00CC668E"/>
    <w:rsid w:val="00CC75DD"/>
    <w:rsid w:val="00CD2AFD"/>
    <w:rsid w:val="00CD2C40"/>
    <w:rsid w:val="00CE3FE9"/>
    <w:rsid w:val="00CE4413"/>
    <w:rsid w:val="00CE4BD1"/>
    <w:rsid w:val="00CE4C3D"/>
    <w:rsid w:val="00CE50E8"/>
    <w:rsid w:val="00CF60B7"/>
    <w:rsid w:val="00CF7337"/>
    <w:rsid w:val="00D003CA"/>
    <w:rsid w:val="00D02F59"/>
    <w:rsid w:val="00D06E72"/>
    <w:rsid w:val="00D0718D"/>
    <w:rsid w:val="00D07C29"/>
    <w:rsid w:val="00D07EE5"/>
    <w:rsid w:val="00D1474C"/>
    <w:rsid w:val="00D15505"/>
    <w:rsid w:val="00D15F57"/>
    <w:rsid w:val="00D1706D"/>
    <w:rsid w:val="00D24648"/>
    <w:rsid w:val="00D26F67"/>
    <w:rsid w:val="00D270DF"/>
    <w:rsid w:val="00D27A89"/>
    <w:rsid w:val="00D35124"/>
    <w:rsid w:val="00D35ACA"/>
    <w:rsid w:val="00D369D3"/>
    <w:rsid w:val="00D37105"/>
    <w:rsid w:val="00D4245B"/>
    <w:rsid w:val="00D44D68"/>
    <w:rsid w:val="00D46EB4"/>
    <w:rsid w:val="00D47C6A"/>
    <w:rsid w:val="00D50C14"/>
    <w:rsid w:val="00D532A4"/>
    <w:rsid w:val="00D552E7"/>
    <w:rsid w:val="00D61679"/>
    <w:rsid w:val="00D62A56"/>
    <w:rsid w:val="00D6735B"/>
    <w:rsid w:val="00D7488B"/>
    <w:rsid w:val="00D754A8"/>
    <w:rsid w:val="00D77965"/>
    <w:rsid w:val="00D81AFC"/>
    <w:rsid w:val="00D83231"/>
    <w:rsid w:val="00D834DB"/>
    <w:rsid w:val="00D863D0"/>
    <w:rsid w:val="00D8700D"/>
    <w:rsid w:val="00D876F9"/>
    <w:rsid w:val="00D93049"/>
    <w:rsid w:val="00D9565D"/>
    <w:rsid w:val="00D9777D"/>
    <w:rsid w:val="00DA01AB"/>
    <w:rsid w:val="00DA1038"/>
    <w:rsid w:val="00DA234F"/>
    <w:rsid w:val="00DA49FF"/>
    <w:rsid w:val="00DA6453"/>
    <w:rsid w:val="00DB0B46"/>
    <w:rsid w:val="00DB2988"/>
    <w:rsid w:val="00DB56F5"/>
    <w:rsid w:val="00DC03B5"/>
    <w:rsid w:val="00DC09FD"/>
    <w:rsid w:val="00DC3F02"/>
    <w:rsid w:val="00DC6122"/>
    <w:rsid w:val="00DE1BCC"/>
    <w:rsid w:val="00DE48EC"/>
    <w:rsid w:val="00DE4B4F"/>
    <w:rsid w:val="00DE5374"/>
    <w:rsid w:val="00E0079B"/>
    <w:rsid w:val="00E008B5"/>
    <w:rsid w:val="00E00B28"/>
    <w:rsid w:val="00E0167F"/>
    <w:rsid w:val="00E03921"/>
    <w:rsid w:val="00E03EBF"/>
    <w:rsid w:val="00E05567"/>
    <w:rsid w:val="00E0565B"/>
    <w:rsid w:val="00E06970"/>
    <w:rsid w:val="00E14144"/>
    <w:rsid w:val="00E15BAA"/>
    <w:rsid w:val="00E2110B"/>
    <w:rsid w:val="00E2146F"/>
    <w:rsid w:val="00E24A69"/>
    <w:rsid w:val="00E24C01"/>
    <w:rsid w:val="00E269BF"/>
    <w:rsid w:val="00E2730F"/>
    <w:rsid w:val="00E27CC2"/>
    <w:rsid w:val="00E27E47"/>
    <w:rsid w:val="00E33A62"/>
    <w:rsid w:val="00E370EE"/>
    <w:rsid w:val="00E424AE"/>
    <w:rsid w:val="00E46244"/>
    <w:rsid w:val="00E51E94"/>
    <w:rsid w:val="00E51EDF"/>
    <w:rsid w:val="00E55866"/>
    <w:rsid w:val="00E5672B"/>
    <w:rsid w:val="00E56899"/>
    <w:rsid w:val="00E63C2E"/>
    <w:rsid w:val="00E641E5"/>
    <w:rsid w:val="00E65768"/>
    <w:rsid w:val="00E70140"/>
    <w:rsid w:val="00E72A5D"/>
    <w:rsid w:val="00E73853"/>
    <w:rsid w:val="00E7446A"/>
    <w:rsid w:val="00E745CF"/>
    <w:rsid w:val="00E80B5F"/>
    <w:rsid w:val="00E81677"/>
    <w:rsid w:val="00E843A0"/>
    <w:rsid w:val="00E84D77"/>
    <w:rsid w:val="00E86EB8"/>
    <w:rsid w:val="00E8746D"/>
    <w:rsid w:val="00E91028"/>
    <w:rsid w:val="00E970FB"/>
    <w:rsid w:val="00EA0A12"/>
    <w:rsid w:val="00EA2FBB"/>
    <w:rsid w:val="00EA7B4C"/>
    <w:rsid w:val="00EB38ED"/>
    <w:rsid w:val="00EB3AD7"/>
    <w:rsid w:val="00EB6222"/>
    <w:rsid w:val="00EC0ECF"/>
    <w:rsid w:val="00EC2EE6"/>
    <w:rsid w:val="00EC3008"/>
    <w:rsid w:val="00EC3934"/>
    <w:rsid w:val="00EC4B55"/>
    <w:rsid w:val="00EC505B"/>
    <w:rsid w:val="00EC6749"/>
    <w:rsid w:val="00EC7287"/>
    <w:rsid w:val="00ED15F2"/>
    <w:rsid w:val="00ED52EE"/>
    <w:rsid w:val="00ED5C27"/>
    <w:rsid w:val="00ED7B35"/>
    <w:rsid w:val="00EE1569"/>
    <w:rsid w:val="00EE24FC"/>
    <w:rsid w:val="00EE4BD8"/>
    <w:rsid w:val="00EE5A93"/>
    <w:rsid w:val="00EE5EB2"/>
    <w:rsid w:val="00EF32E4"/>
    <w:rsid w:val="00EF52C2"/>
    <w:rsid w:val="00EF65E3"/>
    <w:rsid w:val="00F04B8C"/>
    <w:rsid w:val="00F10978"/>
    <w:rsid w:val="00F14078"/>
    <w:rsid w:val="00F1457B"/>
    <w:rsid w:val="00F151AC"/>
    <w:rsid w:val="00F15B09"/>
    <w:rsid w:val="00F20C9F"/>
    <w:rsid w:val="00F2248A"/>
    <w:rsid w:val="00F24DDD"/>
    <w:rsid w:val="00F25B8C"/>
    <w:rsid w:val="00F270E9"/>
    <w:rsid w:val="00F303AA"/>
    <w:rsid w:val="00F3489B"/>
    <w:rsid w:val="00F351D8"/>
    <w:rsid w:val="00F37524"/>
    <w:rsid w:val="00F40BAF"/>
    <w:rsid w:val="00F42028"/>
    <w:rsid w:val="00F426BD"/>
    <w:rsid w:val="00F42D94"/>
    <w:rsid w:val="00F43616"/>
    <w:rsid w:val="00F44BC8"/>
    <w:rsid w:val="00F471D2"/>
    <w:rsid w:val="00F505D4"/>
    <w:rsid w:val="00F51889"/>
    <w:rsid w:val="00F52494"/>
    <w:rsid w:val="00F5332E"/>
    <w:rsid w:val="00F5462B"/>
    <w:rsid w:val="00F56E22"/>
    <w:rsid w:val="00F56E4D"/>
    <w:rsid w:val="00F63660"/>
    <w:rsid w:val="00F65A15"/>
    <w:rsid w:val="00F672ED"/>
    <w:rsid w:val="00F67480"/>
    <w:rsid w:val="00F8131C"/>
    <w:rsid w:val="00F8247B"/>
    <w:rsid w:val="00F82B58"/>
    <w:rsid w:val="00F874CC"/>
    <w:rsid w:val="00F90A08"/>
    <w:rsid w:val="00F9141C"/>
    <w:rsid w:val="00F927DA"/>
    <w:rsid w:val="00F9344C"/>
    <w:rsid w:val="00F9472C"/>
    <w:rsid w:val="00F962B2"/>
    <w:rsid w:val="00F96DC3"/>
    <w:rsid w:val="00FA10F7"/>
    <w:rsid w:val="00FA2836"/>
    <w:rsid w:val="00FA47D2"/>
    <w:rsid w:val="00FA5DD8"/>
    <w:rsid w:val="00FB2B51"/>
    <w:rsid w:val="00FB31E7"/>
    <w:rsid w:val="00FB3C77"/>
    <w:rsid w:val="00FB579D"/>
    <w:rsid w:val="00FC1B1F"/>
    <w:rsid w:val="00FC3327"/>
    <w:rsid w:val="00FC4107"/>
    <w:rsid w:val="00FC5CA7"/>
    <w:rsid w:val="00FC678D"/>
    <w:rsid w:val="00FD156F"/>
    <w:rsid w:val="00FE0828"/>
    <w:rsid w:val="00FE2B30"/>
    <w:rsid w:val="00FE58B3"/>
    <w:rsid w:val="00FE5BD3"/>
    <w:rsid w:val="00FE5E8A"/>
    <w:rsid w:val="00FE6716"/>
    <w:rsid w:val="00FE7E06"/>
    <w:rsid w:val="00FF07EC"/>
    <w:rsid w:val="00FF0DF3"/>
    <w:rsid w:val="00FF4D8E"/>
    <w:rsid w:val="00FF71C3"/>
    <w:rsid w:val="00FF7428"/>
    <w:rsid w:val="00FF7E97"/>
    <w:rsid w:val="02B0056D"/>
    <w:rsid w:val="05C33E86"/>
    <w:rsid w:val="08B66FA6"/>
    <w:rsid w:val="10C72BB8"/>
    <w:rsid w:val="1A881601"/>
    <w:rsid w:val="26673911"/>
    <w:rsid w:val="300417D5"/>
    <w:rsid w:val="34B13B41"/>
    <w:rsid w:val="3608233F"/>
    <w:rsid w:val="368E78A4"/>
    <w:rsid w:val="3A8F302F"/>
    <w:rsid w:val="3AB17E45"/>
    <w:rsid w:val="3EC534C3"/>
    <w:rsid w:val="3FCF330E"/>
    <w:rsid w:val="44A74027"/>
    <w:rsid w:val="45A10571"/>
    <w:rsid w:val="4F075091"/>
    <w:rsid w:val="4F98760D"/>
    <w:rsid w:val="518F170F"/>
    <w:rsid w:val="52AA100F"/>
    <w:rsid w:val="56D82067"/>
    <w:rsid w:val="5AB807E4"/>
    <w:rsid w:val="62E91215"/>
    <w:rsid w:val="62ED27B0"/>
    <w:rsid w:val="6426612A"/>
    <w:rsid w:val="68EF62E6"/>
    <w:rsid w:val="693F32D7"/>
    <w:rsid w:val="6A2B491D"/>
    <w:rsid w:val="749115F7"/>
    <w:rsid w:val="7D651D21"/>
    <w:rsid w:val="7EE10D0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iPriority="0" w:name="index 1"/>
    <w:lsdException w:qFormat="1"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iPriority="0" w:name="toc 1"/>
    <w:lsdException w:qFormat="1" w:uiPriority="0" w:name="toc 2"/>
    <w:lsdException w:qFormat="1" w:uiPriority="0" w:name="toc 3"/>
    <w:lsdException w:qFormat="1" w:uiPriority="0" w:name="toc 4"/>
    <w:lsdException w:qFormat="1" w:uiPriority="0" w:name="toc 5"/>
    <w:lsdException w:qFormat="1" w:uiPriority="0" w:name="toc 6"/>
    <w:lsdException w:qFormat="1" w:uiPriority="0" w:name="toc 7"/>
    <w:lsdException w:qFormat="1" w:uiPriority="0" w:name="toc 8"/>
    <w:lsdException w:qFormat="1" w:uiPriority="0" w:name="toc 9"/>
    <w:lsdException w:qFormat="1" w:uiPriority="0" w:name="Normal Indent"/>
    <w:lsdException w:qFormat="1"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name="endnote text"/>
    <w:lsdException w:qFormat="1" w:unhideWhenUsed="0" w:uiPriority="0" w:semiHidden="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iPriority="0" w:name="List Number"/>
    <w:lsdException w:qFormat="1" w:uiPriority="0" w:name="List 2"/>
    <w:lsdException w:qFormat="1" w:uiPriority="0" w:name="List 3"/>
    <w:lsdException w:qFormat="1" w:uiPriority="0" w:name="List 4"/>
    <w:lsdException w:qFormat="1" w:uiPriority="0" w:name="List 5"/>
    <w:lsdException w:qFormat="1" w:uiPriority="0" w:name="List Bullet 2"/>
    <w:lsdException w:qFormat="1" w:uiPriority="0" w:name="List Bullet 3"/>
    <w:lsdException w:qFormat="1" w:uiPriority="0" w:name="List Bullet 4"/>
    <w:lsdException w:qFormat="1" w:uiPriority="0" w:name="List Bullet 5"/>
    <w:lsdException w:qFormat="1" w:uiPriority="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nhideWhenUsed="0" w:uiPriority="0" w:semiHidden="0" w:name="Body Text Indent"/>
    <w:lsdException w:qFormat="1" w:uiPriority="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iPriority="0" w:name="Message Header"/>
    <w:lsdException w:qFormat="1" w:unhideWhenUsed="0" w:uiPriority="0" w:semiHidden="0" w:name="Subtitle"/>
    <w:lsdException w:qFormat="1" w:uiPriority="0" w:name="Salutation"/>
    <w:lsdException w:qFormat="1" w:unhideWhenUsed="0" w:uiPriority="0" w:semiHidden="0" w:name="Date"/>
    <w:lsdException w:qFormat="1" w:uiPriority="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qFormat="1"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11"/>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96"/>
    <w:qFormat/>
    <w:uiPriority w:val="99"/>
    <w:pPr>
      <w:keepNext/>
      <w:keepLines/>
      <w:spacing w:beforeAutospacing="1" w:afterAutospacing="1"/>
      <w:outlineLvl w:val="1"/>
    </w:pPr>
    <w:rPr>
      <w:rFonts w:ascii="Arial" w:hAnsi="Arial" w:cs="Arial"/>
      <w:sz w:val="24"/>
    </w:rPr>
  </w:style>
  <w:style w:type="paragraph" w:styleId="5">
    <w:name w:val="heading 3"/>
    <w:basedOn w:val="1"/>
    <w:next w:val="1"/>
    <w:link w:val="114"/>
    <w:semiHidden/>
    <w:unhideWhenUsed/>
    <w:qFormat/>
    <w:uiPriority w:val="0"/>
    <w:pPr>
      <w:keepNext/>
      <w:keepLines/>
      <w:spacing w:before="260" w:after="260" w:line="416" w:lineRule="auto"/>
      <w:outlineLvl w:val="2"/>
    </w:pPr>
    <w:rPr>
      <w:b/>
      <w:bCs/>
      <w:sz w:val="32"/>
      <w:szCs w:val="32"/>
    </w:rPr>
  </w:style>
  <w:style w:type="paragraph" w:styleId="6">
    <w:name w:val="heading 4"/>
    <w:basedOn w:val="1"/>
    <w:next w:val="1"/>
    <w:link w:val="115"/>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7">
    <w:name w:val="heading 5"/>
    <w:basedOn w:val="1"/>
    <w:next w:val="1"/>
    <w:link w:val="116"/>
    <w:semiHidden/>
    <w:unhideWhenUsed/>
    <w:qFormat/>
    <w:uiPriority w:val="0"/>
    <w:pPr>
      <w:keepNext/>
      <w:keepLines/>
      <w:spacing w:before="280" w:after="290" w:line="376" w:lineRule="auto"/>
      <w:outlineLvl w:val="4"/>
    </w:pPr>
    <w:rPr>
      <w:b/>
      <w:bCs/>
      <w:sz w:val="28"/>
      <w:szCs w:val="28"/>
    </w:rPr>
  </w:style>
  <w:style w:type="paragraph" w:styleId="8">
    <w:name w:val="heading 6"/>
    <w:basedOn w:val="1"/>
    <w:next w:val="1"/>
    <w:link w:val="117"/>
    <w:semiHidden/>
    <w:unhideWhenUsed/>
    <w:qFormat/>
    <w:uiPriority w:val="0"/>
    <w:pPr>
      <w:keepNext/>
      <w:keepLines/>
      <w:spacing w:before="240" w:after="64" w:line="320" w:lineRule="auto"/>
      <w:outlineLvl w:val="5"/>
    </w:pPr>
    <w:rPr>
      <w:rFonts w:asciiTheme="majorHAnsi" w:hAnsiTheme="majorHAnsi" w:eastAsiaTheme="majorEastAsia" w:cstheme="majorBidi"/>
      <w:b/>
      <w:bCs/>
      <w:sz w:val="24"/>
    </w:rPr>
  </w:style>
  <w:style w:type="paragraph" w:styleId="9">
    <w:name w:val="heading 7"/>
    <w:basedOn w:val="1"/>
    <w:next w:val="1"/>
    <w:link w:val="118"/>
    <w:semiHidden/>
    <w:unhideWhenUsed/>
    <w:qFormat/>
    <w:uiPriority w:val="0"/>
    <w:pPr>
      <w:keepNext/>
      <w:keepLines/>
      <w:spacing w:before="240" w:after="64" w:line="320" w:lineRule="auto"/>
      <w:outlineLvl w:val="6"/>
    </w:pPr>
    <w:rPr>
      <w:b/>
      <w:bCs/>
      <w:sz w:val="24"/>
    </w:rPr>
  </w:style>
  <w:style w:type="paragraph" w:styleId="10">
    <w:name w:val="heading 8"/>
    <w:basedOn w:val="1"/>
    <w:next w:val="1"/>
    <w:link w:val="119"/>
    <w:semiHidden/>
    <w:unhideWhenUsed/>
    <w:qFormat/>
    <w:uiPriority w:val="0"/>
    <w:pPr>
      <w:keepNext/>
      <w:keepLines/>
      <w:spacing w:before="240" w:after="64" w:line="320" w:lineRule="auto"/>
      <w:outlineLvl w:val="7"/>
    </w:pPr>
    <w:rPr>
      <w:rFonts w:asciiTheme="majorHAnsi" w:hAnsiTheme="majorHAnsi" w:eastAsiaTheme="majorEastAsia" w:cstheme="majorBidi"/>
      <w:sz w:val="24"/>
    </w:rPr>
  </w:style>
  <w:style w:type="paragraph" w:styleId="11">
    <w:name w:val="heading 9"/>
    <w:basedOn w:val="1"/>
    <w:next w:val="1"/>
    <w:link w:val="120"/>
    <w:semiHidden/>
    <w:unhideWhenUsed/>
    <w:qFormat/>
    <w:uiPriority w:val="0"/>
    <w:pPr>
      <w:keepNext/>
      <w:keepLines/>
      <w:spacing w:before="240" w:after="64" w:line="320" w:lineRule="auto"/>
      <w:outlineLvl w:val="8"/>
    </w:pPr>
    <w:rPr>
      <w:rFonts w:asciiTheme="majorHAnsi" w:hAnsiTheme="majorHAnsi" w:eastAsiaTheme="majorEastAsia" w:cstheme="majorBidi"/>
      <w:szCs w:val="21"/>
    </w:rPr>
  </w:style>
  <w:style w:type="character" w:default="1" w:styleId="89">
    <w:name w:val="Default Paragraph Font"/>
    <w:semiHidden/>
    <w:unhideWhenUsed/>
    <w:qFormat/>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macro"/>
    <w:link w:val="125"/>
    <w:semiHidden/>
    <w:unhideWhenUsed/>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12">
    <w:name w:val="List 3"/>
    <w:basedOn w:val="1"/>
    <w:semiHidden/>
    <w:unhideWhenUsed/>
    <w:qFormat/>
    <w:uiPriority w:val="0"/>
    <w:pPr>
      <w:ind w:left="100" w:leftChars="400" w:hanging="200" w:hangingChars="200"/>
      <w:contextualSpacing/>
    </w:pPr>
  </w:style>
  <w:style w:type="paragraph" w:styleId="13">
    <w:name w:val="toc 7"/>
    <w:basedOn w:val="1"/>
    <w:next w:val="1"/>
    <w:semiHidden/>
    <w:unhideWhenUsed/>
    <w:qFormat/>
    <w:uiPriority w:val="0"/>
    <w:pPr>
      <w:ind w:left="2520" w:leftChars="1200"/>
    </w:pPr>
  </w:style>
  <w:style w:type="paragraph" w:styleId="14">
    <w:name w:val="List Number 2"/>
    <w:basedOn w:val="1"/>
    <w:semiHidden/>
    <w:unhideWhenUsed/>
    <w:qFormat/>
    <w:uiPriority w:val="0"/>
    <w:pPr>
      <w:numPr>
        <w:ilvl w:val="0"/>
        <w:numId w:val="1"/>
      </w:numPr>
      <w:contextualSpacing/>
    </w:pPr>
  </w:style>
  <w:style w:type="paragraph" w:styleId="15">
    <w:name w:val="table of authorities"/>
    <w:basedOn w:val="1"/>
    <w:next w:val="1"/>
    <w:qFormat/>
    <w:uiPriority w:val="0"/>
    <w:pPr>
      <w:ind w:left="420" w:leftChars="200"/>
    </w:pPr>
  </w:style>
  <w:style w:type="paragraph" w:styleId="16">
    <w:name w:val="Note Heading"/>
    <w:basedOn w:val="1"/>
    <w:next w:val="1"/>
    <w:link w:val="145"/>
    <w:semiHidden/>
    <w:unhideWhenUsed/>
    <w:qFormat/>
    <w:uiPriority w:val="0"/>
    <w:pPr>
      <w:jc w:val="center"/>
    </w:pPr>
  </w:style>
  <w:style w:type="paragraph" w:styleId="17">
    <w:name w:val="List Bullet 4"/>
    <w:basedOn w:val="1"/>
    <w:semiHidden/>
    <w:unhideWhenUsed/>
    <w:qFormat/>
    <w:uiPriority w:val="0"/>
    <w:pPr>
      <w:numPr>
        <w:ilvl w:val="0"/>
        <w:numId w:val="2"/>
      </w:numPr>
      <w:contextualSpacing/>
    </w:pPr>
  </w:style>
  <w:style w:type="paragraph" w:styleId="18">
    <w:name w:val="index 8"/>
    <w:basedOn w:val="1"/>
    <w:next w:val="1"/>
    <w:semiHidden/>
    <w:unhideWhenUsed/>
    <w:qFormat/>
    <w:uiPriority w:val="0"/>
    <w:pPr>
      <w:ind w:left="1400" w:leftChars="1400"/>
    </w:pPr>
  </w:style>
  <w:style w:type="paragraph" w:styleId="19">
    <w:name w:val="E-mail Signature"/>
    <w:basedOn w:val="1"/>
    <w:link w:val="123"/>
    <w:semiHidden/>
    <w:unhideWhenUsed/>
    <w:qFormat/>
    <w:uiPriority w:val="0"/>
  </w:style>
  <w:style w:type="paragraph" w:styleId="20">
    <w:name w:val="List Number"/>
    <w:basedOn w:val="1"/>
    <w:semiHidden/>
    <w:unhideWhenUsed/>
    <w:qFormat/>
    <w:uiPriority w:val="0"/>
    <w:pPr>
      <w:numPr>
        <w:ilvl w:val="0"/>
        <w:numId w:val="3"/>
      </w:numPr>
      <w:contextualSpacing/>
    </w:pPr>
  </w:style>
  <w:style w:type="paragraph" w:styleId="21">
    <w:name w:val="Normal Indent"/>
    <w:basedOn w:val="1"/>
    <w:semiHidden/>
    <w:unhideWhenUsed/>
    <w:qFormat/>
    <w:uiPriority w:val="0"/>
    <w:pPr>
      <w:ind w:firstLine="420" w:firstLineChars="200"/>
    </w:pPr>
  </w:style>
  <w:style w:type="paragraph" w:styleId="22">
    <w:name w:val="caption"/>
    <w:basedOn w:val="1"/>
    <w:next w:val="1"/>
    <w:semiHidden/>
    <w:unhideWhenUsed/>
    <w:qFormat/>
    <w:uiPriority w:val="0"/>
    <w:rPr>
      <w:rFonts w:eastAsia="黑体" w:asciiTheme="majorHAnsi" w:hAnsiTheme="majorHAnsi" w:cstheme="majorBidi"/>
      <w:sz w:val="20"/>
      <w:szCs w:val="20"/>
    </w:rPr>
  </w:style>
  <w:style w:type="paragraph" w:styleId="23">
    <w:name w:val="index 5"/>
    <w:basedOn w:val="1"/>
    <w:next w:val="1"/>
    <w:semiHidden/>
    <w:unhideWhenUsed/>
    <w:qFormat/>
    <w:uiPriority w:val="0"/>
    <w:pPr>
      <w:ind w:left="800" w:leftChars="800"/>
    </w:pPr>
  </w:style>
  <w:style w:type="paragraph" w:styleId="24">
    <w:name w:val="List Bullet"/>
    <w:basedOn w:val="1"/>
    <w:qFormat/>
    <w:uiPriority w:val="0"/>
    <w:pPr>
      <w:numPr>
        <w:ilvl w:val="0"/>
        <w:numId w:val="4"/>
      </w:numPr>
      <w:contextualSpacing/>
    </w:pPr>
  </w:style>
  <w:style w:type="paragraph" w:styleId="25">
    <w:name w:val="envelope address"/>
    <w:basedOn w:val="1"/>
    <w:semiHidden/>
    <w:unhideWhenUsed/>
    <w:qFormat/>
    <w:uiPriority w:val="0"/>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rPr>
  </w:style>
  <w:style w:type="paragraph" w:styleId="26">
    <w:name w:val="Document Map"/>
    <w:basedOn w:val="1"/>
    <w:link w:val="133"/>
    <w:semiHidden/>
    <w:unhideWhenUsed/>
    <w:qFormat/>
    <w:uiPriority w:val="0"/>
    <w:rPr>
      <w:rFonts w:ascii="Microsoft YaHei UI" w:eastAsia="Microsoft YaHei UI"/>
      <w:sz w:val="18"/>
      <w:szCs w:val="18"/>
    </w:rPr>
  </w:style>
  <w:style w:type="paragraph" w:styleId="27">
    <w:name w:val="toa heading"/>
    <w:basedOn w:val="1"/>
    <w:next w:val="1"/>
    <w:semiHidden/>
    <w:unhideWhenUsed/>
    <w:qFormat/>
    <w:uiPriority w:val="0"/>
    <w:pPr>
      <w:spacing w:before="120"/>
    </w:pPr>
    <w:rPr>
      <w:rFonts w:asciiTheme="majorHAnsi" w:hAnsiTheme="majorHAnsi" w:eastAsiaTheme="majorEastAsia" w:cstheme="majorBidi"/>
      <w:sz w:val="24"/>
    </w:rPr>
  </w:style>
  <w:style w:type="paragraph" w:styleId="28">
    <w:name w:val="annotation text"/>
    <w:basedOn w:val="1"/>
    <w:link w:val="102"/>
    <w:qFormat/>
    <w:uiPriority w:val="0"/>
    <w:pPr>
      <w:jc w:val="left"/>
    </w:pPr>
  </w:style>
  <w:style w:type="paragraph" w:styleId="29">
    <w:name w:val="index 6"/>
    <w:basedOn w:val="1"/>
    <w:next w:val="1"/>
    <w:semiHidden/>
    <w:unhideWhenUsed/>
    <w:qFormat/>
    <w:uiPriority w:val="0"/>
    <w:pPr>
      <w:ind w:left="1000" w:leftChars="1000"/>
    </w:pPr>
  </w:style>
  <w:style w:type="paragraph" w:styleId="30">
    <w:name w:val="Salutation"/>
    <w:basedOn w:val="1"/>
    <w:next w:val="1"/>
    <w:link w:val="121"/>
    <w:semiHidden/>
    <w:unhideWhenUsed/>
    <w:qFormat/>
    <w:uiPriority w:val="0"/>
  </w:style>
  <w:style w:type="paragraph" w:styleId="31">
    <w:name w:val="Body Text 3"/>
    <w:basedOn w:val="1"/>
    <w:link w:val="140"/>
    <w:semiHidden/>
    <w:unhideWhenUsed/>
    <w:qFormat/>
    <w:uiPriority w:val="0"/>
    <w:pPr>
      <w:spacing w:after="120"/>
    </w:pPr>
    <w:rPr>
      <w:sz w:val="16"/>
      <w:szCs w:val="16"/>
    </w:rPr>
  </w:style>
  <w:style w:type="paragraph" w:styleId="32">
    <w:name w:val="Closing"/>
    <w:basedOn w:val="1"/>
    <w:link w:val="127"/>
    <w:semiHidden/>
    <w:unhideWhenUsed/>
    <w:qFormat/>
    <w:uiPriority w:val="0"/>
    <w:pPr>
      <w:ind w:left="100" w:leftChars="2100"/>
    </w:pPr>
  </w:style>
  <w:style w:type="paragraph" w:styleId="33">
    <w:name w:val="List Bullet 3"/>
    <w:basedOn w:val="1"/>
    <w:semiHidden/>
    <w:unhideWhenUsed/>
    <w:qFormat/>
    <w:uiPriority w:val="0"/>
    <w:pPr>
      <w:numPr>
        <w:ilvl w:val="0"/>
        <w:numId w:val="5"/>
      </w:numPr>
      <w:contextualSpacing/>
    </w:pPr>
  </w:style>
  <w:style w:type="paragraph" w:styleId="34">
    <w:name w:val="Body Text"/>
    <w:basedOn w:val="1"/>
    <w:link w:val="138"/>
    <w:semiHidden/>
    <w:unhideWhenUsed/>
    <w:qFormat/>
    <w:uiPriority w:val="0"/>
    <w:pPr>
      <w:spacing w:after="120"/>
    </w:pPr>
  </w:style>
  <w:style w:type="paragraph" w:styleId="35">
    <w:name w:val="Body Text Indent"/>
    <w:basedOn w:val="1"/>
    <w:link w:val="107"/>
    <w:qFormat/>
    <w:uiPriority w:val="0"/>
    <w:pPr>
      <w:ind w:firstLine="560" w:firstLineChars="200"/>
    </w:pPr>
    <w:rPr>
      <w:rFonts w:ascii="宋体" w:hAnsi="宋体"/>
      <w:sz w:val="28"/>
    </w:rPr>
  </w:style>
  <w:style w:type="paragraph" w:styleId="36">
    <w:name w:val="List Number 3"/>
    <w:basedOn w:val="1"/>
    <w:semiHidden/>
    <w:unhideWhenUsed/>
    <w:qFormat/>
    <w:uiPriority w:val="0"/>
    <w:pPr>
      <w:numPr>
        <w:ilvl w:val="0"/>
        <w:numId w:val="6"/>
      </w:numPr>
      <w:contextualSpacing/>
    </w:pPr>
  </w:style>
  <w:style w:type="paragraph" w:styleId="37">
    <w:name w:val="List 2"/>
    <w:basedOn w:val="1"/>
    <w:semiHidden/>
    <w:unhideWhenUsed/>
    <w:qFormat/>
    <w:uiPriority w:val="0"/>
    <w:pPr>
      <w:ind w:left="100" w:leftChars="200" w:hanging="200" w:hangingChars="200"/>
      <w:contextualSpacing/>
    </w:pPr>
  </w:style>
  <w:style w:type="paragraph" w:styleId="38">
    <w:name w:val="List Continue"/>
    <w:basedOn w:val="1"/>
    <w:semiHidden/>
    <w:unhideWhenUsed/>
    <w:qFormat/>
    <w:uiPriority w:val="0"/>
    <w:pPr>
      <w:spacing w:after="120"/>
      <w:ind w:left="420" w:leftChars="200"/>
      <w:contextualSpacing/>
    </w:pPr>
  </w:style>
  <w:style w:type="paragraph" w:styleId="39">
    <w:name w:val="Block Text"/>
    <w:basedOn w:val="1"/>
    <w:semiHidden/>
    <w:unhideWhenUsed/>
    <w:qFormat/>
    <w:uiPriority w:val="0"/>
    <w:pPr>
      <w:spacing w:after="120"/>
      <w:ind w:left="1440" w:leftChars="700" w:right="1440" w:rightChars="700"/>
    </w:pPr>
  </w:style>
  <w:style w:type="paragraph" w:styleId="40">
    <w:name w:val="List Bullet 2"/>
    <w:basedOn w:val="1"/>
    <w:semiHidden/>
    <w:unhideWhenUsed/>
    <w:qFormat/>
    <w:uiPriority w:val="0"/>
    <w:pPr>
      <w:numPr>
        <w:ilvl w:val="0"/>
        <w:numId w:val="7"/>
      </w:numPr>
      <w:contextualSpacing/>
    </w:pPr>
  </w:style>
  <w:style w:type="paragraph" w:styleId="41">
    <w:name w:val="HTML Address"/>
    <w:basedOn w:val="1"/>
    <w:link w:val="109"/>
    <w:semiHidden/>
    <w:unhideWhenUsed/>
    <w:qFormat/>
    <w:uiPriority w:val="0"/>
    <w:rPr>
      <w:i/>
      <w:iCs/>
    </w:rPr>
  </w:style>
  <w:style w:type="paragraph" w:styleId="42">
    <w:name w:val="index 4"/>
    <w:basedOn w:val="1"/>
    <w:next w:val="1"/>
    <w:semiHidden/>
    <w:unhideWhenUsed/>
    <w:qFormat/>
    <w:uiPriority w:val="0"/>
    <w:pPr>
      <w:ind w:left="600" w:leftChars="600"/>
    </w:pPr>
  </w:style>
  <w:style w:type="paragraph" w:styleId="43">
    <w:name w:val="toc 5"/>
    <w:basedOn w:val="1"/>
    <w:next w:val="1"/>
    <w:semiHidden/>
    <w:unhideWhenUsed/>
    <w:qFormat/>
    <w:uiPriority w:val="0"/>
    <w:pPr>
      <w:ind w:left="1680" w:leftChars="800"/>
    </w:pPr>
  </w:style>
  <w:style w:type="paragraph" w:styleId="44">
    <w:name w:val="toc 3"/>
    <w:basedOn w:val="1"/>
    <w:next w:val="1"/>
    <w:semiHidden/>
    <w:unhideWhenUsed/>
    <w:qFormat/>
    <w:uiPriority w:val="0"/>
    <w:pPr>
      <w:ind w:left="840" w:leftChars="400"/>
    </w:pPr>
  </w:style>
  <w:style w:type="paragraph" w:styleId="45">
    <w:name w:val="Plain Text"/>
    <w:basedOn w:val="1"/>
    <w:link w:val="122"/>
    <w:semiHidden/>
    <w:unhideWhenUsed/>
    <w:qFormat/>
    <w:uiPriority w:val="0"/>
    <w:rPr>
      <w:rFonts w:hAnsi="Courier New" w:cs="Courier New" w:asciiTheme="minorEastAsia" w:eastAsiaTheme="minorEastAsia"/>
    </w:rPr>
  </w:style>
  <w:style w:type="paragraph" w:styleId="46">
    <w:name w:val="List Bullet 5"/>
    <w:basedOn w:val="1"/>
    <w:semiHidden/>
    <w:unhideWhenUsed/>
    <w:qFormat/>
    <w:uiPriority w:val="0"/>
    <w:pPr>
      <w:numPr>
        <w:ilvl w:val="0"/>
        <w:numId w:val="8"/>
      </w:numPr>
      <w:contextualSpacing/>
    </w:pPr>
  </w:style>
  <w:style w:type="paragraph" w:styleId="47">
    <w:name w:val="List Number 4"/>
    <w:basedOn w:val="1"/>
    <w:semiHidden/>
    <w:unhideWhenUsed/>
    <w:qFormat/>
    <w:uiPriority w:val="0"/>
    <w:pPr>
      <w:numPr>
        <w:ilvl w:val="0"/>
        <w:numId w:val="9"/>
      </w:numPr>
      <w:contextualSpacing/>
    </w:pPr>
  </w:style>
  <w:style w:type="paragraph" w:styleId="48">
    <w:name w:val="toc 8"/>
    <w:basedOn w:val="1"/>
    <w:next w:val="1"/>
    <w:semiHidden/>
    <w:unhideWhenUsed/>
    <w:qFormat/>
    <w:uiPriority w:val="0"/>
    <w:pPr>
      <w:ind w:left="2940" w:leftChars="1400"/>
    </w:pPr>
  </w:style>
  <w:style w:type="paragraph" w:styleId="49">
    <w:name w:val="index 3"/>
    <w:basedOn w:val="1"/>
    <w:next w:val="1"/>
    <w:semiHidden/>
    <w:unhideWhenUsed/>
    <w:qFormat/>
    <w:uiPriority w:val="0"/>
    <w:pPr>
      <w:ind w:left="400" w:leftChars="400"/>
    </w:pPr>
  </w:style>
  <w:style w:type="paragraph" w:styleId="50">
    <w:name w:val="Date"/>
    <w:basedOn w:val="1"/>
    <w:next w:val="1"/>
    <w:qFormat/>
    <w:uiPriority w:val="0"/>
    <w:pPr>
      <w:ind w:left="100" w:leftChars="2500"/>
    </w:pPr>
  </w:style>
  <w:style w:type="paragraph" w:styleId="51">
    <w:name w:val="Body Text Indent 2"/>
    <w:basedOn w:val="1"/>
    <w:link w:val="143"/>
    <w:semiHidden/>
    <w:unhideWhenUsed/>
    <w:qFormat/>
    <w:uiPriority w:val="0"/>
    <w:pPr>
      <w:spacing w:after="120" w:line="480" w:lineRule="auto"/>
      <w:ind w:left="420" w:leftChars="200"/>
    </w:pPr>
  </w:style>
  <w:style w:type="paragraph" w:styleId="52">
    <w:name w:val="endnote text"/>
    <w:basedOn w:val="1"/>
    <w:link w:val="132"/>
    <w:semiHidden/>
    <w:unhideWhenUsed/>
    <w:qFormat/>
    <w:uiPriority w:val="0"/>
    <w:pPr>
      <w:snapToGrid w:val="0"/>
      <w:jc w:val="left"/>
    </w:pPr>
  </w:style>
  <w:style w:type="paragraph" w:styleId="53">
    <w:name w:val="List Continue 5"/>
    <w:basedOn w:val="1"/>
    <w:qFormat/>
    <w:uiPriority w:val="0"/>
    <w:pPr>
      <w:spacing w:after="120"/>
      <w:ind w:left="2100" w:leftChars="1000"/>
      <w:contextualSpacing/>
    </w:pPr>
  </w:style>
  <w:style w:type="paragraph" w:styleId="54">
    <w:name w:val="Balloon Text"/>
    <w:basedOn w:val="1"/>
    <w:link w:val="95"/>
    <w:qFormat/>
    <w:uiPriority w:val="0"/>
    <w:rPr>
      <w:sz w:val="18"/>
      <w:szCs w:val="18"/>
    </w:rPr>
  </w:style>
  <w:style w:type="paragraph" w:styleId="55">
    <w:name w:val="footer"/>
    <w:basedOn w:val="1"/>
    <w:link w:val="94"/>
    <w:qFormat/>
    <w:uiPriority w:val="99"/>
    <w:pPr>
      <w:tabs>
        <w:tab w:val="center" w:pos="4153"/>
        <w:tab w:val="right" w:pos="8306"/>
      </w:tabs>
      <w:snapToGrid w:val="0"/>
      <w:jc w:val="left"/>
    </w:pPr>
    <w:rPr>
      <w:sz w:val="18"/>
      <w:szCs w:val="18"/>
    </w:rPr>
  </w:style>
  <w:style w:type="paragraph" w:styleId="56">
    <w:name w:val="envelope return"/>
    <w:basedOn w:val="1"/>
    <w:semiHidden/>
    <w:unhideWhenUsed/>
    <w:qFormat/>
    <w:uiPriority w:val="0"/>
    <w:pPr>
      <w:snapToGrid w:val="0"/>
    </w:pPr>
    <w:rPr>
      <w:rFonts w:asciiTheme="majorHAnsi" w:hAnsiTheme="majorHAnsi" w:eastAsiaTheme="majorEastAsia" w:cstheme="majorBidi"/>
    </w:rPr>
  </w:style>
  <w:style w:type="paragraph" w:styleId="57">
    <w:name w:val="header"/>
    <w:basedOn w:val="1"/>
    <w:link w:val="93"/>
    <w:qFormat/>
    <w:uiPriority w:val="0"/>
    <w:pPr>
      <w:pBdr>
        <w:bottom w:val="single" w:color="auto" w:sz="6" w:space="1"/>
      </w:pBdr>
      <w:tabs>
        <w:tab w:val="center" w:pos="4153"/>
        <w:tab w:val="right" w:pos="8306"/>
      </w:tabs>
      <w:snapToGrid w:val="0"/>
      <w:jc w:val="center"/>
    </w:pPr>
    <w:rPr>
      <w:sz w:val="18"/>
      <w:szCs w:val="18"/>
    </w:rPr>
  </w:style>
  <w:style w:type="paragraph" w:styleId="58">
    <w:name w:val="Signature"/>
    <w:basedOn w:val="1"/>
    <w:link w:val="130"/>
    <w:semiHidden/>
    <w:unhideWhenUsed/>
    <w:qFormat/>
    <w:uiPriority w:val="0"/>
    <w:pPr>
      <w:ind w:left="100" w:leftChars="2100"/>
    </w:pPr>
  </w:style>
  <w:style w:type="paragraph" w:styleId="59">
    <w:name w:val="toc 1"/>
    <w:basedOn w:val="1"/>
    <w:next w:val="1"/>
    <w:semiHidden/>
    <w:unhideWhenUsed/>
    <w:qFormat/>
    <w:uiPriority w:val="0"/>
  </w:style>
  <w:style w:type="paragraph" w:styleId="60">
    <w:name w:val="List Continue 4"/>
    <w:basedOn w:val="1"/>
    <w:qFormat/>
    <w:uiPriority w:val="0"/>
    <w:pPr>
      <w:spacing w:after="120"/>
      <w:ind w:left="1680" w:leftChars="800"/>
      <w:contextualSpacing/>
    </w:pPr>
  </w:style>
  <w:style w:type="paragraph" w:styleId="61">
    <w:name w:val="toc 4"/>
    <w:basedOn w:val="1"/>
    <w:next w:val="1"/>
    <w:semiHidden/>
    <w:unhideWhenUsed/>
    <w:qFormat/>
    <w:uiPriority w:val="0"/>
    <w:pPr>
      <w:ind w:left="1260" w:leftChars="600"/>
    </w:pPr>
  </w:style>
  <w:style w:type="paragraph" w:styleId="62">
    <w:name w:val="index heading"/>
    <w:basedOn w:val="1"/>
    <w:next w:val="63"/>
    <w:semiHidden/>
    <w:unhideWhenUsed/>
    <w:qFormat/>
    <w:uiPriority w:val="0"/>
    <w:rPr>
      <w:rFonts w:asciiTheme="majorHAnsi" w:hAnsiTheme="majorHAnsi" w:eastAsiaTheme="majorEastAsia" w:cstheme="majorBidi"/>
      <w:b/>
      <w:bCs/>
    </w:rPr>
  </w:style>
  <w:style w:type="paragraph" w:styleId="63">
    <w:name w:val="index 1"/>
    <w:basedOn w:val="1"/>
    <w:next w:val="1"/>
    <w:semiHidden/>
    <w:unhideWhenUsed/>
    <w:qFormat/>
    <w:uiPriority w:val="0"/>
  </w:style>
  <w:style w:type="paragraph" w:styleId="64">
    <w:name w:val="Subtitle"/>
    <w:basedOn w:val="1"/>
    <w:next w:val="1"/>
    <w:link w:val="124"/>
    <w:qFormat/>
    <w:uiPriority w:val="0"/>
    <w:pPr>
      <w:spacing w:before="240" w:after="60" w:line="312" w:lineRule="auto"/>
      <w:jc w:val="center"/>
      <w:outlineLvl w:val="1"/>
    </w:pPr>
    <w:rPr>
      <w:rFonts w:asciiTheme="minorHAnsi" w:hAnsiTheme="minorHAnsi" w:eastAsiaTheme="minorEastAsia" w:cstheme="minorBidi"/>
      <w:b/>
      <w:bCs/>
      <w:kern w:val="28"/>
      <w:sz w:val="32"/>
      <w:szCs w:val="32"/>
    </w:rPr>
  </w:style>
  <w:style w:type="paragraph" w:styleId="65">
    <w:name w:val="List Number 5"/>
    <w:basedOn w:val="1"/>
    <w:semiHidden/>
    <w:unhideWhenUsed/>
    <w:qFormat/>
    <w:uiPriority w:val="0"/>
    <w:pPr>
      <w:numPr>
        <w:ilvl w:val="0"/>
        <w:numId w:val="10"/>
      </w:numPr>
      <w:contextualSpacing/>
    </w:pPr>
  </w:style>
  <w:style w:type="paragraph" w:styleId="66">
    <w:name w:val="List"/>
    <w:basedOn w:val="1"/>
    <w:qFormat/>
    <w:uiPriority w:val="0"/>
    <w:pPr>
      <w:ind w:left="200" w:hanging="200" w:hangingChars="200"/>
      <w:contextualSpacing/>
    </w:pPr>
  </w:style>
  <w:style w:type="paragraph" w:styleId="67">
    <w:name w:val="footnote text"/>
    <w:basedOn w:val="1"/>
    <w:link w:val="126"/>
    <w:semiHidden/>
    <w:unhideWhenUsed/>
    <w:qFormat/>
    <w:uiPriority w:val="0"/>
    <w:pPr>
      <w:snapToGrid w:val="0"/>
      <w:jc w:val="left"/>
    </w:pPr>
    <w:rPr>
      <w:sz w:val="18"/>
      <w:szCs w:val="18"/>
    </w:rPr>
  </w:style>
  <w:style w:type="paragraph" w:styleId="68">
    <w:name w:val="toc 6"/>
    <w:basedOn w:val="1"/>
    <w:next w:val="1"/>
    <w:semiHidden/>
    <w:unhideWhenUsed/>
    <w:qFormat/>
    <w:uiPriority w:val="0"/>
    <w:pPr>
      <w:ind w:left="2100" w:leftChars="1000"/>
    </w:pPr>
  </w:style>
  <w:style w:type="paragraph" w:styleId="69">
    <w:name w:val="List 5"/>
    <w:basedOn w:val="1"/>
    <w:semiHidden/>
    <w:unhideWhenUsed/>
    <w:qFormat/>
    <w:uiPriority w:val="0"/>
    <w:pPr>
      <w:ind w:left="100" w:leftChars="800" w:hanging="200" w:hangingChars="200"/>
      <w:contextualSpacing/>
    </w:pPr>
  </w:style>
  <w:style w:type="paragraph" w:styleId="70">
    <w:name w:val="Body Text Indent 3"/>
    <w:basedOn w:val="1"/>
    <w:link w:val="144"/>
    <w:semiHidden/>
    <w:unhideWhenUsed/>
    <w:qFormat/>
    <w:uiPriority w:val="0"/>
    <w:pPr>
      <w:spacing w:after="120"/>
      <w:ind w:left="420" w:leftChars="200"/>
    </w:pPr>
    <w:rPr>
      <w:sz w:val="16"/>
      <w:szCs w:val="16"/>
    </w:rPr>
  </w:style>
  <w:style w:type="paragraph" w:styleId="71">
    <w:name w:val="index 7"/>
    <w:basedOn w:val="1"/>
    <w:next w:val="1"/>
    <w:semiHidden/>
    <w:unhideWhenUsed/>
    <w:qFormat/>
    <w:uiPriority w:val="0"/>
    <w:pPr>
      <w:ind w:left="1200" w:leftChars="1200"/>
    </w:pPr>
  </w:style>
  <w:style w:type="paragraph" w:styleId="72">
    <w:name w:val="index 9"/>
    <w:basedOn w:val="1"/>
    <w:next w:val="1"/>
    <w:semiHidden/>
    <w:unhideWhenUsed/>
    <w:qFormat/>
    <w:uiPriority w:val="0"/>
    <w:pPr>
      <w:ind w:left="1600" w:leftChars="1600"/>
    </w:pPr>
  </w:style>
  <w:style w:type="paragraph" w:styleId="73">
    <w:name w:val="table of figures"/>
    <w:basedOn w:val="1"/>
    <w:next w:val="1"/>
    <w:semiHidden/>
    <w:unhideWhenUsed/>
    <w:qFormat/>
    <w:uiPriority w:val="0"/>
    <w:pPr>
      <w:ind w:left="200" w:leftChars="200" w:hanging="200" w:hangingChars="200"/>
    </w:pPr>
  </w:style>
  <w:style w:type="paragraph" w:styleId="74">
    <w:name w:val="toc 2"/>
    <w:basedOn w:val="1"/>
    <w:next w:val="1"/>
    <w:semiHidden/>
    <w:unhideWhenUsed/>
    <w:qFormat/>
    <w:uiPriority w:val="0"/>
    <w:pPr>
      <w:ind w:left="420" w:leftChars="200"/>
    </w:pPr>
  </w:style>
  <w:style w:type="paragraph" w:styleId="75">
    <w:name w:val="toc 9"/>
    <w:basedOn w:val="1"/>
    <w:next w:val="1"/>
    <w:semiHidden/>
    <w:unhideWhenUsed/>
    <w:qFormat/>
    <w:uiPriority w:val="0"/>
    <w:pPr>
      <w:ind w:left="3360" w:leftChars="1600"/>
    </w:pPr>
  </w:style>
  <w:style w:type="paragraph" w:styleId="76">
    <w:name w:val="Body Text 2"/>
    <w:basedOn w:val="1"/>
    <w:link w:val="139"/>
    <w:semiHidden/>
    <w:unhideWhenUsed/>
    <w:qFormat/>
    <w:uiPriority w:val="0"/>
    <w:pPr>
      <w:spacing w:after="120" w:line="480" w:lineRule="auto"/>
    </w:pPr>
  </w:style>
  <w:style w:type="paragraph" w:styleId="77">
    <w:name w:val="List 4"/>
    <w:basedOn w:val="1"/>
    <w:semiHidden/>
    <w:unhideWhenUsed/>
    <w:qFormat/>
    <w:uiPriority w:val="0"/>
    <w:pPr>
      <w:ind w:left="100" w:leftChars="600" w:hanging="200" w:hangingChars="200"/>
      <w:contextualSpacing/>
    </w:pPr>
  </w:style>
  <w:style w:type="paragraph" w:styleId="78">
    <w:name w:val="List Continue 2"/>
    <w:basedOn w:val="1"/>
    <w:qFormat/>
    <w:uiPriority w:val="0"/>
    <w:pPr>
      <w:spacing w:after="120"/>
      <w:ind w:left="840" w:leftChars="400"/>
      <w:contextualSpacing/>
    </w:pPr>
  </w:style>
  <w:style w:type="paragraph" w:styleId="79">
    <w:name w:val="Message Header"/>
    <w:basedOn w:val="1"/>
    <w:link w:val="135"/>
    <w:semiHidden/>
    <w:unhideWhenUsed/>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rPr>
  </w:style>
  <w:style w:type="paragraph" w:styleId="80">
    <w:name w:val="HTML Preformatted"/>
    <w:basedOn w:val="1"/>
    <w:link w:val="110"/>
    <w:semiHidden/>
    <w:unhideWhenUsed/>
    <w:qFormat/>
    <w:uiPriority w:val="0"/>
    <w:rPr>
      <w:rFonts w:ascii="Courier New" w:hAnsi="Courier New" w:cs="Courier New"/>
      <w:sz w:val="20"/>
      <w:szCs w:val="20"/>
    </w:rPr>
  </w:style>
  <w:style w:type="paragraph" w:styleId="81">
    <w:name w:val="Normal (Web)"/>
    <w:basedOn w:val="1"/>
    <w:semiHidden/>
    <w:unhideWhenUsed/>
    <w:qFormat/>
    <w:uiPriority w:val="0"/>
    <w:rPr>
      <w:sz w:val="24"/>
    </w:rPr>
  </w:style>
  <w:style w:type="paragraph" w:styleId="82">
    <w:name w:val="List Continue 3"/>
    <w:basedOn w:val="1"/>
    <w:qFormat/>
    <w:uiPriority w:val="0"/>
    <w:pPr>
      <w:spacing w:after="120"/>
      <w:ind w:left="1260" w:leftChars="600"/>
      <w:contextualSpacing/>
    </w:pPr>
  </w:style>
  <w:style w:type="paragraph" w:styleId="83">
    <w:name w:val="index 2"/>
    <w:basedOn w:val="1"/>
    <w:next w:val="1"/>
    <w:semiHidden/>
    <w:unhideWhenUsed/>
    <w:qFormat/>
    <w:uiPriority w:val="0"/>
    <w:pPr>
      <w:ind w:left="200" w:leftChars="200"/>
    </w:pPr>
  </w:style>
  <w:style w:type="paragraph" w:styleId="84">
    <w:name w:val="Title"/>
    <w:basedOn w:val="1"/>
    <w:next w:val="1"/>
    <w:link w:val="113"/>
    <w:qFormat/>
    <w:uiPriority w:val="0"/>
    <w:pPr>
      <w:spacing w:before="240" w:after="60"/>
      <w:jc w:val="center"/>
      <w:outlineLvl w:val="0"/>
    </w:pPr>
    <w:rPr>
      <w:rFonts w:asciiTheme="majorHAnsi" w:hAnsiTheme="majorHAnsi" w:eastAsiaTheme="majorEastAsia" w:cstheme="majorBidi"/>
      <w:b/>
      <w:bCs/>
      <w:sz w:val="32"/>
      <w:szCs w:val="32"/>
    </w:rPr>
  </w:style>
  <w:style w:type="paragraph" w:styleId="85">
    <w:name w:val="annotation subject"/>
    <w:basedOn w:val="28"/>
    <w:next w:val="28"/>
    <w:link w:val="103"/>
    <w:qFormat/>
    <w:uiPriority w:val="0"/>
    <w:rPr>
      <w:b/>
      <w:bCs/>
    </w:rPr>
  </w:style>
  <w:style w:type="paragraph" w:styleId="86">
    <w:name w:val="Body Text First Indent"/>
    <w:basedOn w:val="34"/>
    <w:link w:val="141"/>
    <w:semiHidden/>
    <w:unhideWhenUsed/>
    <w:qFormat/>
    <w:uiPriority w:val="0"/>
    <w:pPr>
      <w:ind w:firstLine="420" w:firstLineChars="100"/>
    </w:pPr>
  </w:style>
  <w:style w:type="paragraph" w:styleId="87">
    <w:name w:val="Body Text First Indent 2"/>
    <w:basedOn w:val="35"/>
    <w:link w:val="142"/>
    <w:semiHidden/>
    <w:unhideWhenUsed/>
    <w:qFormat/>
    <w:uiPriority w:val="0"/>
    <w:pPr>
      <w:spacing w:after="120"/>
      <w:ind w:left="420" w:leftChars="200" w:firstLine="420"/>
    </w:pPr>
    <w:rPr>
      <w:rFonts w:ascii="Times New Roman" w:hAnsi="Times New Roman"/>
      <w:sz w:val="21"/>
    </w:rPr>
  </w:style>
  <w:style w:type="character" w:styleId="90">
    <w:name w:val="Emphasis"/>
    <w:basedOn w:val="89"/>
    <w:qFormat/>
    <w:uiPriority w:val="20"/>
    <w:rPr>
      <w:i/>
      <w:iCs/>
    </w:rPr>
  </w:style>
  <w:style w:type="character" w:styleId="91">
    <w:name w:val="annotation reference"/>
    <w:basedOn w:val="89"/>
    <w:qFormat/>
    <w:uiPriority w:val="0"/>
    <w:rPr>
      <w:sz w:val="21"/>
      <w:szCs w:val="21"/>
    </w:rPr>
  </w:style>
  <w:style w:type="paragraph" w:customStyle="1" w:styleId="92">
    <w:name w:val="Char Char Char Char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character" w:customStyle="1" w:styleId="93">
    <w:name w:val="页眉 Char"/>
    <w:basedOn w:val="89"/>
    <w:link w:val="57"/>
    <w:qFormat/>
    <w:uiPriority w:val="0"/>
    <w:rPr>
      <w:kern w:val="2"/>
      <w:sz w:val="18"/>
      <w:szCs w:val="18"/>
    </w:rPr>
  </w:style>
  <w:style w:type="character" w:customStyle="1" w:styleId="94">
    <w:name w:val="页脚 Char"/>
    <w:basedOn w:val="89"/>
    <w:link w:val="55"/>
    <w:qFormat/>
    <w:uiPriority w:val="99"/>
    <w:rPr>
      <w:kern w:val="2"/>
      <w:sz w:val="18"/>
      <w:szCs w:val="18"/>
    </w:rPr>
  </w:style>
  <w:style w:type="character" w:customStyle="1" w:styleId="95">
    <w:name w:val="批注框文本 Char"/>
    <w:basedOn w:val="89"/>
    <w:link w:val="54"/>
    <w:qFormat/>
    <w:uiPriority w:val="0"/>
    <w:rPr>
      <w:kern w:val="2"/>
      <w:sz w:val="18"/>
      <w:szCs w:val="18"/>
    </w:rPr>
  </w:style>
  <w:style w:type="character" w:customStyle="1" w:styleId="96">
    <w:name w:val="标题 2 Char"/>
    <w:basedOn w:val="89"/>
    <w:link w:val="4"/>
    <w:qFormat/>
    <w:uiPriority w:val="99"/>
    <w:rPr>
      <w:rFonts w:ascii="Arial" w:hAnsi="Arial" w:cs="Arial"/>
      <w:kern w:val="2"/>
      <w:sz w:val="24"/>
      <w:szCs w:val="24"/>
    </w:rPr>
  </w:style>
  <w:style w:type="paragraph" w:customStyle="1" w:styleId="97">
    <w:name w:val="段"/>
    <w:qFormat/>
    <w:uiPriority w:val="0"/>
    <w:pPr>
      <w:autoSpaceDE w:val="0"/>
      <w:autoSpaceDN w:val="0"/>
      <w:ind w:firstLine="200" w:firstLineChars="200"/>
      <w:jc w:val="both"/>
    </w:pPr>
    <w:rPr>
      <w:rFonts w:ascii="宋体" w:hAnsi="Times New Roman" w:eastAsia="宋体" w:cs="宋体"/>
      <w:kern w:val="2"/>
      <w:sz w:val="21"/>
      <w:szCs w:val="21"/>
      <w:lang w:val="en-US" w:eastAsia="zh-CN" w:bidi="ar-SA"/>
    </w:rPr>
  </w:style>
  <w:style w:type="paragraph" w:customStyle="1" w:styleId="98">
    <w:name w:val="段 Char Char Char Char"/>
    <w:qFormat/>
    <w:uiPriority w:val="0"/>
    <w:pPr>
      <w:autoSpaceDE w:val="0"/>
      <w:autoSpaceDN w:val="0"/>
      <w:ind w:firstLine="200" w:firstLineChars="200"/>
      <w:jc w:val="both"/>
    </w:pPr>
    <w:rPr>
      <w:rFonts w:ascii="宋体" w:hAnsi="Times New Roman" w:eastAsia="宋体" w:cs="宋体"/>
      <w:kern w:val="2"/>
      <w:sz w:val="21"/>
      <w:szCs w:val="21"/>
      <w:lang w:val="en-US" w:eastAsia="zh-CN" w:bidi="ar-SA"/>
    </w:rPr>
  </w:style>
  <w:style w:type="paragraph" w:styleId="99">
    <w:name w:val="List Paragraph"/>
    <w:basedOn w:val="1"/>
    <w:qFormat/>
    <w:uiPriority w:val="34"/>
    <w:pPr>
      <w:ind w:firstLine="420" w:firstLineChars="200"/>
    </w:pPr>
    <w:rPr>
      <w:szCs w:val="21"/>
    </w:rPr>
  </w:style>
  <w:style w:type="character" w:customStyle="1" w:styleId="100">
    <w:name w:val="样式 标题 2 + 宋体 非加粗"/>
    <w:basedOn w:val="89"/>
    <w:qFormat/>
    <w:uiPriority w:val="0"/>
    <w:rPr>
      <w:rFonts w:ascii="宋体" w:hAnsi="宋体" w:eastAsia="宋体" w:cs="宋体"/>
      <w:sz w:val="24"/>
      <w:szCs w:val="24"/>
    </w:rPr>
  </w:style>
  <w:style w:type="character" w:styleId="101">
    <w:name w:val="Placeholder Text"/>
    <w:basedOn w:val="89"/>
    <w:semiHidden/>
    <w:qFormat/>
    <w:uiPriority w:val="99"/>
    <w:rPr>
      <w:color w:val="808080"/>
    </w:rPr>
  </w:style>
  <w:style w:type="character" w:customStyle="1" w:styleId="102">
    <w:name w:val="批注文字 Char"/>
    <w:basedOn w:val="89"/>
    <w:link w:val="28"/>
    <w:qFormat/>
    <w:uiPriority w:val="0"/>
    <w:rPr>
      <w:kern w:val="2"/>
      <w:sz w:val="21"/>
      <w:szCs w:val="24"/>
    </w:rPr>
  </w:style>
  <w:style w:type="character" w:customStyle="1" w:styleId="103">
    <w:name w:val="批注主题 Char"/>
    <w:basedOn w:val="102"/>
    <w:link w:val="85"/>
    <w:qFormat/>
    <w:uiPriority w:val="0"/>
    <w:rPr>
      <w:b/>
      <w:bCs/>
      <w:kern w:val="2"/>
      <w:sz w:val="21"/>
      <w:szCs w:val="24"/>
    </w:rPr>
  </w:style>
  <w:style w:type="paragraph" w:customStyle="1" w:styleId="10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05">
    <w:name w:val="段 Char Char"/>
    <w:link w:val="106"/>
    <w:qFormat/>
    <w:uiPriority w:val="0"/>
    <w:rPr>
      <w:rFonts w:ascii="宋体"/>
      <w:kern w:val="2"/>
      <w:sz w:val="21"/>
      <w:szCs w:val="24"/>
    </w:rPr>
  </w:style>
  <w:style w:type="paragraph" w:customStyle="1" w:styleId="106">
    <w:name w:val="段 Char"/>
    <w:link w:val="105"/>
    <w:qFormat/>
    <w:uiPriority w:val="0"/>
    <w:pPr>
      <w:autoSpaceDE w:val="0"/>
      <w:autoSpaceDN w:val="0"/>
      <w:ind w:firstLine="200" w:firstLineChars="200"/>
      <w:jc w:val="both"/>
    </w:pPr>
    <w:rPr>
      <w:rFonts w:ascii="宋体" w:hAnsi="Times New Roman" w:eastAsia="宋体" w:cs="Times New Roman"/>
      <w:kern w:val="2"/>
      <w:sz w:val="21"/>
      <w:szCs w:val="24"/>
      <w:lang w:val="en-US" w:eastAsia="zh-CN" w:bidi="ar-SA"/>
    </w:rPr>
  </w:style>
  <w:style w:type="character" w:customStyle="1" w:styleId="107">
    <w:name w:val="正文文本缩进 Char"/>
    <w:basedOn w:val="89"/>
    <w:link w:val="35"/>
    <w:qFormat/>
    <w:uiPriority w:val="0"/>
    <w:rPr>
      <w:rFonts w:ascii="宋体" w:hAnsi="宋体"/>
      <w:kern w:val="2"/>
      <w:sz w:val="28"/>
      <w:szCs w:val="24"/>
    </w:rPr>
  </w:style>
  <w:style w:type="paragraph" w:customStyle="1" w:styleId="108">
    <w:name w:val="Char Char Char Char Char Char Char"/>
    <w:basedOn w:val="1"/>
    <w:qFormat/>
    <w:uiPriority w:val="0"/>
    <w:rPr>
      <w:szCs w:val="20"/>
    </w:rPr>
  </w:style>
  <w:style w:type="character" w:customStyle="1" w:styleId="109">
    <w:name w:val="HTML 地址 Char"/>
    <w:basedOn w:val="89"/>
    <w:link w:val="41"/>
    <w:semiHidden/>
    <w:qFormat/>
    <w:uiPriority w:val="0"/>
    <w:rPr>
      <w:i/>
      <w:iCs/>
      <w:kern w:val="2"/>
      <w:sz w:val="21"/>
      <w:szCs w:val="24"/>
    </w:rPr>
  </w:style>
  <w:style w:type="character" w:customStyle="1" w:styleId="110">
    <w:name w:val="HTML 预设格式 Char"/>
    <w:basedOn w:val="89"/>
    <w:link w:val="80"/>
    <w:semiHidden/>
    <w:qFormat/>
    <w:uiPriority w:val="0"/>
    <w:rPr>
      <w:rFonts w:ascii="Courier New" w:hAnsi="Courier New" w:cs="Courier New"/>
      <w:kern w:val="2"/>
    </w:rPr>
  </w:style>
  <w:style w:type="character" w:customStyle="1" w:styleId="111">
    <w:name w:val="标题 1 Char"/>
    <w:basedOn w:val="89"/>
    <w:link w:val="3"/>
    <w:qFormat/>
    <w:uiPriority w:val="0"/>
    <w:rPr>
      <w:b/>
      <w:bCs/>
      <w:kern w:val="44"/>
      <w:sz w:val="44"/>
      <w:szCs w:val="44"/>
    </w:rPr>
  </w:style>
  <w:style w:type="paragraph" w:customStyle="1" w:styleId="112">
    <w:name w:val="TOC 标题1"/>
    <w:basedOn w:val="3"/>
    <w:next w:val="1"/>
    <w:semiHidden/>
    <w:unhideWhenUsed/>
    <w:qFormat/>
    <w:uiPriority w:val="39"/>
    <w:pPr>
      <w:outlineLvl w:val="9"/>
    </w:pPr>
  </w:style>
  <w:style w:type="character" w:customStyle="1" w:styleId="113">
    <w:name w:val="标题 Char"/>
    <w:basedOn w:val="89"/>
    <w:link w:val="84"/>
    <w:qFormat/>
    <w:uiPriority w:val="0"/>
    <w:rPr>
      <w:rFonts w:asciiTheme="majorHAnsi" w:hAnsiTheme="majorHAnsi" w:eastAsiaTheme="majorEastAsia" w:cstheme="majorBidi"/>
      <w:b/>
      <w:bCs/>
      <w:kern w:val="2"/>
      <w:sz w:val="32"/>
      <w:szCs w:val="32"/>
    </w:rPr>
  </w:style>
  <w:style w:type="character" w:customStyle="1" w:styleId="114">
    <w:name w:val="标题 3 Char"/>
    <w:basedOn w:val="89"/>
    <w:link w:val="5"/>
    <w:semiHidden/>
    <w:qFormat/>
    <w:uiPriority w:val="0"/>
    <w:rPr>
      <w:b/>
      <w:bCs/>
      <w:kern w:val="2"/>
      <w:sz w:val="32"/>
      <w:szCs w:val="32"/>
    </w:rPr>
  </w:style>
  <w:style w:type="character" w:customStyle="1" w:styleId="115">
    <w:name w:val="标题 4 Char"/>
    <w:basedOn w:val="89"/>
    <w:link w:val="6"/>
    <w:semiHidden/>
    <w:qFormat/>
    <w:uiPriority w:val="0"/>
    <w:rPr>
      <w:rFonts w:asciiTheme="majorHAnsi" w:hAnsiTheme="majorHAnsi" w:eastAsiaTheme="majorEastAsia" w:cstheme="majorBidi"/>
      <w:b/>
      <w:bCs/>
      <w:kern w:val="2"/>
      <w:sz w:val="28"/>
      <w:szCs w:val="28"/>
    </w:rPr>
  </w:style>
  <w:style w:type="character" w:customStyle="1" w:styleId="116">
    <w:name w:val="标题 5 Char"/>
    <w:basedOn w:val="89"/>
    <w:link w:val="7"/>
    <w:semiHidden/>
    <w:qFormat/>
    <w:uiPriority w:val="0"/>
    <w:rPr>
      <w:b/>
      <w:bCs/>
      <w:kern w:val="2"/>
      <w:sz w:val="28"/>
      <w:szCs w:val="28"/>
    </w:rPr>
  </w:style>
  <w:style w:type="character" w:customStyle="1" w:styleId="117">
    <w:name w:val="标题 6 Char"/>
    <w:basedOn w:val="89"/>
    <w:link w:val="8"/>
    <w:semiHidden/>
    <w:qFormat/>
    <w:uiPriority w:val="0"/>
    <w:rPr>
      <w:rFonts w:asciiTheme="majorHAnsi" w:hAnsiTheme="majorHAnsi" w:eastAsiaTheme="majorEastAsia" w:cstheme="majorBidi"/>
      <w:b/>
      <w:bCs/>
      <w:kern w:val="2"/>
      <w:sz w:val="24"/>
      <w:szCs w:val="24"/>
    </w:rPr>
  </w:style>
  <w:style w:type="character" w:customStyle="1" w:styleId="118">
    <w:name w:val="标题 7 Char"/>
    <w:basedOn w:val="89"/>
    <w:link w:val="9"/>
    <w:semiHidden/>
    <w:qFormat/>
    <w:uiPriority w:val="0"/>
    <w:rPr>
      <w:b/>
      <w:bCs/>
      <w:kern w:val="2"/>
      <w:sz w:val="24"/>
      <w:szCs w:val="24"/>
    </w:rPr>
  </w:style>
  <w:style w:type="character" w:customStyle="1" w:styleId="119">
    <w:name w:val="标题 8 Char"/>
    <w:basedOn w:val="89"/>
    <w:link w:val="10"/>
    <w:semiHidden/>
    <w:qFormat/>
    <w:uiPriority w:val="0"/>
    <w:rPr>
      <w:rFonts w:asciiTheme="majorHAnsi" w:hAnsiTheme="majorHAnsi" w:eastAsiaTheme="majorEastAsia" w:cstheme="majorBidi"/>
      <w:kern w:val="2"/>
      <w:sz w:val="24"/>
      <w:szCs w:val="24"/>
    </w:rPr>
  </w:style>
  <w:style w:type="character" w:customStyle="1" w:styleId="120">
    <w:name w:val="标题 9 Char"/>
    <w:basedOn w:val="89"/>
    <w:link w:val="11"/>
    <w:semiHidden/>
    <w:qFormat/>
    <w:uiPriority w:val="0"/>
    <w:rPr>
      <w:rFonts w:asciiTheme="majorHAnsi" w:hAnsiTheme="majorHAnsi" w:eastAsiaTheme="majorEastAsia" w:cstheme="majorBidi"/>
      <w:kern w:val="2"/>
      <w:sz w:val="21"/>
      <w:szCs w:val="21"/>
    </w:rPr>
  </w:style>
  <w:style w:type="character" w:customStyle="1" w:styleId="121">
    <w:name w:val="称呼 Char"/>
    <w:basedOn w:val="89"/>
    <w:link w:val="30"/>
    <w:semiHidden/>
    <w:qFormat/>
    <w:uiPriority w:val="0"/>
    <w:rPr>
      <w:kern w:val="2"/>
      <w:sz w:val="21"/>
      <w:szCs w:val="24"/>
    </w:rPr>
  </w:style>
  <w:style w:type="character" w:customStyle="1" w:styleId="122">
    <w:name w:val="纯文本 Char"/>
    <w:basedOn w:val="89"/>
    <w:link w:val="45"/>
    <w:semiHidden/>
    <w:qFormat/>
    <w:uiPriority w:val="0"/>
    <w:rPr>
      <w:rFonts w:hAnsi="Courier New" w:cs="Courier New" w:asciiTheme="minorEastAsia" w:eastAsiaTheme="minorEastAsia"/>
      <w:kern w:val="2"/>
      <w:sz w:val="21"/>
      <w:szCs w:val="24"/>
    </w:rPr>
  </w:style>
  <w:style w:type="character" w:customStyle="1" w:styleId="123">
    <w:name w:val="电子邮件签名 Char"/>
    <w:basedOn w:val="89"/>
    <w:link w:val="19"/>
    <w:semiHidden/>
    <w:qFormat/>
    <w:uiPriority w:val="0"/>
    <w:rPr>
      <w:kern w:val="2"/>
      <w:sz w:val="21"/>
      <w:szCs w:val="24"/>
    </w:rPr>
  </w:style>
  <w:style w:type="character" w:customStyle="1" w:styleId="124">
    <w:name w:val="副标题 Char"/>
    <w:basedOn w:val="89"/>
    <w:link w:val="64"/>
    <w:qFormat/>
    <w:uiPriority w:val="0"/>
    <w:rPr>
      <w:rFonts w:asciiTheme="minorHAnsi" w:hAnsiTheme="minorHAnsi" w:eastAsiaTheme="minorEastAsia" w:cstheme="minorBidi"/>
      <w:b/>
      <w:bCs/>
      <w:kern w:val="28"/>
      <w:sz w:val="32"/>
      <w:szCs w:val="32"/>
    </w:rPr>
  </w:style>
  <w:style w:type="character" w:customStyle="1" w:styleId="125">
    <w:name w:val="宏文本 Char"/>
    <w:basedOn w:val="89"/>
    <w:link w:val="2"/>
    <w:semiHidden/>
    <w:qFormat/>
    <w:uiPriority w:val="0"/>
    <w:rPr>
      <w:rFonts w:ascii="Courier New" w:hAnsi="Courier New" w:cs="Courier New"/>
      <w:kern w:val="2"/>
      <w:sz w:val="24"/>
      <w:szCs w:val="24"/>
    </w:rPr>
  </w:style>
  <w:style w:type="character" w:customStyle="1" w:styleId="126">
    <w:name w:val="脚注文本 Char"/>
    <w:basedOn w:val="89"/>
    <w:link w:val="67"/>
    <w:semiHidden/>
    <w:qFormat/>
    <w:uiPriority w:val="0"/>
    <w:rPr>
      <w:kern w:val="2"/>
      <w:sz w:val="18"/>
      <w:szCs w:val="18"/>
    </w:rPr>
  </w:style>
  <w:style w:type="character" w:customStyle="1" w:styleId="127">
    <w:name w:val="结束语 Char"/>
    <w:basedOn w:val="89"/>
    <w:link w:val="32"/>
    <w:semiHidden/>
    <w:qFormat/>
    <w:uiPriority w:val="0"/>
    <w:rPr>
      <w:kern w:val="2"/>
      <w:sz w:val="21"/>
      <w:szCs w:val="24"/>
    </w:rPr>
  </w:style>
  <w:style w:type="paragraph" w:styleId="128">
    <w:name w:val="Intense Quote"/>
    <w:basedOn w:val="1"/>
    <w:next w:val="1"/>
    <w:link w:val="129"/>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rPr>
  </w:style>
  <w:style w:type="character" w:customStyle="1" w:styleId="129">
    <w:name w:val="明显引用 Char"/>
    <w:basedOn w:val="89"/>
    <w:link w:val="128"/>
    <w:qFormat/>
    <w:uiPriority w:val="30"/>
    <w:rPr>
      <w:i/>
      <w:iCs/>
      <w:color w:val="4F81BD" w:themeColor="accent1"/>
      <w:kern w:val="2"/>
      <w:sz w:val="21"/>
      <w:szCs w:val="24"/>
    </w:rPr>
  </w:style>
  <w:style w:type="character" w:customStyle="1" w:styleId="130">
    <w:name w:val="签名 Char"/>
    <w:basedOn w:val="89"/>
    <w:link w:val="58"/>
    <w:semiHidden/>
    <w:qFormat/>
    <w:uiPriority w:val="0"/>
    <w:rPr>
      <w:kern w:val="2"/>
      <w:sz w:val="21"/>
      <w:szCs w:val="24"/>
    </w:rPr>
  </w:style>
  <w:style w:type="paragraph" w:customStyle="1" w:styleId="131">
    <w:name w:val="书目1"/>
    <w:basedOn w:val="1"/>
    <w:next w:val="1"/>
    <w:semiHidden/>
    <w:unhideWhenUsed/>
    <w:qFormat/>
    <w:uiPriority w:val="37"/>
  </w:style>
  <w:style w:type="character" w:customStyle="1" w:styleId="132">
    <w:name w:val="尾注文本 Char"/>
    <w:basedOn w:val="89"/>
    <w:link w:val="52"/>
    <w:semiHidden/>
    <w:qFormat/>
    <w:uiPriority w:val="0"/>
    <w:rPr>
      <w:kern w:val="2"/>
      <w:sz w:val="21"/>
      <w:szCs w:val="24"/>
    </w:rPr>
  </w:style>
  <w:style w:type="character" w:customStyle="1" w:styleId="133">
    <w:name w:val="文档结构图 Char"/>
    <w:basedOn w:val="89"/>
    <w:link w:val="26"/>
    <w:semiHidden/>
    <w:qFormat/>
    <w:uiPriority w:val="0"/>
    <w:rPr>
      <w:rFonts w:ascii="Microsoft YaHei UI" w:eastAsia="Microsoft YaHei UI"/>
      <w:kern w:val="2"/>
      <w:sz w:val="18"/>
      <w:szCs w:val="18"/>
    </w:rPr>
  </w:style>
  <w:style w:type="paragraph" w:styleId="13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35">
    <w:name w:val="信息标题 Char"/>
    <w:basedOn w:val="89"/>
    <w:link w:val="79"/>
    <w:semiHidden/>
    <w:qFormat/>
    <w:uiPriority w:val="0"/>
    <w:rPr>
      <w:rFonts w:asciiTheme="majorHAnsi" w:hAnsiTheme="majorHAnsi" w:eastAsiaTheme="majorEastAsia" w:cstheme="majorBidi"/>
      <w:kern w:val="2"/>
      <w:sz w:val="24"/>
      <w:szCs w:val="24"/>
      <w:shd w:val="pct20" w:color="auto" w:fill="auto"/>
    </w:rPr>
  </w:style>
  <w:style w:type="paragraph" w:styleId="136">
    <w:name w:val="Quote"/>
    <w:basedOn w:val="1"/>
    <w:next w:val="1"/>
    <w:link w:val="137"/>
    <w:qFormat/>
    <w:uiPriority w:val="29"/>
    <w:pPr>
      <w:spacing w:before="200" w:after="160"/>
      <w:ind w:left="864" w:right="864"/>
      <w:jc w:val="center"/>
    </w:pPr>
    <w:rPr>
      <w:i/>
      <w:iCs/>
      <w:color w:val="3F3F3F" w:themeColor="text1" w:themeTint="BF"/>
    </w:rPr>
  </w:style>
  <w:style w:type="character" w:customStyle="1" w:styleId="137">
    <w:name w:val="引用 Char"/>
    <w:basedOn w:val="89"/>
    <w:link w:val="136"/>
    <w:qFormat/>
    <w:uiPriority w:val="29"/>
    <w:rPr>
      <w:i/>
      <w:iCs/>
      <w:color w:val="3F3F3F" w:themeColor="text1" w:themeTint="BF"/>
      <w:kern w:val="2"/>
      <w:sz w:val="21"/>
      <w:szCs w:val="24"/>
    </w:rPr>
  </w:style>
  <w:style w:type="character" w:customStyle="1" w:styleId="138">
    <w:name w:val="正文文本 Char"/>
    <w:basedOn w:val="89"/>
    <w:link w:val="34"/>
    <w:semiHidden/>
    <w:qFormat/>
    <w:uiPriority w:val="0"/>
    <w:rPr>
      <w:kern w:val="2"/>
      <w:sz w:val="21"/>
      <w:szCs w:val="24"/>
    </w:rPr>
  </w:style>
  <w:style w:type="character" w:customStyle="1" w:styleId="139">
    <w:name w:val="正文文本 2 Char"/>
    <w:basedOn w:val="89"/>
    <w:link w:val="76"/>
    <w:semiHidden/>
    <w:qFormat/>
    <w:uiPriority w:val="0"/>
    <w:rPr>
      <w:kern w:val="2"/>
      <w:sz w:val="21"/>
      <w:szCs w:val="24"/>
    </w:rPr>
  </w:style>
  <w:style w:type="character" w:customStyle="1" w:styleId="140">
    <w:name w:val="正文文本 3 Char"/>
    <w:basedOn w:val="89"/>
    <w:link w:val="31"/>
    <w:semiHidden/>
    <w:qFormat/>
    <w:uiPriority w:val="0"/>
    <w:rPr>
      <w:kern w:val="2"/>
      <w:sz w:val="16"/>
      <w:szCs w:val="16"/>
    </w:rPr>
  </w:style>
  <w:style w:type="character" w:customStyle="1" w:styleId="141">
    <w:name w:val="正文首行缩进 Char"/>
    <w:basedOn w:val="138"/>
    <w:link w:val="86"/>
    <w:semiHidden/>
    <w:qFormat/>
    <w:uiPriority w:val="0"/>
    <w:rPr>
      <w:kern w:val="2"/>
      <w:sz w:val="21"/>
      <w:szCs w:val="24"/>
    </w:rPr>
  </w:style>
  <w:style w:type="character" w:customStyle="1" w:styleId="142">
    <w:name w:val="正文首行缩进 2 Char"/>
    <w:basedOn w:val="107"/>
    <w:link w:val="87"/>
    <w:semiHidden/>
    <w:qFormat/>
    <w:uiPriority w:val="0"/>
    <w:rPr>
      <w:rFonts w:ascii="宋体" w:hAnsi="宋体"/>
      <w:kern w:val="2"/>
      <w:sz w:val="21"/>
      <w:szCs w:val="24"/>
    </w:rPr>
  </w:style>
  <w:style w:type="character" w:customStyle="1" w:styleId="143">
    <w:name w:val="正文文本缩进 2 Char"/>
    <w:basedOn w:val="89"/>
    <w:link w:val="51"/>
    <w:semiHidden/>
    <w:qFormat/>
    <w:uiPriority w:val="0"/>
    <w:rPr>
      <w:kern w:val="2"/>
      <w:sz w:val="21"/>
      <w:szCs w:val="24"/>
    </w:rPr>
  </w:style>
  <w:style w:type="character" w:customStyle="1" w:styleId="144">
    <w:name w:val="正文文本缩进 3 Char"/>
    <w:basedOn w:val="89"/>
    <w:link w:val="70"/>
    <w:semiHidden/>
    <w:qFormat/>
    <w:uiPriority w:val="0"/>
    <w:rPr>
      <w:kern w:val="2"/>
      <w:sz w:val="16"/>
      <w:szCs w:val="16"/>
    </w:rPr>
  </w:style>
  <w:style w:type="character" w:customStyle="1" w:styleId="145">
    <w:name w:val="注释标题 Char"/>
    <w:basedOn w:val="89"/>
    <w:link w:val="16"/>
    <w:semiHidden/>
    <w:qFormat/>
    <w:uiPriority w:val="0"/>
    <w:rPr>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7C461F-7B52-40FC-BB90-4A21A1F3FF5C}">
  <ds:schemaRefs/>
</ds:datastoreItem>
</file>

<file path=docProps/app.xml><?xml version="1.0" encoding="utf-8"?>
<Properties xmlns="http://schemas.openxmlformats.org/officeDocument/2006/extended-properties" xmlns:vt="http://schemas.openxmlformats.org/officeDocument/2006/docPropsVTypes">
  <Template>Normal.dotm</Template>
  <Company>Lenovo (Beijing) Limited</Company>
  <Pages>2</Pages>
  <Words>1068</Words>
  <Characters>1327</Characters>
  <Lines>19</Lines>
  <Paragraphs>5</Paragraphs>
  <TotalTime>0</TotalTime>
  <ScaleCrop>false</ScaleCrop>
  <LinksUpToDate>false</LinksUpToDate>
  <CharactersWithSpaces>1353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2022-04-15T07:39:00Z</dcterms:created>
  <dc:creator>Lenovo User</dc:creator>
  <cp:lastModifiedBy>周宝珑</cp:lastModifiedBy>
  <cp:lastPrinted>2025-11-04T08:31:00Z</cp:lastPrinted>
  <dcterms:modified xsi:type="dcterms:W3CDTF">2026-08-25T01:53:12Z</dcterms:modified>
  <cp:revision>233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eyJoZGlkIjoiMjhiNWUzOWNhNGYwODNhMzBhYWRjY2E4YmUwY2M4ZGUiLCJ1c2VySWQiOiI4NDU0MTQzMzgifQ==</vt:lpwstr>
  </property>
  <property fmtid="{D5CDD505-2E9C-101B-9397-08002B2CF9AE}" pid="3" name="KSOProductBuildVer">
    <vt:lpwstr>2052-12.1.0.28043</vt:lpwstr>
  </property>
  <property fmtid="{D5CDD505-2E9C-101B-9397-08002B2CF9AE}" pid="4" name="ICV">
    <vt:lpwstr>2B69FC9B7BB540A6A2CA31C0770D50C2_12</vt:lpwstr>
  </property>
</Properties>
</file>