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7E15F">
      <w:pPr>
        <w:jc w:val="center"/>
        <w:rPr>
          <w:rFonts w:hint="eastAsia" w:ascii="方正小标宋_GBK" w:eastAsia="方正小标宋_GBK"/>
          <w:sz w:val="28"/>
          <w:szCs w:val="28"/>
        </w:rPr>
      </w:pPr>
      <w:bookmarkStart w:id="0" w:name="_GoBack"/>
      <w:bookmarkEnd w:id="0"/>
      <w:r>
        <w:rPr>
          <w:rFonts w:hint="eastAsia" w:ascii="方正小标宋_GBK" w:eastAsia="方正小标宋_GBK"/>
          <w:sz w:val="28"/>
          <w:szCs w:val="28"/>
        </w:rPr>
        <w:t>自动轨道衡的测量结果不确定度评定</w:t>
      </w:r>
    </w:p>
    <w:p w14:paraId="36A8FCC3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概述</w:t>
      </w:r>
    </w:p>
    <w:p w14:paraId="4D0B0357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评定依据</w:t>
      </w:r>
    </w:p>
    <w:p w14:paraId="1558AB2C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JJG 99-2022 砝码</w:t>
      </w:r>
    </w:p>
    <w:p w14:paraId="39CF347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JJG 567-2012 轨道衡检衡车</w:t>
      </w:r>
    </w:p>
    <w:p w14:paraId="3BBD9C0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JJG </w:t>
      </w:r>
      <w:r>
        <w:rPr>
          <w:rFonts w:hint="eastAsia"/>
          <w:sz w:val="24"/>
          <w:lang w:val="en-US" w:eastAsia="zh-CN"/>
        </w:rPr>
        <w:t>234</w:t>
      </w:r>
      <w:r>
        <w:rPr>
          <w:rFonts w:hint="eastAsia"/>
          <w:sz w:val="24"/>
        </w:rPr>
        <w:t>-201</w:t>
      </w:r>
      <w:r>
        <w:rPr>
          <w:rFonts w:hint="eastAsia"/>
          <w:sz w:val="24"/>
          <w:lang w:val="en-US" w:eastAsia="zh-CN"/>
        </w:rPr>
        <w:t>2 自动</w:t>
      </w:r>
      <w:r>
        <w:rPr>
          <w:rFonts w:hint="eastAsia"/>
          <w:sz w:val="24"/>
        </w:rPr>
        <w:t>轨道衡</w:t>
      </w:r>
    </w:p>
    <w:p w14:paraId="759614D9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JJF 1059.1-2012 测量不确定度评定与表示</w:t>
      </w:r>
    </w:p>
    <w:p w14:paraId="13C8092A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计量标准器</w:t>
      </w:r>
    </w:p>
    <w:p w14:paraId="42B27702">
      <w:pPr>
        <w:pStyle w:val="96"/>
        <w:spacing w:line="360" w:lineRule="auto"/>
        <w:ind w:firstLineChars="175"/>
        <w:rPr>
          <w:rFonts w:ascii="黑体" w:hAnsi="黑体" w:eastAsia="黑体"/>
          <w:sz w:val="24"/>
        </w:rPr>
      </w:pPr>
      <w:r>
        <w:rPr>
          <w:rFonts w:hAnsi="宋体"/>
          <w:color w:val="000000"/>
          <w:sz w:val="24"/>
        </w:rPr>
        <w:t>试验所用的计量标准器为</w:t>
      </w:r>
      <w:r>
        <w:rPr>
          <w:color w:val="000000"/>
          <w:sz w:val="24"/>
        </w:rPr>
        <w:t>T</w:t>
      </w:r>
      <w:r>
        <w:rPr>
          <w:rFonts w:hint="eastAsia"/>
          <w:color w:val="000000"/>
          <w:sz w:val="24"/>
          <w:vertAlign w:val="subscript"/>
        </w:rPr>
        <w:t>8D</w:t>
      </w:r>
      <w:r>
        <w:rPr>
          <w:rFonts w:hAnsi="宋体"/>
          <w:color w:val="000000"/>
          <w:sz w:val="24"/>
        </w:rPr>
        <w:t>型检</w:t>
      </w:r>
      <w:r>
        <w:rPr>
          <w:rFonts w:hAnsi="宋体"/>
          <w:sz w:val="24"/>
        </w:rPr>
        <w:t>衡车</w:t>
      </w:r>
      <w:r>
        <w:rPr>
          <w:rFonts w:hint="eastAsia" w:hAnsi="宋体"/>
          <w:sz w:val="24"/>
        </w:rPr>
        <w:t>，具体见表1所示：</w:t>
      </w:r>
    </w:p>
    <w:p w14:paraId="03E7FF84">
      <w:pPr>
        <w:pStyle w:val="96"/>
        <w:spacing w:line="360" w:lineRule="auto"/>
        <w:ind w:left="420" w:firstLine="0" w:firstLineChars="0"/>
        <w:jc w:val="center"/>
        <w:rPr>
          <w:rFonts w:eastAsia="黑体"/>
          <w:sz w:val="24"/>
        </w:rPr>
      </w:pPr>
      <w:r>
        <w:rPr>
          <w:rFonts w:hint="eastAsia" w:hAnsi="宋体"/>
          <w:sz w:val="24"/>
        </w:rPr>
        <w:t>表1  检衡车标准值一栏表</w:t>
      </w:r>
    </w:p>
    <w:tbl>
      <w:tblPr>
        <w:tblStyle w:val="8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2244"/>
        <w:gridCol w:w="2244"/>
        <w:gridCol w:w="3263"/>
      </w:tblGrid>
      <w:tr w14:paraId="09E9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8" w:type="pct"/>
            <w:noWrap w:val="0"/>
            <w:vAlign w:val="center"/>
          </w:tcPr>
          <w:p w14:paraId="566C626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254" w:type="pct"/>
            <w:noWrap w:val="0"/>
            <w:vAlign w:val="top"/>
          </w:tcPr>
          <w:p w14:paraId="658B3E5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车号</w:t>
            </w:r>
          </w:p>
        </w:tc>
        <w:tc>
          <w:tcPr>
            <w:tcW w:w="1254" w:type="pct"/>
            <w:noWrap w:val="0"/>
            <w:vAlign w:val="center"/>
          </w:tcPr>
          <w:p w14:paraId="7A2600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标准值</w:t>
            </w:r>
          </w:p>
        </w:tc>
        <w:tc>
          <w:tcPr>
            <w:tcW w:w="1823" w:type="pct"/>
            <w:noWrap w:val="0"/>
            <w:vAlign w:val="center"/>
          </w:tcPr>
          <w:p w14:paraId="40ADD8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最大允许误差</w:t>
            </w:r>
          </w:p>
        </w:tc>
      </w:tr>
      <w:tr w14:paraId="4531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8" w:type="pct"/>
            <w:noWrap w:val="0"/>
            <w:vAlign w:val="center"/>
          </w:tcPr>
          <w:p w14:paraId="658AE09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54" w:type="pct"/>
            <w:noWrap w:val="0"/>
            <w:vAlign w:val="top"/>
          </w:tcPr>
          <w:p w14:paraId="404F9900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8080069</w:t>
            </w:r>
          </w:p>
        </w:tc>
        <w:tc>
          <w:tcPr>
            <w:tcW w:w="1254" w:type="pct"/>
            <w:noWrap w:val="0"/>
            <w:vAlign w:val="center"/>
          </w:tcPr>
          <w:p w14:paraId="0697AC59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94540</w:t>
            </w:r>
          </w:p>
        </w:tc>
        <w:tc>
          <w:tcPr>
            <w:tcW w:w="1823" w:type="pct"/>
            <w:noWrap w:val="0"/>
            <w:vAlign w:val="center"/>
          </w:tcPr>
          <w:p w14:paraId="5483BA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color w:val="000000"/>
                <w:szCs w:val="21"/>
              </w:rPr>
              <w:t>×10</w:t>
            </w:r>
            <w:r>
              <w:rPr>
                <w:color w:val="000000"/>
                <w:szCs w:val="21"/>
                <w:vertAlign w:val="superscript"/>
              </w:rPr>
              <w:t>-4</w:t>
            </w:r>
          </w:p>
        </w:tc>
      </w:tr>
      <w:tr w14:paraId="0D1F9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68" w:type="pct"/>
            <w:noWrap w:val="0"/>
            <w:vAlign w:val="center"/>
          </w:tcPr>
          <w:p w14:paraId="40BAA26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254" w:type="pct"/>
            <w:noWrap w:val="0"/>
            <w:vAlign w:val="top"/>
          </w:tcPr>
          <w:p w14:paraId="5F0F91E2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8080066</w:t>
            </w:r>
          </w:p>
        </w:tc>
        <w:tc>
          <w:tcPr>
            <w:tcW w:w="1254" w:type="pct"/>
            <w:noWrap w:val="0"/>
            <w:vAlign w:val="center"/>
          </w:tcPr>
          <w:p w14:paraId="0F66E79F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68380</w:t>
            </w:r>
          </w:p>
        </w:tc>
        <w:tc>
          <w:tcPr>
            <w:tcW w:w="1823" w:type="pct"/>
            <w:noWrap w:val="0"/>
            <w:vAlign w:val="top"/>
          </w:tcPr>
          <w:p w14:paraId="003295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color w:val="000000"/>
                <w:szCs w:val="21"/>
              </w:rPr>
              <w:t>×10</w:t>
            </w:r>
            <w:r>
              <w:rPr>
                <w:color w:val="000000"/>
                <w:szCs w:val="21"/>
                <w:vertAlign w:val="superscript"/>
              </w:rPr>
              <w:t>-4</w:t>
            </w:r>
          </w:p>
        </w:tc>
      </w:tr>
      <w:tr w14:paraId="0C205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68" w:type="pct"/>
            <w:noWrap w:val="0"/>
            <w:vAlign w:val="center"/>
          </w:tcPr>
          <w:p w14:paraId="6AC5A6E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54" w:type="pct"/>
            <w:noWrap w:val="0"/>
            <w:vAlign w:val="top"/>
          </w:tcPr>
          <w:p w14:paraId="2E0FB91E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8080068</w:t>
            </w:r>
          </w:p>
        </w:tc>
        <w:tc>
          <w:tcPr>
            <w:tcW w:w="1254" w:type="pct"/>
            <w:noWrap w:val="0"/>
            <w:vAlign w:val="center"/>
          </w:tcPr>
          <w:p w14:paraId="78BC8CE1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84410</w:t>
            </w:r>
          </w:p>
        </w:tc>
        <w:tc>
          <w:tcPr>
            <w:tcW w:w="1823" w:type="pct"/>
            <w:noWrap w:val="0"/>
            <w:vAlign w:val="top"/>
          </w:tcPr>
          <w:p w14:paraId="011BCF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color w:val="000000"/>
                <w:szCs w:val="21"/>
              </w:rPr>
              <w:t>×10</w:t>
            </w:r>
            <w:r>
              <w:rPr>
                <w:color w:val="000000"/>
                <w:szCs w:val="21"/>
                <w:vertAlign w:val="superscript"/>
              </w:rPr>
              <w:t>-4</w:t>
            </w:r>
          </w:p>
        </w:tc>
      </w:tr>
      <w:tr w14:paraId="69125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68" w:type="pct"/>
            <w:noWrap w:val="0"/>
            <w:vAlign w:val="center"/>
          </w:tcPr>
          <w:p w14:paraId="31FA5E4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254" w:type="pct"/>
            <w:noWrap w:val="0"/>
            <w:vAlign w:val="top"/>
          </w:tcPr>
          <w:p w14:paraId="573D548C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808006</w:t>
            </w:r>
            <w:r>
              <w:rPr>
                <w:rFonts w:hint="eastAsia"/>
                <w:kern w:val="0"/>
                <w:szCs w:val="21"/>
                <w:lang w:bidi="ar"/>
              </w:rPr>
              <w:t>7</w:t>
            </w:r>
          </w:p>
        </w:tc>
        <w:tc>
          <w:tcPr>
            <w:tcW w:w="1254" w:type="pct"/>
            <w:noWrap w:val="0"/>
            <w:vAlign w:val="center"/>
          </w:tcPr>
          <w:p w14:paraId="12F71DD0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76380</w:t>
            </w:r>
          </w:p>
        </w:tc>
        <w:tc>
          <w:tcPr>
            <w:tcW w:w="1823" w:type="pct"/>
            <w:noWrap w:val="0"/>
            <w:vAlign w:val="top"/>
          </w:tcPr>
          <w:p w14:paraId="25BDD3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color w:val="000000"/>
                <w:szCs w:val="21"/>
              </w:rPr>
              <w:t>×10</w:t>
            </w:r>
            <w:r>
              <w:rPr>
                <w:color w:val="000000"/>
                <w:szCs w:val="21"/>
                <w:vertAlign w:val="superscript"/>
              </w:rPr>
              <w:t>-4</w:t>
            </w:r>
          </w:p>
        </w:tc>
      </w:tr>
      <w:tr w14:paraId="5007B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68" w:type="pct"/>
            <w:noWrap w:val="0"/>
            <w:vAlign w:val="center"/>
          </w:tcPr>
          <w:p w14:paraId="0A04E29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54" w:type="pct"/>
            <w:noWrap w:val="0"/>
            <w:vAlign w:val="top"/>
          </w:tcPr>
          <w:p w14:paraId="66DBE472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8080065</w:t>
            </w:r>
          </w:p>
        </w:tc>
        <w:tc>
          <w:tcPr>
            <w:tcW w:w="1254" w:type="pct"/>
            <w:noWrap w:val="0"/>
            <w:vAlign w:val="center"/>
          </w:tcPr>
          <w:p w14:paraId="6A473106">
            <w:pPr>
              <w:jc w:val="center"/>
              <w:rPr>
                <w:szCs w:val="21"/>
              </w:rPr>
            </w:pPr>
            <w:r>
              <w:rPr>
                <w:kern w:val="0"/>
                <w:szCs w:val="21"/>
                <w:lang w:bidi="ar"/>
              </w:rPr>
              <w:t>26400</w:t>
            </w:r>
          </w:p>
        </w:tc>
        <w:tc>
          <w:tcPr>
            <w:tcW w:w="1823" w:type="pct"/>
            <w:noWrap w:val="0"/>
            <w:vAlign w:val="top"/>
          </w:tcPr>
          <w:p w14:paraId="69CD55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3.0</w:t>
            </w:r>
            <w:r>
              <w:rPr>
                <w:color w:val="000000"/>
                <w:szCs w:val="21"/>
              </w:rPr>
              <w:t>×10</w:t>
            </w:r>
            <w:r>
              <w:rPr>
                <w:color w:val="000000"/>
                <w:szCs w:val="21"/>
                <w:vertAlign w:val="superscript"/>
              </w:rPr>
              <w:t>-4</w:t>
            </w:r>
          </w:p>
        </w:tc>
      </w:tr>
    </w:tbl>
    <w:p w14:paraId="51220FF9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环境条件</w:t>
      </w:r>
    </w:p>
    <w:p w14:paraId="21F6CC13"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常温、常湿，天气符合检定要求。</w:t>
      </w:r>
    </w:p>
    <w:p w14:paraId="20E41948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被测对象</w:t>
      </w:r>
    </w:p>
    <w:p w14:paraId="3F73F1BD">
      <w:pPr>
        <w:autoSpaceDE w:val="0"/>
        <w:autoSpaceDN w:val="0"/>
        <w:adjustRightInd w:val="0"/>
        <w:spacing w:line="360" w:lineRule="auto"/>
        <w:ind w:firstLine="420"/>
        <w:jc w:val="left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自动</w:t>
      </w:r>
      <w:r>
        <w:rPr>
          <w:rFonts w:hint="eastAsia" w:ascii="宋体" w:hAnsi="宋体"/>
          <w:color w:val="000000"/>
          <w:sz w:val="24"/>
        </w:rPr>
        <w:t>轨道衡</w:t>
      </w:r>
      <w:r>
        <w:rPr>
          <w:rFonts w:hint="eastAsia" w:ascii="宋体" w:hAnsi="宋体"/>
          <w:sz w:val="24"/>
        </w:rPr>
        <w:t>，</w:t>
      </w:r>
      <w:r>
        <w:rPr>
          <w:rFonts w:hAnsi="宋体"/>
          <w:color w:val="000000"/>
          <w:sz w:val="24"/>
        </w:rPr>
        <w:t>检定分度值：</w:t>
      </w:r>
      <w:r>
        <w:rPr>
          <w:color w:val="000000"/>
          <w:position w:val="-6"/>
          <w:sz w:val="24"/>
        </w:rPr>
        <w:object>
          <v:shape id="_x0000_i1025" o:spt="75" type="#_x0000_t75" style="height:13.8pt;width:38.1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color w:val="000000"/>
          <w:sz w:val="24"/>
        </w:rPr>
        <w:t>kg</w:t>
      </w:r>
      <w:r>
        <w:rPr>
          <w:rFonts w:hint="eastAsia"/>
          <w:sz w:val="24"/>
        </w:rPr>
        <w:t>，</w:t>
      </w:r>
      <w:r>
        <w:rPr>
          <w:color w:val="000000"/>
          <w:position w:val="-6"/>
          <w:sz w:val="24"/>
        </w:rPr>
        <w:object>
          <v:shape id="_x0000_i1026" o:spt="75" type="#_x0000_t75" style="height:13.8pt;width:34.1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color w:val="000000"/>
          <w:sz w:val="24"/>
        </w:rPr>
        <w:t>kg</w:t>
      </w:r>
      <w:r>
        <w:rPr>
          <w:rFonts w:hint="eastAsia"/>
          <w:sz w:val="24"/>
        </w:rPr>
        <w:t>，</w:t>
      </w:r>
      <w:r>
        <w:rPr>
          <w:rFonts w:hAnsi="宋体"/>
          <w:color w:val="000000"/>
          <w:sz w:val="24"/>
        </w:rPr>
        <w:t>准</w:t>
      </w:r>
      <w:r>
        <w:rPr>
          <w:rFonts w:hint="eastAsia" w:ascii="宋体" w:hAnsi="宋体"/>
          <w:color w:val="000000"/>
          <w:sz w:val="24"/>
        </w:rPr>
        <w:t xml:space="preserve">确度等级：0.5级。 </w:t>
      </w:r>
    </w:p>
    <w:p w14:paraId="652C843D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 xml:space="preserve">测量过程 </w:t>
      </w:r>
    </w:p>
    <w:p w14:paraId="2D6D0D20">
      <w:pPr>
        <w:spacing w:line="360" w:lineRule="auto"/>
        <w:ind w:firstLine="360" w:firstLineChars="150"/>
        <w:rPr>
          <w:rFonts w:hint="eastAsia"/>
          <w:sz w:val="24"/>
        </w:rPr>
      </w:pPr>
      <w:r>
        <w:rPr>
          <w:rFonts w:hint="eastAsia"/>
          <w:sz w:val="24"/>
        </w:rPr>
        <w:t>由机车牵引检衡车在自动轨道衡上往返10次。</w:t>
      </w:r>
    </w:p>
    <w:p w14:paraId="194BD4DF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测量模型</w:t>
      </w:r>
    </w:p>
    <w:p w14:paraId="6DFC909B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测量模型见公</w:t>
      </w:r>
      <w:r>
        <w:rPr>
          <w:sz w:val="24"/>
        </w:rPr>
        <w:t>式（</w:t>
      </w:r>
      <w:r>
        <w:rPr>
          <w:rFonts w:hint="eastAsia"/>
          <w:sz w:val="24"/>
        </w:rPr>
        <w:t>1</w:t>
      </w:r>
      <w:r>
        <w:rPr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：</w:t>
      </w:r>
    </w:p>
    <w:p w14:paraId="6E56F523">
      <w:pPr>
        <w:ind w:left="420" w:leftChars="200"/>
        <w:jc w:val="center"/>
        <w:rPr>
          <w:rFonts w:hint="eastAsia"/>
          <w:sz w:val="24"/>
        </w:rPr>
      </w:pPr>
      <w:r>
        <w:rPr>
          <w:position w:val="-6"/>
          <w:sz w:val="24"/>
        </w:rPr>
        <w:object>
          <v:shape id="_x0000_i1027" o:spt="75" type="#_x0000_t75" style="height:13.95pt;width:49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  <w:sz w:val="24"/>
        </w:rPr>
        <w:t xml:space="preserve">  （1）</w:t>
      </w:r>
    </w:p>
    <w:p w14:paraId="679A8643">
      <w:pPr>
        <w:ind w:left="420" w:leftChars="200"/>
        <w:rPr>
          <w:rFonts w:hint="eastAsia"/>
          <w:sz w:val="24"/>
        </w:rPr>
      </w:pPr>
      <w:r>
        <w:rPr>
          <w:rFonts w:hint="eastAsia"/>
          <w:sz w:val="24"/>
        </w:rPr>
        <w:t>式中：</w:t>
      </w:r>
    </w:p>
    <w:p w14:paraId="5E144185">
      <w:pPr>
        <w:ind w:left="420" w:leftChars="200"/>
        <w:rPr>
          <w:rFonts w:hint="eastAsia"/>
          <w:sz w:val="24"/>
        </w:rPr>
      </w:pPr>
      <w:r>
        <w:rPr>
          <w:position w:val="-4"/>
          <w:sz w:val="24"/>
        </w:rPr>
        <w:object>
          <v:shape id="_x0000_i1028" o:spt="75" type="#_x0000_t75" style="height:13pt;width:12pt;" o:ole="t" filled="f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/>
          <w:sz w:val="24"/>
        </w:rPr>
        <w:t>—自动轨道衡的测量误差，kg；</w:t>
      </w:r>
    </w:p>
    <w:p w14:paraId="54BB0EF7">
      <w:pPr>
        <w:ind w:left="420" w:leftChars="200"/>
        <w:outlineLvl w:val="0"/>
        <w:rPr>
          <w:rFonts w:hint="eastAsia"/>
          <w:sz w:val="24"/>
        </w:rPr>
      </w:pPr>
      <w:r>
        <w:rPr>
          <w:position w:val="-4"/>
          <w:sz w:val="24"/>
        </w:rPr>
        <w:object>
          <v:shape id="_x0000_i1029" o:spt="75" type="#_x0000_t75" style="height:13pt;width:10pt;" o:ole="t" filled="f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  <w:sz w:val="24"/>
        </w:rPr>
        <w:t>—自动轨道衡对检衡车或参考车辆的示值，kg；</w:t>
      </w:r>
    </w:p>
    <w:p w14:paraId="3CE5147E">
      <w:pPr>
        <w:ind w:left="420" w:leftChars="200"/>
        <w:rPr>
          <w:rFonts w:hint="eastAsia"/>
          <w:sz w:val="24"/>
        </w:rPr>
      </w:pPr>
      <w:r>
        <w:rPr>
          <w:position w:val="-6"/>
          <w:sz w:val="24"/>
        </w:rPr>
        <w:object>
          <v:shape id="_x0000_i1030" o:spt="75" type="#_x0000_t75" style="height:11pt;width:13pt;" o:ole="t" filled="f" o:preferrelative="t" stroked="f" coordsize="21600,21600">
            <v:path/>
            <v:fill on="f" alignshape="1" focussize="0,0"/>
            <v:stroke on="f"/>
            <v:imagedata r:id="rId17" grayscale="f" bilevel="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  <w:sz w:val="24"/>
        </w:rPr>
        <w:t>—检衡车或参考车辆的质量值，kg。</w:t>
      </w:r>
    </w:p>
    <w:p w14:paraId="2741F453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方差和灵敏系数</w:t>
      </w:r>
    </w:p>
    <w:p w14:paraId="0FCCC7D8">
      <w:pPr>
        <w:spacing w:line="360" w:lineRule="auto"/>
        <w:ind w:left="420" w:left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由公式（1）得方差传播公式，如下式（2）所示：</w:t>
      </w:r>
    </w:p>
    <w:p w14:paraId="1F3BE50B">
      <w:pPr>
        <w:spacing w:line="360" w:lineRule="auto"/>
        <w:ind w:left="420" w:leftChars="200"/>
        <w:jc w:val="center"/>
        <w:rPr>
          <w:color w:val="000000"/>
          <w:sz w:val="24"/>
        </w:rPr>
      </w:pPr>
      <w:r>
        <w:rPr>
          <w:color w:val="000000"/>
          <w:position w:val="-14"/>
          <w:sz w:val="24"/>
        </w:rPr>
        <w:object>
          <v:shape id="_x0000_i1031" o:spt="75" type="#_x0000_t75" style="height:21.55pt;width:151.65pt;" o:ole="t" filled="f" o:preferrelative="t" stroked="f" coordsize="21600,21600">
            <v:path/>
            <v:fill on="f" alignshape="1" focussize="0,0"/>
            <v:stroke on="f"/>
            <v:imagedata r:id="rId19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hint="eastAsia"/>
          <w:color w:val="000000"/>
          <w:position w:val="-10"/>
          <w:sz w:val="24"/>
        </w:rPr>
        <w:t xml:space="preserve">  </w:t>
      </w:r>
      <w:r>
        <w:rPr>
          <w:sz w:val="24"/>
        </w:rPr>
        <w:t>（</w:t>
      </w:r>
      <w:r>
        <w:rPr>
          <w:rFonts w:hint="eastAsia"/>
          <w:sz w:val="24"/>
        </w:rPr>
        <w:t>2</w:t>
      </w:r>
      <w:r>
        <w:rPr>
          <w:color w:val="000000"/>
          <w:sz w:val="24"/>
        </w:rPr>
        <w:t>）</w:t>
      </w:r>
    </w:p>
    <w:p w14:paraId="61646F5E">
      <w:pPr>
        <w:spacing w:line="360" w:lineRule="auto"/>
        <w:ind w:left="420" w:leftChars="200"/>
        <w:rPr>
          <w:color w:val="000000"/>
          <w:sz w:val="24"/>
        </w:rPr>
      </w:pPr>
      <w:r>
        <w:rPr>
          <w:color w:val="000000"/>
          <w:sz w:val="24"/>
        </w:rPr>
        <w:t>式中：</w:t>
      </w:r>
    </w:p>
    <w:p w14:paraId="02E50B31">
      <w:pPr>
        <w:spacing w:line="360" w:lineRule="auto"/>
        <w:ind w:left="420" w:leftChars="200"/>
        <w:rPr>
          <w:color w:val="000000"/>
          <w:sz w:val="24"/>
        </w:rPr>
      </w:pPr>
      <w:r>
        <w:rPr>
          <w:color w:val="000000"/>
          <w:position w:val="-10"/>
          <w:sz w:val="24"/>
        </w:rPr>
        <w:object>
          <v:shape id="_x0000_i1032" o:spt="75" type="#_x0000_t75" style="height:14.75pt;width:25.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rPr>
          <w:rFonts w:hint="eastAsia"/>
          <w:color w:val="000000"/>
          <w:sz w:val="24"/>
        </w:rPr>
        <w:t>——</w:t>
      </w:r>
      <w:r>
        <w:rPr>
          <w:color w:val="000000"/>
          <w:sz w:val="24"/>
        </w:rPr>
        <w:t>示值误差</w:t>
      </w:r>
      <w:r>
        <w:rPr>
          <w:rFonts w:hint="eastAsia"/>
          <w:color w:val="000000"/>
          <w:sz w:val="24"/>
        </w:rPr>
        <w:t>的测量不确定度</w:t>
      </w:r>
      <w:r>
        <w:rPr>
          <w:color w:val="000000"/>
          <w:sz w:val="24"/>
        </w:rPr>
        <w:t>，kg；</w:t>
      </w:r>
    </w:p>
    <w:p w14:paraId="01E1C31F">
      <w:pPr>
        <w:spacing w:line="360" w:lineRule="auto"/>
        <w:ind w:left="420" w:leftChars="200"/>
        <w:rPr>
          <w:color w:val="000000"/>
          <w:sz w:val="24"/>
        </w:rPr>
      </w:pPr>
      <w:r>
        <w:rPr>
          <w:color w:val="000000"/>
          <w:position w:val="-10"/>
          <w:sz w:val="24"/>
        </w:rPr>
        <w:object>
          <v:shape id="_x0000_i1033" o:spt="75" type="#_x0000_t75" style="height:14.75pt;width:23.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/>
          <w:color w:val="000000"/>
          <w:sz w:val="24"/>
        </w:rPr>
        <w:t>——由轨道衡示值引入的不确定度分量</w:t>
      </w:r>
      <w:r>
        <w:rPr>
          <w:color w:val="000000"/>
          <w:sz w:val="24"/>
        </w:rPr>
        <w:t>，kg；</w:t>
      </w:r>
    </w:p>
    <w:p w14:paraId="7265D49B">
      <w:pPr>
        <w:spacing w:line="360" w:lineRule="auto"/>
        <w:ind w:left="420" w:leftChars="200"/>
        <w:rPr>
          <w:color w:val="000000"/>
          <w:sz w:val="24"/>
        </w:rPr>
      </w:pPr>
      <w:r>
        <w:rPr>
          <w:color w:val="000000"/>
          <w:position w:val="-10"/>
          <w:sz w:val="24"/>
        </w:rPr>
        <w:object>
          <v:shape id="_x0000_i1034" o:spt="75" type="#_x0000_t75" style="height:14.75pt;width:26.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eastAsia"/>
          <w:color w:val="000000"/>
          <w:sz w:val="24"/>
        </w:rPr>
        <w:t>——由</w:t>
      </w:r>
      <w:r>
        <w:rPr>
          <w:rFonts w:hint="eastAsia"/>
          <w:sz w:val="24"/>
        </w:rPr>
        <w:t>检衡车或参考车辆</w:t>
      </w:r>
      <w:r>
        <w:rPr>
          <w:rFonts w:hint="eastAsia"/>
          <w:color w:val="000000"/>
          <w:sz w:val="24"/>
        </w:rPr>
        <w:t>引入的不确定度分量</w:t>
      </w:r>
      <w:r>
        <w:rPr>
          <w:color w:val="000000"/>
          <w:sz w:val="24"/>
        </w:rPr>
        <w:t>，kg</w:t>
      </w:r>
      <w:r>
        <w:rPr>
          <w:rFonts w:hint="eastAsia"/>
          <w:color w:val="000000"/>
          <w:sz w:val="24"/>
        </w:rPr>
        <w:t>。</w:t>
      </w:r>
    </w:p>
    <w:p w14:paraId="6BE2E854">
      <w:pPr>
        <w:spacing w:line="360" w:lineRule="auto"/>
        <w:ind w:left="4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灵敏系数：</w:t>
      </w:r>
    </w:p>
    <w:p w14:paraId="5664D1F5">
      <w:pPr>
        <w:spacing w:line="360" w:lineRule="auto"/>
        <w:ind w:left="420" w:leftChars="200" w:firstLine="1800" w:firstLineChars="750"/>
        <w:rPr>
          <w:color w:val="000000"/>
          <w:sz w:val="24"/>
        </w:rPr>
      </w:pPr>
      <w:r>
        <w:rPr>
          <w:color w:val="000000"/>
          <w:position w:val="-24"/>
          <w:sz w:val="24"/>
        </w:rPr>
        <w:object>
          <v:shape id="_x0000_i1035" o:spt="75" type="#_x0000_t75" style="height:31.85pt;width:56.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/>
          <w:color w:val="000000"/>
          <w:sz w:val="24"/>
        </w:rPr>
        <w:t>，</w:t>
      </w:r>
      <w:r>
        <w:rPr>
          <w:color w:val="000000"/>
          <w:position w:val="-24"/>
          <w:sz w:val="24"/>
        </w:rPr>
        <w:object>
          <v:shape id="_x0000_i1036" o:spt="75" type="#_x0000_t75" style="height:31.85pt;width:66.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</w:p>
    <w:p w14:paraId="1AC106DF">
      <w:pPr>
        <w:spacing w:line="360" w:lineRule="auto"/>
        <w:ind w:left="420" w:left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因此，公式（2）变为：</w:t>
      </w:r>
    </w:p>
    <w:p w14:paraId="12C00DE9">
      <w:pPr>
        <w:spacing w:line="360" w:lineRule="auto"/>
        <w:ind w:left="420" w:leftChars="200" w:firstLine="1800" w:firstLineChars="750"/>
        <w:rPr>
          <w:color w:val="000000"/>
          <w:sz w:val="24"/>
        </w:rPr>
      </w:pPr>
      <w:r>
        <w:rPr>
          <w:color w:val="000000"/>
          <w:position w:val="-14"/>
          <w:sz w:val="24"/>
        </w:rPr>
        <w:object>
          <v:shape id="_x0000_i1037" o:spt="75" type="#_x0000_t75" style="height:21.7pt;width:124.2pt;" o:ole="t" filled="f" o:preferrelative="t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/>
          <w:color w:val="000000"/>
          <w:position w:val="-10"/>
          <w:sz w:val="24"/>
        </w:rPr>
        <w:t xml:space="preserve">  </w:t>
      </w:r>
      <w:r>
        <w:rPr>
          <w:sz w:val="24"/>
        </w:rPr>
        <w:t>（</w:t>
      </w:r>
      <w:r>
        <w:rPr>
          <w:rFonts w:hint="eastAsia"/>
          <w:sz w:val="24"/>
        </w:rPr>
        <w:t>3</w:t>
      </w:r>
      <w:r>
        <w:rPr>
          <w:color w:val="000000"/>
          <w:sz w:val="24"/>
        </w:rPr>
        <w:t>）</w:t>
      </w:r>
    </w:p>
    <w:p w14:paraId="6EF414D5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color w:val="000000"/>
          <w:kern w:val="0"/>
          <w:sz w:val="28"/>
          <w:szCs w:val="28"/>
        </w:rPr>
        <w:t>各输入量的标准不确定度评定</w:t>
      </w:r>
    </w:p>
    <w:p w14:paraId="09669C32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由轨道衡示值引入的标准不确定度分量</w:t>
      </w:r>
      <w:r>
        <w:rPr>
          <w:color w:val="000000"/>
          <w:position w:val="-10"/>
          <w:sz w:val="24"/>
        </w:rPr>
        <w:object>
          <v:shape id="_x0000_i1038" o:spt="75" type="#_x0000_t75" style="height:14.75pt;width:23.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="黑体" w:hAnsi="黑体" w:eastAsia="黑体"/>
          <w:sz w:val="24"/>
        </w:rPr>
        <w:t>的评定</w:t>
      </w:r>
    </w:p>
    <w:p w14:paraId="56F916E5">
      <w:pPr>
        <w:pStyle w:val="96"/>
        <w:spacing w:line="360" w:lineRule="auto"/>
        <w:ind w:left="420" w:firstLine="0" w:firstLineChars="0"/>
        <w:rPr>
          <w:color w:val="000000"/>
          <w:sz w:val="24"/>
        </w:rPr>
      </w:pPr>
      <w:r>
        <w:rPr>
          <w:position w:val="-10"/>
        </w:rPr>
        <w:object>
          <v:shape id="_x0000_i1039" o:spt="75" type="#_x0000_t75" style="height:14.75pt;width:23.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/>
          <w:color w:val="000000"/>
          <w:sz w:val="24"/>
        </w:rPr>
        <w:t>的不确定度主要来源于轨道衡测量重复性和分辨力等因素。</w:t>
      </w:r>
    </w:p>
    <w:p w14:paraId="7ED88855">
      <w:pPr>
        <w:pStyle w:val="96"/>
        <w:numPr>
          <w:ilvl w:val="2"/>
          <w:numId w:val="12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测量的重复性引入的标准不确定度分量</w:t>
      </w:r>
      <w:r>
        <w:rPr>
          <w:position w:val="-10"/>
        </w:rPr>
        <w:object>
          <v:shape id="_x0000_i1040" o:spt="75" type="#_x0000_t75" style="height:16.6pt;width:26.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  <w:r>
        <w:rPr>
          <w:rFonts w:hint="eastAsia"/>
          <w:color w:val="000000"/>
          <w:sz w:val="24"/>
        </w:rPr>
        <w:t>的评定</w:t>
      </w:r>
    </w:p>
    <w:p w14:paraId="4720A6FF">
      <w:pPr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>由机车牵引，检衡车在自动轨道衡上往返10</w:t>
      </w:r>
      <w:r>
        <w:rPr>
          <w:sz w:val="24"/>
        </w:rPr>
        <w:t>次，</w:t>
      </w:r>
      <w:r>
        <w:rPr>
          <w:rFonts w:hint="eastAsia"/>
          <w:sz w:val="24"/>
        </w:rPr>
        <w:t>共计20次称量，其称量结果为</w:t>
      </w:r>
      <w:r>
        <w:rPr>
          <w:position w:val="-12"/>
          <w:sz w:val="24"/>
        </w:rPr>
        <w:object>
          <v:shape id="_x0000_i1041" o:spt="75" type="#_x0000_t75" style="height:18pt;width:12pt;" o:ole="t" filled="f" o:preferrelative="t" stroked="f" coordsize="21600,21600">
            <v:path/>
            <v:fill on="f" alignshape="1" focussize="0,0"/>
            <v:stroke on="f"/>
            <v:imagedata r:id="rId37" grayscale="f" bilevel="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hint="eastAsia"/>
          <w:sz w:val="24"/>
        </w:rPr>
        <w:t>（</w:t>
      </w:r>
      <w:r>
        <w:rPr>
          <w:position w:val="-10"/>
          <w:sz w:val="24"/>
        </w:rPr>
        <w:object>
          <v:shape id="_x0000_i1042" o:spt="75" type="#_x0000_t75" style="height:16pt;width:56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hint="eastAsia"/>
          <w:sz w:val="24"/>
        </w:rPr>
        <w:t>），</w:t>
      </w:r>
      <w:r>
        <w:rPr>
          <w:sz w:val="24"/>
        </w:rPr>
        <w:t>计算其</w:t>
      </w:r>
      <w:r>
        <w:rPr>
          <w:rFonts w:hint="eastAsia"/>
          <w:sz w:val="24"/>
        </w:rPr>
        <w:t>示值的</w:t>
      </w:r>
      <w:r>
        <w:rPr>
          <w:sz w:val="24"/>
        </w:rPr>
        <w:t>平均值</w:t>
      </w:r>
      <w:r>
        <w:rPr>
          <w:position w:val="-6"/>
          <w:sz w:val="24"/>
        </w:rPr>
        <w:object>
          <v:shape id="_x0000_i1043" o:spt="75" type="#_x0000_t75" style="height:17pt;width:10pt;" o:ole="t" filled="f" o:preferrelative="t" stroked="f" coordsize="21600,21600">
            <v:path/>
            <v:fill on="f" alignshape="1" focussize="0,0"/>
            <v:stroke on="f"/>
            <v:imagedata r:id="rId41" grayscale="f" bilevel="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sz w:val="24"/>
        </w:rPr>
        <w:t>，然后求出实验标准偏差</w:t>
      </w:r>
      <w:r>
        <w:rPr>
          <w:position w:val="-12"/>
          <w:sz w:val="24"/>
        </w:rPr>
        <w:object>
          <v:shape id="_x0000_i1044" o:spt="75" type="#_x0000_t75" style="height:18pt;width:12pt;" o:ole="t" filled="f" o:preferrelative="t" stroked="f" coordsize="21600,21600">
            <v:path/>
            <v:fill on="f" alignshape="1" focussize="0,0"/>
            <v:stroke on="f"/>
            <v:imagedata r:id="rId43" grayscale="f" bilevel="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  <w:r>
        <w:rPr>
          <w:sz w:val="24"/>
        </w:rPr>
        <w:t>。</w:t>
      </w:r>
      <w:r>
        <w:rPr>
          <w:rFonts w:hint="eastAsia"/>
          <w:sz w:val="24"/>
        </w:rPr>
        <w:t>其公式如下：</w:t>
      </w:r>
    </w:p>
    <w:p w14:paraId="4DC919D7">
      <w:pPr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45" o:spt="75" type="#_x0000_t75" style="height:34pt;width:58pt;" o:ole="t" filled="f" o:preferrelative="t" stroked="f" coordsize="21600,21600">
            <v:path/>
            <v:fill on="f" alignshape="1" focussize="0,0"/>
            <v:stroke on="f"/>
            <v:imagedata r:id="rId45" grayscale="f" bilevel="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hint="eastAsia"/>
          <w:sz w:val="24"/>
        </w:rPr>
        <w:t xml:space="preserve">   （</w:t>
      </w:r>
      <w:r>
        <w:rPr>
          <w:position w:val="-10"/>
          <w:sz w:val="24"/>
        </w:rPr>
        <w:object>
          <v:shape id="_x0000_i1046" o:spt="75" type="#_x0000_t75" style="height:16pt;width:56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hint="eastAsia"/>
          <w:sz w:val="24"/>
        </w:rPr>
        <w:t>）</w:t>
      </w:r>
    </w:p>
    <w:p w14:paraId="6A81F1FA">
      <w:pPr>
        <w:jc w:val="center"/>
        <w:rPr>
          <w:rFonts w:hint="eastAsia"/>
          <w:sz w:val="24"/>
        </w:rPr>
      </w:pPr>
      <w:r>
        <w:rPr>
          <w:position w:val="-30"/>
          <w:sz w:val="24"/>
        </w:rPr>
        <w:object>
          <v:shape id="_x0000_i1047" o:spt="75" type="#_x0000_t75" style="height:38pt;width:148pt;" o:ole="t" filled="f" o:preferrelative="t" stroked="f" coordsize="21600,21600">
            <v:path/>
            <v:fill on="f" alignshape="1" focussize="0,0"/>
            <v:stroke on="f"/>
            <v:imagedata r:id="rId48" grayscale="f" bilevel="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/>
          <w:sz w:val="24"/>
        </w:rPr>
        <w:t xml:space="preserve">  （</w:t>
      </w:r>
      <w:r>
        <w:rPr>
          <w:position w:val="-10"/>
          <w:sz w:val="24"/>
        </w:rPr>
        <w:object>
          <v:shape id="_x0000_i1048" o:spt="75" type="#_x0000_t75" style="height:16pt;width:56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hint="eastAsia"/>
          <w:sz w:val="24"/>
        </w:rPr>
        <w:t>）</w:t>
      </w:r>
    </w:p>
    <w:p w14:paraId="5829B822">
      <w:pPr>
        <w:jc w:val="center"/>
        <w:rPr>
          <w:rFonts w:hint="eastAsia"/>
          <w:sz w:val="24"/>
        </w:rPr>
      </w:pPr>
    </w:p>
    <w:p w14:paraId="41722B26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表2  测量值</w:t>
      </w:r>
    </w:p>
    <w:tbl>
      <w:tblPr>
        <w:tblStyle w:val="88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3"/>
        <w:gridCol w:w="593"/>
        <w:gridCol w:w="753"/>
        <w:gridCol w:w="755"/>
        <w:gridCol w:w="757"/>
        <w:gridCol w:w="755"/>
        <w:gridCol w:w="755"/>
        <w:gridCol w:w="755"/>
        <w:gridCol w:w="753"/>
        <w:gridCol w:w="755"/>
        <w:gridCol w:w="753"/>
        <w:gridCol w:w="753"/>
      </w:tblGrid>
      <w:tr w14:paraId="492A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345" w:type="pct"/>
            <w:vMerge w:val="restart"/>
            <w:noWrap w:val="0"/>
            <w:vAlign w:val="center"/>
          </w:tcPr>
          <w:p w14:paraId="547DF4BD">
            <w:pPr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称量点</w:t>
            </w:r>
          </w:p>
        </w:tc>
        <w:tc>
          <w:tcPr>
            <w:tcW w:w="339" w:type="pct"/>
            <w:vMerge w:val="restart"/>
            <w:noWrap w:val="0"/>
            <w:vAlign w:val="center"/>
          </w:tcPr>
          <w:p w14:paraId="3BFB4C2C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方向</w:t>
            </w:r>
          </w:p>
        </w:tc>
        <w:tc>
          <w:tcPr>
            <w:tcW w:w="4316" w:type="pct"/>
            <w:gridSpan w:val="10"/>
            <w:noWrap w:val="0"/>
            <w:vAlign w:val="center"/>
          </w:tcPr>
          <w:p w14:paraId="4DBFE62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次数</w:t>
            </w:r>
          </w:p>
        </w:tc>
      </w:tr>
      <w:tr w14:paraId="5AD1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345" w:type="pct"/>
            <w:vMerge w:val="continue"/>
            <w:noWrap w:val="0"/>
            <w:vAlign w:val="center"/>
          </w:tcPr>
          <w:p w14:paraId="69869BC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9" w:type="pct"/>
            <w:vMerge w:val="continue"/>
            <w:noWrap w:val="0"/>
            <w:vAlign w:val="center"/>
          </w:tcPr>
          <w:p w14:paraId="5E985E9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431" w:type="pct"/>
            <w:noWrap w:val="0"/>
            <w:vAlign w:val="center"/>
          </w:tcPr>
          <w:p w14:paraId="2DAE004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432" w:type="pct"/>
            <w:noWrap w:val="0"/>
            <w:vAlign w:val="center"/>
          </w:tcPr>
          <w:p w14:paraId="58D75C1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433" w:type="pct"/>
            <w:noWrap w:val="0"/>
            <w:vAlign w:val="center"/>
          </w:tcPr>
          <w:p w14:paraId="62EC845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432" w:type="pct"/>
            <w:noWrap w:val="0"/>
            <w:vAlign w:val="center"/>
          </w:tcPr>
          <w:p w14:paraId="2C7D624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432" w:type="pct"/>
            <w:noWrap w:val="0"/>
            <w:vAlign w:val="center"/>
          </w:tcPr>
          <w:p w14:paraId="4C59D0A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432" w:type="pct"/>
            <w:noWrap w:val="0"/>
            <w:vAlign w:val="center"/>
          </w:tcPr>
          <w:p w14:paraId="6666EDF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431" w:type="pct"/>
            <w:noWrap w:val="0"/>
            <w:vAlign w:val="center"/>
          </w:tcPr>
          <w:p w14:paraId="4F0E3C0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432" w:type="pct"/>
            <w:noWrap w:val="0"/>
            <w:vAlign w:val="center"/>
          </w:tcPr>
          <w:p w14:paraId="1630E08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431" w:type="pct"/>
            <w:noWrap w:val="0"/>
            <w:vAlign w:val="center"/>
          </w:tcPr>
          <w:p w14:paraId="28240FF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</w:t>
            </w:r>
          </w:p>
        </w:tc>
        <w:tc>
          <w:tcPr>
            <w:tcW w:w="430" w:type="pct"/>
            <w:noWrap w:val="0"/>
            <w:vAlign w:val="center"/>
          </w:tcPr>
          <w:p w14:paraId="70C90C97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</w:t>
            </w:r>
          </w:p>
        </w:tc>
      </w:tr>
      <w:tr w14:paraId="46BF9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restart"/>
            <w:noWrap w:val="0"/>
            <w:vAlign w:val="center"/>
          </w:tcPr>
          <w:p w14:paraId="68DF369E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94540</w:t>
            </w:r>
          </w:p>
        </w:tc>
        <w:tc>
          <w:tcPr>
            <w:tcW w:w="339" w:type="pct"/>
            <w:noWrap w:val="0"/>
            <w:vAlign w:val="center"/>
          </w:tcPr>
          <w:p w14:paraId="60470BE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←</w:t>
            </w:r>
          </w:p>
        </w:tc>
        <w:tc>
          <w:tcPr>
            <w:tcW w:w="431" w:type="pct"/>
            <w:noWrap w:val="0"/>
            <w:vAlign w:val="center"/>
          </w:tcPr>
          <w:p w14:paraId="190F570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94520</w:t>
            </w:r>
          </w:p>
        </w:tc>
        <w:tc>
          <w:tcPr>
            <w:tcW w:w="432" w:type="pct"/>
            <w:noWrap w:val="0"/>
            <w:vAlign w:val="center"/>
          </w:tcPr>
          <w:p w14:paraId="206E1DB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94570</w:t>
            </w:r>
          </w:p>
        </w:tc>
        <w:tc>
          <w:tcPr>
            <w:tcW w:w="433" w:type="pct"/>
            <w:noWrap w:val="0"/>
            <w:vAlign w:val="center"/>
          </w:tcPr>
          <w:p w14:paraId="2D4CDB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94520</w:t>
            </w:r>
          </w:p>
        </w:tc>
        <w:tc>
          <w:tcPr>
            <w:tcW w:w="432" w:type="pct"/>
            <w:noWrap w:val="0"/>
            <w:vAlign w:val="center"/>
          </w:tcPr>
          <w:p w14:paraId="070E9CA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94450</w:t>
            </w:r>
          </w:p>
        </w:tc>
        <w:tc>
          <w:tcPr>
            <w:tcW w:w="432" w:type="pct"/>
            <w:noWrap w:val="0"/>
            <w:vAlign w:val="center"/>
          </w:tcPr>
          <w:p w14:paraId="5D38D65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94540</w:t>
            </w:r>
          </w:p>
        </w:tc>
        <w:tc>
          <w:tcPr>
            <w:tcW w:w="432" w:type="pct"/>
            <w:noWrap w:val="0"/>
            <w:vAlign w:val="center"/>
          </w:tcPr>
          <w:p w14:paraId="77422E6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94520</w:t>
            </w:r>
          </w:p>
        </w:tc>
        <w:tc>
          <w:tcPr>
            <w:tcW w:w="431" w:type="pct"/>
            <w:noWrap w:val="0"/>
            <w:vAlign w:val="center"/>
          </w:tcPr>
          <w:p w14:paraId="01C0DDC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94500</w:t>
            </w:r>
          </w:p>
        </w:tc>
        <w:tc>
          <w:tcPr>
            <w:tcW w:w="432" w:type="pct"/>
            <w:noWrap w:val="0"/>
            <w:vAlign w:val="center"/>
          </w:tcPr>
          <w:p w14:paraId="5BD53D4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94560</w:t>
            </w:r>
          </w:p>
        </w:tc>
        <w:tc>
          <w:tcPr>
            <w:tcW w:w="431" w:type="pct"/>
            <w:noWrap w:val="0"/>
            <w:vAlign w:val="center"/>
          </w:tcPr>
          <w:p w14:paraId="29D4EBB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94520</w:t>
            </w:r>
          </w:p>
        </w:tc>
        <w:tc>
          <w:tcPr>
            <w:tcW w:w="430" w:type="pct"/>
            <w:noWrap w:val="0"/>
            <w:vAlign w:val="center"/>
          </w:tcPr>
          <w:p w14:paraId="6E39771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94540</w:t>
            </w:r>
          </w:p>
        </w:tc>
      </w:tr>
      <w:tr w14:paraId="7FF3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continue"/>
            <w:noWrap w:val="0"/>
            <w:vAlign w:val="center"/>
          </w:tcPr>
          <w:p w14:paraId="7C8F5C88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9" w:type="pct"/>
            <w:noWrap w:val="0"/>
            <w:vAlign w:val="center"/>
          </w:tcPr>
          <w:p w14:paraId="794941B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→</w:t>
            </w:r>
          </w:p>
        </w:tc>
        <w:tc>
          <w:tcPr>
            <w:tcW w:w="431" w:type="pct"/>
            <w:noWrap w:val="0"/>
            <w:vAlign w:val="center"/>
          </w:tcPr>
          <w:p w14:paraId="335689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94510</w:t>
            </w:r>
          </w:p>
        </w:tc>
        <w:tc>
          <w:tcPr>
            <w:tcW w:w="432" w:type="pct"/>
            <w:noWrap w:val="0"/>
            <w:vAlign w:val="center"/>
          </w:tcPr>
          <w:p w14:paraId="76A29D7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94560</w:t>
            </w:r>
          </w:p>
        </w:tc>
        <w:tc>
          <w:tcPr>
            <w:tcW w:w="433" w:type="pct"/>
            <w:noWrap w:val="0"/>
            <w:vAlign w:val="center"/>
          </w:tcPr>
          <w:p w14:paraId="01A7CA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94520</w:t>
            </w:r>
          </w:p>
        </w:tc>
        <w:tc>
          <w:tcPr>
            <w:tcW w:w="432" w:type="pct"/>
            <w:noWrap w:val="0"/>
            <w:vAlign w:val="center"/>
          </w:tcPr>
          <w:p w14:paraId="34149E0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94530</w:t>
            </w:r>
          </w:p>
        </w:tc>
        <w:tc>
          <w:tcPr>
            <w:tcW w:w="432" w:type="pct"/>
            <w:noWrap w:val="0"/>
            <w:vAlign w:val="center"/>
          </w:tcPr>
          <w:p w14:paraId="46B3EB1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94560</w:t>
            </w:r>
          </w:p>
        </w:tc>
        <w:tc>
          <w:tcPr>
            <w:tcW w:w="432" w:type="pct"/>
            <w:noWrap w:val="0"/>
            <w:vAlign w:val="center"/>
          </w:tcPr>
          <w:p w14:paraId="09B5626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94550</w:t>
            </w:r>
          </w:p>
        </w:tc>
        <w:tc>
          <w:tcPr>
            <w:tcW w:w="431" w:type="pct"/>
            <w:noWrap w:val="0"/>
            <w:vAlign w:val="center"/>
          </w:tcPr>
          <w:p w14:paraId="01B3CB8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94490</w:t>
            </w:r>
          </w:p>
        </w:tc>
        <w:tc>
          <w:tcPr>
            <w:tcW w:w="432" w:type="pct"/>
            <w:noWrap w:val="0"/>
            <w:vAlign w:val="center"/>
          </w:tcPr>
          <w:p w14:paraId="4C5FBAC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94520</w:t>
            </w:r>
          </w:p>
        </w:tc>
        <w:tc>
          <w:tcPr>
            <w:tcW w:w="431" w:type="pct"/>
            <w:noWrap w:val="0"/>
            <w:vAlign w:val="center"/>
          </w:tcPr>
          <w:p w14:paraId="5BF2CF1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94550</w:t>
            </w:r>
          </w:p>
        </w:tc>
        <w:tc>
          <w:tcPr>
            <w:tcW w:w="430" w:type="pct"/>
            <w:noWrap w:val="0"/>
            <w:vAlign w:val="center"/>
          </w:tcPr>
          <w:p w14:paraId="7D3A1C3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94590</w:t>
            </w:r>
          </w:p>
        </w:tc>
      </w:tr>
      <w:tr w14:paraId="57FE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restart"/>
            <w:noWrap w:val="0"/>
            <w:vAlign w:val="center"/>
          </w:tcPr>
          <w:p w14:paraId="57EFC11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68380</w:t>
            </w:r>
          </w:p>
        </w:tc>
        <w:tc>
          <w:tcPr>
            <w:tcW w:w="339" w:type="pct"/>
            <w:noWrap w:val="0"/>
            <w:vAlign w:val="center"/>
          </w:tcPr>
          <w:p w14:paraId="5FD58A3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←</w:t>
            </w:r>
          </w:p>
        </w:tc>
        <w:tc>
          <w:tcPr>
            <w:tcW w:w="431" w:type="pct"/>
            <w:noWrap w:val="0"/>
            <w:vAlign w:val="center"/>
          </w:tcPr>
          <w:p w14:paraId="74C0D6A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68310</w:t>
            </w:r>
          </w:p>
        </w:tc>
        <w:tc>
          <w:tcPr>
            <w:tcW w:w="432" w:type="pct"/>
            <w:noWrap w:val="0"/>
            <w:vAlign w:val="center"/>
          </w:tcPr>
          <w:p w14:paraId="2FF7B78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68370</w:t>
            </w:r>
          </w:p>
        </w:tc>
        <w:tc>
          <w:tcPr>
            <w:tcW w:w="433" w:type="pct"/>
            <w:noWrap w:val="0"/>
            <w:vAlign w:val="center"/>
          </w:tcPr>
          <w:p w14:paraId="3E29C9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68330</w:t>
            </w:r>
          </w:p>
        </w:tc>
        <w:tc>
          <w:tcPr>
            <w:tcW w:w="432" w:type="pct"/>
            <w:noWrap w:val="0"/>
            <w:vAlign w:val="center"/>
          </w:tcPr>
          <w:p w14:paraId="79D2FCD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68370</w:t>
            </w:r>
          </w:p>
        </w:tc>
        <w:tc>
          <w:tcPr>
            <w:tcW w:w="432" w:type="pct"/>
            <w:noWrap w:val="0"/>
            <w:vAlign w:val="center"/>
          </w:tcPr>
          <w:p w14:paraId="6AAE1E9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68340</w:t>
            </w:r>
          </w:p>
        </w:tc>
        <w:tc>
          <w:tcPr>
            <w:tcW w:w="432" w:type="pct"/>
            <w:noWrap w:val="0"/>
            <w:vAlign w:val="center"/>
          </w:tcPr>
          <w:p w14:paraId="4915A17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68350</w:t>
            </w:r>
          </w:p>
        </w:tc>
        <w:tc>
          <w:tcPr>
            <w:tcW w:w="431" w:type="pct"/>
            <w:noWrap w:val="0"/>
            <w:vAlign w:val="center"/>
          </w:tcPr>
          <w:p w14:paraId="6B206B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68350</w:t>
            </w:r>
          </w:p>
        </w:tc>
        <w:tc>
          <w:tcPr>
            <w:tcW w:w="432" w:type="pct"/>
            <w:noWrap w:val="0"/>
            <w:vAlign w:val="center"/>
          </w:tcPr>
          <w:p w14:paraId="073BE6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68410</w:t>
            </w:r>
          </w:p>
        </w:tc>
        <w:tc>
          <w:tcPr>
            <w:tcW w:w="431" w:type="pct"/>
            <w:noWrap w:val="0"/>
            <w:vAlign w:val="center"/>
          </w:tcPr>
          <w:p w14:paraId="7EB3700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68370</w:t>
            </w:r>
          </w:p>
        </w:tc>
        <w:tc>
          <w:tcPr>
            <w:tcW w:w="430" w:type="pct"/>
            <w:noWrap w:val="0"/>
            <w:vAlign w:val="center"/>
          </w:tcPr>
          <w:p w14:paraId="6333451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68350</w:t>
            </w:r>
          </w:p>
        </w:tc>
      </w:tr>
      <w:tr w14:paraId="6435F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continue"/>
            <w:noWrap w:val="0"/>
            <w:vAlign w:val="center"/>
          </w:tcPr>
          <w:p w14:paraId="5DF60774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9" w:type="pct"/>
            <w:noWrap w:val="0"/>
            <w:vAlign w:val="center"/>
          </w:tcPr>
          <w:p w14:paraId="56B42360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→</w:t>
            </w:r>
          </w:p>
        </w:tc>
        <w:tc>
          <w:tcPr>
            <w:tcW w:w="431" w:type="pct"/>
            <w:noWrap w:val="0"/>
            <w:vAlign w:val="center"/>
          </w:tcPr>
          <w:p w14:paraId="398D2CE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68360</w:t>
            </w:r>
          </w:p>
        </w:tc>
        <w:tc>
          <w:tcPr>
            <w:tcW w:w="432" w:type="pct"/>
            <w:noWrap w:val="0"/>
            <w:vAlign w:val="center"/>
          </w:tcPr>
          <w:p w14:paraId="3C6FFA6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68380</w:t>
            </w:r>
          </w:p>
        </w:tc>
        <w:tc>
          <w:tcPr>
            <w:tcW w:w="433" w:type="pct"/>
            <w:noWrap w:val="0"/>
            <w:vAlign w:val="center"/>
          </w:tcPr>
          <w:p w14:paraId="0539974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68360</w:t>
            </w:r>
          </w:p>
        </w:tc>
        <w:tc>
          <w:tcPr>
            <w:tcW w:w="432" w:type="pct"/>
            <w:noWrap w:val="0"/>
            <w:vAlign w:val="center"/>
          </w:tcPr>
          <w:p w14:paraId="4134043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68350</w:t>
            </w:r>
          </w:p>
        </w:tc>
        <w:tc>
          <w:tcPr>
            <w:tcW w:w="432" w:type="pct"/>
            <w:noWrap w:val="0"/>
            <w:vAlign w:val="center"/>
          </w:tcPr>
          <w:p w14:paraId="4B5B9B9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68340</w:t>
            </w:r>
          </w:p>
        </w:tc>
        <w:tc>
          <w:tcPr>
            <w:tcW w:w="432" w:type="pct"/>
            <w:noWrap w:val="0"/>
            <w:vAlign w:val="center"/>
          </w:tcPr>
          <w:p w14:paraId="64BA0F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68330</w:t>
            </w:r>
          </w:p>
        </w:tc>
        <w:tc>
          <w:tcPr>
            <w:tcW w:w="431" w:type="pct"/>
            <w:noWrap w:val="0"/>
            <w:vAlign w:val="center"/>
          </w:tcPr>
          <w:p w14:paraId="2468C67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68340</w:t>
            </w:r>
          </w:p>
        </w:tc>
        <w:tc>
          <w:tcPr>
            <w:tcW w:w="432" w:type="pct"/>
            <w:noWrap w:val="0"/>
            <w:vAlign w:val="center"/>
          </w:tcPr>
          <w:p w14:paraId="6CF7DF3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68390</w:t>
            </w:r>
          </w:p>
        </w:tc>
        <w:tc>
          <w:tcPr>
            <w:tcW w:w="431" w:type="pct"/>
            <w:noWrap w:val="0"/>
            <w:vAlign w:val="center"/>
          </w:tcPr>
          <w:p w14:paraId="61B43BD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68370</w:t>
            </w:r>
          </w:p>
        </w:tc>
        <w:tc>
          <w:tcPr>
            <w:tcW w:w="430" w:type="pct"/>
            <w:noWrap w:val="0"/>
            <w:vAlign w:val="center"/>
          </w:tcPr>
          <w:p w14:paraId="751539A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68360</w:t>
            </w:r>
          </w:p>
        </w:tc>
      </w:tr>
      <w:tr w14:paraId="76DF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restart"/>
            <w:noWrap w:val="0"/>
            <w:vAlign w:val="center"/>
          </w:tcPr>
          <w:p w14:paraId="1C34BFD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84410</w:t>
            </w:r>
          </w:p>
        </w:tc>
        <w:tc>
          <w:tcPr>
            <w:tcW w:w="339" w:type="pct"/>
            <w:noWrap w:val="0"/>
            <w:vAlign w:val="center"/>
          </w:tcPr>
          <w:p w14:paraId="63F3E55A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←</w:t>
            </w:r>
          </w:p>
        </w:tc>
        <w:tc>
          <w:tcPr>
            <w:tcW w:w="431" w:type="pct"/>
            <w:noWrap w:val="0"/>
            <w:vAlign w:val="center"/>
          </w:tcPr>
          <w:p w14:paraId="58F6C31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84420</w:t>
            </w:r>
          </w:p>
        </w:tc>
        <w:tc>
          <w:tcPr>
            <w:tcW w:w="432" w:type="pct"/>
            <w:noWrap w:val="0"/>
            <w:vAlign w:val="center"/>
          </w:tcPr>
          <w:p w14:paraId="1CA1FB2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84450</w:t>
            </w:r>
          </w:p>
        </w:tc>
        <w:tc>
          <w:tcPr>
            <w:tcW w:w="433" w:type="pct"/>
            <w:noWrap w:val="0"/>
            <w:vAlign w:val="center"/>
          </w:tcPr>
          <w:p w14:paraId="5E60967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84430</w:t>
            </w:r>
          </w:p>
        </w:tc>
        <w:tc>
          <w:tcPr>
            <w:tcW w:w="432" w:type="pct"/>
            <w:noWrap w:val="0"/>
            <w:vAlign w:val="center"/>
          </w:tcPr>
          <w:p w14:paraId="1278926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84490</w:t>
            </w:r>
          </w:p>
        </w:tc>
        <w:tc>
          <w:tcPr>
            <w:tcW w:w="432" w:type="pct"/>
            <w:noWrap w:val="0"/>
            <w:vAlign w:val="center"/>
          </w:tcPr>
          <w:p w14:paraId="1F281AC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84440</w:t>
            </w:r>
          </w:p>
        </w:tc>
        <w:tc>
          <w:tcPr>
            <w:tcW w:w="432" w:type="pct"/>
            <w:noWrap w:val="0"/>
            <w:vAlign w:val="center"/>
          </w:tcPr>
          <w:p w14:paraId="1D15437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84450</w:t>
            </w:r>
          </w:p>
        </w:tc>
        <w:tc>
          <w:tcPr>
            <w:tcW w:w="431" w:type="pct"/>
            <w:noWrap w:val="0"/>
            <w:vAlign w:val="center"/>
          </w:tcPr>
          <w:p w14:paraId="09E9ED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84460</w:t>
            </w:r>
          </w:p>
        </w:tc>
        <w:tc>
          <w:tcPr>
            <w:tcW w:w="432" w:type="pct"/>
            <w:noWrap w:val="0"/>
            <w:vAlign w:val="center"/>
          </w:tcPr>
          <w:p w14:paraId="7CE4998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84450</w:t>
            </w:r>
          </w:p>
        </w:tc>
        <w:tc>
          <w:tcPr>
            <w:tcW w:w="431" w:type="pct"/>
            <w:noWrap w:val="0"/>
            <w:vAlign w:val="center"/>
          </w:tcPr>
          <w:p w14:paraId="0AF3AF1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84490</w:t>
            </w:r>
          </w:p>
        </w:tc>
        <w:tc>
          <w:tcPr>
            <w:tcW w:w="430" w:type="pct"/>
            <w:noWrap w:val="0"/>
            <w:vAlign w:val="center"/>
          </w:tcPr>
          <w:p w14:paraId="43B0D0E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84440</w:t>
            </w:r>
          </w:p>
        </w:tc>
      </w:tr>
      <w:tr w14:paraId="1A628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continue"/>
            <w:noWrap w:val="0"/>
            <w:vAlign w:val="center"/>
          </w:tcPr>
          <w:p w14:paraId="27D1F16D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9" w:type="pct"/>
            <w:noWrap w:val="0"/>
            <w:vAlign w:val="center"/>
          </w:tcPr>
          <w:p w14:paraId="7BDBBAF3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→</w:t>
            </w:r>
          </w:p>
        </w:tc>
        <w:tc>
          <w:tcPr>
            <w:tcW w:w="431" w:type="pct"/>
            <w:noWrap w:val="0"/>
            <w:vAlign w:val="center"/>
          </w:tcPr>
          <w:p w14:paraId="43BB837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84420</w:t>
            </w:r>
          </w:p>
        </w:tc>
        <w:tc>
          <w:tcPr>
            <w:tcW w:w="432" w:type="pct"/>
            <w:noWrap w:val="0"/>
            <w:vAlign w:val="center"/>
          </w:tcPr>
          <w:p w14:paraId="2D66B53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84490</w:t>
            </w:r>
          </w:p>
        </w:tc>
        <w:tc>
          <w:tcPr>
            <w:tcW w:w="433" w:type="pct"/>
            <w:noWrap w:val="0"/>
            <w:vAlign w:val="center"/>
          </w:tcPr>
          <w:p w14:paraId="6450585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84500</w:t>
            </w:r>
          </w:p>
        </w:tc>
        <w:tc>
          <w:tcPr>
            <w:tcW w:w="432" w:type="pct"/>
            <w:noWrap w:val="0"/>
            <w:vAlign w:val="center"/>
          </w:tcPr>
          <w:p w14:paraId="4D59735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84420</w:t>
            </w:r>
          </w:p>
        </w:tc>
        <w:tc>
          <w:tcPr>
            <w:tcW w:w="432" w:type="pct"/>
            <w:noWrap w:val="0"/>
            <w:vAlign w:val="center"/>
          </w:tcPr>
          <w:p w14:paraId="046B56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84480</w:t>
            </w:r>
          </w:p>
        </w:tc>
        <w:tc>
          <w:tcPr>
            <w:tcW w:w="432" w:type="pct"/>
            <w:noWrap w:val="0"/>
            <w:vAlign w:val="center"/>
          </w:tcPr>
          <w:p w14:paraId="38BEB0E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84400</w:t>
            </w:r>
          </w:p>
        </w:tc>
        <w:tc>
          <w:tcPr>
            <w:tcW w:w="431" w:type="pct"/>
            <w:noWrap w:val="0"/>
            <w:vAlign w:val="center"/>
          </w:tcPr>
          <w:p w14:paraId="57B564D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84470</w:t>
            </w:r>
          </w:p>
        </w:tc>
        <w:tc>
          <w:tcPr>
            <w:tcW w:w="432" w:type="pct"/>
            <w:noWrap w:val="0"/>
            <w:vAlign w:val="center"/>
          </w:tcPr>
          <w:p w14:paraId="62D70C2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84450</w:t>
            </w:r>
          </w:p>
        </w:tc>
        <w:tc>
          <w:tcPr>
            <w:tcW w:w="431" w:type="pct"/>
            <w:noWrap w:val="0"/>
            <w:vAlign w:val="center"/>
          </w:tcPr>
          <w:p w14:paraId="5B6100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84480</w:t>
            </w:r>
          </w:p>
        </w:tc>
        <w:tc>
          <w:tcPr>
            <w:tcW w:w="430" w:type="pct"/>
            <w:noWrap w:val="0"/>
            <w:vAlign w:val="center"/>
          </w:tcPr>
          <w:p w14:paraId="47E1018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84480</w:t>
            </w:r>
          </w:p>
        </w:tc>
      </w:tr>
      <w:tr w14:paraId="4B2D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restart"/>
            <w:noWrap w:val="0"/>
            <w:vAlign w:val="center"/>
          </w:tcPr>
          <w:p w14:paraId="114C92BF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76380</w:t>
            </w:r>
          </w:p>
        </w:tc>
        <w:tc>
          <w:tcPr>
            <w:tcW w:w="339" w:type="pct"/>
            <w:noWrap w:val="0"/>
            <w:vAlign w:val="center"/>
          </w:tcPr>
          <w:p w14:paraId="6334C025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←</w:t>
            </w:r>
          </w:p>
        </w:tc>
        <w:tc>
          <w:tcPr>
            <w:tcW w:w="431" w:type="pct"/>
            <w:noWrap w:val="0"/>
            <w:vAlign w:val="center"/>
          </w:tcPr>
          <w:p w14:paraId="4D13B35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76380</w:t>
            </w:r>
          </w:p>
        </w:tc>
        <w:tc>
          <w:tcPr>
            <w:tcW w:w="432" w:type="pct"/>
            <w:noWrap w:val="0"/>
            <w:vAlign w:val="center"/>
          </w:tcPr>
          <w:p w14:paraId="50B960C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76350</w:t>
            </w:r>
          </w:p>
        </w:tc>
        <w:tc>
          <w:tcPr>
            <w:tcW w:w="433" w:type="pct"/>
            <w:noWrap w:val="0"/>
            <w:vAlign w:val="center"/>
          </w:tcPr>
          <w:p w14:paraId="6276BC6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76360</w:t>
            </w:r>
          </w:p>
        </w:tc>
        <w:tc>
          <w:tcPr>
            <w:tcW w:w="432" w:type="pct"/>
            <w:noWrap w:val="0"/>
            <w:vAlign w:val="center"/>
          </w:tcPr>
          <w:p w14:paraId="22EAF39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76380</w:t>
            </w:r>
          </w:p>
        </w:tc>
        <w:tc>
          <w:tcPr>
            <w:tcW w:w="432" w:type="pct"/>
            <w:noWrap w:val="0"/>
            <w:vAlign w:val="center"/>
          </w:tcPr>
          <w:p w14:paraId="6C43358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76320</w:t>
            </w:r>
          </w:p>
        </w:tc>
        <w:tc>
          <w:tcPr>
            <w:tcW w:w="432" w:type="pct"/>
            <w:noWrap w:val="0"/>
            <w:vAlign w:val="center"/>
          </w:tcPr>
          <w:p w14:paraId="7B58858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76340</w:t>
            </w:r>
          </w:p>
        </w:tc>
        <w:tc>
          <w:tcPr>
            <w:tcW w:w="431" w:type="pct"/>
            <w:noWrap w:val="0"/>
            <w:vAlign w:val="center"/>
          </w:tcPr>
          <w:p w14:paraId="4B2EFAC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76370</w:t>
            </w:r>
          </w:p>
        </w:tc>
        <w:tc>
          <w:tcPr>
            <w:tcW w:w="432" w:type="pct"/>
            <w:noWrap w:val="0"/>
            <w:vAlign w:val="center"/>
          </w:tcPr>
          <w:p w14:paraId="6A46ECE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76340</w:t>
            </w:r>
          </w:p>
        </w:tc>
        <w:tc>
          <w:tcPr>
            <w:tcW w:w="431" w:type="pct"/>
            <w:noWrap w:val="0"/>
            <w:vAlign w:val="center"/>
          </w:tcPr>
          <w:p w14:paraId="52D3EA3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76320</w:t>
            </w:r>
          </w:p>
        </w:tc>
        <w:tc>
          <w:tcPr>
            <w:tcW w:w="430" w:type="pct"/>
            <w:noWrap w:val="0"/>
            <w:vAlign w:val="center"/>
          </w:tcPr>
          <w:p w14:paraId="41DAE17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76330</w:t>
            </w:r>
          </w:p>
        </w:tc>
      </w:tr>
      <w:tr w14:paraId="2727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continue"/>
            <w:noWrap w:val="0"/>
            <w:vAlign w:val="center"/>
          </w:tcPr>
          <w:p w14:paraId="46787E7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9" w:type="pct"/>
            <w:noWrap w:val="0"/>
            <w:vAlign w:val="center"/>
          </w:tcPr>
          <w:p w14:paraId="2932CD4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→</w:t>
            </w:r>
          </w:p>
        </w:tc>
        <w:tc>
          <w:tcPr>
            <w:tcW w:w="431" w:type="pct"/>
            <w:noWrap w:val="0"/>
            <w:vAlign w:val="center"/>
          </w:tcPr>
          <w:p w14:paraId="1EFC560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76310</w:t>
            </w:r>
          </w:p>
        </w:tc>
        <w:tc>
          <w:tcPr>
            <w:tcW w:w="432" w:type="pct"/>
            <w:noWrap w:val="0"/>
            <w:vAlign w:val="center"/>
          </w:tcPr>
          <w:p w14:paraId="7C064D1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76360</w:t>
            </w:r>
          </w:p>
        </w:tc>
        <w:tc>
          <w:tcPr>
            <w:tcW w:w="433" w:type="pct"/>
            <w:noWrap w:val="0"/>
            <w:vAlign w:val="center"/>
          </w:tcPr>
          <w:p w14:paraId="6872012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76360</w:t>
            </w:r>
          </w:p>
        </w:tc>
        <w:tc>
          <w:tcPr>
            <w:tcW w:w="432" w:type="pct"/>
            <w:noWrap w:val="0"/>
            <w:vAlign w:val="center"/>
          </w:tcPr>
          <w:p w14:paraId="4BD9A01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76350</w:t>
            </w:r>
          </w:p>
        </w:tc>
        <w:tc>
          <w:tcPr>
            <w:tcW w:w="432" w:type="pct"/>
            <w:noWrap w:val="0"/>
            <w:vAlign w:val="center"/>
          </w:tcPr>
          <w:p w14:paraId="4EC842A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76330</w:t>
            </w:r>
          </w:p>
        </w:tc>
        <w:tc>
          <w:tcPr>
            <w:tcW w:w="432" w:type="pct"/>
            <w:noWrap w:val="0"/>
            <w:vAlign w:val="center"/>
          </w:tcPr>
          <w:p w14:paraId="7BA2221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76350</w:t>
            </w:r>
          </w:p>
        </w:tc>
        <w:tc>
          <w:tcPr>
            <w:tcW w:w="431" w:type="pct"/>
            <w:noWrap w:val="0"/>
            <w:vAlign w:val="center"/>
          </w:tcPr>
          <w:p w14:paraId="5CEEB52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76360</w:t>
            </w:r>
          </w:p>
        </w:tc>
        <w:tc>
          <w:tcPr>
            <w:tcW w:w="432" w:type="pct"/>
            <w:noWrap w:val="0"/>
            <w:vAlign w:val="center"/>
          </w:tcPr>
          <w:p w14:paraId="458B825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76340</w:t>
            </w:r>
          </w:p>
        </w:tc>
        <w:tc>
          <w:tcPr>
            <w:tcW w:w="431" w:type="pct"/>
            <w:noWrap w:val="0"/>
            <w:vAlign w:val="center"/>
          </w:tcPr>
          <w:p w14:paraId="7448DE4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76300</w:t>
            </w:r>
          </w:p>
        </w:tc>
        <w:tc>
          <w:tcPr>
            <w:tcW w:w="430" w:type="pct"/>
            <w:noWrap w:val="0"/>
            <w:vAlign w:val="center"/>
          </w:tcPr>
          <w:p w14:paraId="51C32FD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76370</w:t>
            </w:r>
          </w:p>
        </w:tc>
      </w:tr>
      <w:tr w14:paraId="10A8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restart"/>
            <w:noWrap w:val="0"/>
            <w:vAlign w:val="center"/>
          </w:tcPr>
          <w:p w14:paraId="2B87EB71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26400</w:t>
            </w:r>
          </w:p>
        </w:tc>
        <w:tc>
          <w:tcPr>
            <w:tcW w:w="339" w:type="pct"/>
            <w:noWrap w:val="0"/>
            <w:vAlign w:val="center"/>
          </w:tcPr>
          <w:p w14:paraId="3C5BF682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←</w:t>
            </w:r>
          </w:p>
        </w:tc>
        <w:tc>
          <w:tcPr>
            <w:tcW w:w="431" w:type="pct"/>
            <w:noWrap w:val="0"/>
            <w:vAlign w:val="center"/>
          </w:tcPr>
          <w:p w14:paraId="7F7A95F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26410</w:t>
            </w:r>
          </w:p>
        </w:tc>
        <w:tc>
          <w:tcPr>
            <w:tcW w:w="432" w:type="pct"/>
            <w:noWrap w:val="0"/>
            <w:vAlign w:val="center"/>
          </w:tcPr>
          <w:p w14:paraId="54ECCBF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26420</w:t>
            </w:r>
          </w:p>
        </w:tc>
        <w:tc>
          <w:tcPr>
            <w:tcW w:w="433" w:type="pct"/>
            <w:noWrap w:val="0"/>
            <w:vAlign w:val="center"/>
          </w:tcPr>
          <w:p w14:paraId="6DF4CEE2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26400</w:t>
            </w:r>
          </w:p>
        </w:tc>
        <w:tc>
          <w:tcPr>
            <w:tcW w:w="432" w:type="pct"/>
            <w:noWrap w:val="0"/>
            <w:vAlign w:val="center"/>
          </w:tcPr>
          <w:p w14:paraId="4FF087C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26380</w:t>
            </w:r>
          </w:p>
        </w:tc>
        <w:tc>
          <w:tcPr>
            <w:tcW w:w="432" w:type="pct"/>
            <w:noWrap w:val="0"/>
            <w:vAlign w:val="center"/>
          </w:tcPr>
          <w:p w14:paraId="6669602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26390</w:t>
            </w:r>
          </w:p>
        </w:tc>
        <w:tc>
          <w:tcPr>
            <w:tcW w:w="432" w:type="pct"/>
            <w:noWrap w:val="0"/>
            <w:vAlign w:val="center"/>
          </w:tcPr>
          <w:p w14:paraId="4B00004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26400</w:t>
            </w:r>
          </w:p>
        </w:tc>
        <w:tc>
          <w:tcPr>
            <w:tcW w:w="431" w:type="pct"/>
            <w:noWrap w:val="0"/>
            <w:vAlign w:val="center"/>
          </w:tcPr>
          <w:p w14:paraId="39E0EAB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26390</w:t>
            </w:r>
          </w:p>
        </w:tc>
        <w:tc>
          <w:tcPr>
            <w:tcW w:w="432" w:type="pct"/>
            <w:noWrap w:val="0"/>
            <w:vAlign w:val="center"/>
          </w:tcPr>
          <w:p w14:paraId="4693FC6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26380</w:t>
            </w:r>
          </w:p>
        </w:tc>
        <w:tc>
          <w:tcPr>
            <w:tcW w:w="431" w:type="pct"/>
            <w:noWrap w:val="0"/>
            <w:vAlign w:val="center"/>
          </w:tcPr>
          <w:p w14:paraId="370197B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26410</w:t>
            </w:r>
          </w:p>
        </w:tc>
        <w:tc>
          <w:tcPr>
            <w:tcW w:w="430" w:type="pct"/>
            <w:noWrap w:val="0"/>
            <w:vAlign w:val="center"/>
          </w:tcPr>
          <w:p w14:paraId="4B9A3E7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26380</w:t>
            </w:r>
          </w:p>
        </w:tc>
      </w:tr>
      <w:tr w14:paraId="73B0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5" w:type="pct"/>
            <w:vMerge w:val="continue"/>
            <w:noWrap w:val="0"/>
            <w:vAlign w:val="center"/>
          </w:tcPr>
          <w:p w14:paraId="1BD53199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39" w:type="pct"/>
            <w:noWrap w:val="0"/>
            <w:vAlign w:val="center"/>
          </w:tcPr>
          <w:p w14:paraId="4EF8F356"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→</w:t>
            </w:r>
          </w:p>
        </w:tc>
        <w:tc>
          <w:tcPr>
            <w:tcW w:w="431" w:type="pct"/>
            <w:noWrap w:val="0"/>
            <w:vAlign w:val="center"/>
          </w:tcPr>
          <w:p w14:paraId="25F8A05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26410</w:t>
            </w:r>
          </w:p>
        </w:tc>
        <w:tc>
          <w:tcPr>
            <w:tcW w:w="432" w:type="pct"/>
            <w:noWrap w:val="0"/>
            <w:vAlign w:val="center"/>
          </w:tcPr>
          <w:p w14:paraId="36C3E2C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26390</w:t>
            </w:r>
          </w:p>
        </w:tc>
        <w:tc>
          <w:tcPr>
            <w:tcW w:w="433" w:type="pct"/>
            <w:noWrap w:val="0"/>
            <w:vAlign w:val="center"/>
          </w:tcPr>
          <w:p w14:paraId="39F38EB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26410</w:t>
            </w:r>
          </w:p>
        </w:tc>
        <w:tc>
          <w:tcPr>
            <w:tcW w:w="432" w:type="pct"/>
            <w:noWrap w:val="0"/>
            <w:vAlign w:val="center"/>
          </w:tcPr>
          <w:p w14:paraId="3068D232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/>
                <w:color w:val="000000"/>
                <w:szCs w:val="21"/>
              </w:rPr>
              <w:t>26390</w:t>
            </w:r>
          </w:p>
        </w:tc>
        <w:tc>
          <w:tcPr>
            <w:tcW w:w="432" w:type="pct"/>
            <w:noWrap w:val="0"/>
            <w:vAlign w:val="center"/>
          </w:tcPr>
          <w:p w14:paraId="297B9240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>
              <w:rPr>
                <w:rFonts w:ascii="宋体" w:hAnsi="宋体"/>
                <w:color w:val="000000"/>
                <w:szCs w:val="21"/>
              </w:rPr>
              <w:t>26410</w:t>
            </w:r>
          </w:p>
        </w:tc>
        <w:tc>
          <w:tcPr>
            <w:tcW w:w="432" w:type="pct"/>
            <w:noWrap w:val="0"/>
            <w:vAlign w:val="center"/>
          </w:tcPr>
          <w:p w14:paraId="546B716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26400</w:t>
            </w:r>
          </w:p>
        </w:tc>
        <w:tc>
          <w:tcPr>
            <w:tcW w:w="431" w:type="pct"/>
            <w:noWrap w:val="0"/>
            <w:vAlign w:val="center"/>
          </w:tcPr>
          <w:p w14:paraId="1982815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26400</w:t>
            </w:r>
          </w:p>
        </w:tc>
        <w:tc>
          <w:tcPr>
            <w:tcW w:w="432" w:type="pct"/>
            <w:noWrap w:val="0"/>
            <w:vAlign w:val="center"/>
          </w:tcPr>
          <w:p w14:paraId="75294E7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26420</w:t>
            </w:r>
          </w:p>
        </w:tc>
        <w:tc>
          <w:tcPr>
            <w:tcW w:w="431" w:type="pct"/>
            <w:noWrap w:val="0"/>
            <w:vAlign w:val="center"/>
          </w:tcPr>
          <w:p w14:paraId="7D848C1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26400</w:t>
            </w:r>
          </w:p>
        </w:tc>
        <w:tc>
          <w:tcPr>
            <w:tcW w:w="430" w:type="pct"/>
            <w:noWrap w:val="0"/>
            <w:vAlign w:val="center"/>
          </w:tcPr>
          <w:p w14:paraId="6DA01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26390</w:t>
            </w:r>
          </w:p>
        </w:tc>
      </w:tr>
    </w:tbl>
    <w:p w14:paraId="35182429">
      <w:pPr>
        <w:pStyle w:val="141"/>
        <w:ind w:firstLine="420"/>
        <w:jc w:val="center"/>
        <w:rPr>
          <w:rFonts w:hint="eastAsia" w:ascii="Times New Roman" w:cs="Times New Roman"/>
          <w:color w:val="auto"/>
        </w:rPr>
      </w:pPr>
      <w:r>
        <w:rPr>
          <w:position w:val="-30"/>
        </w:rPr>
        <w:object>
          <v:shape id="_x0000_i1049" o:spt="75" type="#_x0000_t75" style="height:38pt;width:143pt;" o:ole="t" filled="f" o:preferrelative="t" stroked="f" coordsize="21600,21600">
            <v:path/>
            <v:fill on="f" alignshape="1" focussize="0,0"/>
            <v:stroke on="f"/>
            <v:imagedata r:id="rId51" grayscale="f" bilevel="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0">
            <o:LockedField>false</o:LockedField>
          </o:OLEObject>
        </w:object>
      </w:r>
      <w:r>
        <w:rPr>
          <w:rFonts w:ascii="Times New Roman" w:cs="Times New Roman"/>
          <w:color w:val="auto"/>
        </w:rPr>
        <w:t>=</w:t>
      </w:r>
      <w:r>
        <w:rPr>
          <w:rFonts w:hint="eastAsia" w:ascii="Times New Roman" w:cs="Times New Roman"/>
          <w:color w:val="auto"/>
        </w:rPr>
        <w:t xml:space="preserve"> 31.4 </w:t>
      </w:r>
      <w:r>
        <w:rPr>
          <w:rFonts w:ascii="Times New Roman" w:cs="Times New Roman"/>
          <w:color w:val="auto"/>
        </w:rPr>
        <w:t>kg</w:t>
      </w:r>
    </w:p>
    <w:p w14:paraId="61ED60DA">
      <w:pPr>
        <w:pStyle w:val="141"/>
        <w:ind w:firstLine="420"/>
        <w:jc w:val="center"/>
        <w:rPr>
          <w:rFonts w:hint="eastAsia" w:ascii="Times New Roman" w:cs="Times New Roman"/>
          <w:color w:val="auto"/>
          <w:kern w:val="2"/>
          <w:sz w:val="18"/>
          <w:szCs w:val="18"/>
        </w:rPr>
      </w:pPr>
      <w:r>
        <w:rPr>
          <w:position w:val="-30"/>
        </w:rPr>
        <w:object>
          <v:shape id="_x0000_i1050" o:spt="75" type="#_x0000_t75" style="height:38pt;width:143pt;" o:ole="t" filled="f" o:preferrelative="t" stroked="f" coordsize="21600,21600">
            <v:path/>
            <v:fill on="f" alignshape="1" focussize="0,0"/>
            <v:stroke on="f"/>
            <v:imagedata r:id="rId53" grayscale="f" bilevel="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ascii="Times New Roman" w:cs="Times New Roman"/>
          <w:color w:val="auto"/>
        </w:rPr>
        <w:t>=</w:t>
      </w:r>
      <w:r>
        <w:rPr>
          <w:rFonts w:hint="eastAsia" w:ascii="Times New Roman" w:cs="Times New Roman"/>
          <w:color w:val="auto"/>
        </w:rPr>
        <w:t xml:space="preserve">22.8 </w:t>
      </w:r>
      <w:r>
        <w:rPr>
          <w:rFonts w:ascii="Times New Roman" w:cs="Times New Roman"/>
          <w:color w:val="auto"/>
        </w:rPr>
        <w:t>kg</w:t>
      </w:r>
    </w:p>
    <w:p w14:paraId="650DE645">
      <w:pPr>
        <w:pStyle w:val="141"/>
        <w:ind w:firstLine="420"/>
        <w:jc w:val="center"/>
        <w:rPr>
          <w:rFonts w:hint="eastAsia" w:ascii="Times New Roman" w:cs="Times New Roman"/>
          <w:color w:val="auto"/>
          <w:kern w:val="2"/>
          <w:sz w:val="18"/>
          <w:szCs w:val="18"/>
        </w:rPr>
      </w:pPr>
      <w:r>
        <w:rPr>
          <w:position w:val="-30"/>
        </w:rPr>
        <w:object>
          <v:shape id="_x0000_i1051" o:spt="75" type="#_x0000_t75" style="height:38pt;width:143pt;" o:ole="t" filled="f" o:preferrelative="t" stroked="f" coordsize="21600,21600">
            <v:path/>
            <v:fill on="f" alignshape="1" focussize="0,0"/>
            <v:stroke on="f"/>
            <v:imagedata r:id="rId55" grayscale="f" bilevel="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rFonts w:ascii="Times New Roman" w:cs="Times New Roman"/>
          <w:color w:val="auto"/>
        </w:rPr>
        <w:t>=</w:t>
      </w:r>
      <w:r>
        <w:rPr>
          <w:rFonts w:hint="eastAsia" w:ascii="Times New Roman" w:cs="Times New Roman"/>
          <w:color w:val="auto"/>
        </w:rPr>
        <w:t xml:space="preserve">28.7 </w:t>
      </w:r>
      <w:r>
        <w:rPr>
          <w:rFonts w:ascii="Times New Roman" w:cs="Times New Roman"/>
          <w:color w:val="auto"/>
        </w:rPr>
        <w:t>kg</w:t>
      </w:r>
    </w:p>
    <w:p w14:paraId="63F045CC">
      <w:pPr>
        <w:pStyle w:val="141"/>
        <w:ind w:firstLine="420"/>
        <w:jc w:val="center"/>
        <w:rPr>
          <w:rFonts w:hint="eastAsia" w:ascii="Times New Roman" w:cs="Times New Roman"/>
          <w:color w:val="auto"/>
          <w:kern w:val="2"/>
          <w:sz w:val="18"/>
          <w:szCs w:val="18"/>
        </w:rPr>
      </w:pPr>
      <w:r>
        <w:rPr>
          <w:position w:val="-30"/>
        </w:rPr>
        <w:object>
          <v:shape id="_x0000_i1052" o:spt="75" type="#_x0000_t75" style="height:38pt;width:143pt;" o:ole="t" filled="f" o:preferrelative="t" stroked="f" coordsize="21600,21600">
            <v:path/>
            <v:fill on="f" alignshape="1" focussize="0,0"/>
            <v:stroke on="f"/>
            <v:imagedata r:id="rId57" grayscale="f" bilevel="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ascii="Times New Roman" w:cs="Times New Roman"/>
          <w:color w:val="auto"/>
        </w:rPr>
        <w:t>=</w:t>
      </w:r>
      <w:r>
        <w:rPr>
          <w:rFonts w:hint="eastAsia" w:ascii="Times New Roman" w:cs="Times New Roman"/>
          <w:color w:val="auto"/>
        </w:rPr>
        <w:t xml:space="preserve">22.6 </w:t>
      </w:r>
      <w:r>
        <w:rPr>
          <w:rFonts w:ascii="Times New Roman" w:cs="Times New Roman"/>
          <w:color w:val="auto"/>
        </w:rPr>
        <w:t>kg</w:t>
      </w:r>
    </w:p>
    <w:p w14:paraId="685F5CB5">
      <w:pPr>
        <w:pStyle w:val="141"/>
        <w:ind w:firstLine="420"/>
        <w:jc w:val="center"/>
        <w:rPr>
          <w:rFonts w:hint="eastAsia" w:ascii="Times New Roman" w:cs="Times New Roman"/>
          <w:color w:val="auto"/>
          <w:kern w:val="2"/>
          <w:sz w:val="18"/>
          <w:szCs w:val="18"/>
        </w:rPr>
      </w:pPr>
      <w:r>
        <w:rPr>
          <w:position w:val="-30"/>
        </w:rPr>
        <w:object>
          <v:shape id="_x0000_i1053" o:spt="75" type="#_x0000_t75" style="height:38pt;width:143pt;" o:ole="t" filled="f" o:preferrelative="t" stroked="f" coordsize="21600,21600">
            <v:path/>
            <v:fill on="f" alignshape="1" focussize="0,0"/>
            <v:stroke on="f"/>
            <v:imagedata r:id="rId59" grayscale="f" bilevel="f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rFonts w:ascii="Times New Roman" w:cs="Times New Roman"/>
          <w:color w:val="auto"/>
        </w:rPr>
        <w:t>=</w:t>
      </w:r>
      <w:r>
        <w:rPr>
          <w:rFonts w:hint="eastAsia" w:ascii="Times New Roman" w:cs="Times New Roman"/>
          <w:color w:val="auto"/>
        </w:rPr>
        <w:t xml:space="preserve">12.5 </w:t>
      </w:r>
      <w:r>
        <w:rPr>
          <w:rFonts w:ascii="Times New Roman" w:cs="Times New Roman"/>
          <w:color w:val="auto"/>
        </w:rPr>
        <w:t>kg</w:t>
      </w:r>
    </w:p>
    <w:p w14:paraId="1FC9A4F1">
      <w:pPr>
        <w:pStyle w:val="96"/>
        <w:numPr>
          <w:ilvl w:val="2"/>
          <w:numId w:val="12"/>
        </w:numPr>
        <w:spacing w:line="360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由分辨力引入的标准不确定度分量</w:t>
      </w:r>
      <w:r>
        <w:rPr>
          <w:position w:val="-10"/>
        </w:rPr>
        <w:object>
          <v:shape id="_x0000_i1054" o:spt="75" type="#_x0000_t75" style="height:16.6pt;width:28.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0">
            <o:LockedField>false</o:LockedField>
          </o:OLEObject>
        </w:object>
      </w:r>
      <w:r>
        <w:rPr>
          <w:rFonts w:hint="eastAsia"/>
          <w:color w:val="000000"/>
          <w:sz w:val="24"/>
        </w:rPr>
        <w:t>的评定</w:t>
      </w:r>
    </w:p>
    <w:p w14:paraId="7AC9DEB1">
      <w:pPr>
        <w:snapToGrid w:val="0"/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自动轨道衡的称重指示器的分度值为</w:t>
      </w:r>
      <w:r>
        <w:rPr>
          <w:i/>
          <w:sz w:val="24"/>
        </w:rPr>
        <w:t>d</w:t>
      </w:r>
      <w:r>
        <w:rPr>
          <w:sz w:val="24"/>
        </w:rPr>
        <w:t>。</w:t>
      </w:r>
      <w:r>
        <w:rPr>
          <w:rFonts w:hint="eastAsia"/>
          <w:sz w:val="24"/>
        </w:rPr>
        <w:t>其不确定度分量采用B类评定方法，允差的分布可作为均匀分布处理，其所以分辨力的不确定度分量</w:t>
      </w:r>
    </w:p>
    <w:p w14:paraId="20D1A764">
      <w:pPr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55" o:spt="75" type="#_x0000_t75" style="height:33pt;width:63pt;" o:ole="t" filled="f" o:preferrelative="t" stroked="f" coordsize="21600,21600">
            <v:path/>
            <v:fill on="f" alignshape="1" focussize="0,0"/>
            <v:stroke on="f"/>
            <v:imagedata r:id="rId63" grayscale="f" bilevel="f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rFonts w:hint="eastAsia"/>
          <w:sz w:val="24"/>
        </w:rPr>
        <w:t>=2.9 kg。</w:t>
      </w:r>
    </w:p>
    <w:p w14:paraId="4EAA0060">
      <w:pPr>
        <w:pStyle w:val="96"/>
        <w:numPr>
          <w:ilvl w:val="2"/>
          <w:numId w:val="12"/>
        </w:numPr>
        <w:spacing w:line="360" w:lineRule="auto"/>
        <w:ind w:firstLineChars="0"/>
        <w:rPr>
          <w:rFonts w:hint="eastAsia"/>
          <w:sz w:val="24"/>
        </w:rPr>
      </w:pPr>
      <w:r>
        <w:rPr>
          <w:rFonts w:hint="eastAsia"/>
          <w:sz w:val="24"/>
        </w:rPr>
        <w:t>合成不确定度</w:t>
      </w:r>
    </w:p>
    <w:p w14:paraId="70A6C47C">
      <w:pPr>
        <w:pStyle w:val="141"/>
        <w:jc w:val="center"/>
        <w:rPr>
          <w:rFonts w:ascii="Times New Roman" w:cs="Times New Roman"/>
          <w:color w:val="auto"/>
        </w:rPr>
      </w:pPr>
      <w:r>
        <w:rPr>
          <w:rFonts w:ascii="Times New Roman" w:cs="Times New Roman"/>
          <w:position w:val="-14"/>
        </w:rPr>
        <w:object>
          <v:shape id="_x0000_i1056" o:spt="75" type="#_x0000_t75" style="height:23pt;width:139pt;" o:ole="t" filled="f" o:preferrelative="t" stroked="f" coordsize="21600,21600">
            <v:path/>
            <v:fill on="f" alignshape="1" focussize="0,0"/>
            <v:stroke on="f"/>
            <v:imagedata r:id="rId65" grayscale="f" bilevel="f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rFonts w:ascii="Times New Roman" w:cs="Times New Roman"/>
          <w:color w:val="auto"/>
        </w:rPr>
        <w:t>31.</w:t>
      </w:r>
      <w:r>
        <w:rPr>
          <w:rFonts w:hint="eastAsia" w:ascii="Times New Roman" w:cs="Times New Roman"/>
          <w:color w:val="auto"/>
        </w:rPr>
        <w:t xml:space="preserve">5 </w:t>
      </w:r>
      <w:r>
        <w:rPr>
          <w:rFonts w:ascii="Times New Roman" w:cs="Times New Roman"/>
          <w:color w:val="auto"/>
        </w:rPr>
        <w:t>kg</w:t>
      </w:r>
    </w:p>
    <w:p w14:paraId="00A39119">
      <w:pPr>
        <w:pStyle w:val="141"/>
        <w:jc w:val="center"/>
        <w:rPr>
          <w:rFonts w:ascii="Times New Roman" w:cs="Times New Roman"/>
          <w:color w:val="auto"/>
          <w:kern w:val="2"/>
          <w:sz w:val="18"/>
          <w:szCs w:val="18"/>
        </w:rPr>
      </w:pPr>
      <w:r>
        <w:rPr>
          <w:rFonts w:ascii="Times New Roman" w:cs="Times New Roman"/>
          <w:position w:val="-14"/>
        </w:rPr>
        <w:object>
          <v:shape id="_x0000_i1057" o:spt="75" type="#_x0000_t75" style="height:23pt;width:139.95pt;" o:ole="t" filled="f" o:preferrelative="t" stroked="f" coordsize="21600,21600">
            <v:path/>
            <v:fill on="f" alignshape="1" focussize="0,0"/>
            <v:stroke on="f"/>
            <v:imagedata r:id="rId67" grayscale="f" bilevel="f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6">
            <o:LockedField>false</o:LockedField>
          </o:OLEObject>
        </w:object>
      </w:r>
      <w:r>
        <w:rPr>
          <w:rFonts w:ascii="Times New Roman" w:cs="Times New Roman"/>
          <w:color w:val="auto"/>
        </w:rPr>
        <w:t>2</w:t>
      </w:r>
      <w:r>
        <w:rPr>
          <w:rFonts w:hint="eastAsia" w:ascii="Times New Roman" w:cs="Times New Roman"/>
          <w:color w:val="auto"/>
        </w:rPr>
        <w:t>3.0</w:t>
      </w:r>
      <w:r>
        <w:rPr>
          <w:rFonts w:ascii="Times New Roman" w:cs="Times New Roman"/>
          <w:color w:val="auto"/>
        </w:rPr>
        <w:t xml:space="preserve"> kg</w:t>
      </w:r>
    </w:p>
    <w:p w14:paraId="58BD26CB">
      <w:pPr>
        <w:pStyle w:val="141"/>
        <w:jc w:val="center"/>
        <w:rPr>
          <w:rFonts w:ascii="Times New Roman" w:cs="Times New Roman"/>
          <w:color w:val="auto"/>
          <w:kern w:val="2"/>
          <w:sz w:val="18"/>
          <w:szCs w:val="18"/>
        </w:rPr>
      </w:pPr>
      <w:r>
        <w:rPr>
          <w:rFonts w:ascii="Times New Roman" w:cs="Times New Roman"/>
          <w:position w:val="-14"/>
        </w:rPr>
        <w:object>
          <v:shape id="_x0000_i1058" o:spt="75" type="#_x0000_t75" style="height:23pt;width:139pt;" o:ole="t" filled="f" o:preferrelative="t" stroked="f" coordsize="21600,21600">
            <v:path/>
            <v:fill on="f" alignshape="1" focussize="0,0"/>
            <v:stroke on="f"/>
            <v:imagedata r:id="rId69" grayscale="f" bilevel="f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hint="eastAsia" w:ascii="Times New Roman" w:cs="Times New Roman"/>
          <w:color w:val="auto"/>
        </w:rPr>
        <w:t>28.8</w:t>
      </w:r>
      <w:r>
        <w:rPr>
          <w:rFonts w:ascii="Times New Roman" w:cs="Times New Roman"/>
          <w:color w:val="auto"/>
        </w:rPr>
        <w:t xml:space="preserve"> kg</w:t>
      </w:r>
    </w:p>
    <w:p w14:paraId="6438A920">
      <w:pPr>
        <w:pStyle w:val="141"/>
        <w:jc w:val="center"/>
        <w:rPr>
          <w:rFonts w:ascii="Times New Roman" w:cs="Times New Roman"/>
          <w:color w:val="auto"/>
          <w:kern w:val="2"/>
          <w:sz w:val="18"/>
          <w:szCs w:val="18"/>
        </w:rPr>
      </w:pPr>
      <w:r>
        <w:rPr>
          <w:rFonts w:ascii="Times New Roman" w:cs="Times New Roman"/>
          <w:position w:val="-14"/>
        </w:rPr>
        <w:object>
          <v:shape id="_x0000_i1059" o:spt="75" type="#_x0000_t75" style="height:23pt;width:139.95pt;" o:ole="t" filled="f" o:preferrelative="t" stroked="f" coordsize="21600,21600">
            <v:path/>
            <v:fill on="f" alignshape="1" focussize="0,0"/>
            <v:stroke on="f"/>
            <v:imagedata r:id="rId71" grayscale="f" bilevel="f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ascii="Times New Roman" w:cs="Times New Roman"/>
          <w:color w:val="auto"/>
        </w:rPr>
        <w:t>2</w:t>
      </w:r>
      <w:r>
        <w:rPr>
          <w:rFonts w:hint="eastAsia" w:ascii="Times New Roman" w:cs="Times New Roman"/>
          <w:color w:val="auto"/>
        </w:rPr>
        <w:t>2.8</w:t>
      </w:r>
      <w:r>
        <w:rPr>
          <w:rFonts w:ascii="Times New Roman" w:cs="Times New Roman"/>
          <w:color w:val="auto"/>
        </w:rPr>
        <w:t xml:space="preserve"> kg</w:t>
      </w:r>
    </w:p>
    <w:p w14:paraId="42CC031E">
      <w:pPr>
        <w:pStyle w:val="141"/>
        <w:jc w:val="center"/>
        <w:rPr>
          <w:rFonts w:ascii="Times New Roman" w:cs="Times New Roman"/>
          <w:color w:val="auto"/>
          <w:kern w:val="2"/>
          <w:sz w:val="18"/>
          <w:szCs w:val="18"/>
        </w:rPr>
      </w:pPr>
      <w:r>
        <w:rPr>
          <w:rFonts w:ascii="Times New Roman" w:cs="Times New Roman"/>
          <w:position w:val="-14"/>
        </w:rPr>
        <w:object>
          <v:shape id="_x0000_i1060" o:spt="75" type="#_x0000_t75" style="height:23pt;width:139.95pt;" o:ole="t" filled="f" o:preferrelative="t" stroked="f" coordsize="21600,21600">
            <v:path/>
            <v:fill on="f" alignshape="1" focussize="0,0"/>
            <v:stroke on="f"/>
            <v:imagedata r:id="rId73" grayscale="f" bilevel="f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rPr>
          <w:rFonts w:ascii="Times New Roman" w:cs="Times New Roman"/>
          <w:color w:val="auto"/>
        </w:rPr>
        <w:t>1</w:t>
      </w:r>
      <w:r>
        <w:rPr>
          <w:rFonts w:hint="eastAsia" w:ascii="Times New Roman" w:cs="Times New Roman"/>
          <w:color w:val="auto"/>
        </w:rPr>
        <w:t>2</w:t>
      </w:r>
      <w:r>
        <w:rPr>
          <w:rFonts w:ascii="Times New Roman" w:cs="Times New Roman"/>
          <w:color w:val="auto"/>
        </w:rPr>
        <w:t>.</w:t>
      </w:r>
      <w:r>
        <w:rPr>
          <w:rFonts w:hint="eastAsia" w:ascii="Times New Roman" w:cs="Times New Roman"/>
          <w:color w:val="auto"/>
        </w:rPr>
        <w:t>8</w:t>
      </w:r>
      <w:r>
        <w:rPr>
          <w:rFonts w:ascii="Times New Roman" w:cs="Times New Roman"/>
          <w:color w:val="auto"/>
        </w:rPr>
        <w:t xml:space="preserve"> kg</w:t>
      </w:r>
    </w:p>
    <w:p w14:paraId="08343005">
      <w:pPr>
        <w:pStyle w:val="96"/>
        <w:numPr>
          <w:ilvl w:val="1"/>
          <w:numId w:val="12"/>
        </w:numPr>
        <w:spacing w:line="360" w:lineRule="auto"/>
        <w:ind w:firstLineChars="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由检衡车引入的标准不确定度分量</w:t>
      </w:r>
      <w:r>
        <w:rPr>
          <w:position w:val="-10"/>
        </w:rPr>
        <w:object>
          <v:shape id="_x0000_i1061" o:spt="75" type="#_x0000_t75" style="height:17.7pt;width:29.8pt;" o:ole="t" filled="f" o:preferrelative="t" stroked="f" coordsize="21600,21600">
            <v:path/>
            <v:fill on="f" alignshape="1" focussize="0,0"/>
            <v:stroke on="f"/>
            <v:imagedata r:id="rId75" grayscale="f" bilevel="f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4">
            <o:LockedField>false</o:LockedField>
          </o:OLEObject>
        </w:object>
      </w:r>
      <w:r>
        <w:rPr>
          <w:rFonts w:hint="eastAsia"/>
          <w:color w:val="000000"/>
          <w:sz w:val="24"/>
        </w:rPr>
        <w:t>的评定</w:t>
      </w:r>
    </w:p>
    <w:p w14:paraId="74045A07">
      <w:pPr>
        <w:ind w:firstLine="42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如检衡车质量值为</w:t>
      </w:r>
      <w:r>
        <w:rPr>
          <w:rFonts w:hint="eastAsia"/>
          <w:i/>
          <w:sz w:val="24"/>
        </w:rPr>
        <w:t>m</w:t>
      </w:r>
      <w:r>
        <w:rPr>
          <w:rFonts w:hint="eastAsia"/>
          <w:sz w:val="24"/>
        </w:rPr>
        <w:t>，在</w:t>
      </w:r>
      <w:r>
        <w:rPr>
          <w:rFonts w:hint="eastAsia"/>
          <w:i/>
          <w:sz w:val="24"/>
        </w:rPr>
        <w:t>m</w:t>
      </w:r>
      <w:r>
        <w:rPr>
          <w:rFonts w:hint="eastAsia"/>
          <w:sz w:val="24"/>
        </w:rPr>
        <w:t>处参考车辆的最大允许误差为MPE，此处不确定度分量采用B类评定方法，允差的分布可作为均匀分布处理，其</w:t>
      </w:r>
      <w:r>
        <w:rPr>
          <w:position w:val="-8"/>
          <w:sz w:val="24"/>
        </w:rPr>
        <w:object>
          <v:shape id="_x0000_i1062" o:spt="75" type="#_x0000_t75" style="height:18pt;width:36pt;" o:ole="t" filled="f" o:preferrelative="t" stroked="f" coordsize="21600,21600">
            <v:path/>
            <v:fill on="f" alignshape="1" focussize="0,0"/>
            <v:stroke on="f"/>
            <v:imagedata r:id="rId77" grayscale="f" bilevel="f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6">
            <o:LockedField>false</o:LockedField>
          </o:OLEObject>
        </w:object>
      </w:r>
      <w:r>
        <w:rPr>
          <w:rFonts w:hint="eastAsia"/>
          <w:sz w:val="24"/>
        </w:rPr>
        <w:t>，则</w:t>
      </w:r>
    </w:p>
    <w:p w14:paraId="2A42F11E">
      <w:pPr>
        <w:ind w:firstLine="420"/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63" o:spt="75" type="#_x0000_t75" style="height:35pt;width:189pt;" o:ole="t" filled="f" o:preferrelative="t" stroked="f" coordsize="21600,21600">
            <v:path/>
            <v:fill on="f" alignshape="1" focussize="0,0"/>
            <v:stroke on="f"/>
            <v:imagedata r:id="rId79" grayscale="f" bilevel="f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rFonts w:hint="eastAsia"/>
          <w:sz w:val="24"/>
        </w:rPr>
        <w:t>16.4 kg</w:t>
      </w:r>
    </w:p>
    <w:p w14:paraId="5E1137AF">
      <w:pPr>
        <w:ind w:firstLine="420"/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64" o:spt="75" type="#_x0000_t75" style="height:35pt;width:189pt;" o:ole="t" filled="f" o:preferrelative="t" stroked="f" coordsize="21600,21600">
            <v:path/>
            <v:fill on="f" alignshape="1" focussize="0,0"/>
            <v:stroke on="f"/>
            <v:imagedata r:id="rId81" grayscale="f" bilevel="f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0">
            <o:LockedField>false</o:LockedField>
          </o:OLEObject>
        </w:object>
      </w:r>
      <w:r>
        <w:rPr>
          <w:rFonts w:hint="eastAsia"/>
          <w:sz w:val="24"/>
        </w:rPr>
        <w:t>11.8 kg</w:t>
      </w:r>
    </w:p>
    <w:p w14:paraId="286EEB93">
      <w:pPr>
        <w:ind w:firstLine="420"/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65" o:spt="75" type="#_x0000_t75" style="height:35pt;width:188pt;" o:ole="t" filled="f" o:preferrelative="t" stroked="f" coordsize="21600,21600">
            <v:path/>
            <v:fill on="f" alignshape="1" focussize="0,0"/>
            <v:stroke on="f"/>
            <v:imagedata r:id="rId83" grayscale="f" bilevel="f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rFonts w:hint="eastAsia"/>
          <w:sz w:val="24"/>
        </w:rPr>
        <w:t>14.6 kg</w:t>
      </w:r>
    </w:p>
    <w:p w14:paraId="4B5E6FE5">
      <w:pPr>
        <w:ind w:firstLine="420"/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66" o:spt="75" type="#_x0000_t75" style="height:35pt;width:189pt;" o:ole="t" filled="f" o:preferrelative="t" stroked="f" coordsize="21600,21600">
            <v:path/>
            <v:fill on="f" alignshape="1" focussize="0,0"/>
            <v:stroke on="f"/>
            <v:imagedata r:id="rId85" grayscale="f" bilevel="f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4">
            <o:LockedField>false</o:LockedField>
          </o:OLEObject>
        </w:object>
      </w:r>
      <w:r>
        <w:rPr>
          <w:rFonts w:hint="eastAsia"/>
          <w:sz w:val="24"/>
        </w:rPr>
        <w:t>13.2 kg</w:t>
      </w:r>
    </w:p>
    <w:p w14:paraId="4D1946D6">
      <w:pPr>
        <w:ind w:firstLine="420"/>
        <w:jc w:val="center"/>
        <w:rPr>
          <w:rFonts w:hint="eastAsia"/>
          <w:sz w:val="24"/>
        </w:rPr>
      </w:pPr>
      <w:r>
        <w:rPr>
          <w:position w:val="-28"/>
          <w:sz w:val="24"/>
        </w:rPr>
        <w:object>
          <v:shape id="_x0000_i1067" o:spt="75" type="#_x0000_t75" style="height:35pt;width:189pt;" o:ole="t" filled="f" o:preferrelative="t" stroked="f" coordsize="21600,21600">
            <v:path/>
            <v:fill on="f" alignshape="1" focussize="0,0"/>
            <v:stroke on="f"/>
            <v:imagedata r:id="rId87" grayscale="f" bilevel="f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6">
            <o:LockedField>false</o:LockedField>
          </o:OLEObject>
        </w:object>
      </w:r>
      <w:r>
        <w:rPr>
          <w:rFonts w:hint="eastAsia"/>
          <w:sz w:val="24"/>
        </w:rPr>
        <w:t>4.6 kg</w:t>
      </w:r>
    </w:p>
    <w:p w14:paraId="0D86D23A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hint="eastAsia"/>
          <w:sz w:val="24"/>
        </w:rPr>
      </w:pPr>
      <w:r>
        <w:rPr>
          <w:rFonts w:hint="eastAsia"/>
          <w:sz w:val="24"/>
        </w:rPr>
        <w:t>合成标准不确定度</w:t>
      </w:r>
      <w:r>
        <w:rPr>
          <w:position w:val="-10"/>
          <w:sz w:val="24"/>
        </w:rPr>
        <w:object>
          <v:shape id="_x0000_i1068" o:spt="75" type="#_x0000_t75" style="height:16pt;width:27pt;" o:ole="t" filled="f" o:preferrelative="t" stroked="f" coordsize="21600,21600">
            <v:path/>
            <v:fill on="f" alignshape="1" focussize="0,0"/>
            <v:stroke on="f"/>
            <v:imagedata r:id="rId89" grayscale="f" bilevel="f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rFonts w:hint="eastAsia"/>
          <w:sz w:val="24"/>
        </w:rPr>
        <w:t>的评定</w:t>
      </w:r>
    </w:p>
    <w:p w14:paraId="6661ED44">
      <w:pPr>
        <w:pStyle w:val="96"/>
        <w:numPr>
          <w:ilvl w:val="1"/>
          <w:numId w:val="12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不确定度分量汇总表如表3、表4、表5、表6、表7所示</w:t>
      </w:r>
    </w:p>
    <w:p w14:paraId="0088C819">
      <w:pPr>
        <w:spacing w:line="360" w:lineRule="auto"/>
        <w:ind w:firstLine="1680" w:firstLineChars="700"/>
        <w:jc w:val="left"/>
        <w:rPr>
          <w:color w:val="000000"/>
          <w:sz w:val="24"/>
        </w:rPr>
      </w:pPr>
      <w:r>
        <w:rPr>
          <w:color w:val="000000"/>
          <w:sz w:val="24"/>
        </w:rPr>
        <w:t>表</w:t>
      </w:r>
      <w:r>
        <w:rPr>
          <w:rFonts w:hint="eastAsia"/>
          <w:color w:val="000000"/>
          <w:sz w:val="24"/>
        </w:rPr>
        <w:t>3  94 t秤量点时不</w:t>
      </w:r>
      <w:r>
        <w:rPr>
          <w:color w:val="000000"/>
          <w:sz w:val="24"/>
        </w:rPr>
        <w:t>确定度分量</w:t>
      </w:r>
      <w:r>
        <w:rPr>
          <w:rFonts w:hint="eastAsia"/>
          <w:color w:val="000000"/>
          <w:sz w:val="24"/>
        </w:rPr>
        <w:t>一览表</w:t>
      </w:r>
    </w:p>
    <w:tbl>
      <w:tblPr>
        <w:tblStyle w:val="88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2208"/>
        <w:gridCol w:w="2542"/>
        <w:gridCol w:w="2768"/>
      </w:tblGrid>
      <w:tr w14:paraId="66C6C3D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8" w:type="pct"/>
            <w:tcBorders>
              <w:left w:val="single" w:color="auto" w:sz="4" w:space="0"/>
            </w:tcBorders>
            <w:noWrap w:val="0"/>
            <w:vAlign w:val="center"/>
          </w:tcPr>
          <w:p w14:paraId="4898049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34" w:type="pct"/>
            <w:noWrap w:val="0"/>
            <w:vAlign w:val="center"/>
          </w:tcPr>
          <w:p w14:paraId="3F34E424">
            <w:pPr>
              <w:jc w:val="center"/>
            </w:pPr>
            <w:r>
              <w:rPr>
                <w:rFonts w:hint="eastAsia"/>
              </w:rPr>
              <w:t>分量</w:t>
            </w:r>
          </w:p>
        </w:tc>
        <w:tc>
          <w:tcPr>
            <w:tcW w:w="1421" w:type="pct"/>
            <w:noWrap w:val="0"/>
            <w:vAlign w:val="center"/>
          </w:tcPr>
          <w:p w14:paraId="5DEBED46">
            <w:pPr>
              <w:jc w:val="center"/>
            </w:pPr>
            <w:r>
              <w:rPr>
                <w:rFonts w:hint="eastAsia"/>
              </w:rPr>
              <w:t>标准不确定度来源</w:t>
            </w:r>
          </w:p>
        </w:tc>
        <w:tc>
          <w:tcPr>
            <w:tcW w:w="1547" w:type="pct"/>
            <w:tcBorders>
              <w:right w:val="single" w:color="auto" w:sz="4" w:space="0"/>
            </w:tcBorders>
            <w:noWrap w:val="0"/>
            <w:vAlign w:val="center"/>
          </w:tcPr>
          <w:p w14:paraId="141F877B">
            <w:pPr>
              <w:jc w:val="center"/>
            </w:pPr>
            <w:r>
              <w:rPr>
                <w:rFonts w:hint="eastAsia"/>
              </w:rPr>
              <w:t>标准不确定度(kg)</w:t>
            </w:r>
          </w:p>
        </w:tc>
      </w:tr>
      <w:tr w14:paraId="73C3DB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8" w:type="pct"/>
            <w:tcBorders>
              <w:left w:val="single" w:color="auto" w:sz="4" w:space="0"/>
            </w:tcBorders>
            <w:noWrap w:val="0"/>
            <w:vAlign w:val="center"/>
          </w:tcPr>
          <w:p w14:paraId="164D050C">
            <w:pPr>
              <w:jc w:val="center"/>
            </w:pPr>
            <w:r>
              <w:t>1</w:t>
            </w:r>
          </w:p>
        </w:tc>
        <w:tc>
          <w:tcPr>
            <w:tcW w:w="1234" w:type="pct"/>
            <w:noWrap w:val="0"/>
            <w:vAlign w:val="center"/>
          </w:tcPr>
          <w:p w14:paraId="16AE3E09">
            <w:pPr>
              <w:jc w:val="center"/>
            </w:pPr>
            <w:r>
              <w:object>
                <v:shape id="_x0000_i1069" o:spt="75" type="#_x0000_t75" style="height:19.95pt;width:38.55pt;" o:ole="t" filled="f" o:preferrelative="t" stroked="f" coordsize="21600,21600">
                  <v:path/>
                  <v:fill on="f" alignshape="1" focussize="0,0"/>
                  <v:stroke on="f"/>
                  <v:imagedata r:id="rId91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69" DrawAspect="Content" ObjectID="_1468075769" r:id="rId90">
                  <o:LockedField>false</o:LockedField>
                </o:OLEObject>
              </w:object>
            </w:r>
          </w:p>
        </w:tc>
        <w:tc>
          <w:tcPr>
            <w:tcW w:w="1421" w:type="pct"/>
            <w:noWrap w:val="0"/>
            <w:vAlign w:val="center"/>
          </w:tcPr>
          <w:p w14:paraId="113C54FC">
            <w:pPr>
              <w:jc w:val="center"/>
            </w:pPr>
            <w:r>
              <w:t>测量的重复性</w:t>
            </w:r>
          </w:p>
        </w:tc>
        <w:tc>
          <w:tcPr>
            <w:tcW w:w="1547" w:type="pct"/>
            <w:tcBorders>
              <w:right w:val="single" w:color="auto" w:sz="4" w:space="0"/>
            </w:tcBorders>
            <w:noWrap w:val="0"/>
            <w:vAlign w:val="center"/>
          </w:tcPr>
          <w:p w14:paraId="5ACC006B">
            <w:pPr>
              <w:jc w:val="center"/>
            </w:pPr>
            <w:r>
              <w:rPr>
                <w:rFonts w:hint="eastAsia"/>
              </w:rPr>
              <w:t>31.4</w:t>
            </w:r>
          </w:p>
        </w:tc>
      </w:tr>
      <w:tr w14:paraId="37044A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8" w:type="pct"/>
            <w:tcBorders>
              <w:left w:val="single" w:color="auto" w:sz="4" w:space="0"/>
            </w:tcBorders>
            <w:noWrap w:val="0"/>
            <w:vAlign w:val="center"/>
          </w:tcPr>
          <w:p w14:paraId="0D04D292">
            <w:pPr>
              <w:jc w:val="center"/>
            </w:pPr>
            <w:r>
              <w:t>2</w:t>
            </w:r>
          </w:p>
        </w:tc>
        <w:tc>
          <w:tcPr>
            <w:tcW w:w="1234" w:type="pct"/>
            <w:noWrap w:val="0"/>
            <w:vAlign w:val="center"/>
          </w:tcPr>
          <w:p w14:paraId="6998ED6E">
            <w:pPr>
              <w:jc w:val="center"/>
            </w:pPr>
            <w:r>
              <w:object>
                <v:shape id="_x0000_i1070" o:spt="75" type="#_x0000_t75" style="height:16.6pt;width:28.6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3" ShapeID="_x0000_i1070" DrawAspect="Content" ObjectID="_1468075770" r:id="rId92">
                  <o:LockedField>false</o:LockedField>
                </o:OLEObject>
              </w:object>
            </w:r>
          </w:p>
        </w:tc>
        <w:tc>
          <w:tcPr>
            <w:tcW w:w="1421" w:type="pct"/>
            <w:noWrap w:val="0"/>
            <w:vAlign w:val="center"/>
          </w:tcPr>
          <w:p w14:paraId="38BDCC43">
            <w:pPr>
              <w:jc w:val="center"/>
            </w:pPr>
            <w:r>
              <w:t>分辨力</w:t>
            </w:r>
          </w:p>
        </w:tc>
        <w:tc>
          <w:tcPr>
            <w:tcW w:w="1547" w:type="pct"/>
            <w:tcBorders>
              <w:right w:val="single" w:color="auto" w:sz="4" w:space="0"/>
            </w:tcBorders>
            <w:noWrap w:val="0"/>
            <w:vAlign w:val="center"/>
          </w:tcPr>
          <w:p w14:paraId="6FECBE7E">
            <w:pPr>
              <w:jc w:val="center"/>
            </w:pPr>
            <w:r>
              <w:rPr>
                <w:rFonts w:hint="eastAsia"/>
              </w:rPr>
              <w:t>2.9</w:t>
            </w:r>
          </w:p>
        </w:tc>
      </w:tr>
      <w:tr w14:paraId="1D36CC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98" w:type="pct"/>
            <w:tcBorders>
              <w:left w:val="single" w:color="auto" w:sz="4" w:space="0"/>
            </w:tcBorders>
            <w:noWrap w:val="0"/>
            <w:vAlign w:val="center"/>
          </w:tcPr>
          <w:p w14:paraId="26B067A0">
            <w:pPr>
              <w:jc w:val="center"/>
            </w:pPr>
            <w:r>
              <w:t>3</w:t>
            </w:r>
          </w:p>
        </w:tc>
        <w:tc>
          <w:tcPr>
            <w:tcW w:w="1234" w:type="pct"/>
            <w:noWrap w:val="0"/>
            <w:vAlign w:val="center"/>
          </w:tcPr>
          <w:p w14:paraId="4C219B1B">
            <w:pPr>
              <w:jc w:val="center"/>
            </w:pPr>
            <w:r>
              <w:object>
                <v:shape id="_x0000_i1071" o:spt="75" type="#_x0000_t75" style="height:21.85pt;width:40.9pt;" o:ole="t" filled="f" o:preferrelative="t" stroked="f" coordsize="21600,21600">
                  <v:path/>
                  <v:fill on="f" alignshape="1" focussize="0,0"/>
                  <v:stroke on="f"/>
                  <v:imagedata r:id="rId9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71" DrawAspect="Content" ObjectID="_1468075771" r:id="rId94">
                  <o:LockedField>false</o:LockedField>
                </o:OLEObject>
              </w:object>
            </w:r>
          </w:p>
        </w:tc>
        <w:tc>
          <w:tcPr>
            <w:tcW w:w="1421" w:type="pct"/>
            <w:noWrap w:val="0"/>
            <w:vAlign w:val="center"/>
          </w:tcPr>
          <w:p w14:paraId="2235306F">
            <w:pPr>
              <w:ind w:firstLine="420"/>
              <w:jc w:val="center"/>
            </w:pPr>
            <w:r>
              <w:rPr>
                <w:rFonts w:hint="eastAsia"/>
              </w:rPr>
              <w:t>检衡车</w:t>
            </w:r>
          </w:p>
        </w:tc>
        <w:tc>
          <w:tcPr>
            <w:tcW w:w="1547" w:type="pct"/>
            <w:tcBorders>
              <w:right w:val="single" w:color="auto" w:sz="4" w:space="0"/>
            </w:tcBorders>
            <w:noWrap w:val="0"/>
            <w:vAlign w:val="center"/>
          </w:tcPr>
          <w:p w14:paraId="640F7460">
            <w:pPr>
              <w:jc w:val="center"/>
            </w:pPr>
            <w:r>
              <w:rPr>
                <w:rFonts w:hint="eastAsia"/>
              </w:rPr>
              <w:t>16.4</w:t>
            </w:r>
          </w:p>
        </w:tc>
      </w:tr>
    </w:tbl>
    <w:p w14:paraId="36128D8D">
      <w:pPr>
        <w:spacing w:line="360" w:lineRule="auto"/>
        <w:ind w:firstLine="1680" w:firstLineChars="700"/>
        <w:jc w:val="left"/>
        <w:rPr>
          <w:rFonts w:hint="eastAsia"/>
          <w:color w:val="000000"/>
          <w:sz w:val="24"/>
        </w:rPr>
      </w:pPr>
    </w:p>
    <w:p w14:paraId="050EE54A">
      <w:pPr>
        <w:spacing w:line="360" w:lineRule="auto"/>
        <w:ind w:firstLine="1680" w:firstLineChars="700"/>
        <w:jc w:val="left"/>
        <w:rPr>
          <w:color w:val="000000"/>
          <w:sz w:val="24"/>
        </w:rPr>
      </w:pPr>
      <w:r>
        <w:rPr>
          <w:color w:val="000000"/>
          <w:sz w:val="24"/>
        </w:rPr>
        <w:t>表</w:t>
      </w:r>
      <w:r>
        <w:rPr>
          <w:rFonts w:hint="eastAsia"/>
          <w:color w:val="000000"/>
          <w:sz w:val="24"/>
        </w:rPr>
        <w:t>4  68 t秤量点时不</w:t>
      </w:r>
      <w:r>
        <w:rPr>
          <w:color w:val="000000"/>
          <w:sz w:val="24"/>
        </w:rPr>
        <w:t>确定度分量</w:t>
      </w:r>
      <w:r>
        <w:rPr>
          <w:rFonts w:hint="eastAsia"/>
          <w:color w:val="000000"/>
          <w:sz w:val="24"/>
        </w:rPr>
        <w:t>一览表</w:t>
      </w:r>
    </w:p>
    <w:tbl>
      <w:tblPr>
        <w:tblStyle w:val="88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2187"/>
        <w:gridCol w:w="2613"/>
        <w:gridCol w:w="2754"/>
      </w:tblGrid>
      <w:tr w14:paraId="380487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8" w:type="pct"/>
            <w:tcBorders>
              <w:left w:val="single" w:color="auto" w:sz="4" w:space="0"/>
            </w:tcBorders>
            <w:noWrap w:val="0"/>
            <w:vAlign w:val="center"/>
          </w:tcPr>
          <w:p w14:paraId="1E1C3B1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22" w:type="pct"/>
            <w:noWrap w:val="0"/>
            <w:vAlign w:val="center"/>
          </w:tcPr>
          <w:p w14:paraId="778A2280">
            <w:pPr>
              <w:jc w:val="center"/>
            </w:pPr>
            <w:r>
              <w:rPr>
                <w:rFonts w:hint="eastAsia"/>
              </w:rPr>
              <w:t>分量</w:t>
            </w:r>
          </w:p>
        </w:tc>
        <w:tc>
          <w:tcPr>
            <w:tcW w:w="1460" w:type="pct"/>
            <w:noWrap w:val="0"/>
            <w:vAlign w:val="center"/>
          </w:tcPr>
          <w:p w14:paraId="749B79B9">
            <w:pPr>
              <w:jc w:val="center"/>
            </w:pPr>
            <w:r>
              <w:rPr>
                <w:rFonts w:hint="eastAsia"/>
              </w:rPr>
              <w:t>标准不确定度来源</w:t>
            </w:r>
          </w:p>
        </w:tc>
        <w:tc>
          <w:tcPr>
            <w:tcW w:w="1539" w:type="pct"/>
            <w:tcBorders>
              <w:right w:val="single" w:color="auto" w:sz="4" w:space="0"/>
            </w:tcBorders>
            <w:noWrap w:val="0"/>
            <w:vAlign w:val="center"/>
          </w:tcPr>
          <w:p w14:paraId="30E89FD6">
            <w:pPr>
              <w:jc w:val="center"/>
            </w:pPr>
            <w:r>
              <w:rPr>
                <w:rFonts w:hint="eastAsia"/>
              </w:rPr>
              <w:t>标准不确定度(kg)</w:t>
            </w:r>
          </w:p>
        </w:tc>
      </w:tr>
      <w:tr w14:paraId="142120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8" w:type="pct"/>
            <w:tcBorders>
              <w:left w:val="single" w:color="auto" w:sz="4" w:space="0"/>
            </w:tcBorders>
            <w:noWrap w:val="0"/>
            <w:vAlign w:val="center"/>
          </w:tcPr>
          <w:p w14:paraId="51043CCF">
            <w:pPr>
              <w:jc w:val="center"/>
            </w:pPr>
            <w:r>
              <w:t>1</w:t>
            </w:r>
          </w:p>
        </w:tc>
        <w:tc>
          <w:tcPr>
            <w:tcW w:w="1222" w:type="pct"/>
            <w:noWrap w:val="0"/>
            <w:vAlign w:val="center"/>
          </w:tcPr>
          <w:p w14:paraId="0B3AF0A2">
            <w:pPr>
              <w:jc w:val="center"/>
            </w:pPr>
            <w:r>
              <w:object>
                <v:shape id="_x0000_i1072" o:spt="75" type="#_x0000_t75" style="height:19.95pt;width:38.4pt;" o:ole="t" filled="f" o:preferrelative="t" stroked="f" coordsize="21600,21600">
                  <v:path/>
                  <v:fill on="f" alignshape="1" focussize="0,0"/>
                  <v:stroke on="f"/>
                  <v:imagedata r:id="rId9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72" DrawAspect="Content" ObjectID="_1468075772" r:id="rId96">
                  <o:LockedField>false</o:LockedField>
                </o:OLEObject>
              </w:object>
            </w:r>
          </w:p>
        </w:tc>
        <w:tc>
          <w:tcPr>
            <w:tcW w:w="1460" w:type="pct"/>
            <w:noWrap w:val="0"/>
            <w:vAlign w:val="center"/>
          </w:tcPr>
          <w:p w14:paraId="251D11EF">
            <w:pPr>
              <w:jc w:val="center"/>
            </w:pPr>
            <w:r>
              <w:t>测量的重复性</w:t>
            </w:r>
          </w:p>
        </w:tc>
        <w:tc>
          <w:tcPr>
            <w:tcW w:w="1539" w:type="pct"/>
            <w:tcBorders>
              <w:right w:val="single" w:color="auto" w:sz="4" w:space="0"/>
            </w:tcBorders>
            <w:noWrap w:val="0"/>
            <w:vAlign w:val="center"/>
          </w:tcPr>
          <w:p w14:paraId="13BDDD2B">
            <w:pPr>
              <w:jc w:val="center"/>
            </w:pPr>
            <w:r>
              <w:rPr>
                <w:rFonts w:hint="eastAsia"/>
              </w:rPr>
              <w:t>22.8</w:t>
            </w:r>
          </w:p>
        </w:tc>
      </w:tr>
      <w:tr w14:paraId="01200B5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8" w:type="pct"/>
            <w:tcBorders>
              <w:left w:val="single" w:color="auto" w:sz="4" w:space="0"/>
            </w:tcBorders>
            <w:noWrap w:val="0"/>
            <w:vAlign w:val="center"/>
          </w:tcPr>
          <w:p w14:paraId="4A2EC181">
            <w:pPr>
              <w:jc w:val="center"/>
            </w:pPr>
            <w:r>
              <w:t>2</w:t>
            </w:r>
          </w:p>
        </w:tc>
        <w:tc>
          <w:tcPr>
            <w:tcW w:w="1222" w:type="pct"/>
            <w:noWrap w:val="0"/>
            <w:vAlign w:val="center"/>
          </w:tcPr>
          <w:p w14:paraId="02D362E5">
            <w:pPr>
              <w:jc w:val="center"/>
            </w:pPr>
            <w:r>
              <w:object>
                <v:shape id="_x0000_i1073" o:spt="75" type="#_x0000_t75" style="height:16.6pt;width:28.6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3" ShapeID="_x0000_i1073" DrawAspect="Content" ObjectID="_1468075773" r:id="rId98">
                  <o:LockedField>false</o:LockedField>
                </o:OLEObject>
              </w:object>
            </w:r>
          </w:p>
        </w:tc>
        <w:tc>
          <w:tcPr>
            <w:tcW w:w="1460" w:type="pct"/>
            <w:noWrap w:val="0"/>
            <w:vAlign w:val="center"/>
          </w:tcPr>
          <w:p w14:paraId="6681625E">
            <w:pPr>
              <w:jc w:val="center"/>
            </w:pPr>
            <w:r>
              <w:t>分辨力</w:t>
            </w:r>
          </w:p>
        </w:tc>
        <w:tc>
          <w:tcPr>
            <w:tcW w:w="1539" w:type="pct"/>
            <w:tcBorders>
              <w:right w:val="single" w:color="auto" w:sz="4" w:space="0"/>
            </w:tcBorders>
            <w:noWrap w:val="0"/>
            <w:vAlign w:val="center"/>
          </w:tcPr>
          <w:p w14:paraId="7504A503">
            <w:pPr>
              <w:jc w:val="center"/>
            </w:pPr>
            <w:r>
              <w:rPr>
                <w:rFonts w:hint="eastAsia"/>
              </w:rPr>
              <w:t>2.9</w:t>
            </w:r>
          </w:p>
        </w:tc>
      </w:tr>
      <w:tr w14:paraId="022F1C8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8" w:type="pct"/>
            <w:tcBorders>
              <w:left w:val="single" w:color="auto" w:sz="4" w:space="0"/>
            </w:tcBorders>
            <w:noWrap w:val="0"/>
            <w:vAlign w:val="center"/>
          </w:tcPr>
          <w:p w14:paraId="190C1E8F">
            <w:pPr>
              <w:jc w:val="center"/>
            </w:pPr>
            <w:r>
              <w:t>3</w:t>
            </w:r>
          </w:p>
        </w:tc>
        <w:tc>
          <w:tcPr>
            <w:tcW w:w="1222" w:type="pct"/>
            <w:noWrap w:val="0"/>
            <w:vAlign w:val="center"/>
          </w:tcPr>
          <w:p w14:paraId="374EDC88">
            <w:pPr>
              <w:jc w:val="center"/>
            </w:pPr>
            <w:r>
              <w:object>
                <v:shape id="_x0000_i1074" o:spt="75" type="#_x0000_t75" style="height:21.85pt;width:40.9pt;" o:ole="t" filled="f" o:preferrelative="t" stroked="f" coordsize="21600,21600">
                  <v:path/>
                  <v:fill on="f" alignshape="1" focussize="0,0"/>
                  <v:stroke on="f"/>
                  <v:imagedata r:id="rId100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74" DrawAspect="Content" ObjectID="_1468075774" r:id="rId99">
                  <o:LockedField>false</o:LockedField>
                </o:OLEObject>
              </w:object>
            </w:r>
          </w:p>
        </w:tc>
        <w:tc>
          <w:tcPr>
            <w:tcW w:w="1460" w:type="pct"/>
            <w:noWrap w:val="0"/>
            <w:vAlign w:val="center"/>
          </w:tcPr>
          <w:p w14:paraId="6FA7AF4C">
            <w:pPr>
              <w:ind w:firstLine="420"/>
              <w:jc w:val="center"/>
            </w:pPr>
            <w:r>
              <w:rPr>
                <w:rFonts w:hint="eastAsia"/>
              </w:rPr>
              <w:t>检衡车</w:t>
            </w:r>
          </w:p>
        </w:tc>
        <w:tc>
          <w:tcPr>
            <w:tcW w:w="1539" w:type="pct"/>
            <w:tcBorders>
              <w:right w:val="single" w:color="auto" w:sz="4" w:space="0"/>
            </w:tcBorders>
            <w:noWrap w:val="0"/>
            <w:vAlign w:val="center"/>
          </w:tcPr>
          <w:p w14:paraId="096E39FB">
            <w:pPr>
              <w:jc w:val="center"/>
            </w:pPr>
            <w:r>
              <w:rPr>
                <w:rFonts w:hint="eastAsia"/>
              </w:rPr>
              <w:t>11.8</w:t>
            </w:r>
          </w:p>
        </w:tc>
      </w:tr>
    </w:tbl>
    <w:p w14:paraId="250BC555">
      <w:pPr>
        <w:spacing w:line="360" w:lineRule="auto"/>
        <w:ind w:firstLine="1680" w:firstLineChars="700"/>
        <w:jc w:val="left"/>
        <w:rPr>
          <w:rFonts w:hint="eastAsia"/>
          <w:color w:val="000000"/>
          <w:sz w:val="24"/>
        </w:rPr>
      </w:pPr>
    </w:p>
    <w:p w14:paraId="3A75CBC2">
      <w:pPr>
        <w:spacing w:line="360" w:lineRule="auto"/>
        <w:ind w:firstLine="1680" w:firstLineChars="700"/>
        <w:jc w:val="left"/>
        <w:rPr>
          <w:color w:val="000000"/>
          <w:sz w:val="24"/>
        </w:rPr>
      </w:pPr>
      <w:r>
        <w:rPr>
          <w:color w:val="000000"/>
          <w:sz w:val="24"/>
        </w:rPr>
        <w:t>表</w:t>
      </w:r>
      <w:r>
        <w:rPr>
          <w:rFonts w:hint="eastAsia"/>
          <w:color w:val="000000"/>
          <w:sz w:val="24"/>
        </w:rPr>
        <w:t>5  84 t秤量点时不</w:t>
      </w:r>
      <w:r>
        <w:rPr>
          <w:color w:val="000000"/>
          <w:sz w:val="24"/>
        </w:rPr>
        <w:t>确定度分量</w:t>
      </w:r>
      <w:r>
        <w:rPr>
          <w:rFonts w:hint="eastAsia"/>
          <w:color w:val="000000"/>
          <w:sz w:val="24"/>
        </w:rPr>
        <w:t>一览表</w:t>
      </w:r>
    </w:p>
    <w:tbl>
      <w:tblPr>
        <w:tblStyle w:val="88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909"/>
        <w:gridCol w:w="3042"/>
        <w:gridCol w:w="2653"/>
      </w:tblGrid>
      <w:tr w14:paraId="161044A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459F21CD">
            <w:pPr>
              <w:ind w:firstLine="4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67" w:type="pct"/>
            <w:noWrap w:val="0"/>
            <w:vAlign w:val="center"/>
          </w:tcPr>
          <w:p w14:paraId="3DE167FB">
            <w:pPr>
              <w:jc w:val="center"/>
            </w:pPr>
            <w:r>
              <w:rPr>
                <w:rFonts w:hint="eastAsia"/>
              </w:rPr>
              <w:t>分量</w:t>
            </w:r>
          </w:p>
        </w:tc>
        <w:tc>
          <w:tcPr>
            <w:tcW w:w="1700" w:type="pct"/>
            <w:noWrap w:val="0"/>
            <w:vAlign w:val="center"/>
          </w:tcPr>
          <w:p w14:paraId="7747A514">
            <w:pPr>
              <w:ind w:firstLine="420"/>
              <w:jc w:val="center"/>
            </w:pPr>
            <w:r>
              <w:rPr>
                <w:rFonts w:hint="eastAsia"/>
              </w:rPr>
              <w:t>标准不确定度来源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158DACC9">
            <w:pPr>
              <w:jc w:val="center"/>
            </w:pPr>
            <w:r>
              <w:rPr>
                <w:rFonts w:hint="eastAsia"/>
              </w:rPr>
              <w:t>标准不确定度(kg)</w:t>
            </w:r>
          </w:p>
        </w:tc>
      </w:tr>
      <w:tr w14:paraId="5341055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2871FCFB">
            <w:pPr>
              <w:jc w:val="center"/>
            </w:pPr>
            <w:r>
              <w:t>1</w:t>
            </w:r>
          </w:p>
        </w:tc>
        <w:tc>
          <w:tcPr>
            <w:tcW w:w="1067" w:type="pct"/>
            <w:noWrap w:val="0"/>
            <w:vAlign w:val="center"/>
          </w:tcPr>
          <w:p w14:paraId="7097DD02">
            <w:pPr>
              <w:jc w:val="center"/>
            </w:pPr>
            <w:r>
              <w:object>
                <v:shape id="_x0000_i1075" o:spt="75" type="#_x0000_t75" style="height:19.95pt;width:37.3pt;" o:ole="t" filled="f" o:preferrelative="t" stroked="f" coordsize="21600,21600">
                  <v:path/>
                  <v:fill on="f" alignshape="1" focussize="0,0"/>
                  <v:stroke on="f"/>
                  <v:imagedata r:id="rId102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75" DrawAspect="Content" ObjectID="_1468075775" r:id="rId101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4487C039">
            <w:pPr>
              <w:jc w:val="center"/>
            </w:pPr>
            <w:r>
              <w:t>测量的重复性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1744F0DB">
            <w:pPr>
              <w:jc w:val="center"/>
            </w:pPr>
            <w:r>
              <w:rPr>
                <w:rFonts w:hint="eastAsia"/>
              </w:rPr>
              <w:t>28.7</w:t>
            </w:r>
          </w:p>
        </w:tc>
      </w:tr>
      <w:tr w14:paraId="17DABF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2722306C">
            <w:pPr>
              <w:jc w:val="center"/>
            </w:pPr>
            <w:r>
              <w:t>2</w:t>
            </w:r>
          </w:p>
        </w:tc>
        <w:tc>
          <w:tcPr>
            <w:tcW w:w="1067" w:type="pct"/>
            <w:noWrap w:val="0"/>
            <w:vAlign w:val="center"/>
          </w:tcPr>
          <w:p w14:paraId="758E63DB">
            <w:pPr>
              <w:jc w:val="center"/>
            </w:pPr>
            <w:r>
              <w:object>
                <v:shape id="_x0000_i1076" o:spt="75" type="#_x0000_t75" style="height:16.6pt;width:28.6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3" ShapeID="_x0000_i1076" DrawAspect="Content" ObjectID="_1468075776" r:id="rId103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5B3E4210">
            <w:pPr>
              <w:jc w:val="center"/>
            </w:pPr>
            <w:r>
              <w:t>分辨力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327BC7BF">
            <w:pPr>
              <w:jc w:val="center"/>
            </w:pPr>
            <w:r>
              <w:rPr>
                <w:rFonts w:hint="eastAsia"/>
              </w:rPr>
              <w:t>2.9</w:t>
            </w:r>
          </w:p>
        </w:tc>
      </w:tr>
      <w:tr w14:paraId="7BF4CB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336607B9">
            <w:pPr>
              <w:jc w:val="center"/>
            </w:pPr>
            <w:r>
              <w:t>3</w:t>
            </w:r>
          </w:p>
        </w:tc>
        <w:tc>
          <w:tcPr>
            <w:tcW w:w="1067" w:type="pct"/>
            <w:noWrap w:val="0"/>
            <w:vAlign w:val="center"/>
          </w:tcPr>
          <w:p w14:paraId="3BDFE824">
            <w:pPr>
              <w:jc w:val="center"/>
            </w:pPr>
            <w:r>
              <w:object>
                <v:shape id="_x0000_i1077" o:spt="75" type="#_x0000_t75" style="height:21.85pt;width:40.9pt;" o:ole="t" filled="f" o:preferrelative="t" stroked="f" coordsize="21600,21600">
                  <v:path/>
                  <v:fill on="f" alignshape="1" focussize="0,0"/>
                  <v:stroke on="f"/>
                  <v:imagedata r:id="rId10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77" DrawAspect="Content" ObjectID="_1468075777" r:id="rId104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519824B1">
            <w:pPr>
              <w:ind w:firstLine="420"/>
              <w:jc w:val="center"/>
            </w:pPr>
            <w:r>
              <w:rPr>
                <w:rFonts w:hint="eastAsia"/>
              </w:rPr>
              <w:t>检衡车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70FA7104">
            <w:pPr>
              <w:jc w:val="center"/>
            </w:pPr>
            <w:r>
              <w:rPr>
                <w:rFonts w:hint="eastAsia"/>
              </w:rPr>
              <w:t>14.6</w:t>
            </w:r>
          </w:p>
        </w:tc>
      </w:tr>
    </w:tbl>
    <w:p w14:paraId="399656EE">
      <w:pPr>
        <w:spacing w:line="360" w:lineRule="auto"/>
        <w:ind w:firstLine="1680" w:firstLineChars="700"/>
        <w:jc w:val="left"/>
        <w:rPr>
          <w:color w:val="000000"/>
          <w:sz w:val="24"/>
        </w:rPr>
      </w:pPr>
      <w:r>
        <w:rPr>
          <w:color w:val="000000"/>
          <w:sz w:val="24"/>
        </w:rPr>
        <w:t>表</w:t>
      </w:r>
      <w:r>
        <w:rPr>
          <w:rFonts w:hint="eastAsia"/>
          <w:color w:val="000000"/>
          <w:sz w:val="24"/>
        </w:rPr>
        <w:t>6  76 t秤量点时不</w:t>
      </w:r>
      <w:r>
        <w:rPr>
          <w:color w:val="000000"/>
          <w:sz w:val="24"/>
        </w:rPr>
        <w:t>确定度分量</w:t>
      </w:r>
      <w:r>
        <w:rPr>
          <w:rFonts w:hint="eastAsia"/>
          <w:color w:val="000000"/>
          <w:sz w:val="24"/>
        </w:rPr>
        <w:t>一览表</w:t>
      </w:r>
    </w:p>
    <w:tbl>
      <w:tblPr>
        <w:tblStyle w:val="88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909"/>
        <w:gridCol w:w="3042"/>
        <w:gridCol w:w="2653"/>
      </w:tblGrid>
      <w:tr w14:paraId="22088D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6E05C91F">
            <w:pPr>
              <w:ind w:firstLine="4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67" w:type="pct"/>
            <w:noWrap w:val="0"/>
            <w:vAlign w:val="center"/>
          </w:tcPr>
          <w:p w14:paraId="55B1DA97">
            <w:pPr>
              <w:jc w:val="center"/>
            </w:pPr>
            <w:r>
              <w:rPr>
                <w:rFonts w:hint="eastAsia"/>
              </w:rPr>
              <w:t>分量</w:t>
            </w:r>
          </w:p>
        </w:tc>
        <w:tc>
          <w:tcPr>
            <w:tcW w:w="1700" w:type="pct"/>
            <w:noWrap w:val="0"/>
            <w:vAlign w:val="center"/>
          </w:tcPr>
          <w:p w14:paraId="783C52F2">
            <w:pPr>
              <w:ind w:firstLine="420"/>
              <w:jc w:val="center"/>
            </w:pPr>
            <w:r>
              <w:rPr>
                <w:rFonts w:hint="eastAsia"/>
              </w:rPr>
              <w:t>标准不确定度来源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7D991A83">
            <w:pPr>
              <w:jc w:val="center"/>
            </w:pPr>
            <w:r>
              <w:rPr>
                <w:rFonts w:hint="eastAsia"/>
              </w:rPr>
              <w:t>标准不确定度(kg)</w:t>
            </w:r>
          </w:p>
        </w:tc>
      </w:tr>
      <w:tr w14:paraId="0624E5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339E5D5B">
            <w:pPr>
              <w:jc w:val="center"/>
            </w:pPr>
            <w:r>
              <w:t>1</w:t>
            </w:r>
          </w:p>
        </w:tc>
        <w:tc>
          <w:tcPr>
            <w:tcW w:w="1067" w:type="pct"/>
            <w:noWrap w:val="0"/>
            <w:vAlign w:val="center"/>
          </w:tcPr>
          <w:p w14:paraId="0628CEDF">
            <w:pPr>
              <w:jc w:val="center"/>
            </w:pPr>
            <w:r>
              <w:object>
                <v:shape id="_x0000_i1078" o:spt="75" type="#_x0000_t75" style="height:19.95pt;width:38.4pt;" o:ole="t" filled="f" o:preferrelative="t" stroked="f" coordsize="21600,21600">
                  <v:path/>
                  <v:fill on="f" alignshape="1" focussize="0,0"/>
                  <v:stroke on="f"/>
                  <v:imagedata r:id="rId107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78" DrawAspect="Content" ObjectID="_1468075778" r:id="rId106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514EC4DD">
            <w:pPr>
              <w:jc w:val="center"/>
            </w:pPr>
            <w:r>
              <w:t>测量的重复性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4AF5DEC5">
            <w:pPr>
              <w:jc w:val="center"/>
            </w:pPr>
            <w:r>
              <w:rPr>
                <w:rFonts w:hint="eastAsia"/>
              </w:rPr>
              <w:t>22.6</w:t>
            </w:r>
          </w:p>
        </w:tc>
      </w:tr>
      <w:tr w14:paraId="5616CC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4CF9B039">
            <w:pPr>
              <w:jc w:val="center"/>
            </w:pPr>
            <w:r>
              <w:t>2</w:t>
            </w:r>
          </w:p>
        </w:tc>
        <w:tc>
          <w:tcPr>
            <w:tcW w:w="1067" w:type="pct"/>
            <w:noWrap w:val="0"/>
            <w:vAlign w:val="center"/>
          </w:tcPr>
          <w:p w14:paraId="6C525CF2">
            <w:pPr>
              <w:jc w:val="center"/>
            </w:pPr>
            <w:r>
              <w:object>
                <v:shape id="_x0000_i1079" o:spt="75" type="#_x0000_t75" style="height:16.6pt;width:28.6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3" ShapeID="_x0000_i1079" DrawAspect="Content" ObjectID="_1468075779" r:id="rId108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5D0EBDBE">
            <w:pPr>
              <w:jc w:val="center"/>
            </w:pPr>
            <w:r>
              <w:t>分辨力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2428DAB8">
            <w:pPr>
              <w:jc w:val="center"/>
            </w:pPr>
            <w:r>
              <w:rPr>
                <w:rFonts w:hint="eastAsia"/>
              </w:rPr>
              <w:t>2.9</w:t>
            </w:r>
          </w:p>
        </w:tc>
      </w:tr>
      <w:tr w14:paraId="2E619C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1B73DCEC">
            <w:pPr>
              <w:jc w:val="center"/>
            </w:pPr>
            <w:r>
              <w:t>3</w:t>
            </w:r>
          </w:p>
        </w:tc>
        <w:tc>
          <w:tcPr>
            <w:tcW w:w="1067" w:type="pct"/>
            <w:noWrap w:val="0"/>
            <w:vAlign w:val="center"/>
          </w:tcPr>
          <w:p w14:paraId="1DB6D2E7">
            <w:pPr>
              <w:jc w:val="center"/>
            </w:pPr>
            <w:r>
              <w:object>
                <v:shape id="_x0000_i1080" o:spt="75" type="#_x0000_t75" style="height:21.85pt;width:40.9pt;" o:ole="t" filled="f" o:preferrelative="t" stroked="f" coordsize="21600,21600">
                  <v:path/>
                  <v:fill on="f" alignshape="1" focussize="0,0"/>
                  <v:stroke on="f"/>
                  <v:imagedata r:id="rId110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80" DrawAspect="Content" ObjectID="_1468075780" r:id="rId109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50B2EC60">
            <w:pPr>
              <w:ind w:firstLine="420"/>
              <w:jc w:val="center"/>
            </w:pPr>
            <w:r>
              <w:rPr>
                <w:rFonts w:hint="eastAsia"/>
              </w:rPr>
              <w:t>检衡车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262DD8C1">
            <w:pPr>
              <w:jc w:val="center"/>
            </w:pPr>
            <w:r>
              <w:rPr>
                <w:rFonts w:hint="eastAsia"/>
              </w:rPr>
              <w:t>13.2</w:t>
            </w:r>
          </w:p>
        </w:tc>
      </w:tr>
    </w:tbl>
    <w:p w14:paraId="608EB514">
      <w:pPr>
        <w:spacing w:line="360" w:lineRule="auto"/>
        <w:ind w:firstLine="1680" w:firstLineChars="700"/>
        <w:jc w:val="left"/>
        <w:rPr>
          <w:color w:val="000000"/>
          <w:sz w:val="24"/>
        </w:rPr>
      </w:pPr>
      <w:r>
        <w:rPr>
          <w:color w:val="000000"/>
          <w:sz w:val="24"/>
        </w:rPr>
        <w:t>表</w:t>
      </w:r>
      <w:r>
        <w:rPr>
          <w:rFonts w:hint="eastAsia"/>
          <w:color w:val="000000"/>
          <w:sz w:val="24"/>
        </w:rPr>
        <w:t>7  26 t秤量点时不</w:t>
      </w:r>
      <w:r>
        <w:rPr>
          <w:color w:val="000000"/>
          <w:sz w:val="24"/>
        </w:rPr>
        <w:t>确定度分量</w:t>
      </w:r>
      <w:r>
        <w:rPr>
          <w:rFonts w:hint="eastAsia"/>
          <w:color w:val="000000"/>
          <w:sz w:val="24"/>
        </w:rPr>
        <w:t>一览表</w:t>
      </w:r>
    </w:p>
    <w:tbl>
      <w:tblPr>
        <w:tblStyle w:val="88"/>
        <w:tblW w:w="5000" w:type="pct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909"/>
        <w:gridCol w:w="3042"/>
        <w:gridCol w:w="2653"/>
      </w:tblGrid>
      <w:tr w14:paraId="6C5BCB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65C3FF90">
            <w:pPr>
              <w:ind w:firstLine="4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067" w:type="pct"/>
            <w:noWrap w:val="0"/>
            <w:vAlign w:val="center"/>
          </w:tcPr>
          <w:p w14:paraId="761C207A">
            <w:pPr>
              <w:jc w:val="center"/>
            </w:pPr>
            <w:r>
              <w:rPr>
                <w:rFonts w:hint="eastAsia"/>
              </w:rPr>
              <w:t>分量</w:t>
            </w:r>
          </w:p>
        </w:tc>
        <w:tc>
          <w:tcPr>
            <w:tcW w:w="1700" w:type="pct"/>
            <w:noWrap w:val="0"/>
            <w:vAlign w:val="center"/>
          </w:tcPr>
          <w:p w14:paraId="00F47099">
            <w:pPr>
              <w:ind w:firstLine="420"/>
              <w:jc w:val="center"/>
            </w:pPr>
            <w:r>
              <w:rPr>
                <w:rFonts w:hint="eastAsia"/>
              </w:rPr>
              <w:t>标准不确定度来源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60E54D84">
            <w:pPr>
              <w:jc w:val="center"/>
            </w:pPr>
            <w:r>
              <w:rPr>
                <w:rFonts w:hint="eastAsia"/>
              </w:rPr>
              <w:t>标准不确定度(kg)</w:t>
            </w:r>
          </w:p>
        </w:tc>
      </w:tr>
      <w:tr w14:paraId="33A2E2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2558E366">
            <w:pPr>
              <w:jc w:val="center"/>
            </w:pPr>
            <w:r>
              <w:t>1</w:t>
            </w:r>
          </w:p>
        </w:tc>
        <w:tc>
          <w:tcPr>
            <w:tcW w:w="1067" w:type="pct"/>
            <w:noWrap w:val="0"/>
            <w:vAlign w:val="center"/>
          </w:tcPr>
          <w:p w14:paraId="6C080E6D">
            <w:pPr>
              <w:jc w:val="center"/>
            </w:pPr>
            <w:r>
              <w:object>
                <v:shape id="_x0000_i1081" o:spt="75" type="#_x0000_t75" style="height:19.95pt;width:38.4pt;" o:ole="t" filled="f" o:preferrelative="t" stroked="f" coordsize="21600,21600">
                  <v:path/>
                  <v:fill on="f" alignshape="1" focussize="0,0"/>
                  <v:stroke on="f"/>
                  <v:imagedata r:id="rId112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81" DrawAspect="Content" ObjectID="_1468075781" r:id="rId111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0B61D31E">
            <w:pPr>
              <w:jc w:val="center"/>
            </w:pPr>
            <w:r>
              <w:t>测量的重复性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19490FD9">
            <w:pPr>
              <w:jc w:val="center"/>
            </w:pPr>
            <w:r>
              <w:rPr>
                <w:rFonts w:hint="eastAsia"/>
              </w:rPr>
              <w:t>12.5</w:t>
            </w:r>
          </w:p>
        </w:tc>
      </w:tr>
      <w:tr w14:paraId="3BC13F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75826459">
            <w:pPr>
              <w:jc w:val="center"/>
            </w:pPr>
            <w:r>
              <w:t>2</w:t>
            </w:r>
          </w:p>
        </w:tc>
        <w:tc>
          <w:tcPr>
            <w:tcW w:w="1067" w:type="pct"/>
            <w:noWrap w:val="0"/>
            <w:vAlign w:val="center"/>
          </w:tcPr>
          <w:p w14:paraId="148B75C5">
            <w:pPr>
              <w:jc w:val="center"/>
            </w:pPr>
            <w:r>
              <w:object>
                <v:shape id="_x0000_i1082" o:spt="75" type="#_x0000_t75" style="height:16.6pt;width:28.6pt;" o:ole="t" filled="f" o:preferrelative="t" stroked="f" coordsize="21600,21600">
                  <v:path/>
                  <v:fill on="f" focussize="0,0"/>
                  <v:stroke on="f"/>
                  <v:imagedata r:id="rId93" o:title=""/>
                  <o:lock v:ext="edit" aspectratio="t"/>
                  <w10:wrap type="none"/>
                  <w10:anchorlock/>
                </v:shape>
                <o:OLEObject Type="Embed" ProgID="Equation.3" ShapeID="_x0000_i1082" DrawAspect="Content" ObjectID="_1468075782" r:id="rId113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457CA316">
            <w:pPr>
              <w:jc w:val="center"/>
            </w:pPr>
            <w:r>
              <w:t>分辨力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571E6154">
            <w:pPr>
              <w:jc w:val="center"/>
            </w:pPr>
            <w:r>
              <w:rPr>
                <w:rFonts w:hint="eastAsia"/>
              </w:rPr>
              <w:t>2.9</w:t>
            </w:r>
          </w:p>
        </w:tc>
      </w:tr>
      <w:tr w14:paraId="0BD63F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50" w:type="pct"/>
            <w:tcBorders>
              <w:left w:val="single" w:color="auto" w:sz="4" w:space="0"/>
            </w:tcBorders>
            <w:noWrap w:val="0"/>
            <w:vAlign w:val="center"/>
          </w:tcPr>
          <w:p w14:paraId="6089013B">
            <w:pPr>
              <w:jc w:val="center"/>
            </w:pPr>
            <w:r>
              <w:t>3</w:t>
            </w:r>
          </w:p>
        </w:tc>
        <w:tc>
          <w:tcPr>
            <w:tcW w:w="1067" w:type="pct"/>
            <w:noWrap w:val="0"/>
            <w:vAlign w:val="center"/>
          </w:tcPr>
          <w:p w14:paraId="716857C7">
            <w:pPr>
              <w:jc w:val="center"/>
            </w:pPr>
            <w:r>
              <w:object>
                <v:shape id="_x0000_i1083" o:spt="75" type="#_x0000_t75" style="height:21.85pt;width:40.9pt;" o:ole="t" filled="f" o:preferrelative="t" stroked="f" coordsize="21600,21600">
                  <v:path/>
                  <v:fill on="f" alignshape="1" focussize="0,0"/>
                  <v:stroke on="f"/>
                  <v:imagedata r:id="rId115" grayscale="f" bilevel="f" o:title=""/>
                  <o:lock v:ext="edit" aspectratio="t"/>
                  <w10:wrap type="none"/>
                  <w10:anchorlock/>
                </v:shape>
                <o:OLEObject Type="Embed" ProgID="Equation.3" ShapeID="_x0000_i1083" DrawAspect="Content" ObjectID="_1468075783" r:id="rId114">
                  <o:LockedField>false</o:LockedField>
                </o:OLEObject>
              </w:object>
            </w:r>
          </w:p>
        </w:tc>
        <w:tc>
          <w:tcPr>
            <w:tcW w:w="1700" w:type="pct"/>
            <w:noWrap w:val="0"/>
            <w:vAlign w:val="center"/>
          </w:tcPr>
          <w:p w14:paraId="6AD17CB8">
            <w:pPr>
              <w:ind w:firstLine="420"/>
              <w:jc w:val="center"/>
            </w:pPr>
            <w:r>
              <w:rPr>
                <w:rFonts w:hint="eastAsia"/>
              </w:rPr>
              <w:t>检衡车</w:t>
            </w:r>
          </w:p>
        </w:tc>
        <w:tc>
          <w:tcPr>
            <w:tcW w:w="1483" w:type="pct"/>
            <w:tcBorders>
              <w:right w:val="single" w:color="auto" w:sz="4" w:space="0"/>
            </w:tcBorders>
            <w:noWrap w:val="0"/>
            <w:vAlign w:val="center"/>
          </w:tcPr>
          <w:p w14:paraId="1F01E8B1">
            <w:pPr>
              <w:jc w:val="center"/>
            </w:pPr>
            <w:r>
              <w:rPr>
                <w:rFonts w:hint="eastAsia"/>
              </w:rPr>
              <w:t>4.6</w:t>
            </w:r>
          </w:p>
        </w:tc>
      </w:tr>
    </w:tbl>
    <w:p w14:paraId="7D8BD521">
      <w:pPr>
        <w:pStyle w:val="96"/>
        <w:numPr>
          <w:ilvl w:val="1"/>
          <w:numId w:val="12"/>
        </w:numPr>
        <w:spacing w:line="360" w:lineRule="auto"/>
        <w:ind w:firstLineChars="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合成标准不确定度的计算</w:t>
      </w:r>
    </w:p>
    <w:p w14:paraId="21098E93">
      <w:pPr>
        <w:jc w:val="center"/>
        <w:rPr>
          <w:rFonts w:hint="eastAsia"/>
          <w:sz w:val="24"/>
        </w:rPr>
      </w:pPr>
      <w:r>
        <w:rPr>
          <w:position w:val="-14"/>
          <w:sz w:val="24"/>
        </w:rPr>
        <w:object>
          <v:shape id="_x0000_i1084" o:spt="75" type="#_x0000_t75" style="height:23pt;width:138pt;" o:ole="t" filled="f" o:preferrelative="t" stroked="f" coordsize="21600,21600">
            <v:path/>
            <v:fill on="f" alignshape="1" focussize="0,0"/>
            <v:stroke on="f"/>
            <v:imagedata r:id="rId117" grayscale="f" bilevel="f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6">
            <o:LockedField>false</o:LockedField>
          </o:OLEObject>
        </w:object>
      </w:r>
      <w:r>
        <w:rPr>
          <w:rFonts w:hint="eastAsia"/>
          <w:sz w:val="24"/>
        </w:rPr>
        <w:t>=35.5 kg</w:t>
      </w:r>
    </w:p>
    <w:p w14:paraId="60D77470">
      <w:pPr>
        <w:jc w:val="center"/>
        <w:rPr>
          <w:rFonts w:hint="eastAsia"/>
          <w:sz w:val="24"/>
        </w:rPr>
      </w:pPr>
      <w:r>
        <w:rPr>
          <w:position w:val="-14"/>
          <w:sz w:val="24"/>
        </w:rPr>
        <w:object>
          <v:shape id="_x0000_i1085" o:spt="75" type="#_x0000_t75" style="height:23pt;width:138pt;" o:ole="t" filled="f" o:preferrelative="t" stroked="f" coordsize="21600,21600">
            <v:path/>
            <v:fill on="f" alignshape="1" focussize="0,0"/>
            <v:stroke on="f"/>
            <v:imagedata r:id="rId119" grayscale="f" bilevel="f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  <w:r>
        <w:rPr>
          <w:rFonts w:hint="eastAsia"/>
          <w:sz w:val="24"/>
        </w:rPr>
        <w:t>=25.9 kg</w:t>
      </w:r>
    </w:p>
    <w:p w14:paraId="3D882A35">
      <w:pPr>
        <w:jc w:val="center"/>
        <w:rPr>
          <w:rFonts w:hint="eastAsia"/>
          <w:sz w:val="24"/>
        </w:rPr>
      </w:pPr>
      <w:r>
        <w:rPr>
          <w:position w:val="-14"/>
          <w:sz w:val="24"/>
        </w:rPr>
        <w:object>
          <v:shape id="_x0000_i1086" o:spt="75" type="#_x0000_t75" style="height:23pt;width:137pt;" o:ole="t" filled="f" o:preferrelative="t" stroked="f" coordsize="21600,21600">
            <v:path/>
            <v:fill on="f" alignshape="1" focussize="0,0"/>
            <v:stroke on="f"/>
            <v:imagedata r:id="rId121" grayscale="f" bilevel="f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rFonts w:hint="eastAsia"/>
          <w:sz w:val="24"/>
        </w:rPr>
        <w:t>=32.3 kg</w:t>
      </w:r>
    </w:p>
    <w:p w14:paraId="7A4ADAD3">
      <w:pPr>
        <w:jc w:val="center"/>
        <w:rPr>
          <w:rFonts w:hint="eastAsia"/>
          <w:sz w:val="24"/>
        </w:rPr>
      </w:pPr>
      <w:r>
        <w:rPr>
          <w:position w:val="-14"/>
          <w:sz w:val="24"/>
        </w:rPr>
        <w:object>
          <v:shape id="_x0000_i1087" o:spt="75" type="#_x0000_t75" style="height:23pt;width:138pt;" o:ole="t" filled="f" o:preferrelative="t" stroked="f" coordsize="21600,21600">
            <v:path/>
            <v:fill on="f" alignshape="1" focussize="0,0"/>
            <v:stroke on="f"/>
            <v:imagedata r:id="rId123" grayscale="f" bilevel="f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rFonts w:hint="eastAsia"/>
          <w:sz w:val="24"/>
        </w:rPr>
        <w:t>=26.3 kg</w:t>
      </w:r>
    </w:p>
    <w:p w14:paraId="7CA01234">
      <w:pPr>
        <w:jc w:val="center"/>
        <w:rPr>
          <w:rFonts w:hint="eastAsia"/>
          <w:sz w:val="24"/>
        </w:rPr>
      </w:pPr>
      <w:r>
        <w:rPr>
          <w:position w:val="-14"/>
          <w:sz w:val="24"/>
        </w:rPr>
        <w:object>
          <v:shape id="_x0000_i1088" o:spt="75" type="#_x0000_t75" style="height:23pt;width:138pt;" o:ole="t" filled="f" o:preferrelative="t" stroked="f" coordsize="21600,21600">
            <v:path/>
            <v:fill on="f" alignshape="1" focussize="0,0"/>
            <v:stroke on="f"/>
            <v:imagedata r:id="rId125" grayscale="f" bilevel="f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4">
            <o:LockedField>false</o:LockedField>
          </o:OLEObject>
        </w:object>
      </w:r>
      <w:r>
        <w:rPr>
          <w:rFonts w:hint="eastAsia"/>
          <w:sz w:val="24"/>
        </w:rPr>
        <w:t>=13.6 kg</w:t>
      </w:r>
    </w:p>
    <w:p w14:paraId="07CC326A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hint="eastAsia"/>
          <w:sz w:val="24"/>
        </w:rPr>
      </w:pPr>
      <w:r>
        <w:rPr>
          <w:rFonts w:hint="eastAsia"/>
          <w:sz w:val="24"/>
        </w:rPr>
        <w:t>扩展不确定度</w:t>
      </w:r>
      <w:r>
        <w:rPr>
          <w:position w:val="-6"/>
          <w:sz w:val="24"/>
        </w:rPr>
        <w:object>
          <v:shape id="_x0000_i1089" o:spt="75" type="#_x0000_t75" style="height:13.95pt;width:13pt;" o:ole="t" filled="f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6">
            <o:LockedField>false</o:LockedField>
          </o:OLEObject>
        </w:object>
      </w:r>
      <w:r>
        <w:rPr>
          <w:rFonts w:hint="eastAsia"/>
          <w:sz w:val="24"/>
        </w:rPr>
        <w:t>的评定</w:t>
      </w:r>
    </w:p>
    <w:p w14:paraId="553A3B78">
      <w:pPr>
        <w:spacing w:line="360" w:lineRule="auto"/>
        <w:jc w:val="center"/>
        <w:rPr>
          <w:rFonts w:hint="eastAsia"/>
        </w:rPr>
      </w:pPr>
      <w:r>
        <w:rPr>
          <w:position w:val="-12"/>
        </w:rPr>
        <w:object>
          <v:shape id="_x0000_i1090" o:spt="75" type="#_x0000_t75" style="height:18pt;width:75pt;" o:ole="t" filled="f" o:preferrelative="t" stroked="f" coordsize="21600,21600">
            <v:path/>
            <v:fill on="f" alignshape="1" focussize="0,0"/>
            <v:stroke on="f"/>
            <v:imagedata r:id="rId129" grayscale="f" bilevel="f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8">
            <o:LockedField>false</o:LockedField>
          </o:OLEObject>
        </w:object>
      </w:r>
      <w:r>
        <w:rPr>
          <w:rFonts w:hint="eastAsia"/>
        </w:rPr>
        <w:t>=71.0 kg</w:t>
      </w:r>
    </w:p>
    <w:p w14:paraId="101A6AE3">
      <w:pPr>
        <w:spacing w:line="360" w:lineRule="auto"/>
        <w:jc w:val="center"/>
        <w:rPr>
          <w:rFonts w:hint="eastAsia"/>
        </w:rPr>
      </w:pPr>
      <w:r>
        <w:rPr>
          <w:position w:val="-12"/>
        </w:rPr>
        <w:object>
          <v:shape id="_x0000_i1091" o:spt="75" type="#_x0000_t75" style="height:18pt;width:75pt;" o:ole="t" filled="f" o:preferrelative="t" stroked="f" coordsize="21600,21600">
            <v:path/>
            <v:fill on="f" alignshape="1" focussize="0,0"/>
            <v:stroke on="f"/>
            <v:imagedata r:id="rId131" grayscale="f" bilevel="f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0">
            <o:LockedField>false</o:LockedField>
          </o:OLEObject>
        </w:object>
      </w:r>
      <w:r>
        <w:rPr>
          <w:rFonts w:hint="eastAsia"/>
        </w:rPr>
        <w:t>=51.8 kg</w:t>
      </w:r>
    </w:p>
    <w:p w14:paraId="6A771637">
      <w:pPr>
        <w:spacing w:line="360" w:lineRule="auto"/>
        <w:jc w:val="center"/>
        <w:rPr>
          <w:rFonts w:hint="eastAsia"/>
        </w:rPr>
      </w:pPr>
      <w:r>
        <w:rPr>
          <w:position w:val="-12"/>
        </w:rPr>
        <w:object>
          <v:shape id="_x0000_i1092" o:spt="75" type="#_x0000_t75" style="height:18pt;width:75pt;" o:ole="t" filled="f" o:preferrelative="t" stroked="f" coordsize="21600,21600">
            <v:path/>
            <v:fill on="f" alignshape="1" focussize="0,0"/>
            <v:stroke on="f"/>
            <v:imagedata r:id="rId133" grayscale="f" bilevel="f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2">
            <o:LockedField>false</o:LockedField>
          </o:OLEObject>
        </w:object>
      </w:r>
      <w:r>
        <w:rPr>
          <w:rFonts w:hint="eastAsia"/>
        </w:rPr>
        <w:t>=64.6 kg</w:t>
      </w:r>
    </w:p>
    <w:p w14:paraId="60E811C2">
      <w:pPr>
        <w:spacing w:line="360" w:lineRule="auto"/>
        <w:jc w:val="center"/>
        <w:rPr>
          <w:rFonts w:hint="eastAsia"/>
        </w:rPr>
      </w:pPr>
      <w:r>
        <w:rPr>
          <w:position w:val="-12"/>
        </w:rPr>
        <w:object>
          <v:shape id="_x0000_i1093" o:spt="75" type="#_x0000_t75" style="height:18pt;width:75pt;" o:ole="t" filled="f" o:preferrelative="t" stroked="f" coordsize="21600,21600">
            <v:path/>
            <v:fill on="f" alignshape="1" focussize="0,0"/>
            <v:stroke on="f"/>
            <v:imagedata r:id="rId135" grayscale="f" bilevel="f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4">
            <o:LockedField>false</o:LockedField>
          </o:OLEObject>
        </w:object>
      </w:r>
      <w:r>
        <w:rPr>
          <w:rFonts w:hint="eastAsia"/>
        </w:rPr>
        <w:t>=52.6 kg</w:t>
      </w:r>
    </w:p>
    <w:p w14:paraId="5D5D1F44">
      <w:pPr>
        <w:spacing w:line="360" w:lineRule="auto"/>
        <w:jc w:val="center"/>
        <w:rPr>
          <w:rFonts w:hint="eastAsia"/>
        </w:rPr>
      </w:pPr>
      <w:r>
        <w:rPr>
          <w:position w:val="-12"/>
        </w:rPr>
        <w:object>
          <v:shape id="_x0000_i1094" o:spt="75" type="#_x0000_t75" style="height:18pt;width:75pt;" o:ole="t" filled="f" o:preferrelative="t" stroked="f" coordsize="21600,21600">
            <v:path/>
            <v:fill on="f" alignshape="1" focussize="0,0"/>
            <v:stroke on="f"/>
            <v:imagedata r:id="rId137" grayscale="f" bilevel="f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6">
            <o:LockedField>false</o:LockedField>
          </o:OLEObject>
        </w:object>
      </w:r>
      <w:r>
        <w:rPr>
          <w:rFonts w:hint="eastAsia"/>
        </w:rPr>
        <w:t>=27.2 kg</w:t>
      </w:r>
    </w:p>
    <w:p w14:paraId="3173B4FC">
      <w:pPr>
        <w:pStyle w:val="96"/>
        <w:numPr>
          <w:ilvl w:val="0"/>
          <w:numId w:val="12"/>
        </w:numPr>
        <w:spacing w:line="360" w:lineRule="auto"/>
        <w:ind w:left="420" w:hanging="420" w:firstLineChars="0"/>
        <w:rPr>
          <w:rFonts w:hint="eastAsia"/>
          <w:sz w:val="24"/>
        </w:rPr>
      </w:pPr>
      <w:r>
        <w:rPr>
          <w:rFonts w:hint="eastAsia"/>
          <w:sz w:val="24"/>
        </w:rPr>
        <w:t>评定结果判断</w:t>
      </w:r>
    </w:p>
    <w:p w14:paraId="64DEE6AB">
      <w:pPr>
        <w:spacing w:before="100" w:beforeAutospacing="1" w:after="100" w:afterAutospacing="1"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自动轨道衡分为四个等级，按照被检自动轨道衡相应等级的</w:t>
      </w:r>
      <w:r>
        <w:rPr>
          <w:sz w:val="24"/>
        </w:rPr>
        <w:t>动态称量最大允许误差</w:t>
      </w:r>
      <w:r>
        <w:rPr>
          <w:position w:val="-4"/>
          <w:sz w:val="24"/>
        </w:rPr>
        <w:object>
          <v:shape id="_x0000_i1095" o:spt="75" type="#_x0000_t75" style="height:13pt;width:29pt;" o:ole="t" filled="f" o:preferrelative="t" stroked="f" coordsize="21600,21600">
            <v:path/>
            <v:fill on="f" alignshape="1" focussize="0,0"/>
            <v:stroke on="f"/>
            <v:imagedata r:id="rId139" grayscale="f" bilevel="f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8">
            <o:LockedField>false</o:LockedField>
          </o:OLEObject>
        </w:object>
      </w:r>
      <w:r>
        <w:rPr>
          <w:rFonts w:hint="eastAsia"/>
          <w:szCs w:val="21"/>
        </w:rPr>
        <w:t>计算。</w:t>
      </w:r>
      <w:r>
        <w:rPr>
          <w:position w:val="-6"/>
          <w:sz w:val="24"/>
        </w:rPr>
        <w:object>
          <v:shape id="_x0000_i1096" o:spt="75" type="#_x0000_t75" style="height:13.95pt;width:13pt;" o:ole="t" filled="f" o:preferrelative="t" stroked="f" coordsize="21600,21600">
            <v:path/>
            <v:fill on="f" alignshape="1" focussize="0,0"/>
            <v:stroke on="f"/>
            <v:imagedata r:id="rId141" grayscale="f" bilevel="f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0">
            <o:LockedField>false</o:LockedField>
          </o:OLEObject>
        </w:object>
      </w:r>
      <w:r>
        <w:rPr>
          <w:rFonts w:hint="eastAsia"/>
          <w:sz w:val="24"/>
        </w:rPr>
        <w:t>≤</w:t>
      </w:r>
      <w:r>
        <w:rPr>
          <w:position w:val="-24"/>
          <w:sz w:val="24"/>
        </w:rPr>
        <w:object>
          <v:shape id="_x0000_i1097" o:spt="75" type="#_x0000_t75" style="height:33pt;width:35pt;" o:ole="t" filled="f" o:preferrelative="t" stroked="f" coordsize="21600,21600">
            <v:path/>
            <v:fill on="f" alignshape="1" focussize="0,0"/>
            <v:stroke on="f"/>
            <v:imagedata r:id="rId143" grayscale="f" bilevel="f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2">
            <o:LockedField>false</o:LockedField>
          </o:OLEObject>
        </w:object>
      </w:r>
      <w:r>
        <w:rPr>
          <w:rFonts w:hint="eastAsia" w:hAnsi="宋体"/>
          <w:sz w:val="24"/>
        </w:rPr>
        <w:t>时则符合要求。</w:t>
      </w:r>
      <w:r>
        <w:rPr>
          <w:rFonts w:hint="eastAsia"/>
          <w:sz w:val="24"/>
        </w:rPr>
        <w:t>被检自动轨道衡为0.5级，</w:t>
      </w:r>
      <w:r>
        <w:rPr>
          <w:rFonts w:hint="eastAsia"/>
          <w:color w:val="000000"/>
          <w:sz w:val="24"/>
        </w:rPr>
        <w:t>94540、68380kg、84410kg、76380kg、26400kg称量点对应的</w:t>
      </w:r>
      <w:r>
        <w:rPr>
          <w:position w:val="-24"/>
          <w:sz w:val="24"/>
        </w:rPr>
        <w:object>
          <v:shape id="_x0000_i1098" o:spt="75" type="#_x0000_t75" style="height:33pt;width:35pt;" o:ole="t" filled="f" o:preferrelative="t" stroked="f" coordsize="21600,21600">
            <v:path/>
            <v:fill on="f" alignshape="1" focussize="0,0"/>
            <v:stroke on="f"/>
            <v:imagedata r:id="rId145" grayscale="f" bilevel="f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4">
            <o:LockedField>false</o:LockedField>
          </o:OLEObject>
        </w:object>
      </w:r>
      <w:r>
        <w:rPr>
          <w:rFonts w:hint="eastAsia"/>
          <w:sz w:val="24"/>
        </w:rPr>
        <w:t>分别为78.8 kg、57.0 kg、70.3 kg、63.6 kg、29.2 kg，显然满足</w:t>
      </w:r>
      <w:r>
        <w:rPr>
          <w:position w:val="-6"/>
          <w:sz w:val="24"/>
        </w:rPr>
        <w:object>
          <v:shape id="_x0000_i1099" o:spt="75" type="#_x0000_t75" style="height:13.95pt;width:13pt;" o:ole="t" filled="f" o:preferrelative="t" stroked="f" coordsize="21600,21600">
            <v:path/>
            <v:fill on="f" alignshape="1" focussize="0,0"/>
            <v:stroke on="f"/>
            <v:imagedata r:id="rId141" grayscale="f" bilevel="f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6">
            <o:LockedField>false</o:LockedField>
          </o:OLEObject>
        </w:object>
      </w:r>
      <w:r>
        <w:rPr>
          <w:rFonts w:hint="eastAsia"/>
          <w:sz w:val="24"/>
        </w:rPr>
        <w:t>≤</w:t>
      </w:r>
      <w:r>
        <w:rPr>
          <w:position w:val="-24"/>
          <w:sz w:val="24"/>
        </w:rPr>
        <w:object>
          <v:shape id="_x0000_i1100" o:spt="75" type="#_x0000_t75" style="height:33pt;width:35pt;" o:ole="t" filled="f" o:preferrelative="t" stroked="f" coordsize="21600,21600">
            <v:path/>
            <v:fill on="f" alignshape="1" focussize="0,0"/>
            <v:stroke on="f"/>
            <v:imagedata r:id="rId148" grayscale="f" bilevel="f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7">
            <o:LockedField>false</o:LockedField>
          </o:OLEObject>
        </w:object>
      </w:r>
      <w:r>
        <w:rPr>
          <w:rFonts w:hint="eastAsia"/>
          <w:sz w:val="24"/>
        </w:rPr>
        <w:t>的要求。</w:t>
      </w:r>
    </w:p>
    <w:p w14:paraId="3E6837D9">
      <w:pPr>
        <w:spacing w:before="100" w:beforeAutospacing="1" w:after="100" w:afterAutospacing="1"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当计量标准器选用</w:t>
      </w:r>
      <w:r>
        <w:rPr>
          <w:sz w:val="24"/>
        </w:rPr>
        <w:t>T</w:t>
      </w:r>
      <w:r>
        <w:rPr>
          <w:rFonts w:hint="eastAsia"/>
          <w:sz w:val="24"/>
          <w:vertAlign w:val="subscript"/>
        </w:rPr>
        <w:t>6DK</w:t>
      </w:r>
      <w:r>
        <w:rPr>
          <w:sz w:val="24"/>
        </w:rPr>
        <w:t>型</w:t>
      </w:r>
      <w:r>
        <w:rPr>
          <w:rFonts w:hint="eastAsia"/>
          <w:sz w:val="24"/>
        </w:rPr>
        <w:t>动态</w:t>
      </w:r>
      <w:r>
        <w:rPr>
          <w:sz w:val="24"/>
        </w:rPr>
        <w:t>检衡车</w:t>
      </w:r>
      <w:r>
        <w:rPr>
          <w:rFonts w:hint="eastAsia"/>
          <w:sz w:val="24"/>
        </w:rPr>
        <w:t>时，评定过程类似，评定结果也满足相应要求。</w:t>
      </w:r>
    </w:p>
    <w:p w14:paraId="7254D399">
      <w:pPr>
        <w:spacing w:line="360" w:lineRule="auto"/>
        <w:ind w:firstLine="480" w:firstLineChars="200"/>
        <w:rPr>
          <w:rFonts w:hint="eastAsia"/>
          <w:color w:val="000000" w:themeColor="text1"/>
          <w:sz w:val="24"/>
        </w:rPr>
      </w:pPr>
    </w:p>
    <w:sectPr>
      <w:footerReference r:id="rId3" w:type="default"/>
      <w:footerReference r:id="rId4" w:type="even"/>
      <w:pgSz w:w="11906" w:h="16838"/>
      <w:pgMar w:top="1361" w:right="1588" w:bottom="1361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EA04E">
    <w:pPr>
      <w:pStyle w:val="55"/>
      <w:framePr w:wrap="around" w:vAnchor="text" w:hAnchor="margin" w:xAlign="right" w:y="1"/>
      <w:ind w:firstLine="360"/>
      <w:rPr>
        <w:rStyle w:val="91"/>
      </w:rPr>
    </w:pPr>
    <w:r>
      <w:rPr>
        <w:rStyle w:val="91"/>
      </w:rPr>
      <w:fldChar w:fldCharType="begin"/>
    </w:r>
    <w:r>
      <w:rPr>
        <w:rStyle w:val="91"/>
      </w:rPr>
      <w:instrText xml:space="preserve">PAGE  </w:instrText>
    </w:r>
    <w:r>
      <w:rPr>
        <w:rStyle w:val="91"/>
      </w:rPr>
      <w:fldChar w:fldCharType="separate"/>
    </w:r>
    <w:r>
      <w:rPr>
        <w:rStyle w:val="91"/>
      </w:rPr>
      <w:t>- 9 -</w:t>
    </w:r>
    <w:r>
      <w:rPr>
        <w:rStyle w:val="91"/>
      </w:rPr>
      <w:fldChar w:fldCharType="end"/>
    </w:r>
  </w:p>
  <w:p w14:paraId="672B43F0">
    <w:pPr>
      <w:pStyle w:val="5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FA2FF7">
    <w:pPr>
      <w:pStyle w:val="55"/>
      <w:framePr w:wrap="around" w:vAnchor="text" w:hAnchor="margin" w:xAlign="right" w:y="1"/>
      <w:ind w:firstLine="360"/>
      <w:rPr>
        <w:rStyle w:val="91"/>
      </w:rPr>
    </w:pPr>
    <w:r>
      <w:rPr>
        <w:rStyle w:val="91"/>
      </w:rPr>
      <w:fldChar w:fldCharType="begin"/>
    </w:r>
    <w:r>
      <w:rPr>
        <w:rStyle w:val="91"/>
      </w:rPr>
      <w:instrText xml:space="preserve">PAGE  </w:instrText>
    </w:r>
    <w:r>
      <w:rPr>
        <w:rStyle w:val="91"/>
      </w:rPr>
      <w:fldChar w:fldCharType="end"/>
    </w:r>
  </w:p>
  <w:p w14:paraId="7C087469">
    <w:pPr>
      <w:pStyle w:val="5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8BF2CCF"/>
    <w:multiLevelType w:val="multilevel"/>
    <w:tmpl w:val="08BF2CCF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  <w:b w:val="0"/>
        <w:i w:val="0"/>
        <w:sz w:val="28"/>
        <w:szCs w:val="28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  <w:sz w:val="24"/>
        <w:szCs w:val="24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  <w:sz w:val="24"/>
        <w:szCs w:val="24"/>
      </w:rPr>
    </w:lvl>
    <w:lvl w:ilvl="3" w:tentative="0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5.%1.%2.%3.%4"/>
      <w:lvlJc w:val="left"/>
      <w:pPr>
        <w:ind w:left="0" w:firstLine="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>
    <w:nsid w:val="0B2E1F9B"/>
    <w:multiLevelType w:val="multilevel"/>
    <w:tmpl w:val="0B2E1F9B"/>
    <w:lvl w:ilvl="0" w:tentative="0">
      <w:start w:val="1"/>
      <w:numFmt w:val="decimal"/>
      <w:pStyle w:val="3"/>
      <w:suff w:val="nothing"/>
      <w:lvlText w:val="%1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1.%2 "/>
      <w:lvlJc w:val="left"/>
      <w:pPr>
        <w:ind w:left="426" w:firstLine="0"/>
      </w:pPr>
      <w:rPr>
        <w:rFonts w:hint="eastAsia"/>
      </w:rPr>
    </w:lvl>
    <w:lvl w:ilvl="2" w:tentative="0">
      <w:start w:val="1"/>
      <w:numFmt w:val="decimal"/>
      <w:pStyle w:val="5"/>
      <w:suff w:val="nothing"/>
      <w:lvlText w:val="%1.%2.%3 "/>
      <w:lvlJc w:val="left"/>
      <w:pPr>
        <w:ind w:left="0" w:firstLine="0"/>
      </w:pPr>
      <w:rPr>
        <w:rFonts w:hint="eastAsia" w:ascii="黑体" w:hAnsi="黑体" w:eastAsia="黑体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31A"/>
    <w:rsid w:val="00003CDE"/>
    <w:rsid w:val="00005965"/>
    <w:rsid w:val="0001446A"/>
    <w:rsid w:val="00017E37"/>
    <w:rsid w:val="00020735"/>
    <w:rsid w:val="0002236E"/>
    <w:rsid w:val="000238ED"/>
    <w:rsid w:val="00024226"/>
    <w:rsid w:val="00025B29"/>
    <w:rsid w:val="00025CA8"/>
    <w:rsid w:val="00032C44"/>
    <w:rsid w:val="0003529B"/>
    <w:rsid w:val="000364C1"/>
    <w:rsid w:val="0003795A"/>
    <w:rsid w:val="00040157"/>
    <w:rsid w:val="000404D1"/>
    <w:rsid w:val="0004082D"/>
    <w:rsid w:val="00042CF8"/>
    <w:rsid w:val="000452E0"/>
    <w:rsid w:val="000462BD"/>
    <w:rsid w:val="00051DED"/>
    <w:rsid w:val="00052AAD"/>
    <w:rsid w:val="00052F06"/>
    <w:rsid w:val="000534EB"/>
    <w:rsid w:val="00055A72"/>
    <w:rsid w:val="000571F7"/>
    <w:rsid w:val="0005782F"/>
    <w:rsid w:val="000578E3"/>
    <w:rsid w:val="00065387"/>
    <w:rsid w:val="00065573"/>
    <w:rsid w:val="00066C71"/>
    <w:rsid w:val="00071F00"/>
    <w:rsid w:val="0007335E"/>
    <w:rsid w:val="000741F8"/>
    <w:rsid w:val="00075CCA"/>
    <w:rsid w:val="00080237"/>
    <w:rsid w:val="00080A1A"/>
    <w:rsid w:val="000811D1"/>
    <w:rsid w:val="0008529F"/>
    <w:rsid w:val="00087302"/>
    <w:rsid w:val="00087641"/>
    <w:rsid w:val="00090442"/>
    <w:rsid w:val="00091BB5"/>
    <w:rsid w:val="00093639"/>
    <w:rsid w:val="00095155"/>
    <w:rsid w:val="00096905"/>
    <w:rsid w:val="00096F48"/>
    <w:rsid w:val="0009744C"/>
    <w:rsid w:val="000A533E"/>
    <w:rsid w:val="000A7545"/>
    <w:rsid w:val="000B4841"/>
    <w:rsid w:val="000B7C60"/>
    <w:rsid w:val="000C1D8E"/>
    <w:rsid w:val="000C258E"/>
    <w:rsid w:val="000D010E"/>
    <w:rsid w:val="000D1C80"/>
    <w:rsid w:val="000D2AF6"/>
    <w:rsid w:val="000D333F"/>
    <w:rsid w:val="000D37E6"/>
    <w:rsid w:val="000D5205"/>
    <w:rsid w:val="000D6C72"/>
    <w:rsid w:val="000E0304"/>
    <w:rsid w:val="000E042D"/>
    <w:rsid w:val="000E288E"/>
    <w:rsid w:val="000E4D32"/>
    <w:rsid w:val="000E6659"/>
    <w:rsid w:val="000E6A56"/>
    <w:rsid w:val="000E703A"/>
    <w:rsid w:val="000F108A"/>
    <w:rsid w:val="000F1506"/>
    <w:rsid w:val="000F3D0D"/>
    <w:rsid w:val="000F4918"/>
    <w:rsid w:val="000F7B7A"/>
    <w:rsid w:val="00100EE0"/>
    <w:rsid w:val="0010663B"/>
    <w:rsid w:val="00106CBD"/>
    <w:rsid w:val="00107B1C"/>
    <w:rsid w:val="001126AF"/>
    <w:rsid w:val="0011432E"/>
    <w:rsid w:val="001160AC"/>
    <w:rsid w:val="00116739"/>
    <w:rsid w:val="00122F95"/>
    <w:rsid w:val="0012501D"/>
    <w:rsid w:val="00125999"/>
    <w:rsid w:val="001262B0"/>
    <w:rsid w:val="00126408"/>
    <w:rsid w:val="00133E58"/>
    <w:rsid w:val="00135B44"/>
    <w:rsid w:val="00136E07"/>
    <w:rsid w:val="00137F68"/>
    <w:rsid w:val="00141D6C"/>
    <w:rsid w:val="00142AAC"/>
    <w:rsid w:val="00142CB9"/>
    <w:rsid w:val="001458CD"/>
    <w:rsid w:val="00146060"/>
    <w:rsid w:val="00151CB6"/>
    <w:rsid w:val="00154075"/>
    <w:rsid w:val="00155321"/>
    <w:rsid w:val="00156FE7"/>
    <w:rsid w:val="0015736D"/>
    <w:rsid w:val="00157F52"/>
    <w:rsid w:val="0016410F"/>
    <w:rsid w:val="00165C33"/>
    <w:rsid w:val="001662E3"/>
    <w:rsid w:val="001678A3"/>
    <w:rsid w:val="00173146"/>
    <w:rsid w:val="00173629"/>
    <w:rsid w:val="001739BB"/>
    <w:rsid w:val="00174023"/>
    <w:rsid w:val="001777FD"/>
    <w:rsid w:val="00180E5F"/>
    <w:rsid w:val="00180F28"/>
    <w:rsid w:val="001822E5"/>
    <w:rsid w:val="00182CA0"/>
    <w:rsid w:val="001834E1"/>
    <w:rsid w:val="00183DE0"/>
    <w:rsid w:val="0018499D"/>
    <w:rsid w:val="001861BC"/>
    <w:rsid w:val="00187DC1"/>
    <w:rsid w:val="00187E62"/>
    <w:rsid w:val="00192DF9"/>
    <w:rsid w:val="001A06DC"/>
    <w:rsid w:val="001A4783"/>
    <w:rsid w:val="001A7D4E"/>
    <w:rsid w:val="001B0620"/>
    <w:rsid w:val="001B0F7F"/>
    <w:rsid w:val="001B4AE4"/>
    <w:rsid w:val="001B78B4"/>
    <w:rsid w:val="001B7DB0"/>
    <w:rsid w:val="001C512B"/>
    <w:rsid w:val="001C5824"/>
    <w:rsid w:val="001C67AC"/>
    <w:rsid w:val="001D1070"/>
    <w:rsid w:val="001D175A"/>
    <w:rsid w:val="001D2795"/>
    <w:rsid w:val="001D4DFD"/>
    <w:rsid w:val="001D6267"/>
    <w:rsid w:val="001D62B0"/>
    <w:rsid w:val="001D63B3"/>
    <w:rsid w:val="001D6DB6"/>
    <w:rsid w:val="001E0BA9"/>
    <w:rsid w:val="001E0BB7"/>
    <w:rsid w:val="001E1365"/>
    <w:rsid w:val="001E2126"/>
    <w:rsid w:val="001E47B6"/>
    <w:rsid w:val="001E5867"/>
    <w:rsid w:val="001F0D22"/>
    <w:rsid w:val="001F130B"/>
    <w:rsid w:val="001F1A35"/>
    <w:rsid w:val="001F22B7"/>
    <w:rsid w:val="001F3377"/>
    <w:rsid w:val="001F3C78"/>
    <w:rsid w:val="001F4C8C"/>
    <w:rsid w:val="001F60C8"/>
    <w:rsid w:val="001F68D6"/>
    <w:rsid w:val="00201083"/>
    <w:rsid w:val="00201A08"/>
    <w:rsid w:val="00202EE0"/>
    <w:rsid w:val="002030E8"/>
    <w:rsid w:val="00203674"/>
    <w:rsid w:val="00203B01"/>
    <w:rsid w:val="00211F2A"/>
    <w:rsid w:val="00212625"/>
    <w:rsid w:val="00212698"/>
    <w:rsid w:val="00215D29"/>
    <w:rsid w:val="00217FF1"/>
    <w:rsid w:val="00220B70"/>
    <w:rsid w:val="0022148D"/>
    <w:rsid w:val="002216AB"/>
    <w:rsid w:val="00222F26"/>
    <w:rsid w:val="00222F38"/>
    <w:rsid w:val="00224650"/>
    <w:rsid w:val="00225A7A"/>
    <w:rsid w:val="00226DD8"/>
    <w:rsid w:val="00230A8F"/>
    <w:rsid w:val="00230E5E"/>
    <w:rsid w:val="0023571A"/>
    <w:rsid w:val="0024436C"/>
    <w:rsid w:val="00244BFD"/>
    <w:rsid w:val="0024568D"/>
    <w:rsid w:val="00245A39"/>
    <w:rsid w:val="0024603A"/>
    <w:rsid w:val="002503FD"/>
    <w:rsid w:val="00251A85"/>
    <w:rsid w:val="0025390A"/>
    <w:rsid w:val="00253A7B"/>
    <w:rsid w:val="00256E7D"/>
    <w:rsid w:val="00260ED4"/>
    <w:rsid w:val="00261E4F"/>
    <w:rsid w:val="0026395E"/>
    <w:rsid w:val="00264AA5"/>
    <w:rsid w:val="00264F31"/>
    <w:rsid w:val="002653BA"/>
    <w:rsid w:val="002669C7"/>
    <w:rsid w:val="00266FDA"/>
    <w:rsid w:val="00270E96"/>
    <w:rsid w:val="0027462E"/>
    <w:rsid w:val="00277549"/>
    <w:rsid w:val="002855E6"/>
    <w:rsid w:val="00287C58"/>
    <w:rsid w:val="002910E3"/>
    <w:rsid w:val="00292F95"/>
    <w:rsid w:val="002949C9"/>
    <w:rsid w:val="002960DF"/>
    <w:rsid w:val="00296254"/>
    <w:rsid w:val="002A0CA1"/>
    <w:rsid w:val="002A1B7C"/>
    <w:rsid w:val="002A4099"/>
    <w:rsid w:val="002A5AA3"/>
    <w:rsid w:val="002A5D98"/>
    <w:rsid w:val="002A739B"/>
    <w:rsid w:val="002B22A9"/>
    <w:rsid w:val="002B3EF6"/>
    <w:rsid w:val="002B6958"/>
    <w:rsid w:val="002B7576"/>
    <w:rsid w:val="002C09C6"/>
    <w:rsid w:val="002C27E2"/>
    <w:rsid w:val="002E0C2A"/>
    <w:rsid w:val="002E7019"/>
    <w:rsid w:val="002E73D5"/>
    <w:rsid w:val="002E7771"/>
    <w:rsid w:val="002F5FC4"/>
    <w:rsid w:val="0030324F"/>
    <w:rsid w:val="00303A3D"/>
    <w:rsid w:val="003064AA"/>
    <w:rsid w:val="003066BC"/>
    <w:rsid w:val="003118D1"/>
    <w:rsid w:val="00312B02"/>
    <w:rsid w:val="00312FEA"/>
    <w:rsid w:val="0031337B"/>
    <w:rsid w:val="003133F9"/>
    <w:rsid w:val="00313BE5"/>
    <w:rsid w:val="00314A97"/>
    <w:rsid w:val="00315FF1"/>
    <w:rsid w:val="0032660D"/>
    <w:rsid w:val="00326B9C"/>
    <w:rsid w:val="0033183A"/>
    <w:rsid w:val="00344AB1"/>
    <w:rsid w:val="00345A3C"/>
    <w:rsid w:val="00352033"/>
    <w:rsid w:val="00353437"/>
    <w:rsid w:val="00353A96"/>
    <w:rsid w:val="00353F58"/>
    <w:rsid w:val="0036005C"/>
    <w:rsid w:val="003623B3"/>
    <w:rsid w:val="003625FC"/>
    <w:rsid w:val="00365400"/>
    <w:rsid w:val="003714B6"/>
    <w:rsid w:val="00373D87"/>
    <w:rsid w:val="00376111"/>
    <w:rsid w:val="003763A1"/>
    <w:rsid w:val="00377850"/>
    <w:rsid w:val="00380ECC"/>
    <w:rsid w:val="00381869"/>
    <w:rsid w:val="00385A9C"/>
    <w:rsid w:val="00385AB6"/>
    <w:rsid w:val="0038688C"/>
    <w:rsid w:val="0038763E"/>
    <w:rsid w:val="00391BE8"/>
    <w:rsid w:val="0039344E"/>
    <w:rsid w:val="003944D1"/>
    <w:rsid w:val="003952E8"/>
    <w:rsid w:val="003A2E74"/>
    <w:rsid w:val="003A3E2E"/>
    <w:rsid w:val="003A3FD7"/>
    <w:rsid w:val="003A6EF3"/>
    <w:rsid w:val="003A7FE7"/>
    <w:rsid w:val="003B3733"/>
    <w:rsid w:val="003B496D"/>
    <w:rsid w:val="003B4B70"/>
    <w:rsid w:val="003B7379"/>
    <w:rsid w:val="003C2FBC"/>
    <w:rsid w:val="003C42E9"/>
    <w:rsid w:val="003C6411"/>
    <w:rsid w:val="003C73DF"/>
    <w:rsid w:val="003D190C"/>
    <w:rsid w:val="003D2B46"/>
    <w:rsid w:val="003D5EE1"/>
    <w:rsid w:val="003E0262"/>
    <w:rsid w:val="003E1D9F"/>
    <w:rsid w:val="003E6F78"/>
    <w:rsid w:val="003F284D"/>
    <w:rsid w:val="003F3EE1"/>
    <w:rsid w:val="003F48DB"/>
    <w:rsid w:val="003F690C"/>
    <w:rsid w:val="004006C5"/>
    <w:rsid w:val="00401384"/>
    <w:rsid w:val="00401CFE"/>
    <w:rsid w:val="00404AE4"/>
    <w:rsid w:val="00406E88"/>
    <w:rsid w:val="0040700C"/>
    <w:rsid w:val="0040740F"/>
    <w:rsid w:val="00411493"/>
    <w:rsid w:val="0041755C"/>
    <w:rsid w:val="0042378B"/>
    <w:rsid w:val="00425310"/>
    <w:rsid w:val="00425774"/>
    <w:rsid w:val="004279C1"/>
    <w:rsid w:val="00434203"/>
    <w:rsid w:val="004349CE"/>
    <w:rsid w:val="00435B50"/>
    <w:rsid w:val="00436305"/>
    <w:rsid w:val="0044176B"/>
    <w:rsid w:val="004426F4"/>
    <w:rsid w:val="00443113"/>
    <w:rsid w:val="00443282"/>
    <w:rsid w:val="0044369A"/>
    <w:rsid w:val="00443F07"/>
    <w:rsid w:val="004464EC"/>
    <w:rsid w:val="00450AA5"/>
    <w:rsid w:val="00450ED6"/>
    <w:rsid w:val="0045251B"/>
    <w:rsid w:val="00452F0A"/>
    <w:rsid w:val="00455E5E"/>
    <w:rsid w:val="00461C01"/>
    <w:rsid w:val="00463928"/>
    <w:rsid w:val="00464B6E"/>
    <w:rsid w:val="00465029"/>
    <w:rsid w:val="00466AE1"/>
    <w:rsid w:val="00473D45"/>
    <w:rsid w:val="004744C5"/>
    <w:rsid w:val="0048158E"/>
    <w:rsid w:val="004825F6"/>
    <w:rsid w:val="00483AC6"/>
    <w:rsid w:val="004846DF"/>
    <w:rsid w:val="004876A7"/>
    <w:rsid w:val="00493CFB"/>
    <w:rsid w:val="004950B2"/>
    <w:rsid w:val="004963F7"/>
    <w:rsid w:val="00496679"/>
    <w:rsid w:val="004A0CDA"/>
    <w:rsid w:val="004A5A16"/>
    <w:rsid w:val="004A5FF8"/>
    <w:rsid w:val="004B0254"/>
    <w:rsid w:val="004B5D37"/>
    <w:rsid w:val="004B60E5"/>
    <w:rsid w:val="004B70B8"/>
    <w:rsid w:val="004C0EFC"/>
    <w:rsid w:val="004C4A7A"/>
    <w:rsid w:val="004C5366"/>
    <w:rsid w:val="004D0CBE"/>
    <w:rsid w:val="004D1F93"/>
    <w:rsid w:val="004D3038"/>
    <w:rsid w:val="004D5F33"/>
    <w:rsid w:val="004E0E1D"/>
    <w:rsid w:val="004E4848"/>
    <w:rsid w:val="004E711E"/>
    <w:rsid w:val="004F0D28"/>
    <w:rsid w:val="004F1692"/>
    <w:rsid w:val="004F2450"/>
    <w:rsid w:val="004F3E18"/>
    <w:rsid w:val="004F45AE"/>
    <w:rsid w:val="004F56A2"/>
    <w:rsid w:val="0050093A"/>
    <w:rsid w:val="00502F08"/>
    <w:rsid w:val="00505666"/>
    <w:rsid w:val="00505755"/>
    <w:rsid w:val="00516CBA"/>
    <w:rsid w:val="0051750F"/>
    <w:rsid w:val="00520202"/>
    <w:rsid w:val="00521676"/>
    <w:rsid w:val="00531B16"/>
    <w:rsid w:val="00533332"/>
    <w:rsid w:val="0053448A"/>
    <w:rsid w:val="0053485D"/>
    <w:rsid w:val="005349C1"/>
    <w:rsid w:val="005422B2"/>
    <w:rsid w:val="00546363"/>
    <w:rsid w:val="00546707"/>
    <w:rsid w:val="00547D17"/>
    <w:rsid w:val="005518A5"/>
    <w:rsid w:val="0055304A"/>
    <w:rsid w:val="00556929"/>
    <w:rsid w:val="00556ACA"/>
    <w:rsid w:val="00560B08"/>
    <w:rsid w:val="00560D3E"/>
    <w:rsid w:val="005623CA"/>
    <w:rsid w:val="00563BDE"/>
    <w:rsid w:val="00564EBE"/>
    <w:rsid w:val="005651C3"/>
    <w:rsid w:val="00565779"/>
    <w:rsid w:val="00572348"/>
    <w:rsid w:val="0057264E"/>
    <w:rsid w:val="0057285C"/>
    <w:rsid w:val="005734EA"/>
    <w:rsid w:val="00580D84"/>
    <w:rsid w:val="00581003"/>
    <w:rsid w:val="0058277F"/>
    <w:rsid w:val="0058430F"/>
    <w:rsid w:val="00586C95"/>
    <w:rsid w:val="00587775"/>
    <w:rsid w:val="0059042C"/>
    <w:rsid w:val="00591B84"/>
    <w:rsid w:val="00592C91"/>
    <w:rsid w:val="005937C4"/>
    <w:rsid w:val="005A11A2"/>
    <w:rsid w:val="005A562B"/>
    <w:rsid w:val="005B0C23"/>
    <w:rsid w:val="005B0C7E"/>
    <w:rsid w:val="005B5620"/>
    <w:rsid w:val="005B56A8"/>
    <w:rsid w:val="005B67DB"/>
    <w:rsid w:val="005C3A11"/>
    <w:rsid w:val="005C57D0"/>
    <w:rsid w:val="005D1E4E"/>
    <w:rsid w:val="005D268B"/>
    <w:rsid w:val="005D3104"/>
    <w:rsid w:val="005D39BA"/>
    <w:rsid w:val="005D6E57"/>
    <w:rsid w:val="005E02A5"/>
    <w:rsid w:val="005E2D0E"/>
    <w:rsid w:val="005E3AA7"/>
    <w:rsid w:val="005E5F62"/>
    <w:rsid w:val="005E73A1"/>
    <w:rsid w:val="005E75FC"/>
    <w:rsid w:val="005F2173"/>
    <w:rsid w:val="005F27F8"/>
    <w:rsid w:val="005F3628"/>
    <w:rsid w:val="00601822"/>
    <w:rsid w:val="00603177"/>
    <w:rsid w:val="00612CE8"/>
    <w:rsid w:val="0061546F"/>
    <w:rsid w:val="00620FEB"/>
    <w:rsid w:val="0062162E"/>
    <w:rsid w:val="00623C09"/>
    <w:rsid w:val="00623F6C"/>
    <w:rsid w:val="00624399"/>
    <w:rsid w:val="00632074"/>
    <w:rsid w:val="00636DDB"/>
    <w:rsid w:val="00641131"/>
    <w:rsid w:val="00641E18"/>
    <w:rsid w:val="006429D8"/>
    <w:rsid w:val="00642A82"/>
    <w:rsid w:val="00647054"/>
    <w:rsid w:val="006500EB"/>
    <w:rsid w:val="006525BB"/>
    <w:rsid w:val="0065426C"/>
    <w:rsid w:val="00654840"/>
    <w:rsid w:val="00660085"/>
    <w:rsid w:val="00660C3A"/>
    <w:rsid w:val="0066120E"/>
    <w:rsid w:val="00662FF3"/>
    <w:rsid w:val="00663B68"/>
    <w:rsid w:val="00665DB6"/>
    <w:rsid w:val="006676D2"/>
    <w:rsid w:val="0067081C"/>
    <w:rsid w:val="006708C2"/>
    <w:rsid w:val="006728FD"/>
    <w:rsid w:val="00672E1D"/>
    <w:rsid w:val="006731D3"/>
    <w:rsid w:val="006749EA"/>
    <w:rsid w:val="0067607F"/>
    <w:rsid w:val="006829D0"/>
    <w:rsid w:val="00686729"/>
    <w:rsid w:val="006910F6"/>
    <w:rsid w:val="00693124"/>
    <w:rsid w:val="0069427C"/>
    <w:rsid w:val="00697019"/>
    <w:rsid w:val="006A1413"/>
    <w:rsid w:val="006A3371"/>
    <w:rsid w:val="006A6388"/>
    <w:rsid w:val="006B03E6"/>
    <w:rsid w:val="006B5482"/>
    <w:rsid w:val="006B6558"/>
    <w:rsid w:val="006C1E94"/>
    <w:rsid w:val="006C51B4"/>
    <w:rsid w:val="006C5E7F"/>
    <w:rsid w:val="006D4DF3"/>
    <w:rsid w:val="006E2E77"/>
    <w:rsid w:val="006E4DCE"/>
    <w:rsid w:val="006E6118"/>
    <w:rsid w:val="006F0912"/>
    <w:rsid w:val="006F1652"/>
    <w:rsid w:val="006F1A27"/>
    <w:rsid w:val="006F1F2D"/>
    <w:rsid w:val="006F479D"/>
    <w:rsid w:val="006F47A9"/>
    <w:rsid w:val="0070274B"/>
    <w:rsid w:val="00713E48"/>
    <w:rsid w:val="007140AA"/>
    <w:rsid w:val="007158AE"/>
    <w:rsid w:val="00716ABD"/>
    <w:rsid w:val="00720FA5"/>
    <w:rsid w:val="0072148A"/>
    <w:rsid w:val="00721D70"/>
    <w:rsid w:val="00723BEB"/>
    <w:rsid w:val="007265E5"/>
    <w:rsid w:val="00726D62"/>
    <w:rsid w:val="00730996"/>
    <w:rsid w:val="0073323A"/>
    <w:rsid w:val="0073327A"/>
    <w:rsid w:val="007361B6"/>
    <w:rsid w:val="00736612"/>
    <w:rsid w:val="007377D1"/>
    <w:rsid w:val="00743D85"/>
    <w:rsid w:val="0074523A"/>
    <w:rsid w:val="007460A6"/>
    <w:rsid w:val="00750561"/>
    <w:rsid w:val="007539E9"/>
    <w:rsid w:val="007545ED"/>
    <w:rsid w:val="00770D27"/>
    <w:rsid w:val="00771286"/>
    <w:rsid w:val="00772D8C"/>
    <w:rsid w:val="007741D9"/>
    <w:rsid w:val="007768FC"/>
    <w:rsid w:val="007773BA"/>
    <w:rsid w:val="007821CD"/>
    <w:rsid w:val="00782F1D"/>
    <w:rsid w:val="00783BF5"/>
    <w:rsid w:val="00785A63"/>
    <w:rsid w:val="0078640F"/>
    <w:rsid w:val="00786857"/>
    <w:rsid w:val="007909E1"/>
    <w:rsid w:val="00790BE0"/>
    <w:rsid w:val="007918D1"/>
    <w:rsid w:val="0079204A"/>
    <w:rsid w:val="00792D0C"/>
    <w:rsid w:val="00793111"/>
    <w:rsid w:val="007A254B"/>
    <w:rsid w:val="007A30D8"/>
    <w:rsid w:val="007A3C9C"/>
    <w:rsid w:val="007A479B"/>
    <w:rsid w:val="007B2738"/>
    <w:rsid w:val="007B2B04"/>
    <w:rsid w:val="007B693E"/>
    <w:rsid w:val="007C04D7"/>
    <w:rsid w:val="007C1741"/>
    <w:rsid w:val="007C3A58"/>
    <w:rsid w:val="007C65EB"/>
    <w:rsid w:val="007C7349"/>
    <w:rsid w:val="007C7C3F"/>
    <w:rsid w:val="007C7DC2"/>
    <w:rsid w:val="007D09F6"/>
    <w:rsid w:val="007D146E"/>
    <w:rsid w:val="007D3015"/>
    <w:rsid w:val="007E2595"/>
    <w:rsid w:val="007E393C"/>
    <w:rsid w:val="007E4DF6"/>
    <w:rsid w:val="007E5143"/>
    <w:rsid w:val="007F656F"/>
    <w:rsid w:val="007F67BD"/>
    <w:rsid w:val="007F7723"/>
    <w:rsid w:val="007F7EDB"/>
    <w:rsid w:val="0080733A"/>
    <w:rsid w:val="00807CF9"/>
    <w:rsid w:val="00810788"/>
    <w:rsid w:val="00811929"/>
    <w:rsid w:val="00811D4A"/>
    <w:rsid w:val="008135A3"/>
    <w:rsid w:val="00815928"/>
    <w:rsid w:val="00815BD1"/>
    <w:rsid w:val="00815F6E"/>
    <w:rsid w:val="00817602"/>
    <w:rsid w:val="0082050B"/>
    <w:rsid w:val="00821631"/>
    <w:rsid w:val="00822867"/>
    <w:rsid w:val="0082749E"/>
    <w:rsid w:val="00830F6F"/>
    <w:rsid w:val="008314C6"/>
    <w:rsid w:val="0083318C"/>
    <w:rsid w:val="0083540E"/>
    <w:rsid w:val="0083698F"/>
    <w:rsid w:val="00836AD0"/>
    <w:rsid w:val="008377FA"/>
    <w:rsid w:val="008445C2"/>
    <w:rsid w:val="00846796"/>
    <w:rsid w:val="00847477"/>
    <w:rsid w:val="008507ED"/>
    <w:rsid w:val="00855C53"/>
    <w:rsid w:val="00856B13"/>
    <w:rsid w:val="00857CC3"/>
    <w:rsid w:val="00862903"/>
    <w:rsid w:val="00863C7F"/>
    <w:rsid w:val="00865FFC"/>
    <w:rsid w:val="0087054E"/>
    <w:rsid w:val="008707C4"/>
    <w:rsid w:val="00874133"/>
    <w:rsid w:val="00875B9F"/>
    <w:rsid w:val="00877439"/>
    <w:rsid w:val="0088113A"/>
    <w:rsid w:val="0088518E"/>
    <w:rsid w:val="00886407"/>
    <w:rsid w:val="008865A8"/>
    <w:rsid w:val="00892981"/>
    <w:rsid w:val="00893B66"/>
    <w:rsid w:val="00895F9D"/>
    <w:rsid w:val="00897DE9"/>
    <w:rsid w:val="00897E3E"/>
    <w:rsid w:val="008A002A"/>
    <w:rsid w:val="008A1A01"/>
    <w:rsid w:val="008A518E"/>
    <w:rsid w:val="008A6696"/>
    <w:rsid w:val="008B10E4"/>
    <w:rsid w:val="008B28AA"/>
    <w:rsid w:val="008B5BE4"/>
    <w:rsid w:val="008C0C57"/>
    <w:rsid w:val="008C3A82"/>
    <w:rsid w:val="008C3C26"/>
    <w:rsid w:val="008C3CAC"/>
    <w:rsid w:val="008C418E"/>
    <w:rsid w:val="008C68BE"/>
    <w:rsid w:val="008C7A9C"/>
    <w:rsid w:val="008D2F24"/>
    <w:rsid w:val="008D5B7C"/>
    <w:rsid w:val="008E39C0"/>
    <w:rsid w:val="008E4D54"/>
    <w:rsid w:val="008E5E69"/>
    <w:rsid w:val="008E6D70"/>
    <w:rsid w:val="008F076A"/>
    <w:rsid w:val="008F2282"/>
    <w:rsid w:val="008F5BE9"/>
    <w:rsid w:val="008F6524"/>
    <w:rsid w:val="00901B64"/>
    <w:rsid w:val="0090398D"/>
    <w:rsid w:val="00903B27"/>
    <w:rsid w:val="00905613"/>
    <w:rsid w:val="00906A33"/>
    <w:rsid w:val="0091227D"/>
    <w:rsid w:val="00914A51"/>
    <w:rsid w:val="009151B4"/>
    <w:rsid w:val="009164B0"/>
    <w:rsid w:val="00917E17"/>
    <w:rsid w:val="00920707"/>
    <w:rsid w:val="00924DC4"/>
    <w:rsid w:val="00930A2F"/>
    <w:rsid w:val="00930F56"/>
    <w:rsid w:val="009325DA"/>
    <w:rsid w:val="009337AA"/>
    <w:rsid w:val="00934379"/>
    <w:rsid w:val="00935940"/>
    <w:rsid w:val="0094031B"/>
    <w:rsid w:val="00942D22"/>
    <w:rsid w:val="009449DD"/>
    <w:rsid w:val="009464D9"/>
    <w:rsid w:val="00952BB7"/>
    <w:rsid w:val="009539B8"/>
    <w:rsid w:val="009545E0"/>
    <w:rsid w:val="00954821"/>
    <w:rsid w:val="009550C7"/>
    <w:rsid w:val="009565BA"/>
    <w:rsid w:val="009566B1"/>
    <w:rsid w:val="0096010A"/>
    <w:rsid w:val="00962261"/>
    <w:rsid w:val="009641CB"/>
    <w:rsid w:val="009660C6"/>
    <w:rsid w:val="00971025"/>
    <w:rsid w:val="00971686"/>
    <w:rsid w:val="00974152"/>
    <w:rsid w:val="009805C0"/>
    <w:rsid w:val="00984826"/>
    <w:rsid w:val="009867A9"/>
    <w:rsid w:val="00987574"/>
    <w:rsid w:val="009901F8"/>
    <w:rsid w:val="009941AC"/>
    <w:rsid w:val="009943B0"/>
    <w:rsid w:val="009A0A75"/>
    <w:rsid w:val="009A5722"/>
    <w:rsid w:val="009A7985"/>
    <w:rsid w:val="009B1136"/>
    <w:rsid w:val="009B19A8"/>
    <w:rsid w:val="009B3A75"/>
    <w:rsid w:val="009B3F88"/>
    <w:rsid w:val="009B7B70"/>
    <w:rsid w:val="009C1EB8"/>
    <w:rsid w:val="009C2573"/>
    <w:rsid w:val="009C7006"/>
    <w:rsid w:val="009C7A12"/>
    <w:rsid w:val="009D00CB"/>
    <w:rsid w:val="009D31FC"/>
    <w:rsid w:val="009D3D02"/>
    <w:rsid w:val="009D7308"/>
    <w:rsid w:val="009D77BE"/>
    <w:rsid w:val="009E111A"/>
    <w:rsid w:val="009E26D6"/>
    <w:rsid w:val="009E6E5B"/>
    <w:rsid w:val="009F00A0"/>
    <w:rsid w:val="009F3300"/>
    <w:rsid w:val="009F491D"/>
    <w:rsid w:val="009F49A7"/>
    <w:rsid w:val="009F7772"/>
    <w:rsid w:val="00A01AA8"/>
    <w:rsid w:val="00A02EED"/>
    <w:rsid w:val="00A0608A"/>
    <w:rsid w:val="00A07597"/>
    <w:rsid w:val="00A07E52"/>
    <w:rsid w:val="00A10469"/>
    <w:rsid w:val="00A104D9"/>
    <w:rsid w:val="00A11020"/>
    <w:rsid w:val="00A2286E"/>
    <w:rsid w:val="00A25D71"/>
    <w:rsid w:val="00A262E0"/>
    <w:rsid w:val="00A2631A"/>
    <w:rsid w:val="00A271F8"/>
    <w:rsid w:val="00A27E17"/>
    <w:rsid w:val="00A40A86"/>
    <w:rsid w:val="00A40DEA"/>
    <w:rsid w:val="00A44ABA"/>
    <w:rsid w:val="00A45EFD"/>
    <w:rsid w:val="00A45F8F"/>
    <w:rsid w:val="00A47AF7"/>
    <w:rsid w:val="00A5070A"/>
    <w:rsid w:val="00A50EF5"/>
    <w:rsid w:val="00A532ED"/>
    <w:rsid w:val="00A53674"/>
    <w:rsid w:val="00A536F9"/>
    <w:rsid w:val="00A549C1"/>
    <w:rsid w:val="00A5544C"/>
    <w:rsid w:val="00A55E04"/>
    <w:rsid w:val="00A6131F"/>
    <w:rsid w:val="00A62314"/>
    <w:rsid w:val="00A62C9D"/>
    <w:rsid w:val="00A63D44"/>
    <w:rsid w:val="00A719E8"/>
    <w:rsid w:val="00A72B5F"/>
    <w:rsid w:val="00A73E83"/>
    <w:rsid w:val="00A74776"/>
    <w:rsid w:val="00A76F92"/>
    <w:rsid w:val="00A8084E"/>
    <w:rsid w:val="00A81298"/>
    <w:rsid w:val="00A82828"/>
    <w:rsid w:val="00A84149"/>
    <w:rsid w:val="00A87264"/>
    <w:rsid w:val="00A8787F"/>
    <w:rsid w:val="00A90360"/>
    <w:rsid w:val="00A91980"/>
    <w:rsid w:val="00A91BFA"/>
    <w:rsid w:val="00A92623"/>
    <w:rsid w:val="00A92C1E"/>
    <w:rsid w:val="00A92F22"/>
    <w:rsid w:val="00A93DE8"/>
    <w:rsid w:val="00A951E0"/>
    <w:rsid w:val="00A96BF7"/>
    <w:rsid w:val="00AA2A89"/>
    <w:rsid w:val="00AA39CA"/>
    <w:rsid w:val="00AA5AFD"/>
    <w:rsid w:val="00AC1A02"/>
    <w:rsid w:val="00AC3934"/>
    <w:rsid w:val="00AC5595"/>
    <w:rsid w:val="00AC615D"/>
    <w:rsid w:val="00AC682E"/>
    <w:rsid w:val="00AC6F34"/>
    <w:rsid w:val="00AD0CEF"/>
    <w:rsid w:val="00AD2AE4"/>
    <w:rsid w:val="00AD3556"/>
    <w:rsid w:val="00AD5EF1"/>
    <w:rsid w:val="00AD6FC0"/>
    <w:rsid w:val="00AD79D2"/>
    <w:rsid w:val="00AD7B91"/>
    <w:rsid w:val="00AE0C9C"/>
    <w:rsid w:val="00AE2D54"/>
    <w:rsid w:val="00AE3727"/>
    <w:rsid w:val="00AE4F90"/>
    <w:rsid w:val="00AE7DE1"/>
    <w:rsid w:val="00B04F8B"/>
    <w:rsid w:val="00B05B0A"/>
    <w:rsid w:val="00B125DC"/>
    <w:rsid w:val="00B14CE5"/>
    <w:rsid w:val="00B16926"/>
    <w:rsid w:val="00B16F1E"/>
    <w:rsid w:val="00B16F90"/>
    <w:rsid w:val="00B17236"/>
    <w:rsid w:val="00B17555"/>
    <w:rsid w:val="00B17DC9"/>
    <w:rsid w:val="00B247D0"/>
    <w:rsid w:val="00B30F44"/>
    <w:rsid w:val="00B31581"/>
    <w:rsid w:val="00B322CA"/>
    <w:rsid w:val="00B363FB"/>
    <w:rsid w:val="00B36BE4"/>
    <w:rsid w:val="00B37999"/>
    <w:rsid w:val="00B41269"/>
    <w:rsid w:val="00B427D1"/>
    <w:rsid w:val="00B45DC5"/>
    <w:rsid w:val="00B475F9"/>
    <w:rsid w:val="00B4781A"/>
    <w:rsid w:val="00B50365"/>
    <w:rsid w:val="00B530D8"/>
    <w:rsid w:val="00B54BBD"/>
    <w:rsid w:val="00B55A77"/>
    <w:rsid w:val="00B63B7E"/>
    <w:rsid w:val="00B6445B"/>
    <w:rsid w:val="00B6510C"/>
    <w:rsid w:val="00B702B7"/>
    <w:rsid w:val="00B70E84"/>
    <w:rsid w:val="00B7498C"/>
    <w:rsid w:val="00B7542C"/>
    <w:rsid w:val="00B82198"/>
    <w:rsid w:val="00B8530C"/>
    <w:rsid w:val="00B870A6"/>
    <w:rsid w:val="00B96454"/>
    <w:rsid w:val="00BA55C5"/>
    <w:rsid w:val="00BA7BDB"/>
    <w:rsid w:val="00BB6244"/>
    <w:rsid w:val="00BC0F3F"/>
    <w:rsid w:val="00BC1ECB"/>
    <w:rsid w:val="00BC23EF"/>
    <w:rsid w:val="00BD2955"/>
    <w:rsid w:val="00BD3B38"/>
    <w:rsid w:val="00BD5D4F"/>
    <w:rsid w:val="00BD6AD3"/>
    <w:rsid w:val="00BD75F2"/>
    <w:rsid w:val="00BE1FF0"/>
    <w:rsid w:val="00BE2B85"/>
    <w:rsid w:val="00BE4CD1"/>
    <w:rsid w:val="00BE610C"/>
    <w:rsid w:val="00BF29F4"/>
    <w:rsid w:val="00BF3185"/>
    <w:rsid w:val="00BF523A"/>
    <w:rsid w:val="00BF7782"/>
    <w:rsid w:val="00C00934"/>
    <w:rsid w:val="00C03772"/>
    <w:rsid w:val="00C046CE"/>
    <w:rsid w:val="00C05B16"/>
    <w:rsid w:val="00C0667D"/>
    <w:rsid w:val="00C06F72"/>
    <w:rsid w:val="00C07587"/>
    <w:rsid w:val="00C11111"/>
    <w:rsid w:val="00C12C76"/>
    <w:rsid w:val="00C13000"/>
    <w:rsid w:val="00C15AFF"/>
    <w:rsid w:val="00C16683"/>
    <w:rsid w:val="00C17748"/>
    <w:rsid w:val="00C3029D"/>
    <w:rsid w:val="00C30DBF"/>
    <w:rsid w:val="00C30EA8"/>
    <w:rsid w:val="00C363F1"/>
    <w:rsid w:val="00C4201D"/>
    <w:rsid w:val="00C422B4"/>
    <w:rsid w:val="00C42EB1"/>
    <w:rsid w:val="00C443A9"/>
    <w:rsid w:val="00C456A1"/>
    <w:rsid w:val="00C51F80"/>
    <w:rsid w:val="00C53CEE"/>
    <w:rsid w:val="00C54895"/>
    <w:rsid w:val="00C57ECB"/>
    <w:rsid w:val="00C6170C"/>
    <w:rsid w:val="00C63751"/>
    <w:rsid w:val="00C6779F"/>
    <w:rsid w:val="00C729DE"/>
    <w:rsid w:val="00C73F70"/>
    <w:rsid w:val="00C77E16"/>
    <w:rsid w:val="00C82E28"/>
    <w:rsid w:val="00C8334F"/>
    <w:rsid w:val="00C83DB4"/>
    <w:rsid w:val="00C90ED9"/>
    <w:rsid w:val="00C91E5B"/>
    <w:rsid w:val="00C91FDF"/>
    <w:rsid w:val="00CA0656"/>
    <w:rsid w:val="00CA12DF"/>
    <w:rsid w:val="00CA14CB"/>
    <w:rsid w:val="00CA2567"/>
    <w:rsid w:val="00CA3C46"/>
    <w:rsid w:val="00CA477A"/>
    <w:rsid w:val="00CA50A0"/>
    <w:rsid w:val="00CA703D"/>
    <w:rsid w:val="00CB202C"/>
    <w:rsid w:val="00CB67C0"/>
    <w:rsid w:val="00CB7563"/>
    <w:rsid w:val="00CC34B1"/>
    <w:rsid w:val="00CC4435"/>
    <w:rsid w:val="00CC7069"/>
    <w:rsid w:val="00CC7DF1"/>
    <w:rsid w:val="00CD029E"/>
    <w:rsid w:val="00CD2889"/>
    <w:rsid w:val="00CD321E"/>
    <w:rsid w:val="00CD4E8E"/>
    <w:rsid w:val="00CD5EBD"/>
    <w:rsid w:val="00CD6197"/>
    <w:rsid w:val="00CE23E9"/>
    <w:rsid w:val="00CE32CC"/>
    <w:rsid w:val="00CE50C2"/>
    <w:rsid w:val="00CE79DE"/>
    <w:rsid w:val="00CF139A"/>
    <w:rsid w:val="00CF4F08"/>
    <w:rsid w:val="00CF60EC"/>
    <w:rsid w:val="00D007E7"/>
    <w:rsid w:val="00D01ED0"/>
    <w:rsid w:val="00D03058"/>
    <w:rsid w:val="00D044D3"/>
    <w:rsid w:val="00D05EC7"/>
    <w:rsid w:val="00D07CC9"/>
    <w:rsid w:val="00D11A77"/>
    <w:rsid w:val="00D11EB8"/>
    <w:rsid w:val="00D124E3"/>
    <w:rsid w:val="00D1653C"/>
    <w:rsid w:val="00D26EEE"/>
    <w:rsid w:val="00D279C3"/>
    <w:rsid w:val="00D27DF4"/>
    <w:rsid w:val="00D31E1C"/>
    <w:rsid w:val="00D335B8"/>
    <w:rsid w:val="00D357EC"/>
    <w:rsid w:val="00D437FE"/>
    <w:rsid w:val="00D45BB2"/>
    <w:rsid w:val="00D464C2"/>
    <w:rsid w:val="00D47C77"/>
    <w:rsid w:val="00D604A4"/>
    <w:rsid w:val="00D61924"/>
    <w:rsid w:val="00D6393E"/>
    <w:rsid w:val="00D64EFD"/>
    <w:rsid w:val="00D70747"/>
    <w:rsid w:val="00D76FEC"/>
    <w:rsid w:val="00D814E9"/>
    <w:rsid w:val="00D83ED6"/>
    <w:rsid w:val="00D8422D"/>
    <w:rsid w:val="00D84FBD"/>
    <w:rsid w:val="00D85E70"/>
    <w:rsid w:val="00D8633B"/>
    <w:rsid w:val="00D87211"/>
    <w:rsid w:val="00D87D70"/>
    <w:rsid w:val="00D87FD1"/>
    <w:rsid w:val="00D93AC2"/>
    <w:rsid w:val="00D95AE9"/>
    <w:rsid w:val="00D97D0F"/>
    <w:rsid w:val="00D97D2D"/>
    <w:rsid w:val="00DA169D"/>
    <w:rsid w:val="00DA32B5"/>
    <w:rsid w:val="00DA4297"/>
    <w:rsid w:val="00DA4640"/>
    <w:rsid w:val="00DA62F4"/>
    <w:rsid w:val="00DB4BB2"/>
    <w:rsid w:val="00DB5A3F"/>
    <w:rsid w:val="00DB68FB"/>
    <w:rsid w:val="00DB6FAF"/>
    <w:rsid w:val="00DC1430"/>
    <w:rsid w:val="00DC718E"/>
    <w:rsid w:val="00DD053B"/>
    <w:rsid w:val="00DD4D96"/>
    <w:rsid w:val="00DD7493"/>
    <w:rsid w:val="00DD7DD1"/>
    <w:rsid w:val="00DD7E90"/>
    <w:rsid w:val="00DE1C1E"/>
    <w:rsid w:val="00DE2E13"/>
    <w:rsid w:val="00DE3ED9"/>
    <w:rsid w:val="00DE4D5F"/>
    <w:rsid w:val="00DF2ED8"/>
    <w:rsid w:val="00DF4B19"/>
    <w:rsid w:val="00DF644C"/>
    <w:rsid w:val="00E0046A"/>
    <w:rsid w:val="00E014B0"/>
    <w:rsid w:val="00E03194"/>
    <w:rsid w:val="00E04438"/>
    <w:rsid w:val="00E06130"/>
    <w:rsid w:val="00E10C2C"/>
    <w:rsid w:val="00E10D4C"/>
    <w:rsid w:val="00E1331E"/>
    <w:rsid w:val="00E13BB1"/>
    <w:rsid w:val="00E14191"/>
    <w:rsid w:val="00E157A2"/>
    <w:rsid w:val="00E1735D"/>
    <w:rsid w:val="00E20293"/>
    <w:rsid w:val="00E209A4"/>
    <w:rsid w:val="00E22E37"/>
    <w:rsid w:val="00E24A02"/>
    <w:rsid w:val="00E258E0"/>
    <w:rsid w:val="00E2616E"/>
    <w:rsid w:val="00E2764B"/>
    <w:rsid w:val="00E276F0"/>
    <w:rsid w:val="00E27F67"/>
    <w:rsid w:val="00E313B8"/>
    <w:rsid w:val="00E32676"/>
    <w:rsid w:val="00E341A9"/>
    <w:rsid w:val="00E354C9"/>
    <w:rsid w:val="00E36A57"/>
    <w:rsid w:val="00E40C58"/>
    <w:rsid w:val="00E4244A"/>
    <w:rsid w:val="00E43E4D"/>
    <w:rsid w:val="00E44271"/>
    <w:rsid w:val="00E44D78"/>
    <w:rsid w:val="00E47646"/>
    <w:rsid w:val="00E47C66"/>
    <w:rsid w:val="00E5793D"/>
    <w:rsid w:val="00E57EC2"/>
    <w:rsid w:val="00E60B01"/>
    <w:rsid w:val="00E671F9"/>
    <w:rsid w:val="00E700CC"/>
    <w:rsid w:val="00E714EC"/>
    <w:rsid w:val="00E77300"/>
    <w:rsid w:val="00E80659"/>
    <w:rsid w:val="00E81887"/>
    <w:rsid w:val="00E82054"/>
    <w:rsid w:val="00E84831"/>
    <w:rsid w:val="00E870BA"/>
    <w:rsid w:val="00E90A44"/>
    <w:rsid w:val="00E9661C"/>
    <w:rsid w:val="00EA04D3"/>
    <w:rsid w:val="00EA26C4"/>
    <w:rsid w:val="00EB4B68"/>
    <w:rsid w:val="00EB7E10"/>
    <w:rsid w:val="00EC05CA"/>
    <w:rsid w:val="00EC2BDA"/>
    <w:rsid w:val="00EC352F"/>
    <w:rsid w:val="00EC4D2B"/>
    <w:rsid w:val="00EC583E"/>
    <w:rsid w:val="00EC6B5F"/>
    <w:rsid w:val="00ED0F62"/>
    <w:rsid w:val="00ED151D"/>
    <w:rsid w:val="00ED5CEF"/>
    <w:rsid w:val="00EE077B"/>
    <w:rsid w:val="00EE11F4"/>
    <w:rsid w:val="00EE2CF8"/>
    <w:rsid w:val="00EE479F"/>
    <w:rsid w:val="00EE6A15"/>
    <w:rsid w:val="00EE7B55"/>
    <w:rsid w:val="00EF2979"/>
    <w:rsid w:val="00EF40C9"/>
    <w:rsid w:val="00EF6984"/>
    <w:rsid w:val="00EF7186"/>
    <w:rsid w:val="00EF71FC"/>
    <w:rsid w:val="00F0189E"/>
    <w:rsid w:val="00F020EB"/>
    <w:rsid w:val="00F0261B"/>
    <w:rsid w:val="00F04290"/>
    <w:rsid w:val="00F046F4"/>
    <w:rsid w:val="00F05EB3"/>
    <w:rsid w:val="00F06F48"/>
    <w:rsid w:val="00F14D61"/>
    <w:rsid w:val="00F15DC5"/>
    <w:rsid w:val="00F1692B"/>
    <w:rsid w:val="00F20C63"/>
    <w:rsid w:val="00F2105B"/>
    <w:rsid w:val="00F21F94"/>
    <w:rsid w:val="00F23A0C"/>
    <w:rsid w:val="00F23DBF"/>
    <w:rsid w:val="00F25EAA"/>
    <w:rsid w:val="00F26715"/>
    <w:rsid w:val="00F3160C"/>
    <w:rsid w:val="00F35BC1"/>
    <w:rsid w:val="00F3610D"/>
    <w:rsid w:val="00F36252"/>
    <w:rsid w:val="00F37702"/>
    <w:rsid w:val="00F37A1E"/>
    <w:rsid w:val="00F411E9"/>
    <w:rsid w:val="00F42B64"/>
    <w:rsid w:val="00F446B7"/>
    <w:rsid w:val="00F44FE8"/>
    <w:rsid w:val="00F46359"/>
    <w:rsid w:val="00F469D1"/>
    <w:rsid w:val="00F46ADD"/>
    <w:rsid w:val="00F47DC5"/>
    <w:rsid w:val="00F5162B"/>
    <w:rsid w:val="00F5177F"/>
    <w:rsid w:val="00F5617E"/>
    <w:rsid w:val="00F56C43"/>
    <w:rsid w:val="00F70354"/>
    <w:rsid w:val="00F71032"/>
    <w:rsid w:val="00F724C0"/>
    <w:rsid w:val="00F74288"/>
    <w:rsid w:val="00F742E0"/>
    <w:rsid w:val="00F809DE"/>
    <w:rsid w:val="00F819B9"/>
    <w:rsid w:val="00F82C37"/>
    <w:rsid w:val="00F8313B"/>
    <w:rsid w:val="00F83AFA"/>
    <w:rsid w:val="00F943D1"/>
    <w:rsid w:val="00F96FE2"/>
    <w:rsid w:val="00FA06FD"/>
    <w:rsid w:val="00FA0E9A"/>
    <w:rsid w:val="00FA1160"/>
    <w:rsid w:val="00FA274D"/>
    <w:rsid w:val="00FA3755"/>
    <w:rsid w:val="00FA38A2"/>
    <w:rsid w:val="00FA3D76"/>
    <w:rsid w:val="00FA46A5"/>
    <w:rsid w:val="00FA5F0F"/>
    <w:rsid w:val="00FA660D"/>
    <w:rsid w:val="00FB16DD"/>
    <w:rsid w:val="00FB1E85"/>
    <w:rsid w:val="00FB2F69"/>
    <w:rsid w:val="00FB53B5"/>
    <w:rsid w:val="00FB7C68"/>
    <w:rsid w:val="00FC09C2"/>
    <w:rsid w:val="00FC12D6"/>
    <w:rsid w:val="00FC4C86"/>
    <w:rsid w:val="00FC696A"/>
    <w:rsid w:val="00FC7F83"/>
    <w:rsid w:val="00FD19E4"/>
    <w:rsid w:val="00FD50B5"/>
    <w:rsid w:val="00FD577D"/>
    <w:rsid w:val="00FD631F"/>
    <w:rsid w:val="00FE0A5B"/>
    <w:rsid w:val="00FE27D5"/>
    <w:rsid w:val="00FE2AA1"/>
    <w:rsid w:val="00FE32FB"/>
    <w:rsid w:val="00FE45E0"/>
    <w:rsid w:val="00FF311C"/>
    <w:rsid w:val="00FF3A81"/>
    <w:rsid w:val="00FF5448"/>
    <w:rsid w:val="00FF5650"/>
    <w:rsid w:val="00FF5D37"/>
    <w:rsid w:val="00FF65A7"/>
    <w:rsid w:val="00FF6844"/>
    <w:rsid w:val="12C7247D"/>
    <w:rsid w:val="17D30E40"/>
    <w:rsid w:val="30E342CA"/>
    <w:rsid w:val="38032433"/>
    <w:rsid w:val="450D6DB1"/>
    <w:rsid w:val="4DAD1CF2"/>
    <w:rsid w:val="508F79EE"/>
    <w:rsid w:val="52484115"/>
    <w:rsid w:val="706A2C51"/>
    <w:rsid w:val="76BB279C"/>
    <w:rsid w:val="7ACB37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iPriority="0" w:name="index 1"/>
    <w:lsdException w:qFormat="1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iPriority="0" w:name="toc 1"/>
    <w:lsdException w:qFormat="1" w:uiPriority="0" w:name="toc 2"/>
    <w:lsdException w:qFormat="1" w:uiPriority="0" w:name="toc 3"/>
    <w:lsdException w:qFormat="1" w:uiPriority="0" w:name="toc 4"/>
    <w:lsdException w:qFormat="1" w:uiPriority="0" w:name="toc 5"/>
    <w:lsdException w:qFormat="1" w:uiPriority="0" w:name="toc 6"/>
    <w:lsdException w:qFormat="1" w:uiPriority="0" w:name="toc 7"/>
    <w:lsdException w:qFormat="1" w:uiPriority="0" w:name="toc 8"/>
    <w:lsdException w:qFormat="1" w:uiPriority="0" w:name="toc 9"/>
    <w:lsdException w:qFormat="1"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name="endnote text"/>
    <w:lsdException w:qFormat="1" w:unhideWhenUsed="0" w:uiPriority="0" w:semiHidden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iPriority="0" w:name="List Number"/>
    <w:lsdException w:qFormat="1" w:uiPriority="0" w:name="List 2"/>
    <w:lsdException w:qFormat="1" w:uiPriority="0" w:name="List 3"/>
    <w:lsdException w:qFormat="1" w:uiPriority="0" w:name="List 4"/>
    <w:lsdException w:qFormat="1" w:uiPriority="0" w:name="List 5"/>
    <w:lsdException w:qFormat="1" w:uiPriority="0" w:name="List Bullet 2"/>
    <w:lsdException w:qFormat="1" w:uiPriority="0" w:name="List Bullet 3"/>
    <w:lsdException w:qFormat="1" w:uiPriority="0" w:name="List Bullet 4"/>
    <w:lsdException w:qFormat="1" w:uiPriority="0" w:name="List Bullet 5"/>
    <w:lsdException w:qFormat="1" w:uiPriority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iPriority="0" w:name="Message Header"/>
    <w:lsdException w:qFormat="1" w:unhideWhenUsed="0" w:uiPriority="0" w:semiHidden="0" w:name="Subtitle"/>
    <w:lsdException w:qFormat="1" w:uiPriority="0" w:name="Salutation"/>
    <w:lsdException w:qFormat="1" w:uiPriority="0" w:name="Date"/>
    <w:lsdException w:qFormat="1" w:uiPriority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8"/>
    <w:qFormat/>
    <w:uiPriority w:val="0"/>
    <w:pPr>
      <w:keepNext/>
      <w:keepLines/>
      <w:numPr>
        <w:ilvl w:val="0"/>
        <w:numId w:val="1"/>
      </w:numPr>
      <w:spacing w:beforeLines="100" w:afterLines="100"/>
      <w:outlineLvl w:val="0"/>
    </w:pPr>
    <w:rPr>
      <w:rFonts w:ascii="宋体" w:eastAsia="黑体"/>
      <w:bCs/>
      <w:kern w:val="44"/>
      <w:sz w:val="24"/>
      <w:szCs w:val="44"/>
    </w:rPr>
  </w:style>
  <w:style w:type="paragraph" w:styleId="4">
    <w:name w:val="heading 2"/>
    <w:basedOn w:val="1"/>
    <w:next w:val="1"/>
    <w:link w:val="97"/>
    <w:qFormat/>
    <w:uiPriority w:val="0"/>
    <w:pPr>
      <w:keepNext/>
      <w:keepLines/>
      <w:numPr>
        <w:ilvl w:val="1"/>
        <w:numId w:val="1"/>
      </w:numPr>
      <w:spacing w:beforeLines="50" w:afterLines="50"/>
      <w:ind w:left="0"/>
      <w:outlineLvl w:val="1"/>
    </w:pPr>
    <w:rPr>
      <w:rFonts w:ascii="黑体" w:hAnsi="Arial" w:eastAsiaTheme="minorEastAsia"/>
      <w:bCs/>
      <w:sz w:val="24"/>
      <w:szCs w:val="32"/>
    </w:rPr>
  </w:style>
  <w:style w:type="paragraph" w:styleId="5">
    <w:name w:val="heading 3"/>
    <w:basedOn w:val="1"/>
    <w:next w:val="1"/>
    <w:link w:val="99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08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10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10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9">
    <w:name w:val="heading 7"/>
    <w:basedOn w:val="1"/>
    <w:next w:val="1"/>
    <w:link w:val="11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112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11">
    <w:name w:val="heading 9"/>
    <w:basedOn w:val="1"/>
    <w:next w:val="1"/>
    <w:link w:val="113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8"/>
    <w:semiHidden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semiHidden/>
    <w:unhideWhenUsed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semiHidden/>
    <w:unhideWhenUsed/>
    <w:qFormat/>
    <w:uiPriority w:val="0"/>
    <w:pPr>
      <w:ind w:left="2520" w:leftChars="1200"/>
    </w:pPr>
  </w:style>
  <w:style w:type="paragraph" w:styleId="14">
    <w:name w:val="List Number 2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40"/>
    <w:semiHidden/>
    <w:unhideWhenUsed/>
    <w:qFormat/>
    <w:uiPriority w:val="0"/>
    <w:pPr>
      <w:jc w:val="center"/>
    </w:pPr>
  </w:style>
  <w:style w:type="paragraph" w:styleId="17">
    <w:name w:val="List Bullet 4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18">
    <w:name w:val="index 8"/>
    <w:basedOn w:val="1"/>
    <w:next w:val="1"/>
    <w:semiHidden/>
    <w:unhideWhenUsed/>
    <w:qFormat/>
    <w:uiPriority w:val="0"/>
    <w:pPr>
      <w:ind w:left="1400" w:leftChars="1400"/>
    </w:pPr>
  </w:style>
  <w:style w:type="paragraph" w:styleId="19">
    <w:name w:val="E-mail Signature"/>
    <w:basedOn w:val="1"/>
    <w:link w:val="116"/>
    <w:semiHidden/>
    <w:unhideWhenUsed/>
    <w:qFormat/>
    <w:uiPriority w:val="0"/>
  </w:style>
  <w:style w:type="paragraph" w:styleId="20">
    <w:name w:val="List Number"/>
    <w:basedOn w:val="1"/>
    <w:semiHidden/>
    <w:unhideWhenUsed/>
    <w:qFormat/>
    <w:uiPriority w:val="0"/>
    <w:pPr>
      <w:numPr>
        <w:ilvl w:val="0"/>
        <w:numId w:val="4"/>
      </w:numPr>
      <w:contextualSpacing/>
    </w:pPr>
  </w:style>
  <w:style w:type="paragraph" w:styleId="21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22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23">
    <w:name w:val="index 5"/>
    <w:basedOn w:val="1"/>
    <w:next w:val="1"/>
    <w:semiHidden/>
    <w:unhideWhenUsed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5"/>
      </w:numPr>
      <w:contextualSpacing/>
    </w:pPr>
  </w:style>
  <w:style w:type="paragraph" w:styleId="25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Theme="majorHAnsi" w:hAnsiTheme="majorHAnsi" w:eastAsiaTheme="majorEastAsia" w:cstheme="majorBidi"/>
      <w:sz w:val="24"/>
    </w:rPr>
  </w:style>
  <w:style w:type="paragraph" w:styleId="26">
    <w:name w:val="Document Map"/>
    <w:basedOn w:val="1"/>
    <w:link w:val="127"/>
    <w:semiHidden/>
    <w:unhideWhenUsed/>
    <w:qFormat/>
    <w:uiPriority w:val="0"/>
    <w:rPr>
      <w:rFonts w:ascii="Microsoft YaHei UI" w:eastAsia="Microsoft YaHei UI"/>
      <w:sz w:val="18"/>
      <w:szCs w:val="18"/>
    </w:rPr>
  </w:style>
  <w:style w:type="paragraph" w:styleId="27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sz w:val="24"/>
    </w:rPr>
  </w:style>
  <w:style w:type="paragraph" w:styleId="28">
    <w:name w:val="annotation text"/>
    <w:basedOn w:val="1"/>
    <w:link w:val="102"/>
    <w:qFormat/>
    <w:uiPriority w:val="0"/>
    <w:pPr>
      <w:jc w:val="left"/>
    </w:pPr>
  </w:style>
  <w:style w:type="paragraph" w:styleId="29">
    <w:name w:val="index 6"/>
    <w:basedOn w:val="1"/>
    <w:next w:val="1"/>
    <w:semiHidden/>
    <w:unhideWhenUsed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14"/>
    <w:semiHidden/>
    <w:unhideWhenUsed/>
    <w:qFormat/>
    <w:uiPriority w:val="0"/>
  </w:style>
  <w:style w:type="paragraph" w:styleId="31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20"/>
    <w:semiHidden/>
    <w:unhideWhenUsed/>
    <w:qFormat/>
    <w:uiPriority w:val="0"/>
    <w:pPr>
      <w:ind w:left="100" w:leftChars="2100"/>
    </w:pPr>
  </w:style>
  <w:style w:type="paragraph" w:styleId="33">
    <w:name w:val="List Bullet 3"/>
    <w:basedOn w:val="1"/>
    <w:semiHidden/>
    <w:unhideWhenUsed/>
    <w:qFormat/>
    <w:uiPriority w:val="0"/>
    <w:pPr>
      <w:numPr>
        <w:ilvl w:val="0"/>
        <w:numId w:val="6"/>
      </w:numPr>
      <w:contextualSpacing/>
    </w:pPr>
  </w:style>
  <w:style w:type="paragraph" w:styleId="3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35">
    <w:name w:val="Body Text Indent"/>
    <w:basedOn w:val="1"/>
    <w:link w:val="136"/>
    <w:semiHidden/>
    <w:unhideWhenUsed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semiHidden/>
    <w:unhideWhenUsed/>
    <w:qFormat/>
    <w:uiPriority w:val="0"/>
    <w:pPr>
      <w:numPr>
        <w:ilvl w:val="0"/>
        <w:numId w:val="7"/>
      </w:numPr>
      <w:contextualSpacing/>
    </w:pPr>
  </w:style>
  <w:style w:type="paragraph" w:styleId="37">
    <w:name w:val="List 2"/>
    <w:basedOn w:val="1"/>
    <w:semiHidden/>
    <w:unhideWhenUsed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semiHidden/>
    <w:unhideWhenUsed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semiHidden/>
    <w:unhideWhenUsed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semiHidden/>
    <w:unhideWhenUsed/>
    <w:qFormat/>
    <w:uiPriority w:val="0"/>
    <w:pPr>
      <w:numPr>
        <w:ilvl w:val="0"/>
        <w:numId w:val="8"/>
      </w:numPr>
      <w:contextualSpacing/>
    </w:pPr>
  </w:style>
  <w:style w:type="paragraph" w:styleId="41">
    <w:name w:val="HTML Address"/>
    <w:basedOn w:val="1"/>
    <w:link w:val="104"/>
    <w:semiHidden/>
    <w:unhideWhenUsed/>
    <w:qFormat/>
    <w:uiPriority w:val="0"/>
    <w:rPr>
      <w:i/>
      <w:iCs/>
    </w:rPr>
  </w:style>
  <w:style w:type="paragraph" w:styleId="42">
    <w:name w:val="index 4"/>
    <w:basedOn w:val="1"/>
    <w:next w:val="1"/>
    <w:semiHidden/>
    <w:unhideWhenUsed/>
    <w:qFormat/>
    <w:uiPriority w:val="0"/>
    <w:pPr>
      <w:ind w:left="600" w:leftChars="600"/>
    </w:pPr>
  </w:style>
  <w:style w:type="paragraph" w:styleId="43">
    <w:name w:val="toc 5"/>
    <w:basedOn w:val="1"/>
    <w:next w:val="1"/>
    <w:semiHidden/>
    <w:unhideWhenUsed/>
    <w:qFormat/>
    <w:uiPriority w:val="0"/>
    <w:pPr>
      <w:ind w:left="1680" w:leftChars="800"/>
    </w:pPr>
  </w:style>
  <w:style w:type="paragraph" w:styleId="44">
    <w:name w:val="toc 3"/>
    <w:basedOn w:val="1"/>
    <w:next w:val="1"/>
    <w:semiHidden/>
    <w:unhideWhenUsed/>
    <w:qFormat/>
    <w:uiPriority w:val="0"/>
    <w:pPr>
      <w:ind w:left="840" w:leftChars="400"/>
    </w:pPr>
  </w:style>
  <w:style w:type="paragraph" w:styleId="45">
    <w:name w:val="Plain Text"/>
    <w:basedOn w:val="1"/>
    <w:link w:val="115"/>
    <w:semiHidden/>
    <w:unhideWhenUsed/>
    <w:qFormat/>
    <w:uiPriority w:val="0"/>
    <w:rPr>
      <w:rFonts w:hAnsi="Courier New" w:cs="Courier New" w:asciiTheme="minorEastAsia" w:eastAsiaTheme="minorEastAsia"/>
    </w:rPr>
  </w:style>
  <w:style w:type="paragraph" w:styleId="46">
    <w:name w:val="List Bullet 5"/>
    <w:basedOn w:val="1"/>
    <w:semiHidden/>
    <w:unhideWhenUsed/>
    <w:qFormat/>
    <w:uiPriority w:val="0"/>
    <w:pPr>
      <w:numPr>
        <w:ilvl w:val="0"/>
        <w:numId w:val="9"/>
      </w:numPr>
      <w:contextualSpacing/>
    </w:pPr>
  </w:style>
  <w:style w:type="paragraph" w:styleId="47">
    <w:name w:val="List Number 4"/>
    <w:basedOn w:val="1"/>
    <w:semiHidden/>
    <w:unhideWhenUsed/>
    <w:qFormat/>
    <w:uiPriority w:val="0"/>
    <w:pPr>
      <w:numPr>
        <w:ilvl w:val="0"/>
        <w:numId w:val="10"/>
      </w:numPr>
      <w:contextualSpacing/>
    </w:pPr>
  </w:style>
  <w:style w:type="paragraph" w:styleId="48">
    <w:name w:val="toc 8"/>
    <w:basedOn w:val="1"/>
    <w:next w:val="1"/>
    <w:semiHidden/>
    <w:unhideWhenUsed/>
    <w:qFormat/>
    <w:uiPriority w:val="0"/>
    <w:pPr>
      <w:ind w:left="2940" w:leftChars="1400"/>
    </w:pPr>
  </w:style>
  <w:style w:type="paragraph" w:styleId="49">
    <w:name w:val="index 3"/>
    <w:basedOn w:val="1"/>
    <w:next w:val="1"/>
    <w:semiHidden/>
    <w:unhideWhenUsed/>
    <w:qFormat/>
    <w:uiPriority w:val="0"/>
    <w:pPr>
      <w:ind w:left="400" w:leftChars="400"/>
    </w:pPr>
  </w:style>
  <w:style w:type="paragraph" w:styleId="50">
    <w:name w:val="Date"/>
    <w:basedOn w:val="1"/>
    <w:next w:val="1"/>
    <w:link w:val="124"/>
    <w:semiHidden/>
    <w:unhideWhenUsed/>
    <w:qFormat/>
    <w:uiPriority w:val="0"/>
    <w:pPr>
      <w:ind w:left="100" w:leftChars="2500"/>
    </w:pPr>
  </w:style>
  <w:style w:type="paragraph" w:styleId="51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26"/>
    <w:semiHidden/>
    <w:unhideWhenUsed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link w:val="95"/>
    <w:qFormat/>
    <w:uiPriority w:val="0"/>
    <w:rPr>
      <w:sz w:val="18"/>
      <w:szCs w:val="18"/>
    </w:rPr>
  </w:style>
  <w:style w:type="paragraph" w:styleId="5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semiHidden/>
    <w:unhideWhenUsed/>
    <w:qFormat/>
    <w:uiPriority w:val="0"/>
    <w:pPr>
      <w:snapToGrid w:val="0"/>
    </w:pPr>
    <w:rPr>
      <w:rFonts w:asciiTheme="majorHAnsi" w:hAnsiTheme="majorHAnsi" w:eastAsiaTheme="majorEastAsia" w:cstheme="majorBidi"/>
    </w:rPr>
  </w:style>
  <w:style w:type="paragraph" w:styleId="5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23"/>
    <w:semiHidden/>
    <w:unhideWhenUsed/>
    <w:qFormat/>
    <w:uiPriority w:val="0"/>
    <w:pPr>
      <w:ind w:left="100" w:leftChars="2100"/>
    </w:pPr>
  </w:style>
  <w:style w:type="paragraph" w:styleId="59">
    <w:name w:val="toc 1"/>
    <w:basedOn w:val="1"/>
    <w:next w:val="1"/>
    <w:semiHidden/>
    <w:unhideWhenUsed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semiHidden/>
    <w:unhideWhenUsed/>
    <w:qFormat/>
    <w:uiPriority w:val="0"/>
    <w:pPr>
      <w:ind w:left="1260" w:leftChars="600"/>
    </w:pPr>
  </w:style>
  <w:style w:type="paragraph" w:styleId="62">
    <w:name w:val="index heading"/>
    <w:basedOn w:val="1"/>
    <w:next w:val="63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semiHidden/>
    <w:unhideWhenUsed/>
    <w:qFormat/>
    <w:uiPriority w:val="0"/>
  </w:style>
  <w:style w:type="paragraph" w:styleId="64">
    <w:name w:val="Subtitle"/>
    <w:basedOn w:val="1"/>
    <w:next w:val="1"/>
    <w:link w:val="117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65">
    <w:name w:val="List Number 5"/>
    <w:basedOn w:val="1"/>
    <w:semiHidden/>
    <w:unhideWhenUsed/>
    <w:qFormat/>
    <w:uiPriority w:val="0"/>
    <w:pPr>
      <w:numPr>
        <w:ilvl w:val="0"/>
        <w:numId w:val="11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19"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semiHidden/>
    <w:unhideWhenUsed/>
    <w:qFormat/>
    <w:uiPriority w:val="0"/>
    <w:pPr>
      <w:ind w:left="2100" w:leftChars="1000"/>
    </w:pPr>
  </w:style>
  <w:style w:type="paragraph" w:styleId="69">
    <w:name w:val="List 5"/>
    <w:basedOn w:val="1"/>
    <w:semiHidden/>
    <w:unhideWhenUsed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39"/>
    <w:semiHidden/>
    <w:unhideWhenUsed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1">
    <w:name w:val="index 7"/>
    <w:basedOn w:val="1"/>
    <w:next w:val="1"/>
    <w:semiHidden/>
    <w:unhideWhenUsed/>
    <w:qFormat/>
    <w:uiPriority w:val="0"/>
    <w:pPr>
      <w:ind w:left="1200" w:leftChars="1200"/>
    </w:pPr>
  </w:style>
  <w:style w:type="paragraph" w:styleId="72">
    <w:name w:val="index 9"/>
    <w:basedOn w:val="1"/>
    <w:next w:val="1"/>
    <w:semiHidden/>
    <w:unhideWhenUsed/>
    <w:qFormat/>
    <w:uiPriority w:val="0"/>
    <w:pPr>
      <w:ind w:left="1600" w:leftChars="1600"/>
    </w:pPr>
  </w:style>
  <w:style w:type="paragraph" w:styleId="73">
    <w:name w:val="table of figures"/>
    <w:basedOn w:val="1"/>
    <w:next w:val="1"/>
    <w:semiHidden/>
    <w:unhideWhenUsed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semiHidden/>
    <w:unhideWhenUsed/>
    <w:qFormat/>
    <w:uiPriority w:val="0"/>
    <w:pPr>
      <w:ind w:left="420" w:leftChars="200"/>
    </w:pPr>
  </w:style>
  <w:style w:type="paragraph" w:styleId="75">
    <w:name w:val="toc 9"/>
    <w:basedOn w:val="1"/>
    <w:next w:val="1"/>
    <w:semiHidden/>
    <w:unhideWhenUsed/>
    <w:qFormat/>
    <w:uiPriority w:val="0"/>
    <w:pPr>
      <w:ind w:left="3360" w:leftChars="1600"/>
    </w:pPr>
  </w:style>
  <w:style w:type="paragraph" w:styleId="76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7">
    <w:name w:val="List 4"/>
    <w:basedOn w:val="1"/>
    <w:semiHidden/>
    <w:unhideWhenUsed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sz w:val="24"/>
    </w:rPr>
  </w:style>
  <w:style w:type="paragraph" w:styleId="80">
    <w:name w:val="HTML Preformatted"/>
    <w:basedOn w:val="1"/>
    <w:link w:val="105"/>
    <w:semiHidden/>
    <w:unhideWhenUsed/>
    <w:qFormat/>
    <w:uiPriority w:val="0"/>
    <w:rPr>
      <w:rFonts w:ascii="Courier New" w:hAnsi="Courier New" w:cs="Courier New"/>
      <w:sz w:val="20"/>
      <w:szCs w:val="20"/>
    </w:rPr>
  </w:style>
  <w:style w:type="paragraph" w:styleId="81">
    <w:name w:val="Normal (Web)"/>
    <w:basedOn w:val="1"/>
    <w:semiHidden/>
    <w:unhideWhenUsed/>
    <w:qFormat/>
    <w:uiPriority w:val="0"/>
    <w:rPr>
      <w:sz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semiHidden/>
    <w:unhideWhenUsed/>
    <w:qFormat/>
    <w:uiPriority w:val="0"/>
    <w:pPr>
      <w:ind w:left="200" w:leftChars="200"/>
    </w:pPr>
  </w:style>
  <w:style w:type="paragraph" w:styleId="84">
    <w:name w:val="Title"/>
    <w:basedOn w:val="1"/>
    <w:next w:val="1"/>
    <w:link w:val="107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5">
    <w:name w:val="annotation subject"/>
    <w:basedOn w:val="28"/>
    <w:next w:val="28"/>
    <w:link w:val="103"/>
    <w:qFormat/>
    <w:uiPriority w:val="0"/>
    <w:rPr>
      <w:b/>
      <w:bCs/>
    </w:rPr>
  </w:style>
  <w:style w:type="paragraph" w:styleId="86">
    <w:name w:val="Body Text First Indent"/>
    <w:basedOn w:val="34"/>
    <w:link w:val="135"/>
    <w:semiHidden/>
    <w:unhideWhenUsed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37"/>
    <w:semiHidden/>
    <w:unhideWhenUsed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1">
    <w:name w:val="page number"/>
    <w:basedOn w:val="90"/>
    <w:qFormat/>
    <w:uiPriority w:val="0"/>
  </w:style>
  <w:style w:type="character" w:styleId="92">
    <w:name w:val="annotation reference"/>
    <w:basedOn w:val="90"/>
    <w:qFormat/>
    <w:uiPriority w:val="0"/>
    <w:rPr>
      <w:sz w:val="21"/>
      <w:szCs w:val="21"/>
    </w:rPr>
  </w:style>
  <w:style w:type="character" w:customStyle="1" w:styleId="93">
    <w:name w:val="样式 标题 2 + 宋体 非加粗"/>
    <w:basedOn w:val="90"/>
    <w:qFormat/>
    <w:uiPriority w:val="0"/>
    <w:rPr>
      <w:rFonts w:ascii="宋体" w:hAnsi="宋体" w:eastAsia="宋体"/>
      <w:sz w:val="24"/>
    </w:rPr>
  </w:style>
  <w:style w:type="character" w:styleId="94">
    <w:name w:val="Placeholder Text"/>
    <w:basedOn w:val="90"/>
    <w:semiHidden/>
    <w:qFormat/>
    <w:uiPriority w:val="99"/>
    <w:rPr>
      <w:color w:val="808080"/>
    </w:rPr>
  </w:style>
  <w:style w:type="character" w:customStyle="1" w:styleId="95">
    <w:name w:val="批注框文本 Char"/>
    <w:basedOn w:val="90"/>
    <w:link w:val="54"/>
    <w:qFormat/>
    <w:uiPriority w:val="0"/>
    <w:rPr>
      <w:kern w:val="2"/>
      <w:sz w:val="18"/>
      <w:szCs w:val="18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  <w:style w:type="character" w:customStyle="1" w:styleId="97">
    <w:name w:val="标题 2 Char"/>
    <w:basedOn w:val="90"/>
    <w:link w:val="4"/>
    <w:qFormat/>
    <w:uiPriority w:val="0"/>
    <w:rPr>
      <w:rFonts w:ascii="黑体" w:hAnsi="Arial" w:eastAsiaTheme="minorEastAsia"/>
      <w:bCs/>
      <w:kern w:val="2"/>
      <w:sz w:val="24"/>
      <w:szCs w:val="32"/>
    </w:rPr>
  </w:style>
  <w:style w:type="character" w:customStyle="1" w:styleId="98">
    <w:name w:val="标题 1 Char"/>
    <w:basedOn w:val="90"/>
    <w:link w:val="3"/>
    <w:qFormat/>
    <w:uiPriority w:val="0"/>
    <w:rPr>
      <w:rFonts w:ascii="宋体" w:eastAsia="黑体"/>
      <w:bCs/>
      <w:kern w:val="44"/>
      <w:sz w:val="24"/>
      <w:szCs w:val="44"/>
    </w:rPr>
  </w:style>
  <w:style w:type="character" w:customStyle="1" w:styleId="99">
    <w:name w:val="标题 3 Char"/>
    <w:basedOn w:val="90"/>
    <w:link w:val="5"/>
    <w:semiHidden/>
    <w:qFormat/>
    <w:uiPriority w:val="0"/>
    <w:rPr>
      <w:b/>
      <w:bCs/>
      <w:kern w:val="2"/>
      <w:sz w:val="32"/>
      <w:szCs w:val="32"/>
    </w:rPr>
  </w:style>
  <w:style w:type="paragraph" w:customStyle="1" w:styleId="100">
    <w:name w:val="标题3"/>
    <w:basedOn w:val="5"/>
    <w:link w:val="101"/>
    <w:qFormat/>
    <w:uiPriority w:val="0"/>
    <w:pPr>
      <w:spacing w:beforeLines="50" w:afterLines="50" w:line="240" w:lineRule="auto"/>
    </w:pPr>
    <w:rPr>
      <w:rFonts w:ascii="黑体" w:hAnsi="黑体" w:eastAsiaTheme="minorEastAsia"/>
      <w:b w:val="0"/>
      <w:color w:val="000000" w:themeColor="text1"/>
      <w:sz w:val="24"/>
    </w:rPr>
  </w:style>
  <w:style w:type="character" w:customStyle="1" w:styleId="101">
    <w:name w:val="标题3 Char"/>
    <w:basedOn w:val="99"/>
    <w:link w:val="100"/>
    <w:qFormat/>
    <w:uiPriority w:val="0"/>
    <w:rPr>
      <w:rFonts w:ascii="黑体" w:hAnsi="黑体" w:eastAsiaTheme="minorEastAsia"/>
      <w:color w:val="000000" w:themeColor="text1"/>
      <w:kern w:val="2"/>
      <w:sz w:val="24"/>
      <w:szCs w:val="32"/>
    </w:rPr>
  </w:style>
  <w:style w:type="character" w:customStyle="1" w:styleId="102">
    <w:name w:val="批注文字 Char"/>
    <w:basedOn w:val="90"/>
    <w:link w:val="28"/>
    <w:qFormat/>
    <w:uiPriority w:val="0"/>
    <w:rPr>
      <w:kern w:val="2"/>
      <w:sz w:val="21"/>
      <w:szCs w:val="24"/>
    </w:rPr>
  </w:style>
  <w:style w:type="character" w:customStyle="1" w:styleId="103">
    <w:name w:val="批注主题 Char"/>
    <w:basedOn w:val="102"/>
    <w:link w:val="85"/>
    <w:qFormat/>
    <w:uiPriority w:val="0"/>
    <w:rPr>
      <w:b/>
      <w:bCs/>
      <w:kern w:val="2"/>
      <w:sz w:val="21"/>
      <w:szCs w:val="24"/>
    </w:rPr>
  </w:style>
  <w:style w:type="character" w:customStyle="1" w:styleId="104">
    <w:name w:val="HTML 地址 Char"/>
    <w:basedOn w:val="90"/>
    <w:link w:val="41"/>
    <w:semiHidden/>
    <w:qFormat/>
    <w:uiPriority w:val="0"/>
    <w:rPr>
      <w:i/>
      <w:iCs/>
      <w:kern w:val="2"/>
      <w:sz w:val="21"/>
      <w:szCs w:val="24"/>
    </w:rPr>
  </w:style>
  <w:style w:type="character" w:customStyle="1" w:styleId="105">
    <w:name w:val="HTML 预设格式 Char"/>
    <w:basedOn w:val="90"/>
    <w:link w:val="80"/>
    <w:semiHidden/>
    <w:qFormat/>
    <w:uiPriority w:val="0"/>
    <w:rPr>
      <w:rFonts w:ascii="Courier New" w:hAnsi="Courier New" w:cs="Courier New"/>
      <w:kern w:val="2"/>
    </w:rPr>
  </w:style>
  <w:style w:type="paragraph" w:customStyle="1" w:styleId="106">
    <w:name w:val="TOC 标题1"/>
    <w:basedOn w:val="3"/>
    <w:next w:val="1"/>
    <w:semiHidden/>
    <w:unhideWhenUsed/>
    <w:qFormat/>
    <w:uiPriority w:val="39"/>
    <w:pPr>
      <w:numPr>
        <w:numId w:val="0"/>
      </w:numPr>
      <w:spacing w:beforeLines="0" w:afterLines="0" w:line="578" w:lineRule="auto"/>
      <w:outlineLvl w:val="9"/>
    </w:pPr>
    <w:rPr>
      <w:rFonts w:ascii="Times New Roman" w:eastAsia="宋体"/>
      <w:b/>
      <w:sz w:val="44"/>
    </w:rPr>
  </w:style>
  <w:style w:type="character" w:customStyle="1" w:styleId="107">
    <w:name w:val="标题 Char"/>
    <w:basedOn w:val="90"/>
    <w:link w:val="84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08">
    <w:name w:val="标题 4 Char"/>
    <w:basedOn w:val="90"/>
    <w:link w:val="6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09">
    <w:name w:val="标题 5 Char"/>
    <w:basedOn w:val="90"/>
    <w:link w:val="7"/>
    <w:semiHidden/>
    <w:qFormat/>
    <w:uiPriority w:val="0"/>
    <w:rPr>
      <w:b/>
      <w:bCs/>
      <w:kern w:val="2"/>
      <w:sz w:val="28"/>
      <w:szCs w:val="28"/>
    </w:rPr>
  </w:style>
  <w:style w:type="character" w:customStyle="1" w:styleId="110">
    <w:name w:val="标题 6 Char"/>
    <w:basedOn w:val="90"/>
    <w:link w:val="8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111">
    <w:name w:val="标题 7 Char"/>
    <w:basedOn w:val="90"/>
    <w:link w:val="9"/>
    <w:semiHidden/>
    <w:qFormat/>
    <w:uiPriority w:val="0"/>
    <w:rPr>
      <w:b/>
      <w:bCs/>
      <w:kern w:val="2"/>
      <w:sz w:val="24"/>
      <w:szCs w:val="24"/>
    </w:rPr>
  </w:style>
  <w:style w:type="character" w:customStyle="1" w:styleId="112">
    <w:name w:val="标题 8 Char"/>
    <w:basedOn w:val="90"/>
    <w:link w:val="10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113">
    <w:name w:val="标题 9 Char"/>
    <w:basedOn w:val="90"/>
    <w:link w:val="11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114">
    <w:name w:val="称呼 Char"/>
    <w:basedOn w:val="90"/>
    <w:link w:val="30"/>
    <w:semiHidden/>
    <w:qFormat/>
    <w:uiPriority w:val="0"/>
    <w:rPr>
      <w:kern w:val="2"/>
      <w:sz w:val="21"/>
      <w:szCs w:val="24"/>
    </w:rPr>
  </w:style>
  <w:style w:type="character" w:customStyle="1" w:styleId="115">
    <w:name w:val="纯文本 Char"/>
    <w:basedOn w:val="90"/>
    <w:link w:val="45"/>
    <w:semiHidden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116">
    <w:name w:val="电子邮件签名 Char"/>
    <w:basedOn w:val="90"/>
    <w:link w:val="19"/>
    <w:semiHidden/>
    <w:qFormat/>
    <w:uiPriority w:val="0"/>
    <w:rPr>
      <w:kern w:val="2"/>
      <w:sz w:val="21"/>
      <w:szCs w:val="24"/>
    </w:rPr>
  </w:style>
  <w:style w:type="character" w:customStyle="1" w:styleId="117">
    <w:name w:val="副标题 Char"/>
    <w:basedOn w:val="90"/>
    <w:link w:val="64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customStyle="1" w:styleId="118">
    <w:name w:val="宏文本 Char"/>
    <w:basedOn w:val="90"/>
    <w:link w:val="2"/>
    <w:semiHidden/>
    <w:qFormat/>
    <w:uiPriority w:val="0"/>
    <w:rPr>
      <w:rFonts w:ascii="Courier New" w:hAnsi="Courier New" w:cs="Courier New"/>
      <w:kern w:val="2"/>
      <w:sz w:val="24"/>
      <w:szCs w:val="24"/>
    </w:rPr>
  </w:style>
  <w:style w:type="character" w:customStyle="1" w:styleId="119">
    <w:name w:val="脚注文本 Char"/>
    <w:basedOn w:val="90"/>
    <w:link w:val="67"/>
    <w:semiHidden/>
    <w:qFormat/>
    <w:uiPriority w:val="0"/>
    <w:rPr>
      <w:kern w:val="2"/>
      <w:sz w:val="18"/>
      <w:szCs w:val="18"/>
    </w:rPr>
  </w:style>
  <w:style w:type="character" w:customStyle="1" w:styleId="120">
    <w:name w:val="结束语 Char"/>
    <w:basedOn w:val="90"/>
    <w:link w:val="32"/>
    <w:semiHidden/>
    <w:qFormat/>
    <w:uiPriority w:val="0"/>
    <w:rPr>
      <w:kern w:val="2"/>
      <w:sz w:val="21"/>
      <w:szCs w:val="24"/>
    </w:rPr>
  </w:style>
  <w:style w:type="paragraph" w:styleId="121">
    <w:name w:val="Intense Quote"/>
    <w:basedOn w:val="1"/>
    <w:next w:val="1"/>
    <w:link w:val="122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22">
    <w:name w:val="明显引用 Char"/>
    <w:basedOn w:val="90"/>
    <w:link w:val="121"/>
    <w:qFormat/>
    <w:uiPriority w:val="30"/>
    <w:rPr>
      <w:i/>
      <w:iCs/>
      <w:color w:val="4F81BD" w:themeColor="accent1"/>
      <w:kern w:val="2"/>
      <w:sz w:val="21"/>
      <w:szCs w:val="24"/>
    </w:rPr>
  </w:style>
  <w:style w:type="character" w:customStyle="1" w:styleId="123">
    <w:name w:val="签名 Char"/>
    <w:basedOn w:val="90"/>
    <w:link w:val="58"/>
    <w:semiHidden/>
    <w:qFormat/>
    <w:uiPriority w:val="0"/>
    <w:rPr>
      <w:kern w:val="2"/>
      <w:sz w:val="21"/>
      <w:szCs w:val="24"/>
    </w:rPr>
  </w:style>
  <w:style w:type="character" w:customStyle="1" w:styleId="124">
    <w:name w:val="日期 Char"/>
    <w:basedOn w:val="90"/>
    <w:link w:val="50"/>
    <w:semiHidden/>
    <w:qFormat/>
    <w:uiPriority w:val="0"/>
    <w:rPr>
      <w:kern w:val="2"/>
      <w:sz w:val="21"/>
      <w:szCs w:val="24"/>
    </w:rPr>
  </w:style>
  <w:style w:type="paragraph" w:customStyle="1" w:styleId="125">
    <w:name w:val="书目1"/>
    <w:basedOn w:val="1"/>
    <w:next w:val="1"/>
    <w:semiHidden/>
    <w:unhideWhenUsed/>
    <w:qFormat/>
    <w:uiPriority w:val="37"/>
  </w:style>
  <w:style w:type="character" w:customStyle="1" w:styleId="126">
    <w:name w:val="尾注文本 Char"/>
    <w:basedOn w:val="90"/>
    <w:link w:val="52"/>
    <w:semiHidden/>
    <w:qFormat/>
    <w:uiPriority w:val="0"/>
    <w:rPr>
      <w:kern w:val="2"/>
      <w:sz w:val="21"/>
      <w:szCs w:val="24"/>
    </w:rPr>
  </w:style>
  <w:style w:type="character" w:customStyle="1" w:styleId="127">
    <w:name w:val="文档结构图 Char"/>
    <w:basedOn w:val="90"/>
    <w:link w:val="26"/>
    <w:semiHidden/>
    <w:qFormat/>
    <w:uiPriority w:val="0"/>
    <w:rPr>
      <w:rFonts w:ascii="Microsoft YaHei UI" w:eastAsia="Microsoft YaHei UI"/>
      <w:kern w:val="2"/>
      <w:sz w:val="18"/>
      <w:szCs w:val="18"/>
    </w:rPr>
  </w:style>
  <w:style w:type="paragraph" w:styleId="12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9">
    <w:name w:val="信息标题 Char"/>
    <w:basedOn w:val="90"/>
    <w:link w:val="79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130">
    <w:name w:val="Quote"/>
    <w:basedOn w:val="1"/>
    <w:next w:val="1"/>
    <w:link w:val="131"/>
    <w:qFormat/>
    <w:uiPriority w:val="29"/>
    <w:pPr>
      <w:spacing w:before="200" w:after="160"/>
      <w:ind w:left="864" w:right="864"/>
      <w:jc w:val="center"/>
    </w:pPr>
    <w:rPr>
      <w:i/>
      <w:iCs/>
      <w:color w:val="3F3F3F" w:themeColor="text1" w:themeTint="BF"/>
    </w:rPr>
  </w:style>
  <w:style w:type="character" w:customStyle="1" w:styleId="131">
    <w:name w:val="引用 Char"/>
    <w:basedOn w:val="90"/>
    <w:link w:val="130"/>
    <w:qFormat/>
    <w:uiPriority w:val="29"/>
    <w:rPr>
      <w:i/>
      <w:iCs/>
      <w:color w:val="3F3F3F" w:themeColor="text1" w:themeTint="BF"/>
      <w:kern w:val="2"/>
      <w:sz w:val="21"/>
      <w:szCs w:val="24"/>
    </w:rPr>
  </w:style>
  <w:style w:type="character" w:customStyle="1" w:styleId="132">
    <w:name w:val="正文文本 Char"/>
    <w:basedOn w:val="90"/>
    <w:link w:val="34"/>
    <w:semiHidden/>
    <w:qFormat/>
    <w:uiPriority w:val="0"/>
    <w:rPr>
      <w:kern w:val="2"/>
      <w:sz w:val="21"/>
      <w:szCs w:val="24"/>
    </w:rPr>
  </w:style>
  <w:style w:type="character" w:customStyle="1" w:styleId="133">
    <w:name w:val="正文文本 2 Char"/>
    <w:basedOn w:val="90"/>
    <w:link w:val="76"/>
    <w:semiHidden/>
    <w:qFormat/>
    <w:uiPriority w:val="0"/>
    <w:rPr>
      <w:kern w:val="2"/>
      <w:sz w:val="21"/>
      <w:szCs w:val="24"/>
    </w:rPr>
  </w:style>
  <w:style w:type="character" w:customStyle="1" w:styleId="134">
    <w:name w:val="正文文本 3 Char"/>
    <w:basedOn w:val="90"/>
    <w:link w:val="31"/>
    <w:semiHidden/>
    <w:qFormat/>
    <w:uiPriority w:val="0"/>
    <w:rPr>
      <w:kern w:val="2"/>
      <w:sz w:val="16"/>
      <w:szCs w:val="16"/>
    </w:rPr>
  </w:style>
  <w:style w:type="character" w:customStyle="1" w:styleId="135">
    <w:name w:val="正文首行缩进 Char"/>
    <w:basedOn w:val="132"/>
    <w:link w:val="86"/>
    <w:semiHidden/>
    <w:qFormat/>
    <w:uiPriority w:val="0"/>
    <w:rPr>
      <w:kern w:val="2"/>
      <w:sz w:val="21"/>
      <w:szCs w:val="24"/>
    </w:rPr>
  </w:style>
  <w:style w:type="character" w:customStyle="1" w:styleId="136">
    <w:name w:val="正文文本缩进 Char"/>
    <w:basedOn w:val="90"/>
    <w:link w:val="35"/>
    <w:semiHidden/>
    <w:qFormat/>
    <w:uiPriority w:val="0"/>
    <w:rPr>
      <w:kern w:val="2"/>
      <w:sz w:val="21"/>
      <w:szCs w:val="24"/>
    </w:rPr>
  </w:style>
  <w:style w:type="character" w:customStyle="1" w:styleId="137">
    <w:name w:val="正文首行缩进 2 Char"/>
    <w:basedOn w:val="136"/>
    <w:link w:val="87"/>
    <w:semiHidden/>
    <w:qFormat/>
    <w:uiPriority w:val="0"/>
    <w:rPr>
      <w:kern w:val="2"/>
      <w:sz w:val="21"/>
      <w:szCs w:val="24"/>
    </w:rPr>
  </w:style>
  <w:style w:type="character" w:customStyle="1" w:styleId="138">
    <w:name w:val="正文文本缩进 2 Char"/>
    <w:basedOn w:val="90"/>
    <w:link w:val="51"/>
    <w:semiHidden/>
    <w:qFormat/>
    <w:uiPriority w:val="0"/>
    <w:rPr>
      <w:kern w:val="2"/>
      <w:sz w:val="21"/>
      <w:szCs w:val="24"/>
    </w:rPr>
  </w:style>
  <w:style w:type="character" w:customStyle="1" w:styleId="139">
    <w:name w:val="正文文本缩进 3 Char"/>
    <w:basedOn w:val="90"/>
    <w:link w:val="70"/>
    <w:semiHidden/>
    <w:qFormat/>
    <w:uiPriority w:val="0"/>
    <w:rPr>
      <w:kern w:val="2"/>
      <w:sz w:val="16"/>
      <w:szCs w:val="16"/>
    </w:rPr>
  </w:style>
  <w:style w:type="character" w:customStyle="1" w:styleId="140">
    <w:name w:val="注释标题 Char"/>
    <w:basedOn w:val="90"/>
    <w:link w:val="16"/>
    <w:semiHidden/>
    <w:qFormat/>
    <w:uiPriority w:val="0"/>
    <w:rPr>
      <w:kern w:val="2"/>
      <w:sz w:val="21"/>
      <w:szCs w:val="24"/>
    </w:rPr>
  </w:style>
  <w:style w:type="paragraph" w:customStyle="1" w:styleId="1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8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5.bin"/><Relationship Id="rId9" Type="http://schemas.openxmlformats.org/officeDocument/2006/relationships/image" Target="media/image2.wmf"/><Relationship Id="rId89" Type="http://schemas.openxmlformats.org/officeDocument/2006/relationships/image" Target="media/image40.wmf"/><Relationship Id="rId88" Type="http://schemas.openxmlformats.org/officeDocument/2006/relationships/oleObject" Target="embeddings/oleObject44.bin"/><Relationship Id="rId87" Type="http://schemas.openxmlformats.org/officeDocument/2006/relationships/image" Target="media/image39.wmf"/><Relationship Id="rId86" Type="http://schemas.openxmlformats.org/officeDocument/2006/relationships/oleObject" Target="embeddings/oleObject43.bin"/><Relationship Id="rId85" Type="http://schemas.openxmlformats.org/officeDocument/2006/relationships/image" Target="media/image38.wmf"/><Relationship Id="rId84" Type="http://schemas.openxmlformats.org/officeDocument/2006/relationships/oleObject" Target="embeddings/oleObject42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6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5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5.bin"/><Relationship Id="rId7" Type="http://schemas.openxmlformats.org/officeDocument/2006/relationships/image" Target="media/image1.wmf"/><Relationship Id="rId69" Type="http://schemas.openxmlformats.org/officeDocument/2006/relationships/image" Target="media/image30.wmf"/><Relationship Id="rId68" Type="http://schemas.openxmlformats.org/officeDocument/2006/relationships/oleObject" Target="embeddings/oleObject34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3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2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5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3.bin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1" Type="http://schemas.openxmlformats.org/officeDocument/2006/relationships/fontTable" Target="fontTable.xml"/><Relationship Id="rId150" Type="http://schemas.openxmlformats.org/officeDocument/2006/relationships/customXml" Target="../customXml/item1.xml"/><Relationship Id="rId15" Type="http://schemas.openxmlformats.org/officeDocument/2006/relationships/image" Target="media/image5.wmf"/><Relationship Id="rId149" Type="http://schemas.openxmlformats.org/officeDocument/2006/relationships/numbering" Target="numbering.xml"/><Relationship Id="rId148" Type="http://schemas.openxmlformats.org/officeDocument/2006/relationships/image" Target="media/image67.wmf"/><Relationship Id="rId147" Type="http://schemas.openxmlformats.org/officeDocument/2006/relationships/oleObject" Target="embeddings/oleObject76.bin"/><Relationship Id="rId146" Type="http://schemas.openxmlformats.org/officeDocument/2006/relationships/oleObject" Target="embeddings/oleObject75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7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3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7.bin"/><Relationship Id="rId13" Type="http://schemas.openxmlformats.org/officeDocument/2006/relationships/image" Target="media/image4.wmf"/><Relationship Id="rId129" Type="http://schemas.openxmlformats.org/officeDocument/2006/relationships/image" Target="media/image58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4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63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3.wmf"/><Relationship Id="rId118" Type="http://schemas.openxmlformats.org/officeDocument/2006/relationships/oleObject" Target="embeddings/oleObject61.bin"/><Relationship Id="rId117" Type="http://schemas.openxmlformats.org/officeDocument/2006/relationships/image" Target="media/image52.wmf"/><Relationship Id="rId116" Type="http://schemas.openxmlformats.org/officeDocument/2006/relationships/oleObject" Target="embeddings/oleObject60.bin"/><Relationship Id="rId115" Type="http://schemas.openxmlformats.org/officeDocument/2006/relationships/image" Target="media/image51.wmf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49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6.bin"/><Relationship Id="rId108" Type="http://schemas.openxmlformats.org/officeDocument/2006/relationships/oleObject" Target="embeddings/oleObject55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3.bin"/><Relationship Id="rId103" Type="http://schemas.openxmlformats.org/officeDocument/2006/relationships/oleObject" Target="embeddings/oleObject52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46EA6-A0DD-4FF5-85E9-5E814399C7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6</Pages>
  <Words>987</Words>
  <Characters>5632</Characters>
  <Lines>46</Lines>
  <Paragraphs>13</Paragraphs>
  <TotalTime>6</TotalTime>
  <ScaleCrop>false</ScaleCrop>
  <LinksUpToDate>false</LinksUpToDate>
  <CharactersWithSpaces>6606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2020-09-17T00:41:00Z</dcterms:created>
  <dc:creator>未定义</dc:creator>
  <cp:lastModifiedBy>Administrator</cp:lastModifiedBy>
  <cp:lastPrinted>2025-08-28T07:52:00Z</cp:lastPrinted>
  <dcterms:modified xsi:type="dcterms:W3CDTF">2026-08-13T09:33:39Z</dcterms:modified>
  <dc:title>测量不确定度评定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eyJoZGlkIjoiYTcxMjE0ZGIwNDI3MTFjYmQwM2IyN2E3ZDhjNTJiMTgifQ==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2D73D38DAB1C4A1AA343F62AA6DAB48C_12</vt:lpwstr>
  </property>
</Properties>
</file>