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020DE0">
      <w:pPr>
        <w:jc w:val="center"/>
        <w:rPr>
          <w:rFonts w:hint="eastAsia" w:hAnsi="宋体"/>
          <w:b/>
          <w:color w:val="000000"/>
          <w:sz w:val="30"/>
          <w:szCs w:val="30"/>
        </w:rPr>
      </w:pPr>
      <w:r>
        <w:rPr>
          <w:rFonts w:hint="eastAsia"/>
          <w:b/>
          <w:color w:val="000000"/>
          <w:sz w:val="30"/>
          <w:szCs w:val="30"/>
        </w:rPr>
        <w:t>JJF 1359-××××</w:t>
      </w:r>
      <w:r>
        <w:rPr>
          <w:rFonts w:hint="eastAsia" w:hAnsi="宋体"/>
          <w:b/>
          <w:color w:val="000000"/>
          <w:sz w:val="30"/>
          <w:szCs w:val="30"/>
        </w:rPr>
        <w:t>《自动轨道衡型式评价大纲》试验报告</w:t>
      </w:r>
    </w:p>
    <w:p w14:paraId="15DB14B5">
      <w:pPr>
        <w:rPr>
          <w:rFonts w:hint="eastAsia" w:ascii="黑体" w:hAnsi="黑体"/>
          <w:bCs/>
          <w:szCs w:val="20"/>
        </w:rPr>
      </w:pPr>
    </w:p>
    <w:p w14:paraId="10B61E6D">
      <w:pPr>
        <w:spacing w:line="440" w:lineRule="exact"/>
        <w:ind w:firstLine="480" w:firstLineChars="200"/>
        <w:rPr>
          <w:rFonts w:hint="eastAsia" w:ascii="黑体" w:hAnsi="黑体"/>
          <w:bCs/>
          <w:sz w:val="24"/>
          <w:szCs w:val="20"/>
        </w:rPr>
      </w:pPr>
      <w:r>
        <w:rPr>
          <w:rFonts w:hint="eastAsia" w:ascii="黑体" w:hAnsi="黑体"/>
          <w:bCs/>
          <w:sz w:val="24"/>
          <w:szCs w:val="20"/>
        </w:rPr>
        <w:t>为验证</w:t>
      </w:r>
      <w:bookmarkStart w:id="0" w:name="OLE_LINK3"/>
      <w:r>
        <w:rPr>
          <w:bCs/>
          <w:sz w:val="24"/>
          <w:szCs w:val="20"/>
        </w:rPr>
        <w:t>JJF</w:t>
      </w:r>
      <w:r>
        <w:rPr>
          <w:rFonts w:hint="eastAsia"/>
          <w:bCs/>
          <w:sz w:val="24"/>
          <w:szCs w:val="20"/>
        </w:rPr>
        <w:t xml:space="preserve"> </w:t>
      </w:r>
      <w:r>
        <w:rPr>
          <w:bCs/>
          <w:sz w:val="24"/>
          <w:szCs w:val="20"/>
        </w:rPr>
        <w:t>13</w:t>
      </w:r>
      <w:r>
        <w:rPr>
          <w:rFonts w:hint="eastAsia"/>
          <w:bCs/>
          <w:sz w:val="24"/>
          <w:szCs w:val="20"/>
        </w:rPr>
        <w:t>59</w:t>
      </w:r>
      <w:r>
        <w:rPr>
          <w:bCs/>
          <w:sz w:val="24"/>
          <w:szCs w:val="20"/>
        </w:rPr>
        <w:t>-XXXX</w:t>
      </w:r>
      <w:bookmarkEnd w:id="0"/>
      <w:r>
        <w:rPr>
          <w:bCs/>
          <w:sz w:val="24"/>
          <w:szCs w:val="20"/>
        </w:rPr>
        <w:t xml:space="preserve"> </w:t>
      </w:r>
      <w:r>
        <w:rPr>
          <w:rFonts w:hint="eastAsia"/>
          <w:bCs/>
          <w:sz w:val="24"/>
          <w:szCs w:val="20"/>
        </w:rPr>
        <w:t>《自动轨道衡型式评价大纲》规定的试验方法和计量技术指标是否可行，大纲起草小组于</w:t>
      </w:r>
      <w:r>
        <w:rPr>
          <w:bCs/>
          <w:sz w:val="24"/>
          <w:szCs w:val="20"/>
        </w:rPr>
        <w:t>202</w:t>
      </w:r>
      <w:r>
        <w:rPr>
          <w:rFonts w:hint="eastAsia"/>
          <w:bCs/>
          <w:sz w:val="24"/>
          <w:szCs w:val="20"/>
        </w:rPr>
        <w:t>6年1月</w:t>
      </w:r>
      <w:r>
        <w:rPr>
          <w:bCs/>
          <w:sz w:val="24"/>
          <w:szCs w:val="20"/>
        </w:rPr>
        <w:t>20</w:t>
      </w:r>
      <w:r>
        <w:rPr>
          <w:rFonts w:hint="eastAsia"/>
          <w:bCs/>
          <w:sz w:val="24"/>
          <w:szCs w:val="20"/>
        </w:rPr>
        <w:t>日~21日期间在四川省内江市归连铁路梨子沟站对自动轨道衡（以下简称轨道衡）进行了现场试验</w:t>
      </w:r>
      <w:r>
        <w:rPr>
          <w:rFonts w:ascii="宋体" w:hAnsi="宋体"/>
          <w:color w:val="000000"/>
          <w:sz w:val="24"/>
          <w:szCs w:val="20"/>
        </w:rPr>
        <w:t>，对其试验数据进行了分析。</w:t>
      </w:r>
    </w:p>
    <w:p w14:paraId="35B9F7B1">
      <w:pPr>
        <w:spacing w:line="440" w:lineRule="exact"/>
        <w:rPr>
          <w:sz w:val="24"/>
          <w:szCs w:val="20"/>
        </w:rPr>
      </w:pPr>
      <w:r>
        <w:rPr>
          <w:sz w:val="24"/>
          <w:szCs w:val="20"/>
        </w:rPr>
        <w:t xml:space="preserve">1 </w:t>
      </w:r>
      <w:r>
        <w:rPr>
          <w:rFonts w:hint="eastAsia"/>
          <w:sz w:val="24"/>
          <w:szCs w:val="20"/>
        </w:rPr>
        <w:t>试验条件</w:t>
      </w:r>
    </w:p>
    <w:p w14:paraId="307CDE65">
      <w:pPr>
        <w:pStyle w:val="17"/>
        <w:numPr>
          <w:ilvl w:val="4"/>
          <w:numId w:val="0"/>
        </w:numPr>
        <w:spacing w:line="400" w:lineRule="exact"/>
        <w:rPr>
          <w:rFonts w:eastAsia="宋体"/>
          <w:color w:val="000000"/>
          <w:sz w:val="24"/>
          <w:szCs w:val="24"/>
        </w:rPr>
      </w:pPr>
      <w:r>
        <w:rPr>
          <w:rFonts w:eastAsia="宋体"/>
          <w:color w:val="000000"/>
          <w:sz w:val="24"/>
          <w:szCs w:val="24"/>
        </w:rPr>
        <w:t>1.1</w:t>
      </w:r>
      <w:r>
        <w:rPr>
          <w:rFonts w:hint="eastAsia" w:eastAsia="宋体"/>
          <w:color w:val="000000"/>
          <w:sz w:val="24"/>
          <w:szCs w:val="24"/>
        </w:rPr>
        <w:t>轨道衡为无梁式结构无基坑，轨道衡周边无堆积物与积水。</w:t>
      </w:r>
    </w:p>
    <w:p w14:paraId="416C8D7A">
      <w:pPr>
        <w:pStyle w:val="17"/>
        <w:numPr>
          <w:ilvl w:val="4"/>
          <w:numId w:val="0"/>
        </w:numPr>
        <w:spacing w:line="400" w:lineRule="exact"/>
        <w:ind w:left="4860" w:hanging="4860"/>
        <w:rPr>
          <w:rFonts w:eastAsia="宋体"/>
          <w:color w:val="000000"/>
          <w:sz w:val="24"/>
          <w:szCs w:val="24"/>
        </w:rPr>
      </w:pPr>
      <w:r>
        <w:rPr>
          <w:rFonts w:eastAsia="宋体"/>
          <w:color w:val="000000"/>
          <w:sz w:val="24"/>
          <w:szCs w:val="24"/>
        </w:rPr>
        <w:t>1.2</w:t>
      </w:r>
      <w:r>
        <w:rPr>
          <w:rFonts w:hint="eastAsia" w:eastAsia="宋体"/>
          <w:color w:val="000000"/>
          <w:sz w:val="24"/>
          <w:szCs w:val="24"/>
        </w:rPr>
        <w:t>有单独提供</w:t>
      </w:r>
      <w:r>
        <w:rPr>
          <w:rFonts w:eastAsia="宋体"/>
          <w:color w:val="000000"/>
          <w:sz w:val="24"/>
          <w:szCs w:val="24"/>
        </w:rPr>
        <w:t>380V/20A</w:t>
      </w:r>
      <w:r>
        <w:rPr>
          <w:rFonts w:hint="eastAsia" w:eastAsia="宋体"/>
          <w:color w:val="000000"/>
          <w:sz w:val="24"/>
          <w:szCs w:val="24"/>
        </w:rPr>
        <w:t>的三相动力电源。</w:t>
      </w:r>
    </w:p>
    <w:p w14:paraId="08D17D6C">
      <w:pPr>
        <w:pStyle w:val="17"/>
        <w:numPr>
          <w:ilvl w:val="4"/>
          <w:numId w:val="0"/>
        </w:numPr>
        <w:spacing w:line="400" w:lineRule="exact"/>
        <w:rPr>
          <w:rFonts w:eastAsia="宋体"/>
          <w:color w:val="000000"/>
          <w:sz w:val="24"/>
          <w:szCs w:val="24"/>
        </w:rPr>
      </w:pPr>
      <w:r>
        <w:rPr>
          <w:rFonts w:eastAsia="宋体"/>
          <w:color w:val="000000"/>
          <w:sz w:val="24"/>
          <w:szCs w:val="24"/>
        </w:rPr>
        <w:t>1.</w:t>
      </w:r>
      <w:r>
        <w:rPr>
          <w:rFonts w:hint="eastAsia" w:eastAsia="宋体"/>
          <w:color w:val="000000"/>
          <w:sz w:val="24"/>
          <w:szCs w:val="24"/>
        </w:rPr>
        <w:t>3试验期间温度（13~16）℃，湿度（67~71）%RH，市电供电</w:t>
      </w:r>
      <w:r>
        <w:rPr>
          <w:rFonts w:eastAsia="宋体"/>
          <w:color w:val="000000"/>
          <w:sz w:val="24"/>
          <w:szCs w:val="24"/>
        </w:rPr>
        <w:t>电源电压变化不超过额定值的-15%～10%</w:t>
      </w:r>
      <w:r>
        <w:rPr>
          <w:rFonts w:hint="eastAsia" w:eastAsia="宋体"/>
          <w:color w:val="000000"/>
          <w:sz w:val="24"/>
          <w:szCs w:val="24"/>
        </w:rPr>
        <w:t>。</w:t>
      </w:r>
    </w:p>
    <w:p w14:paraId="7C7C516A">
      <w:pPr>
        <w:pStyle w:val="17"/>
        <w:numPr>
          <w:ilvl w:val="4"/>
          <w:numId w:val="0"/>
        </w:numPr>
        <w:spacing w:line="400" w:lineRule="exact"/>
        <w:rPr>
          <w:rFonts w:eastAsia="宋体"/>
          <w:color w:val="000000"/>
          <w:sz w:val="24"/>
          <w:szCs w:val="24"/>
        </w:rPr>
      </w:pPr>
      <w:r>
        <w:rPr>
          <w:rFonts w:eastAsia="宋体"/>
          <w:color w:val="000000"/>
          <w:sz w:val="24"/>
          <w:szCs w:val="24"/>
        </w:rPr>
        <w:t>1.</w:t>
      </w:r>
      <w:r>
        <w:rPr>
          <w:rFonts w:hint="eastAsia" w:eastAsia="宋体"/>
          <w:color w:val="000000"/>
          <w:sz w:val="24"/>
          <w:szCs w:val="24"/>
        </w:rPr>
        <w:t>4</w:t>
      </w:r>
      <w:r>
        <w:rPr>
          <w:rFonts w:eastAsia="宋体"/>
          <w:color w:val="000000"/>
          <w:sz w:val="24"/>
          <w:szCs w:val="24"/>
        </w:rPr>
        <w:t>秤房内有足够的使用面积</w:t>
      </w:r>
      <w:r>
        <w:rPr>
          <w:rFonts w:hint="eastAsia" w:eastAsia="宋体"/>
          <w:color w:val="000000"/>
          <w:sz w:val="24"/>
          <w:szCs w:val="24"/>
        </w:rPr>
        <w:t>用于</w:t>
      </w:r>
      <w:r>
        <w:rPr>
          <w:rFonts w:eastAsia="宋体"/>
          <w:color w:val="000000"/>
          <w:sz w:val="24"/>
          <w:szCs w:val="24"/>
        </w:rPr>
        <w:t>放置设备</w:t>
      </w:r>
      <w:r>
        <w:rPr>
          <w:rFonts w:hint="eastAsia" w:eastAsia="宋体"/>
          <w:color w:val="000000"/>
          <w:sz w:val="24"/>
          <w:szCs w:val="24"/>
        </w:rPr>
        <w:t>等</w:t>
      </w:r>
      <w:r>
        <w:rPr>
          <w:rFonts w:eastAsia="宋体"/>
          <w:color w:val="000000"/>
          <w:sz w:val="24"/>
          <w:szCs w:val="24"/>
        </w:rPr>
        <w:t>，室内温度和湿度符合GB/T 2887中B级的规定，秤房位置便于观察车辆运行的状态（或安装监控设备）。电源、仪表地线符合GB/T 2887中C级的规定</w:t>
      </w:r>
      <w:r>
        <w:rPr>
          <w:rFonts w:hint="eastAsia" w:eastAsia="宋体"/>
          <w:color w:val="000000"/>
          <w:sz w:val="24"/>
          <w:szCs w:val="24"/>
        </w:rPr>
        <w:t>。</w:t>
      </w:r>
    </w:p>
    <w:p w14:paraId="484C5661">
      <w:pPr>
        <w:pStyle w:val="17"/>
        <w:numPr>
          <w:ilvl w:val="4"/>
          <w:numId w:val="0"/>
        </w:numPr>
        <w:spacing w:line="400" w:lineRule="exact"/>
        <w:ind w:left="4860" w:hanging="4860"/>
        <w:rPr>
          <w:rFonts w:eastAsia="宋体"/>
          <w:color w:val="000000"/>
          <w:sz w:val="24"/>
          <w:szCs w:val="24"/>
        </w:rPr>
      </w:pPr>
      <w:r>
        <w:rPr>
          <w:rFonts w:eastAsia="宋体"/>
          <w:color w:val="000000"/>
          <w:sz w:val="24"/>
          <w:szCs w:val="24"/>
        </w:rPr>
        <w:t>1.</w:t>
      </w:r>
      <w:r>
        <w:rPr>
          <w:rFonts w:hint="eastAsia" w:eastAsia="宋体"/>
          <w:color w:val="000000"/>
          <w:sz w:val="24"/>
          <w:szCs w:val="24"/>
        </w:rPr>
        <w:t>5铁路线路已开通且稳定。</w:t>
      </w:r>
    </w:p>
    <w:p w14:paraId="339A9F48">
      <w:pPr>
        <w:pStyle w:val="17"/>
        <w:numPr>
          <w:ilvl w:val="4"/>
          <w:numId w:val="0"/>
        </w:numPr>
        <w:spacing w:line="400" w:lineRule="exact"/>
        <w:ind w:left="4860" w:hanging="4860"/>
        <w:rPr>
          <w:rFonts w:eastAsia="宋体"/>
          <w:color w:val="000000"/>
          <w:sz w:val="24"/>
          <w:szCs w:val="24"/>
        </w:rPr>
      </w:pPr>
      <w:r>
        <w:rPr>
          <w:rFonts w:eastAsia="宋体"/>
          <w:color w:val="000000"/>
          <w:sz w:val="24"/>
          <w:szCs w:val="24"/>
        </w:rPr>
        <w:t>1.</w:t>
      </w:r>
      <w:r>
        <w:rPr>
          <w:rFonts w:hint="eastAsia" w:eastAsia="宋体"/>
          <w:color w:val="000000"/>
          <w:sz w:val="24"/>
          <w:szCs w:val="24"/>
        </w:rPr>
        <w:t>6未遇雨、雪或其他可能影响试验工作的情况。</w:t>
      </w:r>
    </w:p>
    <w:p w14:paraId="7DEA4BD5">
      <w:pPr>
        <w:spacing w:line="440" w:lineRule="exact"/>
        <w:rPr>
          <w:sz w:val="24"/>
          <w:szCs w:val="20"/>
        </w:rPr>
      </w:pPr>
      <w:r>
        <w:rPr>
          <w:sz w:val="24"/>
          <w:szCs w:val="20"/>
        </w:rPr>
        <w:t xml:space="preserve">2 </w:t>
      </w:r>
      <w:r>
        <w:rPr>
          <w:rFonts w:hint="eastAsia"/>
          <w:sz w:val="24"/>
          <w:szCs w:val="20"/>
        </w:rPr>
        <w:t>试验使用的计量标准器</w:t>
      </w:r>
    </w:p>
    <w:p w14:paraId="206C22F1">
      <w:pPr>
        <w:spacing w:line="440" w:lineRule="exact"/>
        <w:ind w:firstLine="480" w:firstLineChars="200"/>
        <w:rPr>
          <w:bCs/>
          <w:sz w:val="24"/>
        </w:rPr>
      </w:pPr>
      <w:r>
        <w:rPr>
          <w:rFonts w:hint="eastAsia" w:ascii="宋体" w:hAnsi="宋体"/>
          <w:bCs/>
          <w:sz w:val="24"/>
        </w:rPr>
        <w:t>符合</w:t>
      </w:r>
      <w:r>
        <w:rPr>
          <w:rFonts w:ascii="宋体" w:hAnsi="宋体"/>
          <w:bCs/>
          <w:sz w:val="24"/>
        </w:rPr>
        <w:t>JJG 567-2012《轨道衡检衡车》</w:t>
      </w:r>
      <w:r>
        <w:rPr>
          <w:rFonts w:hint="eastAsia" w:ascii="宋体" w:hAnsi="宋体"/>
          <w:bCs/>
          <w:sz w:val="24"/>
        </w:rPr>
        <w:t>要求的</w:t>
      </w:r>
      <w:r>
        <w:rPr>
          <w:rFonts w:ascii="宋体" w:hAnsi="宋体"/>
          <w:bCs/>
          <w:sz w:val="24"/>
        </w:rPr>
        <w:t>T</w:t>
      </w:r>
      <w:r>
        <w:rPr>
          <w:rFonts w:ascii="宋体" w:hAnsi="宋体"/>
          <w:bCs/>
          <w:sz w:val="24"/>
          <w:vertAlign w:val="subscript"/>
        </w:rPr>
        <w:t>8</w:t>
      </w:r>
      <w:r>
        <w:rPr>
          <w:rFonts w:hint="eastAsia" w:ascii="宋体" w:hAnsi="宋体"/>
          <w:bCs/>
          <w:sz w:val="24"/>
          <w:vertAlign w:val="subscript"/>
        </w:rPr>
        <w:t>D</w:t>
      </w:r>
      <w:r>
        <w:rPr>
          <w:rFonts w:hint="eastAsia" w:ascii="宋体" w:hAnsi="宋体"/>
          <w:bCs/>
          <w:sz w:val="24"/>
        </w:rPr>
        <w:t>型轨道衡检衡车组。</w:t>
      </w:r>
      <w:r>
        <w:rPr>
          <w:bCs/>
          <w:sz w:val="24"/>
        </w:rPr>
        <w:t xml:space="preserve"> </w:t>
      </w:r>
    </w:p>
    <w:p w14:paraId="6F853510">
      <w:pPr>
        <w:spacing w:line="440" w:lineRule="exact"/>
        <w:rPr>
          <w:bCs/>
          <w:sz w:val="24"/>
        </w:rPr>
      </w:pPr>
      <w:r>
        <w:rPr>
          <w:sz w:val="24"/>
          <w:szCs w:val="20"/>
        </w:rPr>
        <w:t>3</w:t>
      </w:r>
      <w:r>
        <w:rPr>
          <w:rFonts w:hint="eastAsia"/>
          <w:bCs/>
          <w:sz w:val="24"/>
        </w:rPr>
        <w:t>试验对象</w:t>
      </w:r>
    </w:p>
    <w:p w14:paraId="6C9D911E">
      <w:pPr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自动</w:t>
      </w:r>
      <w:r>
        <w:rPr>
          <w:rFonts w:ascii="宋体" w:hAnsi="宋体"/>
          <w:bCs/>
          <w:sz w:val="24"/>
        </w:rPr>
        <w:t>轨道衡为</w:t>
      </w:r>
      <w:r>
        <w:rPr>
          <w:rFonts w:hint="eastAsia"/>
          <w:bCs/>
          <w:sz w:val="24"/>
        </w:rPr>
        <w:t>ZGU-100-BWLP</w:t>
      </w:r>
      <w:r>
        <w:rPr>
          <w:rFonts w:ascii="宋体" w:hAnsi="宋体"/>
          <w:bCs/>
          <w:sz w:val="24"/>
        </w:rPr>
        <w:t>型，检定分度值：20</w:t>
      </w:r>
      <w:r>
        <w:rPr>
          <w:rFonts w:hint="eastAsia" w:ascii="宋体" w:hAnsi="宋体"/>
          <w:bCs/>
          <w:sz w:val="24"/>
        </w:rPr>
        <w:t>0</w:t>
      </w:r>
      <w:r>
        <w:rPr>
          <w:rFonts w:ascii="宋体" w:hAnsi="宋体"/>
          <w:bCs/>
          <w:sz w:val="24"/>
        </w:rPr>
        <w:t xml:space="preserve"> kg</w:t>
      </w:r>
      <w:r>
        <w:rPr>
          <w:rFonts w:hint="eastAsia" w:ascii="宋体" w:hAnsi="宋体"/>
          <w:bCs/>
          <w:sz w:val="24"/>
        </w:rPr>
        <w:t>，实际</w:t>
      </w:r>
      <w:r>
        <w:rPr>
          <w:rFonts w:ascii="宋体" w:hAnsi="宋体"/>
          <w:bCs/>
          <w:sz w:val="24"/>
        </w:rPr>
        <w:t>分度值：</w:t>
      </w:r>
      <w:r>
        <w:rPr>
          <w:rFonts w:hint="eastAsia" w:ascii="宋体" w:hAnsi="宋体"/>
          <w:bCs/>
          <w:sz w:val="24"/>
        </w:rPr>
        <w:t>1</w:t>
      </w:r>
      <w:r>
        <w:rPr>
          <w:rFonts w:ascii="宋体" w:hAnsi="宋体"/>
          <w:bCs/>
          <w:sz w:val="24"/>
        </w:rPr>
        <w:t>0 kg准确度等级：</w:t>
      </w:r>
      <w:r>
        <w:rPr>
          <w:rFonts w:hint="eastAsia" w:ascii="宋体" w:hAnsi="宋体"/>
          <w:bCs/>
          <w:sz w:val="24"/>
        </w:rPr>
        <w:t>车辆称量：1</w:t>
      </w:r>
      <w:r>
        <w:rPr>
          <w:rFonts w:ascii="宋体" w:hAnsi="宋体"/>
          <w:bCs/>
          <w:sz w:val="24"/>
        </w:rPr>
        <w:t>级</w:t>
      </w:r>
      <w:r>
        <w:rPr>
          <w:rFonts w:hint="eastAsia" w:ascii="宋体" w:hAnsi="宋体"/>
          <w:bCs/>
          <w:sz w:val="24"/>
        </w:rPr>
        <w:t>，列车称量：1</w:t>
      </w:r>
      <w:r>
        <w:rPr>
          <w:rFonts w:ascii="宋体" w:hAnsi="宋体"/>
          <w:bCs/>
          <w:sz w:val="24"/>
        </w:rPr>
        <w:t>级。</w:t>
      </w:r>
    </w:p>
    <w:p w14:paraId="2C3BEDB8">
      <w:pPr>
        <w:spacing w:line="440" w:lineRule="exact"/>
        <w:rPr>
          <w:sz w:val="24"/>
          <w:szCs w:val="20"/>
        </w:rPr>
      </w:pPr>
      <w:r>
        <w:rPr>
          <w:sz w:val="24"/>
          <w:szCs w:val="20"/>
        </w:rPr>
        <w:t xml:space="preserve">4 </w:t>
      </w:r>
      <w:r>
        <w:rPr>
          <w:rFonts w:hint="eastAsia"/>
          <w:sz w:val="24"/>
          <w:szCs w:val="20"/>
        </w:rPr>
        <w:t>试验项目、方法、数据及结果分析</w:t>
      </w:r>
    </w:p>
    <w:p w14:paraId="121B85E9">
      <w:pPr>
        <w:spacing w:line="440" w:lineRule="exact"/>
        <w:ind w:firstLine="480" w:firstLineChars="200"/>
        <w:rPr>
          <w:sz w:val="24"/>
          <w:szCs w:val="20"/>
        </w:rPr>
      </w:pPr>
      <w:r>
        <w:rPr>
          <w:rFonts w:hint="eastAsia" w:ascii="宋体" w:hAnsi="宋体"/>
          <w:sz w:val="24"/>
          <w:szCs w:val="20"/>
        </w:rPr>
        <w:t>参照</w:t>
      </w:r>
      <w:r>
        <w:rPr>
          <w:bCs/>
          <w:sz w:val="24"/>
          <w:szCs w:val="20"/>
        </w:rPr>
        <w:t>JJF</w:t>
      </w:r>
      <w:r>
        <w:rPr>
          <w:rFonts w:hint="eastAsia"/>
          <w:bCs/>
          <w:sz w:val="24"/>
          <w:szCs w:val="20"/>
        </w:rPr>
        <w:t xml:space="preserve"> </w:t>
      </w:r>
      <w:r>
        <w:rPr>
          <w:bCs/>
          <w:sz w:val="24"/>
          <w:szCs w:val="20"/>
        </w:rPr>
        <w:t>13</w:t>
      </w:r>
      <w:r>
        <w:rPr>
          <w:rFonts w:hint="eastAsia"/>
          <w:bCs/>
          <w:sz w:val="24"/>
          <w:szCs w:val="20"/>
        </w:rPr>
        <w:t>59</w:t>
      </w:r>
      <w:r>
        <w:rPr>
          <w:bCs/>
          <w:sz w:val="24"/>
          <w:szCs w:val="20"/>
        </w:rPr>
        <w:t xml:space="preserve">-XXXX </w:t>
      </w:r>
      <w:r>
        <w:rPr>
          <w:rFonts w:hint="eastAsia" w:ascii="黑体" w:hAnsi="黑体"/>
          <w:bCs/>
          <w:sz w:val="24"/>
          <w:szCs w:val="20"/>
        </w:rPr>
        <w:t>《自动轨道衡</w:t>
      </w:r>
      <w:r>
        <w:rPr>
          <w:rFonts w:hint="eastAsia" w:ascii="黑体" w:hAnsi="黑体"/>
          <w:sz w:val="24"/>
          <w:szCs w:val="20"/>
        </w:rPr>
        <w:t>型式评价大纲</w:t>
      </w:r>
      <w:r>
        <w:rPr>
          <w:rFonts w:hint="eastAsia" w:ascii="黑体" w:hAnsi="黑体"/>
          <w:bCs/>
          <w:sz w:val="24"/>
          <w:szCs w:val="20"/>
        </w:rPr>
        <w:t>》</w:t>
      </w:r>
      <w:r>
        <w:rPr>
          <w:rFonts w:hint="eastAsia" w:ascii="宋体" w:hAnsi="宋体"/>
          <w:sz w:val="24"/>
          <w:szCs w:val="20"/>
        </w:rPr>
        <w:t>，试验项目、方法、试验数据及结果分析</w:t>
      </w:r>
      <w:r>
        <w:rPr>
          <w:rFonts w:hint="eastAsia"/>
          <w:sz w:val="24"/>
          <w:szCs w:val="20"/>
        </w:rPr>
        <w:t>见表</w:t>
      </w:r>
      <w:r>
        <w:rPr>
          <w:sz w:val="24"/>
          <w:szCs w:val="20"/>
        </w:rPr>
        <w:t>1</w:t>
      </w:r>
      <w:r>
        <w:rPr>
          <w:rFonts w:hint="eastAsia"/>
          <w:sz w:val="24"/>
          <w:szCs w:val="20"/>
        </w:rPr>
        <w:t>。</w:t>
      </w:r>
    </w:p>
    <w:p w14:paraId="60395AA9">
      <w:pPr>
        <w:spacing w:line="440" w:lineRule="exact"/>
        <w:ind w:firstLine="480" w:firstLineChars="200"/>
        <w:jc w:val="center"/>
        <w:rPr>
          <w:rFonts w:hint="eastAsia" w:ascii="宋体" w:hAnsi="宋体"/>
          <w:sz w:val="24"/>
          <w:szCs w:val="20"/>
        </w:rPr>
      </w:pPr>
      <w:r>
        <w:rPr>
          <w:rFonts w:hint="eastAsia"/>
          <w:sz w:val="24"/>
          <w:szCs w:val="20"/>
        </w:rPr>
        <w:t>表</w:t>
      </w:r>
      <w:r>
        <w:rPr>
          <w:sz w:val="24"/>
          <w:szCs w:val="20"/>
        </w:rPr>
        <w:t xml:space="preserve">1 </w:t>
      </w:r>
      <w:r>
        <w:rPr>
          <w:rFonts w:hint="eastAsia"/>
          <w:sz w:val="24"/>
          <w:szCs w:val="20"/>
        </w:rPr>
        <w:t>试验项目、方法、试验数据及结果分析表</w:t>
      </w:r>
    </w:p>
    <w:tbl>
      <w:tblPr>
        <w:tblStyle w:val="8"/>
        <w:tblW w:w="94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"/>
        <w:gridCol w:w="1969"/>
        <w:gridCol w:w="1761"/>
        <w:gridCol w:w="2904"/>
        <w:gridCol w:w="992"/>
        <w:gridCol w:w="964"/>
      </w:tblGrid>
      <w:tr w14:paraId="29CA6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  <w:jc w:val="center"/>
        </w:trPr>
        <w:tc>
          <w:tcPr>
            <w:tcW w:w="834" w:type="dxa"/>
            <w:vAlign w:val="center"/>
          </w:tcPr>
          <w:p w14:paraId="013251C1">
            <w:pPr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969" w:type="dxa"/>
            <w:vAlign w:val="center"/>
          </w:tcPr>
          <w:p w14:paraId="027719A1">
            <w:pPr>
              <w:rPr>
                <w:b/>
              </w:rPr>
            </w:pPr>
            <w:r>
              <w:rPr>
                <w:rFonts w:hint="eastAsia"/>
                <w:b/>
              </w:rPr>
              <w:t>主要项目</w:t>
            </w:r>
          </w:p>
        </w:tc>
        <w:tc>
          <w:tcPr>
            <w:tcW w:w="1761" w:type="dxa"/>
            <w:vAlign w:val="center"/>
          </w:tcPr>
          <w:p w14:paraId="5D5D7E8C">
            <w:pPr>
              <w:rPr>
                <w:b/>
              </w:rPr>
            </w:pPr>
            <w:r>
              <w:rPr>
                <w:rFonts w:hint="eastAsia"/>
                <w:b/>
              </w:rPr>
              <w:t>方法</w:t>
            </w:r>
          </w:p>
        </w:tc>
        <w:tc>
          <w:tcPr>
            <w:tcW w:w="2904" w:type="dxa"/>
            <w:vAlign w:val="center"/>
          </w:tcPr>
          <w:p w14:paraId="751DEEE7">
            <w:pPr>
              <w:rPr>
                <w:b/>
              </w:rPr>
            </w:pPr>
            <w:r>
              <w:rPr>
                <w:rFonts w:hint="eastAsia"/>
                <w:b/>
              </w:rPr>
              <w:t>试验数据及结果分析</w:t>
            </w:r>
          </w:p>
        </w:tc>
        <w:tc>
          <w:tcPr>
            <w:tcW w:w="992" w:type="dxa"/>
            <w:vAlign w:val="center"/>
          </w:tcPr>
          <w:p w14:paraId="18631AFB">
            <w:pPr>
              <w:rPr>
                <w:b/>
              </w:rPr>
            </w:pPr>
            <w:r>
              <w:rPr>
                <w:rFonts w:hint="eastAsia"/>
                <w:b/>
              </w:rPr>
              <w:t>结论</w:t>
            </w:r>
          </w:p>
        </w:tc>
        <w:tc>
          <w:tcPr>
            <w:tcW w:w="964" w:type="dxa"/>
            <w:vAlign w:val="center"/>
          </w:tcPr>
          <w:p w14:paraId="2D0EBF37">
            <w:pPr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14:paraId="7BA17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34" w:type="dxa"/>
            <w:vAlign w:val="center"/>
          </w:tcPr>
          <w:p w14:paraId="54922198">
            <w:pPr>
              <w:numPr>
                <w:ilvl w:val="0"/>
                <w:numId w:val="3"/>
              </w:numPr>
            </w:pPr>
          </w:p>
        </w:tc>
        <w:tc>
          <w:tcPr>
            <w:tcW w:w="1969" w:type="dxa"/>
            <w:vAlign w:val="center"/>
          </w:tcPr>
          <w:p w14:paraId="051FA794">
            <w:r>
              <w:rPr>
                <w:rFonts w:hint="eastAsia"/>
              </w:rPr>
              <w:t>计量单位</w:t>
            </w:r>
          </w:p>
        </w:tc>
        <w:tc>
          <w:tcPr>
            <w:tcW w:w="1761" w:type="dxa"/>
            <w:vAlign w:val="center"/>
          </w:tcPr>
          <w:p w14:paraId="51E77BBE">
            <w:r>
              <w:rPr>
                <w:rFonts w:hint="eastAsia"/>
              </w:rPr>
              <w:t>目视观察</w:t>
            </w:r>
          </w:p>
        </w:tc>
        <w:tc>
          <w:tcPr>
            <w:tcW w:w="2904" w:type="dxa"/>
            <w:vAlign w:val="center"/>
          </w:tcPr>
          <w:p w14:paraId="207841C5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轨道衡使用的计量单位是</w:t>
            </w:r>
            <w:r>
              <w:rPr>
                <w:rFonts w:hint="eastAsia"/>
                <w:color w:val="000000"/>
                <w:szCs w:val="21"/>
              </w:rPr>
              <w:t>千克 (kg)，符合</w:t>
            </w:r>
            <w:r>
              <w:rPr>
                <w:color w:val="000000"/>
                <w:szCs w:val="21"/>
              </w:rPr>
              <w:t>5.1</w:t>
            </w:r>
            <w:r>
              <w:rPr>
                <w:rFonts w:hint="eastAsia"/>
                <w:color w:val="000000"/>
                <w:szCs w:val="21"/>
              </w:rPr>
              <w:t>规定要求。</w:t>
            </w:r>
          </w:p>
        </w:tc>
        <w:tc>
          <w:tcPr>
            <w:tcW w:w="992" w:type="dxa"/>
            <w:vAlign w:val="center"/>
          </w:tcPr>
          <w:p w14:paraId="407FD3A5">
            <w:bookmarkStart w:id="1" w:name="OLE_LINK6"/>
            <w:r>
              <w:rPr>
                <w:rFonts w:hint="eastAsia"/>
              </w:rPr>
              <w:t>合格</w:t>
            </w:r>
            <w:bookmarkEnd w:id="1"/>
          </w:p>
        </w:tc>
        <w:tc>
          <w:tcPr>
            <w:tcW w:w="964" w:type="dxa"/>
            <w:vAlign w:val="center"/>
          </w:tcPr>
          <w:p w14:paraId="02E739CF"/>
        </w:tc>
      </w:tr>
      <w:tr w14:paraId="5A0A6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34" w:type="dxa"/>
            <w:vAlign w:val="center"/>
          </w:tcPr>
          <w:p w14:paraId="3E7A7762">
            <w:pPr>
              <w:numPr>
                <w:ilvl w:val="0"/>
                <w:numId w:val="3"/>
              </w:numPr>
            </w:pPr>
          </w:p>
        </w:tc>
        <w:tc>
          <w:tcPr>
            <w:tcW w:w="1969" w:type="dxa"/>
            <w:vAlign w:val="center"/>
          </w:tcPr>
          <w:p w14:paraId="7B42C38A">
            <w:pPr>
              <w:rPr>
                <w:rFonts w:hint="eastAsia"/>
              </w:rPr>
            </w:pPr>
            <w:r>
              <w:t>计量法制标志和计量器具标识</w:t>
            </w:r>
          </w:p>
        </w:tc>
        <w:tc>
          <w:tcPr>
            <w:tcW w:w="1761" w:type="dxa"/>
            <w:vAlign w:val="center"/>
          </w:tcPr>
          <w:p w14:paraId="4B547646">
            <w:pPr>
              <w:rPr>
                <w:rFonts w:hint="eastAsia"/>
              </w:rPr>
            </w:pPr>
            <w:r>
              <w:rPr>
                <w:rFonts w:hint="eastAsia"/>
              </w:rPr>
              <w:t>目视观察</w:t>
            </w:r>
          </w:p>
        </w:tc>
        <w:tc>
          <w:tcPr>
            <w:tcW w:w="2904" w:type="dxa"/>
            <w:vAlign w:val="center"/>
          </w:tcPr>
          <w:p w14:paraId="024A4010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符合</w:t>
            </w:r>
            <w:r>
              <w:rPr>
                <w:color w:val="000000"/>
                <w:szCs w:val="21"/>
              </w:rPr>
              <w:t>5.</w:t>
            </w:r>
            <w:r>
              <w:rPr>
                <w:rFonts w:hint="eastAsia"/>
                <w:color w:val="000000"/>
                <w:szCs w:val="21"/>
              </w:rPr>
              <w:t>2规定要求。</w:t>
            </w:r>
          </w:p>
        </w:tc>
        <w:tc>
          <w:tcPr>
            <w:tcW w:w="992" w:type="dxa"/>
            <w:vAlign w:val="center"/>
          </w:tcPr>
          <w:p w14:paraId="7588571D">
            <w:pPr>
              <w:rPr>
                <w:rFonts w:hint="eastAsia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964" w:type="dxa"/>
            <w:vAlign w:val="center"/>
          </w:tcPr>
          <w:p w14:paraId="0A82E150"/>
        </w:tc>
      </w:tr>
      <w:tr w14:paraId="7FB01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34" w:type="dxa"/>
            <w:vAlign w:val="center"/>
          </w:tcPr>
          <w:p w14:paraId="60086963">
            <w:pPr>
              <w:numPr>
                <w:ilvl w:val="0"/>
                <w:numId w:val="3"/>
              </w:numPr>
            </w:pPr>
          </w:p>
        </w:tc>
        <w:tc>
          <w:tcPr>
            <w:tcW w:w="1969" w:type="dxa"/>
            <w:vAlign w:val="center"/>
          </w:tcPr>
          <w:p w14:paraId="3DBFEAD5">
            <w:pPr>
              <w:rPr>
                <w:rFonts w:hint="eastAsia"/>
              </w:rPr>
            </w:pPr>
            <w:r>
              <w:t>准确度等级</w:t>
            </w:r>
          </w:p>
        </w:tc>
        <w:tc>
          <w:tcPr>
            <w:tcW w:w="1761" w:type="dxa"/>
            <w:vAlign w:val="center"/>
          </w:tcPr>
          <w:p w14:paraId="06A0CE7D">
            <w:pPr>
              <w:rPr>
                <w:rFonts w:hint="eastAsia"/>
              </w:rPr>
            </w:pPr>
            <w:r>
              <w:rPr>
                <w:rFonts w:hint="eastAsia"/>
              </w:rPr>
              <w:t>目视观察</w:t>
            </w:r>
          </w:p>
        </w:tc>
        <w:tc>
          <w:tcPr>
            <w:tcW w:w="2904" w:type="dxa"/>
            <w:vAlign w:val="center"/>
          </w:tcPr>
          <w:p w14:paraId="621E5478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准确度等级1级，符合6</w:t>
            </w:r>
            <w:r>
              <w:rPr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</w:rPr>
              <w:t>1规定要求。</w:t>
            </w:r>
          </w:p>
        </w:tc>
        <w:tc>
          <w:tcPr>
            <w:tcW w:w="992" w:type="dxa"/>
            <w:vAlign w:val="center"/>
          </w:tcPr>
          <w:p w14:paraId="409B6F3D">
            <w:pPr>
              <w:rPr>
                <w:rFonts w:hint="eastAsia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964" w:type="dxa"/>
            <w:vAlign w:val="center"/>
          </w:tcPr>
          <w:p w14:paraId="2607435D"/>
        </w:tc>
      </w:tr>
      <w:tr w14:paraId="6FD5B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34" w:type="dxa"/>
            <w:vAlign w:val="center"/>
          </w:tcPr>
          <w:p w14:paraId="215ADBEB">
            <w:pPr>
              <w:numPr>
                <w:ilvl w:val="0"/>
                <w:numId w:val="3"/>
              </w:numPr>
            </w:pPr>
          </w:p>
        </w:tc>
        <w:tc>
          <w:tcPr>
            <w:tcW w:w="1969" w:type="dxa"/>
            <w:vAlign w:val="center"/>
          </w:tcPr>
          <w:p w14:paraId="35B39CFD">
            <w:r>
              <w:rPr>
                <w:rFonts w:hint="eastAsia"/>
              </w:rPr>
              <w:t>检定分度值</w:t>
            </w:r>
          </w:p>
        </w:tc>
        <w:tc>
          <w:tcPr>
            <w:tcW w:w="1761" w:type="dxa"/>
            <w:vAlign w:val="center"/>
          </w:tcPr>
          <w:p w14:paraId="469A6EDA">
            <w:pPr>
              <w:rPr>
                <w:rFonts w:hint="eastAsia"/>
              </w:rPr>
            </w:pPr>
            <w:r>
              <w:rPr>
                <w:rFonts w:hint="eastAsia"/>
              </w:rPr>
              <w:t>目视观察</w:t>
            </w:r>
          </w:p>
        </w:tc>
        <w:tc>
          <w:tcPr>
            <w:tcW w:w="2904" w:type="dxa"/>
            <w:vAlign w:val="center"/>
          </w:tcPr>
          <w:p w14:paraId="2D9B6BFA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检定分度值200 kg，检定分度数500，符合6</w:t>
            </w:r>
            <w:r>
              <w:rPr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</w:rPr>
              <w:t>2规定要求。</w:t>
            </w:r>
          </w:p>
        </w:tc>
        <w:tc>
          <w:tcPr>
            <w:tcW w:w="992" w:type="dxa"/>
            <w:vAlign w:val="center"/>
          </w:tcPr>
          <w:p w14:paraId="3E8A13F0">
            <w:pPr>
              <w:rPr>
                <w:rFonts w:hint="eastAsia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964" w:type="dxa"/>
            <w:vAlign w:val="center"/>
          </w:tcPr>
          <w:p w14:paraId="522BA7EB"/>
        </w:tc>
      </w:tr>
      <w:tr w14:paraId="4E814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834" w:type="dxa"/>
            <w:vAlign w:val="center"/>
          </w:tcPr>
          <w:p w14:paraId="287F69F5">
            <w:pPr>
              <w:numPr>
                <w:ilvl w:val="0"/>
                <w:numId w:val="3"/>
              </w:numPr>
            </w:pPr>
          </w:p>
        </w:tc>
        <w:tc>
          <w:tcPr>
            <w:tcW w:w="1969" w:type="dxa"/>
            <w:vAlign w:val="center"/>
          </w:tcPr>
          <w:p w14:paraId="3B10B325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温度范围</w:t>
            </w:r>
          </w:p>
        </w:tc>
        <w:tc>
          <w:tcPr>
            <w:tcW w:w="1761" w:type="dxa"/>
            <w:vAlign w:val="center"/>
          </w:tcPr>
          <w:p w14:paraId="0AB575CD">
            <w:r>
              <w:rPr>
                <w:rFonts w:hint="eastAsia"/>
              </w:rPr>
              <w:t>目视观察</w:t>
            </w:r>
          </w:p>
        </w:tc>
        <w:tc>
          <w:tcPr>
            <w:tcW w:w="2904" w:type="dxa"/>
            <w:vAlign w:val="center"/>
          </w:tcPr>
          <w:p w14:paraId="15DE4186">
            <w:pPr>
              <w:rPr>
                <w:color w:val="000000"/>
                <w:szCs w:val="21"/>
              </w:rPr>
            </w:pPr>
            <w:r>
              <w:rPr>
                <w:rFonts w:hint="eastAsia"/>
              </w:rPr>
              <w:t>符合</w:t>
            </w:r>
            <w:r>
              <w:rPr>
                <w:rFonts w:hint="eastAsia"/>
                <w:color w:val="000000"/>
                <w:szCs w:val="21"/>
              </w:rPr>
              <w:t>6.4.1规定要求。</w:t>
            </w:r>
          </w:p>
        </w:tc>
        <w:tc>
          <w:tcPr>
            <w:tcW w:w="992" w:type="dxa"/>
          </w:tcPr>
          <w:p w14:paraId="0A8462C3">
            <w:r>
              <w:rPr>
                <w:rFonts w:hint="eastAsia"/>
              </w:rPr>
              <w:t>合格</w:t>
            </w:r>
          </w:p>
        </w:tc>
        <w:tc>
          <w:tcPr>
            <w:tcW w:w="964" w:type="dxa"/>
            <w:vAlign w:val="center"/>
          </w:tcPr>
          <w:p w14:paraId="13CD8558"/>
        </w:tc>
      </w:tr>
      <w:tr w14:paraId="5E900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834" w:type="dxa"/>
            <w:vAlign w:val="center"/>
          </w:tcPr>
          <w:p w14:paraId="3FDFE4C5">
            <w:pPr>
              <w:numPr>
                <w:ilvl w:val="0"/>
                <w:numId w:val="3"/>
              </w:numPr>
            </w:pPr>
          </w:p>
        </w:tc>
        <w:tc>
          <w:tcPr>
            <w:tcW w:w="1969" w:type="dxa"/>
            <w:vAlign w:val="center"/>
          </w:tcPr>
          <w:p w14:paraId="0B582E2A">
            <w:pPr>
              <w:rPr>
                <w:rFonts w:hint="eastAsia" w:hAnsi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相对湿度</w:t>
            </w:r>
          </w:p>
        </w:tc>
        <w:tc>
          <w:tcPr>
            <w:tcW w:w="1761" w:type="dxa"/>
            <w:vAlign w:val="center"/>
          </w:tcPr>
          <w:p w14:paraId="50EFB781">
            <w:r>
              <w:rPr>
                <w:rFonts w:hint="eastAsia"/>
              </w:rPr>
              <w:t>目视观察</w:t>
            </w:r>
          </w:p>
        </w:tc>
        <w:tc>
          <w:tcPr>
            <w:tcW w:w="2904" w:type="dxa"/>
            <w:vAlign w:val="center"/>
          </w:tcPr>
          <w:p w14:paraId="4EE98E70">
            <w:r>
              <w:rPr>
                <w:rFonts w:hint="eastAsia"/>
              </w:rPr>
              <w:t>符合</w:t>
            </w:r>
            <w:r>
              <w:rPr>
                <w:rFonts w:hint="eastAsia"/>
                <w:color w:val="000000"/>
                <w:szCs w:val="21"/>
              </w:rPr>
              <w:t>6.4.2规定要求。</w:t>
            </w:r>
          </w:p>
        </w:tc>
        <w:tc>
          <w:tcPr>
            <w:tcW w:w="992" w:type="dxa"/>
          </w:tcPr>
          <w:p w14:paraId="710A3AC6">
            <w:r>
              <w:rPr>
                <w:rFonts w:hint="eastAsia"/>
              </w:rPr>
              <w:t>合格</w:t>
            </w:r>
          </w:p>
        </w:tc>
        <w:tc>
          <w:tcPr>
            <w:tcW w:w="964" w:type="dxa"/>
            <w:vAlign w:val="center"/>
          </w:tcPr>
          <w:p w14:paraId="307DA0D6"/>
        </w:tc>
      </w:tr>
      <w:tr w14:paraId="11A2A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834" w:type="dxa"/>
            <w:vAlign w:val="center"/>
          </w:tcPr>
          <w:p w14:paraId="260CB60A">
            <w:pPr>
              <w:numPr>
                <w:ilvl w:val="0"/>
                <w:numId w:val="3"/>
              </w:numPr>
            </w:pPr>
          </w:p>
        </w:tc>
        <w:tc>
          <w:tcPr>
            <w:tcW w:w="1969" w:type="dxa"/>
            <w:vAlign w:val="center"/>
          </w:tcPr>
          <w:p w14:paraId="50B057B4">
            <w:pPr>
              <w:rPr>
                <w:rFonts w:hint="eastAsia" w:hAnsi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供电电压</w:t>
            </w:r>
          </w:p>
        </w:tc>
        <w:tc>
          <w:tcPr>
            <w:tcW w:w="1761" w:type="dxa"/>
            <w:vAlign w:val="center"/>
          </w:tcPr>
          <w:p w14:paraId="18216577">
            <w:r>
              <w:rPr>
                <w:rFonts w:hint="eastAsia"/>
              </w:rPr>
              <w:t>目视观察</w:t>
            </w:r>
          </w:p>
        </w:tc>
        <w:tc>
          <w:tcPr>
            <w:tcW w:w="2904" w:type="dxa"/>
            <w:vAlign w:val="center"/>
          </w:tcPr>
          <w:p w14:paraId="754C42FD">
            <w:r>
              <w:rPr>
                <w:rFonts w:hint="eastAsia"/>
              </w:rPr>
              <w:t>符合</w:t>
            </w:r>
            <w:r>
              <w:rPr>
                <w:rFonts w:hint="eastAsia"/>
                <w:color w:val="000000"/>
                <w:szCs w:val="21"/>
              </w:rPr>
              <w:t>6.4.3规定要求。</w:t>
            </w:r>
          </w:p>
        </w:tc>
        <w:tc>
          <w:tcPr>
            <w:tcW w:w="992" w:type="dxa"/>
          </w:tcPr>
          <w:p w14:paraId="09B2D308">
            <w:r>
              <w:rPr>
                <w:rFonts w:hint="eastAsia"/>
              </w:rPr>
              <w:t>合格</w:t>
            </w:r>
          </w:p>
        </w:tc>
        <w:tc>
          <w:tcPr>
            <w:tcW w:w="964" w:type="dxa"/>
            <w:vAlign w:val="center"/>
          </w:tcPr>
          <w:p w14:paraId="2C569BC5"/>
        </w:tc>
      </w:tr>
      <w:tr w14:paraId="48D79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834" w:type="dxa"/>
            <w:vAlign w:val="center"/>
          </w:tcPr>
          <w:p w14:paraId="1283C02E">
            <w:pPr>
              <w:numPr>
                <w:ilvl w:val="0"/>
                <w:numId w:val="3"/>
              </w:numPr>
            </w:pPr>
          </w:p>
        </w:tc>
        <w:tc>
          <w:tcPr>
            <w:tcW w:w="1969" w:type="dxa"/>
            <w:vAlign w:val="center"/>
          </w:tcPr>
          <w:p w14:paraId="6370521E">
            <w:pPr>
              <w:rPr>
                <w:rFonts w:hint="eastAsia" w:hAnsi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使用的适用性</w:t>
            </w:r>
          </w:p>
        </w:tc>
        <w:tc>
          <w:tcPr>
            <w:tcW w:w="1761" w:type="dxa"/>
            <w:vAlign w:val="center"/>
          </w:tcPr>
          <w:p w14:paraId="670B2595">
            <w:r>
              <w:rPr>
                <w:rFonts w:hint="eastAsia"/>
              </w:rPr>
              <w:t>目视观察</w:t>
            </w:r>
          </w:p>
        </w:tc>
        <w:tc>
          <w:tcPr>
            <w:tcW w:w="2904" w:type="dxa"/>
            <w:vAlign w:val="center"/>
          </w:tcPr>
          <w:p w14:paraId="70AF141C">
            <w:r>
              <w:rPr>
                <w:rFonts w:hint="eastAsia"/>
              </w:rPr>
              <w:t>符合</w:t>
            </w:r>
            <w:r>
              <w:rPr>
                <w:rFonts w:hint="eastAsia"/>
                <w:color w:val="000000"/>
                <w:szCs w:val="21"/>
              </w:rPr>
              <w:t>7.1规定要求。</w:t>
            </w:r>
          </w:p>
        </w:tc>
        <w:tc>
          <w:tcPr>
            <w:tcW w:w="992" w:type="dxa"/>
            <w:vAlign w:val="center"/>
          </w:tcPr>
          <w:p w14:paraId="07A37900">
            <w:r>
              <w:rPr>
                <w:rFonts w:hint="eastAsia"/>
              </w:rPr>
              <w:t>合格</w:t>
            </w:r>
          </w:p>
        </w:tc>
        <w:tc>
          <w:tcPr>
            <w:tcW w:w="964" w:type="dxa"/>
            <w:vAlign w:val="center"/>
          </w:tcPr>
          <w:p w14:paraId="2565AE2C"/>
        </w:tc>
      </w:tr>
      <w:tr w14:paraId="20D34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834" w:type="dxa"/>
            <w:vAlign w:val="center"/>
          </w:tcPr>
          <w:p w14:paraId="1B71C619">
            <w:pPr>
              <w:numPr>
                <w:ilvl w:val="0"/>
                <w:numId w:val="3"/>
              </w:numPr>
            </w:pPr>
          </w:p>
        </w:tc>
        <w:tc>
          <w:tcPr>
            <w:tcW w:w="1969" w:type="dxa"/>
            <w:vAlign w:val="center"/>
          </w:tcPr>
          <w:p w14:paraId="76C97396">
            <w:pPr>
              <w:rPr>
                <w:rFonts w:hint="eastAsia" w:hAnsi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欺骗性使用</w:t>
            </w:r>
          </w:p>
        </w:tc>
        <w:tc>
          <w:tcPr>
            <w:tcW w:w="1761" w:type="dxa"/>
            <w:vAlign w:val="center"/>
          </w:tcPr>
          <w:p w14:paraId="29643EC6">
            <w:r>
              <w:rPr>
                <w:rFonts w:hint="eastAsia"/>
              </w:rPr>
              <w:t>目视观察</w:t>
            </w:r>
          </w:p>
        </w:tc>
        <w:tc>
          <w:tcPr>
            <w:tcW w:w="2904" w:type="dxa"/>
            <w:vAlign w:val="center"/>
          </w:tcPr>
          <w:p w14:paraId="0B2069E6">
            <w:r>
              <w:rPr>
                <w:rFonts w:hint="eastAsia"/>
              </w:rPr>
              <w:t>关键参数动态密码加密数据库中，符合</w:t>
            </w:r>
            <w:r>
              <w:rPr>
                <w:rFonts w:hint="eastAsia"/>
                <w:color w:val="000000"/>
                <w:szCs w:val="21"/>
              </w:rPr>
              <w:t>7.2.1规定要求。</w:t>
            </w:r>
          </w:p>
        </w:tc>
        <w:tc>
          <w:tcPr>
            <w:tcW w:w="992" w:type="dxa"/>
            <w:vAlign w:val="center"/>
          </w:tcPr>
          <w:p w14:paraId="758B5C2A">
            <w:bookmarkStart w:id="2" w:name="OLE_LINK7"/>
            <w:r>
              <w:rPr>
                <w:rFonts w:hint="eastAsia"/>
              </w:rPr>
              <w:t>合格</w:t>
            </w:r>
            <w:bookmarkEnd w:id="2"/>
          </w:p>
        </w:tc>
        <w:tc>
          <w:tcPr>
            <w:tcW w:w="964" w:type="dxa"/>
            <w:vAlign w:val="center"/>
          </w:tcPr>
          <w:p w14:paraId="7E5BBFA0"/>
        </w:tc>
      </w:tr>
      <w:tr w14:paraId="4445B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834" w:type="dxa"/>
            <w:vAlign w:val="center"/>
          </w:tcPr>
          <w:p w14:paraId="0B5163D6">
            <w:pPr>
              <w:numPr>
                <w:ilvl w:val="0"/>
                <w:numId w:val="3"/>
              </w:numPr>
            </w:pPr>
          </w:p>
        </w:tc>
        <w:tc>
          <w:tcPr>
            <w:tcW w:w="1969" w:type="dxa"/>
            <w:vAlign w:val="center"/>
          </w:tcPr>
          <w:p w14:paraId="4C6FBA92">
            <w:pPr>
              <w:rPr>
                <w:rFonts w:hint="eastAsia" w:ascii="宋体" w:hAnsi="宋体"/>
                <w:color w:val="000000"/>
                <w:szCs w:val="21"/>
                <w:lang w:val="en-GB"/>
              </w:rPr>
            </w:pPr>
            <w:r>
              <w:rPr>
                <w:color w:val="000000"/>
                <w:szCs w:val="21"/>
              </w:rPr>
              <w:t>意外失调</w:t>
            </w:r>
          </w:p>
        </w:tc>
        <w:tc>
          <w:tcPr>
            <w:tcW w:w="1761" w:type="dxa"/>
            <w:vAlign w:val="center"/>
          </w:tcPr>
          <w:p w14:paraId="755544DC">
            <w:r>
              <w:rPr>
                <w:rFonts w:hint="eastAsia"/>
              </w:rPr>
              <w:t>目视观察</w:t>
            </w:r>
          </w:p>
        </w:tc>
        <w:tc>
          <w:tcPr>
            <w:tcW w:w="2904" w:type="dxa"/>
            <w:vAlign w:val="center"/>
          </w:tcPr>
          <w:p w14:paraId="1900C450">
            <w:r>
              <w:rPr>
                <w:rFonts w:hint="eastAsia"/>
              </w:rPr>
              <w:t>称重传感器码值实时记录及趋势预警，符合</w:t>
            </w:r>
            <w:r>
              <w:rPr>
                <w:rFonts w:hint="eastAsia"/>
                <w:color w:val="000000"/>
                <w:szCs w:val="21"/>
              </w:rPr>
              <w:t>7.2.2规定要求。</w:t>
            </w:r>
          </w:p>
        </w:tc>
        <w:tc>
          <w:tcPr>
            <w:tcW w:w="992" w:type="dxa"/>
            <w:vAlign w:val="center"/>
          </w:tcPr>
          <w:p w14:paraId="4D77DE2B">
            <w:r>
              <w:rPr>
                <w:rFonts w:hint="eastAsia"/>
              </w:rPr>
              <w:t>合格</w:t>
            </w:r>
          </w:p>
        </w:tc>
        <w:tc>
          <w:tcPr>
            <w:tcW w:w="964" w:type="dxa"/>
            <w:vAlign w:val="center"/>
          </w:tcPr>
          <w:p w14:paraId="0A92FECD"/>
        </w:tc>
      </w:tr>
      <w:tr w14:paraId="1A09F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834" w:type="dxa"/>
            <w:vAlign w:val="center"/>
          </w:tcPr>
          <w:p w14:paraId="126BBC0A">
            <w:pPr>
              <w:numPr>
                <w:ilvl w:val="0"/>
                <w:numId w:val="3"/>
              </w:numPr>
            </w:pPr>
          </w:p>
        </w:tc>
        <w:tc>
          <w:tcPr>
            <w:tcW w:w="1969" w:type="dxa"/>
            <w:vAlign w:val="center"/>
          </w:tcPr>
          <w:p w14:paraId="2B2B8988">
            <w:pPr>
              <w:rPr>
                <w:rFonts w:hint="eastAsia" w:ascii="宋体" w:hAnsi="宋体"/>
                <w:color w:val="000000"/>
                <w:szCs w:val="21"/>
                <w:lang w:val="en-GB"/>
              </w:rPr>
            </w:pPr>
            <w:r>
              <w:rPr>
                <w:color w:val="000000"/>
                <w:szCs w:val="21"/>
              </w:rPr>
              <w:t>中途反向称量</w:t>
            </w:r>
          </w:p>
        </w:tc>
        <w:tc>
          <w:tcPr>
            <w:tcW w:w="1761" w:type="dxa"/>
            <w:vAlign w:val="center"/>
          </w:tcPr>
          <w:p w14:paraId="4047FD40">
            <w:r>
              <w:rPr>
                <w:rFonts w:hint="eastAsia"/>
              </w:rPr>
              <w:t>目视观察</w:t>
            </w:r>
          </w:p>
        </w:tc>
        <w:tc>
          <w:tcPr>
            <w:tcW w:w="2904" w:type="dxa"/>
            <w:vAlign w:val="center"/>
          </w:tcPr>
          <w:p w14:paraId="258BB5B7">
            <w:r>
              <w:rPr>
                <w:rFonts w:hint="eastAsia"/>
              </w:rPr>
              <w:t>符合</w:t>
            </w:r>
            <w:r>
              <w:rPr>
                <w:rFonts w:hint="eastAsia"/>
                <w:color w:val="000000"/>
                <w:szCs w:val="21"/>
              </w:rPr>
              <w:t>7.2.3规定要求。</w:t>
            </w:r>
          </w:p>
        </w:tc>
        <w:tc>
          <w:tcPr>
            <w:tcW w:w="992" w:type="dxa"/>
            <w:vAlign w:val="center"/>
          </w:tcPr>
          <w:p w14:paraId="7BC6ECB7">
            <w:r>
              <w:rPr>
                <w:rFonts w:hint="eastAsia"/>
              </w:rPr>
              <w:t>合格</w:t>
            </w:r>
          </w:p>
        </w:tc>
        <w:tc>
          <w:tcPr>
            <w:tcW w:w="964" w:type="dxa"/>
            <w:vAlign w:val="center"/>
          </w:tcPr>
          <w:p w14:paraId="19743460"/>
        </w:tc>
      </w:tr>
      <w:tr w14:paraId="42935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834" w:type="dxa"/>
            <w:vAlign w:val="center"/>
          </w:tcPr>
          <w:p w14:paraId="0DA69A6B">
            <w:pPr>
              <w:numPr>
                <w:ilvl w:val="0"/>
                <w:numId w:val="3"/>
              </w:numPr>
            </w:pPr>
          </w:p>
        </w:tc>
        <w:tc>
          <w:tcPr>
            <w:tcW w:w="1969" w:type="dxa"/>
            <w:vAlign w:val="center"/>
          </w:tcPr>
          <w:p w14:paraId="4B7EA761">
            <w:pPr>
              <w:rPr>
                <w:rFonts w:hint="eastAsia" w:ascii="宋体" w:hAnsi="宋体"/>
                <w:snapToGrid w:val="0"/>
                <w:color w:val="000000"/>
                <w:lang w:val="en-GB"/>
              </w:rPr>
            </w:pPr>
            <w:r>
              <w:rPr>
                <w:color w:val="000000"/>
                <w:szCs w:val="21"/>
              </w:rPr>
              <w:t>称量的指示</w:t>
            </w:r>
          </w:p>
        </w:tc>
        <w:tc>
          <w:tcPr>
            <w:tcW w:w="1761" w:type="dxa"/>
            <w:vAlign w:val="center"/>
          </w:tcPr>
          <w:p w14:paraId="54E80A08">
            <w:r>
              <w:rPr>
                <w:rFonts w:hint="eastAsia"/>
              </w:rPr>
              <w:t>目视观察</w:t>
            </w:r>
          </w:p>
        </w:tc>
        <w:tc>
          <w:tcPr>
            <w:tcW w:w="2904" w:type="dxa"/>
            <w:vAlign w:val="center"/>
          </w:tcPr>
          <w:p w14:paraId="747E087A">
            <w:r>
              <w:rPr>
                <w:rFonts w:hint="eastAsia"/>
              </w:rPr>
              <w:t>符合</w:t>
            </w:r>
            <w:r>
              <w:rPr>
                <w:rFonts w:hint="eastAsia"/>
                <w:color w:val="000000"/>
                <w:szCs w:val="21"/>
              </w:rPr>
              <w:t>7</w:t>
            </w:r>
            <w:r>
              <w:rPr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</w:rPr>
              <w:t>3</w:t>
            </w:r>
            <w:r>
              <w:rPr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</w:rPr>
              <w:t>1规定要求。</w:t>
            </w:r>
          </w:p>
        </w:tc>
        <w:tc>
          <w:tcPr>
            <w:tcW w:w="992" w:type="dxa"/>
            <w:vAlign w:val="center"/>
          </w:tcPr>
          <w:p w14:paraId="2218370B">
            <w:r>
              <w:rPr>
                <w:rFonts w:hint="eastAsia"/>
              </w:rPr>
              <w:t>合格</w:t>
            </w:r>
          </w:p>
        </w:tc>
        <w:tc>
          <w:tcPr>
            <w:tcW w:w="964" w:type="dxa"/>
            <w:vAlign w:val="center"/>
          </w:tcPr>
          <w:p w14:paraId="16046B41"/>
        </w:tc>
      </w:tr>
      <w:tr w14:paraId="75ED0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834" w:type="dxa"/>
            <w:vAlign w:val="center"/>
          </w:tcPr>
          <w:p w14:paraId="369AAA68">
            <w:pPr>
              <w:numPr>
                <w:ilvl w:val="0"/>
                <w:numId w:val="3"/>
              </w:numPr>
            </w:pPr>
          </w:p>
        </w:tc>
        <w:tc>
          <w:tcPr>
            <w:tcW w:w="1969" w:type="dxa"/>
            <w:vAlign w:val="center"/>
          </w:tcPr>
          <w:p w14:paraId="66881585">
            <w:pPr>
              <w:rPr>
                <w:rFonts w:hint="eastAsia" w:hAnsi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打印</w:t>
            </w:r>
            <w:r>
              <w:rPr>
                <w:rFonts w:hint="eastAsia"/>
                <w:color w:val="000000"/>
                <w:szCs w:val="21"/>
              </w:rPr>
              <w:t>输出</w:t>
            </w:r>
          </w:p>
        </w:tc>
        <w:tc>
          <w:tcPr>
            <w:tcW w:w="1761" w:type="dxa"/>
            <w:vAlign w:val="center"/>
          </w:tcPr>
          <w:p w14:paraId="0DAE82EF">
            <w:r>
              <w:rPr>
                <w:rFonts w:hint="eastAsia"/>
              </w:rPr>
              <w:t>目视观察</w:t>
            </w:r>
          </w:p>
        </w:tc>
        <w:tc>
          <w:tcPr>
            <w:tcW w:w="2904" w:type="dxa"/>
            <w:vAlign w:val="center"/>
          </w:tcPr>
          <w:p w14:paraId="42DDEFAB">
            <w:r>
              <w:rPr>
                <w:rFonts w:hint="eastAsia"/>
              </w:rPr>
              <w:t>符合</w:t>
            </w:r>
            <w:r>
              <w:rPr>
                <w:color w:val="000000"/>
                <w:szCs w:val="21"/>
              </w:rPr>
              <w:t>7.</w:t>
            </w:r>
            <w:r>
              <w:rPr>
                <w:rFonts w:hint="eastAsia"/>
                <w:color w:val="000000"/>
                <w:szCs w:val="21"/>
              </w:rPr>
              <w:t>3.2规定要求。</w:t>
            </w:r>
          </w:p>
        </w:tc>
        <w:tc>
          <w:tcPr>
            <w:tcW w:w="992" w:type="dxa"/>
            <w:vAlign w:val="center"/>
          </w:tcPr>
          <w:p w14:paraId="57404F35">
            <w:bookmarkStart w:id="3" w:name="OLE_LINK8"/>
            <w:r>
              <w:rPr>
                <w:rFonts w:hint="eastAsia"/>
              </w:rPr>
              <w:t>合格</w:t>
            </w:r>
            <w:bookmarkEnd w:id="3"/>
          </w:p>
        </w:tc>
        <w:tc>
          <w:tcPr>
            <w:tcW w:w="964" w:type="dxa"/>
            <w:vAlign w:val="center"/>
          </w:tcPr>
          <w:p w14:paraId="592B8728"/>
        </w:tc>
      </w:tr>
      <w:tr w14:paraId="4359F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834" w:type="dxa"/>
            <w:vAlign w:val="center"/>
          </w:tcPr>
          <w:p w14:paraId="3B27CFE1">
            <w:pPr>
              <w:numPr>
                <w:ilvl w:val="0"/>
                <w:numId w:val="3"/>
              </w:numPr>
            </w:pPr>
          </w:p>
        </w:tc>
        <w:tc>
          <w:tcPr>
            <w:tcW w:w="1969" w:type="dxa"/>
            <w:vAlign w:val="center"/>
          </w:tcPr>
          <w:p w14:paraId="015EB37F">
            <w:pPr>
              <w:rPr>
                <w:rFonts w:hint="eastAsia" w:hAnsi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示值的一致性</w:t>
            </w:r>
          </w:p>
        </w:tc>
        <w:tc>
          <w:tcPr>
            <w:tcW w:w="1761" w:type="dxa"/>
            <w:vAlign w:val="center"/>
          </w:tcPr>
          <w:p w14:paraId="2918D0ED">
            <w:r>
              <w:rPr>
                <w:rFonts w:hint="eastAsia"/>
              </w:rPr>
              <w:t>目视观察</w:t>
            </w:r>
          </w:p>
        </w:tc>
        <w:tc>
          <w:tcPr>
            <w:tcW w:w="2904" w:type="dxa"/>
            <w:vAlign w:val="center"/>
          </w:tcPr>
          <w:p w14:paraId="6C9F4FC2">
            <w:r>
              <w:rPr>
                <w:rFonts w:hint="eastAsia"/>
              </w:rPr>
              <w:t>符合</w:t>
            </w:r>
            <w:r>
              <w:rPr>
                <w:color w:val="000000"/>
                <w:szCs w:val="21"/>
              </w:rPr>
              <w:t>7.</w:t>
            </w:r>
            <w:r>
              <w:rPr>
                <w:rFonts w:hint="eastAsia"/>
                <w:color w:val="000000"/>
                <w:szCs w:val="21"/>
              </w:rPr>
              <w:t>3.3规定要求。</w:t>
            </w:r>
          </w:p>
        </w:tc>
        <w:tc>
          <w:tcPr>
            <w:tcW w:w="992" w:type="dxa"/>
            <w:vAlign w:val="center"/>
          </w:tcPr>
          <w:p w14:paraId="36C3C382">
            <w:r>
              <w:rPr>
                <w:rFonts w:hint="eastAsia"/>
              </w:rPr>
              <w:t>合格</w:t>
            </w:r>
          </w:p>
        </w:tc>
        <w:tc>
          <w:tcPr>
            <w:tcW w:w="964" w:type="dxa"/>
            <w:vAlign w:val="center"/>
          </w:tcPr>
          <w:p w14:paraId="0F3019C9"/>
        </w:tc>
      </w:tr>
      <w:tr w14:paraId="38FD6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834" w:type="dxa"/>
            <w:vAlign w:val="center"/>
          </w:tcPr>
          <w:p w14:paraId="02F2BE0A">
            <w:pPr>
              <w:numPr>
                <w:ilvl w:val="0"/>
                <w:numId w:val="3"/>
              </w:numPr>
            </w:pPr>
          </w:p>
        </w:tc>
        <w:tc>
          <w:tcPr>
            <w:tcW w:w="1969" w:type="dxa"/>
            <w:vAlign w:val="center"/>
          </w:tcPr>
          <w:p w14:paraId="35714912">
            <w:pPr>
              <w:rPr>
                <w:rFonts w:hint="eastAsia" w:hAnsi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称量范围</w:t>
            </w:r>
          </w:p>
        </w:tc>
        <w:tc>
          <w:tcPr>
            <w:tcW w:w="1761" w:type="dxa"/>
            <w:vAlign w:val="center"/>
          </w:tcPr>
          <w:p w14:paraId="560CFD4C">
            <w:r>
              <w:rPr>
                <w:rFonts w:hint="eastAsia"/>
              </w:rPr>
              <w:t>目视观察</w:t>
            </w:r>
          </w:p>
        </w:tc>
        <w:tc>
          <w:tcPr>
            <w:tcW w:w="2904" w:type="dxa"/>
            <w:vAlign w:val="center"/>
          </w:tcPr>
          <w:p w14:paraId="7A066CA1">
            <w:r>
              <w:rPr>
                <w:rFonts w:hint="eastAsia"/>
              </w:rPr>
              <w:t>超出称量范围轨道衡示值标红提示，符合</w:t>
            </w:r>
            <w:r>
              <w:rPr>
                <w:color w:val="000000"/>
                <w:szCs w:val="21"/>
              </w:rPr>
              <w:t>7.</w:t>
            </w:r>
            <w:r>
              <w:rPr>
                <w:rFonts w:hint="eastAsia"/>
                <w:color w:val="000000"/>
                <w:szCs w:val="21"/>
              </w:rPr>
              <w:t>3.4规定要求。</w:t>
            </w:r>
          </w:p>
        </w:tc>
        <w:tc>
          <w:tcPr>
            <w:tcW w:w="992" w:type="dxa"/>
            <w:vAlign w:val="center"/>
          </w:tcPr>
          <w:p w14:paraId="63826096">
            <w:r>
              <w:rPr>
                <w:rFonts w:hint="eastAsia"/>
              </w:rPr>
              <w:t>合格</w:t>
            </w:r>
          </w:p>
        </w:tc>
        <w:tc>
          <w:tcPr>
            <w:tcW w:w="964" w:type="dxa"/>
            <w:vAlign w:val="center"/>
          </w:tcPr>
          <w:p w14:paraId="1BC03D53"/>
        </w:tc>
      </w:tr>
      <w:tr w14:paraId="40234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834" w:type="dxa"/>
            <w:vAlign w:val="center"/>
          </w:tcPr>
          <w:p w14:paraId="1579333B">
            <w:pPr>
              <w:numPr>
                <w:ilvl w:val="0"/>
                <w:numId w:val="3"/>
              </w:numPr>
            </w:pPr>
          </w:p>
        </w:tc>
        <w:tc>
          <w:tcPr>
            <w:tcW w:w="1969" w:type="dxa"/>
            <w:vAlign w:val="center"/>
          </w:tcPr>
          <w:p w14:paraId="65AF2996">
            <w:pPr>
              <w:rPr>
                <w:rFonts w:hint="eastAsia" w:hAnsi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累计装置</w:t>
            </w:r>
          </w:p>
        </w:tc>
        <w:tc>
          <w:tcPr>
            <w:tcW w:w="1761" w:type="dxa"/>
            <w:vAlign w:val="center"/>
          </w:tcPr>
          <w:p w14:paraId="0BDB4074">
            <w:r>
              <w:rPr>
                <w:rFonts w:hint="eastAsia"/>
              </w:rPr>
              <w:t>目视观察</w:t>
            </w:r>
          </w:p>
        </w:tc>
        <w:tc>
          <w:tcPr>
            <w:tcW w:w="2904" w:type="dxa"/>
            <w:vAlign w:val="center"/>
          </w:tcPr>
          <w:p w14:paraId="59D49D39">
            <w:r>
              <w:rPr>
                <w:rFonts w:hint="eastAsia"/>
              </w:rPr>
              <w:t>符合</w:t>
            </w:r>
            <w:r>
              <w:rPr>
                <w:color w:val="000000"/>
                <w:szCs w:val="21"/>
              </w:rPr>
              <w:t>7.</w:t>
            </w:r>
            <w:r>
              <w:rPr>
                <w:rFonts w:hint="eastAsia"/>
                <w:color w:val="000000"/>
                <w:szCs w:val="21"/>
              </w:rPr>
              <w:t>4规定要求。</w:t>
            </w:r>
          </w:p>
        </w:tc>
        <w:tc>
          <w:tcPr>
            <w:tcW w:w="992" w:type="dxa"/>
            <w:vAlign w:val="center"/>
          </w:tcPr>
          <w:p w14:paraId="4CA08586">
            <w:r>
              <w:rPr>
                <w:rFonts w:hint="eastAsia"/>
              </w:rPr>
              <w:t>合格</w:t>
            </w:r>
          </w:p>
        </w:tc>
        <w:tc>
          <w:tcPr>
            <w:tcW w:w="964" w:type="dxa"/>
            <w:vAlign w:val="center"/>
          </w:tcPr>
          <w:p w14:paraId="452F3C26"/>
        </w:tc>
      </w:tr>
      <w:tr w14:paraId="2F590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834" w:type="dxa"/>
            <w:vAlign w:val="center"/>
          </w:tcPr>
          <w:p w14:paraId="071F0200">
            <w:pPr>
              <w:numPr>
                <w:ilvl w:val="0"/>
                <w:numId w:val="3"/>
              </w:numPr>
            </w:pPr>
          </w:p>
        </w:tc>
        <w:tc>
          <w:tcPr>
            <w:tcW w:w="1969" w:type="dxa"/>
            <w:vAlign w:val="center"/>
          </w:tcPr>
          <w:p w14:paraId="4B9C6755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数据存储装置</w:t>
            </w:r>
          </w:p>
        </w:tc>
        <w:tc>
          <w:tcPr>
            <w:tcW w:w="1761" w:type="dxa"/>
            <w:vAlign w:val="center"/>
          </w:tcPr>
          <w:p w14:paraId="4A34FD99">
            <w:r>
              <w:rPr>
                <w:rFonts w:hint="eastAsia"/>
              </w:rPr>
              <w:t>目视观察</w:t>
            </w:r>
          </w:p>
        </w:tc>
        <w:tc>
          <w:tcPr>
            <w:tcW w:w="2904" w:type="dxa"/>
            <w:vAlign w:val="center"/>
          </w:tcPr>
          <w:p w14:paraId="6ADEFE5B">
            <w:r>
              <w:rPr>
                <w:rFonts w:hint="eastAsia"/>
              </w:rPr>
              <w:t>符合</w:t>
            </w:r>
            <w:r>
              <w:rPr>
                <w:color w:val="000000"/>
                <w:szCs w:val="21"/>
              </w:rPr>
              <w:t>7.</w:t>
            </w:r>
            <w:r>
              <w:rPr>
                <w:rFonts w:hint="eastAsia"/>
                <w:color w:val="000000"/>
                <w:szCs w:val="21"/>
              </w:rPr>
              <w:t>5规定要求。</w:t>
            </w:r>
          </w:p>
        </w:tc>
        <w:tc>
          <w:tcPr>
            <w:tcW w:w="992" w:type="dxa"/>
            <w:vAlign w:val="center"/>
          </w:tcPr>
          <w:p w14:paraId="07D0C932">
            <w:bookmarkStart w:id="4" w:name="OLE_LINK9"/>
            <w:r>
              <w:rPr>
                <w:rFonts w:hint="eastAsia"/>
              </w:rPr>
              <w:t>合格</w:t>
            </w:r>
            <w:bookmarkEnd w:id="4"/>
          </w:p>
        </w:tc>
        <w:tc>
          <w:tcPr>
            <w:tcW w:w="964" w:type="dxa"/>
            <w:vAlign w:val="center"/>
          </w:tcPr>
          <w:p w14:paraId="6FC3386F"/>
        </w:tc>
      </w:tr>
      <w:tr w14:paraId="47FEB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834" w:type="dxa"/>
            <w:vAlign w:val="center"/>
          </w:tcPr>
          <w:p w14:paraId="438CC1C5">
            <w:pPr>
              <w:numPr>
                <w:ilvl w:val="0"/>
                <w:numId w:val="3"/>
              </w:numPr>
            </w:pPr>
          </w:p>
        </w:tc>
        <w:tc>
          <w:tcPr>
            <w:tcW w:w="1969" w:type="dxa"/>
            <w:vAlign w:val="center"/>
          </w:tcPr>
          <w:p w14:paraId="09F28A7F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车辆识别装置</w:t>
            </w:r>
          </w:p>
        </w:tc>
        <w:tc>
          <w:tcPr>
            <w:tcW w:w="1761" w:type="dxa"/>
            <w:vAlign w:val="center"/>
          </w:tcPr>
          <w:p w14:paraId="38B7DB24">
            <w:pPr>
              <w:rPr>
                <w:rFonts w:hint="eastAsia"/>
              </w:rPr>
            </w:pPr>
            <w:r>
              <w:rPr>
                <w:rFonts w:hint="eastAsia"/>
              </w:rPr>
              <w:t>目视观察</w:t>
            </w:r>
          </w:p>
        </w:tc>
        <w:tc>
          <w:tcPr>
            <w:tcW w:w="2904" w:type="dxa"/>
            <w:vAlign w:val="center"/>
          </w:tcPr>
          <w:p w14:paraId="005EC5FB">
            <w:pPr>
              <w:rPr>
                <w:rFonts w:hint="eastAsia"/>
              </w:rPr>
            </w:pPr>
            <w:r>
              <w:rPr>
                <w:rFonts w:hint="eastAsia"/>
              </w:rPr>
              <w:t>符合</w:t>
            </w:r>
            <w:r>
              <w:rPr>
                <w:color w:val="000000"/>
                <w:szCs w:val="21"/>
              </w:rPr>
              <w:t>7.</w:t>
            </w:r>
            <w:r>
              <w:rPr>
                <w:rFonts w:hint="eastAsia"/>
                <w:color w:val="000000"/>
                <w:szCs w:val="21"/>
              </w:rPr>
              <w:t>6规定要求。</w:t>
            </w:r>
          </w:p>
        </w:tc>
        <w:tc>
          <w:tcPr>
            <w:tcW w:w="992" w:type="dxa"/>
            <w:vAlign w:val="center"/>
          </w:tcPr>
          <w:p w14:paraId="4EDDCFC0">
            <w:pPr>
              <w:rPr>
                <w:rFonts w:hint="eastAsia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964" w:type="dxa"/>
            <w:vAlign w:val="center"/>
          </w:tcPr>
          <w:p w14:paraId="2E77E0FA"/>
        </w:tc>
      </w:tr>
      <w:tr w14:paraId="67DBF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834" w:type="dxa"/>
            <w:vAlign w:val="center"/>
          </w:tcPr>
          <w:p w14:paraId="13B8D8A2">
            <w:pPr>
              <w:numPr>
                <w:ilvl w:val="0"/>
                <w:numId w:val="3"/>
              </w:numPr>
            </w:pPr>
          </w:p>
        </w:tc>
        <w:tc>
          <w:tcPr>
            <w:tcW w:w="1969" w:type="dxa"/>
            <w:vAlign w:val="center"/>
          </w:tcPr>
          <w:p w14:paraId="355B8642">
            <w:r>
              <w:rPr>
                <w:color w:val="000000"/>
              </w:rPr>
              <w:t>安装</w:t>
            </w:r>
          </w:p>
        </w:tc>
        <w:tc>
          <w:tcPr>
            <w:tcW w:w="1761" w:type="dxa"/>
            <w:vAlign w:val="center"/>
          </w:tcPr>
          <w:p w14:paraId="6C54FF89">
            <w:r>
              <w:rPr>
                <w:rFonts w:hint="eastAsia"/>
              </w:rPr>
              <w:t>目视观察、卷尺测量</w:t>
            </w:r>
          </w:p>
        </w:tc>
        <w:tc>
          <w:tcPr>
            <w:tcW w:w="2904" w:type="dxa"/>
            <w:vAlign w:val="center"/>
          </w:tcPr>
          <w:p w14:paraId="6ACF6D2D">
            <w:r>
              <w:rPr>
                <w:color w:val="000000"/>
                <w:kern w:val="0"/>
              </w:rPr>
              <w:t>轨道衡</w:t>
            </w:r>
            <w:r>
              <w:rPr>
                <w:rFonts w:hint="eastAsia"/>
                <w:color w:val="000000"/>
                <w:kern w:val="0"/>
              </w:rPr>
              <w:t>为无基坑、不断轨结构，秤体两侧整体道床大于25m，平直段大于50m，符合7.7.1~7.7.5规定要求。</w:t>
            </w:r>
          </w:p>
        </w:tc>
        <w:tc>
          <w:tcPr>
            <w:tcW w:w="992" w:type="dxa"/>
            <w:vAlign w:val="center"/>
          </w:tcPr>
          <w:p w14:paraId="329C396E">
            <w:r>
              <w:rPr>
                <w:rFonts w:hint="eastAsia"/>
              </w:rPr>
              <w:t>合格</w:t>
            </w:r>
          </w:p>
        </w:tc>
        <w:tc>
          <w:tcPr>
            <w:tcW w:w="964" w:type="dxa"/>
            <w:vAlign w:val="center"/>
          </w:tcPr>
          <w:p w14:paraId="2E5401F6"/>
        </w:tc>
      </w:tr>
      <w:tr w14:paraId="7FDF1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34" w:type="dxa"/>
            <w:vAlign w:val="center"/>
          </w:tcPr>
          <w:p w14:paraId="7D4891BB">
            <w:pPr>
              <w:numPr>
                <w:ilvl w:val="0"/>
                <w:numId w:val="3"/>
              </w:numPr>
            </w:pPr>
          </w:p>
        </w:tc>
        <w:tc>
          <w:tcPr>
            <w:tcW w:w="1969" w:type="dxa"/>
            <w:vAlign w:val="center"/>
          </w:tcPr>
          <w:p w14:paraId="2D4655AC">
            <w:r>
              <w:rPr>
                <w:color w:val="000000"/>
              </w:rPr>
              <w:t>软件要求</w:t>
            </w:r>
          </w:p>
        </w:tc>
        <w:tc>
          <w:tcPr>
            <w:tcW w:w="1761" w:type="dxa"/>
            <w:vAlign w:val="center"/>
          </w:tcPr>
          <w:p w14:paraId="7F4FB0E0">
            <w:r>
              <w:rPr>
                <w:rFonts w:hint="eastAsia"/>
              </w:rPr>
              <w:t>按10.8试验程序操作</w:t>
            </w:r>
          </w:p>
        </w:tc>
        <w:tc>
          <w:tcPr>
            <w:tcW w:w="2904" w:type="dxa"/>
            <w:vAlign w:val="center"/>
          </w:tcPr>
          <w:p w14:paraId="3F093EC7">
            <w:r>
              <w:rPr>
                <w:rFonts w:hint="eastAsia"/>
              </w:rPr>
              <w:t>符合7.8</w:t>
            </w:r>
            <w:r>
              <w:rPr>
                <w:rFonts w:hint="eastAsia"/>
                <w:color w:val="000000"/>
                <w:szCs w:val="21"/>
              </w:rPr>
              <w:t>规定要求。</w:t>
            </w:r>
          </w:p>
        </w:tc>
        <w:tc>
          <w:tcPr>
            <w:tcW w:w="992" w:type="dxa"/>
            <w:vAlign w:val="center"/>
          </w:tcPr>
          <w:p w14:paraId="60BA29D0">
            <w:r>
              <w:rPr>
                <w:rFonts w:hint="eastAsia"/>
              </w:rPr>
              <w:t>合格</w:t>
            </w:r>
          </w:p>
        </w:tc>
        <w:tc>
          <w:tcPr>
            <w:tcW w:w="964" w:type="dxa"/>
            <w:vAlign w:val="center"/>
          </w:tcPr>
          <w:p w14:paraId="60E30260"/>
        </w:tc>
      </w:tr>
      <w:tr w14:paraId="7B2AA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34" w:type="dxa"/>
            <w:vAlign w:val="center"/>
          </w:tcPr>
          <w:p w14:paraId="71167417">
            <w:pPr>
              <w:numPr>
                <w:ilvl w:val="0"/>
                <w:numId w:val="3"/>
              </w:numPr>
            </w:pPr>
          </w:p>
        </w:tc>
        <w:tc>
          <w:tcPr>
            <w:tcW w:w="1969" w:type="dxa"/>
            <w:vAlign w:val="center"/>
          </w:tcPr>
          <w:p w14:paraId="05709151">
            <w:r>
              <w:rPr>
                <w:rFonts w:ascii="宋体" w:hAnsi="宋体"/>
                <w:color w:val="000000"/>
              </w:rPr>
              <w:t>称重传感器</w:t>
            </w:r>
          </w:p>
        </w:tc>
        <w:tc>
          <w:tcPr>
            <w:tcW w:w="1761" w:type="dxa"/>
            <w:vAlign w:val="center"/>
          </w:tcPr>
          <w:p w14:paraId="4A8386C0">
            <w:r>
              <w:rPr>
                <w:rFonts w:hint="eastAsia"/>
              </w:rPr>
              <w:t>目视观察</w:t>
            </w:r>
          </w:p>
        </w:tc>
        <w:tc>
          <w:tcPr>
            <w:tcW w:w="2904" w:type="dxa"/>
            <w:vAlign w:val="center"/>
          </w:tcPr>
          <w:p w14:paraId="3A456017">
            <w:r>
              <w:rPr>
                <w:rFonts w:hint="eastAsia"/>
              </w:rPr>
              <w:t>压力称重传感器型号：CL-YB-51;剪力称重传感器型号：CL-YB-61;具备</w:t>
            </w:r>
            <w:r>
              <w:rPr>
                <w:rFonts w:hint="eastAsia" w:hAnsi="宋体"/>
                <w:color w:val="000000"/>
                <w:lang w:val="en-US" w:eastAsia="zh-CN"/>
              </w:rPr>
              <w:t>型式批准证书</w:t>
            </w:r>
            <w:r>
              <w:rPr>
                <w:rFonts w:hint="eastAsia" w:hAnsi="宋体"/>
                <w:color w:val="000000"/>
              </w:rPr>
              <w:t>与</w:t>
            </w:r>
            <w:r>
              <w:rPr>
                <w:rFonts w:hint="eastAsia"/>
              </w:rPr>
              <w:t>影响因子和干扰试验报告，</w:t>
            </w:r>
            <w:r>
              <w:rPr>
                <w:rFonts w:hint="eastAsia" w:hAnsi="宋体"/>
                <w:color w:val="000000"/>
              </w:rPr>
              <w:t>所有称重传感器均具备</w:t>
            </w:r>
            <w:r>
              <w:rPr>
                <w:rFonts w:hint="eastAsia" w:ascii="宋体" w:hAnsi="宋体"/>
                <w:color w:val="000000"/>
                <w:szCs w:val="20"/>
              </w:rPr>
              <w:t>合格证书，</w:t>
            </w:r>
            <w:r>
              <w:rPr>
                <w:rFonts w:hint="eastAsia"/>
              </w:rPr>
              <w:t>符合7.9</w:t>
            </w:r>
            <w:r>
              <w:rPr>
                <w:rFonts w:hint="eastAsia"/>
                <w:color w:val="000000"/>
                <w:szCs w:val="21"/>
              </w:rPr>
              <w:t>规定要求。</w:t>
            </w:r>
          </w:p>
        </w:tc>
        <w:tc>
          <w:tcPr>
            <w:tcW w:w="992" w:type="dxa"/>
            <w:vAlign w:val="center"/>
          </w:tcPr>
          <w:p w14:paraId="12842ED2">
            <w:r>
              <w:rPr>
                <w:rFonts w:hint="eastAsia"/>
              </w:rPr>
              <w:t>合格</w:t>
            </w:r>
          </w:p>
        </w:tc>
        <w:tc>
          <w:tcPr>
            <w:tcW w:w="964" w:type="dxa"/>
            <w:vAlign w:val="center"/>
          </w:tcPr>
          <w:p w14:paraId="7404E74F"/>
        </w:tc>
      </w:tr>
      <w:tr w14:paraId="673C0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834" w:type="dxa"/>
            <w:vAlign w:val="center"/>
          </w:tcPr>
          <w:p w14:paraId="57E59975">
            <w:pPr>
              <w:numPr>
                <w:ilvl w:val="0"/>
                <w:numId w:val="3"/>
              </w:numPr>
            </w:pPr>
          </w:p>
        </w:tc>
        <w:tc>
          <w:tcPr>
            <w:tcW w:w="1969" w:type="dxa"/>
            <w:vAlign w:val="center"/>
          </w:tcPr>
          <w:p w14:paraId="1E3CFA58">
            <w:r>
              <w:rPr>
                <w:rFonts w:ascii="宋体" w:hAnsi="宋体"/>
                <w:color w:val="000000"/>
              </w:rPr>
              <w:t>称重仪表</w:t>
            </w:r>
          </w:p>
        </w:tc>
        <w:tc>
          <w:tcPr>
            <w:tcW w:w="1761" w:type="dxa"/>
            <w:vAlign w:val="center"/>
          </w:tcPr>
          <w:p w14:paraId="2D77D437">
            <w:r>
              <w:rPr>
                <w:rFonts w:hint="eastAsia"/>
              </w:rPr>
              <w:t>目视观察</w:t>
            </w:r>
          </w:p>
        </w:tc>
        <w:tc>
          <w:tcPr>
            <w:tcW w:w="2904" w:type="dxa"/>
            <w:vAlign w:val="center"/>
          </w:tcPr>
          <w:p w14:paraId="13F74499">
            <w:r>
              <w:rPr>
                <w:rFonts w:hint="eastAsia"/>
              </w:rPr>
              <w:t>型号HA-FD-16，编号：FD-202409002，具备合格证与影响因子和干扰试验报告，符合7.10</w:t>
            </w:r>
            <w:r>
              <w:rPr>
                <w:rFonts w:hint="eastAsia"/>
                <w:color w:val="000000"/>
                <w:szCs w:val="21"/>
              </w:rPr>
              <w:t>规定要求。</w:t>
            </w:r>
          </w:p>
        </w:tc>
        <w:tc>
          <w:tcPr>
            <w:tcW w:w="992" w:type="dxa"/>
            <w:vAlign w:val="center"/>
          </w:tcPr>
          <w:p w14:paraId="100F586F">
            <w:bookmarkStart w:id="5" w:name="OLE_LINK10"/>
            <w:r>
              <w:rPr>
                <w:rFonts w:hint="eastAsia"/>
              </w:rPr>
              <w:t>合格</w:t>
            </w:r>
            <w:bookmarkEnd w:id="5"/>
          </w:p>
        </w:tc>
        <w:tc>
          <w:tcPr>
            <w:tcW w:w="964" w:type="dxa"/>
            <w:vAlign w:val="center"/>
          </w:tcPr>
          <w:p w14:paraId="37C04C4D"/>
        </w:tc>
      </w:tr>
      <w:tr w14:paraId="37A69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834" w:type="dxa"/>
            <w:vAlign w:val="center"/>
          </w:tcPr>
          <w:p w14:paraId="04B4B606">
            <w:pPr>
              <w:numPr>
                <w:ilvl w:val="0"/>
                <w:numId w:val="3"/>
              </w:numPr>
            </w:pPr>
          </w:p>
        </w:tc>
        <w:tc>
          <w:tcPr>
            <w:tcW w:w="1969" w:type="dxa"/>
            <w:vAlign w:val="center"/>
          </w:tcPr>
          <w:p w14:paraId="23B7A48D"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常规</w:t>
            </w:r>
            <w:r>
              <w:rPr>
                <w:rFonts w:ascii="宋体" w:hAnsi="宋体"/>
                <w:color w:val="000000"/>
              </w:rPr>
              <w:t>静态称量试验</w:t>
            </w:r>
          </w:p>
        </w:tc>
        <w:tc>
          <w:tcPr>
            <w:tcW w:w="1761" w:type="dxa"/>
            <w:vAlign w:val="center"/>
          </w:tcPr>
          <w:p w14:paraId="6563EC4D">
            <w:r>
              <w:rPr>
                <w:rFonts w:hint="eastAsia"/>
              </w:rPr>
              <w:t>按10.2.1试验程序操作</w:t>
            </w:r>
          </w:p>
        </w:tc>
        <w:tc>
          <w:tcPr>
            <w:tcW w:w="2904" w:type="dxa"/>
            <w:vAlign w:val="center"/>
          </w:tcPr>
          <w:p w14:paraId="0360A0AC">
            <w:r>
              <w:rPr>
                <w:rFonts w:hint="eastAsia"/>
              </w:rPr>
              <w:t>最大示值误差40 kg（0.2</w:t>
            </w:r>
            <w:r>
              <w:rPr>
                <w:rFonts w:hint="eastAsia"/>
                <w:i/>
                <w:iCs/>
              </w:rPr>
              <w:t>e</w:t>
            </w:r>
            <w:r>
              <w:rPr>
                <w:rFonts w:hint="eastAsia"/>
              </w:rPr>
              <w:t>）。</w:t>
            </w:r>
          </w:p>
          <w:p w14:paraId="79DF4DA8">
            <w:bookmarkStart w:id="6" w:name="OLE_LINK4"/>
            <w:r>
              <w:rPr>
                <w:rFonts w:hint="eastAsia"/>
              </w:rPr>
              <w:t>符合6</w:t>
            </w:r>
            <w:r>
              <w:t>.3.1</w:t>
            </w:r>
            <w:r>
              <w:rPr>
                <w:rFonts w:hint="eastAsia"/>
              </w:rPr>
              <w:t>规定。</w:t>
            </w:r>
            <w:bookmarkEnd w:id="6"/>
          </w:p>
        </w:tc>
        <w:tc>
          <w:tcPr>
            <w:tcW w:w="992" w:type="dxa"/>
            <w:vAlign w:val="center"/>
          </w:tcPr>
          <w:p w14:paraId="06B32E2E">
            <w:r>
              <w:rPr>
                <w:rFonts w:hint="eastAsia"/>
              </w:rPr>
              <w:t>合格</w:t>
            </w:r>
          </w:p>
        </w:tc>
        <w:tc>
          <w:tcPr>
            <w:tcW w:w="964" w:type="dxa"/>
            <w:vAlign w:val="center"/>
          </w:tcPr>
          <w:p w14:paraId="22FF4FD6"/>
        </w:tc>
      </w:tr>
      <w:tr w14:paraId="56A3C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834" w:type="dxa"/>
            <w:vAlign w:val="center"/>
          </w:tcPr>
          <w:p w14:paraId="20DEE4E9">
            <w:pPr>
              <w:numPr>
                <w:ilvl w:val="0"/>
                <w:numId w:val="3"/>
              </w:numPr>
            </w:pPr>
          </w:p>
        </w:tc>
        <w:tc>
          <w:tcPr>
            <w:tcW w:w="1969" w:type="dxa"/>
            <w:vAlign w:val="center"/>
          </w:tcPr>
          <w:p w14:paraId="22008F32"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单只传感器试验</w:t>
            </w:r>
          </w:p>
        </w:tc>
        <w:tc>
          <w:tcPr>
            <w:tcW w:w="1761" w:type="dxa"/>
            <w:vAlign w:val="center"/>
          </w:tcPr>
          <w:p w14:paraId="0A822EC2">
            <w:r>
              <w:rPr>
                <w:rFonts w:hint="eastAsia"/>
              </w:rPr>
              <w:t>按10.2.2试验程序操作</w:t>
            </w:r>
          </w:p>
        </w:tc>
        <w:tc>
          <w:tcPr>
            <w:tcW w:w="2904" w:type="dxa"/>
            <w:vAlign w:val="center"/>
          </w:tcPr>
          <w:p w14:paraId="62503701">
            <w:r>
              <w:rPr>
                <w:rFonts w:hint="eastAsia"/>
              </w:rPr>
              <w:t>20kg砝码依次压到各压力传感器正上方，输出质量值+10kg；20kg砝码依次压到各剪力传感器正上方两侧，输出均发生反向变化。100kg砝码依次同步施加于内外两侧轨道，输出质量值+100kg，未施加砝码侧传感器输出无显著变化。</w:t>
            </w:r>
          </w:p>
          <w:p w14:paraId="3F4887CB">
            <w:r>
              <w:rPr>
                <w:rFonts w:hint="eastAsia"/>
              </w:rPr>
              <w:t>符合6</w:t>
            </w:r>
            <w:r>
              <w:t>.</w:t>
            </w:r>
            <w:r>
              <w:rPr>
                <w:rFonts w:hint="eastAsia"/>
              </w:rPr>
              <w:t>6</w:t>
            </w:r>
            <w:r>
              <w:t>.</w:t>
            </w:r>
            <w:r>
              <w:rPr>
                <w:rFonts w:hint="eastAsia"/>
              </w:rPr>
              <w:t>3规定。</w:t>
            </w:r>
          </w:p>
        </w:tc>
        <w:tc>
          <w:tcPr>
            <w:tcW w:w="992" w:type="dxa"/>
            <w:vAlign w:val="center"/>
          </w:tcPr>
          <w:p w14:paraId="5C8E3CE1">
            <w:r>
              <w:rPr>
                <w:rFonts w:hint="eastAsia"/>
              </w:rPr>
              <w:t>合格</w:t>
            </w:r>
          </w:p>
        </w:tc>
        <w:tc>
          <w:tcPr>
            <w:tcW w:w="964" w:type="dxa"/>
            <w:vAlign w:val="center"/>
          </w:tcPr>
          <w:p w14:paraId="57C25E2D"/>
        </w:tc>
      </w:tr>
      <w:tr w14:paraId="748B8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834" w:type="dxa"/>
            <w:vAlign w:val="center"/>
          </w:tcPr>
          <w:p w14:paraId="0CDF7A29">
            <w:pPr>
              <w:numPr>
                <w:ilvl w:val="0"/>
                <w:numId w:val="3"/>
              </w:numPr>
            </w:pPr>
          </w:p>
        </w:tc>
        <w:tc>
          <w:tcPr>
            <w:tcW w:w="1969" w:type="dxa"/>
            <w:vAlign w:val="center"/>
          </w:tcPr>
          <w:p w14:paraId="745E26FF">
            <w:pPr>
              <w:rPr>
                <w:rFonts w:hint="eastAsia"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鉴别力试验</w:t>
            </w:r>
          </w:p>
        </w:tc>
        <w:tc>
          <w:tcPr>
            <w:tcW w:w="1761" w:type="dxa"/>
            <w:vAlign w:val="center"/>
          </w:tcPr>
          <w:p w14:paraId="0A107635">
            <w:r>
              <w:rPr>
                <w:rFonts w:hint="eastAsia"/>
              </w:rPr>
              <w:t>按10.3试验程序操作</w:t>
            </w:r>
          </w:p>
        </w:tc>
        <w:tc>
          <w:tcPr>
            <w:tcW w:w="2904" w:type="dxa"/>
            <w:vAlign w:val="center"/>
          </w:tcPr>
          <w:p w14:paraId="7481D6E2">
            <w:pPr>
              <w:jc w:val="left"/>
              <w:rPr>
                <w:sz w:val="18"/>
                <w:szCs w:val="21"/>
              </w:rPr>
            </w:pPr>
            <w:r>
              <w:rPr>
                <w:rFonts w:hint="eastAsia"/>
                <w:i/>
                <w:iCs/>
                <w:sz w:val="18"/>
                <w:szCs w:val="21"/>
              </w:rPr>
              <w:t>I</w:t>
            </w:r>
            <w:r>
              <w:rPr>
                <w:rFonts w:hint="eastAsia"/>
                <w:sz w:val="18"/>
                <w:szCs w:val="21"/>
                <w:vertAlign w:val="subscript"/>
              </w:rPr>
              <w:t>1</w:t>
            </w:r>
            <w:r>
              <w:rPr>
                <w:rFonts w:hint="eastAsia"/>
                <w:sz w:val="18"/>
                <w:szCs w:val="21"/>
              </w:rPr>
              <w:t>=0,Δ=14kg,</w:t>
            </w:r>
            <w:r>
              <w:rPr>
                <w:rFonts w:hint="eastAsia"/>
                <w:i/>
                <w:iCs/>
                <w:sz w:val="18"/>
                <w:szCs w:val="21"/>
              </w:rPr>
              <w:t>I</w:t>
            </w:r>
            <w:r>
              <w:rPr>
                <w:rFonts w:hint="eastAsia"/>
                <w:sz w:val="18"/>
                <w:szCs w:val="21"/>
                <w:vertAlign w:val="subscript"/>
              </w:rPr>
              <w:t>2</w:t>
            </w:r>
            <w:r>
              <w:rPr>
                <w:rFonts w:hint="eastAsia"/>
                <w:sz w:val="18"/>
                <w:szCs w:val="21"/>
              </w:rPr>
              <w:t>=10kg；</w:t>
            </w:r>
          </w:p>
          <w:p w14:paraId="0899BDC7">
            <w:pPr>
              <w:jc w:val="left"/>
              <w:rPr>
                <w:sz w:val="18"/>
                <w:szCs w:val="21"/>
              </w:rPr>
            </w:pPr>
            <w:r>
              <w:rPr>
                <w:rFonts w:hint="eastAsia"/>
                <w:i/>
                <w:iCs/>
                <w:sz w:val="18"/>
                <w:szCs w:val="21"/>
              </w:rPr>
              <w:t>I</w:t>
            </w:r>
            <w:r>
              <w:rPr>
                <w:rFonts w:hint="eastAsia"/>
                <w:sz w:val="18"/>
                <w:szCs w:val="21"/>
                <w:vertAlign w:val="subscript"/>
              </w:rPr>
              <w:t>1</w:t>
            </w:r>
            <w:r>
              <w:rPr>
                <w:rFonts w:hint="eastAsia"/>
                <w:sz w:val="18"/>
                <w:szCs w:val="21"/>
              </w:rPr>
              <w:t xml:space="preserve">=26460,Δ=14kg, </w:t>
            </w:r>
            <w:r>
              <w:rPr>
                <w:rFonts w:hint="eastAsia"/>
                <w:i/>
                <w:iCs/>
                <w:sz w:val="18"/>
                <w:szCs w:val="21"/>
              </w:rPr>
              <w:t>I</w:t>
            </w:r>
            <w:r>
              <w:rPr>
                <w:rFonts w:hint="eastAsia"/>
                <w:sz w:val="18"/>
                <w:szCs w:val="21"/>
                <w:vertAlign w:val="subscript"/>
              </w:rPr>
              <w:t>2</w:t>
            </w:r>
            <w:r>
              <w:rPr>
                <w:rFonts w:hint="eastAsia"/>
                <w:sz w:val="18"/>
                <w:szCs w:val="21"/>
              </w:rPr>
              <w:t>=26470kg；</w:t>
            </w:r>
          </w:p>
          <w:p w14:paraId="5421A087">
            <w:pPr>
              <w:jc w:val="left"/>
              <w:rPr>
                <w:sz w:val="18"/>
                <w:szCs w:val="21"/>
              </w:rPr>
            </w:pPr>
            <w:r>
              <w:rPr>
                <w:rFonts w:hint="eastAsia"/>
                <w:i/>
                <w:iCs/>
                <w:sz w:val="18"/>
                <w:szCs w:val="21"/>
              </w:rPr>
              <w:t>I</w:t>
            </w:r>
            <w:r>
              <w:rPr>
                <w:rFonts w:hint="eastAsia"/>
                <w:sz w:val="18"/>
                <w:szCs w:val="21"/>
                <w:vertAlign w:val="subscript"/>
              </w:rPr>
              <w:t>1</w:t>
            </w:r>
            <w:r>
              <w:rPr>
                <w:rFonts w:hint="eastAsia"/>
                <w:sz w:val="18"/>
                <w:szCs w:val="21"/>
              </w:rPr>
              <w:t xml:space="preserve">=76390,Δ=14kg, </w:t>
            </w:r>
            <w:r>
              <w:rPr>
                <w:rFonts w:hint="eastAsia"/>
                <w:i/>
                <w:iCs/>
                <w:sz w:val="18"/>
                <w:szCs w:val="21"/>
              </w:rPr>
              <w:t>I</w:t>
            </w:r>
            <w:r>
              <w:rPr>
                <w:rFonts w:hint="eastAsia"/>
                <w:sz w:val="18"/>
                <w:szCs w:val="21"/>
                <w:vertAlign w:val="subscript"/>
              </w:rPr>
              <w:t>2</w:t>
            </w:r>
            <w:r>
              <w:rPr>
                <w:rFonts w:hint="eastAsia"/>
                <w:sz w:val="18"/>
                <w:szCs w:val="21"/>
              </w:rPr>
              <w:t>=76400kg；</w:t>
            </w:r>
          </w:p>
          <w:p w14:paraId="59D98394">
            <w:pPr>
              <w:jc w:val="left"/>
              <w:rPr>
                <w:sz w:val="18"/>
                <w:szCs w:val="21"/>
              </w:rPr>
            </w:pPr>
            <w:r>
              <w:rPr>
                <w:rFonts w:hint="eastAsia"/>
                <w:i/>
                <w:iCs/>
                <w:sz w:val="18"/>
                <w:szCs w:val="21"/>
              </w:rPr>
              <w:t>I</w:t>
            </w:r>
            <w:r>
              <w:rPr>
                <w:rFonts w:hint="eastAsia"/>
                <w:sz w:val="18"/>
                <w:szCs w:val="21"/>
                <w:vertAlign w:val="subscript"/>
              </w:rPr>
              <w:t>1</w:t>
            </w:r>
            <w:r>
              <w:rPr>
                <w:rFonts w:hint="eastAsia"/>
                <w:sz w:val="18"/>
                <w:szCs w:val="21"/>
              </w:rPr>
              <w:t xml:space="preserve">=94340,Δ=14kg, </w:t>
            </w:r>
            <w:r>
              <w:rPr>
                <w:rFonts w:hint="eastAsia"/>
                <w:i/>
                <w:iCs/>
                <w:sz w:val="18"/>
                <w:szCs w:val="21"/>
              </w:rPr>
              <w:t>I</w:t>
            </w:r>
            <w:r>
              <w:rPr>
                <w:rFonts w:hint="eastAsia"/>
                <w:sz w:val="18"/>
                <w:szCs w:val="21"/>
                <w:vertAlign w:val="subscript"/>
              </w:rPr>
              <w:t>2</w:t>
            </w:r>
            <w:r>
              <w:rPr>
                <w:rFonts w:hint="eastAsia"/>
                <w:sz w:val="18"/>
                <w:szCs w:val="21"/>
              </w:rPr>
              <w:t>=94350kg；</w:t>
            </w:r>
          </w:p>
          <w:p w14:paraId="4E8C5775">
            <w:r>
              <w:rPr>
                <w:rFonts w:hint="eastAsia"/>
              </w:rPr>
              <w:t>符合6</w:t>
            </w:r>
            <w:r>
              <w:t>.3.</w:t>
            </w:r>
            <w:r>
              <w:rPr>
                <w:rFonts w:hint="eastAsia"/>
              </w:rPr>
              <w:t>2规定。</w:t>
            </w:r>
          </w:p>
        </w:tc>
        <w:tc>
          <w:tcPr>
            <w:tcW w:w="992" w:type="dxa"/>
            <w:vAlign w:val="center"/>
          </w:tcPr>
          <w:p w14:paraId="79040E33">
            <w:r>
              <w:rPr>
                <w:rFonts w:hint="eastAsia"/>
              </w:rPr>
              <w:t>合格</w:t>
            </w:r>
          </w:p>
        </w:tc>
        <w:tc>
          <w:tcPr>
            <w:tcW w:w="964" w:type="dxa"/>
            <w:vAlign w:val="center"/>
          </w:tcPr>
          <w:p w14:paraId="2BA1AD8B"/>
        </w:tc>
      </w:tr>
      <w:tr w14:paraId="5050E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834" w:type="dxa"/>
            <w:vAlign w:val="center"/>
          </w:tcPr>
          <w:p w14:paraId="26CB4BD0">
            <w:pPr>
              <w:numPr>
                <w:ilvl w:val="0"/>
                <w:numId w:val="3"/>
              </w:numPr>
            </w:pPr>
          </w:p>
        </w:tc>
        <w:tc>
          <w:tcPr>
            <w:tcW w:w="1969" w:type="dxa"/>
            <w:vAlign w:val="center"/>
          </w:tcPr>
          <w:p w14:paraId="031CFD5F"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常规</w:t>
            </w:r>
            <w:r>
              <w:rPr>
                <w:rFonts w:ascii="宋体" w:hAnsi="宋体"/>
                <w:color w:val="000000"/>
              </w:rPr>
              <w:t>动态称量试验</w:t>
            </w:r>
          </w:p>
        </w:tc>
        <w:tc>
          <w:tcPr>
            <w:tcW w:w="1761" w:type="dxa"/>
            <w:vAlign w:val="center"/>
          </w:tcPr>
          <w:p w14:paraId="1A7B2C90">
            <w:r>
              <w:rPr>
                <w:rFonts w:hint="eastAsia"/>
              </w:rPr>
              <w:t>按10.4.1试验程序操作</w:t>
            </w:r>
          </w:p>
        </w:tc>
        <w:tc>
          <w:tcPr>
            <w:tcW w:w="2904" w:type="dxa"/>
            <w:vAlign w:val="center"/>
          </w:tcPr>
          <w:p w14:paraId="0E37FCA4">
            <w:bookmarkStart w:id="7" w:name="OLE_LINK2"/>
            <w:r>
              <w:rPr>
                <w:rFonts w:hint="eastAsia"/>
              </w:rPr>
              <w:t>符合6</w:t>
            </w:r>
            <w:r>
              <w:t>.</w:t>
            </w: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3、6.6.1、6.6.2规定。</w:t>
            </w:r>
            <w:bookmarkEnd w:id="7"/>
          </w:p>
        </w:tc>
        <w:tc>
          <w:tcPr>
            <w:tcW w:w="992" w:type="dxa"/>
            <w:vAlign w:val="center"/>
          </w:tcPr>
          <w:p w14:paraId="14E3D72B">
            <w:r>
              <w:rPr>
                <w:rFonts w:hint="eastAsia"/>
              </w:rPr>
              <w:t>合格</w:t>
            </w:r>
          </w:p>
        </w:tc>
        <w:tc>
          <w:tcPr>
            <w:tcW w:w="964" w:type="dxa"/>
            <w:vAlign w:val="center"/>
          </w:tcPr>
          <w:p w14:paraId="03C24EAD"/>
        </w:tc>
      </w:tr>
      <w:tr w14:paraId="7198F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834" w:type="dxa"/>
            <w:vAlign w:val="center"/>
          </w:tcPr>
          <w:p w14:paraId="6942CF3D">
            <w:pPr>
              <w:numPr>
                <w:ilvl w:val="0"/>
                <w:numId w:val="3"/>
              </w:numPr>
            </w:pPr>
          </w:p>
        </w:tc>
        <w:tc>
          <w:tcPr>
            <w:tcW w:w="1969" w:type="dxa"/>
            <w:vAlign w:val="center"/>
          </w:tcPr>
          <w:p w14:paraId="431555DD">
            <w:pPr>
              <w:rPr>
                <w:rFonts w:hint="eastAsia"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调整质量</w:t>
            </w:r>
            <w:r>
              <w:rPr>
                <w:rFonts w:hint="eastAsia" w:ascii="宋体" w:hAnsi="宋体"/>
                <w:color w:val="000000"/>
              </w:rPr>
              <w:t>、附加检衡车</w:t>
            </w:r>
            <w:r>
              <w:rPr>
                <w:rFonts w:ascii="宋体" w:hAnsi="宋体"/>
                <w:color w:val="000000"/>
              </w:rPr>
              <w:t>试验</w:t>
            </w:r>
          </w:p>
        </w:tc>
        <w:tc>
          <w:tcPr>
            <w:tcW w:w="1761" w:type="dxa"/>
            <w:vAlign w:val="center"/>
          </w:tcPr>
          <w:p w14:paraId="248BDF0C">
            <w:r>
              <w:rPr>
                <w:rFonts w:hint="eastAsia"/>
              </w:rPr>
              <w:t>按10.4.2试验程序操作</w:t>
            </w:r>
          </w:p>
        </w:tc>
        <w:tc>
          <w:tcPr>
            <w:tcW w:w="2904" w:type="dxa"/>
            <w:vAlign w:val="center"/>
          </w:tcPr>
          <w:p w14:paraId="6D89545C">
            <w:r>
              <w:rPr>
                <w:rFonts w:hint="eastAsia"/>
              </w:rPr>
              <w:t>符合6</w:t>
            </w:r>
            <w:r>
              <w:t>.</w:t>
            </w: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3、6.6.1、6.6.2规定。</w:t>
            </w:r>
          </w:p>
        </w:tc>
        <w:tc>
          <w:tcPr>
            <w:tcW w:w="992" w:type="dxa"/>
            <w:vAlign w:val="center"/>
          </w:tcPr>
          <w:p w14:paraId="4876393E">
            <w:r>
              <w:rPr>
                <w:rFonts w:hint="eastAsia"/>
              </w:rPr>
              <w:t>合格</w:t>
            </w:r>
          </w:p>
        </w:tc>
        <w:tc>
          <w:tcPr>
            <w:tcW w:w="964" w:type="dxa"/>
            <w:vAlign w:val="center"/>
          </w:tcPr>
          <w:p w14:paraId="7A7EE80C"/>
        </w:tc>
      </w:tr>
      <w:tr w14:paraId="77F60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834" w:type="dxa"/>
            <w:vAlign w:val="center"/>
          </w:tcPr>
          <w:p w14:paraId="4DC830BF">
            <w:pPr>
              <w:numPr>
                <w:ilvl w:val="0"/>
                <w:numId w:val="3"/>
              </w:numPr>
            </w:pPr>
          </w:p>
        </w:tc>
        <w:tc>
          <w:tcPr>
            <w:tcW w:w="1969" w:type="dxa"/>
            <w:vAlign w:val="center"/>
          </w:tcPr>
          <w:p w14:paraId="1402E7F4">
            <w:pPr>
              <w:rPr>
                <w:rFonts w:hint="eastAsia"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混编试验</w:t>
            </w:r>
          </w:p>
        </w:tc>
        <w:tc>
          <w:tcPr>
            <w:tcW w:w="1761" w:type="dxa"/>
            <w:vAlign w:val="center"/>
          </w:tcPr>
          <w:p w14:paraId="4E8949F1">
            <w:r>
              <w:rPr>
                <w:rFonts w:hint="eastAsia"/>
              </w:rPr>
              <w:t>按10.4.3试验程序操作</w:t>
            </w:r>
          </w:p>
        </w:tc>
        <w:tc>
          <w:tcPr>
            <w:tcW w:w="2904" w:type="dxa"/>
            <w:vAlign w:val="center"/>
          </w:tcPr>
          <w:p w14:paraId="03E67547">
            <w:r>
              <w:rPr>
                <w:rFonts w:hint="eastAsia"/>
              </w:rPr>
              <w:t>符合6</w:t>
            </w:r>
            <w:r>
              <w:t>.</w:t>
            </w: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3、6.6.1、6.6.2规定。</w:t>
            </w:r>
          </w:p>
        </w:tc>
        <w:tc>
          <w:tcPr>
            <w:tcW w:w="992" w:type="dxa"/>
            <w:vAlign w:val="center"/>
          </w:tcPr>
          <w:p w14:paraId="3B2DC649">
            <w:r>
              <w:rPr>
                <w:rFonts w:hint="eastAsia"/>
              </w:rPr>
              <w:t>合格</w:t>
            </w:r>
          </w:p>
        </w:tc>
        <w:tc>
          <w:tcPr>
            <w:tcW w:w="964" w:type="dxa"/>
            <w:vAlign w:val="center"/>
          </w:tcPr>
          <w:p w14:paraId="661CBFC6"/>
        </w:tc>
      </w:tr>
      <w:tr w14:paraId="62A8F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834" w:type="dxa"/>
            <w:vAlign w:val="center"/>
          </w:tcPr>
          <w:p w14:paraId="4AD1C93D">
            <w:pPr>
              <w:numPr>
                <w:ilvl w:val="0"/>
                <w:numId w:val="3"/>
              </w:numPr>
            </w:pPr>
          </w:p>
        </w:tc>
        <w:tc>
          <w:tcPr>
            <w:tcW w:w="1969" w:type="dxa"/>
            <w:vAlign w:val="center"/>
          </w:tcPr>
          <w:p w14:paraId="6D21F37D">
            <w:r>
              <w:rPr>
                <w:rFonts w:hint="eastAsia"/>
              </w:rPr>
              <w:t>标准信号发生器试验</w:t>
            </w:r>
          </w:p>
        </w:tc>
        <w:tc>
          <w:tcPr>
            <w:tcW w:w="1761" w:type="dxa"/>
            <w:vAlign w:val="center"/>
          </w:tcPr>
          <w:p w14:paraId="1FF2192A">
            <w:r>
              <w:rPr>
                <w:rFonts w:hint="eastAsia"/>
              </w:rPr>
              <w:t>按10.5试验程序操作</w:t>
            </w:r>
          </w:p>
        </w:tc>
        <w:tc>
          <w:tcPr>
            <w:tcW w:w="2904" w:type="dxa"/>
            <w:vAlign w:val="center"/>
          </w:tcPr>
          <w:p w14:paraId="33D04895">
            <w:r>
              <w:rPr>
                <w:rFonts w:hint="eastAsia"/>
              </w:rPr>
              <w:t>前2个往返未缩放，轨道衡示值满足6.3.3、6.6.1、6.6.2要求。第3个往返进行缩放，轨道衡示值变化趋势与缩放趋势一致。</w:t>
            </w:r>
          </w:p>
        </w:tc>
        <w:tc>
          <w:tcPr>
            <w:tcW w:w="992" w:type="dxa"/>
            <w:vAlign w:val="center"/>
          </w:tcPr>
          <w:p w14:paraId="587D507F">
            <w:r>
              <w:rPr>
                <w:rFonts w:hint="eastAsia"/>
              </w:rPr>
              <w:t>合格</w:t>
            </w:r>
          </w:p>
        </w:tc>
        <w:tc>
          <w:tcPr>
            <w:tcW w:w="964" w:type="dxa"/>
            <w:vAlign w:val="center"/>
          </w:tcPr>
          <w:p w14:paraId="5A860635"/>
        </w:tc>
      </w:tr>
      <w:tr w14:paraId="1BDBD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34" w:type="dxa"/>
            <w:vAlign w:val="center"/>
          </w:tcPr>
          <w:p w14:paraId="1877B17A">
            <w:pPr>
              <w:numPr>
                <w:ilvl w:val="0"/>
                <w:numId w:val="3"/>
              </w:numPr>
            </w:pPr>
          </w:p>
        </w:tc>
        <w:tc>
          <w:tcPr>
            <w:tcW w:w="1969" w:type="dxa"/>
            <w:vAlign w:val="center"/>
          </w:tcPr>
          <w:p w14:paraId="42E05070">
            <w:pPr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称量速度试验</w:t>
            </w:r>
          </w:p>
        </w:tc>
        <w:tc>
          <w:tcPr>
            <w:tcW w:w="1761" w:type="dxa"/>
            <w:vAlign w:val="center"/>
          </w:tcPr>
          <w:p w14:paraId="327ABE97">
            <w:r>
              <w:rPr>
                <w:rFonts w:hint="eastAsia"/>
              </w:rPr>
              <w:t>按10.7试验程序操作</w:t>
            </w:r>
          </w:p>
        </w:tc>
        <w:tc>
          <w:tcPr>
            <w:tcW w:w="2904" w:type="dxa"/>
            <w:vAlign w:val="center"/>
          </w:tcPr>
          <w:p w14:paraId="29EE81E5">
            <w:r>
              <w:rPr>
                <w:rFonts w:hint="eastAsia"/>
              </w:rPr>
              <w:t>最大误差3.9%，符合6</w:t>
            </w:r>
            <w:r>
              <w:t>.</w:t>
            </w:r>
            <w:r>
              <w:rPr>
                <w:rFonts w:hint="eastAsia"/>
              </w:rPr>
              <w:t>5</w:t>
            </w:r>
            <w:r>
              <w:t>.</w:t>
            </w:r>
            <w:r>
              <w:rPr>
                <w:rFonts w:hint="eastAsia"/>
              </w:rPr>
              <w:t>1规定。</w:t>
            </w:r>
          </w:p>
        </w:tc>
        <w:tc>
          <w:tcPr>
            <w:tcW w:w="992" w:type="dxa"/>
            <w:vAlign w:val="center"/>
          </w:tcPr>
          <w:p w14:paraId="3DF9FC44">
            <w:r>
              <w:rPr>
                <w:rFonts w:hint="eastAsia"/>
              </w:rPr>
              <w:t>合格</w:t>
            </w:r>
          </w:p>
        </w:tc>
        <w:tc>
          <w:tcPr>
            <w:tcW w:w="964" w:type="dxa"/>
            <w:vAlign w:val="center"/>
          </w:tcPr>
          <w:p w14:paraId="3A4FA0E2"/>
        </w:tc>
      </w:tr>
      <w:tr w14:paraId="633D9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34" w:type="dxa"/>
            <w:vAlign w:val="center"/>
          </w:tcPr>
          <w:p w14:paraId="51DBFF0A">
            <w:pPr>
              <w:numPr>
                <w:ilvl w:val="0"/>
                <w:numId w:val="3"/>
              </w:numPr>
            </w:pPr>
          </w:p>
        </w:tc>
        <w:tc>
          <w:tcPr>
            <w:tcW w:w="1969" w:type="dxa"/>
            <w:vAlign w:val="center"/>
          </w:tcPr>
          <w:p w14:paraId="7FD3FFD7">
            <w:r>
              <w:rPr>
                <w:rFonts w:ascii="宋体" w:hAnsi="宋体"/>
                <w:color w:val="000000"/>
              </w:rPr>
              <w:t>影响因子和干扰试验</w:t>
            </w:r>
          </w:p>
        </w:tc>
        <w:tc>
          <w:tcPr>
            <w:tcW w:w="1761" w:type="dxa"/>
            <w:vAlign w:val="center"/>
          </w:tcPr>
          <w:p w14:paraId="030AD9D0">
            <w:r>
              <w:rPr>
                <w:rFonts w:hint="eastAsia"/>
              </w:rPr>
              <w:t>按10.6试验程序操作</w:t>
            </w:r>
          </w:p>
        </w:tc>
        <w:tc>
          <w:tcPr>
            <w:tcW w:w="2904" w:type="dxa"/>
            <w:vAlign w:val="center"/>
          </w:tcPr>
          <w:p w14:paraId="4AB7AAF6">
            <w:pPr>
              <w:rPr>
                <w:color w:val="000000"/>
              </w:rPr>
            </w:pPr>
            <w:r>
              <w:rPr>
                <w:rFonts w:hint="eastAsia"/>
              </w:rPr>
              <w:t>具有相应的型式评价报告，可不需进行重复试验。</w:t>
            </w:r>
          </w:p>
        </w:tc>
        <w:tc>
          <w:tcPr>
            <w:tcW w:w="992" w:type="dxa"/>
            <w:vAlign w:val="center"/>
          </w:tcPr>
          <w:p w14:paraId="032678FC">
            <w:r>
              <w:rPr>
                <w:rFonts w:hint="eastAsia"/>
              </w:rPr>
              <w:t>合格</w:t>
            </w:r>
          </w:p>
        </w:tc>
        <w:tc>
          <w:tcPr>
            <w:tcW w:w="964" w:type="dxa"/>
            <w:vAlign w:val="center"/>
          </w:tcPr>
          <w:p w14:paraId="75FC1850"/>
        </w:tc>
      </w:tr>
    </w:tbl>
    <w:p w14:paraId="39753832">
      <w:pPr>
        <w:widowControl/>
        <w:spacing w:line="440" w:lineRule="exact"/>
        <w:ind w:right="-108" w:firstLine="480" w:firstLineChars="200"/>
        <w:rPr>
          <w:sz w:val="24"/>
          <w:szCs w:val="21"/>
        </w:rPr>
      </w:pPr>
    </w:p>
    <w:p w14:paraId="04595678">
      <w:pPr>
        <w:widowControl/>
        <w:ind w:right="-108"/>
        <w:rPr>
          <w:sz w:val="24"/>
          <w:szCs w:val="21"/>
        </w:rPr>
      </w:pPr>
      <w:r>
        <w:rPr>
          <w:sz w:val="24"/>
          <w:szCs w:val="21"/>
        </w:rPr>
        <w:t xml:space="preserve">5 </w:t>
      </w:r>
      <w:r>
        <w:rPr>
          <w:rFonts w:hint="eastAsia"/>
          <w:sz w:val="24"/>
          <w:szCs w:val="21"/>
        </w:rPr>
        <w:t>结论</w:t>
      </w:r>
    </w:p>
    <w:p w14:paraId="7316727D"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zCs w:val="20"/>
        </w:rPr>
      </w:pPr>
      <w:r>
        <w:rPr>
          <w:rFonts w:ascii="宋体" w:hAnsi="宋体"/>
          <w:color w:val="000000"/>
          <w:sz w:val="24"/>
          <w:szCs w:val="20"/>
        </w:rPr>
        <w:t>通过</w:t>
      </w:r>
      <w:r>
        <w:rPr>
          <w:rFonts w:hint="eastAsia" w:ascii="宋体" w:hAnsi="宋体"/>
          <w:color w:val="000000"/>
          <w:sz w:val="24"/>
          <w:szCs w:val="20"/>
        </w:rPr>
        <w:t>使用</w:t>
      </w:r>
      <w:r>
        <w:rPr>
          <w:bCs/>
          <w:sz w:val="24"/>
          <w:szCs w:val="20"/>
        </w:rPr>
        <w:t>JJF</w:t>
      </w:r>
      <w:r>
        <w:rPr>
          <w:rFonts w:hint="eastAsia"/>
          <w:bCs/>
          <w:sz w:val="24"/>
          <w:szCs w:val="20"/>
        </w:rPr>
        <w:t xml:space="preserve"> </w:t>
      </w:r>
      <w:r>
        <w:rPr>
          <w:bCs/>
          <w:sz w:val="24"/>
          <w:szCs w:val="20"/>
        </w:rPr>
        <w:t>13</w:t>
      </w:r>
      <w:r>
        <w:rPr>
          <w:rFonts w:hint="eastAsia"/>
          <w:bCs/>
          <w:sz w:val="24"/>
          <w:szCs w:val="20"/>
        </w:rPr>
        <w:t>59</w:t>
      </w:r>
      <w:r>
        <w:rPr>
          <w:bCs/>
          <w:sz w:val="24"/>
          <w:szCs w:val="20"/>
        </w:rPr>
        <w:t>-XXXX</w:t>
      </w:r>
      <w:r>
        <w:rPr>
          <w:rFonts w:hint="eastAsia" w:ascii="黑体" w:hAnsi="黑体"/>
          <w:bCs/>
          <w:sz w:val="24"/>
          <w:szCs w:val="20"/>
        </w:rPr>
        <w:t>《自动轨道衡</w:t>
      </w:r>
      <w:r>
        <w:rPr>
          <w:rFonts w:hint="eastAsia" w:ascii="黑体" w:hAnsi="黑体"/>
          <w:sz w:val="24"/>
          <w:szCs w:val="20"/>
        </w:rPr>
        <w:t>型式评价大纲</w:t>
      </w:r>
      <w:r>
        <w:rPr>
          <w:rFonts w:hint="eastAsia" w:ascii="黑体" w:hAnsi="黑体"/>
          <w:bCs/>
          <w:sz w:val="24"/>
          <w:szCs w:val="20"/>
        </w:rPr>
        <w:t>》</w:t>
      </w:r>
      <w:r>
        <w:rPr>
          <w:rFonts w:hint="eastAsia" w:ascii="宋体" w:hAnsi="宋体"/>
          <w:color w:val="000000"/>
          <w:sz w:val="24"/>
          <w:szCs w:val="20"/>
        </w:rPr>
        <w:t>规定的方法，利用</w:t>
      </w:r>
      <w:r>
        <w:rPr>
          <w:bCs/>
          <w:sz w:val="24"/>
        </w:rPr>
        <w:t>T</w:t>
      </w:r>
      <w:r>
        <w:rPr>
          <w:bCs/>
          <w:sz w:val="24"/>
          <w:vertAlign w:val="subscript"/>
        </w:rPr>
        <w:t>8</w:t>
      </w:r>
      <w:r>
        <w:rPr>
          <w:rFonts w:hint="eastAsia"/>
          <w:bCs/>
          <w:sz w:val="24"/>
          <w:vertAlign w:val="subscript"/>
        </w:rPr>
        <w:t>D</w:t>
      </w:r>
      <w:r>
        <w:rPr>
          <w:rFonts w:hint="eastAsia"/>
          <w:bCs/>
          <w:sz w:val="24"/>
        </w:rPr>
        <w:t>型检衡车组</w:t>
      </w:r>
      <w:r>
        <w:rPr>
          <w:rFonts w:ascii="宋体" w:hAnsi="宋体"/>
          <w:color w:val="000000"/>
          <w:sz w:val="24"/>
          <w:szCs w:val="20"/>
        </w:rPr>
        <w:t>对</w:t>
      </w:r>
      <w:r>
        <w:rPr>
          <w:rFonts w:hint="eastAsia" w:ascii="宋体" w:hAnsi="宋体"/>
          <w:color w:val="000000"/>
          <w:sz w:val="24"/>
          <w:szCs w:val="20"/>
        </w:rPr>
        <w:t>自动轨道衡进行了试验，其所有分项的试验结果均能满足规定的要求，</w:t>
      </w:r>
      <w:r>
        <w:rPr>
          <w:rFonts w:hAnsi="宋体"/>
          <w:color w:val="000000"/>
          <w:sz w:val="24"/>
        </w:rPr>
        <w:t>说明</w:t>
      </w:r>
      <w:r>
        <w:rPr>
          <w:bCs/>
          <w:sz w:val="24"/>
          <w:szCs w:val="20"/>
        </w:rPr>
        <w:t>JJF</w:t>
      </w:r>
      <w:r>
        <w:rPr>
          <w:rFonts w:hint="eastAsia"/>
          <w:bCs/>
          <w:sz w:val="24"/>
          <w:szCs w:val="20"/>
        </w:rPr>
        <w:t xml:space="preserve"> </w:t>
      </w:r>
      <w:r>
        <w:rPr>
          <w:bCs/>
          <w:sz w:val="24"/>
          <w:szCs w:val="20"/>
        </w:rPr>
        <w:t>13</w:t>
      </w:r>
      <w:r>
        <w:rPr>
          <w:rFonts w:hint="eastAsia"/>
          <w:bCs/>
          <w:sz w:val="24"/>
          <w:szCs w:val="20"/>
        </w:rPr>
        <w:t>59</w:t>
      </w:r>
      <w:r>
        <w:rPr>
          <w:bCs/>
          <w:sz w:val="24"/>
          <w:szCs w:val="20"/>
        </w:rPr>
        <w:t>-XXXX</w:t>
      </w:r>
      <w:r>
        <w:rPr>
          <w:rFonts w:hint="eastAsia" w:ascii="黑体" w:hAnsi="黑体"/>
          <w:bCs/>
          <w:sz w:val="24"/>
          <w:szCs w:val="20"/>
        </w:rPr>
        <w:t>《</w:t>
      </w:r>
      <w:bookmarkStart w:id="8" w:name="_GoBack"/>
      <w:bookmarkEnd w:id="8"/>
      <w:r>
        <w:rPr>
          <w:rFonts w:hint="eastAsia" w:ascii="黑体" w:hAnsi="黑体"/>
          <w:bCs/>
          <w:sz w:val="24"/>
          <w:szCs w:val="20"/>
        </w:rPr>
        <w:t>自动轨道衡</w:t>
      </w:r>
      <w:r>
        <w:rPr>
          <w:rFonts w:hint="eastAsia" w:ascii="黑体" w:hAnsi="黑体"/>
          <w:sz w:val="24"/>
          <w:szCs w:val="20"/>
        </w:rPr>
        <w:t>型式评价大纲</w:t>
      </w:r>
      <w:r>
        <w:rPr>
          <w:rFonts w:hint="eastAsia" w:ascii="黑体" w:hAnsi="黑体"/>
          <w:bCs/>
          <w:sz w:val="24"/>
          <w:szCs w:val="20"/>
        </w:rPr>
        <w:t>》</w:t>
      </w:r>
      <w:r>
        <w:rPr>
          <w:rFonts w:hint="eastAsia" w:ascii="宋体" w:hAnsi="宋体"/>
          <w:color w:val="000000"/>
          <w:sz w:val="24"/>
          <w:szCs w:val="20"/>
        </w:rPr>
        <w:t>的试验方法和计量技术指标是科学合理并切实可行的。</w:t>
      </w:r>
    </w:p>
    <w:p w14:paraId="3F331401">
      <w:pPr>
        <w:widowControl/>
        <w:spacing w:line="440" w:lineRule="exact"/>
        <w:jc w:val="right"/>
        <w:rPr>
          <w:rFonts w:hint="eastAsia" w:ascii="宋体" w:hAnsi="宋体"/>
          <w:sz w:val="24"/>
        </w:rPr>
      </w:pPr>
      <w:r>
        <w:rPr>
          <w:color w:val="000000"/>
          <w:sz w:val="24"/>
        </w:rPr>
        <w:t xml:space="preserve">  </w:t>
      </w:r>
      <w:r>
        <w:rPr>
          <w:rFonts w:hint="eastAsia" w:ascii="宋体" w:hAnsi="宋体"/>
          <w:sz w:val="24"/>
        </w:rPr>
        <w:t>《自动轨道衡型式评价大纲》起草小组</w:t>
      </w:r>
    </w:p>
    <w:p w14:paraId="71B27B28">
      <w:pPr>
        <w:rPr>
          <w:rFonts w:hint="eastAsia" w:hAnsi="宋体"/>
          <w:sz w:val="24"/>
        </w:rPr>
      </w:pPr>
      <w:r>
        <w:rPr>
          <w:sz w:val="24"/>
        </w:rPr>
        <w:t xml:space="preserve">                                                  202</w:t>
      </w:r>
      <w:r>
        <w:rPr>
          <w:rFonts w:hint="eastAsia"/>
          <w:sz w:val="24"/>
        </w:rPr>
        <w:t>6</w:t>
      </w:r>
      <w:r>
        <w:rPr>
          <w:rFonts w:hAnsi="宋体"/>
          <w:sz w:val="24"/>
        </w:rPr>
        <w:t>年</w:t>
      </w:r>
      <w:r>
        <w:rPr>
          <w:rFonts w:hint="eastAsia" w:hAnsi="宋体"/>
          <w:sz w:val="24"/>
          <w:lang w:val="en-US" w:eastAsia="zh-CN"/>
        </w:rPr>
        <w:t>8</w:t>
      </w:r>
      <w:r>
        <w:rPr>
          <w:rFonts w:hAnsi="宋体"/>
          <w:sz w:val="24"/>
        </w:rPr>
        <w:t>月</w:t>
      </w:r>
    </w:p>
    <w:p w14:paraId="33BF88D2">
      <w:pPr>
        <w:widowControl/>
        <w:jc w:val="left"/>
        <w:rPr>
          <w:rFonts w:hint="eastAsia" w:hAnsi="宋体"/>
          <w:sz w:val="24"/>
        </w:rPr>
      </w:pPr>
    </w:p>
    <w:sectPr>
      <w:pgSz w:w="11906" w:h="16838"/>
      <w:pgMar w:top="1440" w:right="158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0B473A"/>
    <w:multiLevelType w:val="multilevel"/>
    <w:tmpl w:val="2D0B473A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46260FA"/>
    <w:multiLevelType w:val="multilevel"/>
    <w:tmpl w:val="646260FA"/>
    <w:lvl w:ilvl="0" w:tentative="0">
      <w:start w:val="1"/>
      <w:numFmt w:val="decimal"/>
      <w:pStyle w:val="12"/>
      <w:suff w:val="nothing"/>
      <w:lvlText w:val="表%1　"/>
      <w:lvlJc w:val="left"/>
      <w:pPr>
        <w:ind w:left="4748" w:firstLine="0"/>
      </w:pPr>
      <w:rPr>
        <w:rFonts w:hint="eastAsia" w:ascii="黑体" w:hAnsi="Times New Roman" w:eastAsia="黑体"/>
        <w:b w:val="0"/>
        <w:i w:val="0"/>
        <w:color w:val="0000FF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1330"/>
        </w:tabs>
        <w:ind w:left="1330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756"/>
        </w:tabs>
        <w:ind w:left="175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322"/>
        </w:tabs>
        <w:ind w:left="232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889"/>
        </w:tabs>
        <w:ind w:left="288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598"/>
        </w:tabs>
        <w:ind w:left="359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165"/>
        </w:tabs>
        <w:ind w:left="416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732"/>
        </w:tabs>
        <w:ind w:left="473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440"/>
        </w:tabs>
        <w:ind w:left="5440" w:hanging="1700"/>
      </w:pPr>
      <w:rPr>
        <w:rFonts w:hint="eastAsia"/>
      </w:rPr>
    </w:lvl>
  </w:abstractNum>
  <w:abstractNum w:abstractNumId="2">
    <w:nsid w:val="6CEA2025"/>
    <w:multiLevelType w:val="multilevel"/>
    <w:tmpl w:val="6CEA2025"/>
    <w:lvl w:ilvl="0" w:tentative="0">
      <w:start w:val="1"/>
      <w:numFmt w:val="none"/>
      <w:pStyle w:val="13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pStyle w:val="14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0">
      <w:start w:val="1"/>
      <w:numFmt w:val="decimal"/>
      <w:pStyle w:val="15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6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dstrike w:val="0"/>
        <w:sz w:val="21"/>
      </w:rPr>
    </w:lvl>
    <w:lvl w:ilvl="4" w:tentative="0">
      <w:start w:val="1"/>
      <w:numFmt w:val="decimal"/>
      <w:pStyle w:val="17"/>
      <w:suff w:val="nothing"/>
      <w:lvlText w:val="%1%2.%3.%4.%5　"/>
      <w:lvlJc w:val="left"/>
      <w:pPr>
        <w:ind w:left="4860" w:hanging="4860"/>
      </w:pPr>
      <w:rPr>
        <w:rFonts w:hint="eastAsia" w:ascii="黑体" w:hAnsi="Times New Roman" w:eastAsia="黑体"/>
        <w:b w:val="0"/>
        <w:i w:val="0"/>
        <w:color w:val="000000"/>
        <w:sz w:val="21"/>
      </w:rPr>
    </w:lvl>
    <w:lvl w:ilvl="5" w:tentative="0">
      <w:start w:val="1"/>
      <w:numFmt w:val="decimal"/>
      <w:pStyle w:val="18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19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FAE"/>
    <w:rsid w:val="00001BEE"/>
    <w:rsid w:val="00002F11"/>
    <w:rsid w:val="00003A2C"/>
    <w:rsid w:val="00010989"/>
    <w:rsid w:val="00030B58"/>
    <w:rsid w:val="00044B76"/>
    <w:rsid w:val="00053D18"/>
    <w:rsid w:val="000655C4"/>
    <w:rsid w:val="000702BD"/>
    <w:rsid w:val="00074983"/>
    <w:rsid w:val="0007531D"/>
    <w:rsid w:val="0007739D"/>
    <w:rsid w:val="00080F44"/>
    <w:rsid w:val="000822DB"/>
    <w:rsid w:val="00084D72"/>
    <w:rsid w:val="00085E49"/>
    <w:rsid w:val="00092180"/>
    <w:rsid w:val="000B01E6"/>
    <w:rsid w:val="000B4749"/>
    <w:rsid w:val="000C4E05"/>
    <w:rsid w:val="000D5913"/>
    <w:rsid w:val="000E48EA"/>
    <w:rsid w:val="000F1F79"/>
    <w:rsid w:val="000F4377"/>
    <w:rsid w:val="000F55F0"/>
    <w:rsid w:val="000F6CE2"/>
    <w:rsid w:val="00102341"/>
    <w:rsid w:val="00104386"/>
    <w:rsid w:val="0010586B"/>
    <w:rsid w:val="0010602C"/>
    <w:rsid w:val="001066E3"/>
    <w:rsid w:val="00115969"/>
    <w:rsid w:val="00122BB8"/>
    <w:rsid w:val="00123728"/>
    <w:rsid w:val="001307F8"/>
    <w:rsid w:val="001348CF"/>
    <w:rsid w:val="001401C0"/>
    <w:rsid w:val="0015582D"/>
    <w:rsid w:val="00166EBF"/>
    <w:rsid w:val="00174BBA"/>
    <w:rsid w:val="00180B1D"/>
    <w:rsid w:val="00182FFE"/>
    <w:rsid w:val="00185862"/>
    <w:rsid w:val="001871F5"/>
    <w:rsid w:val="00191C32"/>
    <w:rsid w:val="00193947"/>
    <w:rsid w:val="00194522"/>
    <w:rsid w:val="00194E87"/>
    <w:rsid w:val="001A28E3"/>
    <w:rsid w:val="001A7A64"/>
    <w:rsid w:val="001B2CA2"/>
    <w:rsid w:val="001B3191"/>
    <w:rsid w:val="001B3528"/>
    <w:rsid w:val="001D34E7"/>
    <w:rsid w:val="001D596E"/>
    <w:rsid w:val="001E2363"/>
    <w:rsid w:val="001E3473"/>
    <w:rsid w:val="001E4B75"/>
    <w:rsid w:val="001F29F6"/>
    <w:rsid w:val="001F44D5"/>
    <w:rsid w:val="002031F5"/>
    <w:rsid w:val="00225270"/>
    <w:rsid w:val="0022651D"/>
    <w:rsid w:val="002318A3"/>
    <w:rsid w:val="00234256"/>
    <w:rsid w:val="00250676"/>
    <w:rsid w:val="002740FE"/>
    <w:rsid w:val="0027508D"/>
    <w:rsid w:val="00276415"/>
    <w:rsid w:val="00277B6C"/>
    <w:rsid w:val="00290058"/>
    <w:rsid w:val="0029223D"/>
    <w:rsid w:val="00297631"/>
    <w:rsid w:val="002A065E"/>
    <w:rsid w:val="002B0F85"/>
    <w:rsid w:val="002B7596"/>
    <w:rsid w:val="002C3CEB"/>
    <w:rsid w:val="002C4772"/>
    <w:rsid w:val="002C4B7D"/>
    <w:rsid w:val="002C5D68"/>
    <w:rsid w:val="002D210A"/>
    <w:rsid w:val="002D2A3D"/>
    <w:rsid w:val="002D5C3A"/>
    <w:rsid w:val="002D5CB9"/>
    <w:rsid w:val="002E068F"/>
    <w:rsid w:val="002E2FF0"/>
    <w:rsid w:val="002F1ED6"/>
    <w:rsid w:val="00301A21"/>
    <w:rsid w:val="0030233C"/>
    <w:rsid w:val="003041CB"/>
    <w:rsid w:val="00304529"/>
    <w:rsid w:val="0030774F"/>
    <w:rsid w:val="00320103"/>
    <w:rsid w:val="003247E9"/>
    <w:rsid w:val="0033735E"/>
    <w:rsid w:val="0034142E"/>
    <w:rsid w:val="00343CC2"/>
    <w:rsid w:val="00344970"/>
    <w:rsid w:val="003473AB"/>
    <w:rsid w:val="00356300"/>
    <w:rsid w:val="00375ECF"/>
    <w:rsid w:val="00376967"/>
    <w:rsid w:val="00381A1A"/>
    <w:rsid w:val="00386D29"/>
    <w:rsid w:val="00387B67"/>
    <w:rsid w:val="0039325B"/>
    <w:rsid w:val="00396CD1"/>
    <w:rsid w:val="003A0F61"/>
    <w:rsid w:val="003B0C4A"/>
    <w:rsid w:val="003B1E0C"/>
    <w:rsid w:val="003B4581"/>
    <w:rsid w:val="003C0D79"/>
    <w:rsid w:val="003D00C6"/>
    <w:rsid w:val="003D407F"/>
    <w:rsid w:val="003E1E8E"/>
    <w:rsid w:val="003F13AC"/>
    <w:rsid w:val="003F5627"/>
    <w:rsid w:val="003F65F2"/>
    <w:rsid w:val="003F6833"/>
    <w:rsid w:val="00407203"/>
    <w:rsid w:val="00415604"/>
    <w:rsid w:val="004262C2"/>
    <w:rsid w:val="00444BF2"/>
    <w:rsid w:val="0045142B"/>
    <w:rsid w:val="004523AF"/>
    <w:rsid w:val="004752C9"/>
    <w:rsid w:val="00476E83"/>
    <w:rsid w:val="004811FE"/>
    <w:rsid w:val="00494896"/>
    <w:rsid w:val="004968EA"/>
    <w:rsid w:val="00497439"/>
    <w:rsid w:val="004A5D4C"/>
    <w:rsid w:val="004B1582"/>
    <w:rsid w:val="004B4FA7"/>
    <w:rsid w:val="004C18F8"/>
    <w:rsid w:val="004C65D4"/>
    <w:rsid w:val="004D21AC"/>
    <w:rsid w:val="004D35F1"/>
    <w:rsid w:val="004D4072"/>
    <w:rsid w:val="004D5D54"/>
    <w:rsid w:val="004D7620"/>
    <w:rsid w:val="004E564D"/>
    <w:rsid w:val="004E7139"/>
    <w:rsid w:val="00502056"/>
    <w:rsid w:val="0051026E"/>
    <w:rsid w:val="00511B7A"/>
    <w:rsid w:val="00511F91"/>
    <w:rsid w:val="00513DB4"/>
    <w:rsid w:val="00521683"/>
    <w:rsid w:val="005229B6"/>
    <w:rsid w:val="00525013"/>
    <w:rsid w:val="005269B8"/>
    <w:rsid w:val="0053062F"/>
    <w:rsid w:val="0054341B"/>
    <w:rsid w:val="005617E5"/>
    <w:rsid w:val="00562E0C"/>
    <w:rsid w:val="00565C87"/>
    <w:rsid w:val="00570BDA"/>
    <w:rsid w:val="00573420"/>
    <w:rsid w:val="005802E9"/>
    <w:rsid w:val="00584248"/>
    <w:rsid w:val="005919F9"/>
    <w:rsid w:val="00593523"/>
    <w:rsid w:val="005A0060"/>
    <w:rsid w:val="005B147F"/>
    <w:rsid w:val="005C09D3"/>
    <w:rsid w:val="005C3461"/>
    <w:rsid w:val="005C4D48"/>
    <w:rsid w:val="005E43C2"/>
    <w:rsid w:val="005F01DC"/>
    <w:rsid w:val="005F1697"/>
    <w:rsid w:val="005F2663"/>
    <w:rsid w:val="006007DD"/>
    <w:rsid w:val="0060641E"/>
    <w:rsid w:val="006075B1"/>
    <w:rsid w:val="00614840"/>
    <w:rsid w:val="00615C62"/>
    <w:rsid w:val="00616BEC"/>
    <w:rsid w:val="00622E30"/>
    <w:rsid w:val="006342BD"/>
    <w:rsid w:val="006346DB"/>
    <w:rsid w:val="0063487D"/>
    <w:rsid w:val="00635FED"/>
    <w:rsid w:val="00640DE8"/>
    <w:rsid w:val="00640FE9"/>
    <w:rsid w:val="00644E8F"/>
    <w:rsid w:val="006513B1"/>
    <w:rsid w:val="006513CD"/>
    <w:rsid w:val="00661CEE"/>
    <w:rsid w:val="0066293E"/>
    <w:rsid w:val="00664C9A"/>
    <w:rsid w:val="00667886"/>
    <w:rsid w:val="00675167"/>
    <w:rsid w:val="0067778A"/>
    <w:rsid w:val="006827A3"/>
    <w:rsid w:val="006853A8"/>
    <w:rsid w:val="00691B0D"/>
    <w:rsid w:val="00692668"/>
    <w:rsid w:val="006929D8"/>
    <w:rsid w:val="00692D9B"/>
    <w:rsid w:val="00695CF4"/>
    <w:rsid w:val="00695E96"/>
    <w:rsid w:val="00695F14"/>
    <w:rsid w:val="00696EFC"/>
    <w:rsid w:val="006A00EF"/>
    <w:rsid w:val="006A1063"/>
    <w:rsid w:val="006A44F6"/>
    <w:rsid w:val="006B2DAF"/>
    <w:rsid w:val="006B5642"/>
    <w:rsid w:val="006C0723"/>
    <w:rsid w:val="006C24D4"/>
    <w:rsid w:val="006C6F98"/>
    <w:rsid w:val="006D083D"/>
    <w:rsid w:val="006D0C9F"/>
    <w:rsid w:val="006D44A0"/>
    <w:rsid w:val="006D6AF7"/>
    <w:rsid w:val="006F0E20"/>
    <w:rsid w:val="006F12BE"/>
    <w:rsid w:val="006F4BD7"/>
    <w:rsid w:val="006F506E"/>
    <w:rsid w:val="00706F59"/>
    <w:rsid w:val="00713A26"/>
    <w:rsid w:val="00715089"/>
    <w:rsid w:val="007255DD"/>
    <w:rsid w:val="0074390D"/>
    <w:rsid w:val="00752E09"/>
    <w:rsid w:val="00757B19"/>
    <w:rsid w:val="007621BC"/>
    <w:rsid w:val="007635C2"/>
    <w:rsid w:val="00765A86"/>
    <w:rsid w:val="00782649"/>
    <w:rsid w:val="00783CAA"/>
    <w:rsid w:val="00791C14"/>
    <w:rsid w:val="00791EBE"/>
    <w:rsid w:val="00795E18"/>
    <w:rsid w:val="007A101B"/>
    <w:rsid w:val="007A46FE"/>
    <w:rsid w:val="007A6DFD"/>
    <w:rsid w:val="007C231E"/>
    <w:rsid w:val="007C7039"/>
    <w:rsid w:val="007D46A2"/>
    <w:rsid w:val="007D6A9A"/>
    <w:rsid w:val="007D700C"/>
    <w:rsid w:val="007F3C07"/>
    <w:rsid w:val="007F5DB6"/>
    <w:rsid w:val="007F62F4"/>
    <w:rsid w:val="0080034E"/>
    <w:rsid w:val="00801098"/>
    <w:rsid w:val="00811EAE"/>
    <w:rsid w:val="00815502"/>
    <w:rsid w:val="008175BF"/>
    <w:rsid w:val="00820FE1"/>
    <w:rsid w:val="00824031"/>
    <w:rsid w:val="008262D1"/>
    <w:rsid w:val="008315DD"/>
    <w:rsid w:val="00832BCB"/>
    <w:rsid w:val="00835698"/>
    <w:rsid w:val="00841D2C"/>
    <w:rsid w:val="00844F24"/>
    <w:rsid w:val="00847062"/>
    <w:rsid w:val="00857522"/>
    <w:rsid w:val="00860470"/>
    <w:rsid w:val="00865785"/>
    <w:rsid w:val="008724CD"/>
    <w:rsid w:val="0087266E"/>
    <w:rsid w:val="00877D47"/>
    <w:rsid w:val="00881CE1"/>
    <w:rsid w:val="008838AF"/>
    <w:rsid w:val="00887524"/>
    <w:rsid w:val="008A58C8"/>
    <w:rsid w:val="008B02F9"/>
    <w:rsid w:val="008B1235"/>
    <w:rsid w:val="008B2245"/>
    <w:rsid w:val="008C3621"/>
    <w:rsid w:val="008C3AE6"/>
    <w:rsid w:val="008C528A"/>
    <w:rsid w:val="008D02A7"/>
    <w:rsid w:val="008E22D8"/>
    <w:rsid w:val="008E5689"/>
    <w:rsid w:val="00903CFA"/>
    <w:rsid w:val="0090499A"/>
    <w:rsid w:val="00907BFC"/>
    <w:rsid w:val="00914061"/>
    <w:rsid w:val="00927B6F"/>
    <w:rsid w:val="009348ED"/>
    <w:rsid w:val="00937440"/>
    <w:rsid w:val="00941BA9"/>
    <w:rsid w:val="00942B18"/>
    <w:rsid w:val="0094420F"/>
    <w:rsid w:val="00951253"/>
    <w:rsid w:val="0095300C"/>
    <w:rsid w:val="00953CC5"/>
    <w:rsid w:val="00960073"/>
    <w:rsid w:val="00963283"/>
    <w:rsid w:val="00964797"/>
    <w:rsid w:val="00971B13"/>
    <w:rsid w:val="009779AF"/>
    <w:rsid w:val="00983282"/>
    <w:rsid w:val="00987C9F"/>
    <w:rsid w:val="00992EA1"/>
    <w:rsid w:val="009944AA"/>
    <w:rsid w:val="009A3ED9"/>
    <w:rsid w:val="009A4B05"/>
    <w:rsid w:val="009B395D"/>
    <w:rsid w:val="009C1A41"/>
    <w:rsid w:val="009C7E6D"/>
    <w:rsid w:val="009D1D41"/>
    <w:rsid w:val="009D3FD0"/>
    <w:rsid w:val="009D475E"/>
    <w:rsid w:val="009D7A82"/>
    <w:rsid w:val="009F4BD4"/>
    <w:rsid w:val="00A01ABB"/>
    <w:rsid w:val="00A1006F"/>
    <w:rsid w:val="00A10B73"/>
    <w:rsid w:val="00A15CBD"/>
    <w:rsid w:val="00A16AEC"/>
    <w:rsid w:val="00A16CDD"/>
    <w:rsid w:val="00A20B6B"/>
    <w:rsid w:val="00A251C5"/>
    <w:rsid w:val="00A3759E"/>
    <w:rsid w:val="00A37A85"/>
    <w:rsid w:val="00A40839"/>
    <w:rsid w:val="00A42C84"/>
    <w:rsid w:val="00A45226"/>
    <w:rsid w:val="00A50372"/>
    <w:rsid w:val="00A64959"/>
    <w:rsid w:val="00A665A1"/>
    <w:rsid w:val="00A703D4"/>
    <w:rsid w:val="00A72155"/>
    <w:rsid w:val="00A729C3"/>
    <w:rsid w:val="00A86E1A"/>
    <w:rsid w:val="00A8748C"/>
    <w:rsid w:val="00AA72FE"/>
    <w:rsid w:val="00AB0898"/>
    <w:rsid w:val="00AB6720"/>
    <w:rsid w:val="00AB7FF0"/>
    <w:rsid w:val="00AC0414"/>
    <w:rsid w:val="00AC3F8D"/>
    <w:rsid w:val="00AC49F4"/>
    <w:rsid w:val="00AC7067"/>
    <w:rsid w:val="00AD3445"/>
    <w:rsid w:val="00AE0C08"/>
    <w:rsid w:val="00AE5AE4"/>
    <w:rsid w:val="00AF1839"/>
    <w:rsid w:val="00AF3D4D"/>
    <w:rsid w:val="00B03322"/>
    <w:rsid w:val="00B05181"/>
    <w:rsid w:val="00B10822"/>
    <w:rsid w:val="00B143BB"/>
    <w:rsid w:val="00B17059"/>
    <w:rsid w:val="00B20466"/>
    <w:rsid w:val="00B25940"/>
    <w:rsid w:val="00B32376"/>
    <w:rsid w:val="00B33A21"/>
    <w:rsid w:val="00B5029F"/>
    <w:rsid w:val="00B502C4"/>
    <w:rsid w:val="00B5128C"/>
    <w:rsid w:val="00B5152E"/>
    <w:rsid w:val="00B53629"/>
    <w:rsid w:val="00B60486"/>
    <w:rsid w:val="00B62723"/>
    <w:rsid w:val="00B64183"/>
    <w:rsid w:val="00B71697"/>
    <w:rsid w:val="00B73745"/>
    <w:rsid w:val="00B86F20"/>
    <w:rsid w:val="00B952A3"/>
    <w:rsid w:val="00BA422A"/>
    <w:rsid w:val="00BA48C7"/>
    <w:rsid w:val="00BA4D25"/>
    <w:rsid w:val="00BA502B"/>
    <w:rsid w:val="00BA7889"/>
    <w:rsid w:val="00BB7CF2"/>
    <w:rsid w:val="00BC2CFC"/>
    <w:rsid w:val="00BC438B"/>
    <w:rsid w:val="00BC6008"/>
    <w:rsid w:val="00BD1A53"/>
    <w:rsid w:val="00BD22FF"/>
    <w:rsid w:val="00BD32AA"/>
    <w:rsid w:val="00BE0A6F"/>
    <w:rsid w:val="00BE22DC"/>
    <w:rsid w:val="00C04A30"/>
    <w:rsid w:val="00C1541E"/>
    <w:rsid w:val="00C3392C"/>
    <w:rsid w:val="00C34FFA"/>
    <w:rsid w:val="00C3581E"/>
    <w:rsid w:val="00C44F4C"/>
    <w:rsid w:val="00C45D18"/>
    <w:rsid w:val="00C47297"/>
    <w:rsid w:val="00C47DB8"/>
    <w:rsid w:val="00C5260E"/>
    <w:rsid w:val="00C600C0"/>
    <w:rsid w:val="00C61D9D"/>
    <w:rsid w:val="00C62F00"/>
    <w:rsid w:val="00C72FD4"/>
    <w:rsid w:val="00C86B25"/>
    <w:rsid w:val="00C96257"/>
    <w:rsid w:val="00CA05F5"/>
    <w:rsid w:val="00CB357C"/>
    <w:rsid w:val="00CB4E75"/>
    <w:rsid w:val="00CC242C"/>
    <w:rsid w:val="00CD1A7E"/>
    <w:rsid w:val="00D1377F"/>
    <w:rsid w:val="00D16ABB"/>
    <w:rsid w:val="00D2266E"/>
    <w:rsid w:val="00D338A5"/>
    <w:rsid w:val="00D51841"/>
    <w:rsid w:val="00D53599"/>
    <w:rsid w:val="00D548A5"/>
    <w:rsid w:val="00D56EA8"/>
    <w:rsid w:val="00D57226"/>
    <w:rsid w:val="00D61769"/>
    <w:rsid w:val="00D71FD3"/>
    <w:rsid w:val="00D83156"/>
    <w:rsid w:val="00D8669C"/>
    <w:rsid w:val="00D876B4"/>
    <w:rsid w:val="00D87A90"/>
    <w:rsid w:val="00D909AE"/>
    <w:rsid w:val="00D91547"/>
    <w:rsid w:val="00D91E57"/>
    <w:rsid w:val="00D91F8B"/>
    <w:rsid w:val="00D91FD9"/>
    <w:rsid w:val="00D97ABE"/>
    <w:rsid w:val="00DA203F"/>
    <w:rsid w:val="00DA24B6"/>
    <w:rsid w:val="00DA7FF3"/>
    <w:rsid w:val="00DB0740"/>
    <w:rsid w:val="00DB0C68"/>
    <w:rsid w:val="00DB378B"/>
    <w:rsid w:val="00DC1DF5"/>
    <w:rsid w:val="00DC4F15"/>
    <w:rsid w:val="00DC5831"/>
    <w:rsid w:val="00DC67E3"/>
    <w:rsid w:val="00DC70AB"/>
    <w:rsid w:val="00DD065E"/>
    <w:rsid w:val="00DD1A81"/>
    <w:rsid w:val="00DE7708"/>
    <w:rsid w:val="00DF34AA"/>
    <w:rsid w:val="00DF4C7C"/>
    <w:rsid w:val="00DF7C6B"/>
    <w:rsid w:val="00E029F2"/>
    <w:rsid w:val="00E10AFC"/>
    <w:rsid w:val="00E12E2B"/>
    <w:rsid w:val="00E1340C"/>
    <w:rsid w:val="00E13B01"/>
    <w:rsid w:val="00E148C3"/>
    <w:rsid w:val="00E20194"/>
    <w:rsid w:val="00E22ECD"/>
    <w:rsid w:val="00E2349A"/>
    <w:rsid w:val="00E23C55"/>
    <w:rsid w:val="00E24725"/>
    <w:rsid w:val="00E337B6"/>
    <w:rsid w:val="00E37528"/>
    <w:rsid w:val="00E425EA"/>
    <w:rsid w:val="00E46B62"/>
    <w:rsid w:val="00E46CF9"/>
    <w:rsid w:val="00E46FEF"/>
    <w:rsid w:val="00E47FF0"/>
    <w:rsid w:val="00E5650E"/>
    <w:rsid w:val="00E602D5"/>
    <w:rsid w:val="00E64417"/>
    <w:rsid w:val="00E759B7"/>
    <w:rsid w:val="00E75FC5"/>
    <w:rsid w:val="00E770AC"/>
    <w:rsid w:val="00E902E8"/>
    <w:rsid w:val="00E929ED"/>
    <w:rsid w:val="00E95083"/>
    <w:rsid w:val="00E963B5"/>
    <w:rsid w:val="00EB0BE1"/>
    <w:rsid w:val="00EB77C7"/>
    <w:rsid w:val="00EC54D3"/>
    <w:rsid w:val="00EC76C5"/>
    <w:rsid w:val="00ED3DE6"/>
    <w:rsid w:val="00ED43DC"/>
    <w:rsid w:val="00EE32AC"/>
    <w:rsid w:val="00EE48EC"/>
    <w:rsid w:val="00EE523F"/>
    <w:rsid w:val="00EF6B6F"/>
    <w:rsid w:val="00EF7B2E"/>
    <w:rsid w:val="00F0304F"/>
    <w:rsid w:val="00F05BC0"/>
    <w:rsid w:val="00F12B81"/>
    <w:rsid w:val="00F14394"/>
    <w:rsid w:val="00F272D3"/>
    <w:rsid w:val="00F278E0"/>
    <w:rsid w:val="00F32B10"/>
    <w:rsid w:val="00F339B6"/>
    <w:rsid w:val="00F44FAE"/>
    <w:rsid w:val="00F53215"/>
    <w:rsid w:val="00F65AF0"/>
    <w:rsid w:val="00F66E26"/>
    <w:rsid w:val="00F67EEB"/>
    <w:rsid w:val="00F71AEF"/>
    <w:rsid w:val="00F7745B"/>
    <w:rsid w:val="00F85AC1"/>
    <w:rsid w:val="00F878D5"/>
    <w:rsid w:val="00FA06BA"/>
    <w:rsid w:val="00FA6F17"/>
    <w:rsid w:val="00FB113E"/>
    <w:rsid w:val="00FB6DB1"/>
    <w:rsid w:val="00FC3B89"/>
    <w:rsid w:val="00FD16D8"/>
    <w:rsid w:val="00FE3B76"/>
    <w:rsid w:val="00FE48E5"/>
    <w:rsid w:val="00FF1DCB"/>
    <w:rsid w:val="00FF20DC"/>
    <w:rsid w:val="00FF720B"/>
    <w:rsid w:val="066C0621"/>
    <w:rsid w:val="168A2260"/>
    <w:rsid w:val="2D1274D3"/>
    <w:rsid w:val="3BAA45F3"/>
    <w:rsid w:val="5C4F1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Autospacing="1" w:afterAutospacing="1"/>
      <w:outlineLvl w:val="1"/>
    </w:pPr>
    <w:rPr>
      <w:rFonts w:ascii="Arial" w:hAnsi="Arial"/>
      <w:bCs/>
      <w:sz w:val="24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0"/>
    <w:rPr>
      <w:rFonts w:ascii="宋体" w:hAnsi="Courier New"/>
      <w:szCs w:val="20"/>
    </w:rPr>
  </w:style>
  <w:style w:type="paragraph" w:styleId="5">
    <w:name w:val="Date"/>
    <w:basedOn w:val="1"/>
    <w:next w:val="1"/>
    <w:link w:val="27"/>
    <w:qFormat/>
    <w:uiPriority w:val="0"/>
    <w:pPr>
      <w:ind w:left="100" w:leftChars="25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paragraph" w:customStyle="1" w:styleId="12">
    <w:name w:val="正文表标题"/>
    <w:next w:val="1"/>
    <w:qFormat/>
    <w:uiPriority w:val="0"/>
    <w:pPr>
      <w:numPr>
        <w:ilvl w:val="0"/>
        <w:numId w:val="1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3">
    <w:name w:val="前言、引言标题"/>
    <w:next w:val="1"/>
    <w:qFormat/>
    <w:uiPriority w:val="0"/>
    <w:pPr>
      <w:numPr>
        <w:ilvl w:val="0"/>
        <w:numId w:val="2"/>
      </w:num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4">
    <w:name w:val="章标题"/>
    <w:next w:val="1"/>
    <w:qFormat/>
    <w:uiPriority w:val="0"/>
    <w:pPr>
      <w:numPr>
        <w:ilvl w:val="1"/>
        <w:numId w:val="2"/>
      </w:numPr>
      <w:spacing w:before="50" w:beforeLines="50" w:after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">
    <w:name w:val="一级条标题"/>
    <w:next w:val="1"/>
    <w:qFormat/>
    <w:uiPriority w:val="0"/>
    <w:pPr>
      <w:numPr>
        <w:ilvl w:val="2"/>
        <w:numId w:val="2"/>
      </w:numPr>
      <w:outlineLvl w:val="2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16">
    <w:name w:val="二级条标题"/>
    <w:basedOn w:val="15"/>
    <w:next w:val="1"/>
    <w:qFormat/>
    <w:uiPriority w:val="0"/>
    <w:pPr>
      <w:numPr>
        <w:ilvl w:val="3"/>
      </w:numPr>
      <w:outlineLvl w:val="3"/>
    </w:pPr>
  </w:style>
  <w:style w:type="paragraph" w:customStyle="1" w:styleId="17">
    <w:name w:val="三级条标题"/>
    <w:basedOn w:val="16"/>
    <w:next w:val="1"/>
    <w:qFormat/>
    <w:uiPriority w:val="0"/>
    <w:pPr>
      <w:numPr>
        <w:ilvl w:val="4"/>
      </w:numPr>
      <w:outlineLvl w:val="4"/>
    </w:pPr>
  </w:style>
  <w:style w:type="paragraph" w:customStyle="1" w:styleId="18">
    <w:name w:val="四级条标题"/>
    <w:basedOn w:val="17"/>
    <w:next w:val="1"/>
    <w:qFormat/>
    <w:uiPriority w:val="0"/>
    <w:pPr>
      <w:numPr>
        <w:ilvl w:val="5"/>
      </w:numPr>
      <w:outlineLvl w:val="5"/>
    </w:pPr>
  </w:style>
  <w:style w:type="paragraph" w:customStyle="1" w:styleId="19">
    <w:name w:val="五级条标题"/>
    <w:basedOn w:val="18"/>
    <w:next w:val="1"/>
    <w:qFormat/>
    <w:uiPriority w:val="0"/>
    <w:pPr>
      <w:numPr>
        <w:ilvl w:val="6"/>
      </w:numPr>
      <w:outlineLvl w:val="6"/>
    </w:pPr>
  </w:style>
  <w:style w:type="paragraph" w:customStyle="1" w:styleId="20">
    <w:name w:val="Char Char Char Char Char Char Char Char Char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21">
    <w:name w:val="样式 标题 2 + 宋体 非加粗"/>
    <w:qFormat/>
    <w:uiPriority w:val="0"/>
    <w:rPr>
      <w:rFonts w:ascii="宋体" w:hAnsi="宋体" w:eastAsia="宋体"/>
      <w:sz w:val="24"/>
    </w:rPr>
  </w:style>
  <w:style w:type="paragraph" w:customStyle="1" w:styleId="22">
    <w:name w:val="Char2"/>
    <w:basedOn w:val="1"/>
    <w:autoRedefine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23">
    <w:name w:val="Char2 Char Char Char"/>
    <w:basedOn w:val="1"/>
    <w:autoRedefine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character" w:customStyle="1" w:styleId="24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25">
    <w:name w:val="标题 1 字符"/>
    <w:link w:val="2"/>
    <w:qFormat/>
    <w:uiPriority w:val="0"/>
    <w:rPr>
      <w:b/>
      <w:bCs/>
      <w:kern w:val="44"/>
      <w:sz w:val="44"/>
      <w:szCs w:val="44"/>
    </w:rPr>
  </w:style>
  <w:style w:type="paragraph" w:customStyle="1" w:styleId="26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27">
    <w:name w:val="日期 字符"/>
    <w:basedOn w:val="10"/>
    <w:link w:val="5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jlz</Company>
  <Pages>3</Pages>
  <Words>370</Words>
  <Characters>2115</Characters>
  <Lines>17</Lines>
  <Paragraphs>4</Paragraphs>
  <TotalTime>26</TotalTime>
  <ScaleCrop>false</ScaleCrop>
  <LinksUpToDate>false</LinksUpToDate>
  <CharactersWithSpaces>2481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2026-08-13T02:19:00Z</dcterms:created>
  <dc:creator>吴俊</dc:creator>
  <cp:lastModifiedBy>jlz-an</cp:lastModifiedBy>
  <dcterms:modified xsi:type="dcterms:W3CDTF">2026-08-13T10:13:12Z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eyJoZGlkIjoiMzhjOTY0NDgzZGZjODg0YTRiMTc1YTBkNzFmOTc1MzQifQ==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E4068A61E02B406CA594984474D8C46B_12</vt:lpwstr>
  </property>
</Properties>
</file>