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5A080">
      <w:pPr>
        <w:jc w:val="right"/>
        <w:rPr>
          <w:sz w:val="84"/>
          <w:szCs w:val="84"/>
        </w:rPr>
      </w:pPr>
      <w:r>
        <w:rPr>
          <w:sz w:val="84"/>
          <w:szCs w:val="84"/>
        </w:rPr>
        <w:drawing>
          <wp:inline distT="0" distB="0" distL="0" distR="0">
            <wp:extent cx="2135505" cy="89344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2" cstate="print"/>
                    <a:srcRect/>
                    <a:stretch>
                      <a:fillRect/>
                    </a:stretch>
                  </pic:blipFill>
                  <pic:spPr>
                    <a:xfrm>
                      <a:off x="0" y="0"/>
                      <a:ext cx="2135505" cy="893445"/>
                    </a:xfrm>
                    <a:prstGeom prst="rect">
                      <a:avLst/>
                    </a:prstGeom>
                    <a:noFill/>
                    <a:ln w="9525">
                      <a:noFill/>
                      <a:miter lim="800000"/>
                      <a:headEnd/>
                      <a:tailEnd/>
                    </a:ln>
                  </pic:spPr>
                </pic:pic>
              </a:graphicData>
            </a:graphic>
          </wp:inline>
        </w:drawing>
      </w:r>
    </w:p>
    <w:p w14:paraId="624B4BA1">
      <w:pPr>
        <w:jc w:val="center"/>
        <w:rPr>
          <w:b/>
          <w:sz w:val="48"/>
        </w:rPr>
      </w:pPr>
      <w:r>
        <w:rPr>
          <w:rFonts w:hint="eastAsia" w:ascii="宋体"/>
          <w:b/>
          <w:sz w:val="48"/>
        </w:rPr>
        <w:t>中华人民共和国国家计量技术规范</w:t>
      </w:r>
    </w:p>
    <w:p w14:paraId="7DA14683">
      <w:pPr>
        <w:ind w:left="5460" w:firstLine="105" w:firstLineChars="50"/>
        <w:rPr>
          <w:rFonts w:ascii="黑体" w:eastAsia="黑体"/>
          <w:sz w:val="28"/>
        </w:rPr>
      </w:pPr>
      <w:r>
        <w:rPr>
          <w:rFonts w:ascii="Times New Roman" w:hAnsi="Times New Roman"/>
        </w:rPr>
        <mc:AlternateContent>
          <mc:Choice Requires="wps">
            <w:drawing>
              <wp:anchor distT="0" distB="0" distL="114300" distR="114300" simplePos="0" relativeHeight="251659264" behindDoc="0" locked="0" layoutInCell="0" allowOverlap="1">
                <wp:simplePos x="0" y="0"/>
                <wp:positionH relativeFrom="column">
                  <wp:posOffset>114300</wp:posOffset>
                </wp:positionH>
                <wp:positionV relativeFrom="paragraph">
                  <wp:posOffset>352425</wp:posOffset>
                </wp:positionV>
                <wp:extent cx="5016500" cy="0"/>
                <wp:effectExtent l="0" t="0" r="0" b="0"/>
                <wp:wrapNone/>
                <wp:docPr id="11" name="Line 2"/>
                <wp:cNvGraphicFramePr/>
                <a:graphic xmlns:a="http://schemas.openxmlformats.org/drawingml/2006/main">
                  <a:graphicData uri="http://schemas.microsoft.com/office/word/2010/wordprocessingShape">
                    <wps:wsp>
                      <wps:cNvCnPr>
                        <a:cxnSpLocks noChangeShapeType="1"/>
                      </wps:cNvCnPr>
                      <wps:spPr bwMode="auto">
                        <a:xfrm flipH="1" flipV="1">
                          <a:off x="0" y="0"/>
                          <a:ext cx="5016500" cy="0"/>
                        </a:xfrm>
                        <a:prstGeom prst="line">
                          <a:avLst/>
                        </a:prstGeom>
                        <a:noFill/>
                        <a:ln w="9525">
                          <a:solidFill>
                            <a:srgbClr val="000000"/>
                          </a:solidFill>
                          <a:round/>
                        </a:ln>
                      </wps:spPr>
                      <wps:bodyPr/>
                    </wps:wsp>
                  </a:graphicData>
                </a:graphic>
              </wp:anchor>
            </w:drawing>
          </mc:Choice>
          <mc:Fallback>
            <w:pict>
              <v:line id="Line 2" o:spid="_x0000_s1026" o:spt="20" style="position:absolute;left:0pt;flip:x y;margin-left:9pt;margin-top:27.75pt;height:0pt;width:395pt;z-index:251659264;mso-width-relative:page;mso-height-relative:page;" filled="f" stroked="t" coordsize="21600,21600" o:allowincell="f" o:gfxdata="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qpyts8AAAAIAQAADwAAAAAAAAABACAAAAAiAAAAZHJz&#10;L2Rvd25yZXYueG1sUEsBAhQAFAAAAAgAh07iQEF0mnvUAQAAtAMAAA4AAAAAAAAAAQAgAAAAHgEA&#10;AGRycy9lMm9Eb2MueG1sUEsFBgAAAAAGAAYAWQEAAGQFAAAAAA==&#10;">
                <v:fill on="f" focussize="0,0"/>
                <v:stroke color="#000000" joinstyle="round"/>
                <v:imagedata o:title=""/>
                <o:lock v:ext="edit" aspectratio="f"/>
              </v:line>
            </w:pict>
          </mc:Fallback>
        </mc:AlternateContent>
      </w:r>
      <w:r>
        <w:rPr>
          <w:rFonts w:ascii="Times New Roman" w:hAnsi="Times New Roman" w:eastAsia="黑体"/>
          <w:sz w:val="28"/>
        </w:rPr>
        <w:t>JJF 1719－XXX</w:t>
      </w:r>
      <w:r>
        <w:rPr>
          <w:rFonts w:hint="eastAsia" w:ascii="Times New Roman" w:hAnsi="Times New Roman" w:eastAsia="黑体"/>
          <w:sz w:val="28"/>
        </w:rPr>
        <w:t>X</w:t>
      </w:r>
    </w:p>
    <w:p w14:paraId="2F1B066D">
      <w:pPr>
        <w:jc w:val="center"/>
        <w:rPr>
          <w:rFonts w:hint="eastAsia" w:ascii="黑体" w:hAnsi="宋体" w:eastAsia="黑体"/>
          <w:sz w:val="48"/>
          <w:szCs w:val="48"/>
        </w:rPr>
      </w:pPr>
    </w:p>
    <w:p w14:paraId="3AD260BC">
      <w:pPr>
        <w:jc w:val="center"/>
        <w:rPr>
          <w:rFonts w:hint="eastAsia" w:ascii="黑体" w:hAnsi="宋体" w:eastAsia="黑体"/>
          <w:sz w:val="48"/>
          <w:szCs w:val="48"/>
        </w:rPr>
      </w:pPr>
    </w:p>
    <w:p w14:paraId="33D5DDAC">
      <w:pPr>
        <w:jc w:val="center"/>
        <w:rPr>
          <w:rFonts w:hint="eastAsia" w:ascii="黑体" w:hAnsi="宋体" w:eastAsia="黑体"/>
          <w:sz w:val="48"/>
          <w:szCs w:val="48"/>
        </w:rPr>
      </w:pPr>
    </w:p>
    <w:p w14:paraId="2EA5CD00">
      <w:pPr>
        <w:rPr>
          <w:rFonts w:ascii="宋体"/>
        </w:rPr>
      </w:pPr>
    </w:p>
    <w:p w14:paraId="29B657B6">
      <w:pPr>
        <w:jc w:val="center"/>
        <w:rPr>
          <w:rFonts w:ascii="黑体" w:eastAsia="黑体"/>
          <w:sz w:val="52"/>
          <w:szCs w:val="20"/>
        </w:rPr>
      </w:pPr>
      <w:r>
        <w:rPr>
          <w:rFonts w:hint="eastAsia" w:ascii="黑体" w:eastAsia="黑体"/>
          <w:sz w:val="52"/>
          <w:szCs w:val="20"/>
        </w:rPr>
        <w:t>铁路罐车和罐式集装箱容积</w:t>
      </w:r>
    </w:p>
    <w:p w14:paraId="534FAB5F">
      <w:pPr>
        <w:jc w:val="center"/>
        <w:rPr>
          <w:rFonts w:ascii="黑体" w:eastAsia="黑体"/>
          <w:sz w:val="52"/>
          <w:szCs w:val="20"/>
        </w:rPr>
      </w:pPr>
      <w:r>
        <w:rPr>
          <w:rFonts w:hint="eastAsia" w:ascii="黑体" w:eastAsia="黑体"/>
          <w:sz w:val="52"/>
          <w:szCs w:val="20"/>
        </w:rPr>
        <w:t>三维激光扫描仪校准规范</w:t>
      </w:r>
    </w:p>
    <w:p w14:paraId="490A2EFB">
      <w:pPr>
        <w:snapToGrid w:val="0"/>
        <w:spacing w:line="240" w:lineRule="atLeast"/>
        <w:jc w:val="center"/>
        <w:rPr>
          <w:rFonts w:ascii="Times New Roman" w:hAnsi="Times New Roman" w:eastAsia="黑体"/>
          <w:strike/>
          <w:sz w:val="28"/>
        </w:rPr>
      </w:pPr>
      <w:r>
        <w:rPr>
          <w:rFonts w:ascii="Times New Roman" w:hAnsi="Times New Roman" w:eastAsia="黑体"/>
          <w:sz w:val="28"/>
        </w:rPr>
        <w:t>Calibration Specification for 3D Laser Scanner for Volume Measurements of  Rail Tankers and Tank Containers</w:t>
      </w:r>
    </w:p>
    <w:p w14:paraId="26B92036">
      <w:pPr>
        <w:jc w:val="center"/>
        <w:rPr>
          <w:rFonts w:hint="eastAsia" w:ascii="黑体" w:hAnsi="宋体" w:eastAsia="黑体"/>
          <w:sz w:val="28"/>
          <w:szCs w:val="28"/>
        </w:rPr>
      </w:pPr>
    </w:p>
    <w:p w14:paraId="271586F8">
      <w:pPr>
        <w:jc w:val="center"/>
        <w:rPr>
          <w:rFonts w:hint="eastAsia" w:ascii="黑体" w:hAnsi="宋体" w:eastAsia="黑体"/>
          <w:sz w:val="44"/>
          <w:szCs w:val="28"/>
        </w:rPr>
      </w:pPr>
      <w:r>
        <w:rPr>
          <w:rFonts w:hint="eastAsia" w:ascii="黑体" w:hAnsi="宋体" w:eastAsia="黑体"/>
          <w:sz w:val="44"/>
          <w:szCs w:val="28"/>
        </w:rPr>
        <w:t>(征求意见稿)</w:t>
      </w:r>
    </w:p>
    <w:p w14:paraId="7FE79947">
      <w:pPr>
        <w:rPr>
          <w:sz w:val="28"/>
          <w:szCs w:val="28"/>
        </w:rPr>
      </w:pPr>
    </w:p>
    <w:p w14:paraId="72F03A0B">
      <w:pPr>
        <w:rPr>
          <w:sz w:val="28"/>
          <w:szCs w:val="28"/>
        </w:rPr>
      </w:pPr>
    </w:p>
    <w:p w14:paraId="04EF9E94">
      <w:pPr>
        <w:rPr>
          <w:sz w:val="28"/>
          <w:szCs w:val="28"/>
        </w:rPr>
      </w:pPr>
    </w:p>
    <w:p w14:paraId="77A33A80">
      <w:pPr>
        <w:rPr>
          <w:sz w:val="28"/>
          <w:szCs w:val="28"/>
        </w:rPr>
      </w:pPr>
    </w:p>
    <w:p w14:paraId="4C083D2E">
      <w:pPr>
        <w:rPr>
          <w:sz w:val="28"/>
          <w:szCs w:val="28"/>
        </w:rPr>
      </w:pPr>
    </w:p>
    <w:p w14:paraId="731FF123">
      <w:pPr>
        <w:jc w:val="center"/>
        <w:rPr>
          <w:rFonts w:ascii="黑体" w:eastAsia="黑体"/>
          <w:sz w:val="28"/>
        </w:rPr>
      </w:pPr>
      <w:r>
        <w:rPr>
          <w:rFonts w:hint="eastAsia" w:ascii="黑体" w:eastAsia="黑体"/>
          <w:sz w:val="28"/>
        </w:rPr>
        <w:t>××－××－××发布   ××－××－××实施</w:t>
      </w:r>
    </w:p>
    <w:p w14:paraId="2B72CD58">
      <w:pPr>
        <w:rPr>
          <w:rFonts w:ascii="黑体" w:eastAsia="黑体"/>
          <w:sz w:val="28"/>
        </w:rPr>
      </w:pPr>
      <w:r>
        <w:rPr>
          <w:rFonts w:ascii="黑体" w:eastAsia="黑体"/>
          <w:sz w:val="28"/>
        </w:rPr>
        <mc:AlternateContent>
          <mc:Choice Requires="wps">
            <w:drawing>
              <wp:anchor distT="0" distB="0" distL="114300" distR="114300" simplePos="0" relativeHeight="251660288" behindDoc="0" locked="0" layoutInCell="0" allowOverlap="1">
                <wp:simplePos x="0" y="0"/>
                <wp:positionH relativeFrom="column">
                  <wp:posOffset>63500</wp:posOffset>
                </wp:positionH>
                <wp:positionV relativeFrom="paragraph">
                  <wp:posOffset>151765</wp:posOffset>
                </wp:positionV>
                <wp:extent cx="5156200" cy="0"/>
                <wp:effectExtent l="0" t="0" r="0" b="0"/>
                <wp:wrapNone/>
                <wp:docPr id="10" name="Line 3"/>
                <wp:cNvGraphicFramePr/>
                <a:graphic xmlns:a="http://schemas.openxmlformats.org/drawingml/2006/main">
                  <a:graphicData uri="http://schemas.microsoft.com/office/word/2010/wordprocessingShape">
                    <wps:wsp>
                      <wps:cNvCnPr>
                        <a:cxnSpLocks noChangeShapeType="1"/>
                      </wps:cNvCnPr>
                      <wps:spPr bwMode="auto">
                        <a:xfrm>
                          <a:off x="0" y="0"/>
                          <a:ext cx="515620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5pt;margin-top:11.95pt;height:0pt;width:406pt;z-index:251660288;mso-width-relative:page;mso-height-relative:page;" filled="f" stroked="t" coordsize="21600,21600" o:allowincell="f" o:gfxdata="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CHpeJNQAAAAIAQAADwAAAAAAAAABACAAAAAiAAAAZHJzL2Rvd25y&#10;ZXYueG1sUEsBAhQAFAAAAAgAh07iQGH1z1HJAQAAoAMAAA4AAAAAAAAAAQAgAAAAIwEAAGRycy9l&#10;Mm9Eb2MueG1sUEsFBgAAAAAGAAYAWQEAAF4FAAAAAA==&#10;">
                <v:fill on="f" focussize="0,0"/>
                <v:stroke color="#000000" joinstyle="round"/>
                <v:imagedata o:title=""/>
                <o:lock v:ext="edit" aspectratio="f"/>
              </v:line>
            </w:pict>
          </mc:Fallback>
        </mc:AlternateContent>
      </w:r>
    </w:p>
    <w:p w14:paraId="6E3C65BC">
      <w:pPr>
        <w:jc w:val="center"/>
        <w:rPr>
          <w:rFonts w:ascii="黑体" w:eastAsia="黑体"/>
          <w:sz w:val="28"/>
        </w:rPr>
      </w:pPr>
      <w:r>
        <w:rPr>
          <w:rFonts w:hint="eastAsia" w:ascii="宋体"/>
          <w:b/>
          <w:sz w:val="44"/>
        </w:rPr>
        <w:t xml:space="preserve">国家市场监督管理总局 </w:t>
      </w:r>
      <w:r>
        <w:rPr>
          <w:rFonts w:hint="eastAsia" w:ascii="黑体" w:eastAsia="黑体"/>
          <w:sz w:val="28"/>
        </w:rPr>
        <w:t>发布</w:t>
      </w:r>
    </w:p>
    <w:p w14:paraId="1E17C30D">
      <w:pPr>
        <w:rPr>
          <w:rFonts w:hint="eastAsia" w:ascii="宋体" w:hAnsi="宋体"/>
        </w:rPr>
        <w:sectPr>
          <w:footerReference r:id="rId4" w:type="default"/>
          <w:headerReference r:id="rId3" w:type="even"/>
          <w:footerReference r:id="rId5" w:type="even"/>
          <w:pgSz w:w="11906" w:h="16838"/>
          <w:pgMar w:top="1440" w:right="1800" w:bottom="1440" w:left="1800" w:header="851" w:footer="992" w:gutter="0"/>
          <w:cols w:space="425" w:num="1"/>
          <w:docGrid w:type="lines" w:linePitch="312" w:charSpace="0"/>
        </w:sectPr>
      </w:pPr>
    </w:p>
    <w:p w14:paraId="10A296FA">
      <w:pPr>
        <w:rPr>
          <w:rFonts w:hint="eastAsia" w:ascii="宋体" w:hAnsi="宋体"/>
        </w:rPr>
      </w:pPr>
      <w:r>
        <w:rPr>
          <w:rFonts w:hint="eastAsia" w:ascii="宋体" w:hAnsi="宋体"/>
        </w:rPr>
        <mc:AlternateContent>
          <mc:Choice Requires="wps">
            <w:drawing>
              <wp:anchor distT="0" distB="0" distL="114300" distR="114300" simplePos="0" relativeHeight="251661312" behindDoc="1" locked="0" layoutInCell="1" allowOverlap="1">
                <wp:simplePos x="0" y="0"/>
                <wp:positionH relativeFrom="column">
                  <wp:posOffset>-3175</wp:posOffset>
                </wp:positionH>
                <wp:positionV relativeFrom="paragraph">
                  <wp:posOffset>128270</wp:posOffset>
                </wp:positionV>
                <wp:extent cx="3515360" cy="1555750"/>
                <wp:effectExtent l="0" t="0" r="0" b="0"/>
                <wp:wrapNone/>
                <wp:docPr id="9" name="Text Box 4"/>
                <wp:cNvGraphicFramePr/>
                <a:graphic xmlns:a="http://schemas.openxmlformats.org/drawingml/2006/main">
                  <a:graphicData uri="http://schemas.microsoft.com/office/word/2010/wordprocessingShape">
                    <wps:wsp>
                      <wps:cNvSpPr txBox="1">
                        <a:spLocks noChangeArrowheads="1"/>
                      </wps:cNvSpPr>
                      <wps:spPr bwMode="auto">
                        <a:xfrm>
                          <a:off x="0" y="0"/>
                          <a:ext cx="3515360" cy="1555750"/>
                        </a:xfrm>
                        <a:prstGeom prst="rect">
                          <a:avLst/>
                        </a:prstGeom>
                        <a:noFill/>
                        <a:ln>
                          <a:noFill/>
                        </a:ln>
                      </wps:spPr>
                      <wps:txbx>
                        <w:txbxContent>
                          <w:p w14:paraId="6884AD8C">
                            <w:pPr>
                              <w:snapToGrid w:val="0"/>
                              <w:jc w:val="center"/>
                              <w:rPr>
                                <w:rFonts w:hint="eastAsia" w:ascii="黑体" w:hAnsi="宋体" w:eastAsia="黑体"/>
                                <w:sz w:val="44"/>
                                <w:szCs w:val="44"/>
                              </w:rPr>
                            </w:pPr>
                            <w:r>
                              <w:rPr>
                                <w:rFonts w:hint="eastAsia" w:ascii="黑体" w:hAnsi="宋体" w:eastAsia="黑体"/>
                                <w:sz w:val="44"/>
                                <w:szCs w:val="44"/>
                              </w:rPr>
                              <w:t>铁路罐车和罐式集装箱容积三维激光</w:t>
                            </w:r>
                            <w:r>
                              <w:rPr>
                                <w:rFonts w:ascii="黑体" w:hAnsi="宋体" w:eastAsia="黑体"/>
                                <w:sz w:val="44"/>
                                <w:szCs w:val="44"/>
                              </w:rPr>
                              <w:t>扫描仪</w:t>
                            </w:r>
                            <w:r>
                              <w:rPr>
                                <w:rFonts w:hint="eastAsia" w:ascii="黑体" w:hAnsi="宋体" w:eastAsia="黑体"/>
                                <w:sz w:val="44"/>
                                <w:szCs w:val="44"/>
                              </w:rPr>
                              <w:t>校准规范</w:t>
                            </w:r>
                          </w:p>
                          <w:p w14:paraId="4502CBD2">
                            <w:pPr>
                              <w:snapToGrid w:val="0"/>
                              <w:spacing w:line="240" w:lineRule="atLeast"/>
                              <w:jc w:val="center"/>
                              <w:rPr>
                                <w:rFonts w:ascii="Times New Roman" w:hAnsi="Times New Roman" w:eastAsia="黑体"/>
                                <w:strike/>
                                <w:sz w:val="28"/>
                              </w:rPr>
                            </w:pPr>
                            <w:r>
                              <w:rPr>
                                <w:rFonts w:hint="eastAsia" w:ascii="Times New Roman" w:hAnsi="Times New Roman" w:eastAsia="黑体"/>
                                <w:sz w:val="28"/>
                              </w:rPr>
                              <w:t>Calibration Specification for 3D Laser Scanner for Volume Measurements of Rail Tankers and Tank Containers</w:t>
                            </w:r>
                          </w:p>
                          <w:p w14:paraId="175209B7">
                            <w:pPr>
                              <w:snapToGrid w:val="0"/>
                              <w:rPr>
                                <w:rFonts w:ascii="黑体" w:eastAsia="黑体"/>
                                <w:color w:val="FF0000"/>
                                <w:sz w:val="28"/>
                                <w:szCs w:val="28"/>
                              </w:rPr>
                            </w:pP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0.25pt;margin-top:10.1pt;height:122.5pt;width:276.8pt;z-index:-251655168;mso-width-relative:page;mso-height-relative:page;" filled="f" stroked="f" coordsize="21600,21600" o:gfxdata="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BLRFN1wAAAAgBAAAPAAAAAAAAAAEAIAAAACIAAABkcnMvZG93bnJl&#10;di54bWxQSwECFAAUAAAACACHTuJAuls2S/4BAAAFBAAADgAAAAAAAAABACAAAAAmAQAAZHJzL2Uy&#10;b0RvYy54bWxQSwUGAAAAAAYABgBZAQAAlgUAAAAA&#10;">
                <v:fill on="f" focussize="0,0"/>
                <v:stroke on="f"/>
                <v:imagedata o:title=""/>
                <o:lock v:ext="edit" aspectratio="f"/>
                <v:textbox inset="0mm,0mm,0mm,0mm">
                  <w:txbxContent>
                    <w:p w14:paraId="6884AD8C">
                      <w:pPr>
                        <w:snapToGrid w:val="0"/>
                        <w:jc w:val="center"/>
                        <w:rPr>
                          <w:rFonts w:hint="eastAsia" w:ascii="黑体" w:hAnsi="宋体" w:eastAsia="黑体"/>
                          <w:sz w:val="44"/>
                          <w:szCs w:val="44"/>
                        </w:rPr>
                      </w:pPr>
                      <w:r>
                        <w:rPr>
                          <w:rFonts w:hint="eastAsia" w:ascii="黑体" w:hAnsi="宋体" w:eastAsia="黑体"/>
                          <w:sz w:val="44"/>
                          <w:szCs w:val="44"/>
                        </w:rPr>
                        <w:t>铁路罐车和罐式集装箱容积三维激光</w:t>
                      </w:r>
                      <w:r>
                        <w:rPr>
                          <w:rFonts w:ascii="黑体" w:hAnsi="宋体" w:eastAsia="黑体"/>
                          <w:sz w:val="44"/>
                          <w:szCs w:val="44"/>
                        </w:rPr>
                        <w:t>扫描仪</w:t>
                      </w:r>
                      <w:r>
                        <w:rPr>
                          <w:rFonts w:hint="eastAsia" w:ascii="黑体" w:hAnsi="宋体" w:eastAsia="黑体"/>
                          <w:sz w:val="44"/>
                          <w:szCs w:val="44"/>
                        </w:rPr>
                        <w:t>校准规范</w:t>
                      </w:r>
                    </w:p>
                    <w:p w14:paraId="4502CBD2">
                      <w:pPr>
                        <w:snapToGrid w:val="0"/>
                        <w:spacing w:line="240" w:lineRule="atLeast"/>
                        <w:jc w:val="center"/>
                        <w:rPr>
                          <w:rFonts w:ascii="Times New Roman" w:hAnsi="Times New Roman" w:eastAsia="黑体"/>
                          <w:strike/>
                          <w:sz w:val="28"/>
                        </w:rPr>
                      </w:pPr>
                      <w:r>
                        <w:rPr>
                          <w:rFonts w:hint="eastAsia" w:ascii="Times New Roman" w:hAnsi="Times New Roman" w:eastAsia="黑体"/>
                          <w:sz w:val="28"/>
                        </w:rPr>
                        <w:t>Calibration Specification for 3D Laser Scanner for Volume Measurements of Rail Tankers and Tank Containers</w:t>
                      </w:r>
                    </w:p>
                    <w:p w14:paraId="175209B7">
                      <w:pPr>
                        <w:snapToGrid w:val="0"/>
                        <w:rPr>
                          <w:rFonts w:ascii="黑体" w:eastAsia="黑体"/>
                          <w:color w:val="FF0000"/>
                          <w:sz w:val="28"/>
                          <w:szCs w:val="28"/>
                        </w:rPr>
                      </w:pPr>
                    </w:p>
                  </w:txbxContent>
                </v:textbox>
              </v:shape>
            </w:pict>
          </mc:Fallback>
        </mc:AlternateContent>
      </w:r>
    </w:p>
    <w:p w14:paraId="4886B2B6">
      <w:pPr>
        <w:rPr>
          <w:rFonts w:hint="eastAsia" w:ascii="宋体" w:hAnsi="宋体"/>
        </w:rPr>
      </w:pPr>
    </w:p>
    <w:p w14:paraId="7282CB4D">
      <w:pPr>
        <w:rPr>
          <w:rFonts w:hint="eastAsia" w:ascii="宋体" w:hAnsi="宋体"/>
        </w:rPr>
      </w:pPr>
      <w:r>
        <w:rPr>
          <w:rFonts w:hint="eastAsia" w:ascii="宋体" w:hAnsi="宋体"/>
        </w:rPr>
        <mc:AlternateContent>
          <mc:Choice Requires="wps">
            <w:drawing>
              <wp:anchor distT="0" distB="0" distL="114300" distR="114300" simplePos="0" relativeHeight="251665408" behindDoc="0" locked="0" layoutInCell="1" allowOverlap="1">
                <wp:simplePos x="0" y="0"/>
                <wp:positionH relativeFrom="column">
                  <wp:posOffset>3806190</wp:posOffset>
                </wp:positionH>
                <wp:positionV relativeFrom="paragraph">
                  <wp:posOffset>165100</wp:posOffset>
                </wp:positionV>
                <wp:extent cx="1228725" cy="270510"/>
                <wp:effectExtent l="0" t="0" r="0" b="0"/>
                <wp:wrapNone/>
                <wp:docPr id="6"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228725" cy="270510"/>
                        </a:xfrm>
                        <a:prstGeom prst="rect">
                          <a:avLst/>
                        </a:prstGeom>
                        <a:noFill/>
                        <a:ln>
                          <a:noFill/>
                        </a:ln>
                      </wps:spPr>
                      <wps:txbx>
                        <w:txbxContent>
                          <w:p w14:paraId="034D699D">
                            <w:pPr>
                              <w:spacing w:line="440" w:lineRule="exact"/>
                              <w:jc w:val="left"/>
                              <w:rPr>
                                <w:rFonts w:ascii="Times New Roman" w:hAnsi="Times New Roman" w:eastAsia="黑体"/>
                                <w:sz w:val="28"/>
                                <w:szCs w:val="28"/>
                              </w:rPr>
                            </w:pPr>
                            <w:r>
                              <w:rPr>
                                <w:rFonts w:hint="eastAsia" w:ascii="Times New Roman" w:hAnsi="Times New Roman" w:eastAsia="黑体"/>
                                <w:sz w:val="28"/>
                                <w:szCs w:val="28"/>
                              </w:rPr>
                              <w:t xml:space="preserve">JJF 1719—XXXX </w:t>
                            </w:r>
                          </w:p>
                        </w:txbxContent>
                      </wps:txbx>
                      <wps:bodyPr rot="0" vert="horz" wrap="square" lIns="0" tIns="0" rIns="0" bIns="0" anchor="t" anchorCtr="0" upright="1">
                        <a:noAutofit/>
                      </wps:bodyPr>
                    </wps:wsp>
                  </a:graphicData>
                </a:graphic>
              </wp:anchor>
            </w:drawing>
          </mc:Choice>
          <mc:Fallback>
            <w:pict>
              <v:shape id="Text Box 14" o:spid="_x0000_s1026" o:spt="202" type="#_x0000_t202" style="position:absolute;left:0pt;margin-left:299.7pt;margin-top:13pt;height:21.3pt;width:96.75pt;z-index:251665408;mso-width-relative:page;mso-height-relative:page;" filled="f" stroked="f" coordsize="21600,21600" o:gfxdata="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pwoMtgAAAAJAQAADwAAAAAAAAABACAAAAAiAAAAZHJzL2Rvd25y&#10;ZXYueG1sUEsBAhQAFAAAAAgAh07iQMPRuPj+AQAABQQAAA4AAAAAAAAAAQAgAAAAJwEAAGRycy9l&#10;Mm9Eb2MueG1sUEsFBgAAAAAGAAYAWQEAAJcFAAAAAA==&#10;">
                <v:fill on="f" focussize="0,0"/>
                <v:stroke on="f"/>
                <v:imagedata o:title=""/>
                <o:lock v:ext="edit" aspectratio="f"/>
                <v:textbox inset="0mm,0mm,0mm,0mm">
                  <w:txbxContent>
                    <w:p w14:paraId="034D699D">
                      <w:pPr>
                        <w:spacing w:line="440" w:lineRule="exact"/>
                        <w:jc w:val="left"/>
                        <w:rPr>
                          <w:rFonts w:ascii="Times New Roman" w:hAnsi="Times New Roman" w:eastAsia="黑体"/>
                          <w:sz w:val="28"/>
                          <w:szCs w:val="28"/>
                        </w:rPr>
                      </w:pPr>
                      <w:r>
                        <w:rPr>
                          <w:rFonts w:hint="eastAsia" w:ascii="Times New Roman" w:hAnsi="Times New Roman" w:eastAsia="黑体"/>
                          <w:sz w:val="28"/>
                          <w:szCs w:val="28"/>
                        </w:rPr>
                        <w:t xml:space="preserve">JJF 1719—XXXX </w:t>
                      </w:r>
                    </w:p>
                  </w:txbxContent>
                </v:textbox>
              </v:shape>
            </w:pict>
          </mc:Fallback>
        </mc:AlternateContent>
      </w:r>
      <w:r>
        <w:rPr>
          <w:rFonts w:ascii="宋体" w:hAnsi="宋体"/>
        </w:rPr>
        <w:drawing>
          <wp:anchor distT="0" distB="0" distL="114300" distR="114300" simplePos="0" relativeHeight="251664384" behindDoc="1" locked="0" layoutInCell="1" allowOverlap="1">
            <wp:simplePos x="0" y="0"/>
            <wp:positionH relativeFrom="column">
              <wp:posOffset>3602355</wp:posOffset>
            </wp:positionH>
            <wp:positionV relativeFrom="paragraph">
              <wp:posOffset>18415</wp:posOffset>
            </wp:positionV>
            <wp:extent cx="1621790" cy="828675"/>
            <wp:effectExtent l="19050" t="0" r="0" b="0"/>
            <wp:wrapNone/>
            <wp:docPr id="34" name="Picture 18" descr="未标题-1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8" descr="未标题-1 拷贝"/>
                    <pic:cNvPicPr>
                      <a:picLocks noChangeAspect="1" noChangeArrowheads="1"/>
                    </pic:cNvPicPr>
                  </pic:nvPicPr>
                  <pic:blipFill>
                    <a:blip r:embed="rId13" cstate="print"/>
                    <a:srcRect/>
                    <a:stretch>
                      <a:fillRect/>
                    </a:stretch>
                  </pic:blipFill>
                  <pic:spPr>
                    <a:xfrm>
                      <a:off x="0" y="0"/>
                      <a:ext cx="1621790" cy="828675"/>
                    </a:xfrm>
                    <a:prstGeom prst="rect">
                      <a:avLst/>
                    </a:prstGeom>
                    <a:noFill/>
                    <a:ln w="9525">
                      <a:noFill/>
                      <a:miter lim="800000"/>
                      <a:headEnd/>
                      <a:tailEnd/>
                    </a:ln>
                  </pic:spPr>
                </pic:pic>
              </a:graphicData>
            </a:graphic>
          </wp:anchor>
        </w:drawing>
      </w:r>
    </w:p>
    <w:p w14:paraId="1EBE4B5A">
      <w:pPr>
        <w:rPr>
          <w:rFonts w:hint="eastAsia" w:ascii="宋体" w:hAnsi="宋体"/>
        </w:rPr>
      </w:pPr>
    </w:p>
    <w:p w14:paraId="055D7146">
      <w:pPr>
        <w:rPr>
          <w:rFonts w:hint="eastAsia" w:ascii="宋体" w:hAnsi="宋体"/>
        </w:rPr>
      </w:pPr>
      <w:r>
        <w:rPr>
          <w:rFonts w:hint="eastAsia" w:ascii="宋体" w:hAnsi="宋体"/>
        </w:rPr>
        <mc:AlternateContent>
          <mc:Choice Requires="wps">
            <w:drawing>
              <wp:anchor distT="0" distB="0" distL="114300" distR="114300" simplePos="0" relativeHeight="251668480" behindDoc="0" locked="0" layoutInCell="1" allowOverlap="1">
                <wp:simplePos x="0" y="0"/>
                <wp:positionH relativeFrom="column">
                  <wp:posOffset>3619500</wp:posOffset>
                </wp:positionH>
                <wp:positionV relativeFrom="paragraph">
                  <wp:posOffset>36830</wp:posOffset>
                </wp:positionV>
                <wp:extent cx="1600835" cy="265430"/>
                <wp:effectExtent l="0" t="0" r="18415" b="1270"/>
                <wp:wrapNone/>
                <wp:docPr id="5"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601084" cy="265430"/>
                        </a:xfrm>
                        <a:prstGeom prst="rect">
                          <a:avLst/>
                        </a:prstGeom>
                        <a:noFill/>
                        <a:ln>
                          <a:noFill/>
                        </a:ln>
                      </wps:spPr>
                      <wps:txbx>
                        <w:txbxContent>
                          <w:p w14:paraId="0B1F4960">
                            <w:pPr>
                              <w:spacing w:line="440" w:lineRule="exact"/>
                              <w:jc w:val="left"/>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 xml:space="preserve">代替JJF 1719-2018 </w:t>
                            </w:r>
                          </w:p>
                        </w:txbxContent>
                      </wps:txbx>
                      <wps:bodyPr rot="0" vert="horz" wrap="square" lIns="0" tIns="0" rIns="0" bIns="0" anchor="t" anchorCtr="0" upright="1">
                        <a:noAutofit/>
                      </wps:bodyPr>
                    </wps:wsp>
                  </a:graphicData>
                </a:graphic>
              </wp:anchor>
            </w:drawing>
          </mc:Choice>
          <mc:Fallback>
            <w:pict>
              <v:shape id="Text Box 14" o:spid="_x0000_s1026" o:spt="202" type="#_x0000_t202" style="position:absolute;left:0pt;margin-left:285pt;margin-top:2.9pt;height:20.9pt;width:126.05pt;z-index:251668480;mso-width-relative:page;mso-height-relative:page;" filled="f" stroked="f" coordsize="21600,21600" o:gfxdata="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80hC21wAAAAgBAAAPAAAAAAAAAAEAIAAAACIAAABkcnMvZG93bnJl&#10;di54bWxQSwECFAAUAAAACACHTuJA3IB97v4BAAAFBAAADgAAAAAAAAABACAAAAAmAQAAZHJzL2Uy&#10;b0RvYy54bWxQSwUGAAAAAAYABgBZAQAAlgUAAAAA&#10;">
                <v:fill on="f" focussize="0,0"/>
                <v:stroke on="f"/>
                <v:imagedata o:title=""/>
                <o:lock v:ext="edit" aspectratio="f"/>
                <v:textbox inset="0mm,0mm,0mm,0mm">
                  <w:txbxContent>
                    <w:p w14:paraId="0B1F4960">
                      <w:pPr>
                        <w:spacing w:line="440" w:lineRule="exact"/>
                        <w:jc w:val="left"/>
                        <w:rPr>
                          <w:rFonts w:hint="eastAsia"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 xml:space="preserve">代替JJF 1719-2018 </w:t>
                      </w:r>
                    </w:p>
                  </w:txbxContent>
                </v:textbox>
              </v:shape>
            </w:pict>
          </mc:Fallback>
        </mc:AlternateContent>
      </w:r>
    </w:p>
    <w:p w14:paraId="6CCF3908">
      <w:pPr>
        <w:rPr>
          <w:rFonts w:hint="eastAsia" w:ascii="宋体" w:hAnsi="宋体"/>
        </w:rPr>
      </w:pPr>
    </w:p>
    <w:p w14:paraId="64CBE75B">
      <w:pPr>
        <w:rPr>
          <w:rFonts w:hint="eastAsia" w:ascii="宋体" w:hAnsi="宋体"/>
        </w:rPr>
      </w:pPr>
    </w:p>
    <w:p w14:paraId="7D778D35">
      <w:pPr>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294640</wp:posOffset>
                </wp:positionV>
                <wp:extent cx="5443855" cy="0"/>
                <wp:effectExtent l="0" t="0" r="0" b="0"/>
                <wp:wrapNone/>
                <wp:docPr id="8" name="Line 6"/>
                <wp:cNvGraphicFramePr/>
                <a:graphic xmlns:a="http://schemas.openxmlformats.org/drawingml/2006/main">
                  <a:graphicData uri="http://schemas.microsoft.com/office/word/2010/wordprocessingShape">
                    <wps:wsp>
                      <wps:cNvCnPr>
                        <a:cxnSpLocks noChangeShapeType="1"/>
                      </wps:cNvCnPr>
                      <wps:spPr bwMode="auto">
                        <a:xfrm>
                          <a:off x="0" y="0"/>
                          <a:ext cx="5443855" cy="0"/>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9pt;margin-top:23.2pt;height:0pt;width:428.65pt;z-index:251662336;mso-width-relative:page;mso-height-relative:page;" filled="f" stroked="t" coordsize="21600,21600" o:gfxdata="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OAg2jYAAAACQEAAA8AAAAAAAAAAQAgAAAAIgAAAGRycy9k&#10;b3ducmV2LnhtbFBLAQIUABQAAAAIAIdO4kBidC/LyQEAAJ8DAAAOAAAAAAAAAAEAIAAAACcBAABk&#10;cnMvZTJvRG9jLnhtbFBLBQYAAAAABgAGAFkBAABiBQAAAAA=&#10;">
                <v:fill on="f" focussize="0,0"/>
                <v:stroke color="#000000" joinstyle="round"/>
                <v:imagedata o:title=""/>
                <o:lock v:ext="edit" aspectratio="f"/>
              </v:line>
            </w:pict>
          </mc:Fallback>
        </mc:AlternateContent>
      </w:r>
    </w:p>
    <w:p w14:paraId="6E7133D2">
      <w:pPr>
        <w:ind w:firstLine="420" w:firstLineChars="200"/>
        <w:rPr>
          <w:rFonts w:hint="eastAsia" w:ascii="宋体" w:hAnsi="宋体"/>
          <w:szCs w:val="21"/>
        </w:rPr>
      </w:pPr>
    </w:p>
    <w:p w14:paraId="07DDEC04">
      <w:pPr>
        <w:ind w:firstLine="420" w:firstLineChars="200"/>
        <w:rPr>
          <w:rFonts w:hint="eastAsia" w:ascii="宋体" w:hAnsi="宋体"/>
          <w:szCs w:val="21"/>
        </w:rPr>
      </w:pPr>
    </w:p>
    <w:p w14:paraId="67B3F825">
      <w:pPr>
        <w:ind w:firstLine="420" w:firstLineChars="200"/>
        <w:rPr>
          <w:rFonts w:hint="eastAsia" w:ascii="宋体" w:hAnsi="宋体"/>
          <w:szCs w:val="21"/>
        </w:rPr>
      </w:pPr>
    </w:p>
    <w:p w14:paraId="7E438119">
      <w:pPr>
        <w:ind w:firstLine="420" w:firstLineChars="200"/>
        <w:rPr>
          <w:rFonts w:hint="eastAsia" w:ascii="宋体" w:hAnsi="宋体"/>
          <w:szCs w:val="21"/>
        </w:rPr>
      </w:pPr>
    </w:p>
    <w:p w14:paraId="7EBC9E3B">
      <w:pPr>
        <w:ind w:firstLine="420" w:firstLineChars="200"/>
        <w:rPr>
          <w:rFonts w:hint="eastAsia" w:ascii="宋体" w:hAnsi="宋体"/>
          <w:szCs w:val="21"/>
        </w:rPr>
      </w:pPr>
    </w:p>
    <w:p w14:paraId="250F2AE8">
      <w:pPr>
        <w:ind w:firstLine="420" w:firstLineChars="200"/>
        <w:rPr>
          <w:rFonts w:hint="eastAsia" w:ascii="宋体" w:hAnsi="宋体"/>
          <w:szCs w:val="21"/>
        </w:rPr>
      </w:pPr>
    </w:p>
    <w:p w14:paraId="2A29C010">
      <w:pPr>
        <w:ind w:left="2172" w:leftChars="101" w:hanging="1960" w:hangingChars="700"/>
        <w:jc w:val="left"/>
        <w:rPr>
          <w:rFonts w:hint="eastAsia" w:ascii="宋体" w:hAnsi="宋体"/>
          <w:sz w:val="28"/>
          <w:szCs w:val="28"/>
        </w:rPr>
      </w:pPr>
      <w:r>
        <w:rPr>
          <w:rFonts w:hint="eastAsia" w:ascii="黑体" w:hAnsi="宋体" w:eastAsia="黑体"/>
          <w:sz w:val="28"/>
          <w:szCs w:val="28"/>
        </w:rPr>
        <w:t>归  口 单 位：</w:t>
      </w:r>
      <w:r>
        <w:rPr>
          <w:rFonts w:ascii="宋体" w:hAnsi="宋体" w:cs="宋体"/>
          <w:kern w:val="0"/>
          <w:sz w:val="28"/>
          <w:szCs w:val="28"/>
        </w:rPr>
        <w:t>全国铁路专用计量器具计量技术委员会铁路专用衡器容量分技术委员会</w:t>
      </w:r>
    </w:p>
    <w:p w14:paraId="1EB9DEFC">
      <w:pPr>
        <w:ind w:firstLine="282" w:firstLineChars="101"/>
        <w:jc w:val="left"/>
        <w:rPr>
          <w:rFonts w:hint="eastAsia" w:ascii="宋体" w:hAnsi="宋体" w:eastAsia="黑体"/>
          <w:sz w:val="28"/>
          <w:szCs w:val="28"/>
          <w:lang w:eastAsia="zh-CN"/>
        </w:rPr>
      </w:pPr>
      <w:r>
        <w:rPr>
          <w:rFonts w:hint="eastAsia" w:ascii="黑体" w:hAnsi="宋体" w:eastAsia="黑体"/>
          <w:sz w:val="28"/>
          <w:szCs w:val="28"/>
        </w:rPr>
        <w:t>主要起草单位：</w:t>
      </w:r>
      <w:r>
        <w:rPr>
          <w:rFonts w:hint="eastAsia" w:ascii="宋体" w:hAnsi="宋体" w:eastAsia="黑体"/>
          <w:sz w:val="28"/>
          <w:szCs w:val="28"/>
          <w:lang w:val="en-US" w:eastAsia="zh-CN"/>
        </w:rPr>
        <w:t xml:space="preserve"> </w:t>
      </w:r>
    </w:p>
    <w:p w14:paraId="784939AA">
      <w:pPr>
        <w:ind w:firstLine="2340" w:firstLineChars="900"/>
        <w:jc w:val="left"/>
        <w:rPr>
          <w:rFonts w:hint="eastAsia" w:ascii="宋体" w:hAnsi="宋体" w:eastAsia="宋体"/>
          <w:spacing w:val="-10"/>
          <w:sz w:val="28"/>
          <w:szCs w:val="28"/>
          <w:lang w:eastAsia="zh-CN"/>
        </w:rPr>
      </w:pPr>
      <w:r>
        <w:rPr>
          <w:rFonts w:hint="eastAsia" w:ascii="宋体" w:hAnsi="宋体"/>
          <w:spacing w:val="-10"/>
          <w:sz w:val="28"/>
          <w:szCs w:val="28"/>
          <w:lang w:val="en-US" w:eastAsia="zh-CN"/>
        </w:rPr>
        <w:t xml:space="preserve"> </w:t>
      </w:r>
    </w:p>
    <w:p w14:paraId="2C361975">
      <w:pPr>
        <w:ind w:firstLine="282" w:firstLineChars="101"/>
        <w:jc w:val="left"/>
        <w:rPr>
          <w:rFonts w:hint="eastAsia" w:eastAsia="黑体"/>
          <w:sz w:val="28"/>
          <w:szCs w:val="28"/>
          <w:lang w:eastAsia="zh-CN"/>
        </w:rPr>
      </w:pPr>
      <w:r>
        <w:rPr>
          <w:rFonts w:hint="eastAsia" w:ascii="黑体" w:hAnsi="宋体" w:eastAsia="黑体"/>
          <w:sz w:val="28"/>
          <w:szCs w:val="28"/>
        </w:rPr>
        <w:t>参加起草单位：</w:t>
      </w:r>
      <w:r>
        <w:rPr>
          <w:rFonts w:hint="eastAsia" w:eastAsia="黑体"/>
          <w:sz w:val="28"/>
          <w:szCs w:val="28"/>
          <w:lang w:val="en-US" w:eastAsia="zh-CN"/>
        </w:rPr>
        <w:t xml:space="preserve"> </w:t>
      </w:r>
    </w:p>
    <w:p w14:paraId="327B6A28">
      <w:pPr>
        <w:ind w:firstLine="2242" w:firstLineChars="801"/>
        <w:jc w:val="left"/>
        <w:rPr>
          <w:rFonts w:hint="eastAsia" w:eastAsia="宋体"/>
          <w:strike/>
          <w:sz w:val="28"/>
          <w:szCs w:val="28"/>
          <w:lang w:eastAsia="zh-CN"/>
        </w:rPr>
      </w:pPr>
      <w:r>
        <w:rPr>
          <w:rFonts w:hint="eastAsia"/>
          <w:sz w:val="28"/>
          <w:szCs w:val="28"/>
          <w:lang w:val="en-US" w:eastAsia="zh-CN"/>
        </w:rPr>
        <w:t xml:space="preserve"> </w:t>
      </w:r>
    </w:p>
    <w:p w14:paraId="43A45367">
      <w:pPr>
        <w:ind w:firstLine="560" w:firstLineChars="200"/>
        <w:rPr>
          <w:rFonts w:hint="eastAsia" w:ascii="宋体" w:hAnsi="宋体"/>
          <w:sz w:val="28"/>
          <w:szCs w:val="28"/>
        </w:rPr>
      </w:pPr>
    </w:p>
    <w:p w14:paraId="12206C37">
      <w:pPr>
        <w:ind w:firstLine="560" w:firstLineChars="200"/>
        <w:rPr>
          <w:rFonts w:hint="eastAsia" w:ascii="宋体" w:hAnsi="宋体"/>
          <w:sz w:val="28"/>
          <w:szCs w:val="28"/>
        </w:rPr>
      </w:pPr>
    </w:p>
    <w:p w14:paraId="00E42CA3">
      <w:pPr>
        <w:ind w:firstLine="560" w:firstLineChars="200"/>
        <w:rPr>
          <w:rFonts w:hint="eastAsia" w:ascii="宋体" w:hAnsi="宋体"/>
          <w:sz w:val="28"/>
          <w:szCs w:val="28"/>
        </w:rPr>
      </w:pPr>
    </w:p>
    <w:p w14:paraId="4C911499">
      <w:pPr>
        <w:ind w:firstLine="560" w:firstLineChars="200"/>
        <w:rPr>
          <w:rFonts w:hint="eastAsia" w:ascii="宋体" w:hAnsi="宋体"/>
          <w:sz w:val="28"/>
          <w:szCs w:val="28"/>
        </w:rPr>
      </w:pPr>
    </w:p>
    <w:p w14:paraId="74D011F0">
      <w:pPr>
        <w:rPr>
          <w:rFonts w:hint="eastAsia" w:ascii="宋体" w:hAnsi="宋体"/>
          <w:sz w:val="28"/>
          <w:szCs w:val="28"/>
        </w:rPr>
      </w:pPr>
    </w:p>
    <w:p w14:paraId="42D60986">
      <w:pPr>
        <w:snapToGrid w:val="0"/>
        <w:ind w:firstLine="560" w:firstLineChars="200"/>
        <w:rPr>
          <w:rFonts w:hint="eastAsia" w:ascii="宋体" w:hAnsi="宋体" w:cs="宋体"/>
          <w:kern w:val="0"/>
          <w:sz w:val="28"/>
          <w:szCs w:val="28"/>
        </w:rPr>
      </w:pPr>
      <w:r>
        <w:rPr>
          <w:rFonts w:hint="eastAsia" w:ascii="宋体" w:hAnsi="宋体" w:cs="宋体"/>
          <w:kern w:val="0"/>
          <w:sz w:val="28"/>
          <w:szCs w:val="28"/>
        </w:rPr>
        <w:t>本规范委托</w:t>
      </w:r>
      <w:r>
        <w:rPr>
          <w:rFonts w:ascii="宋体" w:hAnsi="宋体" w:cs="宋体"/>
          <w:kern w:val="0"/>
          <w:sz w:val="28"/>
          <w:szCs w:val="28"/>
        </w:rPr>
        <w:t>全国铁路专用计量器具计量技术委员会铁路专用衡器容量分技术委员会</w:t>
      </w:r>
      <w:r>
        <w:rPr>
          <w:rFonts w:hint="eastAsia" w:ascii="宋体" w:hAnsi="宋体" w:cs="宋体"/>
          <w:kern w:val="0"/>
          <w:sz w:val="28"/>
          <w:szCs w:val="28"/>
        </w:rPr>
        <w:t>负责解释</w:t>
      </w:r>
      <w:r>
        <w:rPr>
          <w:rFonts w:ascii="宋体" w:hAnsi="宋体" w:cs="宋体"/>
          <w:kern w:val="0"/>
          <w:sz w:val="28"/>
          <w:szCs w:val="28"/>
        </w:rPr>
        <w:br w:type="page"/>
      </w:r>
    </w:p>
    <w:p w14:paraId="28381F71">
      <w:pPr>
        <w:spacing w:line="360" w:lineRule="auto"/>
        <w:rPr>
          <w:rFonts w:hint="eastAsia" w:ascii="黑体" w:hAnsi="宋体" w:eastAsia="黑体"/>
          <w:sz w:val="28"/>
          <w:szCs w:val="28"/>
        </w:rPr>
      </w:pPr>
      <w:r>
        <w:rPr>
          <w:rFonts w:hint="eastAsia" w:ascii="黑体" w:hAnsi="宋体" w:eastAsia="黑体"/>
          <w:sz w:val="28"/>
          <w:szCs w:val="28"/>
        </w:rPr>
        <w:t>本规范主要起草人：</w:t>
      </w:r>
    </w:p>
    <w:p w14:paraId="3F5B4FA2">
      <w:pPr>
        <w:spacing w:line="360" w:lineRule="auto"/>
        <w:ind w:firstLine="840" w:firstLineChars="300"/>
        <w:rPr>
          <w:rFonts w:hint="eastAsia" w:ascii="宋体" w:hAnsi="宋体" w:eastAsia="黑体"/>
          <w:sz w:val="28"/>
          <w:szCs w:val="28"/>
          <w:lang w:val="en-US" w:eastAsia="zh-CN"/>
        </w:rPr>
      </w:pPr>
      <w:r>
        <w:rPr>
          <w:rFonts w:hint="eastAsia" w:ascii="宋体" w:hAnsi="宋体" w:eastAsia="黑体"/>
          <w:sz w:val="28"/>
          <w:szCs w:val="28"/>
          <w:lang w:val="en-US" w:eastAsia="zh-CN"/>
        </w:rPr>
        <w:t xml:space="preserve"> </w:t>
      </w:r>
    </w:p>
    <w:p w14:paraId="298BF6D7">
      <w:pPr>
        <w:spacing w:line="360" w:lineRule="auto"/>
        <w:ind w:firstLine="840" w:firstLineChars="300"/>
        <w:rPr>
          <w:rFonts w:hint="eastAsia" w:ascii="黑体" w:hAnsi="宋体" w:eastAsia="黑体"/>
          <w:sz w:val="28"/>
          <w:szCs w:val="28"/>
        </w:rPr>
      </w:pPr>
      <w:r>
        <w:rPr>
          <w:rFonts w:hint="eastAsia" w:ascii="黑体" w:hAnsi="宋体" w:eastAsia="黑体"/>
          <w:sz w:val="28"/>
          <w:szCs w:val="28"/>
        </w:rPr>
        <w:t>参加起草人：</w:t>
      </w:r>
    </w:p>
    <w:p w14:paraId="586CA090">
      <w:pPr>
        <w:snapToGrid w:val="0"/>
        <w:ind w:firstLine="1400" w:firstLineChars="500"/>
        <w:rPr>
          <w:rFonts w:hint="eastAsia" w:ascii="宋体" w:hAnsi="宋体" w:eastAsia="黑体"/>
          <w:sz w:val="28"/>
          <w:szCs w:val="28"/>
          <w:lang w:val="en-US" w:eastAsia="zh-CN"/>
        </w:rPr>
      </w:pPr>
      <w:r>
        <w:rPr>
          <w:rFonts w:hint="eastAsia" w:ascii="宋体" w:hAnsi="宋体" w:eastAsia="黑体"/>
          <w:sz w:val="28"/>
          <w:szCs w:val="28"/>
          <w:lang w:val="en-US" w:eastAsia="zh-CN"/>
        </w:rPr>
        <w:t xml:space="preserve"> </w:t>
      </w:r>
    </w:p>
    <w:p w14:paraId="1D836549">
      <w:pPr>
        <w:rPr>
          <w:rFonts w:hint="eastAsia" w:ascii="宋体" w:hAnsi="宋体" w:eastAsia="黑体"/>
          <w:sz w:val="28"/>
          <w:szCs w:val="28"/>
          <w:lang w:val="en-US" w:eastAsia="zh-CN"/>
        </w:rPr>
      </w:pPr>
      <w:r>
        <w:rPr>
          <w:rFonts w:hint="eastAsia" w:ascii="宋体" w:hAnsi="宋体" w:eastAsia="黑体"/>
          <w:sz w:val="28"/>
          <w:szCs w:val="28"/>
          <w:lang w:val="en-US" w:eastAsia="zh-CN"/>
        </w:rPr>
        <w:br w:type="page"/>
      </w:r>
    </w:p>
    <w:p w14:paraId="1447EAB0">
      <w:pPr>
        <w:snapToGrid w:val="0"/>
        <w:ind w:firstLine="1400" w:firstLineChars="500"/>
        <w:rPr>
          <w:rFonts w:hint="eastAsia" w:ascii="宋体" w:hAnsi="宋体" w:eastAsia="黑体"/>
          <w:sz w:val="28"/>
          <w:szCs w:val="28"/>
          <w:lang w:val="en-US" w:eastAsia="zh-CN"/>
        </w:rPr>
      </w:pPr>
      <w:bookmarkStart w:id="34" w:name="_GoBack"/>
      <w:bookmarkEnd w:id="34"/>
    </w:p>
    <w:p w14:paraId="54D15D9C">
      <w:pPr>
        <w:widowControl/>
        <w:jc w:val="center"/>
        <w:rPr>
          <w:rFonts w:ascii="Times New Roman" w:hAnsi="Times New Roman" w:eastAsia="黑体"/>
          <w:sz w:val="44"/>
          <w:szCs w:val="44"/>
        </w:rPr>
      </w:pPr>
      <w:r>
        <w:rPr>
          <w:rFonts w:ascii="Times New Roman" w:hAnsi="Times New Roman" w:eastAsia="黑体"/>
          <w:sz w:val="44"/>
          <w:szCs w:val="44"/>
        </w:rPr>
        <w:t>目</w:t>
      </w:r>
      <w:r>
        <w:rPr>
          <w:rFonts w:hint="eastAsia" w:ascii="Times New Roman" w:hAnsi="Times New Roman" w:eastAsia="黑体"/>
          <w:sz w:val="44"/>
          <w:szCs w:val="44"/>
        </w:rPr>
        <w:t xml:space="preserve">  </w:t>
      </w:r>
      <w:r>
        <w:rPr>
          <w:rFonts w:ascii="Times New Roman" w:hAnsi="Times New Roman" w:eastAsia="黑体"/>
          <w:sz w:val="44"/>
          <w:szCs w:val="44"/>
        </w:rPr>
        <w:t>录</w:t>
      </w:r>
    </w:p>
    <w:p w14:paraId="7F011D6F">
      <w:pPr>
        <w:widowControl/>
        <w:jc w:val="center"/>
        <w:rPr>
          <w:rFonts w:hint="eastAsia" w:ascii="黑体" w:hAnsi="宋体" w:eastAsia="黑体"/>
          <w:sz w:val="24"/>
          <w:szCs w:val="24"/>
        </w:rPr>
      </w:pPr>
    </w:p>
    <w:p w14:paraId="68D31D83">
      <w:pPr>
        <w:widowControl/>
        <w:jc w:val="center"/>
        <w:rPr>
          <w:rFonts w:hint="eastAsia" w:ascii="黑体" w:hAnsi="宋体" w:eastAsia="黑体"/>
          <w:sz w:val="24"/>
          <w:szCs w:val="24"/>
        </w:rPr>
      </w:pPr>
    </w:p>
    <w:p w14:paraId="062023E7">
      <w:pPr>
        <w:pStyle w:val="12"/>
        <w:tabs>
          <w:tab w:val="right" w:leader="dot" w:pos="8296"/>
        </w:tabs>
        <w:rPr>
          <w:rFonts w:hint="eastAsia" w:asciiTheme="minorEastAsia" w:hAnsiTheme="minorEastAsia" w:eastAsiaTheme="minorEastAsia" w:cstheme="minorBidi"/>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TOC \o "1-3" \h \z \u </w:instrText>
      </w:r>
      <w:r>
        <w:rPr>
          <w:rFonts w:asciiTheme="minorEastAsia" w:hAnsiTheme="minorEastAsia" w:eastAsiaTheme="minorEastAsia"/>
          <w:sz w:val="24"/>
          <w:szCs w:val="24"/>
        </w:rPr>
        <w:fldChar w:fldCharType="separate"/>
      </w:r>
      <w:r>
        <w:fldChar w:fldCharType="begin"/>
      </w:r>
      <w:r>
        <w:instrText xml:space="preserve"> HYPERLINK \l "_Toc488765404" </w:instrText>
      </w:r>
      <w:r>
        <w:fldChar w:fldCharType="separate"/>
      </w:r>
      <w:r>
        <w:rPr>
          <w:rStyle w:val="20"/>
          <w:rFonts w:hint="eastAsia" w:asciiTheme="minorEastAsia" w:hAnsiTheme="minorEastAsia" w:eastAsiaTheme="minorEastAsia"/>
          <w:sz w:val="24"/>
          <w:szCs w:val="24"/>
        </w:rPr>
        <w:t>引言</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_Toc488765404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II</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1A0E0B52">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"_Toc488765405" </w:instrText>
      </w:r>
      <w:r>
        <w:fldChar w:fldCharType="separate"/>
      </w:r>
      <w:r>
        <w:rPr>
          <w:rStyle w:val="20"/>
          <w:rFonts w:asciiTheme="minorEastAsia" w:hAnsiTheme="minorEastAsia" w:eastAsiaTheme="minorEastAsia"/>
          <w:sz w:val="24"/>
          <w:szCs w:val="24"/>
        </w:rPr>
        <w:t>1</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范围</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_Toc488765405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27D4F752">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"_Toc488765406" </w:instrText>
      </w:r>
      <w:r>
        <w:fldChar w:fldCharType="separate"/>
      </w:r>
      <w:r>
        <w:rPr>
          <w:rStyle w:val="20"/>
          <w:rFonts w:asciiTheme="minorEastAsia" w:hAnsiTheme="minorEastAsia" w:eastAsiaTheme="minorEastAsia"/>
          <w:sz w:val="24"/>
          <w:szCs w:val="24"/>
        </w:rPr>
        <w:t>2</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引用文件</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_Toc488765406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3020D6E9">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"_Toc488765407" </w:instrText>
      </w:r>
      <w:r>
        <w:fldChar w:fldCharType="separate"/>
      </w:r>
      <w:r>
        <w:rPr>
          <w:rStyle w:val="20"/>
          <w:rFonts w:asciiTheme="minorEastAsia" w:hAnsiTheme="minorEastAsia" w:eastAsiaTheme="minorEastAsia"/>
          <w:sz w:val="24"/>
          <w:szCs w:val="24"/>
        </w:rPr>
        <w:t>3</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术语</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_Toc488765407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76E1857A">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"_Toc488765408" </w:instrText>
      </w:r>
      <w:r>
        <w:fldChar w:fldCharType="separate"/>
      </w:r>
      <w:r>
        <w:rPr>
          <w:rStyle w:val="20"/>
          <w:rFonts w:asciiTheme="minorEastAsia" w:hAnsiTheme="minorEastAsia" w:eastAsiaTheme="minorEastAsia"/>
          <w:sz w:val="24"/>
          <w:szCs w:val="24"/>
        </w:rPr>
        <w:t>4</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概述</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_Toc488765408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44CA9B8C">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"_Toc488765409" </w:instrText>
      </w:r>
      <w:r>
        <w:fldChar w:fldCharType="separate"/>
      </w:r>
      <w:r>
        <w:rPr>
          <w:rStyle w:val="20"/>
          <w:rFonts w:asciiTheme="minorEastAsia" w:hAnsiTheme="minorEastAsia" w:eastAsiaTheme="minorEastAsia"/>
          <w:sz w:val="24"/>
          <w:szCs w:val="24"/>
        </w:rPr>
        <w:t>5</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计量特性</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_Toc488765409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2BBE1803">
      <w:pPr>
        <w:pStyle w:val="13"/>
        <w:rPr>
          <w:rFonts w:hint="eastAsia" w:asciiTheme="minorEastAsia" w:hAnsiTheme="minorEastAsia" w:eastAsiaTheme="minorEastAsia" w:cstheme="minorBidi"/>
          <w:sz w:val="24"/>
          <w:szCs w:val="24"/>
        </w:rPr>
      </w:pPr>
      <w:r>
        <w:fldChar w:fldCharType="begin"/>
      </w:r>
      <w:r>
        <w:instrText xml:space="preserve"> HYPERLINK \l "_Toc488765410" </w:instrText>
      </w:r>
      <w:r>
        <w:fldChar w:fldCharType="separate"/>
      </w:r>
      <w:r>
        <w:rPr>
          <w:rStyle w:val="20"/>
          <w:rFonts w:asciiTheme="minorEastAsia" w:hAnsiTheme="minorEastAsia" w:eastAsiaTheme="minorEastAsia"/>
          <w:sz w:val="24"/>
          <w:szCs w:val="24"/>
        </w:rPr>
        <w:t>5.1</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重复性</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_Toc488765410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36ABEFE0">
      <w:pPr>
        <w:pStyle w:val="13"/>
        <w:rPr>
          <w:rFonts w:hint="eastAsia" w:asciiTheme="minorEastAsia" w:hAnsiTheme="minorEastAsia" w:eastAsiaTheme="minorEastAsia" w:cstheme="minorBidi"/>
          <w:sz w:val="24"/>
          <w:szCs w:val="24"/>
        </w:rPr>
      </w:pPr>
      <w:r>
        <w:fldChar w:fldCharType="begin"/>
      </w:r>
      <w:r>
        <w:instrText xml:space="preserve"> HYPERLINK \l "_Toc488765411" </w:instrText>
      </w:r>
      <w:r>
        <w:fldChar w:fldCharType="separate"/>
      </w:r>
      <w:r>
        <w:rPr>
          <w:rStyle w:val="20"/>
          <w:rFonts w:asciiTheme="minorEastAsia" w:hAnsiTheme="minorEastAsia" w:eastAsiaTheme="minorEastAsia"/>
          <w:sz w:val="24"/>
          <w:szCs w:val="24"/>
        </w:rPr>
        <w:t>5.2</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示值误差</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_Toc488765411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7D1E3478">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"_Toc488765412" </w:instrText>
      </w:r>
      <w:r>
        <w:fldChar w:fldCharType="separate"/>
      </w:r>
      <w:r>
        <w:rPr>
          <w:rStyle w:val="20"/>
          <w:rFonts w:asciiTheme="minorEastAsia" w:hAnsiTheme="minorEastAsia" w:eastAsiaTheme="minorEastAsia"/>
          <w:sz w:val="24"/>
          <w:szCs w:val="24"/>
        </w:rPr>
        <w:t>6</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校准条件</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_Toc488765412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0ACFE678">
      <w:pPr>
        <w:pStyle w:val="13"/>
        <w:rPr>
          <w:rFonts w:hint="eastAsia" w:asciiTheme="minorEastAsia" w:hAnsiTheme="minorEastAsia" w:eastAsiaTheme="minorEastAsia" w:cstheme="minorBidi"/>
          <w:sz w:val="24"/>
          <w:szCs w:val="24"/>
        </w:rPr>
      </w:pPr>
      <w:r>
        <w:fldChar w:fldCharType="begin"/>
      </w:r>
      <w:r>
        <w:instrText xml:space="preserve"> HYPERLINK \l "_Toc488765413" </w:instrText>
      </w:r>
      <w:r>
        <w:fldChar w:fldCharType="separate"/>
      </w:r>
      <w:r>
        <w:rPr>
          <w:rStyle w:val="20"/>
          <w:rFonts w:asciiTheme="minorEastAsia" w:hAnsiTheme="minorEastAsia" w:eastAsiaTheme="minorEastAsia"/>
          <w:sz w:val="24"/>
          <w:szCs w:val="24"/>
        </w:rPr>
        <w:t>6.1</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环境条件</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_Toc488765413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64C93B45">
      <w:pPr>
        <w:pStyle w:val="13"/>
        <w:rPr>
          <w:rFonts w:hint="eastAsia" w:asciiTheme="minorEastAsia" w:hAnsiTheme="minorEastAsia" w:eastAsiaTheme="minorEastAsia" w:cstheme="minorBidi"/>
          <w:sz w:val="24"/>
          <w:szCs w:val="24"/>
        </w:rPr>
      </w:pPr>
      <w:r>
        <w:fldChar w:fldCharType="begin"/>
      </w:r>
      <w:r>
        <w:instrText xml:space="preserve"> HYPERLINK \l "_Toc488765414" </w:instrText>
      </w:r>
      <w:r>
        <w:fldChar w:fldCharType="separate"/>
      </w:r>
      <w:r>
        <w:rPr>
          <w:rStyle w:val="20"/>
          <w:rFonts w:asciiTheme="minorEastAsia" w:hAnsiTheme="minorEastAsia" w:eastAsiaTheme="minorEastAsia"/>
          <w:sz w:val="24"/>
          <w:szCs w:val="24"/>
        </w:rPr>
        <w:t>6.2</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校准用标准器及配套设备</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_Toc488765414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16F3B051">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"_Toc488765415" </w:instrText>
      </w:r>
      <w:r>
        <w:fldChar w:fldCharType="separate"/>
      </w:r>
      <w:r>
        <w:rPr>
          <w:rStyle w:val="20"/>
          <w:rFonts w:asciiTheme="minorEastAsia" w:hAnsiTheme="minorEastAsia" w:eastAsiaTheme="minorEastAsia"/>
          <w:sz w:val="24"/>
          <w:szCs w:val="24"/>
        </w:rPr>
        <w:t>7</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校准方法</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_Toc488765415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3</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1DBFDCA2">
      <w:pPr>
        <w:pStyle w:val="13"/>
        <w:rPr>
          <w:rFonts w:hint="eastAsia" w:asciiTheme="minorEastAsia" w:hAnsiTheme="minorEastAsia" w:eastAsiaTheme="minorEastAsia" w:cstheme="minorBidi"/>
          <w:sz w:val="24"/>
          <w:szCs w:val="24"/>
        </w:rPr>
      </w:pPr>
      <w:r>
        <w:fldChar w:fldCharType="begin"/>
      </w:r>
      <w:r>
        <w:instrText xml:space="preserve"> HYPERLINK \l "_Toc488765416" </w:instrText>
      </w:r>
      <w:r>
        <w:fldChar w:fldCharType="separate"/>
      </w:r>
      <w:r>
        <w:rPr>
          <w:rStyle w:val="20"/>
          <w:rFonts w:asciiTheme="minorEastAsia" w:hAnsiTheme="minorEastAsia" w:eastAsiaTheme="minorEastAsia"/>
          <w:sz w:val="24"/>
          <w:szCs w:val="24"/>
        </w:rPr>
        <w:t>7.1</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校准前准备</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_Toc488765416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3</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647FF815">
      <w:pPr>
        <w:pStyle w:val="13"/>
        <w:rPr>
          <w:rFonts w:hint="eastAsia" w:asciiTheme="minorEastAsia" w:hAnsiTheme="minorEastAsia" w:eastAsiaTheme="minorEastAsia" w:cstheme="minorBidi"/>
          <w:sz w:val="24"/>
          <w:szCs w:val="24"/>
        </w:rPr>
      </w:pPr>
      <w:r>
        <w:fldChar w:fldCharType="begin"/>
      </w:r>
      <w:r>
        <w:instrText xml:space="preserve"> HYPERLINK \l "_Toc488765417" </w:instrText>
      </w:r>
      <w:r>
        <w:fldChar w:fldCharType="separate"/>
      </w:r>
      <w:r>
        <w:rPr>
          <w:rStyle w:val="20"/>
          <w:rFonts w:asciiTheme="minorEastAsia" w:hAnsiTheme="minorEastAsia" w:eastAsiaTheme="minorEastAsia"/>
          <w:sz w:val="24"/>
          <w:szCs w:val="24"/>
        </w:rPr>
        <w:t>7.2</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重复性</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_Toc488765417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4</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1C5D378A">
      <w:pPr>
        <w:pStyle w:val="13"/>
        <w:rPr>
          <w:rFonts w:hint="eastAsia" w:asciiTheme="minorEastAsia" w:hAnsiTheme="minorEastAsia" w:eastAsiaTheme="minorEastAsia" w:cstheme="minorBidi"/>
          <w:sz w:val="24"/>
          <w:szCs w:val="24"/>
        </w:rPr>
      </w:pPr>
      <w:r>
        <w:fldChar w:fldCharType="begin"/>
      </w:r>
      <w:r>
        <w:instrText xml:space="preserve"> HYPERLINK \l "_Toc488765418" </w:instrText>
      </w:r>
      <w:r>
        <w:fldChar w:fldCharType="separate"/>
      </w:r>
      <w:r>
        <w:rPr>
          <w:rStyle w:val="20"/>
          <w:rFonts w:asciiTheme="minorEastAsia" w:hAnsiTheme="minorEastAsia" w:eastAsiaTheme="minorEastAsia"/>
          <w:sz w:val="24"/>
          <w:szCs w:val="24"/>
        </w:rPr>
        <w:t>7.3</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示值误差</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_Toc488765418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4</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3F2870EA">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"_Toc488765419" </w:instrText>
      </w:r>
      <w:r>
        <w:fldChar w:fldCharType="separate"/>
      </w:r>
      <w:r>
        <w:rPr>
          <w:rStyle w:val="20"/>
          <w:rFonts w:asciiTheme="minorEastAsia" w:hAnsiTheme="minorEastAsia" w:eastAsiaTheme="minorEastAsia"/>
          <w:sz w:val="24"/>
          <w:szCs w:val="24"/>
        </w:rPr>
        <w:t>8</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校准结果表达</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_Toc488765419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4</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0D809B4D">
      <w:pPr>
        <w:pStyle w:val="12"/>
        <w:tabs>
          <w:tab w:val="left" w:pos="210"/>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"_Toc488765420" </w:instrText>
      </w:r>
      <w:r>
        <w:fldChar w:fldCharType="separate"/>
      </w:r>
      <w:r>
        <w:rPr>
          <w:rStyle w:val="20"/>
          <w:rFonts w:asciiTheme="minorEastAsia" w:hAnsiTheme="minorEastAsia" w:eastAsiaTheme="minorEastAsia"/>
          <w:sz w:val="24"/>
          <w:szCs w:val="24"/>
        </w:rPr>
        <w:t>9</w:t>
      </w:r>
      <w:r>
        <w:rPr>
          <w:rFonts w:asciiTheme="minorEastAsia" w:hAnsiTheme="minorEastAsia" w:eastAsiaTheme="minorEastAsia" w:cstheme="minorBidi"/>
          <w:sz w:val="24"/>
          <w:szCs w:val="24"/>
        </w:rPr>
        <w:tab/>
      </w:r>
      <w:r>
        <w:rPr>
          <w:rStyle w:val="20"/>
          <w:rFonts w:hint="eastAsia" w:asciiTheme="minorEastAsia" w:hAnsiTheme="minorEastAsia" w:eastAsiaTheme="minorEastAsia"/>
          <w:sz w:val="24"/>
          <w:szCs w:val="24"/>
        </w:rPr>
        <w:t>复校时间间隔</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_Toc488765420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5</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19D287BB">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"_Toc488765421"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A </w:t>
      </w:r>
      <w:r>
        <w:rPr>
          <w:rStyle w:val="20"/>
          <w:rFonts w:hint="eastAsia" w:asciiTheme="minorEastAsia" w:hAnsiTheme="minorEastAsia" w:eastAsiaTheme="minorEastAsia"/>
          <w:kern w:val="0"/>
          <w:sz w:val="24"/>
          <w:szCs w:val="24"/>
        </w:rPr>
        <w:t>三维激光扫描法的罐体容积计算</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_Toc488765421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6</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3CADD199">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"_Toc488765422"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B </w:t>
      </w:r>
      <w:r>
        <w:rPr>
          <w:rStyle w:val="20"/>
          <w:rFonts w:hint="eastAsia" w:asciiTheme="minorEastAsia" w:hAnsiTheme="minorEastAsia" w:eastAsiaTheme="minorEastAsia"/>
          <w:kern w:val="0"/>
          <w:sz w:val="24"/>
          <w:szCs w:val="24"/>
        </w:rPr>
        <w:t>校准记录</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_Toc488765422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8</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734EAB0D">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"_Toc488765423"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C </w:t>
      </w:r>
      <w:r>
        <w:rPr>
          <w:rStyle w:val="20"/>
          <w:rFonts w:hint="eastAsia" w:asciiTheme="minorEastAsia" w:hAnsiTheme="minorEastAsia" w:eastAsiaTheme="minorEastAsia"/>
          <w:kern w:val="0"/>
          <w:sz w:val="24"/>
          <w:szCs w:val="24"/>
        </w:rPr>
        <w:t>容量比较法测量检测罐参考容积</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_Toc488765423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10</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2C051513">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"_Toc488765424"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D </w:t>
      </w:r>
      <w:r>
        <w:rPr>
          <w:rStyle w:val="20"/>
          <w:rFonts w:hint="eastAsia" w:asciiTheme="minorEastAsia" w:hAnsiTheme="minorEastAsia" w:eastAsiaTheme="minorEastAsia"/>
          <w:kern w:val="0"/>
          <w:sz w:val="24"/>
          <w:szCs w:val="24"/>
        </w:rPr>
        <w:t>温度修正公式</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_Toc488765424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12</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5A063D69">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"_Toc488765425"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E </w:t>
      </w:r>
      <w:r>
        <w:rPr>
          <w:rStyle w:val="20"/>
          <w:rFonts w:hint="eastAsia" w:asciiTheme="minorEastAsia" w:hAnsiTheme="minorEastAsia" w:eastAsiaTheme="minorEastAsia"/>
          <w:kern w:val="0"/>
          <w:sz w:val="24"/>
          <w:szCs w:val="24"/>
        </w:rPr>
        <w:t>校准证书内容</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_Toc488765425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13</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3C6ED83C">
      <w:pPr>
        <w:pStyle w:val="12"/>
        <w:tabs>
          <w:tab w:val="right" w:leader="dot" w:pos="8296"/>
        </w:tabs>
        <w:rPr>
          <w:rFonts w:hint="eastAsia" w:asciiTheme="minorEastAsia" w:hAnsiTheme="minorEastAsia" w:eastAsiaTheme="minorEastAsia" w:cstheme="minorBidi"/>
          <w:sz w:val="24"/>
          <w:szCs w:val="24"/>
        </w:rPr>
      </w:pPr>
      <w:r>
        <w:fldChar w:fldCharType="begin"/>
      </w:r>
      <w:r>
        <w:instrText xml:space="preserve"> HYPERLINK \l "_Toc488765426" </w:instrText>
      </w:r>
      <w:r>
        <w:fldChar w:fldCharType="separate"/>
      </w:r>
      <w:r>
        <w:rPr>
          <w:rStyle w:val="20"/>
          <w:rFonts w:hint="eastAsia" w:asciiTheme="minorEastAsia" w:hAnsiTheme="minorEastAsia" w:eastAsiaTheme="minorEastAsia"/>
          <w:kern w:val="0"/>
          <w:sz w:val="24"/>
          <w:szCs w:val="24"/>
        </w:rPr>
        <w:t>附录</w:t>
      </w:r>
      <w:r>
        <w:rPr>
          <w:rStyle w:val="20"/>
          <w:rFonts w:asciiTheme="minorEastAsia" w:hAnsiTheme="minorEastAsia" w:eastAsiaTheme="minorEastAsia"/>
          <w:kern w:val="0"/>
          <w:sz w:val="24"/>
          <w:szCs w:val="24"/>
        </w:rPr>
        <w:t xml:space="preserve">F </w:t>
      </w:r>
      <w:r>
        <w:rPr>
          <w:rStyle w:val="20"/>
          <w:rFonts w:hint="eastAsia" w:asciiTheme="minorEastAsia" w:hAnsiTheme="minorEastAsia" w:eastAsiaTheme="minorEastAsia"/>
          <w:kern w:val="0"/>
          <w:sz w:val="24"/>
          <w:szCs w:val="24"/>
        </w:rPr>
        <w:t>容积示值误差校准结果的测量不确定度分析</w:t>
      </w:r>
      <w:r>
        <w:rPr>
          <w:rFonts w:asciiTheme="minorEastAsia" w:hAnsiTheme="minorEastAsia" w:eastAsiaTheme="minorEastAsia"/>
          <w:sz w:val="24"/>
          <w:szCs w:val="24"/>
        </w:rPr>
        <w:tab/>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PAGEREF _Toc488765426 \h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14</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fldChar w:fldCharType="end"/>
      </w:r>
    </w:p>
    <w:p w14:paraId="036A4FA4">
      <w:pPr>
        <w:spacing w:before="120" w:after="120"/>
        <w:rPr>
          <w:rFonts w:hint="eastAsia" w:asciiTheme="minorEastAsia" w:hAnsiTheme="minorEastAsia" w:eastAsiaTheme="minorEastAsia"/>
          <w:sz w:val="24"/>
          <w:szCs w:val="24"/>
        </w:rPr>
      </w:pPr>
      <w:r>
        <w:rPr>
          <w:rFonts w:asciiTheme="minorEastAsia" w:hAnsiTheme="minorEastAsia" w:eastAsiaTheme="minorEastAsia"/>
          <w:bCs/>
          <w:sz w:val="24"/>
          <w:szCs w:val="24"/>
          <w:lang w:val="zh-CN"/>
        </w:rPr>
        <w:fldChar w:fldCharType="end"/>
      </w:r>
    </w:p>
    <w:p w14:paraId="207DF1E4">
      <w:pPr>
        <w:widowControl/>
        <w:jc w:val="left"/>
        <w:rPr>
          <w:rFonts w:hint="eastAsia" w:ascii="黑体" w:hAnsi="黑体" w:eastAsia="黑体"/>
          <w:sz w:val="52"/>
          <w:szCs w:val="52"/>
        </w:rPr>
      </w:pPr>
    </w:p>
    <w:p w14:paraId="1AB56ADB">
      <w:pPr>
        <w:widowControl/>
        <w:jc w:val="left"/>
        <w:rPr>
          <w:rFonts w:hint="eastAsia" w:ascii="黑体" w:hAnsi="黑体" w:eastAsia="黑体"/>
          <w:sz w:val="52"/>
          <w:szCs w:val="52"/>
        </w:rPr>
      </w:pPr>
      <w:r>
        <w:rPr>
          <w:rFonts w:ascii="黑体" w:hAnsi="黑体" w:eastAsia="黑体"/>
          <w:sz w:val="52"/>
          <w:szCs w:val="52"/>
        </w:rPr>
        <w:br w:type="page"/>
      </w:r>
    </w:p>
    <w:p w14:paraId="3CD121C9">
      <w:pPr>
        <w:spacing w:line="480" w:lineRule="exact"/>
        <w:jc w:val="center"/>
        <w:outlineLvl w:val="0"/>
        <w:rPr>
          <w:rFonts w:hint="eastAsia" w:ascii="黑体" w:hAnsi="黑体" w:eastAsia="黑体"/>
          <w:sz w:val="44"/>
          <w:szCs w:val="44"/>
        </w:rPr>
      </w:pPr>
      <w:bookmarkStart w:id="0" w:name="_Toc488765404"/>
      <w:bookmarkStart w:id="1" w:name="_Toc472609807"/>
      <w:r>
        <w:rPr>
          <w:rFonts w:hint="eastAsia" w:ascii="黑体" w:hAnsi="黑体" w:eastAsia="黑体"/>
          <w:sz w:val="44"/>
          <w:szCs w:val="44"/>
        </w:rPr>
        <w:t>引</w:t>
      </w:r>
      <w:r>
        <w:rPr>
          <w:rFonts w:ascii="黑体" w:hAnsi="黑体" w:eastAsia="黑体"/>
          <w:sz w:val="44"/>
          <w:szCs w:val="44"/>
        </w:rPr>
        <w:t xml:space="preserve">   </w:t>
      </w:r>
      <w:r>
        <w:rPr>
          <w:rFonts w:hint="eastAsia" w:ascii="黑体" w:hAnsi="黑体" w:eastAsia="黑体"/>
          <w:sz w:val="44"/>
          <w:szCs w:val="44"/>
        </w:rPr>
        <w:t>言</w:t>
      </w:r>
      <w:bookmarkEnd w:id="0"/>
      <w:bookmarkEnd w:id="1"/>
    </w:p>
    <w:p w14:paraId="3E09E7C6"/>
    <w:p w14:paraId="7CAEE707">
      <w:pPr>
        <w:widowControl/>
        <w:ind w:firstLine="424" w:firstLineChars="177"/>
        <w:rPr>
          <w:rFonts w:ascii="Times New Roman" w:hAnsi="Times New Roman"/>
          <w:sz w:val="24"/>
        </w:rPr>
      </w:pPr>
      <w:r>
        <w:rPr>
          <w:rFonts w:ascii="Times New Roman" w:hAnsi="Times New Roman"/>
          <w:sz w:val="24"/>
        </w:rPr>
        <w:t>JJF 1001—2011《通用计量术语及定义》、JJF 1071—2010《国家计量校准规范编写规则》、JJF 1059.1—2012《测量不确定度评定与表示》共同构成修订本规程的基础性系列规范。</w:t>
      </w:r>
    </w:p>
    <w:p w14:paraId="4E13878E">
      <w:pPr>
        <w:widowControl/>
        <w:ind w:firstLine="424" w:firstLineChars="177"/>
        <w:rPr>
          <w:rFonts w:ascii="Times New Roman" w:hAnsi="Times New Roman"/>
          <w:sz w:val="24"/>
        </w:rPr>
      </w:pPr>
      <w:r>
        <w:rPr>
          <w:rFonts w:ascii="Times New Roman" w:hAnsi="Times New Roman"/>
          <w:sz w:val="24"/>
        </w:rPr>
        <w:t>本规范参考了JJG 140—</w:t>
      </w:r>
      <w:r>
        <w:rPr>
          <w:rFonts w:hint="eastAsia" w:ascii="Times New Roman" w:hAnsi="Times New Roman"/>
          <w:sz w:val="24"/>
        </w:rPr>
        <w:t>2018</w:t>
      </w:r>
      <w:r>
        <w:rPr>
          <w:rFonts w:ascii="Times New Roman" w:hAnsi="Times New Roman"/>
          <w:sz w:val="24"/>
        </w:rPr>
        <w:t>《铁路罐车容积检定规程》、JJG 184—2024《液化气体铁路罐车容积检定规程》、JJG 1203—2024《罐式集装箱容积检定规程》，对JJF 1719—2018《铁路罐车和罐式集装箱容积三维激光扫描仪校准规范》进行修订。与JJF 1719—2018相比，除编辑性修改外主要技术变化如下：</w:t>
      </w:r>
    </w:p>
    <w:p w14:paraId="13D1E33E">
      <w:pPr>
        <w:widowControl/>
        <w:ind w:firstLine="424" w:firstLineChars="177"/>
        <w:rPr>
          <w:rFonts w:ascii="Times New Roman" w:hAnsi="Times New Roman"/>
          <w:color w:val="000000"/>
          <w:sz w:val="24"/>
        </w:rPr>
      </w:pPr>
      <w:r>
        <w:rPr>
          <w:rFonts w:ascii="Times New Roman" w:hAnsi="Times New Roman"/>
          <w:color w:val="000000"/>
          <w:sz w:val="24"/>
        </w:rPr>
        <w:t>——</w:t>
      </w:r>
      <w:r>
        <w:rPr>
          <w:rFonts w:hint="eastAsia" w:ascii="Times New Roman" w:hAnsi="Times New Roman"/>
          <w:color w:val="000000"/>
          <w:sz w:val="24"/>
        </w:rPr>
        <w:t>术语中修改了数据处理软件，</w:t>
      </w:r>
      <w:r>
        <w:rPr>
          <w:rFonts w:ascii="Times New Roman" w:hAnsi="Times New Roman"/>
          <w:color w:val="000000"/>
          <w:sz w:val="24"/>
        </w:rPr>
        <w:t>补充增加对标准金属量器流程化批量操作、</w:t>
      </w:r>
      <w:r>
        <w:rPr>
          <w:rFonts w:hint="eastAsia" w:ascii="Times New Roman" w:hAnsi="Times New Roman"/>
          <w:color w:val="000000"/>
          <w:sz w:val="24"/>
        </w:rPr>
        <w:t>容积及其</w:t>
      </w:r>
      <w:r>
        <w:rPr>
          <w:rFonts w:ascii="Times New Roman" w:hAnsi="Times New Roman"/>
          <w:color w:val="000000"/>
          <w:sz w:val="24"/>
        </w:rPr>
        <w:t>液位高度自动测量</w:t>
      </w:r>
      <w:r>
        <w:rPr>
          <w:rFonts w:hint="eastAsia" w:ascii="Times New Roman" w:hAnsi="Times New Roman"/>
          <w:color w:val="000000"/>
          <w:sz w:val="24"/>
        </w:rPr>
        <w:t>、</w:t>
      </w:r>
      <w:r>
        <w:rPr>
          <w:rFonts w:ascii="Times New Roman" w:hAnsi="Times New Roman"/>
          <w:color w:val="000000"/>
          <w:sz w:val="24"/>
        </w:rPr>
        <w:t>容积表生成</w:t>
      </w:r>
      <w:r>
        <w:rPr>
          <w:rFonts w:hint="eastAsia" w:ascii="Times New Roman" w:hAnsi="Times New Roman"/>
          <w:color w:val="000000"/>
          <w:sz w:val="24"/>
        </w:rPr>
        <w:t>的</w:t>
      </w:r>
      <w:r>
        <w:rPr>
          <w:rFonts w:ascii="Times New Roman" w:hAnsi="Times New Roman"/>
          <w:color w:val="000000"/>
          <w:sz w:val="24"/>
        </w:rPr>
        <w:t>相关功能描述</w:t>
      </w:r>
      <w:r>
        <w:rPr>
          <w:rFonts w:hint="eastAsia" w:ascii="Times New Roman" w:hAnsi="Times New Roman"/>
          <w:color w:val="000000"/>
          <w:sz w:val="24"/>
        </w:rPr>
        <w:t>；给出三维激光扫描法的术语定义。</w:t>
      </w:r>
    </w:p>
    <w:p w14:paraId="3120675F">
      <w:pPr>
        <w:widowControl/>
        <w:ind w:left="181" w:leftChars="86" w:firstLine="424" w:firstLineChars="177"/>
        <w:rPr>
          <w:rFonts w:ascii="Times New Roman" w:hAnsi="Times New Roman"/>
          <w:color w:val="000000"/>
          <w:sz w:val="24"/>
        </w:rPr>
      </w:pPr>
      <w:r>
        <w:rPr>
          <w:rFonts w:ascii="Times New Roman" w:hAnsi="Times New Roman"/>
          <w:color w:val="000000"/>
          <w:sz w:val="24"/>
        </w:rPr>
        <w:t>——</w:t>
      </w:r>
      <w:r>
        <w:rPr>
          <w:rFonts w:hint="eastAsia" w:ascii="Times New Roman" w:hAnsi="Times New Roman"/>
          <w:color w:val="000000"/>
          <w:sz w:val="24"/>
        </w:rPr>
        <w:t>计量特性中</w:t>
      </w:r>
      <w:r>
        <w:rPr>
          <w:rFonts w:ascii="Times New Roman" w:hAnsi="Times New Roman"/>
          <w:color w:val="000000"/>
          <w:sz w:val="24"/>
        </w:rPr>
        <w:t>明确容积测得值与参考值之差以相对误差表示，并补充示值误差的校准结果以修正值形式给出的要求</w:t>
      </w:r>
      <w:r>
        <w:rPr>
          <w:rFonts w:hint="eastAsia" w:ascii="Times New Roman" w:hAnsi="Times New Roman"/>
          <w:color w:val="000000"/>
          <w:sz w:val="24"/>
        </w:rPr>
        <w:t>。</w:t>
      </w:r>
    </w:p>
    <w:p w14:paraId="0092FB92">
      <w:pPr>
        <w:widowControl/>
        <w:ind w:firstLine="424" w:firstLineChars="177"/>
        <w:rPr>
          <w:rFonts w:ascii="Times New Roman" w:hAnsi="Times New Roman"/>
          <w:color w:val="000000"/>
          <w:sz w:val="24"/>
        </w:rPr>
      </w:pPr>
      <w:r>
        <w:rPr>
          <w:rFonts w:ascii="Times New Roman" w:hAnsi="Times New Roman"/>
          <w:color w:val="000000"/>
          <w:sz w:val="24"/>
        </w:rPr>
        <w:t>——</w:t>
      </w:r>
      <w:r>
        <w:rPr>
          <w:rFonts w:hint="eastAsia" w:ascii="Times New Roman" w:hAnsi="Times New Roman"/>
          <w:color w:val="000000"/>
          <w:sz w:val="24"/>
        </w:rPr>
        <w:t>校准方法中补充校准前须对</w:t>
      </w:r>
      <w:r>
        <w:rPr>
          <w:rFonts w:ascii="Times New Roman" w:hAnsi="Times New Roman"/>
          <w:color w:val="000000"/>
          <w:sz w:val="24"/>
        </w:rPr>
        <w:t>容积修正值清零</w:t>
      </w:r>
      <w:r>
        <w:rPr>
          <w:rFonts w:hint="eastAsia" w:ascii="Times New Roman" w:hAnsi="Times New Roman"/>
          <w:color w:val="000000"/>
          <w:sz w:val="24"/>
        </w:rPr>
        <w:t>等技术要求</w:t>
      </w:r>
      <w:r>
        <w:rPr>
          <w:rFonts w:ascii="Times New Roman" w:hAnsi="Times New Roman"/>
          <w:color w:val="000000"/>
          <w:sz w:val="24"/>
        </w:rPr>
        <w:t>。</w:t>
      </w:r>
    </w:p>
    <w:p w14:paraId="4C4CBD81">
      <w:pPr>
        <w:widowControl/>
        <w:ind w:firstLine="424" w:firstLineChars="177"/>
        <w:rPr>
          <w:rFonts w:ascii="Times New Roman" w:hAnsi="Times New Roman"/>
          <w:sz w:val="24"/>
        </w:rPr>
      </w:pPr>
      <w:r>
        <w:rPr>
          <w:rFonts w:ascii="Times New Roman" w:hAnsi="Times New Roman"/>
          <w:color w:val="000000"/>
          <w:sz w:val="24"/>
        </w:rPr>
        <w:t>——</w:t>
      </w:r>
      <w:r>
        <w:rPr>
          <w:rFonts w:hint="eastAsia" w:ascii="Times New Roman" w:hAnsi="Times New Roman"/>
          <w:color w:val="000000"/>
          <w:sz w:val="24"/>
        </w:rPr>
        <w:t>附录中补充完善校准记录，对</w:t>
      </w:r>
      <w:r>
        <w:rPr>
          <w:rFonts w:ascii="Times New Roman" w:hAnsi="Times New Roman"/>
          <w:color w:val="000000"/>
          <w:sz w:val="24"/>
        </w:rPr>
        <w:t>容量比较法测量检测罐参考容积、温度修正公式</w:t>
      </w:r>
      <w:r>
        <w:rPr>
          <w:rFonts w:hint="eastAsia" w:ascii="Times New Roman" w:hAnsi="Times New Roman"/>
          <w:color w:val="000000"/>
          <w:sz w:val="24"/>
        </w:rPr>
        <w:t>、</w:t>
      </w:r>
      <w:r>
        <w:rPr>
          <w:rFonts w:ascii="Times New Roman" w:hAnsi="Times New Roman"/>
          <w:color w:val="000000"/>
          <w:sz w:val="24"/>
        </w:rPr>
        <w:t>容积示值误差校准结果的测量不确定度分析</w:t>
      </w:r>
      <w:r>
        <w:rPr>
          <w:rFonts w:hint="eastAsia" w:ascii="Times New Roman" w:hAnsi="Times New Roman"/>
          <w:color w:val="000000"/>
          <w:sz w:val="24"/>
        </w:rPr>
        <w:t>进行修改。</w:t>
      </w:r>
    </w:p>
    <w:p w14:paraId="364ED5F2">
      <w:pPr>
        <w:snapToGrid w:val="0"/>
        <w:ind w:firstLine="480" w:firstLineChars="200"/>
        <w:rPr>
          <w:rFonts w:ascii="Times New Roman" w:hAnsi="Times New Roman"/>
          <w:color w:val="000000"/>
          <w:sz w:val="24"/>
        </w:rPr>
      </w:pPr>
      <w:r>
        <w:rPr>
          <w:rFonts w:ascii="Times New Roman" w:hAnsi="Times New Roman"/>
          <w:color w:val="000000"/>
          <w:sz w:val="24"/>
        </w:rPr>
        <w:t>本规范的历次版本发布情况：</w:t>
      </w:r>
    </w:p>
    <w:p w14:paraId="0972819B">
      <w:pPr>
        <w:snapToGrid w:val="0"/>
        <w:spacing w:line="300" w:lineRule="auto"/>
        <w:ind w:firstLine="480" w:firstLineChars="200"/>
        <w:rPr>
          <w:rFonts w:ascii="Times New Roman" w:hAnsi="Times New Roman"/>
          <w:color w:val="000000"/>
          <w:sz w:val="24"/>
        </w:rPr>
      </w:pPr>
      <w:r>
        <w:rPr>
          <w:rFonts w:ascii="Times New Roman" w:hAnsi="Times New Roman"/>
          <w:color w:val="000000"/>
          <w:sz w:val="24"/>
        </w:rPr>
        <w:t>——</w:t>
      </w:r>
      <w:r>
        <w:rPr>
          <w:rFonts w:ascii="Times New Roman" w:hAnsi="Times New Roman"/>
          <w:sz w:val="24"/>
        </w:rPr>
        <w:t>JJF 1719—201</w:t>
      </w:r>
      <w:r>
        <w:rPr>
          <w:rFonts w:hint="eastAsia" w:ascii="Times New Roman" w:hAnsi="Times New Roman"/>
          <w:sz w:val="24"/>
        </w:rPr>
        <w:t>8</w:t>
      </w:r>
      <w:r>
        <w:rPr>
          <w:rFonts w:ascii="Times New Roman" w:hAnsi="Times New Roman"/>
          <w:sz w:val="24"/>
        </w:rPr>
        <w:t>。</w:t>
      </w:r>
    </w:p>
    <w:p w14:paraId="1299EE12">
      <w:pPr>
        <w:widowControl/>
        <w:ind w:firstLine="424" w:firstLineChars="177"/>
        <w:rPr>
          <w:rFonts w:ascii="Times New Roman" w:hAnsi="Times New Roman"/>
          <w:sz w:val="24"/>
        </w:rPr>
      </w:pPr>
    </w:p>
    <w:p w14:paraId="25983F2A">
      <w:pPr>
        <w:widowControl/>
        <w:ind w:firstLine="424" w:firstLineChars="177"/>
        <w:jc w:val="left"/>
        <w:rPr>
          <w:rFonts w:ascii="Times New Roman" w:hAnsi="Times New Roman"/>
          <w:sz w:val="24"/>
        </w:rPr>
      </w:pPr>
    </w:p>
    <w:p w14:paraId="5CBC02C7">
      <w:pPr>
        <w:spacing w:line="360" w:lineRule="auto"/>
        <w:ind w:firstLine="482"/>
        <w:rPr>
          <w:rFonts w:hint="eastAsia" w:ascii="宋体" w:hAnsi="宋体"/>
          <w:sz w:val="24"/>
        </w:rPr>
      </w:pPr>
    </w:p>
    <w:p w14:paraId="33C361F0">
      <w:pPr>
        <w:widowControl/>
        <w:jc w:val="center"/>
        <w:rPr>
          <w:rFonts w:hint="eastAsia" w:ascii="黑体" w:hAnsi="宋体" w:eastAsia="黑体"/>
          <w:sz w:val="32"/>
          <w:szCs w:val="32"/>
        </w:rPr>
        <w:sectPr>
          <w:headerReference r:id="rId6" w:type="default"/>
          <w:footerReference r:id="rId7" w:type="default"/>
          <w:footerReference r:id="rId8" w:type="even"/>
          <w:pgSz w:w="11906" w:h="16838"/>
          <w:pgMar w:top="1440" w:right="1800" w:bottom="1440" w:left="1800" w:header="850" w:footer="471" w:gutter="0"/>
          <w:pgNumType w:fmt="upperRoman" w:start="1"/>
          <w:cols w:space="425" w:num="1"/>
          <w:docGrid w:type="lines" w:linePitch="312" w:charSpace="0"/>
        </w:sectPr>
      </w:pPr>
    </w:p>
    <w:p w14:paraId="6990FF43">
      <w:pPr>
        <w:widowControl/>
        <w:jc w:val="center"/>
        <w:rPr>
          <w:rFonts w:hint="eastAsia" w:ascii="黑体" w:hAnsi="宋体" w:eastAsia="黑体"/>
          <w:sz w:val="32"/>
          <w:szCs w:val="32"/>
        </w:rPr>
      </w:pPr>
      <w:r>
        <w:rPr>
          <w:rFonts w:hint="eastAsia" w:ascii="黑体" w:hAnsi="宋体" w:eastAsia="黑体"/>
          <w:sz w:val="32"/>
          <w:szCs w:val="32"/>
        </w:rPr>
        <w:t>铁路罐车和罐式集装箱</w:t>
      </w:r>
      <w:r>
        <w:rPr>
          <w:rFonts w:ascii="黑体" w:hAnsi="宋体" w:eastAsia="黑体"/>
          <w:sz w:val="32"/>
          <w:szCs w:val="32"/>
        </w:rPr>
        <w:t>容积三维激光扫描仪校准规范</w:t>
      </w:r>
    </w:p>
    <w:p w14:paraId="7A9DADB0">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2" w:name="_Toc488765405"/>
      <w:r>
        <w:rPr>
          <w:rFonts w:hint="eastAsia" w:ascii="黑体" w:hAnsi="黑体" w:eastAsia="黑体"/>
          <w:b w:val="0"/>
          <w:sz w:val="24"/>
          <w:szCs w:val="24"/>
        </w:rPr>
        <w:t>范围</w:t>
      </w:r>
      <w:bookmarkEnd w:id="2"/>
    </w:p>
    <w:p w14:paraId="0E1D3EEA">
      <w:pPr>
        <w:spacing w:line="360" w:lineRule="auto"/>
        <w:ind w:firstLine="480" w:firstLineChars="200"/>
        <w:rPr>
          <w:rFonts w:hint="eastAsia" w:ascii="宋体" w:hAnsi="宋体"/>
          <w:sz w:val="24"/>
          <w:szCs w:val="24"/>
        </w:rPr>
      </w:pPr>
      <w:r>
        <w:rPr>
          <w:rFonts w:hint="eastAsia" w:ascii="宋体" w:hAnsi="宋体"/>
          <w:sz w:val="24"/>
          <w:szCs w:val="24"/>
        </w:rPr>
        <w:t>本规范适用于铁路罐车和罐式集装箱容积三维激光扫描仪（以下</w:t>
      </w:r>
      <w:r>
        <w:rPr>
          <w:rFonts w:ascii="宋体" w:hAnsi="宋体"/>
          <w:sz w:val="24"/>
          <w:szCs w:val="24"/>
        </w:rPr>
        <w:t>简称</w:t>
      </w:r>
      <w:r>
        <w:rPr>
          <w:rFonts w:hint="eastAsia" w:ascii="宋体" w:hAnsi="宋体"/>
          <w:sz w:val="24"/>
          <w:szCs w:val="24"/>
        </w:rPr>
        <w:t>“扫描仪”）的校准，用于其他类型容器容积测量的扫描仪、三维空间几何量测量的扫描仪可参照本规范执行。</w:t>
      </w:r>
    </w:p>
    <w:p w14:paraId="130341CC">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3" w:name="_Toc488765406"/>
      <w:r>
        <w:rPr>
          <w:rFonts w:hint="eastAsia" w:ascii="黑体" w:hAnsi="黑体" w:eastAsia="黑体"/>
          <w:b w:val="0"/>
          <w:sz w:val="24"/>
          <w:szCs w:val="24"/>
        </w:rPr>
        <w:t>引用文件</w:t>
      </w:r>
      <w:bookmarkEnd w:id="3"/>
    </w:p>
    <w:p w14:paraId="7EFFD7B8">
      <w:pPr>
        <w:pStyle w:val="22"/>
        <w:snapToGrid w:val="0"/>
        <w:spacing w:line="360" w:lineRule="auto"/>
        <w:ind w:left="360" w:firstLine="120" w:firstLineChars="50"/>
        <w:rPr>
          <w:rFonts w:hint="eastAsia" w:ascii="宋体" w:hAnsi="宋体"/>
          <w:sz w:val="24"/>
          <w:szCs w:val="24"/>
        </w:rPr>
      </w:pPr>
      <w:r>
        <w:rPr>
          <w:rFonts w:hint="eastAsia" w:ascii="宋体" w:hAnsi="宋体"/>
          <w:sz w:val="24"/>
          <w:szCs w:val="24"/>
        </w:rPr>
        <w:t>本规范</w:t>
      </w:r>
      <w:r>
        <w:rPr>
          <w:rFonts w:ascii="宋体" w:hAnsi="宋体"/>
          <w:sz w:val="24"/>
          <w:szCs w:val="24"/>
        </w:rPr>
        <w:t>引用下列文件：</w:t>
      </w:r>
    </w:p>
    <w:p w14:paraId="380398EB">
      <w:pPr>
        <w:snapToGrid w:val="0"/>
        <w:spacing w:line="360" w:lineRule="auto"/>
        <w:ind w:firstLine="480" w:firstLineChars="200"/>
        <w:rPr>
          <w:rFonts w:ascii="Times New Roman" w:hAnsi="Times New Roman"/>
          <w:sz w:val="24"/>
          <w:szCs w:val="24"/>
        </w:rPr>
      </w:pPr>
      <w:r>
        <w:rPr>
          <w:rFonts w:ascii="Times New Roman" w:hAnsi="Times New Roman"/>
          <w:sz w:val="24"/>
          <w:szCs w:val="24"/>
        </w:rPr>
        <w:t>JJG 140</w:t>
      </w:r>
      <w:r>
        <w:rPr>
          <w:rFonts w:hint="eastAsia" w:ascii="Times New Roman" w:hAnsi="Times New Roman"/>
          <w:sz w:val="24"/>
          <w:szCs w:val="24"/>
        </w:rPr>
        <w:t>-2018</w:t>
      </w:r>
      <w:r>
        <w:rPr>
          <w:rFonts w:hint="eastAsia" w:ascii="Times New Roman" w:hAnsi="Times New Roman"/>
          <w:sz w:val="24"/>
        </w:rPr>
        <w:t xml:space="preserve"> </w:t>
      </w:r>
      <w:r>
        <w:rPr>
          <w:rFonts w:ascii="Times New Roman" w:hAnsi="Times New Roman"/>
          <w:sz w:val="24"/>
          <w:szCs w:val="24"/>
        </w:rPr>
        <w:t>铁路罐车容积</w:t>
      </w:r>
    </w:p>
    <w:p w14:paraId="05974135">
      <w:pPr>
        <w:snapToGrid w:val="0"/>
        <w:spacing w:line="360" w:lineRule="auto"/>
        <w:ind w:firstLine="480" w:firstLineChars="200"/>
        <w:rPr>
          <w:rFonts w:ascii="Times New Roman" w:hAnsi="Times New Roman"/>
          <w:sz w:val="24"/>
        </w:rPr>
      </w:pPr>
      <w:r>
        <w:rPr>
          <w:rFonts w:ascii="Times New Roman" w:hAnsi="Times New Roman"/>
          <w:sz w:val="24"/>
        </w:rPr>
        <w:t>JJG 184</w:t>
      </w:r>
      <w:r>
        <w:rPr>
          <w:rFonts w:hint="eastAsia" w:ascii="Times New Roman" w:hAnsi="Times New Roman"/>
          <w:sz w:val="24"/>
        </w:rPr>
        <w:t xml:space="preserve">-2024 </w:t>
      </w:r>
      <w:r>
        <w:rPr>
          <w:rFonts w:ascii="Times New Roman" w:hAnsi="Times New Roman"/>
          <w:sz w:val="24"/>
        </w:rPr>
        <w:t>液化气体铁路罐车容积检定规程</w:t>
      </w:r>
    </w:p>
    <w:p w14:paraId="46853D40">
      <w:pPr>
        <w:snapToGrid w:val="0"/>
        <w:spacing w:line="360" w:lineRule="auto"/>
        <w:ind w:firstLine="480" w:firstLineChars="200"/>
        <w:rPr>
          <w:rFonts w:ascii="Times New Roman" w:hAnsi="Times New Roman"/>
          <w:sz w:val="24"/>
        </w:rPr>
      </w:pPr>
      <w:r>
        <w:rPr>
          <w:rFonts w:ascii="Times New Roman" w:hAnsi="Times New Roman"/>
          <w:sz w:val="24"/>
        </w:rPr>
        <w:t>JJG 1203</w:t>
      </w:r>
      <w:r>
        <w:rPr>
          <w:rFonts w:hint="eastAsia" w:ascii="Times New Roman" w:hAnsi="Times New Roman"/>
          <w:sz w:val="24"/>
        </w:rPr>
        <w:t xml:space="preserve">-2024 </w:t>
      </w:r>
      <w:r>
        <w:rPr>
          <w:rFonts w:ascii="Times New Roman" w:hAnsi="Times New Roman"/>
          <w:sz w:val="24"/>
        </w:rPr>
        <w:t>罐式集装箱容积检定规程</w:t>
      </w:r>
    </w:p>
    <w:p w14:paraId="7D0E3893">
      <w:pPr>
        <w:pStyle w:val="22"/>
        <w:snapToGrid w:val="0"/>
        <w:spacing w:line="360" w:lineRule="auto"/>
        <w:ind w:firstLine="480"/>
        <w:rPr>
          <w:rFonts w:hint="eastAsia" w:ascii="宋体" w:hAnsi="宋体"/>
          <w:sz w:val="24"/>
          <w:szCs w:val="24"/>
        </w:rPr>
      </w:pPr>
      <w:r>
        <w:rPr>
          <w:rFonts w:hint="eastAsia" w:ascii="宋体" w:hAnsi="宋体"/>
          <w:sz w:val="24"/>
          <w:szCs w:val="24"/>
        </w:rPr>
        <w:t>凡是注日期</w:t>
      </w:r>
      <w:r>
        <w:rPr>
          <w:rFonts w:ascii="宋体" w:hAnsi="宋体"/>
          <w:sz w:val="24"/>
          <w:szCs w:val="24"/>
        </w:rPr>
        <w:t>的引用文件，仅</w:t>
      </w:r>
      <w:r>
        <w:rPr>
          <w:rFonts w:hint="eastAsia" w:ascii="宋体" w:hAnsi="宋体"/>
          <w:sz w:val="24"/>
          <w:szCs w:val="24"/>
        </w:rPr>
        <w:t>注日期</w:t>
      </w:r>
      <w:r>
        <w:rPr>
          <w:rFonts w:ascii="宋体" w:hAnsi="宋体"/>
          <w:sz w:val="24"/>
          <w:szCs w:val="24"/>
        </w:rPr>
        <w:t>的版本适用于本规范；凡是不注</w:t>
      </w:r>
      <w:r>
        <w:rPr>
          <w:rFonts w:hint="eastAsia" w:ascii="宋体" w:hAnsi="宋体"/>
          <w:sz w:val="24"/>
          <w:szCs w:val="24"/>
        </w:rPr>
        <w:t>日期</w:t>
      </w:r>
      <w:r>
        <w:rPr>
          <w:rFonts w:ascii="宋体" w:hAnsi="宋体"/>
          <w:sz w:val="24"/>
          <w:szCs w:val="24"/>
        </w:rPr>
        <w:t>的引用文件，其最新版本（</w:t>
      </w:r>
      <w:r>
        <w:rPr>
          <w:rFonts w:hint="eastAsia" w:ascii="宋体" w:hAnsi="宋体"/>
          <w:sz w:val="24"/>
          <w:szCs w:val="24"/>
        </w:rPr>
        <w:t>包括</w:t>
      </w:r>
      <w:r>
        <w:rPr>
          <w:rFonts w:ascii="宋体" w:hAnsi="宋体"/>
          <w:sz w:val="24"/>
          <w:szCs w:val="24"/>
        </w:rPr>
        <w:t>所有的修改单）</w:t>
      </w:r>
      <w:r>
        <w:rPr>
          <w:rFonts w:hint="eastAsia" w:ascii="宋体" w:hAnsi="宋体"/>
          <w:sz w:val="24"/>
          <w:szCs w:val="24"/>
        </w:rPr>
        <w:t>适用</w:t>
      </w:r>
      <w:r>
        <w:rPr>
          <w:rFonts w:ascii="宋体" w:hAnsi="宋体"/>
          <w:sz w:val="24"/>
          <w:szCs w:val="24"/>
        </w:rPr>
        <w:t>于本规范</w:t>
      </w:r>
      <w:r>
        <w:rPr>
          <w:rFonts w:hint="eastAsia" w:ascii="宋体" w:hAnsi="宋体"/>
          <w:sz w:val="24"/>
          <w:szCs w:val="24"/>
        </w:rPr>
        <w:t>。</w:t>
      </w:r>
    </w:p>
    <w:p w14:paraId="259D4B00">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4" w:name="_Toc488765407"/>
      <w:r>
        <w:rPr>
          <w:rFonts w:hint="eastAsia" w:ascii="黑体" w:hAnsi="黑体" w:eastAsia="黑体"/>
          <w:b w:val="0"/>
          <w:sz w:val="24"/>
          <w:szCs w:val="24"/>
        </w:rPr>
        <w:t>术语</w:t>
      </w:r>
      <w:bookmarkEnd w:id="4"/>
    </w:p>
    <w:p w14:paraId="1E53128C">
      <w:pPr>
        <w:numPr>
          <w:ilvl w:val="1"/>
          <w:numId w:val="2"/>
        </w:numPr>
        <w:spacing w:line="360" w:lineRule="auto"/>
        <w:ind w:left="426" w:hanging="426"/>
        <w:rPr>
          <w:rFonts w:ascii="Times New Roman" w:hAnsi="Times New Roman"/>
          <w:sz w:val="24"/>
        </w:rPr>
      </w:pPr>
      <w:r>
        <w:rPr>
          <w:rFonts w:ascii="Times New Roman" w:hAnsi="Times New Roman"/>
          <w:sz w:val="24"/>
        </w:rPr>
        <w:t>罐体容积tank capacity</w:t>
      </w:r>
    </w:p>
    <w:p w14:paraId="73FB4CA3">
      <w:pPr>
        <w:spacing w:line="360" w:lineRule="auto"/>
        <w:ind w:firstLine="424" w:firstLineChars="177"/>
        <w:rPr>
          <w:rFonts w:ascii="Times New Roman" w:hAnsi="Times New Roman"/>
          <w:sz w:val="24"/>
          <w:szCs w:val="24"/>
        </w:rPr>
      </w:pPr>
      <w:r>
        <w:rPr>
          <w:rFonts w:ascii="Times New Roman" w:hAnsi="Times New Roman"/>
          <w:sz w:val="24"/>
          <w:szCs w:val="24"/>
        </w:rPr>
        <w:t>标准温度20 ℃时罐体内表面顶部水平切面以下的容积。</w:t>
      </w:r>
    </w:p>
    <w:p w14:paraId="145AC14C">
      <w:pPr>
        <w:spacing w:line="360" w:lineRule="auto"/>
        <w:ind w:firstLine="424" w:firstLineChars="177"/>
        <w:rPr>
          <w:rFonts w:ascii="Times New Roman" w:hAnsi="Times New Roman"/>
          <w:sz w:val="24"/>
          <w:szCs w:val="24"/>
        </w:rPr>
      </w:pPr>
      <w:r>
        <w:rPr>
          <w:rFonts w:hint="eastAsia" w:ascii="Times New Roman" w:hAnsi="Times New Roman"/>
          <w:sz w:val="24"/>
          <w:szCs w:val="24"/>
        </w:rPr>
        <w:t>[来源：</w:t>
      </w:r>
      <w:r>
        <w:rPr>
          <w:rFonts w:hint="eastAsia" w:ascii="Times New Roman" w:hAnsi="Times New Roman"/>
          <w:sz w:val="24"/>
        </w:rPr>
        <w:t>JJG 140</w:t>
      </w:r>
      <w:r>
        <w:rPr>
          <w:rFonts w:ascii="Times New Roman" w:hAnsi="Times New Roman"/>
          <w:sz w:val="24"/>
        </w:rPr>
        <w:t>—</w:t>
      </w:r>
      <w:r>
        <w:rPr>
          <w:rFonts w:hint="eastAsia" w:ascii="Times New Roman" w:hAnsi="Times New Roman"/>
          <w:sz w:val="24"/>
        </w:rPr>
        <w:t>2018，3.1；JJG 184</w:t>
      </w:r>
      <w:r>
        <w:rPr>
          <w:rFonts w:ascii="Times New Roman" w:hAnsi="Times New Roman"/>
          <w:sz w:val="24"/>
        </w:rPr>
        <w:t>—</w:t>
      </w:r>
      <w:r>
        <w:rPr>
          <w:rFonts w:hint="eastAsia" w:ascii="Times New Roman" w:hAnsi="Times New Roman"/>
          <w:sz w:val="24"/>
        </w:rPr>
        <w:t>2024，3.1</w:t>
      </w:r>
      <w:r>
        <w:rPr>
          <w:rFonts w:hint="eastAsia" w:ascii="Times New Roman" w:hAnsi="Times New Roman"/>
          <w:sz w:val="24"/>
          <w:szCs w:val="24"/>
        </w:rPr>
        <w:t>]</w:t>
      </w:r>
    </w:p>
    <w:p w14:paraId="0AB809DF">
      <w:pPr>
        <w:numPr>
          <w:ilvl w:val="1"/>
          <w:numId w:val="2"/>
        </w:numPr>
        <w:spacing w:line="360" w:lineRule="auto"/>
        <w:ind w:left="426" w:hanging="426"/>
        <w:rPr>
          <w:rFonts w:ascii="Times New Roman" w:hAnsi="Times New Roman"/>
          <w:sz w:val="24"/>
        </w:rPr>
      </w:pPr>
      <w:r>
        <w:rPr>
          <w:rFonts w:ascii="Times New Roman" w:hAnsi="Times New Roman"/>
          <w:sz w:val="24"/>
        </w:rPr>
        <w:t>容积表</w:t>
      </w:r>
      <w:r>
        <w:rPr>
          <w:rFonts w:ascii="Times New Roman" w:hAnsi="Times New Roman"/>
          <w:sz w:val="24"/>
          <w:szCs w:val="24"/>
        </w:rPr>
        <w:t>tank capacity table</w:t>
      </w:r>
    </w:p>
    <w:p w14:paraId="515F5ED7">
      <w:pPr>
        <w:spacing w:line="360" w:lineRule="auto"/>
        <w:ind w:firstLine="424" w:firstLineChars="177"/>
        <w:rPr>
          <w:rFonts w:ascii="Times New Roman" w:hAnsi="Times New Roman"/>
          <w:sz w:val="24"/>
        </w:rPr>
      </w:pPr>
      <w:r>
        <w:rPr>
          <w:rFonts w:ascii="Times New Roman" w:hAnsi="Times New Roman"/>
          <w:sz w:val="24"/>
        </w:rPr>
        <w:t>标准温度20 ℃时铁路罐车</w:t>
      </w:r>
      <w:r>
        <w:rPr>
          <w:rFonts w:hint="eastAsia" w:ascii="Times New Roman" w:hAnsi="Times New Roman"/>
          <w:sz w:val="24"/>
        </w:rPr>
        <w:t>和罐式集装</w:t>
      </w:r>
      <w:r>
        <w:rPr>
          <w:rFonts w:ascii="Times New Roman" w:hAnsi="Times New Roman"/>
          <w:sz w:val="24"/>
        </w:rPr>
        <w:t>箱内高度和容积对应关系的数据表。</w:t>
      </w:r>
    </w:p>
    <w:p w14:paraId="52C64C19">
      <w:pPr>
        <w:numPr>
          <w:ilvl w:val="1"/>
          <w:numId w:val="2"/>
        </w:numPr>
        <w:spacing w:line="360" w:lineRule="auto"/>
        <w:ind w:left="426" w:hanging="426"/>
        <w:rPr>
          <w:rFonts w:ascii="Times New Roman" w:hAnsi="Times New Roman"/>
          <w:sz w:val="24"/>
        </w:rPr>
      </w:pPr>
      <w:r>
        <w:rPr>
          <w:rFonts w:ascii="Times New Roman" w:hAnsi="Times New Roman"/>
          <w:sz w:val="24"/>
        </w:rPr>
        <w:t>数据处理软件 data processing software</w:t>
      </w:r>
    </w:p>
    <w:p w14:paraId="43D22DEA">
      <w:pPr>
        <w:spacing w:line="360" w:lineRule="auto"/>
        <w:ind w:firstLine="424" w:firstLineChars="177"/>
        <w:rPr>
          <w:rFonts w:ascii="Times New Roman" w:hAnsi="Times New Roman"/>
          <w:sz w:val="24"/>
        </w:rPr>
      </w:pPr>
      <w:r>
        <w:rPr>
          <w:rFonts w:hint="eastAsia" w:ascii="Times New Roman" w:hAnsi="Times New Roman"/>
          <w:sz w:val="24"/>
        </w:rPr>
        <w:t>具有</w:t>
      </w:r>
      <w:r>
        <w:rPr>
          <w:rFonts w:ascii="Times New Roman" w:hAnsi="Times New Roman"/>
          <w:sz w:val="24"/>
        </w:rPr>
        <w:t>标准金属量器流程化批量操作、容积及其液位高度自动测量、</w:t>
      </w:r>
      <w:r>
        <w:rPr>
          <w:rFonts w:hint="eastAsia" w:ascii="Times New Roman" w:hAnsi="Times New Roman"/>
          <w:sz w:val="24"/>
        </w:rPr>
        <w:t>点云处理、</w:t>
      </w:r>
      <w:r>
        <w:rPr>
          <w:rFonts w:ascii="Times New Roman" w:hAnsi="Times New Roman"/>
          <w:sz w:val="24"/>
        </w:rPr>
        <w:t>容积表生成</w:t>
      </w:r>
      <w:r>
        <w:rPr>
          <w:rFonts w:hint="eastAsia" w:ascii="Times New Roman" w:hAnsi="Times New Roman"/>
          <w:sz w:val="24"/>
        </w:rPr>
        <w:t xml:space="preserve">等功能的计算机程序。 </w:t>
      </w:r>
    </w:p>
    <w:p w14:paraId="024F6879">
      <w:pPr>
        <w:numPr>
          <w:ilvl w:val="1"/>
          <w:numId w:val="2"/>
        </w:numPr>
        <w:spacing w:line="360" w:lineRule="auto"/>
        <w:ind w:left="426" w:hanging="426"/>
        <w:rPr>
          <w:rFonts w:ascii="Times New Roman" w:hAnsi="Times New Roman"/>
          <w:sz w:val="24"/>
        </w:rPr>
      </w:pPr>
      <w:r>
        <w:rPr>
          <w:rFonts w:ascii="Times New Roman" w:hAnsi="Times New Roman"/>
          <w:sz w:val="24"/>
        </w:rPr>
        <w:t xml:space="preserve">检测罐 </w:t>
      </w:r>
      <w:r>
        <w:rPr>
          <w:rFonts w:ascii="Times New Roman" w:hAnsi="Times New Roman"/>
          <w:sz w:val="24"/>
          <w:szCs w:val="24"/>
        </w:rPr>
        <w:t>testing tank</w:t>
      </w:r>
    </w:p>
    <w:p w14:paraId="500613DA">
      <w:pPr>
        <w:spacing w:line="360" w:lineRule="auto"/>
        <w:ind w:firstLine="424" w:firstLineChars="177"/>
        <w:rPr>
          <w:rFonts w:ascii="Times New Roman" w:hAnsi="Times New Roman"/>
          <w:sz w:val="24"/>
        </w:rPr>
      </w:pPr>
      <w:r>
        <w:rPr>
          <w:rFonts w:hint="eastAsia" w:ascii="Times New Roman" w:hAnsi="Times New Roman"/>
          <w:sz w:val="24"/>
        </w:rPr>
        <w:t>用于铁路罐车和罐式集装箱容积三维激光扫描仪校准的，具有特定型号和一定容积的铁路罐车罐体和罐式集装箱。</w:t>
      </w:r>
    </w:p>
    <w:p w14:paraId="5B1E2003">
      <w:pPr>
        <w:numPr>
          <w:ilvl w:val="1"/>
          <w:numId w:val="2"/>
        </w:numPr>
        <w:spacing w:line="360" w:lineRule="auto"/>
        <w:ind w:left="426" w:hanging="426"/>
        <w:rPr>
          <w:rFonts w:ascii="Times New Roman" w:hAnsi="Times New Roman"/>
          <w:sz w:val="24"/>
        </w:rPr>
      </w:pPr>
      <w:r>
        <w:rPr>
          <w:rFonts w:hint="eastAsia" w:ascii="Times New Roman" w:hAnsi="Times New Roman"/>
          <w:sz w:val="24"/>
        </w:rPr>
        <w:t>三维激光扫描法</w:t>
      </w:r>
      <w:r>
        <w:rPr>
          <w:rFonts w:ascii="Times New Roman" w:hAnsi="Times New Roman"/>
          <w:sz w:val="24"/>
        </w:rPr>
        <w:t xml:space="preserve"> </w:t>
      </w:r>
      <w:r>
        <w:rPr>
          <w:rFonts w:hint="eastAsia" w:ascii="Times New Roman" w:hAnsi="Times New Roman"/>
          <w:sz w:val="24"/>
        </w:rPr>
        <w:t>3D laser scanning</w:t>
      </w:r>
      <w:r>
        <w:rPr>
          <w:rFonts w:ascii="Times New Roman" w:hAnsi="Times New Roman"/>
          <w:sz w:val="24"/>
          <w:szCs w:val="24"/>
        </w:rPr>
        <w:t xml:space="preserve"> </w:t>
      </w:r>
      <w:r>
        <w:rPr>
          <w:rFonts w:hint="eastAsia" w:ascii="Times New Roman" w:hAnsi="Times New Roman"/>
          <w:sz w:val="24"/>
          <w:szCs w:val="24"/>
        </w:rPr>
        <w:t>method</w:t>
      </w:r>
    </w:p>
    <w:p w14:paraId="330A4F45">
      <w:pPr>
        <w:spacing w:line="360" w:lineRule="auto"/>
        <w:ind w:firstLine="424" w:firstLineChars="177"/>
        <w:rPr>
          <w:rFonts w:ascii="Times New Roman" w:hAnsi="Times New Roman"/>
          <w:sz w:val="24"/>
        </w:rPr>
      </w:pPr>
      <w:r>
        <w:rPr>
          <w:rFonts w:hint="eastAsia" w:ascii="Times New Roman" w:hAnsi="Times New Roman"/>
          <w:sz w:val="24"/>
        </w:rPr>
        <w:t>使用三维激光扫描仪测量罐体内壁得到点云，经计算求其容积的方法。</w:t>
      </w:r>
    </w:p>
    <w:p w14:paraId="335F6436">
      <w:pPr>
        <w:spacing w:line="360" w:lineRule="auto"/>
        <w:ind w:firstLine="424" w:firstLineChars="177"/>
        <w:rPr>
          <w:rFonts w:ascii="Times New Roman" w:hAnsi="Times New Roman"/>
          <w:sz w:val="24"/>
        </w:rPr>
      </w:pPr>
      <w:r>
        <w:rPr>
          <w:rFonts w:hint="eastAsia" w:ascii="Times New Roman" w:hAnsi="Times New Roman"/>
          <w:sz w:val="24"/>
        </w:rPr>
        <w:t>[来源：JJG 140</w:t>
      </w:r>
      <w:r>
        <w:rPr>
          <w:rFonts w:ascii="Times New Roman" w:hAnsi="Times New Roman"/>
          <w:sz w:val="24"/>
        </w:rPr>
        <w:t>—</w:t>
      </w:r>
      <w:r>
        <w:rPr>
          <w:rFonts w:hint="eastAsia" w:ascii="Times New Roman" w:hAnsi="Times New Roman"/>
          <w:sz w:val="24"/>
        </w:rPr>
        <w:t>2018，3.5；JJG 184</w:t>
      </w:r>
      <w:r>
        <w:rPr>
          <w:rFonts w:ascii="Times New Roman" w:hAnsi="Times New Roman"/>
          <w:sz w:val="24"/>
        </w:rPr>
        <w:t>—</w:t>
      </w:r>
      <w:r>
        <w:rPr>
          <w:rFonts w:hint="eastAsia" w:ascii="Times New Roman" w:hAnsi="Times New Roman"/>
          <w:sz w:val="24"/>
        </w:rPr>
        <w:t>2024，3.4；JJG 1203</w:t>
      </w:r>
      <w:r>
        <w:rPr>
          <w:rFonts w:ascii="Times New Roman" w:hAnsi="Times New Roman"/>
          <w:sz w:val="24"/>
        </w:rPr>
        <w:t>—</w:t>
      </w:r>
      <w:r>
        <w:rPr>
          <w:rFonts w:hint="eastAsia" w:ascii="Times New Roman" w:hAnsi="Times New Roman"/>
          <w:sz w:val="24"/>
        </w:rPr>
        <w:t>2024，3.4]</w:t>
      </w:r>
    </w:p>
    <w:p w14:paraId="12ECA789">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5" w:name="_Toc488765408"/>
      <w:r>
        <w:rPr>
          <w:rFonts w:hint="eastAsia" w:ascii="黑体" w:hAnsi="黑体" w:eastAsia="黑体"/>
          <w:b w:val="0"/>
          <w:sz w:val="24"/>
          <w:szCs w:val="24"/>
        </w:rPr>
        <w:t>概述</w:t>
      </w:r>
      <w:bookmarkEnd w:id="5"/>
    </w:p>
    <w:p w14:paraId="2AC6FA29">
      <w:pPr>
        <w:spacing w:line="360" w:lineRule="auto"/>
        <w:ind w:firstLine="480" w:firstLineChars="200"/>
        <w:rPr>
          <w:rFonts w:hint="eastAsia" w:ascii="宋体" w:hAnsi="宋体"/>
          <w:sz w:val="24"/>
        </w:rPr>
      </w:pPr>
      <w:r>
        <w:rPr>
          <w:rFonts w:ascii="宋体" w:hAnsi="宋体"/>
          <w:sz w:val="24"/>
        </w:rPr>
        <w:t>扫描仪用于测量铁路罐车和罐式集装箱容积。扫描仪外形示意图如图1所示。其原理是通过</w:t>
      </w:r>
      <w:r>
        <w:rPr>
          <w:rFonts w:hint="eastAsia" w:ascii="宋体" w:hAnsi="宋体"/>
          <w:sz w:val="24"/>
        </w:rPr>
        <w:t>三维激光扫描技术扫描罐体内壁，采集点云，通过数据处理软件计算</w:t>
      </w:r>
      <w:r>
        <w:rPr>
          <w:rFonts w:ascii="宋体" w:hAnsi="宋体"/>
          <w:sz w:val="24"/>
        </w:rPr>
        <w:t>容积表</w:t>
      </w:r>
      <w:r>
        <w:rPr>
          <w:rFonts w:hint="eastAsia" w:ascii="宋体" w:hAnsi="宋体"/>
          <w:sz w:val="24"/>
        </w:rPr>
        <w:t>。</w:t>
      </w:r>
    </w:p>
    <w:p w14:paraId="0F9D80BA">
      <w:pPr>
        <w:spacing w:line="360" w:lineRule="auto"/>
        <w:ind w:firstLine="420" w:firstLineChars="200"/>
        <w:jc w:val="center"/>
        <w:rPr>
          <w:rFonts w:hint="eastAsia" w:ascii="宋体" w:hAnsi="宋体"/>
          <w:sz w:val="24"/>
        </w:rPr>
      </w:pPr>
      <w:r>
        <w:object>
          <v:shape id="_x0000_i1025" o:spt="75" type="#_x0000_t75" style="height:122.1pt;width:169.55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14:paraId="28602302">
      <w:pPr>
        <w:spacing w:line="360" w:lineRule="auto"/>
        <w:ind w:firstLine="420" w:firstLineChars="200"/>
        <w:jc w:val="center"/>
        <w:rPr>
          <w:rFonts w:hint="eastAsia" w:ascii="宋体" w:hAnsi="宋体"/>
          <w:szCs w:val="21"/>
        </w:rPr>
      </w:pPr>
      <w:r>
        <w:rPr>
          <w:rFonts w:hint="eastAsia" w:ascii="宋体" w:hAnsi="宋体"/>
          <w:szCs w:val="21"/>
        </w:rPr>
        <w:t>图</w:t>
      </w:r>
      <w:r>
        <w:rPr>
          <w:rFonts w:ascii="宋体" w:hAnsi="宋体"/>
          <w:szCs w:val="21"/>
        </w:rPr>
        <w:t>1扫描仪</w:t>
      </w:r>
      <w:r>
        <w:rPr>
          <w:rFonts w:hint="eastAsia" w:ascii="宋体" w:hAnsi="宋体"/>
          <w:szCs w:val="21"/>
        </w:rPr>
        <w:t>基本组成</w:t>
      </w:r>
    </w:p>
    <w:p w14:paraId="0B2BC97D">
      <w:pPr>
        <w:spacing w:line="360" w:lineRule="auto"/>
        <w:ind w:firstLine="480" w:firstLineChars="200"/>
        <w:jc w:val="center"/>
        <w:rPr>
          <w:rFonts w:hint="eastAsia" w:ascii="宋体" w:hAnsi="宋体"/>
          <w:sz w:val="24"/>
        </w:rPr>
      </w:pPr>
      <w:r>
        <w:rPr>
          <w:rFonts w:hint="eastAsia" w:ascii="宋体" w:hAnsi="宋体"/>
          <w:sz w:val="24"/>
        </w:rPr>
        <mc:AlternateContent>
          <mc:Choice Requires="wps">
            <w:drawing>
              <wp:inline distT="0" distB="0" distL="0" distR="0">
                <wp:extent cx="4114800" cy="685800"/>
                <wp:effectExtent l="0" t="0" r="0" b="7620"/>
                <wp:docPr id="63362370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114800" cy="685800"/>
                        </a:xfrm>
                        <a:prstGeom prst="rect">
                          <a:avLst/>
                        </a:prstGeom>
                        <a:solidFill>
                          <a:srgbClr val="FFFFFF"/>
                        </a:solidFill>
                        <a:ln>
                          <a:noFill/>
                        </a:ln>
                      </wps:spPr>
                      <wps:txbx>
                        <w:txbxContent>
                          <w:p w14:paraId="3ECC43D2">
                            <w:pPr>
                              <w:jc w:val="center"/>
                              <w:rPr>
                                <w:rFonts w:hint="eastAsia" w:ascii="宋体" w:hAnsi="宋体"/>
                                <w:sz w:val="18"/>
                                <w:szCs w:val="18"/>
                              </w:rPr>
                            </w:pPr>
                            <w:r>
                              <w:rPr>
                                <w:rFonts w:ascii="宋体" w:hAnsi="宋体"/>
                                <w:sz w:val="18"/>
                                <w:szCs w:val="18"/>
                              </w:rPr>
                              <w:t>1—</w:t>
                            </w:r>
                            <w:r>
                              <w:rPr>
                                <w:rFonts w:hint="eastAsia" w:ascii="宋体" w:hAnsi="宋体"/>
                                <w:sz w:val="18"/>
                                <w:szCs w:val="18"/>
                              </w:rPr>
                              <w:t>电池；</w:t>
                            </w:r>
                            <w:r>
                              <w:rPr>
                                <w:rFonts w:ascii="宋体" w:hAnsi="宋体"/>
                                <w:sz w:val="18"/>
                                <w:szCs w:val="18"/>
                              </w:rPr>
                              <w:t>2—</w:t>
                            </w:r>
                            <w:r>
                              <w:rPr>
                                <w:rFonts w:hint="eastAsia" w:ascii="宋体" w:hAnsi="宋体"/>
                                <w:sz w:val="18"/>
                                <w:szCs w:val="18"/>
                              </w:rPr>
                              <w:t>数据存储介质接口</w:t>
                            </w:r>
                            <w:r>
                              <w:rPr>
                                <w:rFonts w:ascii="宋体" w:hAnsi="宋体"/>
                                <w:sz w:val="18"/>
                                <w:szCs w:val="18"/>
                              </w:rPr>
                              <w:t>；3—启动/</w:t>
                            </w:r>
                            <w:r>
                              <w:rPr>
                                <w:rFonts w:hint="eastAsia" w:ascii="宋体" w:hAnsi="宋体"/>
                                <w:sz w:val="18"/>
                                <w:szCs w:val="18"/>
                              </w:rPr>
                              <w:t>暂停</w:t>
                            </w:r>
                            <w:r>
                              <w:rPr>
                                <w:rFonts w:ascii="宋体" w:hAnsi="宋体"/>
                                <w:sz w:val="18"/>
                                <w:szCs w:val="18"/>
                              </w:rPr>
                              <w:t>键</w:t>
                            </w:r>
                            <w:r>
                              <w:rPr>
                                <w:rFonts w:hint="eastAsia" w:ascii="宋体" w:hAnsi="宋体"/>
                                <w:sz w:val="18"/>
                                <w:szCs w:val="18"/>
                              </w:rPr>
                              <w:t>；</w:t>
                            </w:r>
                            <w:r>
                              <w:rPr>
                                <w:rFonts w:ascii="宋体" w:hAnsi="宋体"/>
                                <w:sz w:val="18"/>
                                <w:szCs w:val="18"/>
                              </w:rPr>
                              <w:t>4—显示屏；5—</w:t>
                            </w:r>
                            <w:r>
                              <w:rPr>
                                <w:rFonts w:hint="eastAsia" w:ascii="宋体" w:hAnsi="宋体"/>
                                <w:sz w:val="18"/>
                                <w:szCs w:val="18"/>
                              </w:rPr>
                              <w:t>电源键</w:t>
                            </w:r>
                            <w:r>
                              <w:rPr>
                                <w:rFonts w:ascii="宋体" w:hAnsi="宋体"/>
                                <w:sz w:val="18"/>
                                <w:szCs w:val="18"/>
                              </w:rPr>
                              <w:t>；</w:t>
                            </w:r>
                          </w:p>
                          <w:p w14:paraId="3D52ADA0">
                            <w:pPr>
                              <w:jc w:val="center"/>
                              <w:rPr>
                                <w:rFonts w:hint="eastAsia" w:ascii="宋体" w:hAnsi="宋体"/>
                                <w:sz w:val="18"/>
                                <w:szCs w:val="18"/>
                              </w:rPr>
                            </w:pPr>
                            <w:r>
                              <w:rPr>
                                <w:rFonts w:ascii="宋体" w:hAnsi="宋体"/>
                                <w:sz w:val="18"/>
                                <w:szCs w:val="18"/>
                              </w:rPr>
                              <w:t>6—</w:t>
                            </w:r>
                            <w:r>
                              <w:rPr>
                                <w:rFonts w:hint="eastAsia" w:ascii="宋体" w:hAnsi="宋体"/>
                                <w:sz w:val="18"/>
                                <w:szCs w:val="18"/>
                              </w:rPr>
                              <w:t>反射滤光</w:t>
                            </w:r>
                            <w:r>
                              <w:rPr>
                                <w:rFonts w:ascii="宋体" w:hAnsi="宋体"/>
                                <w:sz w:val="18"/>
                                <w:szCs w:val="18"/>
                              </w:rPr>
                              <w:t>镜；7—</w:t>
                            </w:r>
                            <w:r>
                              <w:rPr>
                                <w:rFonts w:hint="eastAsia" w:ascii="宋体" w:hAnsi="宋体"/>
                                <w:sz w:val="18"/>
                                <w:szCs w:val="18"/>
                              </w:rPr>
                              <w:t>激光</w:t>
                            </w:r>
                            <w:r>
                              <w:rPr>
                                <w:rFonts w:ascii="宋体" w:hAnsi="宋体"/>
                                <w:sz w:val="18"/>
                                <w:szCs w:val="18"/>
                              </w:rPr>
                              <w:t>发射器；8—</w:t>
                            </w:r>
                            <w:r>
                              <w:rPr>
                                <w:rFonts w:hint="eastAsia" w:ascii="宋体" w:hAnsi="宋体"/>
                                <w:sz w:val="18"/>
                                <w:szCs w:val="18"/>
                              </w:rPr>
                              <w:t>安装底座</w:t>
                            </w:r>
                          </w:p>
                        </w:txbxContent>
                      </wps:txbx>
                      <wps:bodyPr rot="0" vert="horz" wrap="square" lIns="91440" tIns="45720" rIns="91440" bIns="45720" anchor="t" anchorCtr="0" upright="1">
                        <a:spAutoFit/>
                      </wps:bodyPr>
                    </wps:wsp>
                  </a:graphicData>
                </a:graphic>
              </wp:inline>
            </w:drawing>
          </mc:Choice>
          <mc:Fallback>
            <w:pict>
              <v:shape id="文本框 2" o:spid="_x0000_s1026" o:spt="202" type="#_x0000_t202" style="height:54pt;width:324pt;" fillcolor="#FFFFFF" filled="t" stroked="f" coordsize="21600,21600" o:gfxdata="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uzMRDSAAAABQEAAA8AAAAAAAAAAQAgAAAAIgAAAGRycy9kb3ducmV2LnhtbFBLAQIUABQA&#10;AAAIAIdO4kCKRHYJLwIAAEYEAAAOAAAAAAAAAAEAIAAAACEBAABkcnMvZTJvRG9jLnhtbFBLBQYA&#10;AAAABgAGAFkBAADCBQAAAAA=&#10;">
                <v:fill on="t" focussize="0,0"/>
                <v:stroke on="f"/>
                <v:imagedata o:title=""/>
                <o:lock v:ext="edit" aspectratio="f"/>
                <v:textbox style="mso-fit-shape-to-text:t;">
                  <w:txbxContent>
                    <w:p w14:paraId="3ECC43D2">
                      <w:pPr>
                        <w:jc w:val="center"/>
                        <w:rPr>
                          <w:rFonts w:hint="eastAsia" w:ascii="宋体" w:hAnsi="宋体"/>
                          <w:sz w:val="18"/>
                          <w:szCs w:val="18"/>
                        </w:rPr>
                      </w:pPr>
                      <w:r>
                        <w:rPr>
                          <w:rFonts w:ascii="宋体" w:hAnsi="宋体"/>
                          <w:sz w:val="18"/>
                          <w:szCs w:val="18"/>
                        </w:rPr>
                        <w:t>1—</w:t>
                      </w:r>
                      <w:r>
                        <w:rPr>
                          <w:rFonts w:hint="eastAsia" w:ascii="宋体" w:hAnsi="宋体"/>
                          <w:sz w:val="18"/>
                          <w:szCs w:val="18"/>
                        </w:rPr>
                        <w:t>电池；</w:t>
                      </w:r>
                      <w:r>
                        <w:rPr>
                          <w:rFonts w:ascii="宋体" w:hAnsi="宋体"/>
                          <w:sz w:val="18"/>
                          <w:szCs w:val="18"/>
                        </w:rPr>
                        <w:t>2—</w:t>
                      </w:r>
                      <w:r>
                        <w:rPr>
                          <w:rFonts w:hint="eastAsia" w:ascii="宋体" w:hAnsi="宋体"/>
                          <w:sz w:val="18"/>
                          <w:szCs w:val="18"/>
                        </w:rPr>
                        <w:t>数据存储介质接口</w:t>
                      </w:r>
                      <w:r>
                        <w:rPr>
                          <w:rFonts w:ascii="宋体" w:hAnsi="宋体"/>
                          <w:sz w:val="18"/>
                          <w:szCs w:val="18"/>
                        </w:rPr>
                        <w:t>；3—启动/</w:t>
                      </w:r>
                      <w:r>
                        <w:rPr>
                          <w:rFonts w:hint="eastAsia" w:ascii="宋体" w:hAnsi="宋体"/>
                          <w:sz w:val="18"/>
                          <w:szCs w:val="18"/>
                        </w:rPr>
                        <w:t>暂停</w:t>
                      </w:r>
                      <w:r>
                        <w:rPr>
                          <w:rFonts w:ascii="宋体" w:hAnsi="宋体"/>
                          <w:sz w:val="18"/>
                          <w:szCs w:val="18"/>
                        </w:rPr>
                        <w:t>键</w:t>
                      </w:r>
                      <w:r>
                        <w:rPr>
                          <w:rFonts w:hint="eastAsia" w:ascii="宋体" w:hAnsi="宋体"/>
                          <w:sz w:val="18"/>
                          <w:szCs w:val="18"/>
                        </w:rPr>
                        <w:t>；</w:t>
                      </w:r>
                      <w:r>
                        <w:rPr>
                          <w:rFonts w:ascii="宋体" w:hAnsi="宋体"/>
                          <w:sz w:val="18"/>
                          <w:szCs w:val="18"/>
                        </w:rPr>
                        <w:t>4—显示屏；5—</w:t>
                      </w:r>
                      <w:r>
                        <w:rPr>
                          <w:rFonts w:hint="eastAsia" w:ascii="宋体" w:hAnsi="宋体"/>
                          <w:sz w:val="18"/>
                          <w:szCs w:val="18"/>
                        </w:rPr>
                        <w:t>电源键</w:t>
                      </w:r>
                      <w:r>
                        <w:rPr>
                          <w:rFonts w:ascii="宋体" w:hAnsi="宋体"/>
                          <w:sz w:val="18"/>
                          <w:szCs w:val="18"/>
                        </w:rPr>
                        <w:t>；</w:t>
                      </w:r>
                    </w:p>
                    <w:p w14:paraId="3D52ADA0">
                      <w:pPr>
                        <w:jc w:val="center"/>
                        <w:rPr>
                          <w:rFonts w:hint="eastAsia" w:ascii="宋体" w:hAnsi="宋体"/>
                          <w:sz w:val="18"/>
                          <w:szCs w:val="18"/>
                        </w:rPr>
                      </w:pPr>
                      <w:r>
                        <w:rPr>
                          <w:rFonts w:ascii="宋体" w:hAnsi="宋体"/>
                          <w:sz w:val="18"/>
                          <w:szCs w:val="18"/>
                        </w:rPr>
                        <w:t>6—</w:t>
                      </w:r>
                      <w:r>
                        <w:rPr>
                          <w:rFonts w:hint="eastAsia" w:ascii="宋体" w:hAnsi="宋体"/>
                          <w:sz w:val="18"/>
                          <w:szCs w:val="18"/>
                        </w:rPr>
                        <w:t>反射滤光</w:t>
                      </w:r>
                      <w:r>
                        <w:rPr>
                          <w:rFonts w:ascii="宋体" w:hAnsi="宋体"/>
                          <w:sz w:val="18"/>
                          <w:szCs w:val="18"/>
                        </w:rPr>
                        <w:t>镜；7—</w:t>
                      </w:r>
                      <w:r>
                        <w:rPr>
                          <w:rFonts w:hint="eastAsia" w:ascii="宋体" w:hAnsi="宋体"/>
                          <w:sz w:val="18"/>
                          <w:szCs w:val="18"/>
                        </w:rPr>
                        <w:t>激光</w:t>
                      </w:r>
                      <w:r>
                        <w:rPr>
                          <w:rFonts w:ascii="宋体" w:hAnsi="宋体"/>
                          <w:sz w:val="18"/>
                          <w:szCs w:val="18"/>
                        </w:rPr>
                        <w:t>发射器；8—</w:t>
                      </w:r>
                      <w:r>
                        <w:rPr>
                          <w:rFonts w:hint="eastAsia" w:ascii="宋体" w:hAnsi="宋体"/>
                          <w:sz w:val="18"/>
                          <w:szCs w:val="18"/>
                        </w:rPr>
                        <w:t>安装底座</w:t>
                      </w:r>
                    </w:p>
                  </w:txbxContent>
                </v:textbox>
                <w10:wrap type="none"/>
                <w10:anchorlock/>
              </v:shape>
            </w:pict>
          </mc:Fallback>
        </mc:AlternateContent>
      </w:r>
    </w:p>
    <w:p w14:paraId="091B6D95">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6" w:name="_Toc488765409"/>
      <w:r>
        <w:rPr>
          <w:rFonts w:hint="eastAsia" w:ascii="黑体" w:hAnsi="黑体" w:eastAsia="黑体"/>
          <w:b w:val="0"/>
          <w:sz w:val="24"/>
          <w:szCs w:val="24"/>
        </w:rPr>
        <w:t>计量特性</w:t>
      </w:r>
      <w:bookmarkEnd w:id="6"/>
    </w:p>
    <w:p w14:paraId="3051B606">
      <w:pPr>
        <w:pStyle w:val="3"/>
        <w:numPr>
          <w:ilvl w:val="0"/>
          <w:numId w:val="3"/>
        </w:numPr>
        <w:spacing w:before="0" w:after="0" w:line="360" w:lineRule="auto"/>
        <w:rPr>
          <w:rFonts w:hint="eastAsia" w:ascii="宋体" w:hAnsi="宋体"/>
          <w:b w:val="0"/>
          <w:sz w:val="24"/>
          <w:szCs w:val="24"/>
        </w:rPr>
      </w:pPr>
      <w:r>
        <w:rPr>
          <w:rFonts w:hint="eastAsia" w:ascii="宋体" w:hAnsi="宋体"/>
          <w:sz w:val="24"/>
          <w:szCs w:val="24"/>
        </w:rPr>
        <w:t xml:space="preserve"> </w:t>
      </w:r>
      <w:bookmarkStart w:id="7" w:name="_Toc488765410"/>
      <w:r>
        <w:rPr>
          <w:rFonts w:hint="eastAsia" w:ascii="宋体" w:hAnsi="宋体"/>
          <w:b w:val="0"/>
          <w:sz w:val="24"/>
          <w:szCs w:val="24"/>
        </w:rPr>
        <w:t>重复性</w:t>
      </w:r>
      <w:bookmarkEnd w:id="7"/>
      <w:bookmarkStart w:id="8" w:name="计量特性重复性确定"/>
      <w:bookmarkEnd w:id="8"/>
    </w:p>
    <w:p w14:paraId="49C0E117">
      <w:pPr>
        <w:spacing w:line="360" w:lineRule="auto"/>
        <w:ind w:firstLine="360" w:firstLineChars="150"/>
        <w:rPr>
          <w:rFonts w:hint="eastAsia" w:ascii="宋体" w:hAnsi="宋体"/>
          <w:sz w:val="24"/>
        </w:rPr>
      </w:pPr>
      <w:r>
        <w:rPr>
          <w:rFonts w:hint="eastAsia" w:ascii="宋体" w:hAnsi="宋体"/>
          <w:sz w:val="24"/>
        </w:rPr>
        <w:t>在一组重复性测量条件下，容积测得值的测量精密度。</w:t>
      </w:r>
    </w:p>
    <w:p w14:paraId="07881231">
      <w:pPr>
        <w:pStyle w:val="3"/>
        <w:numPr>
          <w:ilvl w:val="0"/>
          <w:numId w:val="3"/>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9" w:name="_Toc488765411"/>
      <w:r>
        <w:rPr>
          <w:rFonts w:hint="eastAsia" w:ascii="宋体" w:hAnsi="宋体"/>
          <w:b w:val="0"/>
          <w:sz w:val="24"/>
          <w:szCs w:val="24"/>
        </w:rPr>
        <w:t>示值误差</w:t>
      </w:r>
      <w:bookmarkEnd w:id="9"/>
    </w:p>
    <w:p w14:paraId="680FCFD8">
      <w:pPr>
        <w:spacing w:line="360" w:lineRule="auto"/>
        <w:ind w:firstLine="360" w:firstLineChars="150"/>
        <w:rPr>
          <w:rFonts w:hint="eastAsia" w:ascii="宋体" w:hAnsi="宋体"/>
          <w:sz w:val="24"/>
        </w:rPr>
      </w:pPr>
      <w:r>
        <w:rPr>
          <w:rFonts w:hint="eastAsia" w:ascii="宋体" w:hAnsi="宋体"/>
          <w:sz w:val="24"/>
        </w:rPr>
        <w:t>容积测得值与参考值之差，以相对误差表示。示值误差的校准结果以修正值形式给出。</w:t>
      </w:r>
    </w:p>
    <w:p w14:paraId="35BD5203">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10" w:name="_Toc488765412"/>
      <w:r>
        <w:rPr>
          <w:rFonts w:hint="eastAsia" w:ascii="黑体" w:hAnsi="黑体" w:eastAsia="黑体"/>
          <w:b w:val="0"/>
          <w:sz w:val="24"/>
          <w:szCs w:val="24"/>
        </w:rPr>
        <w:t>校准条件</w:t>
      </w:r>
      <w:bookmarkEnd w:id="10"/>
    </w:p>
    <w:p w14:paraId="3B0011E9">
      <w:pPr>
        <w:pStyle w:val="3"/>
        <w:numPr>
          <w:ilvl w:val="0"/>
          <w:numId w:val="4"/>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11" w:name="_Toc488765413"/>
      <w:r>
        <w:rPr>
          <w:rFonts w:hint="eastAsia" w:ascii="宋体" w:hAnsi="宋体"/>
          <w:b w:val="0"/>
          <w:sz w:val="24"/>
          <w:szCs w:val="24"/>
        </w:rPr>
        <w:t>环境条件</w:t>
      </w:r>
      <w:bookmarkEnd w:id="11"/>
    </w:p>
    <w:p w14:paraId="0CBBE2CD">
      <w:pPr>
        <w:spacing w:line="360" w:lineRule="auto"/>
        <w:ind w:firstLine="480" w:firstLineChars="200"/>
        <w:rPr>
          <w:rFonts w:ascii="Times New Roman" w:hAnsi="Times New Roman"/>
          <w:strike/>
          <w:sz w:val="24"/>
        </w:rPr>
      </w:pPr>
      <w:r>
        <w:rPr>
          <w:rFonts w:ascii="Times New Roman" w:hAnsi="Times New Roman"/>
          <w:sz w:val="24"/>
        </w:rPr>
        <w:t>校准应在无冷凝、无明显震动和晃动、罐内无阳光直射的环境中进行，环境温度为（20±20）℃，温度变化率不超过±2 ℃/h。</w:t>
      </w:r>
    </w:p>
    <w:p w14:paraId="1EF88D12">
      <w:pPr>
        <w:pStyle w:val="3"/>
        <w:numPr>
          <w:ilvl w:val="0"/>
          <w:numId w:val="4"/>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12" w:name="_Toc488765414"/>
      <w:r>
        <w:rPr>
          <w:rFonts w:hint="eastAsia" w:ascii="宋体" w:hAnsi="宋体"/>
          <w:b w:val="0"/>
          <w:sz w:val="24"/>
          <w:szCs w:val="24"/>
        </w:rPr>
        <w:t>校准用</w:t>
      </w:r>
      <w:r>
        <w:rPr>
          <w:rFonts w:ascii="宋体" w:hAnsi="宋体"/>
          <w:b w:val="0"/>
          <w:sz w:val="24"/>
          <w:szCs w:val="24"/>
        </w:rPr>
        <w:t>标准器</w:t>
      </w:r>
      <w:r>
        <w:rPr>
          <w:rFonts w:hint="eastAsia" w:ascii="宋体" w:hAnsi="宋体"/>
          <w:b w:val="0"/>
          <w:sz w:val="24"/>
          <w:szCs w:val="24"/>
        </w:rPr>
        <w:t>及</w:t>
      </w:r>
      <w:r>
        <w:rPr>
          <w:rFonts w:ascii="宋体" w:hAnsi="宋体"/>
          <w:b w:val="0"/>
          <w:sz w:val="24"/>
          <w:szCs w:val="24"/>
        </w:rPr>
        <w:t>配套设备</w:t>
      </w:r>
      <w:bookmarkEnd w:id="12"/>
    </w:p>
    <w:p w14:paraId="4048A0AA">
      <w:pPr>
        <w:spacing w:line="360" w:lineRule="auto"/>
        <w:ind w:firstLine="480" w:firstLineChars="200"/>
        <w:rPr>
          <w:rFonts w:hint="eastAsia" w:ascii="宋体" w:hAnsi="宋体"/>
          <w:sz w:val="24"/>
        </w:rPr>
      </w:pPr>
      <w:r>
        <w:rPr>
          <w:rFonts w:ascii="宋体" w:hAnsi="宋体"/>
          <w:sz w:val="24"/>
        </w:rPr>
        <w:t>使用</w:t>
      </w:r>
      <w:r>
        <w:rPr>
          <w:rFonts w:hint="eastAsia" w:ascii="宋体" w:hAnsi="宋体"/>
          <w:sz w:val="24"/>
        </w:rPr>
        <w:t>表1所列校准设备</w:t>
      </w:r>
      <w:r>
        <w:rPr>
          <w:rFonts w:ascii="宋体" w:hAnsi="宋体"/>
          <w:sz w:val="24"/>
        </w:rPr>
        <w:t>进行校准</w:t>
      </w:r>
      <w:r>
        <w:rPr>
          <w:rFonts w:hint="eastAsia" w:ascii="宋体" w:hAnsi="宋体"/>
          <w:sz w:val="24"/>
        </w:rPr>
        <w:t>。</w:t>
      </w:r>
    </w:p>
    <w:p w14:paraId="3D486B48">
      <w:pPr>
        <w:snapToGrid w:val="0"/>
        <w:jc w:val="center"/>
        <w:rPr>
          <w:rFonts w:hint="eastAsia" w:ascii="黑体" w:hAnsi="黑体" w:eastAsia="黑体"/>
          <w:szCs w:val="21"/>
        </w:rPr>
      </w:pPr>
      <w:r>
        <w:rPr>
          <w:rFonts w:hint="eastAsia" w:ascii="黑体" w:hAnsi="黑体" w:eastAsia="黑体"/>
          <w:szCs w:val="21"/>
        </w:rPr>
        <w:t>表</w:t>
      </w:r>
      <w:r>
        <w:rPr>
          <w:rFonts w:ascii="黑体" w:hAnsi="黑体" w:eastAsia="黑体"/>
          <w:szCs w:val="21"/>
        </w:rPr>
        <w:t xml:space="preserve">1  </w:t>
      </w:r>
      <w:r>
        <w:rPr>
          <w:rFonts w:hint="eastAsia" w:ascii="黑体" w:hAnsi="黑体" w:eastAsia="黑体"/>
          <w:szCs w:val="21"/>
        </w:rPr>
        <w:t>校准</w:t>
      </w:r>
      <w:r>
        <w:rPr>
          <w:rFonts w:ascii="黑体" w:hAnsi="黑体" w:eastAsia="黑体"/>
          <w:szCs w:val="21"/>
        </w:rPr>
        <w:t>设备一览表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268"/>
        <w:gridCol w:w="3765"/>
      </w:tblGrid>
      <w:tr w14:paraId="06DF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1E48749D">
            <w:pPr>
              <w:snapToGrid w:val="0"/>
              <w:jc w:val="center"/>
              <w:rPr>
                <w:rFonts w:hint="eastAsia" w:ascii="宋体" w:hAnsi="宋体"/>
                <w:szCs w:val="21"/>
              </w:rPr>
            </w:pPr>
            <w:r>
              <w:rPr>
                <w:rFonts w:hint="eastAsia" w:ascii="宋体" w:hAnsi="宋体"/>
                <w:szCs w:val="21"/>
              </w:rPr>
              <w:t>名称</w:t>
            </w:r>
          </w:p>
        </w:tc>
        <w:tc>
          <w:tcPr>
            <w:tcW w:w="2268" w:type="dxa"/>
            <w:vAlign w:val="center"/>
          </w:tcPr>
          <w:p w14:paraId="5CAE5B23">
            <w:pPr>
              <w:snapToGrid w:val="0"/>
              <w:jc w:val="center"/>
              <w:rPr>
                <w:rFonts w:hint="eastAsia" w:ascii="宋体" w:hAnsi="宋体"/>
                <w:szCs w:val="21"/>
              </w:rPr>
            </w:pPr>
            <w:r>
              <w:rPr>
                <w:rFonts w:hint="eastAsia" w:ascii="宋体" w:hAnsi="宋体"/>
                <w:szCs w:val="21"/>
              </w:rPr>
              <w:t>测量</w:t>
            </w:r>
            <w:r>
              <w:rPr>
                <w:rFonts w:ascii="宋体" w:hAnsi="宋体"/>
                <w:szCs w:val="21"/>
              </w:rPr>
              <w:t>范围</w:t>
            </w:r>
            <w:r>
              <w:rPr>
                <w:rFonts w:hint="eastAsia" w:ascii="宋体" w:hAnsi="宋体"/>
                <w:szCs w:val="21"/>
              </w:rPr>
              <w:t>/型号规格</w:t>
            </w:r>
          </w:p>
        </w:tc>
        <w:tc>
          <w:tcPr>
            <w:tcW w:w="3765" w:type="dxa"/>
            <w:vAlign w:val="center"/>
          </w:tcPr>
          <w:p w14:paraId="27EB3F15">
            <w:pPr>
              <w:snapToGrid w:val="0"/>
              <w:jc w:val="center"/>
              <w:rPr>
                <w:rFonts w:hint="eastAsia" w:ascii="宋体" w:hAnsi="宋体"/>
                <w:szCs w:val="21"/>
              </w:rPr>
            </w:pPr>
            <w:r>
              <w:rPr>
                <w:rFonts w:hint="eastAsia" w:ascii="宋体" w:hAnsi="宋体"/>
                <w:szCs w:val="21"/>
              </w:rPr>
              <w:t>技术要求</w:t>
            </w:r>
          </w:p>
        </w:tc>
      </w:tr>
      <w:tr w14:paraId="410D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trPr>
        <w:tc>
          <w:tcPr>
            <w:tcW w:w="2263" w:type="dxa"/>
            <w:vMerge w:val="restart"/>
            <w:vAlign w:val="center"/>
          </w:tcPr>
          <w:p w14:paraId="54FA5309">
            <w:pPr>
              <w:snapToGrid w:val="0"/>
              <w:jc w:val="center"/>
              <w:rPr>
                <w:rFonts w:hint="eastAsia" w:ascii="宋体" w:hAnsi="宋体"/>
                <w:szCs w:val="21"/>
              </w:rPr>
            </w:pPr>
            <w:r>
              <w:rPr>
                <w:rFonts w:hint="eastAsia" w:ascii="宋体" w:hAnsi="宋体"/>
                <w:szCs w:val="21"/>
              </w:rPr>
              <w:t>标准</w:t>
            </w:r>
            <w:r>
              <w:rPr>
                <w:rFonts w:ascii="宋体" w:hAnsi="宋体"/>
                <w:szCs w:val="21"/>
              </w:rPr>
              <w:t>金属</w:t>
            </w:r>
            <w:r>
              <w:rPr>
                <w:rFonts w:hint="eastAsia" w:ascii="宋体" w:hAnsi="宋体"/>
                <w:szCs w:val="21"/>
              </w:rPr>
              <w:t>量</w:t>
            </w:r>
            <w:r>
              <w:rPr>
                <w:rFonts w:ascii="宋体" w:hAnsi="宋体"/>
                <w:szCs w:val="21"/>
              </w:rPr>
              <w:t>器</w:t>
            </w:r>
          </w:p>
        </w:tc>
        <w:tc>
          <w:tcPr>
            <w:tcW w:w="2268" w:type="dxa"/>
            <w:vAlign w:val="center"/>
          </w:tcPr>
          <w:p w14:paraId="2250510B">
            <w:pPr>
              <w:snapToGrid w:val="0"/>
              <w:jc w:val="center"/>
              <w:rPr>
                <w:rFonts w:hint="eastAsia" w:ascii="宋体" w:hAnsi="宋体"/>
                <w:szCs w:val="21"/>
              </w:rPr>
            </w:pPr>
            <w:r>
              <w:rPr>
                <w:rFonts w:hint="eastAsia" w:ascii="宋体" w:hAnsi="宋体"/>
                <w:szCs w:val="21"/>
              </w:rPr>
              <w:t xml:space="preserve">5 </w:t>
            </w:r>
            <w:r>
              <w:rPr>
                <w:rFonts w:ascii="宋体" w:hAnsi="宋体"/>
                <w:szCs w:val="21"/>
              </w:rPr>
              <w:t>L</w:t>
            </w:r>
          </w:p>
        </w:tc>
        <w:tc>
          <w:tcPr>
            <w:tcW w:w="3765" w:type="dxa"/>
            <w:vMerge w:val="restart"/>
            <w:vAlign w:val="center"/>
          </w:tcPr>
          <w:p w14:paraId="7E41E57D">
            <w:pPr>
              <w:snapToGrid w:val="0"/>
              <w:jc w:val="center"/>
              <w:rPr>
                <w:rFonts w:hint="eastAsia" w:ascii="宋体" w:hAnsi="宋体"/>
                <w:szCs w:val="21"/>
              </w:rPr>
            </w:pPr>
            <w:r>
              <w:rPr>
                <w:rFonts w:hint="eastAsia"/>
                <w:szCs w:val="21"/>
              </w:rPr>
              <w:t>二等</w:t>
            </w:r>
          </w:p>
        </w:tc>
      </w:tr>
      <w:tr w14:paraId="429F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63" w:type="dxa"/>
            <w:vMerge w:val="continue"/>
            <w:vAlign w:val="center"/>
          </w:tcPr>
          <w:p w14:paraId="4E26F59D">
            <w:pPr>
              <w:snapToGrid w:val="0"/>
              <w:jc w:val="center"/>
              <w:rPr>
                <w:rFonts w:hint="eastAsia" w:ascii="宋体" w:hAnsi="宋体"/>
                <w:szCs w:val="21"/>
              </w:rPr>
            </w:pPr>
          </w:p>
        </w:tc>
        <w:tc>
          <w:tcPr>
            <w:tcW w:w="2268" w:type="dxa"/>
            <w:vAlign w:val="center"/>
          </w:tcPr>
          <w:p w14:paraId="47A957E9">
            <w:pPr>
              <w:snapToGrid w:val="0"/>
              <w:jc w:val="center"/>
              <w:rPr>
                <w:rFonts w:hint="eastAsia" w:ascii="黑体" w:hAnsi="黑体" w:eastAsia="黑体"/>
                <w:szCs w:val="21"/>
              </w:rPr>
            </w:pPr>
            <w:r>
              <w:rPr>
                <w:rFonts w:hint="eastAsia" w:ascii="宋体" w:hAnsi="宋体"/>
                <w:szCs w:val="21"/>
              </w:rPr>
              <w:t xml:space="preserve">10 </w:t>
            </w:r>
            <w:r>
              <w:rPr>
                <w:rFonts w:ascii="宋体" w:hAnsi="宋体"/>
                <w:szCs w:val="21"/>
              </w:rPr>
              <w:t>L</w:t>
            </w:r>
          </w:p>
        </w:tc>
        <w:tc>
          <w:tcPr>
            <w:tcW w:w="3765" w:type="dxa"/>
            <w:vMerge w:val="continue"/>
            <w:vAlign w:val="center"/>
          </w:tcPr>
          <w:p w14:paraId="469E513F">
            <w:pPr>
              <w:snapToGrid w:val="0"/>
              <w:jc w:val="center"/>
              <w:rPr>
                <w:rFonts w:hint="eastAsia" w:ascii="黑体" w:hAnsi="黑体" w:eastAsia="黑体"/>
                <w:szCs w:val="21"/>
              </w:rPr>
            </w:pPr>
          </w:p>
        </w:tc>
      </w:tr>
      <w:tr w14:paraId="327B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63" w:type="dxa"/>
            <w:vMerge w:val="continue"/>
            <w:vAlign w:val="center"/>
          </w:tcPr>
          <w:p w14:paraId="05ED7A03">
            <w:pPr>
              <w:snapToGrid w:val="0"/>
              <w:jc w:val="center"/>
              <w:rPr>
                <w:rFonts w:hint="eastAsia" w:ascii="宋体" w:hAnsi="宋体"/>
                <w:szCs w:val="21"/>
              </w:rPr>
            </w:pPr>
          </w:p>
        </w:tc>
        <w:tc>
          <w:tcPr>
            <w:tcW w:w="2268" w:type="dxa"/>
            <w:vAlign w:val="center"/>
          </w:tcPr>
          <w:p w14:paraId="026E7280">
            <w:pPr>
              <w:snapToGrid w:val="0"/>
              <w:jc w:val="center"/>
              <w:rPr>
                <w:rFonts w:hint="eastAsia" w:ascii="黑体" w:hAnsi="黑体" w:eastAsia="黑体"/>
                <w:szCs w:val="21"/>
              </w:rPr>
            </w:pPr>
            <w:r>
              <w:rPr>
                <w:rFonts w:hint="eastAsia" w:ascii="宋体" w:hAnsi="宋体"/>
                <w:szCs w:val="21"/>
              </w:rPr>
              <w:t xml:space="preserve">20 </w:t>
            </w:r>
            <w:r>
              <w:rPr>
                <w:rFonts w:ascii="宋体" w:hAnsi="宋体"/>
                <w:szCs w:val="21"/>
              </w:rPr>
              <w:t>L</w:t>
            </w:r>
          </w:p>
        </w:tc>
        <w:tc>
          <w:tcPr>
            <w:tcW w:w="3765" w:type="dxa"/>
            <w:vMerge w:val="continue"/>
            <w:vAlign w:val="center"/>
          </w:tcPr>
          <w:p w14:paraId="622B4ED2">
            <w:pPr>
              <w:snapToGrid w:val="0"/>
              <w:jc w:val="center"/>
              <w:rPr>
                <w:rFonts w:hint="eastAsia" w:ascii="黑体" w:hAnsi="黑体" w:eastAsia="黑体"/>
                <w:szCs w:val="21"/>
              </w:rPr>
            </w:pPr>
          </w:p>
        </w:tc>
      </w:tr>
      <w:tr w14:paraId="5CDB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63" w:type="dxa"/>
            <w:vMerge w:val="continue"/>
            <w:vAlign w:val="center"/>
          </w:tcPr>
          <w:p w14:paraId="50E49503">
            <w:pPr>
              <w:snapToGrid w:val="0"/>
              <w:jc w:val="center"/>
              <w:rPr>
                <w:rFonts w:hint="eastAsia" w:ascii="宋体" w:hAnsi="宋体"/>
                <w:szCs w:val="21"/>
              </w:rPr>
            </w:pPr>
          </w:p>
        </w:tc>
        <w:tc>
          <w:tcPr>
            <w:tcW w:w="2268" w:type="dxa"/>
            <w:vAlign w:val="center"/>
          </w:tcPr>
          <w:p w14:paraId="6C35677C">
            <w:pPr>
              <w:snapToGrid w:val="0"/>
              <w:jc w:val="center"/>
              <w:rPr>
                <w:rFonts w:hint="eastAsia" w:ascii="黑体" w:hAnsi="黑体" w:eastAsia="黑体"/>
                <w:szCs w:val="21"/>
              </w:rPr>
            </w:pPr>
            <w:r>
              <w:rPr>
                <w:rFonts w:hint="eastAsia" w:ascii="宋体" w:hAnsi="宋体"/>
                <w:szCs w:val="21"/>
              </w:rPr>
              <w:t xml:space="preserve">50 </w:t>
            </w:r>
            <w:r>
              <w:rPr>
                <w:rFonts w:ascii="宋体" w:hAnsi="宋体"/>
                <w:szCs w:val="21"/>
              </w:rPr>
              <w:t>L</w:t>
            </w:r>
          </w:p>
        </w:tc>
        <w:tc>
          <w:tcPr>
            <w:tcW w:w="3765" w:type="dxa"/>
            <w:vMerge w:val="continue"/>
            <w:vAlign w:val="center"/>
          </w:tcPr>
          <w:p w14:paraId="57CFE041">
            <w:pPr>
              <w:snapToGrid w:val="0"/>
              <w:jc w:val="center"/>
              <w:rPr>
                <w:rFonts w:hint="eastAsia" w:ascii="黑体" w:hAnsi="黑体" w:eastAsia="黑体"/>
                <w:szCs w:val="21"/>
              </w:rPr>
            </w:pPr>
          </w:p>
        </w:tc>
      </w:tr>
      <w:tr w14:paraId="120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63" w:type="dxa"/>
            <w:vMerge w:val="continue"/>
            <w:vAlign w:val="center"/>
          </w:tcPr>
          <w:p w14:paraId="58A15FCF">
            <w:pPr>
              <w:snapToGrid w:val="0"/>
              <w:jc w:val="center"/>
              <w:rPr>
                <w:rFonts w:hint="eastAsia" w:ascii="宋体" w:hAnsi="宋体"/>
                <w:szCs w:val="21"/>
              </w:rPr>
            </w:pPr>
          </w:p>
        </w:tc>
        <w:tc>
          <w:tcPr>
            <w:tcW w:w="2268" w:type="dxa"/>
            <w:vAlign w:val="center"/>
          </w:tcPr>
          <w:p w14:paraId="41E57645">
            <w:pPr>
              <w:snapToGrid w:val="0"/>
              <w:jc w:val="center"/>
              <w:rPr>
                <w:rFonts w:hint="eastAsia" w:ascii="黑体" w:hAnsi="黑体" w:eastAsia="黑体"/>
                <w:szCs w:val="21"/>
              </w:rPr>
            </w:pPr>
            <w:r>
              <w:rPr>
                <w:rFonts w:hint="eastAsia" w:ascii="宋体" w:hAnsi="宋体"/>
                <w:szCs w:val="21"/>
              </w:rPr>
              <w:t xml:space="preserve">100 </w:t>
            </w:r>
            <w:r>
              <w:rPr>
                <w:rFonts w:ascii="宋体" w:hAnsi="宋体"/>
                <w:szCs w:val="21"/>
              </w:rPr>
              <w:t>L</w:t>
            </w:r>
          </w:p>
        </w:tc>
        <w:tc>
          <w:tcPr>
            <w:tcW w:w="3765" w:type="dxa"/>
            <w:vMerge w:val="continue"/>
            <w:vAlign w:val="center"/>
          </w:tcPr>
          <w:p w14:paraId="1AF70864">
            <w:pPr>
              <w:snapToGrid w:val="0"/>
              <w:jc w:val="center"/>
              <w:rPr>
                <w:rFonts w:hint="eastAsia" w:ascii="黑体" w:hAnsi="黑体" w:eastAsia="黑体"/>
                <w:szCs w:val="21"/>
              </w:rPr>
            </w:pPr>
          </w:p>
        </w:tc>
      </w:tr>
      <w:tr w14:paraId="31F6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63" w:type="dxa"/>
            <w:vMerge w:val="continue"/>
            <w:vAlign w:val="center"/>
          </w:tcPr>
          <w:p w14:paraId="14FA8C8C">
            <w:pPr>
              <w:snapToGrid w:val="0"/>
              <w:jc w:val="center"/>
              <w:rPr>
                <w:rFonts w:hint="eastAsia" w:ascii="宋体" w:hAnsi="宋体"/>
                <w:szCs w:val="21"/>
              </w:rPr>
            </w:pPr>
          </w:p>
        </w:tc>
        <w:tc>
          <w:tcPr>
            <w:tcW w:w="2268" w:type="dxa"/>
            <w:vAlign w:val="center"/>
          </w:tcPr>
          <w:p w14:paraId="6AEE847D">
            <w:pPr>
              <w:snapToGrid w:val="0"/>
              <w:jc w:val="center"/>
              <w:rPr>
                <w:rFonts w:hint="eastAsia" w:ascii="黑体" w:hAnsi="黑体" w:eastAsia="黑体"/>
                <w:szCs w:val="21"/>
              </w:rPr>
            </w:pPr>
            <w:r>
              <w:rPr>
                <w:rFonts w:hint="eastAsia" w:ascii="宋体" w:hAnsi="宋体"/>
                <w:szCs w:val="21"/>
              </w:rPr>
              <w:t xml:space="preserve">200 </w:t>
            </w:r>
            <w:r>
              <w:rPr>
                <w:rFonts w:ascii="宋体" w:hAnsi="宋体"/>
                <w:szCs w:val="21"/>
              </w:rPr>
              <w:t>L</w:t>
            </w:r>
          </w:p>
        </w:tc>
        <w:tc>
          <w:tcPr>
            <w:tcW w:w="3765" w:type="dxa"/>
            <w:vMerge w:val="continue"/>
            <w:vAlign w:val="center"/>
          </w:tcPr>
          <w:p w14:paraId="5B5DA100">
            <w:pPr>
              <w:snapToGrid w:val="0"/>
              <w:jc w:val="center"/>
              <w:rPr>
                <w:rFonts w:hint="eastAsia" w:ascii="黑体" w:hAnsi="黑体" w:eastAsia="黑体"/>
                <w:szCs w:val="21"/>
              </w:rPr>
            </w:pPr>
          </w:p>
        </w:tc>
      </w:tr>
      <w:tr w14:paraId="53DF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Merge w:val="continue"/>
            <w:vAlign w:val="center"/>
          </w:tcPr>
          <w:p w14:paraId="548AAF77">
            <w:pPr>
              <w:snapToGrid w:val="0"/>
              <w:jc w:val="center"/>
              <w:rPr>
                <w:rFonts w:hint="eastAsia" w:ascii="宋体" w:hAnsi="宋体"/>
                <w:szCs w:val="21"/>
              </w:rPr>
            </w:pPr>
          </w:p>
        </w:tc>
        <w:tc>
          <w:tcPr>
            <w:tcW w:w="2268" w:type="dxa"/>
            <w:vAlign w:val="center"/>
          </w:tcPr>
          <w:p w14:paraId="677A3A20">
            <w:pPr>
              <w:snapToGrid w:val="0"/>
              <w:jc w:val="center"/>
              <w:rPr>
                <w:rFonts w:hint="eastAsia" w:ascii="黑体" w:hAnsi="黑体" w:eastAsia="黑体"/>
                <w:szCs w:val="21"/>
              </w:rPr>
            </w:pPr>
            <w:r>
              <w:rPr>
                <w:rFonts w:hint="eastAsia" w:ascii="宋体" w:hAnsi="宋体"/>
                <w:szCs w:val="21"/>
              </w:rPr>
              <w:t xml:space="preserve">500 </w:t>
            </w:r>
            <w:r>
              <w:rPr>
                <w:rFonts w:ascii="宋体" w:hAnsi="宋体"/>
                <w:szCs w:val="21"/>
              </w:rPr>
              <w:t>L</w:t>
            </w:r>
          </w:p>
        </w:tc>
        <w:tc>
          <w:tcPr>
            <w:tcW w:w="3765" w:type="dxa"/>
            <w:vMerge w:val="continue"/>
            <w:vAlign w:val="center"/>
          </w:tcPr>
          <w:p w14:paraId="5714CBEB">
            <w:pPr>
              <w:snapToGrid w:val="0"/>
              <w:jc w:val="center"/>
              <w:rPr>
                <w:rFonts w:hint="eastAsia" w:ascii="黑体" w:hAnsi="黑体" w:eastAsia="黑体"/>
                <w:szCs w:val="21"/>
              </w:rPr>
            </w:pPr>
          </w:p>
        </w:tc>
      </w:tr>
      <w:tr w14:paraId="5134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Merge w:val="continue"/>
            <w:vAlign w:val="center"/>
          </w:tcPr>
          <w:p w14:paraId="4E6B6075">
            <w:pPr>
              <w:snapToGrid w:val="0"/>
              <w:jc w:val="center"/>
              <w:rPr>
                <w:rFonts w:hint="eastAsia" w:ascii="宋体" w:hAnsi="宋体"/>
                <w:szCs w:val="21"/>
              </w:rPr>
            </w:pPr>
          </w:p>
        </w:tc>
        <w:tc>
          <w:tcPr>
            <w:tcW w:w="2268" w:type="dxa"/>
            <w:vAlign w:val="center"/>
          </w:tcPr>
          <w:p w14:paraId="08605049">
            <w:pPr>
              <w:snapToGrid w:val="0"/>
              <w:jc w:val="center"/>
              <w:rPr>
                <w:rFonts w:hint="eastAsia" w:ascii="黑体" w:hAnsi="黑体" w:eastAsia="黑体"/>
                <w:szCs w:val="21"/>
              </w:rPr>
            </w:pPr>
            <w:r>
              <w:rPr>
                <w:rFonts w:hint="eastAsia" w:ascii="宋体" w:hAnsi="宋体"/>
                <w:szCs w:val="21"/>
              </w:rPr>
              <w:t xml:space="preserve">1000 </w:t>
            </w:r>
            <w:r>
              <w:rPr>
                <w:rFonts w:ascii="宋体" w:hAnsi="宋体"/>
                <w:szCs w:val="21"/>
              </w:rPr>
              <w:t>L</w:t>
            </w:r>
          </w:p>
        </w:tc>
        <w:tc>
          <w:tcPr>
            <w:tcW w:w="3765" w:type="dxa"/>
            <w:vMerge w:val="continue"/>
            <w:vAlign w:val="center"/>
          </w:tcPr>
          <w:p w14:paraId="71F4A395">
            <w:pPr>
              <w:snapToGrid w:val="0"/>
              <w:jc w:val="center"/>
              <w:rPr>
                <w:rFonts w:hint="eastAsia" w:ascii="黑体" w:hAnsi="黑体" w:eastAsia="黑体"/>
                <w:szCs w:val="21"/>
              </w:rPr>
            </w:pPr>
          </w:p>
        </w:tc>
      </w:tr>
      <w:tr w14:paraId="3B38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Merge w:val="continue"/>
            <w:vAlign w:val="center"/>
          </w:tcPr>
          <w:p w14:paraId="67DD8D1B">
            <w:pPr>
              <w:snapToGrid w:val="0"/>
              <w:jc w:val="center"/>
              <w:rPr>
                <w:rFonts w:hint="eastAsia" w:ascii="宋体" w:hAnsi="宋体"/>
                <w:szCs w:val="21"/>
              </w:rPr>
            </w:pPr>
          </w:p>
        </w:tc>
        <w:tc>
          <w:tcPr>
            <w:tcW w:w="2268" w:type="dxa"/>
            <w:vAlign w:val="center"/>
          </w:tcPr>
          <w:p w14:paraId="397B3B0C">
            <w:pPr>
              <w:snapToGrid w:val="0"/>
              <w:jc w:val="center"/>
              <w:rPr>
                <w:rFonts w:hint="eastAsia" w:ascii="黑体" w:hAnsi="黑体" w:eastAsia="黑体"/>
                <w:szCs w:val="21"/>
              </w:rPr>
            </w:pPr>
            <w:r>
              <w:rPr>
                <w:rFonts w:hint="eastAsia" w:ascii="宋体" w:hAnsi="宋体"/>
                <w:szCs w:val="21"/>
              </w:rPr>
              <w:t xml:space="preserve">2000 </w:t>
            </w:r>
            <w:r>
              <w:rPr>
                <w:rFonts w:ascii="宋体" w:hAnsi="宋体"/>
                <w:szCs w:val="21"/>
              </w:rPr>
              <w:t>L</w:t>
            </w:r>
          </w:p>
        </w:tc>
        <w:tc>
          <w:tcPr>
            <w:tcW w:w="3765" w:type="dxa"/>
            <w:vMerge w:val="continue"/>
            <w:vAlign w:val="center"/>
          </w:tcPr>
          <w:p w14:paraId="479506F6">
            <w:pPr>
              <w:snapToGrid w:val="0"/>
              <w:jc w:val="center"/>
              <w:rPr>
                <w:rFonts w:hint="eastAsia" w:ascii="黑体" w:hAnsi="黑体" w:eastAsia="黑体"/>
                <w:szCs w:val="21"/>
              </w:rPr>
            </w:pPr>
          </w:p>
        </w:tc>
      </w:tr>
      <w:tr w14:paraId="3DB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125341B2">
            <w:pPr>
              <w:tabs>
                <w:tab w:val="left" w:pos="817"/>
              </w:tabs>
              <w:snapToGrid w:val="0"/>
              <w:jc w:val="center"/>
              <w:rPr>
                <w:rFonts w:hint="eastAsia" w:ascii="宋体" w:hAnsi="宋体"/>
                <w:szCs w:val="21"/>
              </w:rPr>
            </w:pPr>
            <w:r>
              <w:rPr>
                <w:rFonts w:hint="eastAsia" w:ascii="宋体" w:hAnsi="宋体"/>
                <w:szCs w:val="21"/>
              </w:rPr>
              <w:t>液位计</w:t>
            </w:r>
          </w:p>
        </w:tc>
        <w:tc>
          <w:tcPr>
            <w:tcW w:w="2268" w:type="dxa"/>
            <w:vAlign w:val="center"/>
          </w:tcPr>
          <w:p w14:paraId="1F0BF713">
            <w:pPr>
              <w:snapToGrid w:val="0"/>
              <w:jc w:val="center"/>
              <w:rPr>
                <w:rFonts w:hint="eastAsia" w:ascii="宋体" w:hAnsi="宋体"/>
                <w:szCs w:val="21"/>
              </w:rPr>
            </w:pPr>
            <w:r>
              <w:rPr>
                <w:rFonts w:hint="eastAsia" w:ascii="宋体" w:hAnsi="宋体"/>
                <w:szCs w:val="21"/>
              </w:rPr>
              <w:t>（0～</w:t>
            </w:r>
            <w:r>
              <w:rPr>
                <w:rFonts w:ascii="宋体" w:hAnsi="宋体"/>
                <w:szCs w:val="21"/>
              </w:rPr>
              <w:t>3800</w:t>
            </w:r>
            <w:r>
              <w:rPr>
                <w:rFonts w:hint="eastAsia" w:ascii="宋体" w:hAnsi="宋体"/>
                <w:szCs w:val="21"/>
              </w:rPr>
              <w:t>）mm</w:t>
            </w:r>
          </w:p>
        </w:tc>
        <w:tc>
          <w:tcPr>
            <w:tcW w:w="3765" w:type="dxa"/>
            <w:vAlign w:val="center"/>
          </w:tcPr>
          <w:p w14:paraId="29124A3A">
            <w:pPr>
              <w:snapToGrid w:val="0"/>
              <w:rPr>
                <w:rFonts w:hint="eastAsia" w:ascii="宋体" w:hAnsi="宋体"/>
                <w:szCs w:val="21"/>
              </w:rPr>
            </w:pPr>
            <w:r>
              <w:rPr>
                <w:rFonts w:hint="eastAsia" w:ascii="宋体" w:hAnsi="宋体"/>
                <w:szCs w:val="21"/>
              </w:rPr>
              <w:t xml:space="preserve">MPE：±1.0 </w:t>
            </w:r>
            <w:r>
              <w:rPr>
                <w:rFonts w:ascii="宋体" w:hAnsi="宋体"/>
                <w:szCs w:val="21"/>
              </w:rPr>
              <w:t>mm</w:t>
            </w:r>
            <w:r>
              <w:rPr>
                <w:rFonts w:hint="eastAsia" w:ascii="宋体" w:hAnsi="宋体"/>
                <w:szCs w:val="21"/>
              </w:rPr>
              <w:t xml:space="preserve"> </w:t>
            </w:r>
          </w:p>
        </w:tc>
      </w:tr>
      <w:tr w14:paraId="33CF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18B3ECE2">
            <w:pPr>
              <w:spacing w:line="360" w:lineRule="auto"/>
              <w:jc w:val="center"/>
              <w:rPr>
                <w:rFonts w:hint="eastAsia" w:hAnsi="宋体"/>
                <w:szCs w:val="21"/>
              </w:rPr>
            </w:pPr>
            <w:r>
              <w:rPr>
                <w:rFonts w:hint="eastAsia" w:hAnsi="宋体"/>
                <w:szCs w:val="21"/>
              </w:rPr>
              <w:t>检测罐</w:t>
            </w:r>
          </w:p>
        </w:tc>
        <w:tc>
          <w:tcPr>
            <w:tcW w:w="2268" w:type="dxa"/>
            <w:vAlign w:val="center"/>
          </w:tcPr>
          <w:p w14:paraId="49935033">
            <w:pPr>
              <w:rPr>
                <w:rFonts w:hint="eastAsia" w:ascii="宋体" w:hAnsi="宋体"/>
                <w:szCs w:val="21"/>
              </w:rPr>
            </w:pPr>
            <w:r>
              <w:rPr>
                <w:rFonts w:hint="eastAsia" w:ascii="宋体" w:hAnsi="宋体"/>
                <w:szCs w:val="21"/>
              </w:rPr>
              <w:t>定型的铁路罐车罐体或罐式集装箱</w:t>
            </w:r>
          </w:p>
        </w:tc>
        <w:tc>
          <w:tcPr>
            <w:tcW w:w="3765" w:type="dxa"/>
            <w:vAlign w:val="center"/>
          </w:tcPr>
          <w:p w14:paraId="337893EA">
            <w:pPr>
              <w:rPr>
                <w:rFonts w:hint="eastAsia" w:ascii="宋体" w:hAnsi="宋体"/>
                <w:szCs w:val="21"/>
              </w:rPr>
            </w:pPr>
            <w:r>
              <w:rPr>
                <w:rFonts w:hint="eastAsia" w:ascii="宋体" w:hAnsi="宋体"/>
                <w:szCs w:val="21"/>
              </w:rPr>
              <w:t>材质为低合金</w:t>
            </w:r>
            <w:r>
              <w:rPr>
                <w:rFonts w:ascii="宋体" w:hAnsi="宋体"/>
                <w:szCs w:val="21"/>
              </w:rPr>
              <w:t>高强度结构钢</w:t>
            </w:r>
            <w:r>
              <w:rPr>
                <w:rFonts w:hint="eastAsia" w:ascii="宋体" w:hAnsi="宋体"/>
                <w:szCs w:val="21"/>
              </w:rPr>
              <w:t>或</w:t>
            </w:r>
            <w:r>
              <w:rPr>
                <w:rFonts w:ascii="宋体" w:hAnsi="宋体"/>
                <w:szCs w:val="21"/>
              </w:rPr>
              <w:t>不锈钢</w:t>
            </w:r>
            <w:r>
              <w:rPr>
                <w:rFonts w:hint="eastAsia" w:ascii="宋体" w:hAnsi="宋体"/>
                <w:szCs w:val="21"/>
              </w:rPr>
              <w:t>，罐壁内表面为漫反射、无锈，至少2个，相互间容积差≥20 m</w:t>
            </w:r>
            <w:r>
              <w:rPr>
                <w:rFonts w:ascii="宋体" w:hAnsi="宋体"/>
                <w:szCs w:val="21"/>
                <w:vertAlign w:val="superscript"/>
              </w:rPr>
              <w:t>3</w:t>
            </w:r>
            <w:r>
              <w:rPr>
                <w:rFonts w:hint="eastAsia" w:ascii="宋体" w:hAnsi="宋体"/>
                <w:szCs w:val="20"/>
              </w:rPr>
              <w:t>；其标记容积应在常用铁路罐车、罐式集装箱标记容积范围内</w:t>
            </w:r>
          </w:p>
        </w:tc>
      </w:tr>
      <w:tr w14:paraId="1BF8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2F145697">
            <w:pPr>
              <w:spacing w:line="360" w:lineRule="auto"/>
              <w:jc w:val="center"/>
              <w:rPr>
                <w:szCs w:val="21"/>
              </w:rPr>
            </w:pPr>
            <w:r>
              <w:rPr>
                <w:rFonts w:hint="eastAsia" w:hAnsi="宋体"/>
                <w:szCs w:val="21"/>
              </w:rPr>
              <w:t>一体化温度传感器</w:t>
            </w:r>
          </w:p>
        </w:tc>
        <w:tc>
          <w:tcPr>
            <w:tcW w:w="2268" w:type="dxa"/>
            <w:vAlign w:val="center"/>
          </w:tcPr>
          <w:p w14:paraId="3A4AA271">
            <w:pPr>
              <w:jc w:val="center"/>
              <w:rPr>
                <w:rFonts w:hint="eastAsia" w:ascii="宋体" w:hAnsi="宋体"/>
                <w:szCs w:val="21"/>
              </w:rPr>
            </w:pPr>
            <w:r>
              <w:rPr>
                <w:rFonts w:hint="eastAsia" w:ascii="宋体" w:hAnsi="宋体"/>
                <w:szCs w:val="21"/>
              </w:rPr>
              <w:t>（0～</w:t>
            </w:r>
            <w:r>
              <w:rPr>
                <w:rFonts w:ascii="宋体" w:hAnsi="宋体"/>
                <w:szCs w:val="21"/>
              </w:rPr>
              <w:t>40</w:t>
            </w:r>
            <w:r>
              <w:rPr>
                <w:rFonts w:hint="eastAsia" w:ascii="宋体" w:hAnsi="宋体"/>
                <w:szCs w:val="21"/>
              </w:rPr>
              <w:t>）℃</w:t>
            </w:r>
            <w:bookmarkStart w:id="13" w:name="温度"/>
            <w:bookmarkEnd w:id="13"/>
          </w:p>
        </w:tc>
        <w:tc>
          <w:tcPr>
            <w:tcW w:w="3765" w:type="dxa"/>
            <w:vAlign w:val="center"/>
          </w:tcPr>
          <w:p w14:paraId="5C469CBF">
            <w:pPr>
              <w:jc w:val="left"/>
              <w:rPr>
                <w:rFonts w:hint="eastAsia" w:ascii="宋体" w:hAnsi="宋体"/>
                <w:szCs w:val="21"/>
              </w:rPr>
            </w:pPr>
            <w:r>
              <w:rPr>
                <w:rFonts w:hint="eastAsia" w:ascii="宋体" w:hAnsi="宋体"/>
                <w:szCs w:val="21"/>
              </w:rPr>
              <w:t>MPE</w:t>
            </w:r>
            <w:r>
              <w:rPr>
                <w:rFonts w:ascii="宋体" w:hAnsi="宋体"/>
                <w:szCs w:val="21"/>
              </w:rPr>
              <w:t>：±0.2</w:t>
            </w:r>
            <w:r>
              <w:rPr>
                <w:rFonts w:hint="eastAsia" w:ascii="宋体" w:hAnsi="宋体"/>
                <w:szCs w:val="21"/>
              </w:rPr>
              <w:t xml:space="preserve"> </w:t>
            </w:r>
            <w:r>
              <w:rPr>
                <w:rFonts w:ascii="宋体" w:hAnsi="宋体"/>
                <w:szCs w:val="21"/>
              </w:rPr>
              <w:t>℃</w:t>
            </w:r>
          </w:p>
        </w:tc>
      </w:tr>
      <w:tr w14:paraId="1496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191ADADC">
            <w:pPr>
              <w:snapToGrid w:val="0"/>
              <w:jc w:val="center"/>
              <w:rPr>
                <w:rFonts w:hint="eastAsia" w:ascii="宋体" w:hAnsi="宋体"/>
                <w:szCs w:val="21"/>
              </w:rPr>
            </w:pPr>
            <w:r>
              <w:rPr>
                <w:rFonts w:hint="eastAsia" w:ascii="宋体" w:hAnsi="宋体"/>
                <w:szCs w:val="21"/>
              </w:rPr>
              <w:t>温度计</w:t>
            </w:r>
          </w:p>
        </w:tc>
        <w:tc>
          <w:tcPr>
            <w:tcW w:w="2268" w:type="dxa"/>
            <w:vAlign w:val="center"/>
          </w:tcPr>
          <w:p w14:paraId="364AD96D">
            <w:pPr>
              <w:snapToGrid w:val="0"/>
              <w:jc w:val="center"/>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0～50）℃</w:t>
            </w:r>
          </w:p>
        </w:tc>
        <w:tc>
          <w:tcPr>
            <w:tcW w:w="3765" w:type="dxa"/>
            <w:vAlign w:val="center"/>
          </w:tcPr>
          <w:p w14:paraId="70840A94">
            <w:pPr>
              <w:snapToGrid w:val="0"/>
              <w:jc w:val="left"/>
              <w:rPr>
                <w:rFonts w:hint="eastAsia" w:ascii="宋体" w:hAnsi="宋体"/>
                <w:szCs w:val="21"/>
              </w:rPr>
            </w:pPr>
            <w:r>
              <w:rPr>
                <w:rFonts w:hint="eastAsia" w:ascii="宋体" w:hAnsi="宋体"/>
                <w:szCs w:val="21"/>
              </w:rPr>
              <w:t>MPE：±0.</w:t>
            </w:r>
            <w:r>
              <w:rPr>
                <w:rFonts w:ascii="宋体" w:hAnsi="宋体"/>
                <w:szCs w:val="21"/>
              </w:rPr>
              <w:t>5</w:t>
            </w:r>
            <w:r>
              <w:rPr>
                <w:rFonts w:hint="eastAsia" w:ascii="宋体" w:hAnsi="宋体"/>
                <w:szCs w:val="21"/>
              </w:rPr>
              <w:t xml:space="preserve"> ℃</w:t>
            </w:r>
          </w:p>
        </w:tc>
      </w:tr>
      <w:tr w14:paraId="1FBD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Align w:val="center"/>
          </w:tcPr>
          <w:p w14:paraId="76E0A3D8">
            <w:pPr>
              <w:snapToGrid w:val="0"/>
              <w:jc w:val="center"/>
              <w:rPr>
                <w:rFonts w:hint="eastAsia" w:ascii="宋体" w:hAnsi="宋体"/>
                <w:szCs w:val="21"/>
              </w:rPr>
            </w:pPr>
            <w:r>
              <w:rPr>
                <w:rFonts w:ascii="宋体" w:hAnsi="宋体"/>
                <w:szCs w:val="21"/>
              </w:rPr>
              <w:t>数据处理软件</w:t>
            </w:r>
          </w:p>
        </w:tc>
        <w:tc>
          <w:tcPr>
            <w:tcW w:w="2268" w:type="dxa"/>
            <w:vAlign w:val="center"/>
          </w:tcPr>
          <w:p w14:paraId="22FA826B">
            <w:pPr>
              <w:snapToGrid w:val="0"/>
              <w:jc w:val="center"/>
              <w:rPr>
                <w:rFonts w:ascii="Times New Roman" w:hAnsi="Times New Roman"/>
                <w:szCs w:val="21"/>
              </w:rPr>
            </w:pPr>
            <w:r>
              <w:rPr>
                <w:rFonts w:hint="eastAsia" w:ascii="宋体" w:hAnsi="宋体"/>
                <w:szCs w:val="21"/>
              </w:rPr>
              <w:t>——</w:t>
            </w:r>
          </w:p>
        </w:tc>
        <w:tc>
          <w:tcPr>
            <w:tcW w:w="3765" w:type="dxa"/>
            <w:vAlign w:val="center"/>
          </w:tcPr>
          <w:p w14:paraId="7F69FA8A">
            <w:pPr>
              <w:snapToGrid w:val="0"/>
              <w:jc w:val="left"/>
              <w:rPr>
                <w:rFonts w:hint="eastAsia" w:hAnsi="宋体"/>
                <w:szCs w:val="21"/>
              </w:rPr>
            </w:pPr>
            <w:r>
              <w:rPr>
                <w:rFonts w:hint="eastAsia" w:ascii="宋体" w:hAnsi="宋体"/>
                <w:szCs w:val="21"/>
              </w:rPr>
              <w:t>容积计算测量模型应符合附录</w:t>
            </w:r>
            <w:r>
              <w:rPr>
                <w:rFonts w:ascii="宋体" w:hAnsi="宋体"/>
                <w:szCs w:val="21"/>
              </w:rPr>
              <w:t>A</w:t>
            </w:r>
            <w:r>
              <w:rPr>
                <w:rFonts w:hint="eastAsia" w:ascii="宋体" w:hAnsi="宋体"/>
                <w:szCs w:val="21"/>
              </w:rPr>
              <w:t>。</w:t>
            </w:r>
          </w:p>
        </w:tc>
      </w:tr>
      <w:tr w14:paraId="09D3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Align w:val="center"/>
          </w:tcPr>
          <w:p w14:paraId="43B4D7C8">
            <w:pPr>
              <w:snapToGrid w:val="0"/>
              <w:jc w:val="center"/>
              <w:rPr>
                <w:rFonts w:hint="eastAsia" w:hAnsi="宋体"/>
                <w:szCs w:val="21"/>
              </w:rPr>
            </w:pPr>
            <w:r>
              <w:rPr>
                <w:rFonts w:hint="eastAsia" w:hAnsi="宋体"/>
                <w:szCs w:val="21"/>
              </w:rPr>
              <w:t>管道及阀组</w:t>
            </w:r>
          </w:p>
        </w:tc>
        <w:tc>
          <w:tcPr>
            <w:tcW w:w="2268" w:type="dxa"/>
            <w:vAlign w:val="center"/>
          </w:tcPr>
          <w:p w14:paraId="0BC6DE70">
            <w:pPr>
              <w:snapToGrid w:val="0"/>
              <w:jc w:val="center"/>
              <w:rPr>
                <w:rFonts w:ascii="Times New Roman" w:hAnsi="Times New Roman"/>
                <w:szCs w:val="21"/>
              </w:rPr>
            </w:pPr>
            <w:r>
              <w:rPr>
                <w:rFonts w:hint="eastAsia" w:ascii="宋体" w:hAnsi="宋体"/>
                <w:szCs w:val="21"/>
              </w:rPr>
              <w:t>——</w:t>
            </w:r>
          </w:p>
        </w:tc>
        <w:tc>
          <w:tcPr>
            <w:tcW w:w="3765" w:type="dxa"/>
            <w:vAlign w:val="center"/>
          </w:tcPr>
          <w:p w14:paraId="67502CCD">
            <w:pPr>
              <w:snapToGrid w:val="0"/>
              <w:rPr>
                <w:rFonts w:hint="eastAsia" w:ascii="宋体" w:hAnsi="宋体"/>
                <w:szCs w:val="21"/>
              </w:rPr>
            </w:pPr>
            <w:r>
              <w:rPr>
                <w:rFonts w:hint="eastAsia" w:ascii="宋体" w:hAnsi="宋体"/>
                <w:szCs w:val="21"/>
              </w:rPr>
              <w:t>公称直径与量器规格匹配，过滤水中杂质</w:t>
            </w:r>
          </w:p>
        </w:tc>
      </w:tr>
      <w:tr w14:paraId="66E7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Align w:val="center"/>
          </w:tcPr>
          <w:p w14:paraId="175D1E54">
            <w:pPr>
              <w:snapToGrid w:val="0"/>
              <w:jc w:val="center"/>
              <w:rPr>
                <w:rFonts w:hint="eastAsia" w:hAnsi="宋体"/>
                <w:szCs w:val="21"/>
              </w:rPr>
            </w:pPr>
            <w:r>
              <w:rPr>
                <w:rFonts w:hint="eastAsia" w:ascii="宋体" w:hAnsi="宋体"/>
                <w:szCs w:val="21"/>
              </w:rPr>
              <w:t>液位开关</w:t>
            </w:r>
          </w:p>
        </w:tc>
        <w:tc>
          <w:tcPr>
            <w:tcW w:w="2268" w:type="dxa"/>
            <w:vAlign w:val="center"/>
          </w:tcPr>
          <w:p w14:paraId="6A613336">
            <w:pPr>
              <w:snapToGrid w:val="0"/>
              <w:jc w:val="center"/>
              <w:rPr>
                <w:rFonts w:hint="eastAsia" w:ascii="宋体" w:hAnsi="宋体"/>
                <w:szCs w:val="21"/>
              </w:rPr>
            </w:pPr>
            <w:r>
              <w:rPr>
                <w:rFonts w:hint="eastAsia" w:ascii="宋体" w:hAnsi="宋体"/>
                <w:szCs w:val="21"/>
              </w:rPr>
              <w:t>——</w:t>
            </w:r>
          </w:p>
        </w:tc>
        <w:tc>
          <w:tcPr>
            <w:tcW w:w="3765" w:type="dxa"/>
            <w:vAlign w:val="center"/>
          </w:tcPr>
          <w:p w14:paraId="2DF68F63">
            <w:pPr>
              <w:snapToGrid w:val="0"/>
              <w:rPr>
                <w:rFonts w:hint="eastAsia" w:ascii="宋体" w:hAnsi="宋体"/>
                <w:szCs w:val="21"/>
              </w:rPr>
            </w:pPr>
            <w:r>
              <w:rPr>
                <w:rFonts w:hint="eastAsia" w:hAnsi="宋体"/>
                <w:szCs w:val="21"/>
              </w:rPr>
              <w:t>控制标准金属量器液位处在标尺刻线范围内</w:t>
            </w:r>
          </w:p>
        </w:tc>
      </w:tr>
      <w:tr w14:paraId="09C1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Align w:val="center"/>
          </w:tcPr>
          <w:p w14:paraId="5BBD1447">
            <w:pPr>
              <w:snapToGrid w:val="0"/>
              <w:jc w:val="center"/>
              <w:rPr>
                <w:rFonts w:hint="eastAsia" w:ascii="宋体" w:hAnsi="宋体"/>
                <w:szCs w:val="21"/>
              </w:rPr>
            </w:pPr>
            <w:r>
              <w:rPr>
                <w:rFonts w:hint="eastAsia" w:hAnsi="宋体"/>
                <w:szCs w:val="21"/>
              </w:rPr>
              <w:t>高位</w:t>
            </w:r>
            <w:r>
              <w:rPr>
                <w:rFonts w:hAnsi="宋体"/>
                <w:szCs w:val="21"/>
              </w:rPr>
              <w:t>水箱</w:t>
            </w:r>
          </w:p>
        </w:tc>
        <w:tc>
          <w:tcPr>
            <w:tcW w:w="2268" w:type="dxa"/>
            <w:vAlign w:val="center"/>
          </w:tcPr>
          <w:p w14:paraId="7FBFDBEE">
            <w:pPr>
              <w:snapToGrid w:val="0"/>
              <w:jc w:val="center"/>
              <w:rPr>
                <w:rFonts w:hint="eastAsia" w:ascii="宋体" w:hAnsi="宋体"/>
                <w:szCs w:val="21"/>
              </w:rPr>
            </w:pPr>
            <w:r>
              <w:rPr>
                <w:rFonts w:hint="eastAsia" w:ascii="宋体" w:hAnsi="宋体"/>
                <w:szCs w:val="21"/>
              </w:rPr>
              <w:t>——</w:t>
            </w:r>
          </w:p>
        </w:tc>
        <w:tc>
          <w:tcPr>
            <w:tcW w:w="3765" w:type="dxa"/>
            <w:vAlign w:val="center"/>
          </w:tcPr>
          <w:p w14:paraId="7E652820">
            <w:pPr>
              <w:snapToGrid w:val="0"/>
              <w:rPr>
                <w:rFonts w:hint="eastAsia" w:hAnsi="宋体"/>
                <w:szCs w:val="21"/>
              </w:rPr>
            </w:pPr>
            <w:r>
              <w:rPr>
                <w:rFonts w:hint="eastAsia" w:ascii="宋体" w:hAnsi="宋体"/>
                <w:szCs w:val="21"/>
              </w:rPr>
              <w:t>有效容积≥18 m</w:t>
            </w:r>
            <w:r>
              <w:rPr>
                <w:rFonts w:hint="eastAsia" w:ascii="宋体" w:hAnsi="宋体"/>
                <w:szCs w:val="21"/>
                <w:vertAlign w:val="superscript"/>
              </w:rPr>
              <w:t>3</w:t>
            </w:r>
            <w:r>
              <w:rPr>
                <w:rFonts w:hint="eastAsia" w:ascii="宋体" w:hAnsi="宋体"/>
                <w:szCs w:val="21"/>
              </w:rPr>
              <w:t>，液位最低点高于标准</w:t>
            </w:r>
            <w:r>
              <w:rPr>
                <w:rFonts w:ascii="宋体" w:hAnsi="宋体"/>
                <w:szCs w:val="21"/>
              </w:rPr>
              <w:t>金属量器进水口</w:t>
            </w:r>
          </w:p>
        </w:tc>
      </w:tr>
      <w:tr w14:paraId="6F6B2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263" w:type="dxa"/>
            <w:vAlign w:val="center"/>
          </w:tcPr>
          <w:p w14:paraId="5A5D6AE1">
            <w:pPr>
              <w:snapToGrid w:val="0"/>
              <w:jc w:val="center"/>
              <w:rPr>
                <w:rFonts w:hint="eastAsia" w:hAnsi="宋体"/>
                <w:szCs w:val="21"/>
              </w:rPr>
            </w:pPr>
            <w:r>
              <w:rPr>
                <w:rFonts w:hint="eastAsia" w:hAnsi="宋体"/>
                <w:szCs w:val="21"/>
              </w:rPr>
              <w:t>蓄</w:t>
            </w:r>
            <w:r>
              <w:rPr>
                <w:rFonts w:hAnsi="宋体"/>
                <w:szCs w:val="21"/>
              </w:rPr>
              <w:t>水池</w:t>
            </w:r>
          </w:p>
        </w:tc>
        <w:tc>
          <w:tcPr>
            <w:tcW w:w="2268" w:type="dxa"/>
            <w:vAlign w:val="center"/>
          </w:tcPr>
          <w:p w14:paraId="4CDA263C">
            <w:pPr>
              <w:snapToGrid w:val="0"/>
              <w:jc w:val="center"/>
              <w:rPr>
                <w:rFonts w:ascii="Times New Roman" w:hAnsi="Times New Roman"/>
                <w:szCs w:val="21"/>
              </w:rPr>
            </w:pPr>
            <w:r>
              <w:rPr>
                <w:rFonts w:hint="eastAsia" w:ascii="宋体" w:hAnsi="宋体"/>
                <w:szCs w:val="21"/>
              </w:rPr>
              <w:t>——</w:t>
            </w:r>
          </w:p>
        </w:tc>
        <w:tc>
          <w:tcPr>
            <w:tcW w:w="3765" w:type="dxa"/>
            <w:vAlign w:val="center"/>
          </w:tcPr>
          <w:p w14:paraId="67F9A63C">
            <w:pPr>
              <w:snapToGrid w:val="0"/>
              <w:rPr>
                <w:rFonts w:hint="eastAsia" w:ascii="宋体" w:hAnsi="宋体"/>
                <w:szCs w:val="21"/>
              </w:rPr>
            </w:pPr>
            <w:r>
              <w:rPr>
                <w:rFonts w:hint="eastAsia" w:ascii="宋体" w:hAnsi="宋体"/>
                <w:szCs w:val="21"/>
              </w:rPr>
              <w:t>有效容积≥120 m</w:t>
            </w:r>
            <w:r>
              <w:rPr>
                <w:rFonts w:hint="eastAsia" w:ascii="宋体" w:hAnsi="宋体"/>
                <w:szCs w:val="21"/>
                <w:vertAlign w:val="superscript"/>
              </w:rPr>
              <w:t>3</w:t>
            </w:r>
          </w:p>
        </w:tc>
      </w:tr>
    </w:tbl>
    <w:p w14:paraId="7DF13FFA">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14" w:name="_Toc488765415"/>
      <w:r>
        <w:rPr>
          <w:rFonts w:hint="eastAsia" w:ascii="黑体" w:hAnsi="黑体" w:eastAsia="黑体"/>
          <w:b w:val="0"/>
          <w:sz w:val="24"/>
          <w:szCs w:val="24"/>
        </w:rPr>
        <w:t>校准方法</w:t>
      </w:r>
      <w:bookmarkEnd w:id="14"/>
    </w:p>
    <w:p w14:paraId="2B30517B">
      <w:pPr>
        <w:pStyle w:val="3"/>
        <w:numPr>
          <w:ilvl w:val="0"/>
          <w:numId w:val="5"/>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15" w:name="_Toc488765416"/>
      <w:r>
        <w:rPr>
          <w:rFonts w:hint="eastAsia" w:ascii="宋体" w:hAnsi="宋体"/>
          <w:b w:val="0"/>
          <w:sz w:val="24"/>
          <w:szCs w:val="24"/>
        </w:rPr>
        <w:t>校准前</w:t>
      </w:r>
      <w:r>
        <w:rPr>
          <w:rFonts w:ascii="宋体" w:hAnsi="宋体"/>
          <w:b w:val="0"/>
          <w:sz w:val="24"/>
          <w:szCs w:val="24"/>
        </w:rPr>
        <w:t>准备</w:t>
      </w:r>
      <w:bookmarkEnd w:id="15"/>
    </w:p>
    <w:p w14:paraId="77B2B8AB">
      <w:pPr>
        <w:spacing w:line="360" w:lineRule="auto"/>
        <w:ind w:firstLine="480" w:firstLineChars="200"/>
        <w:rPr>
          <w:rFonts w:hint="eastAsia" w:ascii="宋体" w:hAnsi="宋体"/>
          <w:sz w:val="24"/>
        </w:rPr>
      </w:pPr>
      <w:r>
        <w:rPr>
          <w:rFonts w:hint="eastAsia" w:ascii="宋体" w:hAnsi="宋体"/>
          <w:sz w:val="24"/>
        </w:rPr>
        <w:t>校准前应完成</w:t>
      </w:r>
      <w:r>
        <w:rPr>
          <w:rFonts w:ascii="宋体" w:hAnsi="宋体"/>
          <w:sz w:val="24"/>
        </w:rPr>
        <w:t>以下准备工作：</w:t>
      </w:r>
    </w:p>
    <w:p w14:paraId="1E6361EC">
      <w:pPr>
        <w:spacing w:line="360" w:lineRule="auto"/>
        <w:ind w:firstLine="480" w:firstLineChars="200"/>
        <w:rPr>
          <w:rFonts w:ascii="Times New Roman" w:hAnsi="Times New Roman"/>
          <w:sz w:val="24"/>
        </w:rPr>
      </w:pPr>
      <w:r>
        <w:rPr>
          <w:rFonts w:hint="eastAsia" w:ascii="Times New Roman" w:hAnsi="Times New Roman"/>
          <w:sz w:val="24"/>
        </w:rPr>
        <w:t>a）按附录B.2准备校准记录。</w:t>
      </w:r>
    </w:p>
    <w:p w14:paraId="7E8A107C">
      <w:pPr>
        <w:spacing w:line="300" w:lineRule="auto"/>
        <w:ind w:firstLine="480" w:firstLineChars="200"/>
        <w:rPr>
          <w:rFonts w:ascii="Times New Roman" w:hAnsi="Times New Roman"/>
          <w:sz w:val="24"/>
        </w:rPr>
      </w:pPr>
      <w:r>
        <w:rPr>
          <w:rFonts w:hint="eastAsia" w:ascii="Times New Roman" w:hAnsi="Times New Roman"/>
          <w:sz w:val="24"/>
        </w:rPr>
        <w:t>b） 确认扫描仪无影响计量特性的外观和机电功能方面的缺陷。</w:t>
      </w:r>
    </w:p>
    <w:p w14:paraId="3A729FBC">
      <w:pPr>
        <w:spacing w:line="300" w:lineRule="auto"/>
        <w:ind w:firstLine="480" w:firstLineChars="200"/>
        <w:rPr>
          <w:rFonts w:ascii="Times New Roman" w:hAnsi="Times New Roman"/>
          <w:sz w:val="24"/>
        </w:rPr>
      </w:pPr>
      <w:r>
        <w:rPr>
          <w:rFonts w:hint="eastAsia" w:ascii="Times New Roman" w:hAnsi="Times New Roman"/>
          <w:sz w:val="24"/>
        </w:rPr>
        <w:t>c）标记检尺点；设置扫描仪扫描参数，使扫描点数不少于100万点。</w:t>
      </w:r>
    </w:p>
    <w:p w14:paraId="5A66C098">
      <w:pPr>
        <w:spacing w:line="300" w:lineRule="auto"/>
        <w:ind w:firstLine="480" w:firstLineChars="200"/>
        <w:rPr>
          <w:rFonts w:ascii="Times New Roman" w:hAnsi="Times New Roman"/>
          <w:sz w:val="24"/>
        </w:rPr>
      </w:pPr>
      <w:r>
        <w:rPr>
          <w:rFonts w:hint="eastAsia" w:ascii="Times New Roman" w:hAnsi="Times New Roman"/>
          <w:sz w:val="24"/>
        </w:rPr>
        <w:t>d）采用倒置或正置方式安装扫描仪。</w:t>
      </w:r>
    </w:p>
    <w:p w14:paraId="32F76422">
      <w:pPr>
        <w:spacing w:line="300" w:lineRule="auto"/>
        <w:ind w:firstLine="480" w:firstLineChars="200"/>
        <w:rPr>
          <w:rFonts w:ascii="Times New Roman" w:hAnsi="Times New Roman"/>
          <w:sz w:val="24"/>
        </w:rPr>
      </w:pPr>
      <w:r>
        <w:rPr>
          <w:rFonts w:hint="eastAsia" w:ascii="Times New Roman" w:hAnsi="Times New Roman"/>
          <w:sz w:val="24"/>
        </w:rPr>
        <w:t>采用倒置安装方式时，将扫描仪稳定倒置悬挂在架设于检测罐人孔座上沿的三脚架上；扫描仪架设位置一般应处于人孔下沿0.2 m处。</w:t>
      </w:r>
    </w:p>
    <w:p w14:paraId="57C928D1">
      <w:pPr>
        <w:spacing w:line="300" w:lineRule="auto"/>
        <w:ind w:firstLine="480" w:firstLineChars="200"/>
        <w:rPr>
          <w:rFonts w:ascii="Times New Roman" w:hAnsi="Times New Roman"/>
          <w:sz w:val="24"/>
        </w:rPr>
      </w:pPr>
      <w:r>
        <w:rPr>
          <w:rFonts w:hint="eastAsia" w:ascii="Times New Roman" w:hAnsi="Times New Roman"/>
          <w:sz w:val="24"/>
        </w:rPr>
        <w:t>采用正置安装方式时，将扫描仪稳定正置安装在架设于检测罐底部检尺点附近的三脚架上；扫描仪架设高度一般不高于1 m；调整三脚架位置，使检尺点标记处于扫描仪扫描范围内。</w:t>
      </w:r>
    </w:p>
    <w:p w14:paraId="5B2FCA2B">
      <w:pPr>
        <w:spacing w:line="360" w:lineRule="auto"/>
        <w:ind w:firstLine="480" w:firstLineChars="200"/>
        <w:rPr>
          <w:rFonts w:ascii="Times New Roman" w:hAnsi="Times New Roman"/>
          <w:sz w:val="24"/>
        </w:rPr>
      </w:pPr>
      <w:r>
        <w:rPr>
          <w:rFonts w:hint="eastAsia" w:ascii="Times New Roman" w:hAnsi="Times New Roman"/>
          <w:sz w:val="24"/>
        </w:rPr>
        <w:t>安装完成后，调整三脚架架设姿态，通过扫描仪自带的电子水准器观察扫描仪水平程度，使其处于自动水平补偿范围内。扫描仪安装如图2所示。</w:t>
      </w:r>
    </w:p>
    <w:p w14:paraId="4FE5464D">
      <w:pPr>
        <w:spacing w:line="360" w:lineRule="auto"/>
        <w:ind w:firstLine="480" w:firstLineChars="200"/>
        <w:rPr>
          <w:rFonts w:ascii="Times New Roman" w:hAnsi="Times New Roman"/>
          <w:sz w:val="24"/>
        </w:rPr>
      </w:pPr>
      <w:r>
        <w:rPr>
          <w:rFonts w:hint="eastAsia" w:ascii="Times New Roman" w:hAnsi="Times New Roman"/>
          <w:sz w:val="24"/>
        </w:rPr>
        <w:t>e）确认环境温度等因素满足要求。</w:t>
      </w:r>
    </w:p>
    <w:p w14:paraId="2ECC401B">
      <w:pPr>
        <w:spacing w:line="360" w:lineRule="auto"/>
        <w:ind w:firstLine="480" w:firstLineChars="200"/>
        <w:rPr>
          <w:rFonts w:ascii="Times New Roman" w:hAnsi="Times New Roman"/>
          <w:sz w:val="24"/>
        </w:rPr>
      </w:pPr>
      <w:r>
        <w:rPr>
          <w:rFonts w:hint="eastAsia" w:ascii="Times New Roman" w:hAnsi="Times New Roman"/>
          <w:sz w:val="24"/>
        </w:rPr>
        <w:t>f）完成参考值数据准备。</w:t>
      </w:r>
    </w:p>
    <w:p w14:paraId="5A106825">
      <w:pPr>
        <w:spacing w:line="360" w:lineRule="auto"/>
        <w:ind w:firstLine="480" w:firstLineChars="200"/>
        <w:rPr>
          <w:rFonts w:ascii="Times New Roman" w:hAnsi="Times New Roman"/>
          <w:sz w:val="24"/>
        </w:rPr>
      </w:pPr>
      <w:r>
        <w:rPr>
          <w:rFonts w:hint="eastAsia" w:ascii="Times New Roman" w:hAnsi="Times New Roman"/>
          <w:sz w:val="24"/>
        </w:rPr>
        <w:t>参考值采用容量比较法测量检测罐容积获得，数据有效期不大于1年。</w:t>
      </w:r>
    </w:p>
    <w:p w14:paraId="04B1C4F3">
      <w:pPr>
        <w:spacing w:line="360" w:lineRule="auto"/>
        <w:ind w:firstLine="480" w:firstLineChars="200"/>
        <w:rPr>
          <w:rFonts w:ascii="Times New Roman" w:hAnsi="Times New Roman"/>
          <w:sz w:val="24"/>
        </w:rPr>
      </w:pPr>
      <w:r>
        <w:rPr>
          <w:rFonts w:hint="eastAsia" w:ascii="Times New Roman" w:hAnsi="Times New Roman"/>
          <w:sz w:val="24"/>
        </w:rPr>
        <w:t>参考值数据包括：标记容积较小检测罐标记容积 83%～95% 范围内某一容积值</w:t>
      </w:r>
      <m:oMath>
        <m:r>
          <m:rPr/>
          <w:rPr>
            <w:rFonts w:ascii="Cambria Math" w:hAnsi="Cambria Math"/>
            <w:sz w:val="24"/>
          </w:rPr>
          <m:t>Vrr</m:t>
        </m:r>
      </m:oMath>
      <w:r>
        <w:rPr>
          <w:rFonts w:hint="eastAsia" w:ascii="Times New Roman" w:hAnsi="Times New Roman"/>
          <w:sz w:val="24"/>
        </w:rPr>
        <w:t xml:space="preserve">对应的液位高度 </w:t>
      </w:r>
      <m:oMath>
        <m:r>
          <m:rPr/>
          <w:rPr>
            <w:rFonts w:ascii="Cambria Math" w:hAnsi="Cambria Math"/>
            <w:sz w:val="24"/>
          </w:rPr>
          <m:t>Hrr</m:t>
        </m:r>
      </m:oMath>
      <w:r>
        <w:rPr>
          <w:rFonts w:hint="eastAsia" w:ascii="Times New Roman" w:hAnsi="Times New Roman"/>
          <w:sz w:val="24"/>
        </w:rPr>
        <w:t>；不少于2台不同型号检测罐、每台标记容积 83%～95%范围内任意三点容积值</w:t>
      </w: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及其对应液位高度</w:t>
      </w:r>
      <m:oMath>
        <m:sSub>
          <m:sSubPr>
            <m:ctrlPr>
              <w:rPr>
                <w:rFonts w:ascii="Cambria Math" w:hAnsi="Cambria Math"/>
                <w:i/>
                <w:sz w:val="24"/>
              </w:rPr>
            </m:ctrlPr>
          </m:sSubPr>
          <m:e>
            <m:r>
              <m:rPr/>
              <w:rPr>
                <w:rFonts w:ascii="Cambria Math" w:hAnsi="Cambria Math"/>
                <w:sz w:val="24"/>
              </w:rPr>
              <m:t>Hre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。其中，</w:t>
      </w:r>
      <m:oMath>
        <m:r>
          <m:rPr/>
          <w:rPr>
            <w:rFonts w:ascii="Cambria Math" w:hAnsi="Cambria Math"/>
            <w:sz w:val="24"/>
          </w:rPr>
          <m:t>i</m:t>
        </m:r>
      </m:oMath>
      <w:r>
        <w:rPr>
          <w:rFonts w:hint="eastAsia" w:ascii="Times New Roman" w:hAnsi="Times New Roman"/>
          <w:sz w:val="24"/>
        </w:rPr>
        <w:t>为检测罐编号，</w:t>
      </w:r>
      <m:oMath>
        <m:r>
          <m:rPr/>
          <w:rPr>
            <w:rFonts w:ascii="Cambria Math" w:hAnsi="Cambria Math"/>
            <w:sz w:val="24"/>
          </w:rPr>
          <m:t>j</m:t>
        </m:r>
      </m:oMath>
      <w:r>
        <w:rPr>
          <w:rFonts w:hint="eastAsia" w:ascii="Times New Roman" w:hAnsi="Times New Roman"/>
          <w:sz w:val="24"/>
        </w:rPr>
        <w:t>为某类型检测罐内校准点编号。数据获取方法见附录C。</w:t>
      </w:r>
    </w:p>
    <w:p w14:paraId="536BB135">
      <w:pPr>
        <w:spacing w:line="360" w:lineRule="auto"/>
        <w:ind w:firstLine="480" w:firstLineChars="200"/>
        <w:rPr>
          <w:rFonts w:hint="eastAsia" w:ascii="宋体" w:hAnsi="宋体"/>
          <w:sz w:val="24"/>
        </w:rPr>
      </w:pPr>
      <w:r>
        <w:rPr>
          <w:rFonts w:hint="eastAsia" w:ascii="Times New Roman" w:hAnsi="Times New Roman"/>
          <w:sz w:val="24"/>
        </w:rPr>
        <w:t>g）确认数</w:t>
      </w:r>
      <w:r>
        <w:rPr>
          <w:rFonts w:hint="eastAsia" w:ascii="宋体" w:hAnsi="宋体"/>
          <w:sz w:val="24"/>
        </w:rPr>
        <w:t>据处理软件中扫描仪容积修正值清零</w:t>
      </w:r>
      <w:r>
        <w:rPr>
          <w:rFonts w:ascii="宋体" w:hAnsi="宋体"/>
          <w:sz w:val="24"/>
        </w:rPr>
        <w:t>。</w:t>
      </w:r>
    </w:p>
    <w:p w14:paraId="657A1312">
      <w:pPr>
        <w:spacing w:line="360" w:lineRule="auto"/>
        <w:ind w:firstLine="360"/>
        <w:jc w:val="center"/>
        <w:rPr>
          <w:rFonts w:hint="eastAsia" w:ascii="宋体" w:hAnsi="宋体"/>
          <w:sz w:val="24"/>
        </w:rPr>
      </w:pPr>
      <w:r>
        <w:drawing>
          <wp:inline distT="0" distB="0" distL="0" distR="0">
            <wp:extent cx="4166235" cy="1826260"/>
            <wp:effectExtent l="0" t="0" r="5715"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6" cstate="print"/>
                    <a:srcRect/>
                    <a:stretch>
                      <a:fillRect/>
                    </a:stretch>
                  </pic:blipFill>
                  <pic:spPr>
                    <a:xfrm>
                      <a:off x="0" y="0"/>
                      <a:ext cx="4169339" cy="1827663"/>
                    </a:xfrm>
                    <a:prstGeom prst="rect">
                      <a:avLst/>
                    </a:prstGeom>
                    <a:noFill/>
                    <a:ln w="9525">
                      <a:noFill/>
                      <a:miter lim="800000"/>
                      <a:headEnd/>
                      <a:tailEnd/>
                    </a:ln>
                  </pic:spPr>
                </pic:pic>
              </a:graphicData>
            </a:graphic>
          </wp:inline>
        </w:drawing>
      </w:r>
    </w:p>
    <w:p w14:paraId="173A8B0F">
      <w:pPr>
        <w:spacing w:line="360" w:lineRule="auto"/>
        <w:ind w:firstLine="420" w:firstLineChars="200"/>
        <w:jc w:val="center"/>
        <w:rPr>
          <w:rFonts w:hint="eastAsia" w:ascii="宋体" w:hAnsi="宋体"/>
          <w:szCs w:val="21"/>
        </w:rPr>
      </w:pPr>
      <w:r>
        <w:rPr>
          <w:rFonts w:hint="eastAsia" w:ascii="宋体" w:hAnsi="宋体"/>
          <w:szCs w:val="21"/>
        </w:rPr>
        <w:t>图</w:t>
      </w:r>
      <w:r>
        <w:rPr>
          <w:rFonts w:ascii="宋体" w:hAnsi="宋体"/>
          <w:szCs w:val="21"/>
        </w:rPr>
        <w:t>2扫描仪安装示意图</w:t>
      </w:r>
    </w:p>
    <w:p w14:paraId="59F7B66B">
      <w:pPr>
        <w:spacing w:line="360" w:lineRule="auto"/>
        <w:ind w:firstLine="480" w:firstLineChars="200"/>
        <w:jc w:val="center"/>
        <w:rPr>
          <w:rFonts w:hint="eastAsia" w:ascii="宋体" w:hAnsi="宋体"/>
          <w:sz w:val="24"/>
        </w:rPr>
      </w:pPr>
      <w:r>
        <w:rPr>
          <w:rFonts w:hint="eastAsia" w:ascii="宋体" w:hAnsi="宋体"/>
          <w:sz w:val="24"/>
        </w:rPr>
        <mc:AlternateContent>
          <mc:Choice Requires="wps">
            <w:drawing>
              <wp:inline distT="0" distB="0" distL="0" distR="0">
                <wp:extent cx="3578225" cy="685800"/>
                <wp:effectExtent l="0" t="0" r="4445" b="0"/>
                <wp:docPr id="1329218531" name="Text Box 30"/>
                <wp:cNvGraphicFramePr/>
                <a:graphic xmlns:a="http://schemas.openxmlformats.org/drawingml/2006/main">
                  <a:graphicData uri="http://schemas.microsoft.com/office/word/2010/wordprocessingShape">
                    <wps:wsp>
                      <wps:cNvSpPr txBox="1">
                        <a:spLocks noChangeArrowheads="1"/>
                      </wps:cNvSpPr>
                      <wps:spPr bwMode="auto">
                        <a:xfrm>
                          <a:off x="0" y="0"/>
                          <a:ext cx="3578225" cy="289560"/>
                        </a:xfrm>
                        <a:prstGeom prst="rect">
                          <a:avLst/>
                        </a:prstGeom>
                        <a:solidFill>
                          <a:srgbClr val="FFFFFF"/>
                        </a:solidFill>
                        <a:ln>
                          <a:noFill/>
                        </a:ln>
                      </wps:spPr>
                      <wps:txbx>
                        <w:txbxContent>
                          <w:p w14:paraId="2FB8863A">
                            <w:pPr>
                              <w:jc w:val="center"/>
                              <w:rPr>
                                <w:rFonts w:hint="eastAsia" w:ascii="宋体" w:hAnsi="宋体"/>
                                <w:sz w:val="18"/>
                                <w:szCs w:val="18"/>
                              </w:rPr>
                            </w:pPr>
                            <w:r>
                              <w:rPr>
                                <w:rFonts w:ascii="宋体" w:hAnsi="宋体"/>
                                <w:sz w:val="18"/>
                                <w:szCs w:val="18"/>
                              </w:rPr>
                              <w:t>1—</w:t>
                            </w:r>
                            <w:r>
                              <w:rPr>
                                <w:rFonts w:hint="eastAsia" w:ascii="宋体" w:hAnsi="宋体"/>
                                <w:sz w:val="18"/>
                                <w:szCs w:val="18"/>
                              </w:rPr>
                              <w:t>检测罐；</w:t>
                            </w:r>
                            <w:r>
                              <w:rPr>
                                <w:rFonts w:ascii="宋体" w:hAnsi="宋体"/>
                                <w:sz w:val="18"/>
                                <w:szCs w:val="18"/>
                              </w:rPr>
                              <w:t>2—</w:t>
                            </w:r>
                            <w:r>
                              <w:rPr>
                                <w:rFonts w:hint="eastAsia" w:ascii="宋体" w:hAnsi="宋体"/>
                                <w:sz w:val="18"/>
                                <w:szCs w:val="18"/>
                              </w:rPr>
                              <w:t>三脚架</w:t>
                            </w:r>
                            <w:r>
                              <w:rPr>
                                <w:rFonts w:ascii="宋体" w:hAnsi="宋体"/>
                                <w:sz w:val="18"/>
                                <w:szCs w:val="18"/>
                              </w:rPr>
                              <w:t>；3—</w:t>
                            </w:r>
                            <w:r>
                              <w:rPr>
                                <w:rFonts w:hint="eastAsia" w:ascii="宋体" w:hAnsi="宋体"/>
                                <w:sz w:val="18"/>
                                <w:szCs w:val="18"/>
                              </w:rPr>
                              <w:t>人孔；</w:t>
                            </w:r>
                            <w:r>
                              <w:rPr>
                                <w:rFonts w:ascii="宋体" w:hAnsi="宋体"/>
                                <w:sz w:val="18"/>
                                <w:szCs w:val="18"/>
                              </w:rPr>
                              <w:t>4—</w:t>
                            </w:r>
                            <w:r>
                              <w:rPr>
                                <w:rFonts w:hint="eastAsia" w:ascii="宋体" w:hAnsi="宋体"/>
                                <w:sz w:val="18"/>
                                <w:szCs w:val="18"/>
                              </w:rPr>
                              <w:t>扫描仪</w:t>
                            </w:r>
                            <w:r>
                              <w:rPr>
                                <w:rFonts w:ascii="宋体" w:hAnsi="宋体"/>
                                <w:sz w:val="18"/>
                                <w:szCs w:val="18"/>
                              </w:rPr>
                              <w:t>；5—</w:t>
                            </w:r>
                            <w:r>
                              <w:rPr>
                                <w:rFonts w:hint="eastAsia" w:ascii="宋体" w:hAnsi="宋体"/>
                                <w:sz w:val="18"/>
                                <w:szCs w:val="18"/>
                              </w:rPr>
                              <w:t>检尺点</w:t>
                            </w:r>
                          </w:p>
                        </w:txbxContent>
                      </wps:txbx>
                      <wps:bodyPr rot="0" vert="horz" wrap="square" lIns="91440" tIns="45720" rIns="91440" bIns="45720" anchor="t" anchorCtr="0" upright="1">
                        <a:spAutoFit/>
                      </wps:bodyPr>
                    </wps:wsp>
                  </a:graphicData>
                </a:graphic>
              </wp:inline>
            </w:drawing>
          </mc:Choice>
          <mc:Fallback>
            <w:pict>
              <v:shape id="Text Box 30" o:spid="_x0000_s1026" o:spt="202" type="#_x0000_t202" style="height:54pt;width:281.75pt;" fillcolor="#FFFFFF" filled="t" stroked="f" coordsize="21600,21600" o:gfxdata="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P62530wAA&#10;AAUBAAAPAAAAAAAAAAEAIAAAACIAAABkcnMvZG93bnJldi54bWxQSwECFAAUAAAACACHTuJAJrmo&#10;xSMCAABHBAAADgAAAAAAAAABACAAAAAiAQAAZHJzL2Uyb0RvYy54bWxQSwUGAAAAAAYABgBZAQAA&#10;twUAAAAA&#10;">
                <v:fill on="t" focussize="0,0"/>
                <v:stroke on="f"/>
                <v:imagedata o:title=""/>
                <o:lock v:ext="edit" aspectratio="f"/>
                <v:textbox style="mso-fit-shape-to-text:t;">
                  <w:txbxContent>
                    <w:p w14:paraId="2FB8863A">
                      <w:pPr>
                        <w:jc w:val="center"/>
                        <w:rPr>
                          <w:rFonts w:hint="eastAsia" w:ascii="宋体" w:hAnsi="宋体"/>
                          <w:sz w:val="18"/>
                          <w:szCs w:val="18"/>
                        </w:rPr>
                      </w:pPr>
                      <w:r>
                        <w:rPr>
                          <w:rFonts w:ascii="宋体" w:hAnsi="宋体"/>
                          <w:sz w:val="18"/>
                          <w:szCs w:val="18"/>
                        </w:rPr>
                        <w:t>1—</w:t>
                      </w:r>
                      <w:r>
                        <w:rPr>
                          <w:rFonts w:hint="eastAsia" w:ascii="宋体" w:hAnsi="宋体"/>
                          <w:sz w:val="18"/>
                          <w:szCs w:val="18"/>
                        </w:rPr>
                        <w:t>检测罐；</w:t>
                      </w:r>
                      <w:r>
                        <w:rPr>
                          <w:rFonts w:ascii="宋体" w:hAnsi="宋体"/>
                          <w:sz w:val="18"/>
                          <w:szCs w:val="18"/>
                        </w:rPr>
                        <w:t>2—</w:t>
                      </w:r>
                      <w:r>
                        <w:rPr>
                          <w:rFonts w:hint="eastAsia" w:ascii="宋体" w:hAnsi="宋体"/>
                          <w:sz w:val="18"/>
                          <w:szCs w:val="18"/>
                        </w:rPr>
                        <w:t>三脚架</w:t>
                      </w:r>
                      <w:r>
                        <w:rPr>
                          <w:rFonts w:ascii="宋体" w:hAnsi="宋体"/>
                          <w:sz w:val="18"/>
                          <w:szCs w:val="18"/>
                        </w:rPr>
                        <w:t>；3—</w:t>
                      </w:r>
                      <w:r>
                        <w:rPr>
                          <w:rFonts w:hint="eastAsia" w:ascii="宋体" w:hAnsi="宋体"/>
                          <w:sz w:val="18"/>
                          <w:szCs w:val="18"/>
                        </w:rPr>
                        <w:t>人孔；</w:t>
                      </w:r>
                      <w:r>
                        <w:rPr>
                          <w:rFonts w:ascii="宋体" w:hAnsi="宋体"/>
                          <w:sz w:val="18"/>
                          <w:szCs w:val="18"/>
                        </w:rPr>
                        <w:t>4—</w:t>
                      </w:r>
                      <w:r>
                        <w:rPr>
                          <w:rFonts w:hint="eastAsia" w:ascii="宋体" w:hAnsi="宋体"/>
                          <w:sz w:val="18"/>
                          <w:szCs w:val="18"/>
                        </w:rPr>
                        <w:t>扫描仪</w:t>
                      </w:r>
                      <w:r>
                        <w:rPr>
                          <w:rFonts w:ascii="宋体" w:hAnsi="宋体"/>
                          <w:sz w:val="18"/>
                          <w:szCs w:val="18"/>
                        </w:rPr>
                        <w:t>；5—</w:t>
                      </w:r>
                      <w:r>
                        <w:rPr>
                          <w:rFonts w:hint="eastAsia" w:ascii="宋体" w:hAnsi="宋体"/>
                          <w:sz w:val="18"/>
                          <w:szCs w:val="18"/>
                        </w:rPr>
                        <w:t>检尺点</w:t>
                      </w:r>
                    </w:p>
                  </w:txbxContent>
                </v:textbox>
                <w10:wrap type="none"/>
                <w10:anchorlock/>
              </v:shape>
            </w:pict>
          </mc:Fallback>
        </mc:AlternateContent>
      </w:r>
    </w:p>
    <w:p w14:paraId="5331767C">
      <w:pPr>
        <w:pStyle w:val="3"/>
        <w:numPr>
          <w:ilvl w:val="0"/>
          <w:numId w:val="5"/>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16" w:name="_Toc488765417"/>
      <w:r>
        <w:rPr>
          <w:rFonts w:hint="eastAsia" w:ascii="宋体" w:hAnsi="宋体"/>
          <w:b w:val="0"/>
          <w:sz w:val="24"/>
          <w:szCs w:val="24"/>
        </w:rPr>
        <w:t>重复性</w:t>
      </w:r>
      <w:bookmarkEnd w:id="16"/>
    </w:p>
    <w:p w14:paraId="2B9B4492">
      <w:pPr>
        <w:spacing w:line="360" w:lineRule="auto"/>
        <w:ind w:firstLine="475" w:firstLineChars="198"/>
        <w:rPr>
          <w:rFonts w:hint="eastAsia" w:ascii="宋体" w:hAnsi="宋体"/>
          <w:sz w:val="24"/>
        </w:rPr>
      </w:pPr>
      <w:r>
        <w:rPr>
          <w:rFonts w:hint="eastAsia" w:ascii="宋体" w:hAnsi="宋体"/>
          <w:sz w:val="24"/>
        </w:rPr>
        <w:t>使</w:t>
      </w:r>
      <w:r>
        <w:rPr>
          <w:rFonts w:hint="eastAsia" w:ascii="Times New Roman" w:hAnsi="Times New Roman"/>
          <w:sz w:val="24"/>
        </w:rPr>
        <w:t>用标记容积较小的检测罐进行重复性试验，对检测罐进行</w:t>
      </w:r>
      <m:oMath>
        <m:r>
          <m:rPr/>
          <w:rPr>
            <w:rFonts w:ascii="Cambria Math" w:hAnsi="Cambria Math"/>
            <w:sz w:val="24"/>
          </w:rPr>
          <m:t>k</m:t>
        </m:r>
      </m:oMath>
      <w:r>
        <w:rPr>
          <w:rFonts w:hint="eastAsia" w:ascii="Times New Roman" w:hAnsi="Times New Roman"/>
          <w:sz w:val="24"/>
        </w:rPr>
        <w:t>次重复扫描测量，其中</w:t>
      </w:r>
      <m:oMath>
        <m:r>
          <m:rPr/>
          <w:rPr>
            <w:rFonts w:ascii="Cambria Math" w:hAnsi="Cambria Math"/>
            <w:sz w:val="24"/>
          </w:rPr>
          <m:t>k</m:t>
        </m:r>
      </m:oMath>
      <w:r>
        <w:rPr>
          <w:rFonts w:hint="eastAsia" w:ascii="Times New Roman" w:hAnsi="Times New Roman"/>
          <w:sz w:val="24"/>
        </w:rPr>
        <w:t>一般取3～6次。用温度计测量环境温度，运用数据处理软件计算容积表并按附录D将其修正至标准温度20 ℃下。在每次扫描得到的容积表中，读取</w:t>
      </w:r>
      <m:oMath>
        <m:r>
          <m:rPr/>
          <w:rPr>
            <w:rFonts w:ascii="Cambria Math" w:hAnsi="Cambria Math"/>
            <w:sz w:val="24"/>
          </w:rPr>
          <m:t>Hrr</m:t>
        </m:r>
      </m:oMath>
      <w:r>
        <w:rPr>
          <w:rFonts w:ascii="Times New Roman" w:hAnsi="Times New Roman"/>
          <w:i/>
          <w:sz w:val="24"/>
        </w:rPr>
        <w:t xml:space="preserve"> </w:t>
      </w:r>
      <w:r>
        <w:rPr>
          <w:rFonts w:hint="eastAsia" w:ascii="Times New Roman" w:hAnsi="Times New Roman"/>
          <w:sz w:val="24"/>
        </w:rPr>
        <w:t>对应的容积</w:t>
      </w:r>
      <m:oMath>
        <m:sSub>
          <m:sSubPr>
            <m:ctrlPr>
              <w:rPr>
                <w:rFonts w:ascii="Cambria Math" w:hAnsi="Cambria Math"/>
                <w:i/>
                <w:sz w:val="24"/>
                <w:szCs w:val="24"/>
              </w:rPr>
            </m:ctrlPr>
          </m:sSubPr>
          <m:e>
            <m:r>
              <m:rPr/>
              <w:rPr>
                <w:rFonts w:ascii="Cambria Math" w:hAnsi="Cambria Math"/>
                <w:sz w:val="24"/>
                <w:szCs w:val="24"/>
              </w:rPr>
              <m:t>Vmr</m:t>
            </m:r>
            <m:ctrlPr>
              <w:rPr>
                <w:rFonts w:ascii="Cambria Math" w:hAnsi="Cambria Math"/>
                <w:i/>
                <w:sz w:val="24"/>
                <w:szCs w:val="24"/>
              </w:rPr>
            </m:ctrlPr>
          </m:e>
          <m:sub>
            <m:r>
              <m:rPr/>
              <w:rPr>
                <w:rFonts w:ascii="Cambria Math" w:hAnsi="Cambria Math"/>
                <w:sz w:val="24"/>
                <w:szCs w:val="24"/>
              </w:rPr>
              <m:t>t</m:t>
            </m:r>
            <m:ctrlPr>
              <w:rPr>
                <w:rFonts w:ascii="Cambria Math" w:hAnsi="Cambria Math"/>
                <w:i/>
                <w:sz w:val="24"/>
                <w:szCs w:val="24"/>
              </w:rPr>
            </m:ctrlPr>
          </m:sub>
        </m:sSub>
      </m:oMath>
      <w:r>
        <w:rPr>
          <w:rFonts w:hint="eastAsia" w:ascii="Times New Roman" w:hAnsi="Times New Roman"/>
          <w:sz w:val="24"/>
          <w:szCs w:val="24"/>
        </w:rPr>
        <w:t>，</w:t>
      </w:r>
      <w:r>
        <w:rPr>
          <w:rFonts w:ascii="Cambria Math" w:hAnsi="Cambria Math"/>
          <w:i/>
          <w:sz w:val="24"/>
        </w:rPr>
        <w:t xml:space="preserve"> </w:t>
      </w:r>
      <m:oMath>
        <m:r>
          <m:rPr/>
          <w:rPr>
            <w:rFonts w:ascii="Cambria Math" w:hAnsi="Cambria Math"/>
            <w:sz w:val="24"/>
          </w:rPr>
          <m:t>t=1,2,…k</m:t>
        </m:r>
      </m:oMath>
      <w:r>
        <w:rPr>
          <w:rFonts w:hint="eastAsia" w:ascii="Times New Roman" w:hAnsi="Times New Roman"/>
          <w:sz w:val="24"/>
        </w:rPr>
        <w:t>。按极差法计算重复性，极差系数见表2</w:t>
      </w:r>
      <w:r>
        <w:rPr>
          <w:rFonts w:hint="eastAsia" w:ascii="宋体" w:hAnsi="宋体"/>
          <w:sz w:val="24"/>
        </w:rPr>
        <w:t>。</w:t>
      </w:r>
    </w:p>
    <w:p w14:paraId="7EA2607D">
      <w:pPr>
        <w:snapToGrid w:val="0"/>
        <w:jc w:val="center"/>
        <w:rPr>
          <w:rFonts w:hint="eastAsia" w:ascii="黑体" w:hAnsi="黑体" w:eastAsia="黑体"/>
          <w:szCs w:val="21"/>
        </w:rPr>
      </w:pPr>
      <w:r>
        <w:rPr>
          <w:rFonts w:hint="eastAsia" w:ascii="黑体" w:hAnsi="黑体" w:eastAsia="黑体"/>
          <w:szCs w:val="21"/>
        </w:rPr>
        <w:t>表</w:t>
      </w:r>
      <w:r>
        <w:rPr>
          <w:rFonts w:ascii="黑体" w:hAnsi="黑体" w:eastAsia="黑体"/>
          <w:szCs w:val="21"/>
        </w:rPr>
        <w:t>2</w:t>
      </w:r>
      <w:r>
        <w:rPr>
          <w:rFonts w:hint="eastAsia" w:ascii="黑体" w:hAnsi="黑体" w:eastAsia="黑体"/>
          <w:szCs w:val="21"/>
        </w:rPr>
        <w:t xml:space="preserve"> 极差系数</w:t>
      </w:r>
    </w:p>
    <w:tbl>
      <w:tblPr>
        <w:tblStyle w:val="15"/>
        <w:tblW w:w="5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981"/>
        <w:gridCol w:w="981"/>
        <w:gridCol w:w="982"/>
        <w:gridCol w:w="981"/>
      </w:tblGrid>
      <w:tr w14:paraId="2BF5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14:paraId="365C983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测量次数</w:t>
            </w:r>
          </w:p>
        </w:tc>
        <w:tc>
          <w:tcPr>
            <w:tcW w:w="981" w:type="dxa"/>
          </w:tcPr>
          <w:p w14:paraId="19494DA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3</w:t>
            </w:r>
          </w:p>
        </w:tc>
        <w:tc>
          <w:tcPr>
            <w:tcW w:w="981" w:type="dxa"/>
          </w:tcPr>
          <w:p w14:paraId="2C35C6C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4</w:t>
            </w:r>
          </w:p>
        </w:tc>
        <w:tc>
          <w:tcPr>
            <w:tcW w:w="982" w:type="dxa"/>
          </w:tcPr>
          <w:p w14:paraId="2618A85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5</w:t>
            </w:r>
          </w:p>
        </w:tc>
        <w:tc>
          <w:tcPr>
            <w:tcW w:w="981" w:type="dxa"/>
          </w:tcPr>
          <w:p w14:paraId="1AFE49AD">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6</w:t>
            </w:r>
          </w:p>
        </w:tc>
      </w:tr>
      <w:tr w14:paraId="08C5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14:paraId="73516289">
            <w:pPr>
              <w:spacing w:line="360" w:lineRule="auto"/>
              <w:jc w:val="center"/>
              <w:rPr>
                <w:rFonts w:ascii="Times New Roman" w:hAnsi="Times New Roman" w:eastAsiaTheme="minorEastAsia"/>
                <w:szCs w:val="21"/>
              </w:rPr>
            </w:pPr>
            <m:oMathPara>
              <m:oMath>
                <m:r>
                  <m:rPr/>
                  <w:rPr>
                    <w:rFonts w:ascii="Cambria Math" w:hAnsi="Cambria Math" w:eastAsiaTheme="minorEastAsia"/>
                    <w:szCs w:val="21"/>
                  </w:rPr>
                  <m:t>C</m:t>
                </m:r>
              </m:oMath>
            </m:oMathPara>
          </w:p>
        </w:tc>
        <w:tc>
          <w:tcPr>
            <w:tcW w:w="981" w:type="dxa"/>
          </w:tcPr>
          <w:p w14:paraId="143E18E9">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1.69</w:t>
            </w:r>
          </w:p>
        </w:tc>
        <w:tc>
          <w:tcPr>
            <w:tcW w:w="981" w:type="dxa"/>
          </w:tcPr>
          <w:p w14:paraId="2D4E4EE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2.06</w:t>
            </w:r>
          </w:p>
        </w:tc>
        <w:tc>
          <w:tcPr>
            <w:tcW w:w="982" w:type="dxa"/>
          </w:tcPr>
          <w:p w14:paraId="3036C15A">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2.33</w:t>
            </w:r>
          </w:p>
        </w:tc>
        <w:tc>
          <w:tcPr>
            <w:tcW w:w="981" w:type="dxa"/>
          </w:tcPr>
          <w:p w14:paraId="3FA458B6">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2.53</w:t>
            </w:r>
          </w:p>
        </w:tc>
      </w:tr>
    </w:tbl>
    <w:p w14:paraId="1E8FF655">
      <w:pPr>
        <w:pStyle w:val="3"/>
        <w:numPr>
          <w:ilvl w:val="0"/>
          <w:numId w:val="5"/>
        </w:numPr>
        <w:spacing w:before="0" w:after="0" w:line="360" w:lineRule="auto"/>
        <w:rPr>
          <w:rFonts w:hint="eastAsia" w:ascii="宋体" w:hAnsi="宋体"/>
          <w:b w:val="0"/>
          <w:sz w:val="24"/>
          <w:szCs w:val="24"/>
        </w:rPr>
      </w:pPr>
      <w:r>
        <w:rPr>
          <w:rFonts w:hint="eastAsia" w:ascii="宋体" w:hAnsi="宋体"/>
          <w:b w:val="0"/>
          <w:sz w:val="24"/>
          <w:szCs w:val="24"/>
        </w:rPr>
        <w:t xml:space="preserve"> </w:t>
      </w:r>
      <w:bookmarkStart w:id="17" w:name="_Toc488765418"/>
      <w:r>
        <w:rPr>
          <w:rFonts w:hint="eastAsia" w:ascii="宋体" w:hAnsi="宋体"/>
          <w:b w:val="0"/>
          <w:sz w:val="24"/>
          <w:szCs w:val="24"/>
        </w:rPr>
        <w:t>示值误差</w:t>
      </w:r>
      <w:bookmarkEnd w:id="17"/>
      <w:bookmarkStart w:id="18" w:name="示值？示值误差？"/>
      <w:bookmarkEnd w:id="18"/>
    </w:p>
    <w:p w14:paraId="13E9E955">
      <w:pPr>
        <w:spacing w:line="360" w:lineRule="auto"/>
        <w:ind w:firstLine="480" w:firstLineChars="200"/>
        <w:rPr>
          <w:rFonts w:ascii="Times New Roman" w:hAnsi="Times New Roman"/>
          <w:sz w:val="24"/>
        </w:rPr>
      </w:pPr>
      <w:r>
        <w:rPr>
          <w:rFonts w:hint="eastAsia" w:ascii="Times New Roman" w:hAnsi="Times New Roman"/>
          <w:sz w:val="24"/>
        </w:rPr>
        <w:t>选取不少于2台不同型号的检测罐进行示值</w:t>
      </w:r>
      <w:r>
        <w:rPr>
          <w:rFonts w:hint="eastAsia" w:ascii="Times New Roman" w:hAnsi="Times New Roman"/>
          <w:sz w:val="24"/>
          <w:szCs w:val="24"/>
        </w:rPr>
        <w:t>误差</w:t>
      </w:r>
      <w:r>
        <w:rPr>
          <w:rFonts w:hint="eastAsia" w:ascii="Times New Roman" w:hAnsi="Times New Roman"/>
          <w:sz w:val="24"/>
        </w:rPr>
        <w:t>校准，对检测罐进行3次扫描测量。用温度计测量环境温度，运用数据处理软件计算容积表并按附录D将其修正至标准温度20 ℃下。读取</w:t>
      </w:r>
      <m:oMath>
        <m:sSub>
          <m:sSubPr>
            <m:ctrlPr>
              <w:rPr>
                <w:rFonts w:ascii="Cambria Math" w:hAnsi="Cambria Math"/>
                <w:i/>
                <w:sz w:val="24"/>
              </w:rPr>
            </m:ctrlPr>
          </m:sSubPr>
          <m:e>
            <m:r>
              <m:rPr/>
              <w:rPr>
                <w:rFonts w:ascii="Cambria Math" w:hAnsi="Cambria Math"/>
                <w:sz w:val="24"/>
              </w:rPr>
              <m:t>Hre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对应的容积</w:t>
      </w: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i,j,u</m:t>
            </m:r>
            <m:ctrlPr>
              <w:rPr>
                <w:rFonts w:ascii="Cambria Math" w:hAnsi="Cambria Math"/>
                <w:i/>
                <w:sz w:val="24"/>
              </w:rPr>
            </m:ctrlPr>
          </m:sub>
        </m:sSub>
      </m:oMath>
      <w:r>
        <w:rPr>
          <w:rFonts w:hint="eastAsia" w:ascii="Times New Roman" w:hAnsi="Times New Roman"/>
          <w:sz w:val="24"/>
        </w:rPr>
        <w:t>；</w:t>
      </w:r>
      <w:r>
        <w:rPr>
          <w:rFonts w:ascii="Cambria Math" w:hAnsi="Cambria Math"/>
          <w:i/>
          <w:sz w:val="24"/>
        </w:rPr>
        <w:t xml:space="preserve"> </w:t>
      </w:r>
      <m:oMath>
        <m:r>
          <m:rPr/>
          <w:rPr>
            <w:rFonts w:ascii="Cambria Math" w:hAnsi="Cambria Math"/>
            <w:sz w:val="24"/>
          </w:rPr>
          <m:t>u</m:t>
        </m:r>
      </m:oMath>
      <w:r>
        <w:rPr>
          <w:rFonts w:hint="eastAsia" w:ascii="宋体" w:hAnsi="宋体"/>
          <w:sz w:val="24"/>
        </w:rPr>
        <w:t>为扫描次数，</w:t>
      </w:r>
      <m:oMath>
        <m:r>
          <m:rPr/>
          <w:rPr>
            <w:rFonts w:ascii="Cambria Math" w:hAnsi="Cambria Math"/>
            <w:sz w:val="24"/>
          </w:rPr>
          <m:t>u=1,2,3</m:t>
        </m:r>
      </m:oMath>
      <w:r>
        <w:rPr>
          <w:rFonts w:hint="eastAsia" w:ascii="Times New Roman" w:hAnsi="Times New Roman"/>
          <w:sz w:val="24"/>
        </w:rPr>
        <w:t>。以每个校准点的中位值</w:t>
      </w: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作为各点的容积测得值。按公式（1）计算每个校准点的示值误差。示值误差校准结果的测量不确定度见附录F。</w:t>
      </w:r>
    </w:p>
    <w:tbl>
      <w:tblPr>
        <w:tblStyle w:val="15"/>
        <w:tblW w:w="0" w:type="auto"/>
        <w:tblInd w:w="0" w:type="dxa"/>
        <w:tblLayout w:type="autofit"/>
        <w:tblCellMar>
          <w:top w:w="0" w:type="dxa"/>
          <w:left w:w="108" w:type="dxa"/>
          <w:bottom w:w="0" w:type="dxa"/>
          <w:right w:w="108" w:type="dxa"/>
        </w:tblCellMar>
      </w:tblPr>
      <w:tblGrid>
        <w:gridCol w:w="7480"/>
        <w:gridCol w:w="816"/>
      </w:tblGrid>
      <w:tr w14:paraId="5F47245F">
        <w:tc>
          <w:tcPr>
            <w:tcW w:w="7480" w:type="dxa"/>
            <w:vAlign w:val="center"/>
          </w:tcPr>
          <w:p w14:paraId="0FA91C2D">
            <w:pPr>
              <w:spacing w:line="360" w:lineRule="auto"/>
              <w:ind w:firstLine="3674" w:firstLineChars="1531"/>
              <w:jc w:val="center"/>
              <w:rPr>
                <w:rFonts w:hint="eastAsia" w:ascii="宋体" w:hAnsi="宋体"/>
                <w:sz w:val="24"/>
                <w:szCs w:val="24"/>
              </w:rPr>
            </w:pPr>
            <m:oMathPara>
              <m:oMathParaPr>
                <m:jc m:val="center"/>
              </m:oMathParaPr>
              <m:oMath>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m:oMathPara>
          </w:p>
        </w:tc>
        <w:tc>
          <w:tcPr>
            <w:tcW w:w="816" w:type="dxa"/>
            <w:vAlign w:val="center"/>
          </w:tcPr>
          <w:p w14:paraId="65AAA9F6">
            <w:pPr>
              <w:spacing w:line="360" w:lineRule="auto"/>
              <w:jc w:val="right"/>
              <w:rPr>
                <w:sz w:val="24"/>
                <w:szCs w:val="24"/>
              </w:rPr>
            </w:pPr>
            <w:r>
              <w:rPr>
                <w:rFonts w:hint="eastAsia"/>
                <w:sz w:val="24"/>
                <w:szCs w:val="24"/>
              </w:rPr>
              <w:t>（</w:t>
            </w:r>
            <w:r>
              <w:rPr>
                <w:rFonts w:hint="eastAsia" w:ascii="宋体" w:hAnsi="宋体"/>
                <w:sz w:val="24"/>
              </w:rPr>
              <w:t>1</w:t>
            </w:r>
            <w:r>
              <w:rPr>
                <w:rFonts w:hint="eastAsia"/>
                <w:sz w:val="24"/>
                <w:szCs w:val="24"/>
              </w:rPr>
              <w:t>）</w:t>
            </w:r>
          </w:p>
        </w:tc>
      </w:tr>
    </w:tbl>
    <w:p w14:paraId="474B40D4">
      <w:pPr>
        <w:spacing w:line="360" w:lineRule="auto"/>
        <w:ind w:firstLine="424" w:firstLineChars="177"/>
        <w:jc w:val="left"/>
        <w:rPr>
          <w:rFonts w:hint="eastAsia" w:ascii="宋体" w:hAnsi="宋体"/>
          <w:sz w:val="24"/>
        </w:rPr>
      </w:pPr>
      <w:r>
        <w:rPr>
          <w:rFonts w:hint="eastAsia" w:ascii="宋体" w:hAnsi="宋体"/>
          <w:sz w:val="24"/>
        </w:rPr>
        <w:t>式中</w:t>
      </w:r>
      <w:r>
        <w:rPr>
          <w:rFonts w:ascii="宋体" w:hAnsi="宋体"/>
          <w:sz w:val="24"/>
        </w:rPr>
        <w:t>：</w:t>
      </w:r>
    </w:p>
    <w:p w14:paraId="2D02E992">
      <w:pPr>
        <w:spacing w:line="360" w:lineRule="auto"/>
        <w:ind w:left="420" w:firstLine="4" w:firstLineChars="2"/>
        <w:rPr>
          <w:rFonts w:hint="eastAsia" w:ascii="宋体" w:hAnsi="宋体"/>
          <w:i/>
          <w:sz w:val="24"/>
        </w:rPr>
      </w:pPr>
      <m:oMath>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个校准点示值误差</w:t>
      </w:r>
      <w:r>
        <w:rPr>
          <w:rFonts w:ascii="宋体" w:hAnsi="宋体"/>
          <w:sz w:val="24"/>
        </w:rPr>
        <w:t>，L；</w:t>
      </w:r>
    </w:p>
    <w:p w14:paraId="63C756BC">
      <w:pPr>
        <w:spacing w:line="360" w:lineRule="auto"/>
        <w:ind w:firstLine="424" w:firstLineChars="177"/>
        <w:rPr>
          <w:rFonts w:hint="eastAsia" w:ascii="宋体" w:hAnsi="宋体"/>
          <w:sz w:val="24"/>
        </w:rPr>
      </w:pP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个校准点容积测得值</w:t>
      </w:r>
      <w:r>
        <w:rPr>
          <w:rFonts w:ascii="宋体" w:hAnsi="宋体"/>
          <w:sz w:val="24"/>
        </w:rPr>
        <w:t>，L；</w:t>
      </w:r>
    </w:p>
    <w:p w14:paraId="71575C2F">
      <w:pPr>
        <w:spacing w:line="360" w:lineRule="auto"/>
        <w:ind w:firstLine="424" w:firstLineChars="177"/>
        <w:rPr>
          <w:rFonts w:hint="eastAsia" w:ascii="宋体" w:hAnsi="宋体"/>
          <w:sz w:val="24"/>
        </w:rPr>
      </w:pP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w:t>
      </w:r>
      <w:r>
        <w:rPr>
          <w:rFonts w:ascii="宋体" w:hAnsi="宋体"/>
          <w:sz w:val="24"/>
        </w:rPr>
        <w:t>容积</w:t>
      </w:r>
      <w:r>
        <w:rPr>
          <w:rFonts w:hint="eastAsia" w:ascii="宋体" w:hAnsi="宋体"/>
          <w:sz w:val="24"/>
        </w:rPr>
        <w:t>参考值</w:t>
      </w:r>
      <w:r>
        <w:rPr>
          <w:rFonts w:ascii="宋体" w:hAnsi="宋体"/>
          <w:sz w:val="24"/>
        </w:rPr>
        <w:t>，L；</w:t>
      </w:r>
    </w:p>
    <w:p w14:paraId="3F787AE0">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19" w:name="_Toc488765419"/>
      <w:r>
        <w:rPr>
          <w:rFonts w:hint="eastAsia" w:ascii="黑体" w:hAnsi="黑体" w:eastAsia="黑体"/>
          <w:b w:val="0"/>
          <w:sz w:val="24"/>
          <w:szCs w:val="24"/>
        </w:rPr>
        <w:t>校准结果表达</w:t>
      </w:r>
      <w:bookmarkEnd w:id="19"/>
    </w:p>
    <w:p w14:paraId="0C0EAA56">
      <w:pPr>
        <w:spacing w:line="360" w:lineRule="auto"/>
        <w:ind w:firstLine="480" w:firstLineChars="200"/>
        <w:rPr>
          <w:rFonts w:hint="eastAsia" w:ascii="宋体" w:hAnsi="宋体"/>
          <w:sz w:val="24"/>
        </w:rPr>
      </w:pPr>
      <w:r>
        <w:rPr>
          <w:rFonts w:hint="eastAsia" w:ascii="宋体" w:hAnsi="宋体"/>
          <w:sz w:val="24"/>
        </w:rPr>
        <w:t>扫描仪经校准后出具校准证书，校准证书应覆盖</w:t>
      </w:r>
      <w:r>
        <w:rPr>
          <w:rFonts w:ascii="宋体" w:hAnsi="宋体"/>
          <w:sz w:val="24"/>
        </w:rPr>
        <w:t>附录E所</w:t>
      </w:r>
      <w:r>
        <w:rPr>
          <w:rFonts w:hint="eastAsia" w:ascii="宋体" w:hAnsi="宋体"/>
          <w:sz w:val="24"/>
        </w:rPr>
        <w:t>列内容。</w:t>
      </w:r>
    </w:p>
    <w:p w14:paraId="29A9593E">
      <w:pPr>
        <w:pStyle w:val="2"/>
        <w:numPr>
          <w:ilvl w:val="0"/>
          <w:numId w:val="1"/>
        </w:numPr>
        <w:spacing w:before="312" w:beforeLines="100" w:after="312" w:afterLines="100" w:line="240" w:lineRule="auto"/>
        <w:ind w:left="284" w:hanging="284"/>
        <w:rPr>
          <w:rFonts w:hint="eastAsia" w:ascii="黑体" w:hAnsi="黑体" w:eastAsia="黑体"/>
          <w:b w:val="0"/>
          <w:sz w:val="24"/>
          <w:szCs w:val="24"/>
        </w:rPr>
      </w:pPr>
      <w:bookmarkStart w:id="20" w:name="_Toc488765420"/>
      <w:r>
        <w:rPr>
          <w:rFonts w:hint="eastAsia" w:ascii="黑体" w:hAnsi="黑体" w:eastAsia="黑体"/>
          <w:b w:val="0"/>
          <w:sz w:val="24"/>
          <w:szCs w:val="24"/>
        </w:rPr>
        <w:t>复校时间</w:t>
      </w:r>
      <w:r>
        <w:rPr>
          <w:rFonts w:ascii="黑体" w:hAnsi="黑体" w:eastAsia="黑体"/>
          <w:b w:val="0"/>
          <w:sz w:val="24"/>
          <w:szCs w:val="24"/>
        </w:rPr>
        <w:t>间隔</w:t>
      </w:r>
      <w:bookmarkEnd w:id="20"/>
    </w:p>
    <w:p w14:paraId="60D17B9C">
      <w:pPr>
        <w:spacing w:line="360" w:lineRule="auto"/>
        <w:ind w:firstLine="480" w:firstLineChars="200"/>
        <w:rPr>
          <w:rFonts w:hint="eastAsia" w:ascii="宋体" w:hAnsi="宋体"/>
          <w:sz w:val="24"/>
        </w:rPr>
        <w:sectPr>
          <w:pgSz w:w="11906" w:h="16838"/>
          <w:pgMar w:top="1440" w:right="1800" w:bottom="1440" w:left="1800" w:header="850" w:footer="471" w:gutter="0"/>
          <w:pgNumType w:start="1"/>
          <w:cols w:space="425" w:num="1"/>
          <w:docGrid w:type="lines" w:linePitch="312" w:charSpace="0"/>
        </w:sectPr>
      </w:pPr>
      <w:r>
        <w:rPr>
          <w:rFonts w:hint="eastAsia" w:ascii="宋体" w:hAnsi="宋体"/>
          <w:sz w:val="24"/>
        </w:rPr>
        <w:t>复校</w:t>
      </w:r>
      <w:r>
        <w:rPr>
          <w:rFonts w:ascii="宋体" w:hAnsi="宋体"/>
          <w:sz w:val="24"/>
        </w:rPr>
        <w:t>时间间隔</w:t>
      </w:r>
      <w:r>
        <w:rPr>
          <w:rFonts w:hint="eastAsia" w:ascii="宋体" w:hAnsi="宋体"/>
          <w:sz w:val="24"/>
        </w:rPr>
        <w:t>一般不超过12个</w:t>
      </w:r>
      <w:r>
        <w:rPr>
          <w:rFonts w:ascii="宋体" w:hAnsi="宋体"/>
          <w:sz w:val="24"/>
        </w:rPr>
        <w:t>月</w:t>
      </w:r>
      <w:r>
        <w:rPr>
          <w:rFonts w:hint="eastAsia" w:ascii="宋体" w:hAnsi="宋体"/>
          <w:sz w:val="24"/>
        </w:rPr>
        <w:t>。</w:t>
      </w:r>
    </w:p>
    <w:p w14:paraId="5F7FF293">
      <w:pPr>
        <w:pStyle w:val="2"/>
        <w:spacing w:before="0" w:after="0" w:line="240" w:lineRule="auto"/>
        <w:ind w:left="2268" w:hanging="2268" w:hangingChars="810"/>
        <w:rPr>
          <w:rFonts w:ascii="Times New Roman" w:hAnsi="Times New Roman" w:eastAsia="黑体"/>
          <w:b w:val="0"/>
          <w:kern w:val="0"/>
          <w:sz w:val="28"/>
          <w:szCs w:val="28"/>
        </w:rPr>
      </w:pPr>
      <w:bookmarkStart w:id="21" w:name="_Toc488765421"/>
      <w:bookmarkStart w:id="22" w:name="_Toc470536972"/>
      <w:r>
        <w:rPr>
          <w:rFonts w:hint="eastAsia" w:ascii="黑体" w:hAnsi="黑体" w:eastAsia="黑体"/>
          <w:b w:val="0"/>
          <w:kern w:val="0"/>
          <w:sz w:val="28"/>
          <w:szCs w:val="28"/>
        </w:rPr>
        <w:t>附</w:t>
      </w:r>
      <w:r>
        <w:rPr>
          <w:rFonts w:hint="eastAsia" w:ascii="Times New Roman" w:hAnsi="Times New Roman" w:eastAsia="黑体"/>
          <w:b w:val="0"/>
          <w:kern w:val="0"/>
          <w:sz w:val="28"/>
          <w:szCs w:val="28"/>
        </w:rPr>
        <w:t>录A</w:t>
      </w:r>
      <w:r>
        <w:rPr>
          <w:rFonts w:hint="eastAsia" w:ascii="Times New Roman" w:hAnsi="Times New Roman" w:eastAsia="黑体"/>
          <w:b w:val="0"/>
          <w:kern w:val="0"/>
          <w:sz w:val="28"/>
          <w:szCs w:val="28"/>
        </w:rPr>
        <w:br w:type="textWrapping"/>
      </w:r>
      <w:r>
        <w:rPr>
          <w:rFonts w:hint="eastAsia" w:ascii="Times New Roman" w:hAnsi="Times New Roman" w:eastAsia="黑体"/>
          <w:b w:val="0"/>
          <w:kern w:val="0"/>
          <w:sz w:val="28"/>
          <w:szCs w:val="28"/>
        </w:rPr>
        <w:t>三维激光扫描法的罐体容积计算</w:t>
      </w:r>
      <w:bookmarkEnd w:id="21"/>
    </w:p>
    <w:p w14:paraId="4A89E89D">
      <w:pPr>
        <w:rPr>
          <w:rFonts w:ascii="Times New Roman" w:hAnsi="Times New Roman"/>
          <w:sz w:val="24"/>
        </w:rPr>
      </w:pPr>
      <w:r>
        <w:rPr>
          <w:rFonts w:hint="eastAsia" w:ascii="Times New Roman" w:hAnsi="Times New Roman"/>
          <w:sz w:val="24"/>
        </w:rPr>
        <w:t>A.1  罐体容积</w:t>
      </w:r>
    </w:p>
    <w:p w14:paraId="27ADA880">
      <w:pPr>
        <w:spacing w:line="360" w:lineRule="auto"/>
        <w:ind w:firstLine="476"/>
        <w:rPr>
          <w:rFonts w:ascii="Times New Roman" w:hAnsi="Times New Roman"/>
          <w:sz w:val="24"/>
        </w:rPr>
      </w:pPr>
      <w:r>
        <w:rPr>
          <w:rFonts w:hint="eastAsia" w:ascii="Times New Roman" w:hAnsi="Times New Roman"/>
          <w:sz w:val="24"/>
        </w:rPr>
        <w:t>对点云进行滤波，去除罐体内、外杂点，并将点云沿铅垂方向切分成</w:t>
      </w:r>
      <w:r>
        <w:rPr>
          <w:rFonts w:hint="eastAsia" w:ascii="Times New Roman" w:hAnsi="Times New Roman"/>
          <w:i/>
          <w:sz w:val="24"/>
        </w:rPr>
        <w:t>N</w:t>
      </w:r>
      <w:r>
        <w:rPr>
          <w:rFonts w:hint="eastAsia" w:ascii="Times New Roman" w:hAnsi="Times New Roman"/>
          <w:sz w:val="24"/>
        </w:rPr>
        <w:t>等分，每一等分都是足够薄（厚度不大于10 mm）的水平薄片；计算每个薄片的体积，累加得到罐体容积，按公式（A.1）计算：</w:t>
      </w:r>
    </w:p>
    <w:p w14:paraId="4C260BB1">
      <w:pPr>
        <w:snapToGrid w:val="0"/>
        <w:spacing w:line="480" w:lineRule="auto"/>
        <w:ind w:left="840" w:firstLine="480" w:firstLineChars="20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position w:val="-28"/>
          <w:sz w:val="24"/>
        </w:rPr>
        <w:object>
          <v:shape id="_x0000_i1026" o:spt="75" type="#_x0000_t75" style="height:34.55pt;width:47.2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 xml:space="preserve">     </w:t>
      </w:r>
      <w:r>
        <w:rPr>
          <w:rFonts w:hint="eastAsia" w:ascii="Times New Roman" w:hAnsi="Times New Roman"/>
          <w:sz w:val="24"/>
        </w:rPr>
        <w:t>（A.1）</w:t>
      </w:r>
    </w:p>
    <w:p w14:paraId="6A9B734B">
      <w:pPr>
        <w:snapToGrid w:val="0"/>
        <w:spacing w:line="360" w:lineRule="auto"/>
        <w:ind w:firstLine="480" w:firstLineChars="200"/>
        <w:rPr>
          <w:rFonts w:ascii="Times New Roman" w:hAnsi="Times New Roman"/>
          <w:kern w:val="0"/>
          <w:sz w:val="24"/>
        </w:rPr>
      </w:pPr>
      <w:r>
        <w:rPr>
          <w:rFonts w:hint="eastAsia" w:ascii="Times New Roman" w:hAnsi="Times New Roman"/>
          <w:kern w:val="0"/>
          <w:sz w:val="24"/>
        </w:rPr>
        <w:t>式中：</w:t>
      </w:r>
    </w:p>
    <w:p w14:paraId="68A2F6F6">
      <w:pPr>
        <w:snapToGrid w:val="0"/>
        <w:spacing w:line="360" w:lineRule="auto"/>
        <w:ind w:firstLine="424" w:firstLineChars="177"/>
        <w:rPr>
          <w:rFonts w:ascii="Times New Roman" w:hAnsi="Times New Roman"/>
          <w:kern w:val="0"/>
          <w:sz w:val="24"/>
        </w:rPr>
      </w:pPr>
      <w:r>
        <w:rPr>
          <w:rFonts w:ascii="Times New Roman" w:hAnsi="Times New Roman"/>
          <w:position w:val="-6"/>
          <w:sz w:val="24"/>
        </w:rPr>
        <w:object>
          <v:shape id="_x0000_i1027" o:spt="75" type="#_x0000_t75" style="height:14.4pt;width:12.1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Times New Roman" w:hAnsi="Times New Roman"/>
          <w:sz w:val="24"/>
        </w:rPr>
        <w:t>——罐体容积，L；</w:t>
      </w:r>
    </w:p>
    <w:p w14:paraId="4EE918BA">
      <w:pPr>
        <w:snapToGrid w:val="0"/>
        <w:spacing w:line="360" w:lineRule="auto"/>
        <w:ind w:firstLine="424" w:firstLineChars="177"/>
        <w:rPr>
          <w:rFonts w:ascii="Times New Roman" w:hAnsi="Times New Roman"/>
          <w:kern w:val="0"/>
          <w:sz w:val="24"/>
        </w:rPr>
      </w:pPr>
      <w:r>
        <w:rPr>
          <w:rFonts w:ascii="Times New Roman" w:hAnsi="Times New Roman"/>
          <w:position w:val="-12"/>
          <w:sz w:val="24"/>
        </w:rPr>
        <w:object>
          <v:shape id="_x0000_i1028" o:spt="75" type="#_x0000_t75" style="height:19.6pt;width:12.1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Times New Roman" w:hAnsi="Times New Roman"/>
          <w:sz w:val="24"/>
        </w:rPr>
        <w:t>——第</w:t>
      </w:r>
      <w:r>
        <w:rPr>
          <w:rFonts w:ascii="Times New Roman" w:hAnsi="Times New Roman"/>
          <w:i/>
          <w:sz w:val="24"/>
        </w:rPr>
        <w:t>i</w:t>
      </w:r>
      <w:r>
        <w:rPr>
          <w:rFonts w:hint="eastAsia" w:ascii="Times New Roman" w:hAnsi="Times New Roman"/>
          <w:sz w:val="24"/>
        </w:rPr>
        <w:t>个水平薄片的体积，L；</w:t>
      </w:r>
    </w:p>
    <w:p w14:paraId="5F667DD9">
      <w:pPr>
        <w:snapToGrid w:val="0"/>
        <w:spacing w:line="360" w:lineRule="auto"/>
        <w:ind w:firstLine="424" w:firstLineChars="177"/>
        <w:rPr>
          <w:rFonts w:ascii="Times New Roman" w:hAnsi="Times New Roman"/>
          <w:sz w:val="24"/>
        </w:rPr>
      </w:pPr>
      <w:r>
        <w:rPr>
          <w:rFonts w:ascii="Times New Roman" w:hAnsi="Times New Roman"/>
          <w:position w:val="-6"/>
          <w:sz w:val="24"/>
        </w:rPr>
        <w:object>
          <v:shape id="_x0000_i1029" o:spt="75" type="#_x0000_t75" style="height:14.4pt;width:14.4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Times New Roman" w:hAnsi="Times New Roman"/>
          <w:sz w:val="24"/>
        </w:rPr>
        <w:t>——水平薄片的数量。</w:t>
      </w:r>
    </w:p>
    <w:p w14:paraId="79F6C558">
      <w:pPr>
        <w:tabs>
          <w:tab w:val="right" w:pos="8306"/>
        </w:tabs>
        <w:spacing w:line="360" w:lineRule="auto"/>
        <w:rPr>
          <w:rFonts w:ascii="Times New Roman" w:hAnsi="Times New Roman"/>
          <w:sz w:val="24"/>
        </w:rPr>
      </w:pPr>
      <w:r>
        <w:rPr>
          <w:rFonts w:hint="eastAsia" w:ascii="Times New Roman" w:hAnsi="Times New Roman"/>
          <w:sz w:val="24"/>
        </w:rPr>
        <w:t>A.2  水平薄片体积</w:t>
      </w:r>
      <w:r>
        <w:rPr>
          <w:rFonts w:hint="eastAsia" w:ascii="Times New Roman" w:hAnsi="Times New Roman"/>
          <w:sz w:val="24"/>
        </w:rPr>
        <w:tab/>
      </w:r>
    </w:p>
    <w:p w14:paraId="0AFDC72B">
      <w:pPr>
        <w:snapToGrid w:val="0"/>
        <w:spacing w:line="440" w:lineRule="exact"/>
        <w:ind w:firstLine="480" w:firstLineChars="200"/>
        <w:rPr>
          <w:rFonts w:ascii="Times New Roman" w:hAnsi="Times New Roman"/>
          <w:sz w:val="24"/>
        </w:rPr>
      </w:pPr>
      <w:r>
        <w:rPr>
          <w:rFonts w:hint="eastAsia" w:ascii="Times New Roman" w:hAnsi="Times New Roman"/>
          <w:sz w:val="24"/>
        </w:rPr>
        <w:t>第</w:t>
      </w:r>
      <w:r>
        <w:rPr>
          <w:rFonts w:ascii="Times New Roman" w:hAnsi="Times New Roman"/>
          <w:i/>
          <w:sz w:val="24"/>
        </w:rPr>
        <w:t>i</w:t>
      </w:r>
      <w:r>
        <w:rPr>
          <w:rFonts w:hint="eastAsia" w:ascii="Times New Roman" w:hAnsi="Times New Roman"/>
          <w:sz w:val="24"/>
        </w:rPr>
        <w:t>个水平薄片的体积</w:t>
      </w:r>
      <w:r>
        <w:rPr>
          <w:rFonts w:ascii="Times New Roman" w:hAnsi="Times New Roman"/>
          <w:i/>
          <w:sz w:val="24"/>
        </w:rPr>
        <w:t>V</w:t>
      </w:r>
      <w:r>
        <w:rPr>
          <w:rFonts w:ascii="Times New Roman" w:hAnsi="Times New Roman"/>
          <w:i/>
          <w:sz w:val="24"/>
          <w:vertAlign w:val="subscript"/>
        </w:rPr>
        <w:t>i</w:t>
      </w:r>
      <w:r>
        <w:rPr>
          <w:rFonts w:hint="eastAsia" w:ascii="Times New Roman" w:hAnsi="Times New Roman"/>
          <w:sz w:val="24"/>
        </w:rPr>
        <w:t>按公式（A.2）计算：</w:t>
      </w:r>
    </w:p>
    <w:p w14:paraId="44CE7C63">
      <w:pPr>
        <w:snapToGrid w:val="0"/>
        <w:ind w:left="840" w:firstLine="1144" w:firstLineChars="477"/>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position w:val="-24"/>
          <w:sz w:val="24"/>
        </w:rPr>
        <w:object>
          <v:shape id="_x0000_i1030" o:spt="75" type="#_x0000_t75" style="height:35.15pt;width:156.1pt;" o:ole="t" filled="f" o:preferrelative="t" stroked="f" coordsize="21600,21600">
            <v:path/>
            <v:fill on="f" focussize="0,0"/>
            <v:stroke on="f" joinstyle="miter"/>
            <v:imagedata r:id="rId26" o:title=""/>
            <o:lock v:ext="edit" aspectratio="t"/>
            <w10:wrap type="none"/>
            <w10:anchorlock/>
          </v:shape>
          <o:OLEObject Type="Embed" ProgID="Equation.DSMT4" ShapeID="_x0000_i1030" DrawAspect="Content" ObjectID="_1468075730" r:id="rId25">
            <o:LockedField>false</o:LockedField>
          </o:OLEObject>
        </w:objec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 xml:space="preserve">     </w:t>
      </w:r>
      <w:r>
        <w:rPr>
          <w:rFonts w:hint="eastAsia" w:ascii="Times New Roman" w:hAnsi="Times New Roman"/>
          <w:sz w:val="24"/>
        </w:rPr>
        <w:t>（A.2）</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14:paraId="4086AB8B">
      <w:pPr>
        <w:snapToGrid w:val="0"/>
        <w:ind w:firstLine="480" w:firstLineChars="200"/>
        <w:rPr>
          <w:rFonts w:ascii="Times New Roman" w:hAnsi="Times New Roman"/>
          <w:kern w:val="0"/>
          <w:sz w:val="24"/>
        </w:rPr>
      </w:pPr>
      <w:r>
        <w:rPr>
          <w:rFonts w:hint="eastAsia" w:ascii="Times New Roman" w:hAnsi="Times New Roman"/>
          <w:kern w:val="0"/>
          <w:sz w:val="24"/>
        </w:rPr>
        <w:t>其中</w:t>
      </w:r>
      <w:r>
        <w:rPr>
          <w:rFonts w:ascii="Times New Roman" w:hAnsi="Times New Roman"/>
          <w:position w:val="-12"/>
          <w:sz w:val="24"/>
        </w:rPr>
        <w:object>
          <v:shape id="_x0000_i1031" o:spt="75" type="#_x0000_t75" style="height:19.6pt;width:61.6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Times New Roman" w:hAnsi="Times New Roman"/>
          <w:sz w:val="24"/>
        </w:rPr>
        <w:t>，</w:t>
      </w:r>
    </w:p>
    <w:p w14:paraId="096FDB93">
      <w:pPr>
        <w:snapToGrid w:val="0"/>
        <w:spacing w:line="440" w:lineRule="exact"/>
        <w:ind w:firstLine="480" w:firstLineChars="200"/>
        <w:rPr>
          <w:rFonts w:ascii="Times New Roman" w:hAnsi="Times New Roman"/>
          <w:kern w:val="0"/>
          <w:sz w:val="24"/>
        </w:rPr>
      </w:pPr>
      <w:r>
        <w:rPr>
          <w:rFonts w:hint="eastAsia" w:ascii="Times New Roman" w:hAnsi="Times New Roman"/>
          <w:kern w:val="0"/>
          <w:sz w:val="24"/>
        </w:rPr>
        <w:t>式中：</w:t>
      </w:r>
      <w:r>
        <w:rPr>
          <w:rFonts w:ascii="Times New Roman" w:hAnsi="Times New Roman"/>
          <w:kern w:val="0"/>
          <w:sz w:val="24"/>
        </w:rPr>
        <w:tab/>
      </w:r>
    </w:p>
    <w:p w14:paraId="23475558">
      <w:pPr>
        <w:snapToGrid w:val="0"/>
        <w:spacing w:line="440" w:lineRule="exact"/>
        <w:ind w:firstLine="480" w:firstLineChars="200"/>
        <w:rPr>
          <w:rFonts w:ascii="Times New Roman" w:hAnsi="Times New Roman"/>
          <w:sz w:val="24"/>
        </w:rPr>
      </w:pPr>
      <w:r>
        <w:rPr>
          <w:rFonts w:ascii="Times New Roman" w:hAnsi="Times New Roman"/>
          <w:i/>
          <w:sz w:val="24"/>
          <w:szCs w:val="24"/>
        </w:rPr>
        <w:t>S</w:t>
      </w:r>
      <w:r>
        <w:rPr>
          <w:rFonts w:ascii="Times New Roman" w:hAnsi="Times New Roman"/>
          <w:i/>
          <w:sz w:val="24"/>
          <w:szCs w:val="24"/>
          <w:vertAlign w:val="subscript"/>
        </w:rPr>
        <w:t>i</w:t>
      </w:r>
      <w:r>
        <w:rPr>
          <w:rFonts w:hint="eastAsia" w:ascii="Times New Roman" w:hAnsi="Times New Roman"/>
          <w:i/>
          <w:sz w:val="24"/>
          <w:szCs w:val="24"/>
          <w:vertAlign w:val="subscript"/>
        </w:rPr>
        <w:t xml:space="preserve">  </w:t>
      </w:r>
      <w:r>
        <w:rPr>
          <w:rFonts w:hint="eastAsia" w:ascii="Times New Roman" w:hAnsi="Times New Roman"/>
          <w:sz w:val="24"/>
        </w:rPr>
        <w:t>——第</w:t>
      </w:r>
      <w:r>
        <w:rPr>
          <w:rFonts w:ascii="Times New Roman" w:hAnsi="Times New Roman"/>
          <w:i/>
          <w:sz w:val="24"/>
          <w:szCs w:val="24"/>
        </w:rPr>
        <w:t>i</w:t>
      </w:r>
      <w:r>
        <w:rPr>
          <w:rFonts w:hint="eastAsia" w:ascii="Times New Roman" w:hAnsi="Times New Roman"/>
          <w:sz w:val="24"/>
        </w:rPr>
        <w:t>个水平薄片的底面积，mm</w:t>
      </w:r>
      <w:r>
        <w:rPr>
          <w:rFonts w:hint="eastAsia" w:ascii="Times New Roman" w:hAnsi="Times New Roman"/>
          <w:sz w:val="24"/>
          <w:vertAlign w:val="superscript"/>
        </w:rPr>
        <w:t>2</w:t>
      </w:r>
      <w:r>
        <w:rPr>
          <w:rFonts w:hint="eastAsia" w:ascii="Times New Roman" w:hAnsi="Times New Roman"/>
          <w:sz w:val="24"/>
        </w:rPr>
        <w:t>；</w:t>
      </w:r>
    </w:p>
    <w:p w14:paraId="02A1DAA1">
      <w:pPr>
        <w:snapToGrid w:val="0"/>
        <w:spacing w:line="440" w:lineRule="exact"/>
        <w:ind w:firstLine="424" w:firstLineChars="177"/>
        <w:rPr>
          <w:rFonts w:ascii="Times New Roman" w:hAnsi="Times New Roman"/>
          <w:sz w:val="24"/>
        </w:rPr>
      </w:pPr>
      <w:r>
        <w:rPr>
          <w:rFonts w:ascii="Times New Roman" w:hAnsi="Times New Roman"/>
          <w:i/>
          <w:sz w:val="24"/>
          <w:szCs w:val="24"/>
        </w:rPr>
        <w:t>S</w:t>
      </w:r>
      <w:r>
        <w:rPr>
          <w:rFonts w:ascii="Times New Roman" w:hAnsi="Times New Roman"/>
          <w:i/>
          <w:sz w:val="24"/>
          <w:szCs w:val="24"/>
          <w:vertAlign w:val="subscript"/>
        </w:rPr>
        <w:t>i+1</w:t>
      </w:r>
      <w:r>
        <w:rPr>
          <w:rFonts w:hint="eastAsia" w:ascii="Times New Roman" w:hAnsi="Times New Roman"/>
          <w:i/>
          <w:sz w:val="24"/>
          <w:szCs w:val="24"/>
          <w:vertAlign w:val="subscript"/>
        </w:rPr>
        <w:t xml:space="preserve">  </w:t>
      </w:r>
      <w:r>
        <w:rPr>
          <w:rFonts w:hint="eastAsia" w:ascii="Times New Roman" w:hAnsi="Times New Roman"/>
          <w:sz w:val="24"/>
        </w:rPr>
        <w:t>——第</w:t>
      </w:r>
      <w:r>
        <w:rPr>
          <w:rFonts w:ascii="Times New Roman" w:hAnsi="Times New Roman"/>
          <w:i/>
          <w:sz w:val="24"/>
        </w:rPr>
        <w:t>i</w:t>
      </w:r>
      <w:r>
        <w:rPr>
          <w:rFonts w:ascii="Times New Roman" w:hAnsi="Times New Roman"/>
          <w:sz w:val="24"/>
        </w:rPr>
        <w:t>+1</w:t>
      </w:r>
      <w:r>
        <w:rPr>
          <w:rFonts w:hint="eastAsia" w:ascii="Times New Roman" w:hAnsi="Times New Roman"/>
          <w:sz w:val="24"/>
        </w:rPr>
        <w:t>个水平薄片的底面积，mm</w:t>
      </w:r>
      <w:r>
        <w:rPr>
          <w:rFonts w:hint="eastAsia" w:ascii="Times New Roman" w:hAnsi="Times New Roman"/>
          <w:sz w:val="24"/>
          <w:vertAlign w:val="superscript"/>
        </w:rPr>
        <w:t>2</w:t>
      </w:r>
      <w:r>
        <w:rPr>
          <w:rFonts w:hint="eastAsia" w:ascii="Times New Roman" w:hAnsi="Times New Roman"/>
          <w:sz w:val="24"/>
        </w:rPr>
        <w:t>；</w:t>
      </w:r>
    </w:p>
    <w:p w14:paraId="164CF4CF">
      <w:pPr>
        <w:snapToGrid w:val="0"/>
        <w:spacing w:line="440" w:lineRule="exact"/>
        <w:ind w:firstLine="424" w:firstLineChars="177"/>
        <w:rPr>
          <w:rFonts w:ascii="Times New Roman" w:hAnsi="Times New Roman"/>
          <w:sz w:val="24"/>
        </w:rPr>
      </w:pPr>
      <w:r>
        <w:rPr>
          <w:rFonts w:hint="eastAsia" w:ascii="Times New Roman" w:hAnsi="Times New Roman"/>
          <w:sz w:val="24"/>
        </w:rPr>
        <w:sym w:font="Symbol" w:char="F044"/>
      </w:r>
      <w:r>
        <w:rPr>
          <w:rFonts w:ascii="Times New Roman" w:hAnsi="Times New Roman"/>
          <w:i/>
          <w:sz w:val="24"/>
        </w:rPr>
        <w:t>h</w:t>
      </w:r>
      <w:r>
        <w:rPr>
          <w:rFonts w:hint="eastAsia" w:ascii="Times New Roman" w:hAnsi="Times New Roman"/>
          <w:i/>
          <w:sz w:val="24"/>
        </w:rPr>
        <w:t xml:space="preserve">  </w:t>
      </w:r>
      <w:r>
        <w:rPr>
          <w:rFonts w:hint="eastAsia" w:ascii="Times New Roman" w:hAnsi="Times New Roman"/>
          <w:sz w:val="24"/>
        </w:rPr>
        <w:t>——水平薄片的厚度，mm；</w:t>
      </w:r>
    </w:p>
    <w:p w14:paraId="21586406">
      <w:pPr>
        <w:snapToGrid w:val="0"/>
        <w:spacing w:line="440" w:lineRule="exact"/>
        <w:ind w:firstLine="424" w:firstLineChars="177"/>
        <w:rPr>
          <w:rFonts w:ascii="Times New Roman" w:hAnsi="Times New Roman"/>
          <w:sz w:val="24"/>
        </w:rPr>
      </w:pPr>
      <w:r>
        <w:rPr>
          <w:rFonts w:ascii="Times New Roman" w:hAnsi="Times New Roman"/>
          <w:i/>
          <w:sz w:val="24"/>
        </w:rPr>
        <w:t>h</w:t>
      </w:r>
      <w:r>
        <w:rPr>
          <w:rFonts w:ascii="Times New Roman" w:hAnsi="Times New Roman"/>
          <w:i/>
          <w:sz w:val="24"/>
          <w:vertAlign w:val="subscript"/>
        </w:rPr>
        <w:t>G</w:t>
      </w:r>
      <w:r>
        <w:rPr>
          <w:rFonts w:hint="eastAsia" w:ascii="Times New Roman" w:hAnsi="Times New Roman"/>
          <w:i/>
          <w:sz w:val="24"/>
          <w:vertAlign w:val="subscript"/>
        </w:rPr>
        <w:t xml:space="preserve">  </w:t>
      </w:r>
      <w:r>
        <w:rPr>
          <w:rFonts w:hint="eastAsia" w:ascii="Times New Roman" w:hAnsi="Times New Roman"/>
          <w:sz w:val="24"/>
        </w:rPr>
        <w:t>——点云中罐体最高点到最低点的铅垂距离，mm；</w:t>
      </w:r>
    </w:p>
    <w:p w14:paraId="5701F4D9">
      <w:pPr>
        <w:snapToGrid w:val="0"/>
        <w:spacing w:line="440" w:lineRule="exact"/>
        <w:ind w:firstLine="424" w:firstLineChars="177"/>
        <w:rPr>
          <w:rFonts w:ascii="Times New Roman" w:hAnsi="Times New Roman"/>
          <w:sz w:val="24"/>
        </w:rPr>
      </w:pPr>
      <w:r>
        <w:rPr>
          <w:rFonts w:ascii="Times New Roman" w:hAnsi="Times New Roman"/>
          <w:i/>
          <w:sz w:val="24"/>
        </w:rPr>
        <w:t>N</w:t>
      </w:r>
      <w:r>
        <w:rPr>
          <w:rFonts w:hint="eastAsia" w:ascii="Times New Roman" w:hAnsi="Times New Roman"/>
          <w:i/>
          <w:sz w:val="24"/>
        </w:rPr>
        <w:t xml:space="preserve">  </w:t>
      </w:r>
      <w:r>
        <w:rPr>
          <w:rFonts w:hint="eastAsia" w:ascii="Times New Roman" w:hAnsi="Times New Roman"/>
          <w:sz w:val="24"/>
        </w:rPr>
        <w:t>——水平薄片的数量。</w:t>
      </w:r>
    </w:p>
    <w:p w14:paraId="011B0B4B">
      <w:pPr>
        <w:spacing w:line="360" w:lineRule="auto"/>
        <w:rPr>
          <w:rFonts w:ascii="Times New Roman" w:hAnsi="Times New Roman"/>
          <w:sz w:val="24"/>
        </w:rPr>
      </w:pPr>
      <w:r>
        <w:rPr>
          <w:rFonts w:hint="eastAsia" w:ascii="Times New Roman" w:hAnsi="Times New Roman"/>
          <w:sz w:val="24"/>
        </w:rPr>
        <w:t>A.3  水平薄片的底面积</w:t>
      </w:r>
    </w:p>
    <w:p w14:paraId="058CE34A">
      <w:pPr>
        <w:spacing w:line="360" w:lineRule="auto"/>
        <w:ind w:firstLine="476"/>
        <w:rPr>
          <w:rFonts w:ascii="Times New Roman" w:hAnsi="Times New Roman"/>
          <w:sz w:val="24"/>
        </w:rPr>
      </w:pPr>
      <w:r>
        <w:rPr>
          <w:rFonts w:hint="eastAsia" w:ascii="Times New Roman" w:hAnsi="Times New Roman"/>
          <w:sz w:val="24"/>
        </w:rPr>
        <w:t>点云的第</w:t>
      </w:r>
      <w:r>
        <w:rPr>
          <w:rFonts w:ascii="Times New Roman" w:hAnsi="Times New Roman"/>
          <w:i/>
          <w:sz w:val="24"/>
        </w:rPr>
        <w:t>i</w:t>
      </w:r>
      <w:r>
        <w:rPr>
          <w:rFonts w:hint="eastAsia" w:ascii="Times New Roman" w:hAnsi="Times New Roman"/>
          <w:sz w:val="24"/>
        </w:rPr>
        <w:t>个水平薄片有</w:t>
      </w:r>
      <w:r>
        <w:rPr>
          <w:rFonts w:ascii="Times New Roman" w:hAnsi="Times New Roman"/>
          <w:i/>
          <w:sz w:val="24"/>
        </w:rPr>
        <w:t>m</w:t>
      </w:r>
      <w:r>
        <w:rPr>
          <w:rFonts w:hint="eastAsia" w:ascii="Times New Roman" w:hAnsi="Times New Roman"/>
          <w:sz w:val="24"/>
        </w:rPr>
        <w:t>个点。将每个点向水平薄片底面投影，得到</w:t>
      </w:r>
      <w:r>
        <w:rPr>
          <w:rFonts w:ascii="Times New Roman" w:hAnsi="Times New Roman"/>
          <w:i/>
          <w:sz w:val="24"/>
        </w:rPr>
        <w:t>m</w:t>
      </w:r>
      <w:r>
        <w:rPr>
          <w:rFonts w:hint="eastAsia" w:ascii="Times New Roman" w:hAnsi="Times New Roman"/>
          <w:sz w:val="24"/>
        </w:rPr>
        <w:t>个投影点</w:t>
      </w:r>
      <w:r>
        <w:rPr>
          <w:rFonts w:hint="eastAsia" w:ascii="Times New Roman" w:hAnsi="Times New Roman"/>
          <w:i/>
          <w:sz w:val="24"/>
        </w:rPr>
        <w:t>c</w:t>
      </w:r>
      <w:r>
        <w:rPr>
          <w:rFonts w:hint="eastAsia" w:ascii="Times New Roman" w:hAnsi="Times New Roman"/>
          <w:sz w:val="24"/>
          <w:vertAlign w:val="subscript"/>
        </w:rPr>
        <w:t>1</w:t>
      </w:r>
      <w:r>
        <w:rPr>
          <w:rFonts w:hint="eastAsia"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2</w:t>
      </w:r>
      <w:r>
        <w:rPr>
          <w:rFonts w:hint="eastAsia"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3</w:t>
      </w:r>
      <w:r>
        <w:rPr>
          <w:rFonts w:hint="eastAsia"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j</w:t>
      </w:r>
      <w:r>
        <w:rPr>
          <w:rFonts w:hint="eastAsia" w:ascii="Times New Roman" w:hAnsi="Times New Roman"/>
          <w:sz w:val="24"/>
          <w:vertAlign w:val="subscript"/>
        </w:rPr>
        <w:t>+1</w:t>
      </w:r>
      <w:r>
        <w:rPr>
          <w:rFonts w:hint="eastAsia"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j</w:t>
      </w:r>
      <w:r>
        <w:rPr>
          <w:rFonts w:hint="eastAsia" w:ascii="Times New Roman" w:hAnsi="Times New Roman"/>
          <w:sz w:val="24"/>
          <w:vertAlign w:val="subscript"/>
        </w:rPr>
        <w:t>+2</w:t>
      </w:r>
      <w:r>
        <w:rPr>
          <w:rFonts w:hint="eastAsia"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m</w:t>
      </w:r>
      <w:r>
        <w:rPr>
          <w:rFonts w:hint="eastAsia" w:ascii="Times New Roman" w:hAnsi="Times New Roman"/>
          <w:sz w:val="24"/>
        </w:rPr>
        <w:t>；连接点</w:t>
      </w:r>
      <w:r>
        <w:rPr>
          <w:rFonts w:hint="eastAsia" w:ascii="Times New Roman" w:hAnsi="Times New Roman"/>
          <w:i/>
          <w:sz w:val="24"/>
        </w:rPr>
        <w:t>C</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2</w:t>
      </w:r>
      <w:r>
        <w:rPr>
          <w:rFonts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3</w:t>
      </w:r>
      <w:r>
        <w:rPr>
          <w:rFonts w:hint="eastAsia" w:ascii="Times New Roman" w:hAnsi="Times New Roman"/>
          <w:sz w:val="24"/>
        </w:rPr>
        <w:t>得到三角形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sz w:val="24"/>
          <w:vertAlign w:val="subscript"/>
        </w:rPr>
        <w:t>1</w:t>
      </w:r>
      <w:r>
        <w:rPr>
          <w:rFonts w:hint="eastAsia" w:ascii="Times New Roman" w:hAnsi="Times New Roman"/>
          <w:sz w:val="24"/>
        </w:rPr>
        <w:t>；连接点</w:t>
      </w:r>
      <w:r>
        <w:rPr>
          <w:rFonts w:hint="eastAsia" w:ascii="Times New Roman" w:hAnsi="Times New Roman"/>
          <w:i/>
          <w:sz w:val="24"/>
        </w:rPr>
        <w:t>C</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3</w:t>
      </w:r>
      <w:r>
        <w:rPr>
          <w:rFonts w:ascii="Times New Roman" w:hAnsi="Times New Roman"/>
          <w:sz w:val="24"/>
        </w:rPr>
        <w:t>,</w:t>
      </w:r>
      <w:r>
        <w:rPr>
          <w:rFonts w:hint="eastAsia" w:ascii="Times New Roman" w:hAnsi="Times New Roman"/>
          <w:i/>
          <w:sz w:val="24"/>
        </w:rPr>
        <w:t>C</w:t>
      </w:r>
      <w:r>
        <w:rPr>
          <w:rFonts w:hint="eastAsia" w:ascii="Times New Roman" w:hAnsi="Times New Roman"/>
          <w:sz w:val="24"/>
          <w:vertAlign w:val="subscript"/>
        </w:rPr>
        <w:t>4</w:t>
      </w:r>
      <w:r>
        <w:rPr>
          <w:rFonts w:hint="eastAsia" w:ascii="Times New Roman" w:hAnsi="Times New Roman"/>
          <w:sz w:val="24"/>
        </w:rPr>
        <w:t>得到三角形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sz w:val="24"/>
          <w:vertAlign w:val="subscript"/>
        </w:rPr>
        <w:t>2</w:t>
      </w:r>
      <w:r>
        <w:rPr>
          <w:rFonts w:hint="eastAsia" w:ascii="Times New Roman" w:hAnsi="Times New Roman"/>
          <w:sz w:val="24"/>
        </w:rPr>
        <w:t>；…；连接点</w:t>
      </w:r>
      <w:r>
        <w:rPr>
          <w:rFonts w:hint="eastAsia" w:ascii="Times New Roman" w:hAnsi="Times New Roman"/>
          <w:i/>
          <w:sz w:val="24"/>
        </w:rPr>
        <w:t>C</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j</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j</w:t>
      </w:r>
      <w:r>
        <w:rPr>
          <w:rFonts w:hint="eastAsia" w:ascii="Times New Roman" w:hAnsi="Times New Roman"/>
          <w:sz w:val="24"/>
          <w:vertAlign w:val="subscript"/>
        </w:rPr>
        <w:t>+2</w:t>
      </w:r>
      <w:r>
        <w:rPr>
          <w:rFonts w:hint="eastAsia" w:ascii="Times New Roman" w:hAnsi="Times New Roman"/>
          <w:sz w:val="24"/>
        </w:rPr>
        <w:t>得到三角形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i/>
          <w:sz w:val="24"/>
          <w:vertAlign w:val="subscript"/>
        </w:rPr>
        <w:t>j</w:t>
      </w:r>
      <w:r>
        <w:rPr>
          <w:rFonts w:hint="eastAsia" w:ascii="Times New Roman" w:hAnsi="Times New Roman"/>
          <w:sz w:val="24"/>
        </w:rPr>
        <w:t>；…；连接点</w:t>
      </w:r>
      <w:r>
        <w:rPr>
          <w:rFonts w:hint="eastAsia" w:ascii="Times New Roman" w:hAnsi="Times New Roman"/>
          <w:i/>
          <w:sz w:val="24"/>
        </w:rPr>
        <w:t>C</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m</w:t>
      </w:r>
      <w:r>
        <w:rPr>
          <w:rFonts w:ascii="Times New Roman" w:hAnsi="Times New Roman"/>
          <w:sz w:val="24"/>
          <w:vertAlign w:val="subscript"/>
        </w:rPr>
        <w:t>-</w:t>
      </w:r>
      <w:r>
        <w:rPr>
          <w:rFonts w:hint="eastAsia" w:ascii="Times New Roman" w:hAnsi="Times New Roman"/>
          <w:sz w:val="24"/>
          <w:vertAlign w:val="subscript"/>
        </w:rPr>
        <w:t>1</w:t>
      </w:r>
      <w:r>
        <w:rPr>
          <w:rFonts w:ascii="Times New Roman" w:hAnsi="Times New Roman"/>
          <w:sz w:val="24"/>
        </w:rPr>
        <w:t>,</w:t>
      </w:r>
      <w:r>
        <w:rPr>
          <w:rFonts w:hint="eastAsia" w:ascii="Times New Roman" w:hAnsi="Times New Roman"/>
          <w:i/>
          <w:sz w:val="24"/>
        </w:rPr>
        <w:t>C</w:t>
      </w:r>
      <w:r>
        <w:rPr>
          <w:rFonts w:hint="eastAsia" w:ascii="Times New Roman" w:hAnsi="Times New Roman"/>
          <w:i/>
          <w:sz w:val="24"/>
          <w:vertAlign w:val="subscript"/>
        </w:rPr>
        <w:t>m</w:t>
      </w:r>
      <w:r>
        <w:rPr>
          <w:rFonts w:hint="eastAsia" w:ascii="Times New Roman" w:hAnsi="Times New Roman"/>
          <w:sz w:val="24"/>
        </w:rPr>
        <w:t>得到三角形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i/>
          <w:sz w:val="24"/>
          <w:vertAlign w:val="subscript"/>
        </w:rPr>
        <w:t>m</w:t>
      </w:r>
      <w:r>
        <w:rPr>
          <w:rFonts w:hint="eastAsia" w:ascii="Times New Roman" w:hAnsi="Times New Roman"/>
          <w:sz w:val="24"/>
          <w:vertAlign w:val="subscript"/>
        </w:rPr>
        <w:t>-2</w:t>
      </w:r>
      <w:r>
        <w:rPr>
          <w:rFonts w:hint="eastAsia" w:ascii="Times New Roman" w:hAnsi="Times New Roman"/>
          <w:sz w:val="24"/>
        </w:rPr>
        <w:t>。见图A.1。</w:t>
      </w:r>
    </w:p>
    <w:p w14:paraId="08F8335A">
      <w:pPr>
        <w:jc w:val="center"/>
        <w:rPr>
          <w:rFonts w:ascii="Times New Roman" w:hAnsi="Times New Roman"/>
          <w:sz w:val="24"/>
        </w:rPr>
      </w:pPr>
      <w:r>
        <w:rPr>
          <w:rFonts w:ascii="Times New Roman" w:hAnsi="Times New Roman"/>
          <w:sz w:val="24"/>
        </w:rPr>
        <w:drawing>
          <wp:inline distT="0" distB="0" distL="0" distR="0">
            <wp:extent cx="4302125" cy="2536825"/>
            <wp:effectExtent l="19050" t="0" r="3175"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29" cstate="print"/>
                    <a:srcRect/>
                    <a:stretch>
                      <a:fillRect/>
                    </a:stretch>
                  </pic:blipFill>
                  <pic:spPr>
                    <a:xfrm>
                      <a:off x="0" y="0"/>
                      <a:ext cx="4302125" cy="2536825"/>
                    </a:xfrm>
                    <a:prstGeom prst="rect">
                      <a:avLst/>
                    </a:prstGeom>
                    <a:noFill/>
                    <a:ln w="9525">
                      <a:noFill/>
                      <a:miter lim="800000"/>
                      <a:headEnd/>
                      <a:tailEnd/>
                    </a:ln>
                  </pic:spPr>
                </pic:pic>
              </a:graphicData>
            </a:graphic>
          </wp:inline>
        </w:drawing>
      </w:r>
    </w:p>
    <w:p w14:paraId="34D6BBC7">
      <w:pPr>
        <w:jc w:val="center"/>
        <w:rPr>
          <w:rFonts w:ascii="Times New Roman" w:hAnsi="Times New Roman"/>
          <w:szCs w:val="21"/>
        </w:rPr>
      </w:pPr>
      <w:r>
        <w:rPr>
          <w:rFonts w:hint="eastAsia" w:ascii="Times New Roman" w:hAnsi="Times New Roman"/>
          <w:szCs w:val="21"/>
        </w:rPr>
        <w:t>图A.1 点云水平薄片底面积计算方法示意图</w:t>
      </w:r>
    </w:p>
    <w:p w14:paraId="2CEE7EB8">
      <w:pPr>
        <w:snapToGrid w:val="0"/>
        <w:spacing w:line="440" w:lineRule="exact"/>
        <w:ind w:firstLine="480" w:firstLineChars="200"/>
        <w:rPr>
          <w:rFonts w:ascii="Times New Roman" w:hAnsi="Times New Roman"/>
          <w:sz w:val="24"/>
        </w:rPr>
      </w:pPr>
      <w:r>
        <w:rPr>
          <w:rFonts w:hint="eastAsia" w:ascii="Times New Roman" w:hAnsi="Times New Roman"/>
          <w:sz w:val="24"/>
        </w:rPr>
        <w:t>第</w:t>
      </w:r>
      <w:r>
        <w:rPr>
          <w:rFonts w:ascii="Times New Roman" w:hAnsi="Times New Roman"/>
          <w:i/>
          <w:sz w:val="24"/>
        </w:rPr>
        <w:t>i</w:t>
      </w:r>
      <w:r>
        <w:rPr>
          <w:rFonts w:hint="eastAsia" w:ascii="Times New Roman" w:hAnsi="Times New Roman"/>
          <w:sz w:val="24"/>
        </w:rPr>
        <w:t>个水平薄片的底面积</w:t>
      </w:r>
      <w:r>
        <w:rPr>
          <w:rFonts w:hint="eastAsia" w:ascii="Times New Roman" w:hAnsi="Times New Roman"/>
          <w:i/>
          <w:kern w:val="0"/>
          <w:sz w:val="24"/>
        </w:rPr>
        <w:t>S</w:t>
      </w:r>
      <w:r>
        <w:rPr>
          <w:rFonts w:hint="eastAsia" w:ascii="Times New Roman" w:hAnsi="Times New Roman"/>
          <w:i/>
          <w:kern w:val="0"/>
          <w:sz w:val="24"/>
          <w:vertAlign w:val="subscript"/>
        </w:rPr>
        <w:t>i</w:t>
      </w:r>
      <w:r>
        <w:rPr>
          <w:rFonts w:hint="eastAsia" w:ascii="Times New Roman" w:hAnsi="Times New Roman"/>
          <w:sz w:val="24"/>
        </w:rPr>
        <w:t>按公式（A.3）计算：</w:t>
      </w:r>
    </w:p>
    <w:p w14:paraId="54801217">
      <w:pPr>
        <w:snapToGrid w:val="0"/>
        <w:ind w:left="840" w:firstLine="42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position w:val="-30"/>
          <w:sz w:val="24"/>
        </w:rPr>
        <w:object>
          <v:shape id="_x0000_i1032" o:spt="75" type="#_x0000_t75" style="height:35.15pt;width:57.6pt;" o:ole="t" filled="f" o:preferrelative="t" stroked="f" coordsize="21600,21600">
            <v:path/>
            <v:fill on="f" focussize="0,0"/>
            <v:stroke on="f" joinstyle="miter"/>
            <v:imagedata r:id="rId31" o:title=""/>
            <o:lock v:ext="edit" aspectratio="t"/>
            <w10:wrap type="none"/>
            <w10:anchorlock/>
          </v:shape>
          <o:OLEObject Type="Embed" ProgID="Equation.3" ShapeID="_x0000_i1032" DrawAspect="Content" ObjectID="_1468075732" r:id="rId30">
            <o:LockedField>false</o:LockedField>
          </o:OLEObject>
        </w:objec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hint="eastAsia" w:ascii="Times New Roman" w:hAnsi="Times New Roman"/>
          <w:sz w:val="24"/>
        </w:rPr>
        <w:t>（A.3）</w:t>
      </w:r>
    </w:p>
    <w:p w14:paraId="5042CD81">
      <w:pPr>
        <w:snapToGrid w:val="0"/>
        <w:spacing w:line="440" w:lineRule="exact"/>
        <w:ind w:firstLine="480" w:firstLineChars="200"/>
        <w:rPr>
          <w:rFonts w:ascii="Times New Roman" w:hAnsi="Times New Roman"/>
          <w:kern w:val="0"/>
          <w:sz w:val="24"/>
        </w:rPr>
      </w:pPr>
      <w:r>
        <w:rPr>
          <w:rFonts w:hint="eastAsia" w:ascii="Times New Roman" w:hAnsi="Times New Roman"/>
          <w:kern w:val="0"/>
          <w:sz w:val="24"/>
        </w:rPr>
        <w:t>式中：</w:t>
      </w:r>
    </w:p>
    <w:p w14:paraId="2DD29CD7">
      <w:pPr>
        <w:snapToGrid w:val="0"/>
        <w:spacing w:line="440" w:lineRule="exact"/>
        <w:ind w:firstLine="480" w:firstLineChars="200"/>
        <w:rPr>
          <w:rFonts w:ascii="Times New Roman" w:hAnsi="Times New Roman"/>
          <w:kern w:val="0"/>
          <w:sz w:val="24"/>
        </w:rPr>
      </w:pPr>
      <w:r>
        <w:rPr>
          <w:rFonts w:hint="eastAsia" w:ascii="Times New Roman" w:hAnsi="Times New Roman"/>
          <w:sz w:val="24"/>
        </w:rPr>
        <w:sym w:font="Symbol" w:char="F044"/>
      </w:r>
      <w:r>
        <w:rPr>
          <w:rFonts w:hint="eastAsia" w:ascii="Times New Roman" w:hAnsi="Times New Roman"/>
          <w:i/>
          <w:kern w:val="0"/>
          <w:sz w:val="24"/>
        </w:rPr>
        <w:t>S</w:t>
      </w:r>
      <w:r>
        <w:rPr>
          <w:rFonts w:hint="eastAsia" w:ascii="Times New Roman" w:hAnsi="Times New Roman"/>
          <w:i/>
          <w:kern w:val="0"/>
          <w:sz w:val="24"/>
          <w:vertAlign w:val="subscript"/>
        </w:rPr>
        <w:t>j</w:t>
      </w:r>
      <w:r>
        <w:rPr>
          <w:rFonts w:hint="eastAsia" w:ascii="Times New Roman" w:hAnsi="Times New Roman"/>
          <w:sz w:val="24"/>
        </w:rPr>
        <w:t>——三角形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sz w:val="24"/>
          <w:vertAlign w:val="subscript"/>
        </w:rPr>
        <w:t>j</w:t>
      </w:r>
      <w:r>
        <w:rPr>
          <w:rFonts w:hint="eastAsia" w:ascii="Times New Roman" w:hAnsi="Times New Roman"/>
          <w:sz w:val="24"/>
        </w:rPr>
        <w:t>的面积，mm</w:t>
      </w:r>
      <w:r>
        <w:rPr>
          <w:rFonts w:hint="eastAsia" w:ascii="Times New Roman" w:hAnsi="Times New Roman"/>
          <w:sz w:val="24"/>
          <w:vertAlign w:val="superscript"/>
        </w:rPr>
        <w:t>2</w:t>
      </w:r>
      <w:r>
        <w:rPr>
          <w:rFonts w:hint="eastAsia" w:ascii="Times New Roman" w:hAnsi="Times New Roman"/>
          <w:sz w:val="24"/>
        </w:rPr>
        <w:t>。</w:t>
      </w:r>
    </w:p>
    <w:p w14:paraId="03D7A8D2">
      <w:pPr>
        <w:snapToGrid w:val="0"/>
        <w:spacing w:line="440" w:lineRule="exact"/>
        <w:ind w:firstLine="480" w:firstLineChars="200"/>
        <w:rPr>
          <w:rFonts w:ascii="Times New Roman" w:hAnsi="Times New Roman"/>
          <w:kern w:val="0"/>
          <w:sz w:val="24"/>
        </w:rPr>
      </w:pPr>
      <w:r>
        <w:rPr>
          <w:rFonts w:hint="eastAsia" w:ascii="Times New Roman" w:hAnsi="Times New Roman"/>
          <w:kern w:val="0"/>
          <w:sz w:val="24"/>
        </w:rPr>
        <w:t>对三</w:t>
      </w:r>
      <w:r>
        <w:rPr>
          <w:rFonts w:hint="eastAsia" w:ascii="Times New Roman" w:hAnsi="Times New Roman"/>
          <w:sz w:val="24"/>
        </w:rPr>
        <w:t>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i/>
          <w:sz w:val="24"/>
          <w:vertAlign w:val="subscript"/>
        </w:rPr>
        <w:t>j</w:t>
      </w:r>
      <w:r>
        <w:rPr>
          <w:rFonts w:hint="eastAsia" w:ascii="Times New Roman" w:hAnsi="Times New Roman"/>
          <w:sz w:val="24"/>
        </w:rPr>
        <w:t>，按公式（A.4）</w:t>
      </w:r>
      <w:r>
        <w:rPr>
          <w:rFonts w:hint="eastAsia" w:ascii="Times New Roman" w:hAnsi="Times New Roman"/>
          <w:kern w:val="0"/>
          <w:sz w:val="24"/>
        </w:rPr>
        <w:t>公式计算其面积</w:t>
      </w:r>
      <w:r>
        <w:rPr>
          <w:rFonts w:hint="eastAsia" w:ascii="Times New Roman" w:hAnsi="Times New Roman"/>
          <w:sz w:val="24"/>
        </w:rPr>
        <w:sym w:font="Symbol" w:char="F044"/>
      </w:r>
      <w:r>
        <w:rPr>
          <w:rFonts w:hint="eastAsia" w:ascii="Times New Roman" w:hAnsi="Times New Roman"/>
          <w:i/>
          <w:kern w:val="0"/>
          <w:sz w:val="24"/>
        </w:rPr>
        <w:t>S</w:t>
      </w:r>
      <w:r>
        <w:rPr>
          <w:rFonts w:hint="eastAsia" w:ascii="Times New Roman" w:hAnsi="Times New Roman"/>
          <w:i/>
          <w:kern w:val="0"/>
          <w:sz w:val="24"/>
          <w:vertAlign w:val="subscript"/>
        </w:rPr>
        <w:t>j</w:t>
      </w:r>
      <w:r>
        <w:rPr>
          <w:rFonts w:hint="eastAsia" w:ascii="Times New Roman" w:hAnsi="Times New Roman"/>
          <w:kern w:val="0"/>
          <w:sz w:val="24"/>
        </w:rPr>
        <w:t>：</w:t>
      </w:r>
    </w:p>
    <w:p w14:paraId="0374230F">
      <w:pPr>
        <w:snapToGrid w:val="0"/>
        <w:ind w:left="840" w:firstLine="420"/>
        <w:rPr>
          <w:rFonts w:ascii="Times New Roman" w:hAnsi="Times New Roman"/>
          <w:kern w:val="0"/>
          <w:sz w:val="24"/>
        </w:rPr>
      </w:pPr>
      <w:r>
        <w:rPr>
          <w:rFonts w:ascii="Times New Roman" w:hAnsi="Times New Roman"/>
          <w:sz w:val="24"/>
        </w:rPr>
        <w:tab/>
      </w:r>
      <w:r>
        <w:rPr>
          <w:rFonts w:ascii="Times New Roman" w:hAnsi="Times New Roman"/>
          <w:sz w:val="24"/>
        </w:rPr>
        <w:tab/>
      </w:r>
      <w:r>
        <w:rPr>
          <w:rFonts w:ascii="Times New Roman" w:hAnsi="Times New Roman"/>
          <w:kern w:val="0"/>
          <w:position w:val="-16"/>
          <w:sz w:val="24"/>
        </w:rPr>
        <w:object>
          <v:shape id="_x0000_i1033" o:spt="75" type="#_x0000_t75" style="height:21.9pt;width:182.6pt;" o:ole="t" filled="f" o:preferrelative="t" stroked="f" coordsize="21600,21600">
            <v:path/>
            <v:fill on="f" focussize="0,0"/>
            <v:stroke on="f" joinstyle="miter"/>
            <v:imagedata r:id="rId33" o:title=""/>
            <o:lock v:ext="edit" aspectratio="t"/>
            <w10:wrap type="none"/>
            <w10:anchorlock/>
          </v:shape>
          <o:OLEObject Type="Embed" ProgID="Equation.3" ShapeID="_x0000_i1033" DrawAspect="Content" ObjectID="_1468075733" r:id="rId32">
            <o:LockedField>false</o:LockedField>
          </o:OLEObject>
        </w:objec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hint="eastAsia" w:ascii="Times New Roman" w:hAnsi="Times New Roman"/>
          <w:sz w:val="24"/>
        </w:rPr>
        <w:t>（A.4）</w:t>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r>
        <w:rPr>
          <w:rFonts w:ascii="Times New Roman" w:hAnsi="Times New Roman"/>
          <w:kern w:val="0"/>
          <w:sz w:val="24"/>
        </w:rPr>
        <w:tab/>
      </w:r>
    </w:p>
    <w:p w14:paraId="2C050B43">
      <w:pPr>
        <w:snapToGrid w:val="0"/>
        <w:ind w:firstLine="480" w:firstLineChars="200"/>
        <w:rPr>
          <w:rFonts w:ascii="Times New Roman" w:hAnsi="Times New Roman"/>
          <w:kern w:val="0"/>
          <w:sz w:val="24"/>
        </w:rPr>
      </w:pPr>
      <w:r>
        <w:rPr>
          <w:rFonts w:hint="eastAsia" w:ascii="Times New Roman" w:hAnsi="Times New Roman"/>
          <w:kern w:val="0"/>
          <w:sz w:val="24"/>
        </w:rPr>
        <w:t>式中：</w:t>
      </w:r>
    </w:p>
    <w:p w14:paraId="1971B4B8">
      <w:pPr>
        <w:snapToGrid w:val="0"/>
        <w:ind w:firstLine="480" w:firstLineChars="200"/>
        <w:rPr>
          <w:rFonts w:ascii="Times New Roman" w:hAnsi="Times New Roman"/>
          <w:kern w:val="0"/>
          <w:sz w:val="24"/>
        </w:rPr>
      </w:pPr>
      <w:r>
        <w:rPr>
          <w:rFonts w:ascii="Times New Roman" w:hAnsi="Times New Roman"/>
          <w:position w:val="-14"/>
          <w:sz w:val="24"/>
        </w:rPr>
        <w:object>
          <v:shape id="_x0000_i1034" o:spt="75" type="#_x0000_t75" style="height:18.45pt;width:101.95pt;" o:ole="t" filled="f" o:preferrelative="t" stroked="f" coordsize="21600,21600">
            <v:path/>
            <v:fill on="f" focussize="0,0"/>
            <v:stroke on="f" joinstyle="miter"/>
            <v:imagedata r:id="rId35" o:title=""/>
            <o:lock v:ext="edit" aspectratio="t"/>
            <w10:wrap type="none"/>
            <w10:anchorlock/>
          </v:shape>
          <o:OLEObject Type="Embed" ProgID="Equation.3" ShapeID="_x0000_i1034" DrawAspect="Content" ObjectID="_1468075734" r:id="rId34">
            <o:LockedField>false</o:LockedField>
          </o:OLEObject>
        </w:object>
      </w:r>
      <w:r>
        <w:rPr>
          <w:rFonts w:hint="eastAsia" w:ascii="Times New Roman" w:hAnsi="Times New Roman"/>
          <w:sz w:val="24"/>
        </w:rPr>
        <w:t>，</w:t>
      </w:r>
    </w:p>
    <w:p w14:paraId="2AF58137">
      <w:pPr>
        <w:snapToGrid w:val="0"/>
        <w:spacing w:line="440" w:lineRule="exact"/>
        <w:ind w:firstLine="480" w:firstLineChars="200"/>
        <w:rPr>
          <w:rFonts w:hint="eastAsia" w:ascii="黑体" w:hAnsi="黑体" w:eastAsia="黑体"/>
          <w:b/>
          <w:kern w:val="0"/>
          <w:sz w:val="28"/>
          <w:szCs w:val="28"/>
        </w:rPr>
        <w:sectPr>
          <w:footerReference r:id="rId9" w:type="default"/>
          <w:pgSz w:w="11906" w:h="16838"/>
          <w:pgMar w:top="1440" w:right="1800" w:bottom="1440" w:left="1800" w:header="850" w:footer="471" w:gutter="0"/>
          <w:cols w:space="425" w:num="1"/>
          <w:docGrid w:type="lines" w:linePitch="312" w:charSpace="0"/>
        </w:sectPr>
      </w:pPr>
      <w:r>
        <w:rPr>
          <w:rFonts w:ascii="Times New Roman" w:hAnsi="Times New Roman"/>
          <w:i/>
          <w:sz w:val="24"/>
        </w:rPr>
        <w:t>a</w:t>
      </w:r>
      <w:r>
        <w:rPr>
          <w:rFonts w:ascii="Times New Roman" w:hAnsi="Times New Roman"/>
          <w:i/>
          <w:sz w:val="24"/>
          <w:vertAlign w:val="subscript"/>
        </w:rPr>
        <w:t>j</w:t>
      </w:r>
      <w:r>
        <w:rPr>
          <w:rFonts w:hint="eastAsia" w:ascii="Times New Roman" w:hAnsi="Times New Roman"/>
          <w:kern w:val="0"/>
          <w:sz w:val="24"/>
        </w:rPr>
        <w:t>，</w:t>
      </w:r>
      <w:r>
        <w:rPr>
          <w:rFonts w:ascii="Times New Roman" w:hAnsi="Times New Roman"/>
          <w:i/>
          <w:sz w:val="24"/>
        </w:rPr>
        <w:t>b</w:t>
      </w:r>
      <w:r>
        <w:rPr>
          <w:rFonts w:ascii="Times New Roman" w:hAnsi="Times New Roman"/>
          <w:i/>
          <w:sz w:val="24"/>
          <w:vertAlign w:val="subscript"/>
        </w:rPr>
        <w:t>j</w:t>
      </w:r>
      <w:r>
        <w:rPr>
          <w:rFonts w:hint="eastAsia" w:ascii="Times New Roman" w:hAnsi="Times New Roman"/>
          <w:kern w:val="0"/>
          <w:sz w:val="24"/>
        </w:rPr>
        <w:t>，</w:t>
      </w:r>
      <w:r>
        <w:rPr>
          <w:rFonts w:ascii="Times New Roman" w:hAnsi="Times New Roman"/>
          <w:i/>
          <w:sz w:val="24"/>
        </w:rPr>
        <w:t>c</w:t>
      </w:r>
      <w:r>
        <w:rPr>
          <w:rFonts w:ascii="Times New Roman" w:hAnsi="Times New Roman"/>
          <w:i/>
          <w:sz w:val="24"/>
          <w:vertAlign w:val="subscript"/>
        </w:rPr>
        <w:t>j</w:t>
      </w:r>
      <w:r>
        <w:rPr>
          <w:rFonts w:hint="eastAsia" w:ascii="Times New Roman" w:hAnsi="Times New Roman"/>
          <w:sz w:val="24"/>
        </w:rPr>
        <w:t>——</w:t>
      </w:r>
      <w:r>
        <w:rPr>
          <w:rFonts w:hint="eastAsia" w:ascii="Times New Roman" w:hAnsi="Times New Roman"/>
          <w:kern w:val="0"/>
          <w:sz w:val="24"/>
        </w:rPr>
        <w:t>三角形</w:t>
      </w:r>
      <w:r>
        <w:rPr>
          <w:rFonts w:hint="eastAsia" w:ascii="Times New Roman" w:hAnsi="Times New Roman"/>
          <w:sz w:val="24"/>
        </w:rPr>
        <w:sym w:font="Symbol" w:char="F044"/>
      </w:r>
      <w:r>
        <w:rPr>
          <w:rFonts w:hint="eastAsia" w:ascii="Times New Roman" w:hAnsi="Times New Roman"/>
          <w:i/>
          <w:sz w:val="24"/>
        </w:rPr>
        <w:t>T</w:t>
      </w:r>
      <w:r>
        <w:rPr>
          <w:rFonts w:hint="eastAsia" w:ascii="Times New Roman" w:hAnsi="Times New Roman"/>
          <w:sz w:val="24"/>
          <w:vertAlign w:val="subscript"/>
        </w:rPr>
        <w:t>j</w:t>
      </w:r>
      <w:r>
        <w:rPr>
          <w:rFonts w:hint="eastAsia" w:ascii="Times New Roman" w:hAnsi="Times New Roman"/>
          <w:kern w:val="0"/>
          <w:sz w:val="24"/>
        </w:rPr>
        <w:t>的三条边长，mm。</w:t>
      </w:r>
      <w:bookmarkEnd w:id="22"/>
    </w:p>
    <w:p w14:paraId="276AD26E">
      <w:pPr>
        <w:pStyle w:val="2"/>
        <w:spacing w:before="0" w:after="0" w:line="240" w:lineRule="auto"/>
        <w:ind w:left="6378" w:hanging="6378" w:hangingChars="2278"/>
        <w:rPr>
          <w:rFonts w:ascii="Times New Roman" w:hAnsi="Times New Roman" w:eastAsia="黑体"/>
          <w:b w:val="0"/>
          <w:kern w:val="0"/>
          <w:sz w:val="28"/>
          <w:szCs w:val="28"/>
        </w:rPr>
      </w:pPr>
      <w:bookmarkStart w:id="23" w:name="_Toc488765422"/>
      <w:r>
        <w:rPr>
          <w:rFonts w:hint="eastAsia" w:ascii="黑体" w:hAnsi="黑体" w:eastAsia="黑体"/>
          <w:b w:val="0"/>
          <w:kern w:val="0"/>
          <w:sz w:val="28"/>
          <w:szCs w:val="28"/>
        </w:rPr>
        <w:t>附</w:t>
      </w:r>
      <w:r>
        <w:rPr>
          <w:rFonts w:hint="eastAsia" w:ascii="Times New Roman" w:hAnsi="Times New Roman" w:eastAsia="黑体"/>
          <w:b w:val="0"/>
          <w:kern w:val="0"/>
          <w:sz w:val="28"/>
          <w:szCs w:val="28"/>
        </w:rPr>
        <w:t>录B</w:t>
      </w:r>
      <w:r>
        <w:rPr>
          <w:rFonts w:hint="eastAsia" w:ascii="Times New Roman" w:hAnsi="Times New Roman" w:eastAsia="黑体"/>
          <w:b w:val="0"/>
          <w:kern w:val="0"/>
          <w:sz w:val="28"/>
          <w:szCs w:val="28"/>
        </w:rPr>
        <w:br w:type="textWrapping"/>
      </w:r>
      <w:r>
        <w:rPr>
          <w:rFonts w:hint="eastAsia" w:ascii="Times New Roman" w:hAnsi="Times New Roman" w:eastAsia="黑体"/>
          <w:b w:val="0"/>
          <w:kern w:val="0"/>
          <w:sz w:val="28"/>
          <w:szCs w:val="28"/>
        </w:rPr>
        <w:t>校准记录</w:t>
      </w:r>
      <w:bookmarkEnd w:id="23"/>
    </w:p>
    <w:p w14:paraId="48178952">
      <w:pPr>
        <w:jc w:val="center"/>
        <w:rPr>
          <w:rFonts w:hint="eastAsia" w:ascii="黑体" w:hAnsi="黑体" w:eastAsia="黑体"/>
          <w:szCs w:val="21"/>
        </w:rPr>
      </w:pPr>
      <w:r>
        <w:rPr>
          <w:rFonts w:hint="eastAsia" w:ascii="Times New Roman" w:hAnsi="Times New Roman" w:eastAsia="黑体"/>
          <w:szCs w:val="21"/>
        </w:rPr>
        <w:t>表B.</w:t>
      </w:r>
      <w:r>
        <w:rPr>
          <w:rFonts w:ascii="Times New Roman" w:hAnsi="Times New Roman" w:eastAsia="黑体"/>
          <w:szCs w:val="21"/>
        </w:rPr>
        <w:fldChar w:fldCharType="begin"/>
      </w:r>
      <w:r>
        <w:rPr>
          <w:rFonts w:hint="eastAsia" w:ascii="Times New Roman" w:hAnsi="Times New Roman" w:eastAsia="黑体"/>
          <w:szCs w:val="21"/>
        </w:rPr>
        <w:instrText xml:space="preserve">SEQ 表格 \* ARABIC</w:instrText>
      </w:r>
      <w:r>
        <w:rPr>
          <w:rFonts w:ascii="Times New Roman" w:hAnsi="Times New Roman" w:eastAsia="黑体"/>
          <w:szCs w:val="21"/>
        </w:rPr>
        <w:fldChar w:fldCharType="separate"/>
      </w:r>
      <w:r>
        <w:rPr>
          <w:rFonts w:hint="eastAsia" w:ascii="Times New Roman" w:hAnsi="Times New Roman" w:eastAsia="黑体"/>
          <w:szCs w:val="21"/>
        </w:rPr>
        <w:t>1</w:t>
      </w:r>
      <w:r>
        <w:rPr>
          <w:rFonts w:ascii="Times New Roman" w:hAnsi="Times New Roman" w:eastAsia="黑体"/>
          <w:szCs w:val="21"/>
        </w:rPr>
        <w:fldChar w:fldCharType="end"/>
      </w:r>
      <w:r>
        <w:rPr>
          <w:rFonts w:hint="eastAsia" w:ascii="Times New Roman" w:hAnsi="Times New Roman" w:eastAsia="黑体"/>
          <w:szCs w:val="21"/>
        </w:rPr>
        <w:t>容量</w:t>
      </w:r>
      <w:r>
        <w:rPr>
          <w:rFonts w:ascii="黑体" w:hAnsi="黑体" w:eastAsia="黑体"/>
          <w:szCs w:val="21"/>
        </w:rPr>
        <w:t>比较法测量</w:t>
      </w:r>
      <w:r>
        <w:rPr>
          <w:rFonts w:hint="eastAsia" w:ascii="黑体" w:hAnsi="黑体" w:eastAsia="黑体"/>
          <w:szCs w:val="21"/>
        </w:rPr>
        <w:t>记录</w:t>
      </w:r>
    </w:p>
    <w:tbl>
      <w:tblPr>
        <w:tblStyle w:val="15"/>
        <w:tblW w:w="1521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97"/>
        <w:gridCol w:w="3402"/>
        <w:gridCol w:w="2268"/>
        <w:gridCol w:w="2268"/>
        <w:gridCol w:w="2268"/>
        <w:gridCol w:w="560"/>
        <w:gridCol w:w="561"/>
        <w:gridCol w:w="561"/>
        <w:gridCol w:w="560"/>
        <w:gridCol w:w="561"/>
        <w:gridCol w:w="561"/>
        <w:gridCol w:w="851"/>
      </w:tblGrid>
      <w:tr w14:paraId="23A83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tblHeader/>
          <w:jc w:val="center"/>
        </w:trPr>
        <w:tc>
          <w:tcPr>
            <w:tcW w:w="4199" w:type="dxa"/>
            <w:gridSpan w:val="2"/>
            <w:tcBorders>
              <w:top w:val="single" w:color="auto" w:sz="6" w:space="0"/>
              <w:left w:val="single" w:color="auto" w:sz="6" w:space="0"/>
              <w:bottom w:val="single" w:color="auto" w:sz="6" w:space="0"/>
              <w:right w:val="single" w:color="auto" w:sz="6" w:space="0"/>
            </w:tcBorders>
            <w:vAlign w:val="center"/>
          </w:tcPr>
          <w:p w14:paraId="72657CA7">
            <w:pPr>
              <w:spacing w:line="440" w:lineRule="exact"/>
              <w:jc w:val="center"/>
              <w:textAlignment w:val="center"/>
              <w:rPr>
                <w:rFonts w:hint="eastAsia" w:asciiTheme="minorEastAsia" w:hAnsiTheme="minorEastAsia" w:eastAsiaTheme="minorEastAsia"/>
                <w:szCs w:val="21"/>
              </w:rPr>
            </w:pPr>
            <w:r>
              <w:rPr>
                <w:rFonts w:hint="eastAsia" w:asciiTheme="minorEastAsia" w:hAnsiTheme="minorEastAsia" w:eastAsiaTheme="minorEastAsia"/>
                <w:szCs w:val="21"/>
              </w:rPr>
              <w:t>检测罐</w:t>
            </w:r>
            <w:r>
              <w:rPr>
                <w:rFonts w:asciiTheme="minorEastAsia" w:hAnsiTheme="minorEastAsia" w:eastAsiaTheme="minorEastAsia"/>
                <w:szCs w:val="21"/>
              </w:rPr>
              <w:t>编号</w:t>
            </w:r>
          </w:p>
        </w:tc>
        <w:tc>
          <w:tcPr>
            <w:tcW w:w="6804" w:type="dxa"/>
            <w:gridSpan w:val="3"/>
            <w:tcBorders>
              <w:top w:val="single" w:color="auto" w:sz="6" w:space="0"/>
              <w:left w:val="single" w:color="auto" w:sz="6" w:space="0"/>
              <w:bottom w:val="single" w:color="auto" w:sz="6" w:space="0"/>
              <w:right w:val="single" w:color="auto" w:sz="6" w:space="0"/>
            </w:tcBorders>
            <w:vAlign w:val="center"/>
          </w:tcPr>
          <w:p w14:paraId="3A6BFF2A">
            <w:pPr>
              <w:spacing w:line="440" w:lineRule="exact"/>
              <w:jc w:val="center"/>
              <w:textAlignment w:val="center"/>
              <w:rPr>
                <w:rFonts w:hint="eastAsia" w:asciiTheme="minorEastAsia" w:hAnsiTheme="minorEastAsia" w:eastAsiaTheme="minorEastAsia"/>
                <w:szCs w:val="21"/>
              </w:rPr>
            </w:pPr>
            <w:r>
              <w:rPr>
                <w:rFonts w:hint="eastAsia" w:asciiTheme="minorEastAsia" w:hAnsiTheme="minorEastAsia" w:eastAsiaTheme="minorEastAsia"/>
                <w:szCs w:val="21"/>
              </w:rPr>
              <w:t>罐型</w:t>
            </w:r>
          </w:p>
        </w:tc>
        <w:tc>
          <w:tcPr>
            <w:tcW w:w="4215" w:type="dxa"/>
            <w:gridSpan w:val="7"/>
            <w:tcBorders>
              <w:top w:val="single" w:color="auto" w:sz="6" w:space="0"/>
              <w:left w:val="single" w:color="auto" w:sz="6" w:space="0"/>
              <w:bottom w:val="single" w:color="auto" w:sz="6" w:space="0"/>
              <w:right w:val="single" w:color="auto" w:sz="6" w:space="0"/>
            </w:tcBorders>
            <w:vAlign w:val="center"/>
          </w:tcPr>
          <w:p w14:paraId="5C28C8B2">
            <w:pPr>
              <w:spacing w:line="440" w:lineRule="exact"/>
              <w:jc w:val="center"/>
              <w:textAlignment w:val="center"/>
              <w:rPr>
                <w:rFonts w:hint="eastAsia" w:asciiTheme="minorEastAsia" w:hAnsiTheme="minorEastAsia" w:eastAsiaTheme="minorEastAsia"/>
                <w:szCs w:val="21"/>
              </w:rPr>
            </w:pPr>
            <w:r>
              <w:rPr>
                <w:rFonts w:hint="eastAsia" w:asciiTheme="minorEastAsia" w:hAnsiTheme="minorEastAsia" w:eastAsiaTheme="minorEastAsia"/>
                <w:szCs w:val="21"/>
              </w:rPr>
              <w:t>容积</w:t>
            </w:r>
            <w:r>
              <w:rPr>
                <w:rFonts w:asciiTheme="minorEastAsia" w:hAnsiTheme="minorEastAsia" w:eastAsiaTheme="minorEastAsia"/>
                <w:szCs w:val="21"/>
              </w:rPr>
              <w:t>/m</w:t>
            </w:r>
            <w:r>
              <w:rPr>
                <w:rFonts w:asciiTheme="minorEastAsia" w:hAnsiTheme="minorEastAsia" w:eastAsiaTheme="minorEastAsia"/>
                <w:szCs w:val="21"/>
                <w:vertAlign w:val="superscript"/>
              </w:rPr>
              <w:t>3</w:t>
            </w:r>
          </w:p>
        </w:tc>
      </w:tr>
      <w:tr w14:paraId="3F3FA7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4199" w:type="dxa"/>
            <w:gridSpan w:val="2"/>
            <w:tcBorders>
              <w:top w:val="single" w:color="auto" w:sz="6" w:space="0"/>
              <w:left w:val="single" w:color="auto" w:sz="6" w:space="0"/>
              <w:bottom w:val="single" w:color="auto" w:sz="6" w:space="0"/>
              <w:right w:val="single" w:color="auto" w:sz="6" w:space="0"/>
            </w:tcBorders>
            <w:vAlign w:val="center"/>
          </w:tcPr>
          <w:p w14:paraId="076E6CA2">
            <w:pPr>
              <w:spacing w:line="440" w:lineRule="exact"/>
              <w:ind w:firstLine="105" w:firstLineChars="50"/>
              <w:jc w:val="center"/>
              <w:rPr>
                <w:rFonts w:hint="eastAsia" w:asciiTheme="minorEastAsia" w:hAnsiTheme="minorEastAsia" w:eastAsiaTheme="minorEastAsia"/>
                <w:szCs w:val="21"/>
              </w:rPr>
            </w:pPr>
          </w:p>
        </w:tc>
        <w:tc>
          <w:tcPr>
            <w:tcW w:w="6804" w:type="dxa"/>
            <w:gridSpan w:val="3"/>
            <w:tcBorders>
              <w:top w:val="single" w:color="auto" w:sz="6" w:space="0"/>
              <w:left w:val="single" w:color="auto" w:sz="6" w:space="0"/>
              <w:bottom w:val="single" w:color="auto" w:sz="6" w:space="0"/>
              <w:right w:val="single" w:color="auto" w:sz="6" w:space="0"/>
            </w:tcBorders>
            <w:vAlign w:val="center"/>
          </w:tcPr>
          <w:p w14:paraId="324A2DB6">
            <w:pPr>
              <w:spacing w:line="440" w:lineRule="exact"/>
              <w:ind w:firstLine="105" w:firstLineChars="50"/>
              <w:jc w:val="center"/>
              <w:rPr>
                <w:rFonts w:hint="eastAsia" w:asciiTheme="minorEastAsia" w:hAnsiTheme="minorEastAsia" w:eastAsiaTheme="minorEastAsia"/>
                <w:szCs w:val="21"/>
              </w:rPr>
            </w:pPr>
          </w:p>
        </w:tc>
        <w:tc>
          <w:tcPr>
            <w:tcW w:w="4215" w:type="dxa"/>
            <w:gridSpan w:val="7"/>
            <w:tcBorders>
              <w:top w:val="single" w:color="auto" w:sz="6" w:space="0"/>
              <w:left w:val="single" w:color="auto" w:sz="6" w:space="0"/>
              <w:bottom w:val="single" w:color="auto" w:sz="6" w:space="0"/>
              <w:right w:val="single" w:color="auto" w:sz="6" w:space="0"/>
            </w:tcBorders>
            <w:vAlign w:val="center"/>
          </w:tcPr>
          <w:p w14:paraId="62C8750F">
            <w:pPr>
              <w:spacing w:line="440" w:lineRule="exact"/>
              <w:ind w:firstLine="105" w:firstLineChars="50"/>
              <w:jc w:val="center"/>
              <w:rPr>
                <w:rFonts w:hint="eastAsia" w:asciiTheme="minorEastAsia" w:hAnsiTheme="minorEastAsia" w:eastAsiaTheme="minorEastAsia"/>
                <w:szCs w:val="21"/>
              </w:rPr>
            </w:pPr>
          </w:p>
        </w:tc>
      </w:tr>
      <w:tr w14:paraId="0BA30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exact"/>
          <w:tblHeader/>
          <w:jc w:val="center"/>
        </w:trPr>
        <w:tc>
          <w:tcPr>
            <w:tcW w:w="797" w:type="dxa"/>
            <w:vMerge w:val="restart"/>
            <w:tcBorders>
              <w:top w:val="single" w:color="auto" w:sz="6" w:space="0"/>
              <w:left w:val="single" w:color="auto" w:sz="6" w:space="0"/>
              <w:right w:val="single" w:color="auto" w:sz="6" w:space="0"/>
            </w:tcBorders>
            <w:vAlign w:val="center"/>
          </w:tcPr>
          <w:p w14:paraId="0805E3ED">
            <w:pPr>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3402" w:type="dxa"/>
            <w:vMerge w:val="restart"/>
            <w:tcBorders>
              <w:top w:val="single" w:color="auto" w:sz="6" w:space="0"/>
              <w:left w:val="single" w:color="auto" w:sz="6" w:space="0"/>
              <w:right w:val="single" w:color="auto" w:sz="6" w:space="0"/>
            </w:tcBorders>
            <w:vAlign w:val="center"/>
          </w:tcPr>
          <w:p w14:paraId="6505B5D7">
            <w:pPr>
              <w:spacing w:line="300" w:lineRule="exact"/>
              <w:ind w:left="-82" w:leftChars="-39" w:firstLine="81" w:firstLineChars="39"/>
              <w:jc w:val="center"/>
              <w:rPr>
                <w:rFonts w:hint="eastAsia" w:asciiTheme="minorEastAsia" w:hAnsiTheme="minorEastAsia" w:eastAsiaTheme="minorEastAsia"/>
                <w:szCs w:val="21"/>
              </w:rPr>
            </w:pPr>
            <w:r>
              <w:rPr>
                <w:rFonts w:hint="eastAsia" w:asciiTheme="minorEastAsia" w:hAnsiTheme="minorEastAsia" w:eastAsiaTheme="minorEastAsia"/>
                <w:szCs w:val="21"/>
              </w:rPr>
              <w:t>注入标准金属量器</w:t>
            </w:r>
          </w:p>
          <w:p w14:paraId="271DE288">
            <w:pPr>
              <w:spacing w:line="300" w:lineRule="exact"/>
              <w:ind w:left="-82" w:leftChars="-39" w:firstLine="81" w:firstLineChars="39"/>
              <w:jc w:val="center"/>
              <w:rPr>
                <w:rFonts w:hint="eastAsia" w:asciiTheme="minorEastAsia" w:hAnsiTheme="minorEastAsia" w:eastAsiaTheme="minorEastAsia"/>
                <w:szCs w:val="21"/>
              </w:rPr>
            </w:pPr>
            <w:r>
              <w:rPr>
                <w:rFonts w:hint="eastAsia" w:asciiTheme="minorEastAsia" w:hAnsiTheme="minorEastAsia" w:eastAsiaTheme="minorEastAsia"/>
                <w:szCs w:val="21"/>
              </w:rPr>
              <w:t>水的体积</w:t>
            </w:r>
            <w:r>
              <w:rPr>
                <w:rFonts w:asciiTheme="minorEastAsia" w:hAnsiTheme="minorEastAsia" w:eastAsiaTheme="minorEastAsia"/>
                <w:i/>
                <w:szCs w:val="21"/>
              </w:rPr>
              <w:t>V</w:t>
            </w:r>
            <w:r>
              <w:rPr>
                <w:rFonts w:asciiTheme="minorEastAsia" w:hAnsiTheme="minorEastAsia" w:eastAsiaTheme="minorEastAsia"/>
                <w:szCs w:val="21"/>
                <w:vertAlign w:val="subscript"/>
              </w:rPr>
              <w:t>B</w:t>
            </w:r>
          </w:p>
          <w:p w14:paraId="408844B0">
            <w:pPr>
              <w:spacing w:line="300" w:lineRule="exact"/>
              <w:ind w:left="-82" w:leftChars="-39" w:firstLine="81" w:firstLineChars="39"/>
              <w:jc w:val="center"/>
              <w:rPr>
                <w:rFonts w:hint="eastAsia" w:asciiTheme="minorEastAsia" w:hAnsiTheme="minorEastAsia" w:eastAsiaTheme="minorEastAsia"/>
                <w:szCs w:val="21"/>
              </w:rPr>
            </w:pPr>
            <w:r>
              <w:rPr>
                <w:rFonts w:asciiTheme="minorEastAsia" w:hAnsiTheme="minorEastAsia" w:eastAsiaTheme="minorEastAsia"/>
                <w:szCs w:val="21"/>
              </w:rPr>
              <w:t>L</w:t>
            </w:r>
          </w:p>
        </w:tc>
        <w:tc>
          <w:tcPr>
            <w:tcW w:w="2268" w:type="dxa"/>
            <w:vMerge w:val="restart"/>
            <w:tcBorders>
              <w:top w:val="single" w:color="auto" w:sz="6" w:space="0"/>
              <w:left w:val="single" w:color="auto" w:sz="6" w:space="0"/>
              <w:right w:val="single" w:color="auto" w:sz="6" w:space="0"/>
            </w:tcBorders>
            <w:vAlign w:val="center"/>
          </w:tcPr>
          <w:p w14:paraId="46BFE024">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标准金属量器内</w:t>
            </w:r>
          </w:p>
          <w:p w14:paraId="4A069480">
            <w:pPr>
              <w:spacing w:line="300" w:lineRule="exact"/>
              <w:jc w:val="center"/>
              <w:rPr>
                <w:rFonts w:hint="eastAsia" w:asciiTheme="minorEastAsia" w:hAnsiTheme="minorEastAsia" w:eastAsiaTheme="minorEastAsia"/>
                <w:szCs w:val="21"/>
                <w:vertAlign w:val="subscript"/>
              </w:rPr>
            </w:pPr>
            <w:r>
              <w:rPr>
                <w:rFonts w:hint="eastAsia" w:asciiTheme="minorEastAsia" w:hAnsiTheme="minorEastAsia" w:eastAsiaTheme="minorEastAsia"/>
                <w:szCs w:val="21"/>
              </w:rPr>
              <w:t>水温</w:t>
            </w:r>
            <w:r>
              <w:rPr>
                <w:rFonts w:asciiTheme="minorEastAsia" w:hAnsiTheme="minorEastAsia" w:eastAsiaTheme="minorEastAsia"/>
                <w:i/>
                <w:szCs w:val="21"/>
              </w:rPr>
              <w:t>t</w:t>
            </w:r>
            <w:r>
              <w:rPr>
                <w:rFonts w:asciiTheme="minorEastAsia" w:hAnsiTheme="minorEastAsia" w:eastAsiaTheme="minorEastAsia"/>
                <w:szCs w:val="21"/>
                <w:vertAlign w:val="subscript"/>
              </w:rPr>
              <w:t>1</w:t>
            </w:r>
          </w:p>
          <w:p w14:paraId="797BE104">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2268" w:type="dxa"/>
            <w:vMerge w:val="restart"/>
            <w:tcBorders>
              <w:top w:val="single" w:color="auto" w:sz="6" w:space="0"/>
              <w:left w:val="single" w:color="auto" w:sz="6" w:space="0"/>
              <w:right w:val="single" w:color="auto" w:sz="6" w:space="0"/>
            </w:tcBorders>
            <w:vAlign w:val="center"/>
          </w:tcPr>
          <w:p w14:paraId="20745396">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检测罐内水温</w:t>
            </w:r>
            <w:r>
              <w:rPr>
                <w:rFonts w:asciiTheme="minorEastAsia" w:hAnsiTheme="minorEastAsia" w:eastAsiaTheme="minorEastAsia"/>
                <w:i/>
                <w:szCs w:val="21"/>
              </w:rPr>
              <w:t>t</w:t>
            </w:r>
            <w:r>
              <w:rPr>
                <w:rFonts w:asciiTheme="minorEastAsia" w:hAnsiTheme="minorEastAsia" w:eastAsiaTheme="minorEastAsia"/>
                <w:szCs w:val="21"/>
                <w:vertAlign w:val="subscript"/>
              </w:rPr>
              <w:t>2</w:t>
            </w:r>
          </w:p>
          <w:p w14:paraId="29B76228">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2268" w:type="dxa"/>
            <w:vMerge w:val="restart"/>
            <w:tcBorders>
              <w:top w:val="single" w:color="auto" w:sz="6" w:space="0"/>
              <w:left w:val="single" w:color="auto" w:sz="6" w:space="0"/>
              <w:right w:val="single" w:color="auto" w:sz="6" w:space="0"/>
            </w:tcBorders>
            <w:vAlign w:val="center"/>
          </w:tcPr>
          <w:p w14:paraId="7B3D6900">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检测罐</w:t>
            </w:r>
            <w:r>
              <w:rPr>
                <w:rFonts w:asciiTheme="minorEastAsia" w:hAnsiTheme="minorEastAsia" w:eastAsiaTheme="minorEastAsia"/>
                <w:szCs w:val="21"/>
              </w:rPr>
              <w:t>20</w:t>
            </w:r>
            <w:r>
              <w:rPr>
                <w:rFonts w:hint="eastAsia" w:asciiTheme="minorEastAsia" w:hAnsiTheme="minorEastAsia" w:eastAsiaTheme="minorEastAsia"/>
                <w:szCs w:val="21"/>
              </w:rPr>
              <w:t>℃容积</w:t>
            </w:r>
            <w:r>
              <w:rPr>
                <w:rFonts w:asciiTheme="minorEastAsia" w:hAnsiTheme="minorEastAsia" w:eastAsiaTheme="minorEastAsia"/>
                <w:i/>
                <w:szCs w:val="21"/>
              </w:rPr>
              <w:t>V</w:t>
            </w:r>
            <w:r>
              <w:rPr>
                <w:rFonts w:asciiTheme="minorEastAsia" w:hAnsiTheme="minorEastAsia" w:eastAsiaTheme="minorEastAsia"/>
                <w:i/>
                <w:szCs w:val="21"/>
                <w:vertAlign w:val="subscript"/>
              </w:rPr>
              <w:t>h</w:t>
            </w:r>
          </w:p>
          <w:p w14:paraId="7DF22859">
            <w:pPr>
              <w:spacing w:line="300" w:lineRule="exact"/>
              <w:jc w:val="center"/>
              <w:rPr>
                <w:rFonts w:hint="eastAsia" w:asciiTheme="minorEastAsia" w:hAnsiTheme="minorEastAsia" w:eastAsiaTheme="minorEastAsia"/>
                <w:szCs w:val="21"/>
              </w:rPr>
            </w:pPr>
            <w:r>
              <w:rPr>
                <w:rFonts w:asciiTheme="minorEastAsia" w:hAnsiTheme="minorEastAsia" w:eastAsiaTheme="minorEastAsia"/>
                <w:szCs w:val="21"/>
              </w:rPr>
              <w:t>L</w:t>
            </w:r>
          </w:p>
        </w:tc>
        <w:tc>
          <w:tcPr>
            <w:tcW w:w="4215" w:type="dxa"/>
            <w:gridSpan w:val="7"/>
            <w:tcBorders>
              <w:top w:val="single" w:color="auto" w:sz="6" w:space="0"/>
              <w:left w:val="single" w:color="auto" w:sz="6" w:space="0"/>
              <w:bottom w:val="single" w:color="auto" w:sz="4" w:space="0"/>
              <w:right w:val="single" w:color="auto" w:sz="6" w:space="0"/>
            </w:tcBorders>
            <w:vAlign w:val="center"/>
          </w:tcPr>
          <w:p w14:paraId="4E02C835">
            <w:pPr>
              <w:spacing w:line="300" w:lineRule="exact"/>
              <w:jc w:val="center"/>
              <w:rPr>
                <w:rFonts w:hint="eastAsia" w:asciiTheme="minorEastAsia" w:hAnsiTheme="minorEastAsia" w:eastAsiaTheme="minorEastAsia"/>
                <w:szCs w:val="21"/>
                <w:vertAlign w:val="subscript"/>
              </w:rPr>
            </w:pPr>
            <w:r>
              <w:rPr>
                <w:rFonts w:hint="eastAsia" w:asciiTheme="minorEastAsia" w:hAnsiTheme="minorEastAsia" w:eastAsiaTheme="minorEastAsia"/>
                <w:szCs w:val="21"/>
              </w:rPr>
              <w:t>检测罐内液位</w:t>
            </w:r>
            <w:r>
              <w:rPr>
                <w:rFonts w:asciiTheme="minorEastAsia" w:hAnsiTheme="minorEastAsia" w:eastAsiaTheme="minorEastAsia"/>
                <w:i/>
                <w:szCs w:val="21"/>
              </w:rPr>
              <w:t>h</w:t>
            </w:r>
          </w:p>
          <w:p w14:paraId="5BC7660E">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r>
      <w:tr w14:paraId="68F0EC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4" w:hRule="exact"/>
          <w:tblHeader/>
          <w:jc w:val="center"/>
        </w:trPr>
        <w:tc>
          <w:tcPr>
            <w:tcW w:w="797" w:type="dxa"/>
            <w:vMerge w:val="continue"/>
            <w:tcBorders>
              <w:left w:val="single" w:color="auto" w:sz="6" w:space="0"/>
              <w:bottom w:val="single" w:color="auto" w:sz="6" w:space="0"/>
              <w:right w:val="single" w:color="auto" w:sz="6" w:space="0"/>
            </w:tcBorders>
            <w:vAlign w:val="center"/>
          </w:tcPr>
          <w:p w14:paraId="0872A9BF">
            <w:pPr>
              <w:jc w:val="center"/>
              <w:rPr>
                <w:rFonts w:hint="eastAsia" w:asciiTheme="minorEastAsia" w:hAnsiTheme="minorEastAsia" w:eastAsiaTheme="minorEastAsia"/>
                <w:szCs w:val="21"/>
              </w:rPr>
            </w:pPr>
          </w:p>
        </w:tc>
        <w:tc>
          <w:tcPr>
            <w:tcW w:w="3402" w:type="dxa"/>
            <w:vMerge w:val="continue"/>
            <w:tcBorders>
              <w:left w:val="single" w:color="auto" w:sz="6" w:space="0"/>
              <w:bottom w:val="single" w:color="auto" w:sz="6" w:space="0"/>
              <w:right w:val="single" w:color="auto" w:sz="6" w:space="0"/>
            </w:tcBorders>
            <w:vAlign w:val="center"/>
          </w:tcPr>
          <w:p w14:paraId="31E6B7CA">
            <w:pPr>
              <w:spacing w:line="300" w:lineRule="exact"/>
              <w:ind w:left="-82" w:leftChars="-39" w:firstLine="81" w:firstLineChars="39"/>
              <w:jc w:val="center"/>
              <w:rPr>
                <w:rFonts w:hint="eastAsia" w:asciiTheme="minorEastAsia" w:hAnsiTheme="minorEastAsia" w:eastAsiaTheme="minorEastAsia"/>
                <w:szCs w:val="21"/>
              </w:rPr>
            </w:pPr>
          </w:p>
        </w:tc>
        <w:tc>
          <w:tcPr>
            <w:tcW w:w="2268" w:type="dxa"/>
            <w:vMerge w:val="continue"/>
            <w:tcBorders>
              <w:left w:val="single" w:color="auto" w:sz="6" w:space="0"/>
              <w:bottom w:val="single" w:color="auto" w:sz="6" w:space="0"/>
              <w:right w:val="single" w:color="auto" w:sz="6" w:space="0"/>
            </w:tcBorders>
            <w:vAlign w:val="center"/>
          </w:tcPr>
          <w:p w14:paraId="7B258B15">
            <w:pPr>
              <w:spacing w:line="300" w:lineRule="exact"/>
              <w:jc w:val="center"/>
              <w:rPr>
                <w:rFonts w:hint="eastAsia" w:asciiTheme="minorEastAsia" w:hAnsiTheme="minorEastAsia" w:eastAsiaTheme="minorEastAsia"/>
                <w:szCs w:val="21"/>
              </w:rPr>
            </w:pPr>
          </w:p>
        </w:tc>
        <w:tc>
          <w:tcPr>
            <w:tcW w:w="2268" w:type="dxa"/>
            <w:vMerge w:val="continue"/>
            <w:tcBorders>
              <w:left w:val="single" w:color="auto" w:sz="6" w:space="0"/>
              <w:bottom w:val="single" w:color="auto" w:sz="6" w:space="0"/>
              <w:right w:val="single" w:color="auto" w:sz="6" w:space="0"/>
            </w:tcBorders>
            <w:vAlign w:val="center"/>
          </w:tcPr>
          <w:p w14:paraId="6A55A880">
            <w:pPr>
              <w:spacing w:line="300" w:lineRule="exact"/>
              <w:jc w:val="center"/>
              <w:rPr>
                <w:rFonts w:hint="eastAsia" w:asciiTheme="minorEastAsia" w:hAnsiTheme="minorEastAsia" w:eastAsiaTheme="minorEastAsia"/>
                <w:szCs w:val="21"/>
              </w:rPr>
            </w:pPr>
          </w:p>
        </w:tc>
        <w:tc>
          <w:tcPr>
            <w:tcW w:w="2268" w:type="dxa"/>
            <w:vMerge w:val="continue"/>
            <w:tcBorders>
              <w:left w:val="single" w:color="auto" w:sz="6" w:space="0"/>
              <w:bottom w:val="single" w:color="auto" w:sz="6" w:space="0"/>
              <w:right w:val="single" w:color="auto" w:sz="6" w:space="0"/>
            </w:tcBorders>
            <w:vAlign w:val="center"/>
          </w:tcPr>
          <w:p w14:paraId="732E2AB6">
            <w:pPr>
              <w:spacing w:line="300" w:lineRule="exact"/>
              <w:jc w:val="center"/>
              <w:rPr>
                <w:rFonts w:hint="eastAsia" w:asciiTheme="minorEastAsia" w:hAnsiTheme="minorEastAsia" w:eastAsiaTheme="minorEastAsia"/>
                <w:szCs w:val="21"/>
              </w:rPr>
            </w:pPr>
          </w:p>
        </w:tc>
        <w:tc>
          <w:tcPr>
            <w:tcW w:w="560" w:type="dxa"/>
            <w:tcBorders>
              <w:top w:val="single" w:color="auto" w:sz="4" w:space="0"/>
              <w:left w:val="single" w:color="auto" w:sz="6" w:space="0"/>
              <w:bottom w:val="single" w:color="auto" w:sz="6" w:space="0"/>
              <w:right w:val="single" w:color="auto" w:sz="4" w:space="0"/>
            </w:tcBorders>
            <w:vAlign w:val="center"/>
          </w:tcPr>
          <w:p w14:paraId="4D297DC1">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561" w:type="dxa"/>
            <w:tcBorders>
              <w:top w:val="single" w:color="auto" w:sz="4" w:space="0"/>
              <w:left w:val="single" w:color="auto" w:sz="4" w:space="0"/>
              <w:bottom w:val="single" w:color="auto" w:sz="6" w:space="0"/>
              <w:right w:val="single" w:color="auto" w:sz="4" w:space="0"/>
            </w:tcBorders>
            <w:vAlign w:val="center"/>
          </w:tcPr>
          <w:p w14:paraId="4BCA35D8">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561" w:type="dxa"/>
            <w:tcBorders>
              <w:top w:val="single" w:color="auto" w:sz="4" w:space="0"/>
              <w:left w:val="single" w:color="auto" w:sz="4" w:space="0"/>
              <w:bottom w:val="single" w:color="auto" w:sz="6" w:space="0"/>
              <w:right w:val="single" w:color="auto" w:sz="4" w:space="0"/>
            </w:tcBorders>
            <w:vAlign w:val="center"/>
          </w:tcPr>
          <w:p w14:paraId="27808C6B">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560" w:type="dxa"/>
            <w:tcBorders>
              <w:top w:val="single" w:color="auto" w:sz="4" w:space="0"/>
              <w:left w:val="single" w:color="auto" w:sz="4" w:space="0"/>
              <w:bottom w:val="single" w:color="auto" w:sz="6" w:space="0"/>
              <w:right w:val="single" w:color="auto" w:sz="4" w:space="0"/>
            </w:tcBorders>
            <w:vAlign w:val="center"/>
          </w:tcPr>
          <w:p w14:paraId="09979C66">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561" w:type="dxa"/>
            <w:tcBorders>
              <w:top w:val="single" w:color="auto" w:sz="4" w:space="0"/>
              <w:left w:val="single" w:color="auto" w:sz="4" w:space="0"/>
              <w:bottom w:val="single" w:color="auto" w:sz="6" w:space="0"/>
              <w:right w:val="single" w:color="auto" w:sz="4" w:space="0"/>
            </w:tcBorders>
            <w:vAlign w:val="center"/>
          </w:tcPr>
          <w:p w14:paraId="18579906">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561" w:type="dxa"/>
            <w:tcBorders>
              <w:top w:val="single" w:color="auto" w:sz="4" w:space="0"/>
              <w:left w:val="single" w:color="auto" w:sz="4" w:space="0"/>
              <w:bottom w:val="single" w:color="auto" w:sz="6" w:space="0"/>
              <w:right w:val="single" w:color="auto" w:sz="4" w:space="0"/>
            </w:tcBorders>
            <w:vAlign w:val="center"/>
          </w:tcPr>
          <w:p w14:paraId="739635D9">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851" w:type="dxa"/>
            <w:tcBorders>
              <w:top w:val="single" w:color="auto" w:sz="4" w:space="0"/>
              <w:left w:val="single" w:color="auto" w:sz="4" w:space="0"/>
              <w:bottom w:val="single" w:color="auto" w:sz="6" w:space="0"/>
              <w:right w:val="single" w:color="auto" w:sz="6" w:space="0"/>
            </w:tcBorders>
            <w:vAlign w:val="center"/>
          </w:tcPr>
          <w:p w14:paraId="649CA849">
            <w:pPr>
              <w:spacing w:line="3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平均值</w:t>
            </w:r>
          </w:p>
        </w:tc>
      </w:tr>
      <w:tr w14:paraId="7F6DA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7DAB3816">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2C93950F">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34CA3E09">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4DBAB416">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0E9BA183">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038FD930">
            <w:pPr>
              <w:spacing w:line="440" w:lineRule="exact"/>
              <w:jc w:val="center"/>
              <w:rPr>
                <w:rFonts w:hint="eastAsia" w:asciiTheme="minorEastAsia" w:hAnsiTheme="minorEastAsia" w:eastAsiaTheme="minorEastAsia"/>
                <w:sz w:val="13"/>
                <w:szCs w:val="13"/>
              </w:rPr>
            </w:pPr>
          </w:p>
        </w:tc>
        <w:tc>
          <w:tcPr>
            <w:tcW w:w="561" w:type="dxa"/>
            <w:tcBorders>
              <w:top w:val="single" w:color="auto" w:sz="6" w:space="0"/>
              <w:left w:val="single" w:color="auto" w:sz="4" w:space="0"/>
              <w:right w:val="single" w:color="auto" w:sz="4" w:space="0"/>
            </w:tcBorders>
            <w:vAlign w:val="center"/>
          </w:tcPr>
          <w:p w14:paraId="408BBB90">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4BA754D6">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6D6E6131">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E9391A2">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E46BF01">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3B1A6A52">
            <w:pPr>
              <w:spacing w:line="440" w:lineRule="exact"/>
              <w:jc w:val="center"/>
              <w:rPr>
                <w:rFonts w:hint="eastAsia" w:asciiTheme="minorEastAsia" w:hAnsiTheme="minorEastAsia" w:eastAsiaTheme="minorEastAsia"/>
                <w:szCs w:val="21"/>
              </w:rPr>
            </w:pPr>
          </w:p>
        </w:tc>
      </w:tr>
      <w:tr w14:paraId="1F3F7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2CB72051">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085F8EE2">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54F92434">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74EED041">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08B84700">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2088885E">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0E44EEC">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41B4863B">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458E5EC0">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01D5B303">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7E412399">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23FF968D">
            <w:pPr>
              <w:spacing w:line="440" w:lineRule="exact"/>
              <w:jc w:val="center"/>
              <w:rPr>
                <w:rFonts w:hint="eastAsia" w:asciiTheme="minorEastAsia" w:hAnsiTheme="minorEastAsia" w:eastAsiaTheme="minorEastAsia"/>
                <w:szCs w:val="21"/>
              </w:rPr>
            </w:pPr>
          </w:p>
        </w:tc>
      </w:tr>
      <w:tr w14:paraId="20C8C8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605C34C2">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4C60F16F">
            <w:pPr>
              <w:jc w:val="center"/>
            </w:pPr>
          </w:p>
        </w:tc>
        <w:tc>
          <w:tcPr>
            <w:tcW w:w="2268" w:type="dxa"/>
            <w:tcBorders>
              <w:top w:val="single" w:color="auto" w:sz="6" w:space="0"/>
              <w:left w:val="single" w:color="auto" w:sz="6" w:space="0"/>
              <w:bottom w:val="single" w:color="auto" w:sz="6" w:space="0"/>
              <w:right w:val="single" w:color="auto" w:sz="6" w:space="0"/>
            </w:tcBorders>
            <w:vAlign w:val="center"/>
          </w:tcPr>
          <w:p w14:paraId="3E1B0BF0">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2EA5BD25">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27560ECF">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2B82D0ED">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5495D0A4">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1271F46E">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38BAD310">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723FE201">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17CE2E5C">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5BD54BC6">
            <w:pPr>
              <w:spacing w:line="440" w:lineRule="exact"/>
              <w:jc w:val="center"/>
              <w:rPr>
                <w:rFonts w:hint="eastAsia" w:asciiTheme="minorEastAsia" w:hAnsiTheme="minorEastAsia" w:eastAsiaTheme="minorEastAsia"/>
                <w:szCs w:val="21"/>
              </w:rPr>
            </w:pPr>
          </w:p>
        </w:tc>
      </w:tr>
      <w:tr w14:paraId="3F0414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51B8A529">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33A4ED69">
            <w:pPr>
              <w:jc w:val="center"/>
            </w:pPr>
          </w:p>
        </w:tc>
        <w:tc>
          <w:tcPr>
            <w:tcW w:w="2268" w:type="dxa"/>
            <w:tcBorders>
              <w:top w:val="single" w:color="auto" w:sz="6" w:space="0"/>
              <w:left w:val="single" w:color="auto" w:sz="6" w:space="0"/>
              <w:bottom w:val="single" w:color="auto" w:sz="6" w:space="0"/>
              <w:right w:val="single" w:color="auto" w:sz="6" w:space="0"/>
            </w:tcBorders>
            <w:vAlign w:val="center"/>
          </w:tcPr>
          <w:p w14:paraId="5934B4FA">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560FC0DF">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356713FD">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4E7696BE">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681DBF4">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2EDFECD1">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5F8CEB36">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C2855ED">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727540BB">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17414BC2">
            <w:pPr>
              <w:spacing w:line="440" w:lineRule="exact"/>
              <w:jc w:val="center"/>
              <w:rPr>
                <w:rFonts w:hint="eastAsia" w:asciiTheme="minorEastAsia" w:hAnsiTheme="minorEastAsia" w:eastAsiaTheme="minorEastAsia"/>
                <w:szCs w:val="21"/>
              </w:rPr>
            </w:pPr>
          </w:p>
        </w:tc>
      </w:tr>
      <w:tr w14:paraId="658594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1AA03AE6">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10004547">
            <w:pPr>
              <w:jc w:val="center"/>
            </w:pPr>
          </w:p>
        </w:tc>
        <w:tc>
          <w:tcPr>
            <w:tcW w:w="2268" w:type="dxa"/>
            <w:tcBorders>
              <w:top w:val="single" w:color="auto" w:sz="6" w:space="0"/>
              <w:left w:val="single" w:color="auto" w:sz="6" w:space="0"/>
              <w:bottom w:val="single" w:color="auto" w:sz="6" w:space="0"/>
              <w:right w:val="single" w:color="auto" w:sz="6" w:space="0"/>
            </w:tcBorders>
            <w:vAlign w:val="center"/>
          </w:tcPr>
          <w:p w14:paraId="756E5F59">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264CE021">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6E3F2322">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0733C4B1">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680D7F28">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68D41EF6">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2CB49FC1">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28618788">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40992CC5">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4F575C87">
            <w:pPr>
              <w:spacing w:line="440" w:lineRule="exact"/>
              <w:jc w:val="center"/>
              <w:rPr>
                <w:rFonts w:hint="eastAsia" w:asciiTheme="minorEastAsia" w:hAnsiTheme="minorEastAsia" w:eastAsiaTheme="minorEastAsia"/>
                <w:szCs w:val="21"/>
              </w:rPr>
            </w:pPr>
          </w:p>
        </w:tc>
      </w:tr>
      <w:tr w14:paraId="701FB4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509F4DE4">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0A7BF7AD">
            <w:pPr>
              <w:jc w:val="center"/>
            </w:pPr>
          </w:p>
        </w:tc>
        <w:tc>
          <w:tcPr>
            <w:tcW w:w="2268" w:type="dxa"/>
            <w:tcBorders>
              <w:top w:val="single" w:color="auto" w:sz="6" w:space="0"/>
              <w:left w:val="single" w:color="auto" w:sz="6" w:space="0"/>
              <w:bottom w:val="single" w:color="auto" w:sz="6" w:space="0"/>
              <w:right w:val="single" w:color="auto" w:sz="6" w:space="0"/>
            </w:tcBorders>
            <w:vAlign w:val="center"/>
          </w:tcPr>
          <w:p w14:paraId="50D96523">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3F09DFE2">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78DEB7B7">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133AE6C9">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55B477DF">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07679176">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2B44217A">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6FC51557">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76D0AA81">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3E2A1977">
            <w:pPr>
              <w:spacing w:line="440" w:lineRule="exact"/>
              <w:jc w:val="center"/>
              <w:rPr>
                <w:rFonts w:hint="eastAsia" w:asciiTheme="minorEastAsia" w:hAnsiTheme="minorEastAsia" w:eastAsiaTheme="minorEastAsia"/>
                <w:szCs w:val="21"/>
              </w:rPr>
            </w:pPr>
          </w:p>
        </w:tc>
      </w:tr>
      <w:tr w14:paraId="31E63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797" w:type="dxa"/>
            <w:tcBorders>
              <w:top w:val="single" w:color="auto" w:sz="6" w:space="0"/>
              <w:left w:val="single" w:color="auto" w:sz="6" w:space="0"/>
              <w:bottom w:val="single" w:color="auto" w:sz="6" w:space="0"/>
              <w:right w:val="single" w:color="auto" w:sz="6" w:space="0"/>
            </w:tcBorders>
            <w:vAlign w:val="center"/>
          </w:tcPr>
          <w:p w14:paraId="0B675299">
            <w:pPr>
              <w:spacing w:line="440" w:lineRule="exact"/>
              <w:jc w:val="center"/>
              <w:rPr>
                <w:rFonts w:hint="eastAsia" w:asciiTheme="minorEastAsia" w:hAnsiTheme="minorEastAsia" w:eastAsiaTheme="minorEastAsia"/>
                <w:szCs w:val="21"/>
              </w:rPr>
            </w:pPr>
          </w:p>
        </w:tc>
        <w:tc>
          <w:tcPr>
            <w:tcW w:w="3402" w:type="dxa"/>
            <w:tcBorders>
              <w:top w:val="single" w:color="auto" w:sz="6" w:space="0"/>
              <w:left w:val="single" w:color="auto" w:sz="6" w:space="0"/>
              <w:bottom w:val="single" w:color="auto" w:sz="6" w:space="0"/>
              <w:right w:val="single" w:color="auto" w:sz="6" w:space="0"/>
            </w:tcBorders>
            <w:vAlign w:val="center"/>
          </w:tcPr>
          <w:p w14:paraId="15D86777">
            <w:pPr>
              <w:jc w:val="center"/>
            </w:pPr>
          </w:p>
        </w:tc>
        <w:tc>
          <w:tcPr>
            <w:tcW w:w="2268" w:type="dxa"/>
            <w:tcBorders>
              <w:top w:val="single" w:color="auto" w:sz="6" w:space="0"/>
              <w:left w:val="single" w:color="auto" w:sz="6" w:space="0"/>
              <w:bottom w:val="single" w:color="auto" w:sz="6" w:space="0"/>
              <w:right w:val="single" w:color="auto" w:sz="6" w:space="0"/>
            </w:tcBorders>
            <w:vAlign w:val="center"/>
          </w:tcPr>
          <w:p w14:paraId="2A05F655">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bottom w:val="single" w:color="auto" w:sz="6" w:space="0"/>
              <w:right w:val="single" w:color="auto" w:sz="6" w:space="0"/>
            </w:tcBorders>
            <w:vAlign w:val="center"/>
          </w:tcPr>
          <w:p w14:paraId="41C7D3E6">
            <w:pPr>
              <w:spacing w:line="440" w:lineRule="exact"/>
              <w:jc w:val="center"/>
              <w:rPr>
                <w:rFonts w:hint="eastAsia" w:asciiTheme="minorEastAsia" w:hAnsiTheme="minorEastAsia" w:eastAsiaTheme="minorEastAsia"/>
                <w:szCs w:val="21"/>
              </w:rPr>
            </w:pPr>
          </w:p>
        </w:tc>
        <w:tc>
          <w:tcPr>
            <w:tcW w:w="2268" w:type="dxa"/>
            <w:tcBorders>
              <w:top w:val="single" w:color="auto" w:sz="6" w:space="0"/>
              <w:left w:val="single" w:color="auto" w:sz="6" w:space="0"/>
              <w:right w:val="single" w:color="auto" w:sz="6" w:space="0"/>
            </w:tcBorders>
            <w:vAlign w:val="center"/>
          </w:tcPr>
          <w:p w14:paraId="2A190129">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6" w:space="0"/>
              <w:right w:val="single" w:color="auto" w:sz="4" w:space="0"/>
            </w:tcBorders>
            <w:vAlign w:val="center"/>
          </w:tcPr>
          <w:p w14:paraId="1C4E5D3C">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055B8A63">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23D8A54C">
            <w:pPr>
              <w:spacing w:line="440" w:lineRule="exact"/>
              <w:jc w:val="center"/>
              <w:rPr>
                <w:rFonts w:hint="eastAsia" w:asciiTheme="minorEastAsia" w:hAnsiTheme="minorEastAsia" w:eastAsiaTheme="minorEastAsia"/>
                <w:szCs w:val="21"/>
              </w:rPr>
            </w:pPr>
          </w:p>
        </w:tc>
        <w:tc>
          <w:tcPr>
            <w:tcW w:w="560" w:type="dxa"/>
            <w:tcBorders>
              <w:top w:val="single" w:color="auto" w:sz="6" w:space="0"/>
              <w:left w:val="single" w:color="auto" w:sz="4" w:space="0"/>
              <w:right w:val="single" w:color="auto" w:sz="4" w:space="0"/>
            </w:tcBorders>
            <w:vAlign w:val="center"/>
          </w:tcPr>
          <w:p w14:paraId="494A2A54">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3D46AA90">
            <w:pPr>
              <w:spacing w:line="440" w:lineRule="exact"/>
              <w:jc w:val="center"/>
              <w:rPr>
                <w:rFonts w:hint="eastAsia" w:asciiTheme="minorEastAsia" w:hAnsiTheme="minorEastAsia" w:eastAsiaTheme="minorEastAsia"/>
                <w:szCs w:val="21"/>
              </w:rPr>
            </w:pPr>
          </w:p>
        </w:tc>
        <w:tc>
          <w:tcPr>
            <w:tcW w:w="561" w:type="dxa"/>
            <w:tcBorders>
              <w:top w:val="single" w:color="auto" w:sz="6" w:space="0"/>
              <w:left w:val="single" w:color="auto" w:sz="4" w:space="0"/>
              <w:right w:val="single" w:color="auto" w:sz="4" w:space="0"/>
            </w:tcBorders>
            <w:vAlign w:val="center"/>
          </w:tcPr>
          <w:p w14:paraId="5B0A2C2E">
            <w:pPr>
              <w:spacing w:line="440" w:lineRule="exact"/>
              <w:jc w:val="center"/>
              <w:rPr>
                <w:rFonts w:hint="eastAsia" w:asciiTheme="minorEastAsia" w:hAnsiTheme="minorEastAsia" w:eastAsiaTheme="minorEastAsia"/>
                <w:szCs w:val="21"/>
              </w:rPr>
            </w:pPr>
          </w:p>
        </w:tc>
        <w:tc>
          <w:tcPr>
            <w:tcW w:w="851" w:type="dxa"/>
            <w:tcBorders>
              <w:top w:val="single" w:color="auto" w:sz="6" w:space="0"/>
              <w:left w:val="single" w:color="auto" w:sz="4" w:space="0"/>
              <w:right w:val="single" w:color="auto" w:sz="6" w:space="0"/>
            </w:tcBorders>
            <w:vAlign w:val="center"/>
          </w:tcPr>
          <w:p w14:paraId="304DC0B2">
            <w:pPr>
              <w:spacing w:line="440" w:lineRule="exact"/>
              <w:jc w:val="center"/>
              <w:rPr>
                <w:rFonts w:hint="eastAsia" w:asciiTheme="minorEastAsia" w:hAnsiTheme="minorEastAsia" w:eastAsiaTheme="minorEastAsia"/>
                <w:szCs w:val="21"/>
              </w:rPr>
            </w:pPr>
          </w:p>
        </w:tc>
      </w:tr>
      <w:tr w14:paraId="5F7D2A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15218" w:type="dxa"/>
            <w:gridSpan w:val="12"/>
            <w:tcBorders>
              <w:left w:val="single" w:color="auto" w:sz="6" w:space="0"/>
              <w:right w:val="single" w:color="auto" w:sz="6" w:space="0"/>
            </w:tcBorders>
            <w:vAlign w:val="center"/>
          </w:tcPr>
          <w:p w14:paraId="45C98842">
            <w:pPr>
              <w:spacing w:line="440" w:lineRule="exact"/>
              <w:rPr>
                <w:rFonts w:hint="eastAsia" w:asciiTheme="minorEastAsia" w:hAnsiTheme="minorEastAsia" w:eastAsiaTheme="minorEastAsia"/>
                <w:szCs w:val="21"/>
              </w:rPr>
            </w:pPr>
            <w:r>
              <w:rPr>
                <w:rFonts w:hint="eastAsia" w:asciiTheme="minorEastAsia" w:hAnsiTheme="minorEastAsia" w:eastAsiaTheme="minorEastAsia"/>
                <w:szCs w:val="21"/>
              </w:rPr>
              <w:t>校准日期：</w:t>
            </w:r>
          </w:p>
        </w:tc>
      </w:tr>
      <w:tr w14:paraId="50B28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6467" w:type="dxa"/>
            <w:gridSpan w:val="3"/>
            <w:tcBorders>
              <w:left w:val="single" w:color="auto" w:sz="6" w:space="0"/>
              <w:right w:val="single" w:color="auto" w:sz="6" w:space="0"/>
            </w:tcBorders>
            <w:vAlign w:val="center"/>
          </w:tcPr>
          <w:p w14:paraId="5FE40BCD">
            <w:pPr>
              <w:spacing w:line="440" w:lineRule="exact"/>
              <w:rPr>
                <w:rFonts w:hint="eastAsia" w:asciiTheme="minorEastAsia" w:hAnsiTheme="minorEastAsia" w:eastAsiaTheme="minorEastAsia"/>
                <w:szCs w:val="21"/>
              </w:rPr>
            </w:pPr>
            <w:r>
              <w:rPr>
                <w:rFonts w:hint="eastAsia" w:asciiTheme="minorEastAsia" w:hAnsiTheme="minorEastAsia" w:eastAsiaTheme="minorEastAsia"/>
                <w:szCs w:val="21"/>
              </w:rPr>
              <w:t>校准员：</w:t>
            </w:r>
          </w:p>
        </w:tc>
        <w:tc>
          <w:tcPr>
            <w:tcW w:w="8751" w:type="dxa"/>
            <w:gridSpan w:val="9"/>
            <w:tcBorders>
              <w:left w:val="single" w:color="auto" w:sz="6" w:space="0"/>
              <w:right w:val="single" w:color="auto" w:sz="6" w:space="0"/>
            </w:tcBorders>
            <w:vAlign w:val="center"/>
          </w:tcPr>
          <w:p w14:paraId="4AA5AB89">
            <w:pPr>
              <w:spacing w:line="440" w:lineRule="exact"/>
              <w:rPr>
                <w:rFonts w:hint="eastAsia" w:asciiTheme="minorEastAsia" w:hAnsiTheme="minorEastAsia" w:eastAsiaTheme="minorEastAsia"/>
                <w:szCs w:val="21"/>
              </w:rPr>
            </w:pPr>
            <w:r>
              <w:rPr>
                <w:rFonts w:hint="eastAsia" w:asciiTheme="minorEastAsia" w:hAnsiTheme="minorEastAsia" w:eastAsiaTheme="minorEastAsia"/>
                <w:szCs w:val="21"/>
              </w:rPr>
              <w:t>核验员：</w:t>
            </w:r>
          </w:p>
        </w:tc>
      </w:tr>
      <w:tr w14:paraId="2C353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blHeader/>
          <w:jc w:val="center"/>
        </w:trPr>
        <w:tc>
          <w:tcPr>
            <w:tcW w:w="15218" w:type="dxa"/>
            <w:gridSpan w:val="12"/>
            <w:tcBorders>
              <w:left w:val="single" w:color="auto" w:sz="6" w:space="0"/>
              <w:right w:val="single" w:color="auto" w:sz="6" w:space="0"/>
            </w:tcBorders>
            <w:vAlign w:val="center"/>
          </w:tcPr>
          <w:p w14:paraId="6D107A6A">
            <w:pPr>
              <w:spacing w:line="440" w:lineRule="exact"/>
              <w:rPr>
                <w:rFonts w:hint="eastAsia" w:asciiTheme="minorEastAsia" w:hAnsiTheme="minorEastAsia" w:eastAsiaTheme="minorEastAsia"/>
                <w:szCs w:val="21"/>
              </w:rPr>
            </w:pPr>
            <w:r>
              <w:rPr>
                <w:rFonts w:hint="eastAsia" w:asciiTheme="minorEastAsia" w:hAnsiTheme="minorEastAsia" w:eastAsiaTheme="minorEastAsia"/>
                <w:szCs w:val="21"/>
              </w:rPr>
              <w:t>备注</w:t>
            </w:r>
            <w:r>
              <w:rPr>
                <w:rFonts w:asciiTheme="minorEastAsia" w:hAnsiTheme="minorEastAsia" w:eastAsiaTheme="minorEastAsia"/>
                <w:szCs w:val="21"/>
              </w:rPr>
              <w:t>：</w:t>
            </w:r>
          </w:p>
        </w:tc>
      </w:tr>
    </w:tbl>
    <w:p w14:paraId="0D07679C">
      <w:pPr>
        <w:tabs>
          <w:tab w:val="left" w:pos="1560"/>
        </w:tabs>
        <w:jc w:val="center"/>
        <w:rPr>
          <w:rFonts w:hint="eastAsia" w:ascii="黑体" w:hAnsi="黑体" w:eastAsia="黑体"/>
          <w:szCs w:val="21"/>
        </w:rPr>
      </w:pPr>
      <w:r>
        <w:rPr>
          <w:rFonts w:hint="eastAsia" w:ascii="Times New Roman" w:hAnsi="Times New Roman" w:eastAsia="黑体"/>
          <w:szCs w:val="21"/>
        </w:rPr>
        <w:t>表B.2</w:t>
      </w:r>
      <w:r>
        <w:rPr>
          <w:rFonts w:hint="eastAsia" w:ascii="Times New Roman" w:hAnsi="Times New Roman" w:eastAsia="黑体"/>
          <w:szCs w:val="21"/>
          <w:u w:val="single"/>
        </w:rPr>
        <w:t xml:space="preserve">          </w:t>
      </w:r>
      <w:r>
        <w:rPr>
          <w:rFonts w:hint="eastAsia" w:ascii="Times New Roman" w:hAnsi="Times New Roman" w:eastAsia="黑体"/>
          <w:szCs w:val="21"/>
        </w:rPr>
        <w:t>容</w:t>
      </w:r>
      <w:r>
        <w:rPr>
          <w:rFonts w:hint="eastAsia" w:ascii="黑体" w:hAnsi="黑体" w:eastAsia="黑体"/>
          <w:szCs w:val="21"/>
        </w:rPr>
        <w:t>积三维激光扫描仪校准记录（一）</w:t>
      </w:r>
    </w:p>
    <w:p w14:paraId="4A070570">
      <w:pPr>
        <w:tabs>
          <w:tab w:val="left" w:pos="1560"/>
        </w:tabs>
        <w:jc w:val="right"/>
        <w:rPr>
          <w:rFonts w:hint="eastAsia" w:ascii="黑体" w:hAnsi="黑体" w:eastAsia="黑体"/>
          <w:szCs w:val="21"/>
        </w:rPr>
      </w:pPr>
      <w:r>
        <w:rPr>
          <w:rFonts w:hint="eastAsia" w:ascii="黑体" w:hAnsi="黑体" w:eastAsia="黑体"/>
          <w:szCs w:val="21"/>
        </w:rPr>
        <w:t xml:space="preserve">受理单号：                 </w:t>
      </w:r>
    </w:p>
    <w:tbl>
      <w:tblPr>
        <w:tblStyle w:val="15"/>
        <w:tblW w:w="0" w:type="auto"/>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439"/>
        <w:gridCol w:w="417"/>
        <w:gridCol w:w="862"/>
        <w:gridCol w:w="25"/>
        <w:gridCol w:w="114"/>
        <w:gridCol w:w="1088"/>
        <w:gridCol w:w="103"/>
        <w:gridCol w:w="164"/>
        <w:gridCol w:w="63"/>
        <w:gridCol w:w="1077"/>
        <w:gridCol w:w="151"/>
        <w:gridCol w:w="204"/>
        <w:gridCol w:w="950"/>
        <w:gridCol w:w="122"/>
        <w:gridCol w:w="142"/>
        <w:gridCol w:w="280"/>
        <w:gridCol w:w="760"/>
        <w:gridCol w:w="94"/>
        <w:gridCol w:w="641"/>
        <w:gridCol w:w="539"/>
        <w:gridCol w:w="179"/>
        <w:gridCol w:w="776"/>
        <w:gridCol w:w="380"/>
        <w:gridCol w:w="36"/>
        <w:gridCol w:w="1079"/>
        <w:gridCol w:w="55"/>
        <w:gridCol w:w="135"/>
        <w:gridCol w:w="1305"/>
      </w:tblGrid>
      <w:tr w14:paraId="10F5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07" w:type="dxa"/>
            <w:gridSpan w:val="7"/>
            <w:vAlign w:val="center"/>
          </w:tcPr>
          <w:p w14:paraId="5FF41258">
            <w:pPr>
              <w:ind w:left="181" w:leftChars="86"/>
              <w:rPr>
                <w:rFonts w:hint="eastAsia" w:asciiTheme="minorEastAsia" w:hAnsiTheme="minorEastAsia"/>
                <w:szCs w:val="21"/>
              </w:rPr>
            </w:pPr>
            <w:r>
              <w:rPr>
                <w:rFonts w:hint="eastAsia" w:asciiTheme="minorEastAsia" w:hAnsiTheme="minorEastAsia"/>
                <w:szCs w:val="21"/>
              </w:rPr>
              <w:t>委托单位：</w:t>
            </w:r>
          </w:p>
        </w:tc>
        <w:tc>
          <w:tcPr>
            <w:tcW w:w="2976" w:type="dxa"/>
            <w:gridSpan w:val="9"/>
            <w:vAlign w:val="center"/>
          </w:tcPr>
          <w:p w14:paraId="31709096">
            <w:pPr>
              <w:ind w:left="181" w:leftChars="86"/>
              <w:rPr>
                <w:rFonts w:hint="eastAsia" w:asciiTheme="minorEastAsia" w:hAnsiTheme="minorEastAsia"/>
                <w:szCs w:val="21"/>
              </w:rPr>
            </w:pPr>
            <w:r>
              <w:rPr>
                <w:rFonts w:hint="eastAsia" w:asciiTheme="minorEastAsia" w:hAnsiTheme="minorEastAsia"/>
                <w:szCs w:val="21"/>
              </w:rPr>
              <w:t>委托单位电话：</w:t>
            </w:r>
          </w:p>
        </w:tc>
        <w:tc>
          <w:tcPr>
            <w:tcW w:w="6259" w:type="dxa"/>
            <w:gridSpan w:val="13"/>
            <w:vAlign w:val="center"/>
          </w:tcPr>
          <w:p w14:paraId="4667A36F">
            <w:pPr>
              <w:ind w:left="181" w:leftChars="86"/>
              <w:rPr>
                <w:rFonts w:hint="eastAsia" w:asciiTheme="minorEastAsia" w:hAnsiTheme="minorEastAsia"/>
                <w:szCs w:val="21"/>
              </w:rPr>
            </w:pPr>
            <w:r>
              <w:rPr>
                <w:rFonts w:hint="eastAsia" w:asciiTheme="minorEastAsia" w:hAnsiTheme="minorEastAsia"/>
                <w:szCs w:val="21"/>
              </w:rPr>
              <w:t>委托单位地址：</w:t>
            </w:r>
          </w:p>
        </w:tc>
      </w:tr>
      <w:tr w14:paraId="09F8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07" w:type="dxa"/>
            <w:gridSpan w:val="7"/>
            <w:vAlign w:val="center"/>
          </w:tcPr>
          <w:p w14:paraId="3AA55DED">
            <w:pPr>
              <w:widowControl/>
              <w:ind w:left="181" w:leftChars="86"/>
              <w:jc w:val="left"/>
              <w:rPr>
                <w:rFonts w:hint="eastAsia" w:asciiTheme="minorEastAsia" w:hAnsiTheme="minorEastAsia"/>
                <w:b/>
                <w:szCs w:val="21"/>
                <w:highlight w:val="yellow"/>
              </w:rPr>
            </w:pPr>
            <w:r>
              <w:rPr>
                <w:rFonts w:hint="eastAsia" w:asciiTheme="minorEastAsia" w:hAnsiTheme="minorEastAsia"/>
                <w:szCs w:val="21"/>
              </w:rPr>
              <w:t>出厂</w:t>
            </w:r>
            <w:r>
              <w:rPr>
                <w:rFonts w:asciiTheme="minorEastAsia" w:hAnsiTheme="minorEastAsia"/>
                <w:szCs w:val="21"/>
              </w:rPr>
              <w:t>编号：</w:t>
            </w:r>
          </w:p>
        </w:tc>
        <w:tc>
          <w:tcPr>
            <w:tcW w:w="2976" w:type="dxa"/>
            <w:gridSpan w:val="9"/>
            <w:vAlign w:val="center"/>
          </w:tcPr>
          <w:p w14:paraId="751116D3">
            <w:pPr>
              <w:widowControl/>
              <w:ind w:left="181" w:leftChars="86"/>
              <w:jc w:val="left"/>
              <w:rPr>
                <w:rFonts w:hint="eastAsia" w:asciiTheme="minorEastAsia" w:hAnsiTheme="minorEastAsia"/>
                <w:b/>
                <w:szCs w:val="21"/>
                <w:highlight w:val="yellow"/>
              </w:rPr>
            </w:pPr>
            <w:r>
              <w:rPr>
                <w:rFonts w:hint="eastAsia" w:asciiTheme="minorEastAsia" w:hAnsiTheme="minorEastAsia"/>
                <w:szCs w:val="21"/>
              </w:rPr>
              <w:t>型号/</w:t>
            </w:r>
            <w:r>
              <w:rPr>
                <w:rFonts w:asciiTheme="minorEastAsia" w:hAnsiTheme="minorEastAsia"/>
                <w:szCs w:val="21"/>
              </w:rPr>
              <w:t>规格</w:t>
            </w:r>
            <w:r>
              <w:rPr>
                <w:rFonts w:hint="eastAsia" w:asciiTheme="minorEastAsia" w:hAnsiTheme="minorEastAsia"/>
                <w:szCs w:val="21"/>
              </w:rPr>
              <w:t>：</w:t>
            </w:r>
          </w:p>
        </w:tc>
        <w:tc>
          <w:tcPr>
            <w:tcW w:w="6259" w:type="dxa"/>
            <w:gridSpan w:val="13"/>
            <w:vAlign w:val="center"/>
          </w:tcPr>
          <w:p w14:paraId="2BA592AA">
            <w:pPr>
              <w:widowControl/>
              <w:ind w:left="181" w:leftChars="86"/>
              <w:jc w:val="left"/>
              <w:rPr>
                <w:rFonts w:hint="eastAsia" w:asciiTheme="minorEastAsia" w:hAnsiTheme="minorEastAsia"/>
                <w:b/>
                <w:szCs w:val="21"/>
              </w:rPr>
            </w:pPr>
            <w:r>
              <w:rPr>
                <w:rFonts w:asciiTheme="minorEastAsia" w:hAnsiTheme="minorEastAsia"/>
                <w:szCs w:val="21"/>
              </w:rPr>
              <w:t>制造单位：</w:t>
            </w:r>
          </w:p>
        </w:tc>
      </w:tr>
      <w:tr w14:paraId="6598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07" w:type="dxa"/>
            <w:gridSpan w:val="7"/>
            <w:vAlign w:val="center"/>
          </w:tcPr>
          <w:p w14:paraId="18AA0291">
            <w:pPr>
              <w:widowControl/>
              <w:ind w:left="181" w:leftChars="86"/>
              <w:jc w:val="left"/>
              <w:rPr>
                <w:rFonts w:hint="eastAsia" w:asciiTheme="minorEastAsia" w:hAnsiTheme="minorEastAsia"/>
                <w:szCs w:val="21"/>
                <w:highlight w:val="yellow"/>
              </w:rPr>
            </w:pPr>
            <w:bookmarkStart w:id="24" w:name="OLE_LINK9"/>
            <w:bookmarkStart w:id="25" w:name="OLE_LINK8"/>
            <w:r>
              <w:rPr>
                <w:rFonts w:hint="eastAsia"/>
                <w:color w:val="000000"/>
              </w:rPr>
              <w:t>文件基本名称</w:t>
            </w:r>
            <w:bookmarkEnd w:id="24"/>
            <w:bookmarkEnd w:id="25"/>
            <w:r>
              <w:rPr>
                <w:rFonts w:hint="eastAsia"/>
                <w:color w:val="000000"/>
              </w:rPr>
              <w:t>：</w:t>
            </w:r>
          </w:p>
        </w:tc>
        <w:tc>
          <w:tcPr>
            <w:tcW w:w="2976" w:type="dxa"/>
            <w:gridSpan w:val="9"/>
            <w:vAlign w:val="center"/>
          </w:tcPr>
          <w:p w14:paraId="4D313231">
            <w:pPr>
              <w:widowControl/>
              <w:ind w:left="181" w:leftChars="86"/>
              <w:jc w:val="left"/>
              <w:rPr>
                <w:rFonts w:hint="eastAsia" w:asciiTheme="minorEastAsia" w:hAnsiTheme="minorEastAsia"/>
                <w:szCs w:val="21"/>
              </w:rPr>
            </w:pPr>
            <w:r>
              <w:rPr>
                <w:rFonts w:hint="eastAsia"/>
                <w:color w:val="000000"/>
              </w:rPr>
              <w:t>扫描参数：</w:t>
            </w:r>
          </w:p>
        </w:tc>
        <w:tc>
          <w:tcPr>
            <w:tcW w:w="6259" w:type="dxa"/>
            <w:gridSpan w:val="13"/>
            <w:vAlign w:val="center"/>
          </w:tcPr>
          <w:p w14:paraId="735F6082">
            <w:pPr>
              <w:spacing w:line="360" w:lineRule="auto"/>
              <w:ind w:left="181" w:leftChars="86"/>
              <w:jc w:val="left"/>
              <w:rPr>
                <w:color w:val="000000"/>
              </w:rPr>
            </w:pPr>
            <w:r>
              <w:rPr>
                <w:rFonts w:hint="eastAsia"/>
                <w:color w:val="000000"/>
              </w:rPr>
              <w:t>扫描仪安装方式：</w:t>
            </w:r>
            <w:r>
              <w:rPr>
                <w:rFonts w:hint="eastAsia" w:ascii="宋体" w:hAnsi="宋体"/>
                <w:color w:val="000000"/>
              </w:rPr>
              <w:t xml:space="preserve">      □</w:t>
            </w:r>
            <w:r>
              <w:rPr>
                <w:rFonts w:ascii="宋体" w:hAnsi="宋体"/>
                <w:color w:val="000000"/>
              </w:rPr>
              <w:t xml:space="preserve"> </w:t>
            </w:r>
            <w:r>
              <w:rPr>
                <w:rFonts w:hint="eastAsia"/>
                <w:color w:val="000000"/>
              </w:rPr>
              <w:t xml:space="preserve">倒置      </w:t>
            </w:r>
            <w:r>
              <w:rPr>
                <w:rFonts w:hint="eastAsia" w:ascii="宋体" w:hAnsi="宋体"/>
                <w:color w:val="000000"/>
              </w:rPr>
              <w:t>□</w:t>
            </w:r>
            <w:r>
              <w:rPr>
                <w:color w:val="000000"/>
              </w:rPr>
              <w:t xml:space="preserve"> </w:t>
            </w:r>
            <w:r>
              <w:rPr>
                <w:rFonts w:hint="eastAsia"/>
                <w:color w:val="000000"/>
              </w:rPr>
              <w:t>正置</w:t>
            </w:r>
          </w:p>
          <w:p w14:paraId="2D064BD8">
            <w:pPr>
              <w:widowControl/>
              <w:ind w:left="181" w:leftChars="86"/>
              <w:jc w:val="left"/>
              <w:rPr>
                <w:rFonts w:hint="eastAsia" w:asciiTheme="minorEastAsia" w:hAnsiTheme="minorEastAsia"/>
                <w:szCs w:val="21"/>
              </w:rPr>
            </w:pPr>
          </w:p>
        </w:tc>
      </w:tr>
      <w:tr w14:paraId="7DB1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801" w:type="dxa"/>
            <w:gridSpan w:val="2"/>
            <w:vAlign w:val="center"/>
          </w:tcPr>
          <w:p w14:paraId="253162DB">
            <w:pPr>
              <w:widowControl/>
              <w:ind w:left="181" w:leftChars="86"/>
              <w:jc w:val="center"/>
              <w:rPr>
                <w:rFonts w:hint="eastAsia" w:asciiTheme="minorEastAsia" w:hAnsiTheme="minorEastAsia"/>
                <w:b/>
                <w:szCs w:val="21"/>
              </w:rPr>
            </w:pPr>
            <w:r>
              <w:rPr>
                <w:rFonts w:hint="eastAsia" w:asciiTheme="minorEastAsia" w:hAnsiTheme="minorEastAsia"/>
                <w:szCs w:val="21"/>
              </w:rPr>
              <w:t>检测罐编号</w:t>
            </w:r>
          </w:p>
        </w:tc>
        <w:tc>
          <w:tcPr>
            <w:tcW w:w="7796" w:type="dxa"/>
            <w:gridSpan w:val="19"/>
            <w:vAlign w:val="center"/>
          </w:tcPr>
          <w:p w14:paraId="72AA3476">
            <w:pPr>
              <w:widowControl/>
              <w:ind w:left="181" w:leftChars="86"/>
              <w:jc w:val="center"/>
              <w:rPr>
                <w:rFonts w:hint="eastAsia" w:asciiTheme="minorEastAsia" w:hAnsiTheme="minorEastAsia"/>
                <w:b/>
                <w:szCs w:val="21"/>
              </w:rPr>
            </w:pPr>
          </w:p>
        </w:tc>
        <w:tc>
          <w:tcPr>
            <w:tcW w:w="3945" w:type="dxa"/>
            <w:gridSpan w:val="8"/>
            <w:vAlign w:val="center"/>
          </w:tcPr>
          <w:p w14:paraId="06AB88F5">
            <w:pPr>
              <w:widowControl/>
              <w:ind w:left="181" w:leftChars="86"/>
              <w:jc w:val="center"/>
              <w:rPr>
                <w:rFonts w:hint="eastAsia" w:asciiTheme="minorEastAsia" w:hAnsiTheme="minorEastAsia"/>
                <w:b/>
                <w:szCs w:val="21"/>
              </w:rPr>
            </w:pPr>
          </w:p>
        </w:tc>
      </w:tr>
      <w:tr w14:paraId="26E1C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801" w:type="dxa"/>
            <w:gridSpan w:val="2"/>
            <w:vAlign w:val="center"/>
          </w:tcPr>
          <w:p w14:paraId="2B6B78C5">
            <w:pPr>
              <w:widowControl/>
              <w:ind w:left="181" w:leftChars="86"/>
              <w:jc w:val="center"/>
              <w:rPr>
                <w:rFonts w:hint="eastAsia" w:asciiTheme="minorEastAsia" w:hAnsiTheme="minorEastAsia"/>
                <w:b/>
                <w:szCs w:val="21"/>
              </w:rPr>
            </w:pPr>
            <w:r>
              <w:rPr>
                <w:rFonts w:hint="eastAsia" w:asciiTheme="minorEastAsia" w:hAnsiTheme="minorEastAsia"/>
                <w:szCs w:val="21"/>
              </w:rPr>
              <w:t>序号</w:t>
            </w:r>
          </w:p>
        </w:tc>
        <w:tc>
          <w:tcPr>
            <w:tcW w:w="1304" w:type="dxa"/>
            <w:gridSpan w:val="3"/>
            <w:vAlign w:val="center"/>
          </w:tcPr>
          <w:p w14:paraId="5504DFBA">
            <w:pPr>
              <w:snapToGrid w:val="0"/>
              <w:ind w:left="181" w:leftChars="86"/>
              <w:jc w:val="center"/>
              <w:rPr>
                <w:rFonts w:hint="eastAsia" w:asciiTheme="minorEastAsia" w:hAnsiTheme="minorEastAsia"/>
                <w:szCs w:val="21"/>
              </w:rPr>
            </w:pPr>
            <w:r>
              <w:rPr>
                <w:rFonts w:asciiTheme="minorEastAsia" w:hAnsiTheme="minorEastAsia"/>
                <w:szCs w:val="21"/>
              </w:rPr>
              <w:t>1</w:t>
            </w:r>
          </w:p>
        </w:tc>
        <w:tc>
          <w:tcPr>
            <w:tcW w:w="1305" w:type="dxa"/>
            <w:gridSpan w:val="3"/>
            <w:vAlign w:val="center"/>
          </w:tcPr>
          <w:p w14:paraId="3707CB52">
            <w:pPr>
              <w:snapToGrid w:val="0"/>
              <w:ind w:left="181" w:leftChars="86"/>
              <w:jc w:val="center"/>
              <w:rPr>
                <w:rFonts w:hint="eastAsia" w:asciiTheme="minorEastAsia" w:hAnsiTheme="minorEastAsia"/>
                <w:szCs w:val="21"/>
              </w:rPr>
            </w:pPr>
            <w:r>
              <w:rPr>
                <w:rFonts w:asciiTheme="minorEastAsia" w:hAnsiTheme="minorEastAsia"/>
                <w:szCs w:val="21"/>
              </w:rPr>
              <w:t>2</w:t>
            </w:r>
          </w:p>
        </w:tc>
        <w:tc>
          <w:tcPr>
            <w:tcW w:w="1304" w:type="dxa"/>
            <w:gridSpan w:val="3"/>
            <w:vAlign w:val="center"/>
          </w:tcPr>
          <w:p w14:paraId="410FE015">
            <w:pPr>
              <w:snapToGrid w:val="0"/>
              <w:ind w:left="181" w:leftChars="86"/>
              <w:jc w:val="center"/>
              <w:rPr>
                <w:rFonts w:hint="eastAsia" w:asciiTheme="minorEastAsia" w:hAnsiTheme="minorEastAsia"/>
                <w:szCs w:val="21"/>
              </w:rPr>
            </w:pPr>
            <w:r>
              <w:rPr>
                <w:rFonts w:asciiTheme="minorEastAsia" w:hAnsiTheme="minorEastAsia"/>
                <w:szCs w:val="21"/>
              </w:rPr>
              <w:t>3</w:t>
            </w:r>
          </w:p>
        </w:tc>
        <w:tc>
          <w:tcPr>
            <w:tcW w:w="1305" w:type="dxa"/>
            <w:gridSpan w:val="3"/>
            <w:vAlign w:val="center"/>
          </w:tcPr>
          <w:p w14:paraId="1914508F">
            <w:pPr>
              <w:snapToGrid w:val="0"/>
              <w:ind w:left="181" w:leftChars="86"/>
              <w:jc w:val="center"/>
              <w:rPr>
                <w:rFonts w:hint="eastAsia" w:asciiTheme="minorEastAsia" w:hAnsiTheme="minorEastAsia"/>
                <w:szCs w:val="21"/>
              </w:rPr>
            </w:pPr>
            <w:r>
              <w:rPr>
                <w:rFonts w:asciiTheme="minorEastAsia" w:hAnsiTheme="minorEastAsia"/>
                <w:szCs w:val="21"/>
              </w:rPr>
              <w:t>4</w:t>
            </w:r>
          </w:p>
        </w:tc>
        <w:tc>
          <w:tcPr>
            <w:tcW w:w="1304" w:type="dxa"/>
            <w:gridSpan w:val="4"/>
            <w:vAlign w:val="center"/>
          </w:tcPr>
          <w:p w14:paraId="3B634A01">
            <w:pPr>
              <w:snapToGrid w:val="0"/>
              <w:ind w:left="181" w:leftChars="86"/>
              <w:jc w:val="center"/>
              <w:rPr>
                <w:rFonts w:hint="eastAsia" w:asciiTheme="minorEastAsia" w:hAnsiTheme="minorEastAsia"/>
                <w:szCs w:val="21"/>
              </w:rPr>
            </w:pPr>
            <w:r>
              <w:rPr>
                <w:rFonts w:asciiTheme="minorEastAsia" w:hAnsiTheme="minorEastAsia"/>
                <w:szCs w:val="21"/>
              </w:rPr>
              <w:t>5</w:t>
            </w:r>
          </w:p>
        </w:tc>
        <w:tc>
          <w:tcPr>
            <w:tcW w:w="1274" w:type="dxa"/>
            <w:gridSpan w:val="3"/>
            <w:vAlign w:val="center"/>
          </w:tcPr>
          <w:p w14:paraId="6B1AC9D9">
            <w:pPr>
              <w:snapToGrid w:val="0"/>
              <w:ind w:left="181" w:leftChars="86"/>
              <w:jc w:val="center"/>
              <w:rPr>
                <w:rFonts w:hint="eastAsia" w:asciiTheme="minorEastAsia" w:hAnsiTheme="minorEastAsia"/>
                <w:szCs w:val="21"/>
              </w:rPr>
            </w:pPr>
            <w:r>
              <w:rPr>
                <w:rFonts w:hint="eastAsia" w:asciiTheme="minorEastAsia" w:hAnsiTheme="minorEastAsia"/>
                <w:szCs w:val="21"/>
              </w:rPr>
              <w:t>6</w:t>
            </w:r>
          </w:p>
        </w:tc>
        <w:tc>
          <w:tcPr>
            <w:tcW w:w="1335" w:type="dxa"/>
            <w:gridSpan w:val="3"/>
            <w:vAlign w:val="center"/>
          </w:tcPr>
          <w:p w14:paraId="7DBE8097">
            <w:pPr>
              <w:widowControl/>
              <w:ind w:left="181" w:leftChars="86"/>
              <w:jc w:val="center"/>
              <w:rPr>
                <w:rFonts w:hint="eastAsia" w:asciiTheme="minorEastAsia" w:hAnsiTheme="minorEastAsia"/>
                <w:szCs w:val="21"/>
              </w:rPr>
            </w:pPr>
            <w:r>
              <w:rPr>
                <w:rFonts w:hint="eastAsia" w:asciiTheme="minorEastAsia" w:hAnsiTheme="minorEastAsia"/>
                <w:szCs w:val="21"/>
              </w:rPr>
              <w:t>7</w:t>
            </w:r>
          </w:p>
        </w:tc>
        <w:tc>
          <w:tcPr>
            <w:tcW w:w="1305" w:type="dxa"/>
            <w:gridSpan w:val="4"/>
            <w:vAlign w:val="center"/>
          </w:tcPr>
          <w:p w14:paraId="10581D51">
            <w:pPr>
              <w:widowControl/>
              <w:ind w:left="181" w:leftChars="86"/>
              <w:jc w:val="center"/>
              <w:rPr>
                <w:rFonts w:hint="eastAsia" w:asciiTheme="minorEastAsia" w:hAnsiTheme="minorEastAsia"/>
                <w:szCs w:val="21"/>
              </w:rPr>
            </w:pPr>
            <w:r>
              <w:rPr>
                <w:rFonts w:hint="eastAsia" w:asciiTheme="minorEastAsia" w:hAnsiTheme="minorEastAsia"/>
                <w:szCs w:val="21"/>
              </w:rPr>
              <w:t>8</w:t>
            </w:r>
          </w:p>
        </w:tc>
        <w:tc>
          <w:tcPr>
            <w:tcW w:w="1305" w:type="dxa"/>
            <w:vAlign w:val="center"/>
          </w:tcPr>
          <w:p w14:paraId="1F6954AA">
            <w:pPr>
              <w:widowControl/>
              <w:ind w:left="181" w:leftChars="86"/>
              <w:jc w:val="center"/>
              <w:rPr>
                <w:rFonts w:hint="eastAsia" w:asciiTheme="minorEastAsia" w:hAnsiTheme="minorEastAsia"/>
                <w:szCs w:val="21"/>
              </w:rPr>
            </w:pPr>
            <w:r>
              <w:rPr>
                <w:rFonts w:hint="eastAsia" w:asciiTheme="minorEastAsia" w:hAnsiTheme="minorEastAsia"/>
                <w:szCs w:val="21"/>
              </w:rPr>
              <w:t>9</w:t>
            </w:r>
          </w:p>
        </w:tc>
      </w:tr>
      <w:tr w14:paraId="62A3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801" w:type="dxa"/>
            <w:gridSpan w:val="2"/>
            <w:vAlign w:val="center"/>
          </w:tcPr>
          <w:p w14:paraId="3E7558A5">
            <w:pPr>
              <w:widowControl/>
              <w:ind w:left="31" w:leftChars="15" w:right="-99" w:rightChars="-47"/>
              <w:jc w:val="center"/>
              <w:rPr>
                <w:rFonts w:hint="eastAsia" w:asciiTheme="minorEastAsia" w:hAnsiTheme="minorEastAsia"/>
                <w:b/>
                <w:szCs w:val="21"/>
              </w:rPr>
            </w:pPr>
            <w:r>
              <w:rPr>
                <w:rFonts w:hint="eastAsia"/>
                <w:color w:val="000000"/>
              </w:rPr>
              <w:t>文件扫描编号</w:t>
            </w:r>
          </w:p>
        </w:tc>
        <w:tc>
          <w:tcPr>
            <w:tcW w:w="1304" w:type="dxa"/>
            <w:gridSpan w:val="3"/>
            <w:vAlign w:val="center"/>
          </w:tcPr>
          <w:p w14:paraId="36D694B3">
            <w:pPr>
              <w:widowControl/>
              <w:ind w:left="181" w:leftChars="86"/>
              <w:jc w:val="center"/>
              <w:rPr>
                <w:rFonts w:hint="eastAsia" w:asciiTheme="minorEastAsia" w:hAnsiTheme="minorEastAsia"/>
                <w:b/>
                <w:szCs w:val="21"/>
              </w:rPr>
            </w:pPr>
          </w:p>
        </w:tc>
        <w:tc>
          <w:tcPr>
            <w:tcW w:w="1305" w:type="dxa"/>
            <w:gridSpan w:val="3"/>
            <w:vAlign w:val="center"/>
          </w:tcPr>
          <w:p w14:paraId="611359F0">
            <w:pPr>
              <w:widowControl/>
              <w:ind w:left="181" w:leftChars="86"/>
              <w:jc w:val="center"/>
              <w:rPr>
                <w:rFonts w:hint="eastAsia" w:asciiTheme="minorEastAsia" w:hAnsiTheme="minorEastAsia"/>
                <w:b/>
                <w:szCs w:val="21"/>
              </w:rPr>
            </w:pPr>
          </w:p>
        </w:tc>
        <w:tc>
          <w:tcPr>
            <w:tcW w:w="1304" w:type="dxa"/>
            <w:gridSpan w:val="3"/>
            <w:vAlign w:val="center"/>
          </w:tcPr>
          <w:p w14:paraId="3E6E2DE5">
            <w:pPr>
              <w:widowControl/>
              <w:ind w:left="181" w:leftChars="86"/>
              <w:jc w:val="center"/>
              <w:rPr>
                <w:rFonts w:hint="eastAsia" w:asciiTheme="minorEastAsia" w:hAnsiTheme="minorEastAsia"/>
                <w:b/>
                <w:szCs w:val="21"/>
              </w:rPr>
            </w:pPr>
          </w:p>
        </w:tc>
        <w:tc>
          <w:tcPr>
            <w:tcW w:w="1305" w:type="dxa"/>
            <w:gridSpan w:val="3"/>
            <w:vAlign w:val="center"/>
          </w:tcPr>
          <w:p w14:paraId="23E37EA3">
            <w:pPr>
              <w:widowControl/>
              <w:ind w:left="181" w:leftChars="86"/>
              <w:jc w:val="center"/>
              <w:rPr>
                <w:rFonts w:hint="eastAsia" w:asciiTheme="minorEastAsia" w:hAnsiTheme="minorEastAsia"/>
                <w:b/>
                <w:szCs w:val="21"/>
              </w:rPr>
            </w:pPr>
          </w:p>
        </w:tc>
        <w:tc>
          <w:tcPr>
            <w:tcW w:w="1304" w:type="dxa"/>
            <w:gridSpan w:val="4"/>
            <w:vAlign w:val="center"/>
          </w:tcPr>
          <w:p w14:paraId="697E01E3">
            <w:pPr>
              <w:widowControl/>
              <w:ind w:left="181" w:leftChars="86"/>
              <w:jc w:val="center"/>
              <w:rPr>
                <w:rFonts w:hint="eastAsia" w:asciiTheme="minorEastAsia" w:hAnsiTheme="minorEastAsia"/>
                <w:b/>
                <w:szCs w:val="21"/>
              </w:rPr>
            </w:pPr>
          </w:p>
        </w:tc>
        <w:tc>
          <w:tcPr>
            <w:tcW w:w="1274" w:type="dxa"/>
            <w:gridSpan w:val="3"/>
            <w:vAlign w:val="center"/>
          </w:tcPr>
          <w:p w14:paraId="221B5708">
            <w:pPr>
              <w:widowControl/>
              <w:ind w:left="181" w:leftChars="86"/>
              <w:jc w:val="center"/>
              <w:rPr>
                <w:rFonts w:hint="eastAsia" w:asciiTheme="minorEastAsia" w:hAnsiTheme="minorEastAsia"/>
                <w:b/>
                <w:szCs w:val="21"/>
              </w:rPr>
            </w:pPr>
          </w:p>
        </w:tc>
        <w:tc>
          <w:tcPr>
            <w:tcW w:w="1335" w:type="dxa"/>
            <w:gridSpan w:val="3"/>
            <w:vAlign w:val="center"/>
          </w:tcPr>
          <w:p w14:paraId="0DE68129">
            <w:pPr>
              <w:widowControl/>
              <w:ind w:left="181" w:leftChars="86"/>
              <w:jc w:val="center"/>
              <w:rPr>
                <w:rFonts w:hint="eastAsia" w:asciiTheme="minorEastAsia" w:hAnsiTheme="minorEastAsia"/>
                <w:b/>
                <w:szCs w:val="21"/>
              </w:rPr>
            </w:pPr>
          </w:p>
        </w:tc>
        <w:tc>
          <w:tcPr>
            <w:tcW w:w="1305" w:type="dxa"/>
            <w:gridSpan w:val="4"/>
            <w:vAlign w:val="center"/>
          </w:tcPr>
          <w:p w14:paraId="5EF5BEA9">
            <w:pPr>
              <w:widowControl/>
              <w:ind w:left="181" w:leftChars="86"/>
              <w:jc w:val="center"/>
              <w:rPr>
                <w:rFonts w:hint="eastAsia" w:asciiTheme="minorEastAsia" w:hAnsiTheme="minorEastAsia"/>
                <w:b/>
                <w:szCs w:val="21"/>
              </w:rPr>
            </w:pPr>
          </w:p>
        </w:tc>
        <w:tc>
          <w:tcPr>
            <w:tcW w:w="1305" w:type="dxa"/>
            <w:vAlign w:val="center"/>
          </w:tcPr>
          <w:p w14:paraId="14A03F26">
            <w:pPr>
              <w:widowControl/>
              <w:ind w:left="181" w:leftChars="86"/>
              <w:jc w:val="center"/>
              <w:rPr>
                <w:rFonts w:hint="eastAsia" w:asciiTheme="minorEastAsia" w:hAnsiTheme="minorEastAsia"/>
                <w:b/>
                <w:szCs w:val="21"/>
              </w:rPr>
            </w:pPr>
          </w:p>
        </w:tc>
      </w:tr>
      <w:tr w14:paraId="431C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801" w:type="dxa"/>
            <w:gridSpan w:val="2"/>
            <w:vAlign w:val="center"/>
          </w:tcPr>
          <w:p w14:paraId="30EFD79A">
            <w:pPr>
              <w:widowControl/>
              <w:ind w:left="181" w:leftChars="86"/>
              <w:jc w:val="left"/>
              <w:rPr>
                <w:rFonts w:hint="eastAsia" w:asciiTheme="minorEastAsia" w:hAnsiTheme="minorEastAsia"/>
                <w:b/>
                <w:szCs w:val="21"/>
              </w:rPr>
            </w:pPr>
            <w:r>
              <w:rPr>
                <w:rFonts w:hint="eastAsia"/>
                <w:color w:val="000000"/>
              </w:rPr>
              <w:t>检尺点竖坐标</w:t>
            </w:r>
            <w:r>
              <w:rPr>
                <w:rFonts w:hint="eastAsia" w:asciiTheme="minorEastAsia" w:hAnsiTheme="minorEastAsia"/>
                <w:szCs w:val="21"/>
              </w:rPr>
              <w:t>/</w:t>
            </w:r>
            <w:r>
              <w:rPr>
                <w:rFonts w:asciiTheme="minorEastAsia" w:hAnsiTheme="minorEastAsia"/>
                <w:szCs w:val="21"/>
              </w:rPr>
              <w:t>mm</w:t>
            </w:r>
          </w:p>
        </w:tc>
        <w:tc>
          <w:tcPr>
            <w:tcW w:w="1304" w:type="dxa"/>
            <w:gridSpan w:val="3"/>
            <w:vAlign w:val="center"/>
          </w:tcPr>
          <w:p w14:paraId="7C2EEC02">
            <w:pPr>
              <w:widowControl/>
              <w:ind w:left="181" w:leftChars="86"/>
              <w:jc w:val="center"/>
              <w:rPr>
                <w:rFonts w:hint="eastAsia" w:asciiTheme="minorEastAsia" w:hAnsiTheme="minorEastAsia"/>
                <w:b/>
                <w:szCs w:val="21"/>
              </w:rPr>
            </w:pPr>
          </w:p>
        </w:tc>
        <w:tc>
          <w:tcPr>
            <w:tcW w:w="1305" w:type="dxa"/>
            <w:gridSpan w:val="3"/>
            <w:vAlign w:val="center"/>
          </w:tcPr>
          <w:p w14:paraId="2F210A5B">
            <w:pPr>
              <w:widowControl/>
              <w:ind w:left="181" w:leftChars="86"/>
              <w:jc w:val="center"/>
              <w:rPr>
                <w:rFonts w:hint="eastAsia" w:asciiTheme="minorEastAsia" w:hAnsiTheme="minorEastAsia"/>
                <w:b/>
                <w:szCs w:val="21"/>
              </w:rPr>
            </w:pPr>
          </w:p>
        </w:tc>
        <w:tc>
          <w:tcPr>
            <w:tcW w:w="1304" w:type="dxa"/>
            <w:gridSpan w:val="3"/>
            <w:vAlign w:val="center"/>
          </w:tcPr>
          <w:p w14:paraId="219701D4">
            <w:pPr>
              <w:widowControl/>
              <w:ind w:left="181" w:leftChars="86"/>
              <w:jc w:val="center"/>
              <w:rPr>
                <w:rFonts w:hint="eastAsia" w:asciiTheme="minorEastAsia" w:hAnsiTheme="minorEastAsia"/>
                <w:b/>
                <w:szCs w:val="21"/>
              </w:rPr>
            </w:pPr>
          </w:p>
        </w:tc>
        <w:tc>
          <w:tcPr>
            <w:tcW w:w="1305" w:type="dxa"/>
            <w:gridSpan w:val="3"/>
            <w:vAlign w:val="center"/>
          </w:tcPr>
          <w:p w14:paraId="392DE168">
            <w:pPr>
              <w:widowControl/>
              <w:ind w:left="181" w:leftChars="86"/>
              <w:jc w:val="center"/>
              <w:rPr>
                <w:rFonts w:hint="eastAsia" w:asciiTheme="minorEastAsia" w:hAnsiTheme="minorEastAsia"/>
                <w:b/>
                <w:szCs w:val="21"/>
              </w:rPr>
            </w:pPr>
          </w:p>
        </w:tc>
        <w:tc>
          <w:tcPr>
            <w:tcW w:w="1304" w:type="dxa"/>
            <w:gridSpan w:val="4"/>
            <w:vAlign w:val="center"/>
          </w:tcPr>
          <w:p w14:paraId="302D1FE2">
            <w:pPr>
              <w:widowControl/>
              <w:ind w:left="181" w:leftChars="86"/>
              <w:jc w:val="center"/>
              <w:rPr>
                <w:rFonts w:hint="eastAsia" w:asciiTheme="minorEastAsia" w:hAnsiTheme="minorEastAsia"/>
                <w:b/>
                <w:szCs w:val="21"/>
              </w:rPr>
            </w:pPr>
          </w:p>
        </w:tc>
        <w:tc>
          <w:tcPr>
            <w:tcW w:w="1274" w:type="dxa"/>
            <w:gridSpan w:val="3"/>
            <w:vAlign w:val="center"/>
          </w:tcPr>
          <w:p w14:paraId="4E2CF76B">
            <w:pPr>
              <w:widowControl/>
              <w:ind w:left="181" w:leftChars="86"/>
              <w:jc w:val="center"/>
              <w:rPr>
                <w:rFonts w:hint="eastAsia" w:asciiTheme="minorEastAsia" w:hAnsiTheme="minorEastAsia"/>
                <w:b/>
                <w:szCs w:val="21"/>
              </w:rPr>
            </w:pPr>
          </w:p>
        </w:tc>
        <w:tc>
          <w:tcPr>
            <w:tcW w:w="1335" w:type="dxa"/>
            <w:gridSpan w:val="3"/>
            <w:vAlign w:val="center"/>
          </w:tcPr>
          <w:p w14:paraId="2E1CA74D">
            <w:pPr>
              <w:widowControl/>
              <w:ind w:left="181" w:leftChars="86"/>
              <w:jc w:val="center"/>
              <w:rPr>
                <w:rFonts w:hint="eastAsia" w:asciiTheme="minorEastAsia" w:hAnsiTheme="minorEastAsia"/>
                <w:b/>
                <w:szCs w:val="21"/>
              </w:rPr>
            </w:pPr>
          </w:p>
        </w:tc>
        <w:tc>
          <w:tcPr>
            <w:tcW w:w="1305" w:type="dxa"/>
            <w:gridSpan w:val="4"/>
            <w:vAlign w:val="center"/>
          </w:tcPr>
          <w:p w14:paraId="1C4B103D">
            <w:pPr>
              <w:widowControl/>
              <w:ind w:left="181" w:leftChars="86"/>
              <w:jc w:val="center"/>
              <w:rPr>
                <w:rFonts w:hint="eastAsia" w:asciiTheme="minorEastAsia" w:hAnsiTheme="minorEastAsia"/>
                <w:b/>
                <w:szCs w:val="21"/>
              </w:rPr>
            </w:pPr>
          </w:p>
        </w:tc>
        <w:tc>
          <w:tcPr>
            <w:tcW w:w="1305" w:type="dxa"/>
            <w:vAlign w:val="center"/>
          </w:tcPr>
          <w:p w14:paraId="06BAB0C8">
            <w:pPr>
              <w:widowControl/>
              <w:ind w:left="181" w:leftChars="86"/>
              <w:jc w:val="center"/>
              <w:rPr>
                <w:rFonts w:hint="eastAsia" w:asciiTheme="minorEastAsia" w:hAnsiTheme="minorEastAsia"/>
                <w:b/>
                <w:szCs w:val="21"/>
              </w:rPr>
            </w:pPr>
          </w:p>
        </w:tc>
      </w:tr>
      <w:tr w14:paraId="2C81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542" w:type="dxa"/>
            <w:gridSpan w:val="29"/>
            <w:vAlign w:val="center"/>
          </w:tcPr>
          <w:p w14:paraId="3B50F984">
            <w:pPr>
              <w:widowControl/>
              <w:ind w:left="181" w:leftChars="86"/>
              <w:jc w:val="left"/>
              <w:rPr>
                <w:rFonts w:hint="eastAsia" w:asciiTheme="minorEastAsia" w:hAnsiTheme="minorEastAsia"/>
                <w:b/>
                <w:szCs w:val="21"/>
              </w:rPr>
            </w:pPr>
            <w:r>
              <w:rPr>
                <w:rFonts w:hint="eastAsia" w:asciiTheme="minorEastAsia" w:hAnsiTheme="minorEastAsia"/>
                <w:b/>
                <w:szCs w:val="21"/>
              </w:rPr>
              <w:t>重复性</w:t>
            </w:r>
          </w:p>
        </w:tc>
      </w:tr>
      <w:tr w14:paraId="2F5F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362" w:type="dxa"/>
            <w:vAlign w:val="center"/>
          </w:tcPr>
          <w:p w14:paraId="6EB062C9">
            <w:pPr>
              <w:widowControl/>
              <w:ind w:left="181" w:leftChars="86"/>
              <w:jc w:val="center"/>
              <w:rPr>
                <w:rFonts w:hint="eastAsia" w:asciiTheme="minorEastAsia" w:hAnsiTheme="minorEastAsia"/>
                <w:szCs w:val="21"/>
              </w:rPr>
            </w:pPr>
            <w:bookmarkStart w:id="26" w:name="OLE_LINK6"/>
            <w:bookmarkStart w:id="27" w:name="OLE_LINK7"/>
            <w:r>
              <w:rPr>
                <w:rFonts w:hint="eastAsia" w:asciiTheme="minorEastAsia" w:hAnsiTheme="minorEastAsia"/>
                <w:szCs w:val="21"/>
              </w:rPr>
              <w:t>检测罐</w:t>
            </w:r>
          </w:p>
          <w:p w14:paraId="7FCABD7D">
            <w:pPr>
              <w:widowControl/>
              <w:ind w:left="181" w:leftChars="86"/>
              <w:jc w:val="center"/>
              <w:rPr>
                <w:rFonts w:hint="eastAsia" w:asciiTheme="minorEastAsia" w:hAnsiTheme="minorEastAsia"/>
                <w:b/>
                <w:szCs w:val="21"/>
              </w:rPr>
            </w:pPr>
            <w:r>
              <w:rPr>
                <w:rFonts w:hint="eastAsia" w:asciiTheme="minorEastAsia" w:hAnsiTheme="minorEastAsia"/>
                <w:szCs w:val="21"/>
              </w:rPr>
              <w:t>编号</w:t>
            </w:r>
            <w:bookmarkEnd w:id="26"/>
            <w:bookmarkEnd w:id="27"/>
          </w:p>
        </w:tc>
        <w:tc>
          <w:tcPr>
            <w:tcW w:w="1718" w:type="dxa"/>
            <w:gridSpan w:val="3"/>
            <w:vAlign w:val="center"/>
          </w:tcPr>
          <w:p w14:paraId="1FD46A02">
            <w:pPr>
              <w:widowControl/>
              <w:ind w:left="181" w:leftChars="86"/>
              <w:jc w:val="center"/>
              <w:rPr>
                <w:rFonts w:hint="eastAsia" w:asciiTheme="minorEastAsia" w:hAnsiTheme="minorEastAsia"/>
                <w:szCs w:val="21"/>
              </w:rPr>
            </w:pPr>
            <w:r>
              <w:rPr>
                <w:rFonts w:hint="eastAsia" w:asciiTheme="minorEastAsia" w:hAnsiTheme="minorEastAsia"/>
                <w:szCs w:val="21"/>
              </w:rPr>
              <mc:AlternateContent>
                <mc:Choice Requires="wps">
                  <w:drawing>
                    <wp:anchor distT="0" distB="0" distL="114300" distR="114300" simplePos="0" relativeHeight="251666432" behindDoc="0" locked="0" layoutInCell="1" allowOverlap="1">
                      <wp:simplePos x="0" y="0"/>
                      <wp:positionH relativeFrom="column">
                        <wp:posOffset>-56515</wp:posOffset>
                      </wp:positionH>
                      <wp:positionV relativeFrom="paragraph">
                        <wp:posOffset>22225</wp:posOffset>
                      </wp:positionV>
                      <wp:extent cx="1078230" cy="241935"/>
                      <wp:effectExtent l="0" t="0" r="26670" b="24765"/>
                      <wp:wrapNone/>
                      <wp:docPr id="2116164850"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078230" cy="241935"/>
                              </a:xfrm>
                              <a:prstGeom prst="line">
                                <a:avLst/>
                              </a:prstGeom>
                              <a:noFill/>
                              <a:ln w="9525">
                                <a:solidFill>
                                  <a:srgbClr val="000000"/>
                                </a:solidFill>
                                <a:round/>
                              </a:ln>
                            </wps:spPr>
                            <wps:bodyPr/>
                          </wps:wsp>
                        </a:graphicData>
                      </a:graphic>
                    </wp:anchor>
                  </w:drawing>
                </mc:Choice>
                <mc:Fallback>
                  <w:pict>
                    <v:line id="直接连接符 11" o:spid="_x0000_s1026" o:spt="20" style="position:absolute;left:0pt;margin-left:-4.45pt;margin-top:1.75pt;height:19.05pt;width:84.9pt;z-index:251666432;mso-width-relative:page;mso-height-relative:page;" filled="f" stroked="t" coordsize="21600,21600" o:gfxdata="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y0w0tUAAAAHAQAADwAAAAAAAAABACAAAAAiAAAAZHJzL2Rvd25yZXYueG1sUEsBAhQAFAAA&#10;AAgAh07iQLuu4R3yAQAAuQMAAA4AAAAAAAAAAQAgAAAAJAEAAGRycy9lMm9Eb2MueG1sUEsFBgAA&#10;AAAGAAYAWQEAAIgFAAAAAA==&#10;">
                      <v:fill on="f" focussize="0,0"/>
                      <v:stroke color="#000000" joinstyle="round"/>
                      <v:imagedata o:title=""/>
                      <o:lock v:ext="edit" aspectratio="f"/>
                    </v:line>
                  </w:pict>
                </mc:Fallback>
              </mc:AlternateContent>
            </w:r>
            <w:r>
              <w:rPr>
                <w:rFonts w:hint="eastAsia" w:asciiTheme="minorEastAsia" w:hAnsiTheme="minorEastAsia"/>
                <w:szCs w:val="21"/>
              </w:rPr>
              <mc:AlternateContent>
                <mc:Choice Requires="wps">
                  <w:drawing>
                    <wp:anchor distT="0" distB="0" distL="114300" distR="114300" simplePos="0" relativeHeight="251667456" behindDoc="0" locked="0" layoutInCell="1" allowOverlap="1">
                      <wp:simplePos x="0" y="0"/>
                      <wp:positionH relativeFrom="column">
                        <wp:posOffset>-56515</wp:posOffset>
                      </wp:positionH>
                      <wp:positionV relativeFrom="paragraph">
                        <wp:posOffset>37465</wp:posOffset>
                      </wp:positionV>
                      <wp:extent cx="703580" cy="487045"/>
                      <wp:effectExtent l="0" t="0" r="20320" b="27305"/>
                      <wp:wrapNone/>
                      <wp:docPr id="124403761"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703580" cy="487045"/>
                              </a:xfrm>
                              <a:prstGeom prst="line">
                                <a:avLst/>
                              </a:prstGeom>
                              <a:noFill/>
                              <a:ln w="9525">
                                <a:solidFill>
                                  <a:srgbClr val="000000"/>
                                </a:solidFill>
                                <a:round/>
                              </a:ln>
                            </wps:spPr>
                            <wps:bodyPr/>
                          </wps:wsp>
                        </a:graphicData>
                      </a:graphic>
                    </wp:anchor>
                  </w:drawing>
                </mc:Choice>
                <mc:Fallback>
                  <w:pict>
                    <v:line id="直接连接符 10" o:spid="_x0000_s1026" o:spt="20" style="position:absolute;left:0pt;margin-left:-4.45pt;margin-top:2.95pt;height:38.35pt;width:55.4pt;z-index:251667456;mso-width-relative:page;mso-height-relative:page;" filled="f" stroked="t" coordsize="21600,21600" o:gfxdata="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dd0JtUAAAAHAQAADwAAAAAAAAABACAAAAAiAAAAZHJzL2Rvd25yZXYueG1sUEsBAhQAFAAA&#10;AAgAh07iQJhQO9ryAQAAtwMAAA4AAAAAAAAAAQAgAAAAJAEAAGRycy9lMm9Eb2MueG1sUEsFBgAA&#10;AAAGAAYAWQEAAIgFAAAAAA==&#10;">
                      <v:fill on="f" focussize="0,0"/>
                      <v:stroke color="#000000" joinstyle="round"/>
                      <v:imagedata o:title=""/>
                      <o:lock v:ext="edit" aspectratio="f"/>
                    </v:line>
                  </w:pict>
                </mc:Fallback>
              </mc:AlternateContent>
            </w:r>
            <w:r>
              <w:rPr>
                <w:rFonts w:hint="eastAsia" w:asciiTheme="minorEastAsia" w:hAnsiTheme="minorEastAsia"/>
                <w:szCs w:val="21"/>
              </w:rPr>
              <w:t xml:space="preserve">          序号</w:t>
            </w:r>
          </w:p>
          <w:p w14:paraId="32F3A379">
            <w:pPr>
              <w:widowControl/>
              <w:spacing w:line="240" w:lineRule="exact"/>
              <w:ind w:left="181" w:leftChars="86" w:firstLine="630" w:firstLineChars="300"/>
              <w:rPr>
                <w:rFonts w:hint="eastAsia" w:asciiTheme="minorEastAsia" w:hAnsiTheme="minorEastAsia"/>
                <w:szCs w:val="21"/>
              </w:rPr>
            </w:pPr>
            <w:r>
              <w:rPr>
                <w:rFonts w:hint="eastAsia" w:asciiTheme="minorEastAsia" w:hAnsiTheme="minorEastAsia"/>
                <w:szCs w:val="21"/>
              </w:rPr>
              <w:t>容积/L</w:t>
            </w:r>
          </w:p>
          <w:p w14:paraId="47D31D24">
            <w:pPr>
              <w:widowControl/>
              <w:spacing w:line="240" w:lineRule="exact"/>
              <w:ind w:left="181" w:leftChars="86"/>
              <w:rPr>
                <w:rFonts w:hint="eastAsia" w:asciiTheme="minorEastAsia" w:hAnsiTheme="minorEastAsia"/>
                <w:szCs w:val="21"/>
              </w:rPr>
            </w:pPr>
            <w:r>
              <w:rPr>
                <w:rFonts w:hint="eastAsia" w:asciiTheme="minorEastAsia" w:hAnsiTheme="minorEastAsia"/>
                <w:szCs w:val="21"/>
              </w:rPr>
              <w:t>高度/</w:t>
            </w:r>
            <w:r>
              <w:rPr>
                <w:rFonts w:asciiTheme="minorEastAsia" w:hAnsiTheme="minorEastAsia"/>
                <w:szCs w:val="21"/>
              </w:rPr>
              <w:t>mm</w:t>
            </w:r>
          </w:p>
        </w:tc>
        <w:tc>
          <w:tcPr>
            <w:tcW w:w="1494" w:type="dxa"/>
            <w:gridSpan w:val="5"/>
            <w:vAlign w:val="center"/>
          </w:tcPr>
          <w:p w14:paraId="0911D329">
            <w:pPr>
              <w:snapToGrid w:val="0"/>
              <w:ind w:left="181" w:leftChars="86"/>
              <w:jc w:val="center"/>
              <w:rPr>
                <w:rFonts w:hint="eastAsia" w:asciiTheme="minorEastAsia" w:hAnsiTheme="minorEastAsia"/>
                <w:szCs w:val="21"/>
              </w:rPr>
            </w:pPr>
            <w:r>
              <w:rPr>
                <w:rFonts w:asciiTheme="minorEastAsia" w:hAnsiTheme="minorEastAsia"/>
                <w:szCs w:val="21"/>
              </w:rPr>
              <w:t>1</w:t>
            </w:r>
          </w:p>
        </w:tc>
        <w:tc>
          <w:tcPr>
            <w:tcW w:w="1495" w:type="dxa"/>
            <w:gridSpan w:val="4"/>
            <w:vAlign w:val="center"/>
          </w:tcPr>
          <w:p w14:paraId="0BDE80A6">
            <w:pPr>
              <w:snapToGrid w:val="0"/>
              <w:ind w:left="181" w:leftChars="86"/>
              <w:jc w:val="center"/>
              <w:rPr>
                <w:rFonts w:hint="eastAsia" w:asciiTheme="minorEastAsia" w:hAnsiTheme="minorEastAsia"/>
                <w:szCs w:val="21"/>
              </w:rPr>
            </w:pPr>
            <w:r>
              <w:rPr>
                <w:rFonts w:asciiTheme="minorEastAsia" w:hAnsiTheme="minorEastAsia"/>
                <w:szCs w:val="21"/>
              </w:rPr>
              <w:t>2</w:t>
            </w:r>
          </w:p>
        </w:tc>
        <w:tc>
          <w:tcPr>
            <w:tcW w:w="1494" w:type="dxa"/>
            <w:gridSpan w:val="4"/>
            <w:vAlign w:val="center"/>
          </w:tcPr>
          <w:p w14:paraId="71FA0EFB">
            <w:pPr>
              <w:snapToGrid w:val="0"/>
              <w:ind w:left="181" w:leftChars="86"/>
              <w:jc w:val="center"/>
              <w:rPr>
                <w:rFonts w:hint="eastAsia" w:asciiTheme="minorEastAsia" w:hAnsiTheme="minorEastAsia"/>
                <w:szCs w:val="21"/>
              </w:rPr>
            </w:pPr>
            <w:r>
              <w:rPr>
                <w:rFonts w:asciiTheme="minorEastAsia" w:hAnsiTheme="minorEastAsia"/>
                <w:szCs w:val="21"/>
              </w:rPr>
              <w:t>3</w:t>
            </w:r>
          </w:p>
        </w:tc>
        <w:tc>
          <w:tcPr>
            <w:tcW w:w="1495" w:type="dxa"/>
            <w:gridSpan w:val="3"/>
            <w:vAlign w:val="center"/>
          </w:tcPr>
          <w:p w14:paraId="211DB99B">
            <w:pPr>
              <w:snapToGrid w:val="0"/>
              <w:ind w:left="181" w:leftChars="86"/>
              <w:jc w:val="center"/>
              <w:rPr>
                <w:rFonts w:hint="eastAsia" w:asciiTheme="minorEastAsia" w:hAnsiTheme="minorEastAsia"/>
                <w:szCs w:val="21"/>
              </w:rPr>
            </w:pPr>
            <w:r>
              <w:rPr>
                <w:rFonts w:asciiTheme="minorEastAsia" w:hAnsiTheme="minorEastAsia"/>
                <w:szCs w:val="21"/>
              </w:rPr>
              <w:t>4</w:t>
            </w:r>
          </w:p>
        </w:tc>
        <w:tc>
          <w:tcPr>
            <w:tcW w:w="1494" w:type="dxa"/>
            <w:gridSpan w:val="3"/>
            <w:vAlign w:val="center"/>
          </w:tcPr>
          <w:p w14:paraId="0C66440E">
            <w:pPr>
              <w:snapToGrid w:val="0"/>
              <w:ind w:left="181" w:leftChars="86"/>
              <w:jc w:val="center"/>
              <w:rPr>
                <w:rFonts w:hint="eastAsia" w:asciiTheme="minorEastAsia" w:hAnsiTheme="minorEastAsia"/>
                <w:szCs w:val="21"/>
              </w:rPr>
            </w:pPr>
            <w:r>
              <w:rPr>
                <w:rFonts w:hint="eastAsia" w:asciiTheme="minorEastAsia" w:hAnsiTheme="minorEastAsia"/>
                <w:szCs w:val="21"/>
              </w:rPr>
              <w:t>5</w:t>
            </w:r>
          </w:p>
        </w:tc>
        <w:tc>
          <w:tcPr>
            <w:tcW w:w="1495" w:type="dxa"/>
            <w:gridSpan w:val="3"/>
            <w:vAlign w:val="center"/>
          </w:tcPr>
          <w:p w14:paraId="4A4D9145">
            <w:pPr>
              <w:snapToGrid w:val="0"/>
              <w:ind w:left="181" w:leftChars="86"/>
              <w:jc w:val="center"/>
              <w:rPr>
                <w:rFonts w:hint="eastAsia" w:asciiTheme="minorEastAsia" w:hAnsiTheme="minorEastAsia"/>
                <w:szCs w:val="21"/>
              </w:rPr>
            </w:pPr>
            <w:r>
              <w:rPr>
                <w:rFonts w:hint="eastAsia" w:asciiTheme="minorEastAsia" w:hAnsiTheme="minorEastAsia"/>
                <w:szCs w:val="21"/>
              </w:rPr>
              <w:t>6</w:t>
            </w:r>
          </w:p>
        </w:tc>
        <w:tc>
          <w:tcPr>
            <w:tcW w:w="1495" w:type="dxa"/>
            <w:gridSpan w:val="3"/>
            <w:vAlign w:val="center"/>
          </w:tcPr>
          <w:p w14:paraId="1CCAE926">
            <w:pPr>
              <w:snapToGrid w:val="0"/>
              <w:ind w:left="181" w:leftChars="86"/>
              <w:jc w:val="center"/>
              <w:rPr>
                <w:rFonts w:hint="eastAsia" w:asciiTheme="minorEastAsia" w:hAnsiTheme="minorEastAsia"/>
                <w:szCs w:val="21"/>
              </w:rPr>
            </w:pPr>
            <w:r>
              <w:rPr>
                <w:rFonts w:hint="eastAsia" w:asciiTheme="minorEastAsia" w:hAnsiTheme="minorEastAsia"/>
                <w:szCs w:val="21"/>
              </w:rPr>
              <w:t>重复性</w:t>
            </w:r>
          </w:p>
        </w:tc>
      </w:tr>
      <w:tr w14:paraId="32EF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Align w:val="center"/>
          </w:tcPr>
          <w:p w14:paraId="6C4B1BA1">
            <w:pPr>
              <w:widowControl/>
              <w:ind w:left="181" w:leftChars="86"/>
              <w:jc w:val="center"/>
              <w:rPr>
                <w:rFonts w:hint="eastAsia" w:asciiTheme="minorEastAsia" w:hAnsiTheme="minorEastAsia"/>
                <w:b/>
                <w:szCs w:val="21"/>
              </w:rPr>
            </w:pPr>
          </w:p>
        </w:tc>
        <w:tc>
          <w:tcPr>
            <w:tcW w:w="1718" w:type="dxa"/>
            <w:gridSpan w:val="3"/>
            <w:vAlign w:val="center"/>
          </w:tcPr>
          <w:p w14:paraId="186FCF8D">
            <w:pPr>
              <w:widowControl/>
              <w:ind w:left="181" w:leftChars="86"/>
              <w:jc w:val="center"/>
              <w:rPr>
                <w:rFonts w:hint="eastAsia" w:asciiTheme="minorEastAsia" w:hAnsiTheme="minorEastAsia"/>
                <w:b/>
                <w:szCs w:val="21"/>
              </w:rPr>
            </w:pPr>
          </w:p>
        </w:tc>
        <w:tc>
          <w:tcPr>
            <w:tcW w:w="1494" w:type="dxa"/>
            <w:gridSpan w:val="5"/>
            <w:vAlign w:val="center"/>
          </w:tcPr>
          <w:p w14:paraId="147A029B">
            <w:pPr>
              <w:widowControl/>
              <w:ind w:left="181" w:leftChars="86"/>
              <w:jc w:val="center"/>
              <w:rPr>
                <w:rFonts w:hint="eastAsia" w:asciiTheme="minorEastAsia" w:hAnsiTheme="minorEastAsia"/>
                <w:b/>
                <w:szCs w:val="21"/>
              </w:rPr>
            </w:pPr>
          </w:p>
        </w:tc>
        <w:tc>
          <w:tcPr>
            <w:tcW w:w="1495" w:type="dxa"/>
            <w:gridSpan w:val="4"/>
            <w:vAlign w:val="center"/>
          </w:tcPr>
          <w:p w14:paraId="27C2B87F">
            <w:pPr>
              <w:widowControl/>
              <w:ind w:left="181" w:leftChars="86"/>
              <w:jc w:val="center"/>
              <w:rPr>
                <w:rFonts w:hint="eastAsia" w:asciiTheme="minorEastAsia" w:hAnsiTheme="minorEastAsia"/>
                <w:b/>
                <w:szCs w:val="21"/>
              </w:rPr>
            </w:pPr>
          </w:p>
        </w:tc>
        <w:tc>
          <w:tcPr>
            <w:tcW w:w="1494" w:type="dxa"/>
            <w:gridSpan w:val="4"/>
            <w:vAlign w:val="center"/>
          </w:tcPr>
          <w:p w14:paraId="742C9ED9">
            <w:pPr>
              <w:widowControl/>
              <w:ind w:left="181" w:leftChars="86"/>
              <w:jc w:val="center"/>
              <w:rPr>
                <w:rFonts w:hint="eastAsia" w:asciiTheme="minorEastAsia" w:hAnsiTheme="minorEastAsia"/>
                <w:b/>
                <w:szCs w:val="21"/>
              </w:rPr>
            </w:pPr>
          </w:p>
        </w:tc>
        <w:tc>
          <w:tcPr>
            <w:tcW w:w="1495" w:type="dxa"/>
            <w:gridSpan w:val="3"/>
            <w:vAlign w:val="center"/>
          </w:tcPr>
          <w:p w14:paraId="6ED6EC4E">
            <w:pPr>
              <w:widowControl/>
              <w:ind w:left="181" w:leftChars="86"/>
              <w:jc w:val="center"/>
              <w:rPr>
                <w:rFonts w:hint="eastAsia" w:asciiTheme="minorEastAsia" w:hAnsiTheme="minorEastAsia"/>
                <w:b/>
                <w:szCs w:val="21"/>
              </w:rPr>
            </w:pPr>
          </w:p>
        </w:tc>
        <w:tc>
          <w:tcPr>
            <w:tcW w:w="1494" w:type="dxa"/>
            <w:gridSpan w:val="3"/>
            <w:vAlign w:val="center"/>
          </w:tcPr>
          <w:p w14:paraId="463467BE">
            <w:pPr>
              <w:widowControl/>
              <w:ind w:left="181" w:leftChars="86"/>
              <w:jc w:val="center"/>
              <w:rPr>
                <w:rFonts w:hint="eastAsia" w:asciiTheme="minorEastAsia" w:hAnsiTheme="minorEastAsia"/>
                <w:b/>
                <w:szCs w:val="21"/>
              </w:rPr>
            </w:pPr>
          </w:p>
        </w:tc>
        <w:tc>
          <w:tcPr>
            <w:tcW w:w="1495" w:type="dxa"/>
            <w:gridSpan w:val="3"/>
            <w:vAlign w:val="center"/>
          </w:tcPr>
          <w:p w14:paraId="637CC428">
            <w:pPr>
              <w:widowControl/>
              <w:ind w:left="181" w:leftChars="86"/>
              <w:jc w:val="center"/>
              <w:rPr>
                <w:rFonts w:hint="eastAsia" w:asciiTheme="minorEastAsia" w:hAnsiTheme="minorEastAsia"/>
                <w:b/>
                <w:szCs w:val="21"/>
              </w:rPr>
            </w:pPr>
          </w:p>
        </w:tc>
        <w:tc>
          <w:tcPr>
            <w:tcW w:w="1495" w:type="dxa"/>
            <w:gridSpan w:val="3"/>
            <w:vAlign w:val="center"/>
          </w:tcPr>
          <w:p w14:paraId="447E0E18">
            <w:pPr>
              <w:widowControl/>
              <w:ind w:left="181" w:leftChars="86"/>
              <w:jc w:val="center"/>
              <w:rPr>
                <w:rFonts w:hint="eastAsia" w:asciiTheme="minorEastAsia" w:hAnsiTheme="minorEastAsia"/>
                <w:b/>
                <w:szCs w:val="21"/>
              </w:rPr>
            </w:pPr>
          </w:p>
        </w:tc>
      </w:tr>
      <w:tr w14:paraId="1875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542" w:type="dxa"/>
            <w:gridSpan w:val="29"/>
            <w:vAlign w:val="center"/>
          </w:tcPr>
          <w:p w14:paraId="2A22E9F3">
            <w:pPr>
              <w:widowControl/>
              <w:ind w:left="181" w:leftChars="86"/>
              <w:jc w:val="left"/>
              <w:rPr>
                <w:rFonts w:hint="eastAsia" w:asciiTheme="minorEastAsia" w:hAnsiTheme="minorEastAsia"/>
                <w:szCs w:val="21"/>
              </w:rPr>
            </w:pPr>
            <w:r>
              <w:rPr>
                <w:rFonts w:hint="eastAsia" w:asciiTheme="minorEastAsia" w:hAnsiTheme="minorEastAsia"/>
                <w:b/>
                <w:szCs w:val="21"/>
              </w:rPr>
              <w:t>示值</w:t>
            </w:r>
            <w:r>
              <w:rPr>
                <w:rFonts w:asciiTheme="minorEastAsia" w:hAnsiTheme="minorEastAsia"/>
                <w:b/>
                <w:szCs w:val="21"/>
              </w:rPr>
              <w:t>误差</w:t>
            </w:r>
          </w:p>
        </w:tc>
      </w:tr>
      <w:tr w14:paraId="4CA5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2" w:type="dxa"/>
            <w:vMerge w:val="restart"/>
            <w:vAlign w:val="center"/>
          </w:tcPr>
          <w:p w14:paraId="7E09FABD">
            <w:pPr>
              <w:widowControl/>
              <w:ind w:left="181" w:leftChars="86"/>
              <w:jc w:val="center"/>
              <w:rPr>
                <w:rFonts w:hint="eastAsia" w:asciiTheme="minorEastAsia" w:hAnsiTheme="minorEastAsia"/>
                <w:szCs w:val="21"/>
              </w:rPr>
            </w:pPr>
            <w:r>
              <w:rPr>
                <w:rFonts w:hint="eastAsia" w:asciiTheme="minorEastAsia" w:hAnsiTheme="minorEastAsia"/>
                <w:szCs w:val="21"/>
              </w:rPr>
              <w:t>检测罐</w:t>
            </w:r>
          </w:p>
          <w:p w14:paraId="5FE52FCD">
            <w:pPr>
              <w:widowControl/>
              <w:ind w:left="181" w:leftChars="86"/>
              <w:jc w:val="center"/>
              <w:rPr>
                <w:rFonts w:hint="eastAsia" w:asciiTheme="minorEastAsia" w:hAnsiTheme="minorEastAsia"/>
                <w:szCs w:val="21"/>
              </w:rPr>
            </w:pPr>
            <w:r>
              <w:rPr>
                <w:rFonts w:hint="eastAsia" w:asciiTheme="minorEastAsia" w:hAnsiTheme="minorEastAsia"/>
                <w:szCs w:val="21"/>
              </w:rPr>
              <w:t>编号</w:t>
            </w:r>
          </w:p>
        </w:tc>
        <w:tc>
          <w:tcPr>
            <w:tcW w:w="856" w:type="dxa"/>
            <w:gridSpan w:val="2"/>
            <w:vMerge w:val="restart"/>
            <w:vAlign w:val="center"/>
          </w:tcPr>
          <w:p w14:paraId="7667B126">
            <w:pPr>
              <w:widowControl/>
              <w:ind w:left="181" w:leftChars="86"/>
              <w:jc w:val="center"/>
              <w:rPr>
                <w:rFonts w:hint="eastAsia" w:asciiTheme="minorEastAsia" w:hAnsiTheme="minorEastAsia"/>
                <w:szCs w:val="21"/>
              </w:rPr>
            </w:pPr>
            <w:r>
              <w:rPr>
                <w:rFonts w:hint="eastAsia" w:asciiTheme="minorEastAsia" w:hAnsiTheme="minorEastAsia"/>
                <w:szCs w:val="21"/>
              </w:rPr>
              <w:t>序号</w:t>
            </w:r>
          </w:p>
        </w:tc>
        <w:tc>
          <w:tcPr>
            <w:tcW w:w="1001" w:type="dxa"/>
            <w:gridSpan w:val="3"/>
            <w:vMerge w:val="restart"/>
            <w:vAlign w:val="center"/>
          </w:tcPr>
          <w:p w14:paraId="0303EB4E">
            <w:pPr>
              <w:widowControl/>
              <w:ind w:left="181" w:leftChars="86"/>
              <w:jc w:val="center"/>
              <w:rPr>
                <w:rFonts w:hint="eastAsia" w:asciiTheme="minorEastAsia" w:hAnsiTheme="minorEastAsia"/>
                <w:szCs w:val="21"/>
              </w:rPr>
            </w:pPr>
            <w:r>
              <w:rPr>
                <w:rFonts w:hint="eastAsia" w:asciiTheme="minorEastAsia" w:hAnsiTheme="minorEastAsia"/>
                <w:szCs w:val="21"/>
              </w:rPr>
              <w:t>高度</w:t>
            </w:r>
            <w:r>
              <w:rPr>
                <w:rFonts w:asciiTheme="minorEastAsia" w:hAnsiTheme="minorEastAsia"/>
                <w:szCs w:val="21"/>
              </w:rPr>
              <w:t>/mm</w:t>
            </w:r>
          </w:p>
        </w:tc>
        <w:tc>
          <w:tcPr>
            <w:tcW w:w="1418" w:type="dxa"/>
            <w:gridSpan w:val="4"/>
            <w:vMerge w:val="restart"/>
            <w:vAlign w:val="center"/>
          </w:tcPr>
          <w:p w14:paraId="4866C369">
            <w:pPr>
              <w:widowControl/>
              <w:ind w:left="73" w:leftChars="35" w:right="-107" w:rightChars="-51"/>
              <w:jc w:val="center"/>
              <w:rPr>
                <w:rFonts w:hint="eastAsia" w:asciiTheme="minorEastAsia" w:hAnsiTheme="minorEastAsia"/>
                <w:szCs w:val="21"/>
              </w:rPr>
            </w:pPr>
            <w:r>
              <w:rPr>
                <w:rFonts w:hint="eastAsia" w:asciiTheme="minorEastAsia" w:hAnsiTheme="minorEastAsia"/>
                <w:szCs w:val="21"/>
              </w:rPr>
              <w:t>容积参考值</w:t>
            </w:r>
            <w:r>
              <w:rPr>
                <w:rFonts w:asciiTheme="minorEastAsia" w:hAnsiTheme="minorEastAsia"/>
                <w:szCs w:val="21"/>
              </w:rPr>
              <w:t>/L</w:t>
            </w:r>
          </w:p>
        </w:tc>
        <w:tc>
          <w:tcPr>
            <w:tcW w:w="5139" w:type="dxa"/>
            <w:gridSpan w:val="12"/>
            <w:vAlign w:val="center"/>
          </w:tcPr>
          <w:p w14:paraId="29637634">
            <w:pPr>
              <w:widowControl/>
              <w:ind w:left="181" w:leftChars="86"/>
              <w:jc w:val="center"/>
              <w:rPr>
                <w:rFonts w:hint="eastAsia" w:asciiTheme="minorEastAsia" w:hAnsiTheme="minorEastAsia"/>
                <w:szCs w:val="21"/>
              </w:rPr>
            </w:pPr>
            <w:r>
              <w:rPr>
                <w:rFonts w:hint="eastAsia" w:asciiTheme="minorEastAsia" w:hAnsiTheme="minorEastAsia"/>
                <w:szCs w:val="21"/>
              </w:rPr>
              <w:t>容积测得值</w:t>
            </w:r>
            <w:r>
              <w:rPr>
                <w:rFonts w:asciiTheme="minorEastAsia" w:hAnsiTheme="minorEastAsia"/>
                <w:szCs w:val="21"/>
              </w:rPr>
              <w:t>/L</w:t>
            </w:r>
          </w:p>
        </w:tc>
        <w:tc>
          <w:tcPr>
            <w:tcW w:w="1192" w:type="dxa"/>
            <w:gridSpan w:val="3"/>
            <w:vMerge w:val="restart"/>
            <w:vAlign w:val="center"/>
          </w:tcPr>
          <w:p w14:paraId="67BA7850">
            <w:pPr>
              <w:widowControl/>
              <w:ind w:left="80" w:leftChars="38" w:right="-107" w:rightChars="-51"/>
              <w:jc w:val="center"/>
              <w:rPr>
                <w:rFonts w:hint="eastAsia" w:asciiTheme="minorEastAsia" w:hAnsiTheme="minorEastAsia"/>
                <w:szCs w:val="21"/>
              </w:rPr>
            </w:pPr>
            <w:r>
              <w:rPr>
                <w:rFonts w:hint="eastAsia" w:asciiTheme="minorEastAsia" w:hAnsiTheme="minorEastAsia"/>
                <w:szCs w:val="21"/>
              </w:rPr>
              <w:t>示值误差</w:t>
            </w:r>
            <w:r>
              <w:rPr>
                <w:rFonts w:asciiTheme="minorEastAsia" w:hAnsiTheme="minorEastAsia"/>
                <w:szCs w:val="21"/>
              </w:rPr>
              <w:t>/L</w:t>
            </w:r>
          </w:p>
        </w:tc>
        <w:tc>
          <w:tcPr>
            <w:tcW w:w="1134" w:type="dxa"/>
            <w:gridSpan w:val="2"/>
            <w:vMerge w:val="restart"/>
            <w:vAlign w:val="center"/>
          </w:tcPr>
          <w:p w14:paraId="77A68394">
            <w:pPr>
              <w:widowControl/>
              <w:ind w:left="181" w:leftChars="86"/>
              <w:jc w:val="center"/>
              <w:rPr>
                <w:rFonts w:hint="eastAsia" w:asciiTheme="minorEastAsia" w:hAnsiTheme="minorEastAsia"/>
                <w:szCs w:val="21"/>
              </w:rPr>
            </w:pPr>
            <w:r>
              <w:rPr>
                <w:rFonts w:hint="eastAsia" w:asciiTheme="minorEastAsia" w:hAnsiTheme="minorEastAsia"/>
                <w:szCs w:val="21"/>
              </w:rPr>
              <w:t>相对示值误差/%</w:t>
            </w:r>
          </w:p>
        </w:tc>
        <w:tc>
          <w:tcPr>
            <w:tcW w:w="1440" w:type="dxa"/>
            <w:gridSpan w:val="2"/>
            <w:vMerge w:val="restart"/>
            <w:vAlign w:val="center"/>
          </w:tcPr>
          <w:p w14:paraId="4A12C1E5">
            <w:pPr>
              <w:widowControl/>
              <w:ind w:left="181" w:leftChars="86"/>
              <w:jc w:val="center"/>
              <w:rPr>
                <w:rFonts w:hint="eastAsia" w:asciiTheme="minorEastAsia" w:hAnsiTheme="minorEastAsia"/>
                <w:szCs w:val="21"/>
              </w:rPr>
            </w:pPr>
            <w:r>
              <w:rPr>
                <w:rFonts w:hint="eastAsia" w:asciiTheme="minorEastAsia" w:hAnsiTheme="minorEastAsia"/>
                <w:szCs w:val="21"/>
              </w:rPr>
              <w:t>不确定度</w:t>
            </w:r>
          </w:p>
        </w:tc>
      </w:tr>
      <w:tr w14:paraId="2A65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362" w:type="dxa"/>
            <w:vMerge w:val="continue"/>
            <w:vAlign w:val="center"/>
          </w:tcPr>
          <w:p w14:paraId="7DC315D0">
            <w:pPr>
              <w:widowControl/>
              <w:spacing w:line="440" w:lineRule="exact"/>
              <w:ind w:left="181" w:leftChars="86"/>
              <w:jc w:val="center"/>
              <w:rPr>
                <w:rFonts w:hint="eastAsia" w:asciiTheme="minorEastAsia" w:hAnsiTheme="minorEastAsia"/>
                <w:szCs w:val="21"/>
              </w:rPr>
            </w:pPr>
          </w:p>
        </w:tc>
        <w:tc>
          <w:tcPr>
            <w:tcW w:w="856" w:type="dxa"/>
            <w:gridSpan w:val="2"/>
            <w:vMerge w:val="continue"/>
            <w:vAlign w:val="center"/>
          </w:tcPr>
          <w:p w14:paraId="4028CFEA">
            <w:pPr>
              <w:widowControl/>
              <w:spacing w:line="440" w:lineRule="exact"/>
              <w:ind w:left="181" w:leftChars="86"/>
              <w:jc w:val="center"/>
              <w:rPr>
                <w:rFonts w:hint="eastAsia" w:asciiTheme="minorEastAsia" w:hAnsiTheme="minorEastAsia"/>
                <w:szCs w:val="21"/>
              </w:rPr>
            </w:pPr>
          </w:p>
        </w:tc>
        <w:tc>
          <w:tcPr>
            <w:tcW w:w="1001" w:type="dxa"/>
            <w:gridSpan w:val="3"/>
            <w:vMerge w:val="continue"/>
            <w:vAlign w:val="center"/>
          </w:tcPr>
          <w:p w14:paraId="78BD0784">
            <w:pPr>
              <w:widowControl/>
              <w:spacing w:line="440" w:lineRule="exact"/>
              <w:ind w:left="181" w:leftChars="86"/>
              <w:jc w:val="center"/>
              <w:rPr>
                <w:rFonts w:hint="eastAsia" w:asciiTheme="minorEastAsia" w:hAnsiTheme="minorEastAsia"/>
                <w:szCs w:val="21"/>
              </w:rPr>
            </w:pPr>
          </w:p>
        </w:tc>
        <w:tc>
          <w:tcPr>
            <w:tcW w:w="1418" w:type="dxa"/>
            <w:gridSpan w:val="4"/>
            <w:vMerge w:val="continue"/>
            <w:vAlign w:val="center"/>
          </w:tcPr>
          <w:p w14:paraId="06D6460C">
            <w:pPr>
              <w:widowControl/>
              <w:spacing w:line="440" w:lineRule="exact"/>
              <w:ind w:left="181" w:leftChars="86"/>
              <w:jc w:val="center"/>
              <w:rPr>
                <w:rFonts w:hint="eastAsia" w:asciiTheme="minorEastAsia" w:hAnsiTheme="minorEastAsia"/>
                <w:szCs w:val="21"/>
              </w:rPr>
            </w:pPr>
          </w:p>
        </w:tc>
        <w:tc>
          <w:tcPr>
            <w:tcW w:w="1228" w:type="dxa"/>
            <w:gridSpan w:val="2"/>
            <w:vAlign w:val="center"/>
          </w:tcPr>
          <w:p w14:paraId="6549EDD5">
            <w:pPr>
              <w:widowControl/>
              <w:ind w:left="181" w:leftChars="86"/>
              <w:jc w:val="center"/>
              <w:rPr>
                <w:rFonts w:hint="eastAsia" w:asciiTheme="minorEastAsia" w:hAnsiTheme="minorEastAsia"/>
                <w:szCs w:val="21"/>
              </w:rPr>
            </w:pPr>
            <w:r>
              <w:rPr>
                <w:rFonts w:asciiTheme="minorEastAsia" w:hAnsiTheme="minorEastAsia"/>
                <w:szCs w:val="21"/>
              </w:rPr>
              <w:t>1</w:t>
            </w:r>
          </w:p>
        </w:tc>
        <w:tc>
          <w:tcPr>
            <w:tcW w:w="1276" w:type="dxa"/>
            <w:gridSpan w:val="3"/>
            <w:vAlign w:val="center"/>
          </w:tcPr>
          <w:p w14:paraId="6035FC6A">
            <w:pPr>
              <w:widowControl/>
              <w:ind w:left="181" w:leftChars="86"/>
              <w:jc w:val="center"/>
              <w:rPr>
                <w:rFonts w:hint="eastAsia" w:asciiTheme="minorEastAsia" w:hAnsiTheme="minorEastAsia"/>
                <w:szCs w:val="21"/>
              </w:rPr>
            </w:pPr>
            <w:r>
              <w:rPr>
                <w:rFonts w:asciiTheme="minorEastAsia" w:hAnsiTheme="minorEastAsia"/>
                <w:szCs w:val="21"/>
              </w:rPr>
              <w:t>2</w:t>
            </w:r>
          </w:p>
        </w:tc>
        <w:tc>
          <w:tcPr>
            <w:tcW w:w="1276" w:type="dxa"/>
            <w:gridSpan w:val="4"/>
            <w:vAlign w:val="center"/>
          </w:tcPr>
          <w:p w14:paraId="122147E6">
            <w:pPr>
              <w:widowControl/>
              <w:ind w:left="181" w:leftChars="86"/>
              <w:jc w:val="center"/>
              <w:rPr>
                <w:rFonts w:hint="eastAsia" w:asciiTheme="minorEastAsia" w:hAnsiTheme="minorEastAsia"/>
                <w:szCs w:val="21"/>
              </w:rPr>
            </w:pPr>
            <w:r>
              <w:rPr>
                <w:rFonts w:asciiTheme="minorEastAsia" w:hAnsiTheme="minorEastAsia"/>
                <w:szCs w:val="21"/>
              </w:rPr>
              <w:t>3</w:t>
            </w:r>
          </w:p>
        </w:tc>
        <w:tc>
          <w:tcPr>
            <w:tcW w:w="1359" w:type="dxa"/>
            <w:gridSpan w:val="3"/>
            <w:vAlign w:val="center"/>
          </w:tcPr>
          <w:p w14:paraId="21D010C8">
            <w:pPr>
              <w:widowControl/>
              <w:ind w:left="181" w:leftChars="86"/>
              <w:jc w:val="center"/>
              <w:rPr>
                <w:rFonts w:hint="eastAsia" w:asciiTheme="minorEastAsia" w:hAnsiTheme="minorEastAsia"/>
                <w:szCs w:val="21"/>
              </w:rPr>
            </w:pPr>
            <w:r>
              <w:rPr>
                <w:rFonts w:hint="eastAsia" w:asciiTheme="minorEastAsia" w:hAnsiTheme="minorEastAsia"/>
                <w:szCs w:val="21"/>
              </w:rPr>
              <w:t>中位</w:t>
            </w:r>
            <w:r>
              <w:rPr>
                <w:rFonts w:asciiTheme="minorEastAsia" w:hAnsiTheme="minorEastAsia"/>
                <w:szCs w:val="21"/>
              </w:rPr>
              <w:t>值</w:t>
            </w:r>
          </w:p>
        </w:tc>
        <w:tc>
          <w:tcPr>
            <w:tcW w:w="1192" w:type="dxa"/>
            <w:gridSpan w:val="3"/>
            <w:vMerge w:val="continue"/>
            <w:vAlign w:val="center"/>
          </w:tcPr>
          <w:p w14:paraId="46209469">
            <w:pPr>
              <w:widowControl/>
              <w:ind w:left="181" w:leftChars="86"/>
              <w:jc w:val="center"/>
              <w:rPr>
                <w:rFonts w:hint="eastAsia" w:asciiTheme="minorEastAsia" w:hAnsiTheme="minorEastAsia"/>
                <w:szCs w:val="21"/>
              </w:rPr>
            </w:pPr>
          </w:p>
        </w:tc>
        <w:tc>
          <w:tcPr>
            <w:tcW w:w="1134" w:type="dxa"/>
            <w:gridSpan w:val="2"/>
            <w:vMerge w:val="continue"/>
            <w:vAlign w:val="center"/>
          </w:tcPr>
          <w:p w14:paraId="6AEA4C1F">
            <w:pPr>
              <w:widowControl/>
              <w:ind w:left="181" w:leftChars="86"/>
              <w:jc w:val="center"/>
              <w:rPr>
                <w:rFonts w:hint="eastAsia" w:asciiTheme="minorEastAsia" w:hAnsiTheme="minorEastAsia"/>
                <w:szCs w:val="21"/>
              </w:rPr>
            </w:pPr>
          </w:p>
        </w:tc>
        <w:tc>
          <w:tcPr>
            <w:tcW w:w="1440" w:type="dxa"/>
            <w:gridSpan w:val="2"/>
            <w:vMerge w:val="continue"/>
            <w:vAlign w:val="center"/>
          </w:tcPr>
          <w:p w14:paraId="39772225">
            <w:pPr>
              <w:widowControl/>
              <w:ind w:left="181" w:leftChars="86"/>
              <w:jc w:val="center"/>
              <w:rPr>
                <w:rFonts w:hint="eastAsia" w:asciiTheme="minorEastAsia" w:hAnsiTheme="minorEastAsia"/>
                <w:szCs w:val="21"/>
              </w:rPr>
            </w:pPr>
          </w:p>
        </w:tc>
      </w:tr>
      <w:tr w14:paraId="7D45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restart"/>
            <w:vAlign w:val="center"/>
          </w:tcPr>
          <w:p w14:paraId="1B9EC7E2">
            <w:pPr>
              <w:widowControl/>
              <w:ind w:left="181" w:leftChars="86"/>
              <w:jc w:val="center"/>
              <w:rPr>
                <w:rFonts w:hint="eastAsia" w:asciiTheme="minorEastAsia" w:hAnsiTheme="minorEastAsia"/>
                <w:szCs w:val="21"/>
              </w:rPr>
            </w:pPr>
          </w:p>
        </w:tc>
        <w:tc>
          <w:tcPr>
            <w:tcW w:w="856" w:type="dxa"/>
            <w:gridSpan w:val="2"/>
            <w:vAlign w:val="center"/>
          </w:tcPr>
          <w:p w14:paraId="3566F00F">
            <w:pPr>
              <w:widowControl/>
              <w:ind w:left="181" w:leftChars="86"/>
              <w:jc w:val="center"/>
              <w:rPr>
                <w:rFonts w:hint="eastAsia" w:asciiTheme="minorEastAsia" w:hAnsiTheme="minorEastAsia"/>
                <w:szCs w:val="21"/>
              </w:rPr>
            </w:pPr>
          </w:p>
        </w:tc>
        <w:tc>
          <w:tcPr>
            <w:tcW w:w="1001" w:type="dxa"/>
            <w:gridSpan w:val="3"/>
            <w:vAlign w:val="center"/>
          </w:tcPr>
          <w:p w14:paraId="491449D0">
            <w:pPr>
              <w:widowControl/>
              <w:ind w:left="181" w:leftChars="86"/>
              <w:jc w:val="center"/>
              <w:rPr>
                <w:rFonts w:hint="eastAsia" w:asciiTheme="minorEastAsia" w:hAnsiTheme="minorEastAsia"/>
                <w:szCs w:val="21"/>
              </w:rPr>
            </w:pPr>
          </w:p>
        </w:tc>
        <w:tc>
          <w:tcPr>
            <w:tcW w:w="1418" w:type="dxa"/>
            <w:gridSpan w:val="4"/>
            <w:vAlign w:val="center"/>
          </w:tcPr>
          <w:p w14:paraId="2A608CA7">
            <w:pPr>
              <w:widowControl/>
              <w:ind w:left="181" w:leftChars="86"/>
              <w:jc w:val="center"/>
              <w:rPr>
                <w:rFonts w:hint="eastAsia" w:asciiTheme="minorEastAsia" w:hAnsiTheme="minorEastAsia"/>
                <w:szCs w:val="21"/>
              </w:rPr>
            </w:pPr>
          </w:p>
        </w:tc>
        <w:tc>
          <w:tcPr>
            <w:tcW w:w="1228" w:type="dxa"/>
            <w:gridSpan w:val="2"/>
            <w:vAlign w:val="center"/>
          </w:tcPr>
          <w:p w14:paraId="55009F36">
            <w:pPr>
              <w:widowControl/>
              <w:ind w:left="181" w:leftChars="86"/>
              <w:jc w:val="center"/>
              <w:rPr>
                <w:rFonts w:hint="eastAsia" w:asciiTheme="minorEastAsia" w:hAnsiTheme="minorEastAsia"/>
                <w:szCs w:val="21"/>
              </w:rPr>
            </w:pPr>
          </w:p>
        </w:tc>
        <w:tc>
          <w:tcPr>
            <w:tcW w:w="1276" w:type="dxa"/>
            <w:gridSpan w:val="3"/>
            <w:vAlign w:val="center"/>
          </w:tcPr>
          <w:p w14:paraId="13E8AB78">
            <w:pPr>
              <w:widowControl/>
              <w:ind w:left="181" w:leftChars="86"/>
              <w:jc w:val="center"/>
              <w:rPr>
                <w:rFonts w:hint="eastAsia" w:asciiTheme="minorEastAsia" w:hAnsiTheme="minorEastAsia"/>
                <w:szCs w:val="21"/>
              </w:rPr>
            </w:pPr>
          </w:p>
        </w:tc>
        <w:tc>
          <w:tcPr>
            <w:tcW w:w="1276" w:type="dxa"/>
            <w:gridSpan w:val="4"/>
            <w:vAlign w:val="center"/>
          </w:tcPr>
          <w:p w14:paraId="6006CDB1">
            <w:pPr>
              <w:widowControl/>
              <w:ind w:left="181" w:leftChars="86"/>
              <w:jc w:val="center"/>
              <w:rPr>
                <w:rFonts w:hint="eastAsia" w:asciiTheme="minorEastAsia" w:hAnsiTheme="minorEastAsia"/>
                <w:szCs w:val="21"/>
              </w:rPr>
            </w:pPr>
          </w:p>
        </w:tc>
        <w:tc>
          <w:tcPr>
            <w:tcW w:w="1359" w:type="dxa"/>
            <w:gridSpan w:val="3"/>
            <w:vAlign w:val="center"/>
          </w:tcPr>
          <w:p w14:paraId="000DFADD">
            <w:pPr>
              <w:widowControl/>
              <w:ind w:left="181" w:leftChars="86"/>
              <w:jc w:val="center"/>
              <w:rPr>
                <w:rFonts w:hint="eastAsia" w:asciiTheme="minorEastAsia" w:hAnsiTheme="minorEastAsia"/>
                <w:szCs w:val="21"/>
              </w:rPr>
            </w:pPr>
          </w:p>
        </w:tc>
        <w:tc>
          <w:tcPr>
            <w:tcW w:w="1192" w:type="dxa"/>
            <w:gridSpan w:val="3"/>
            <w:vAlign w:val="center"/>
          </w:tcPr>
          <w:p w14:paraId="335D918E">
            <w:pPr>
              <w:widowControl/>
              <w:ind w:left="181" w:leftChars="86"/>
              <w:jc w:val="center"/>
              <w:rPr>
                <w:rFonts w:hint="eastAsia" w:asciiTheme="minorEastAsia" w:hAnsiTheme="minorEastAsia"/>
                <w:szCs w:val="21"/>
              </w:rPr>
            </w:pPr>
          </w:p>
        </w:tc>
        <w:tc>
          <w:tcPr>
            <w:tcW w:w="1134" w:type="dxa"/>
            <w:gridSpan w:val="2"/>
            <w:vAlign w:val="center"/>
          </w:tcPr>
          <w:p w14:paraId="27A5C0F1">
            <w:pPr>
              <w:widowControl/>
              <w:ind w:left="181" w:leftChars="86"/>
              <w:jc w:val="center"/>
              <w:rPr>
                <w:rFonts w:hint="eastAsia" w:asciiTheme="minorEastAsia" w:hAnsiTheme="minorEastAsia"/>
                <w:szCs w:val="21"/>
              </w:rPr>
            </w:pPr>
          </w:p>
        </w:tc>
        <w:tc>
          <w:tcPr>
            <w:tcW w:w="1440" w:type="dxa"/>
            <w:gridSpan w:val="2"/>
            <w:vMerge w:val="restart"/>
            <w:vAlign w:val="center"/>
          </w:tcPr>
          <w:p w14:paraId="1CE7A230">
            <w:pPr>
              <w:widowControl/>
              <w:ind w:left="181" w:leftChars="86"/>
              <w:jc w:val="center"/>
              <w:rPr>
                <w:rFonts w:hint="eastAsia" w:asciiTheme="minorEastAsia" w:hAnsiTheme="minorEastAsia"/>
                <w:szCs w:val="21"/>
              </w:rPr>
            </w:pPr>
          </w:p>
        </w:tc>
      </w:tr>
      <w:tr w14:paraId="5C1C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continue"/>
            <w:vAlign w:val="center"/>
          </w:tcPr>
          <w:p w14:paraId="79ED4F54">
            <w:pPr>
              <w:widowControl/>
              <w:ind w:left="181" w:leftChars="86"/>
              <w:jc w:val="center"/>
              <w:rPr>
                <w:rFonts w:hint="eastAsia" w:asciiTheme="minorEastAsia" w:hAnsiTheme="minorEastAsia"/>
                <w:szCs w:val="21"/>
              </w:rPr>
            </w:pPr>
          </w:p>
        </w:tc>
        <w:tc>
          <w:tcPr>
            <w:tcW w:w="856" w:type="dxa"/>
            <w:gridSpan w:val="2"/>
            <w:vAlign w:val="center"/>
          </w:tcPr>
          <w:p w14:paraId="20094753">
            <w:pPr>
              <w:widowControl/>
              <w:ind w:left="181" w:leftChars="86"/>
              <w:jc w:val="center"/>
              <w:rPr>
                <w:rFonts w:hint="eastAsia" w:asciiTheme="minorEastAsia" w:hAnsiTheme="minorEastAsia"/>
                <w:szCs w:val="21"/>
              </w:rPr>
            </w:pPr>
          </w:p>
        </w:tc>
        <w:tc>
          <w:tcPr>
            <w:tcW w:w="1001" w:type="dxa"/>
            <w:gridSpan w:val="3"/>
            <w:vAlign w:val="center"/>
          </w:tcPr>
          <w:p w14:paraId="1F01EDBB">
            <w:pPr>
              <w:widowControl/>
              <w:ind w:left="181" w:leftChars="86"/>
              <w:jc w:val="center"/>
              <w:rPr>
                <w:rFonts w:hint="eastAsia" w:asciiTheme="minorEastAsia" w:hAnsiTheme="minorEastAsia"/>
                <w:szCs w:val="21"/>
              </w:rPr>
            </w:pPr>
          </w:p>
        </w:tc>
        <w:tc>
          <w:tcPr>
            <w:tcW w:w="1418" w:type="dxa"/>
            <w:gridSpan w:val="4"/>
            <w:vAlign w:val="center"/>
          </w:tcPr>
          <w:p w14:paraId="2809E9B7">
            <w:pPr>
              <w:widowControl/>
              <w:ind w:left="181" w:leftChars="86"/>
              <w:jc w:val="center"/>
              <w:rPr>
                <w:rFonts w:hint="eastAsia" w:asciiTheme="minorEastAsia" w:hAnsiTheme="minorEastAsia"/>
                <w:szCs w:val="21"/>
              </w:rPr>
            </w:pPr>
          </w:p>
        </w:tc>
        <w:tc>
          <w:tcPr>
            <w:tcW w:w="1228" w:type="dxa"/>
            <w:gridSpan w:val="2"/>
            <w:vAlign w:val="center"/>
          </w:tcPr>
          <w:p w14:paraId="1F57CF99">
            <w:pPr>
              <w:widowControl/>
              <w:ind w:left="181" w:leftChars="86"/>
              <w:jc w:val="center"/>
              <w:rPr>
                <w:rFonts w:hint="eastAsia" w:asciiTheme="minorEastAsia" w:hAnsiTheme="minorEastAsia"/>
                <w:szCs w:val="21"/>
              </w:rPr>
            </w:pPr>
          </w:p>
        </w:tc>
        <w:tc>
          <w:tcPr>
            <w:tcW w:w="1276" w:type="dxa"/>
            <w:gridSpan w:val="3"/>
            <w:vAlign w:val="center"/>
          </w:tcPr>
          <w:p w14:paraId="06C3EA51">
            <w:pPr>
              <w:widowControl/>
              <w:ind w:left="181" w:leftChars="86"/>
              <w:jc w:val="center"/>
              <w:rPr>
                <w:rFonts w:hint="eastAsia" w:asciiTheme="minorEastAsia" w:hAnsiTheme="minorEastAsia"/>
                <w:szCs w:val="21"/>
              </w:rPr>
            </w:pPr>
          </w:p>
        </w:tc>
        <w:tc>
          <w:tcPr>
            <w:tcW w:w="1276" w:type="dxa"/>
            <w:gridSpan w:val="4"/>
            <w:vAlign w:val="center"/>
          </w:tcPr>
          <w:p w14:paraId="2500CEB7">
            <w:pPr>
              <w:widowControl/>
              <w:ind w:left="181" w:leftChars="86"/>
              <w:jc w:val="center"/>
              <w:rPr>
                <w:rFonts w:hint="eastAsia" w:asciiTheme="minorEastAsia" w:hAnsiTheme="minorEastAsia"/>
                <w:szCs w:val="21"/>
              </w:rPr>
            </w:pPr>
          </w:p>
        </w:tc>
        <w:tc>
          <w:tcPr>
            <w:tcW w:w="1359" w:type="dxa"/>
            <w:gridSpan w:val="3"/>
            <w:vAlign w:val="center"/>
          </w:tcPr>
          <w:p w14:paraId="2B06F92E">
            <w:pPr>
              <w:widowControl/>
              <w:ind w:left="181" w:leftChars="86"/>
              <w:jc w:val="center"/>
              <w:rPr>
                <w:rFonts w:hint="eastAsia" w:asciiTheme="minorEastAsia" w:hAnsiTheme="minorEastAsia"/>
                <w:szCs w:val="21"/>
              </w:rPr>
            </w:pPr>
          </w:p>
        </w:tc>
        <w:tc>
          <w:tcPr>
            <w:tcW w:w="1192" w:type="dxa"/>
            <w:gridSpan w:val="3"/>
            <w:vAlign w:val="center"/>
          </w:tcPr>
          <w:p w14:paraId="4592241D">
            <w:pPr>
              <w:widowControl/>
              <w:ind w:left="181" w:leftChars="86"/>
              <w:jc w:val="center"/>
              <w:rPr>
                <w:rFonts w:hint="eastAsia" w:asciiTheme="minorEastAsia" w:hAnsiTheme="minorEastAsia"/>
                <w:szCs w:val="21"/>
              </w:rPr>
            </w:pPr>
          </w:p>
        </w:tc>
        <w:tc>
          <w:tcPr>
            <w:tcW w:w="1134" w:type="dxa"/>
            <w:gridSpan w:val="2"/>
            <w:vAlign w:val="center"/>
          </w:tcPr>
          <w:p w14:paraId="1280548A">
            <w:pPr>
              <w:widowControl/>
              <w:ind w:left="181" w:leftChars="86"/>
              <w:jc w:val="center"/>
              <w:rPr>
                <w:rFonts w:hint="eastAsia" w:asciiTheme="minorEastAsia" w:hAnsiTheme="minorEastAsia"/>
                <w:szCs w:val="21"/>
              </w:rPr>
            </w:pPr>
          </w:p>
        </w:tc>
        <w:tc>
          <w:tcPr>
            <w:tcW w:w="1440" w:type="dxa"/>
            <w:gridSpan w:val="2"/>
            <w:vMerge w:val="continue"/>
          </w:tcPr>
          <w:p w14:paraId="6037EA1A">
            <w:pPr>
              <w:widowControl/>
              <w:ind w:left="181" w:leftChars="86"/>
              <w:jc w:val="center"/>
              <w:rPr>
                <w:rFonts w:hint="eastAsia" w:asciiTheme="minorEastAsia" w:hAnsiTheme="minorEastAsia"/>
                <w:szCs w:val="21"/>
              </w:rPr>
            </w:pPr>
          </w:p>
        </w:tc>
      </w:tr>
      <w:tr w14:paraId="7578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continue"/>
            <w:vAlign w:val="center"/>
          </w:tcPr>
          <w:p w14:paraId="5A20D1CC">
            <w:pPr>
              <w:widowControl/>
              <w:ind w:left="181" w:leftChars="86"/>
              <w:jc w:val="center"/>
              <w:rPr>
                <w:rFonts w:hint="eastAsia" w:asciiTheme="minorEastAsia" w:hAnsiTheme="minorEastAsia"/>
                <w:szCs w:val="21"/>
              </w:rPr>
            </w:pPr>
          </w:p>
        </w:tc>
        <w:tc>
          <w:tcPr>
            <w:tcW w:w="856" w:type="dxa"/>
            <w:gridSpan w:val="2"/>
            <w:vAlign w:val="center"/>
          </w:tcPr>
          <w:p w14:paraId="381D63D0">
            <w:pPr>
              <w:widowControl/>
              <w:ind w:left="181" w:leftChars="86"/>
              <w:jc w:val="center"/>
              <w:rPr>
                <w:rFonts w:hint="eastAsia" w:asciiTheme="minorEastAsia" w:hAnsiTheme="minorEastAsia"/>
                <w:szCs w:val="21"/>
              </w:rPr>
            </w:pPr>
          </w:p>
        </w:tc>
        <w:tc>
          <w:tcPr>
            <w:tcW w:w="1001" w:type="dxa"/>
            <w:gridSpan w:val="3"/>
            <w:vAlign w:val="center"/>
          </w:tcPr>
          <w:p w14:paraId="5A8B0132">
            <w:pPr>
              <w:widowControl/>
              <w:ind w:left="181" w:leftChars="86"/>
              <w:jc w:val="center"/>
              <w:rPr>
                <w:rFonts w:hint="eastAsia" w:asciiTheme="minorEastAsia" w:hAnsiTheme="minorEastAsia"/>
                <w:szCs w:val="21"/>
              </w:rPr>
            </w:pPr>
          </w:p>
        </w:tc>
        <w:tc>
          <w:tcPr>
            <w:tcW w:w="1418" w:type="dxa"/>
            <w:gridSpan w:val="4"/>
            <w:vAlign w:val="center"/>
          </w:tcPr>
          <w:p w14:paraId="21B9C4D1">
            <w:pPr>
              <w:widowControl/>
              <w:ind w:left="181" w:leftChars="86"/>
              <w:jc w:val="center"/>
              <w:rPr>
                <w:rFonts w:hint="eastAsia" w:asciiTheme="minorEastAsia" w:hAnsiTheme="minorEastAsia"/>
                <w:szCs w:val="21"/>
              </w:rPr>
            </w:pPr>
          </w:p>
        </w:tc>
        <w:tc>
          <w:tcPr>
            <w:tcW w:w="1228" w:type="dxa"/>
            <w:gridSpan w:val="2"/>
            <w:vAlign w:val="center"/>
          </w:tcPr>
          <w:p w14:paraId="6EC03DBF">
            <w:pPr>
              <w:widowControl/>
              <w:ind w:left="181" w:leftChars="86"/>
              <w:jc w:val="center"/>
              <w:rPr>
                <w:rFonts w:hint="eastAsia" w:asciiTheme="minorEastAsia" w:hAnsiTheme="minorEastAsia"/>
                <w:szCs w:val="21"/>
              </w:rPr>
            </w:pPr>
          </w:p>
        </w:tc>
        <w:tc>
          <w:tcPr>
            <w:tcW w:w="1276" w:type="dxa"/>
            <w:gridSpan w:val="3"/>
            <w:vAlign w:val="center"/>
          </w:tcPr>
          <w:p w14:paraId="600DAE96">
            <w:pPr>
              <w:widowControl/>
              <w:ind w:left="181" w:leftChars="86"/>
              <w:jc w:val="center"/>
              <w:rPr>
                <w:rFonts w:hint="eastAsia" w:asciiTheme="minorEastAsia" w:hAnsiTheme="minorEastAsia"/>
                <w:szCs w:val="21"/>
              </w:rPr>
            </w:pPr>
          </w:p>
        </w:tc>
        <w:tc>
          <w:tcPr>
            <w:tcW w:w="1276" w:type="dxa"/>
            <w:gridSpan w:val="4"/>
            <w:vAlign w:val="center"/>
          </w:tcPr>
          <w:p w14:paraId="07EFA768">
            <w:pPr>
              <w:widowControl/>
              <w:ind w:left="181" w:leftChars="86"/>
              <w:jc w:val="center"/>
              <w:rPr>
                <w:rFonts w:hint="eastAsia" w:asciiTheme="minorEastAsia" w:hAnsiTheme="minorEastAsia"/>
                <w:szCs w:val="21"/>
              </w:rPr>
            </w:pPr>
          </w:p>
        </w:tc>
        <w:tc>
          <w:tcPr>
            <w:tcW w:w="1359" w:type="dxa"/>
            <w:gridSpan w:val="3"/>
            <w:vAlign w:val="center"/>
          </w:tcPr>
          <w:p w14:paraId="0FF5FE60">
            <w:pPr>
              <w:widowControl/>
              <w:ind w:left="181" w:leftChars="86"/>
              <w:jc w:val="center"/>
              <w:rPr>
                <w:rFonts w:hint="eastAsia" w:asciiTheme="minorEastAsia" w:hAnsiTheme="minorEastAsia"/>
                <w:szCs w:val="21"/>
              </w:rPr>
            </w:pPr>
          </w:p>
        </w:tc>
        <w:tc>
          <w:tcPr>
            <w:tcW w:w="1192" w:type="dxa"/>
            <w:gridSpan w:val="3"/>
            <w:vAlign w:val="center"/>
          </w:tcPr>
          <w:p w14:paraId="6B2C6830">
            <w:pPr>
              <w:widowControl/>
              <w:ind w:left="181" w:leftChars="86"/>
              <w:jc w:val="center"/>
              <w:rPr>
                <w:rFonts w:hint="eastAsia" w:asciiTheme="minorEastAsia" w:hAnsiTheme="minorEastAsia"/>
                <w:szCs w:val="21"/>
              </w:rPr>
            </w:pPr>
          </w:p>
        </w:tc>
        <w:tc>
          <w:tcPr>
            <w:tcW w:w="1134" w:type="dxa"/>
            <w:gridSpan w:val="2"/>
            <w:vAlign w:val="center"/>
          </w:tcPr>
          <w:p w14:paraId="21A5E5F0">
            <w:pPr>
              <w:widowControl/>
              <w:ind w:left="181" w:leftChars="86"/>
              <w:jc w:val="center"/>
              <w:rPr>
                <w:rFonts w:hint="eastAsia" w:asciiTheme="minorEastAsia" w:hAnsiTheme="minorEastAsia"/>
                <w:szCs w:val="21"/>
              </w:rPr>
            </w:pPr>
          </w:p>
        </w:tc>
        <w:tc>
          <w:tcPr>
            <w:tcW w:w="1440" w:type="dxa"/>
            <w:gridSpan w:val="2"/>
            <w:vMerge w:val="continue"/>
          </w:tcPr>
          <w:p w14:paraId="7472DC43">
            <w:pPr>
              <w:widowControl/>
              <w:ind w:left="181" w:leftChars="86"/>
              <w:jc w:val="center"/>
              <w:rPr>
                <w:rFonts w:hint="eastAsia" w:asciiTheme="minorEastAsia" w:hAnsiTheme="minorEastAsia"/>
                <w:szCs w:val="21"/>
              </w:rPr>
            </w:pPr>
          </w:p>
        </w:tc>
      </w:tr>
      <w:tr w14:paraId="2D7D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restart"/>
            <w:vAlign w:val="center"/>
          </w:tcPr>
          <w:p w14:paraId="3838D6A0">
            <w:pPr>
              <w:widowControl/>
              <w:ind w:left="181" w:leftChars="86"/>
              <w:jc w:val="center"/>
              <w:rPr>
                <w:rFonts w:hint="eastAsia" w:asciiTheme="minorEastAsia" w:hAnsiTheme="minorEastAsia"/>
                <w:szCs w:val="21"/>
              </w:rPr>
            </w:pPr>
          </w:p>
        </w:tc>
        <w:tc>
          <w:tcPr>
            <w:tcW w:w="856" w:type="dxa"/>
            <w:gridSpan w:val="2"/>
            <w:vAlign w:val="center"/>
          </w:tcPr>
          <w:p w14:paraId="778E975B">
            <w:pPr>
              <w:widowControl/>
              <w:ind w:left="181" w:leftChars="86"/>
              <w:jc w:val="center"/>
              <w:rPr>
                <w:rFonts w:hint="eastAsia" w:asciiTheme="minorEastAsia" w:hAnsiTheme="minorEastAsia"/>
                <w:szCs w:val="21"/>
              </w:rPr>
            </w:pPr>
          </w:p>
        </w:tc>
        <w:tc>
          <w:tcPr>
            <w:tcW w:w="1001" w:type="dxa"/>
            <w:gridSpan w:val="3"/>
            <w:vAlign w:val="center"/>
          </w:tcPr>
          <w:p w14:paraId="34517918">
            <w:pPr>
              <w:widowControl/>
              <w:ind w:left="181" w:leftChars="86"/>
              <w:jc w:val="center"/>
              <w:rPr>
                <w:rFonts w:hint="eastAsia" w:asciiTheme="minorEastAsia" w:hAnsiTheme="minorEastAsia"/>
                <w:szCs w:val="21"/>
              </w:rPr>
            </w:pPr>
          </w:p>
        </w:tc>
        <w:tc>
          <w:tcPr>
            <w:tcW w:w="1418" w:type="dxa"/>
            <w:gridSpan w:val="4"/>
            <w:vAlign w:val="center"/>
          </w:tcPr>
          <w:p w14:paraId="349F4B16">
            <w:pPr>
              <w:widowControl/>
              <w:ind w:left="181" w:leftChars="86"/>
              <w:jc w:val="center"/>
              <w:rPr>
                <w:rFonts w:hint="eastAsia" w:asciiTheme="minorEastAsia" w:hAnsiTheme="minorEastAsia"/>
                <w:szCs w:val="21"/>
              </w:rPr>
            </w:pPr>
          </w:p>
        </w:tc>
        <w:tc>
          <w:tcPr>
            <w:tcW w:w="1228" w:type="dxa"/>
            <w:gridSpan w:val="2"/>
            <w:vAlign w:val="center"/>
          </w:tcPr>
          <w:p w14:paraId="5E105BC3">
            <w:pPr>
              <w:widowControl/>
              <w:ind w:left="181" w:leftChars="86"/>
              <w:jc w:val="center"/>
              <w:rPr>
                <w:rFonts w:hint="eastAsia" w:asciiTheme="minorEastAsia" w:hAnsiTheme="minorEastAsia"/>
                <w:szCs w:val="21"/>
              </w:rPr>
            </w:pPr>
          </w:p>
        </w:tc>
        <w:tc>
          <w:tcPr>
            <w:tcW w:w="1276" w:type="dxa"/>
            <w:gridSpan w:val="3"/>
            <w:vAlign w:val="center"/>
          </w:tcPr>
          <w:p w14:paraId="349D40B3">
            <w:pPr>
              <w:widowControl/>
              <w:ind w:left="181" w:leftChars="86"/>
              <w:jc w:val="center"/>
              <w:rPr>
                <w:rFonts w:hint="eastAsia" w:asciiTheme="minorEastAsia" w:hAnsiTheme="minorEastAsia"/>
                <w:szCs w:val="21"/>
              </w:rPr>
            </w:pPr>
          </w:p>
        </w:tc>
        <w:tc>
          <w:tcPr>
            <w:tcW w:w="1276" w:type="dxa"/>
            <w:gridSpan w:val="4"/>
            <w:vAlign w:val="center"/>
          </w:tcPr>
          <w:p w14:paraId="0FC7EC58">
            <w:pPr>
              <w:widowControl/>
              <w:ind w:left="181" w:leftChars="86"/>
              <w:jc w:val="center"/>
              <w:rPr>
                <w:rFonts w:hint="eastAsia" w:asciiTheme="minorEastAsia" w:hAnsiTheme="minorEastAsia"/>
                <w:szCs w:val="21"/>
              </w:rPr>
            </w:pPr>
          </w:p>
        </w:tc>
        <w:tc>
          <w:tcPr>
            <w:tcW w:w="1359" w:type="dxa"/>
            <w:gridSpan w:val="3"/>
            <w:vAlign w:val="center"/>
          </w:tcPr>
          <w:p w14:paraId="03C2B33B">
            <w:pPr>
              <w:widowControl/>
              <w:ind w:left="181" w:leftChars="86"/>
              <w:jc w:val="center"/>
              <w:rPr>
                <w:rFonts w:hint="eastAsia" w:asciiTheme="minorEastAsia" w:hAnsiTheme="minorEastAsia"/>
                <w:szCs w:val="21"/>
              </w:rPr>
            </w:pPr>
          </w:p>
        </w:tc>
        <w:tc>
          <w:tcPr>
            <w:tcW w:w="1192" w:type="dxa"/>
            <w:gridSpan w:val="3"/>
            <w:vAlign w:val="center"/>
          </w:tcPr>
          <w:p w14:paraId="5F6287F1">
            <w:pPr>
              <w:widowControl/>
              <w:ind w:left="181" w:leftChars="86"/>
              <w:jc w:val="center"/>
              <w:rPr>
                <w:rFonts w:hint="eastAsia" w:asciiTheme="minorEastAsia" w:hAnsiTheme="minorEastAsia"/>
                <w:szCs w:val="21"/>
              </w:rPr>
            </w:pPr>
          </w:p>
        </w:tc>
        <w:tc>
          <w:tcPr>
            <w:tcW w:w="1134" w:type="dxa"/>
            <w:gridSpan w:val="2"/>
            <w:vAlign w:val="center"/>
          </w:tcPr>
          <w:p w14:paraId="62061A84">
            <w:pPr>
              <w:widowControl/>
              <w:ind w:left="181" w:leftChars="86"/>
              <w:jc w:val="center"/>
              <w:rPr>
                <w:rFonts w:hint="eastAsia" w:asciiTheme="minorEastAsia" w:hAnsiTheme="minorEastAsia"/>
                <w:szCs w:val="21"/>
              </w:rPr>
            </w:pPr>
          </w:p>
        </w:tc>
        <w:tc>
          <w:tcPr>
            <w:tcW w:w="1440" w:type="dxa"/>
            <w:gridSpan w:val="2"/>
            <w:vMerge w:val="continue"/>
          </w:tcPr>
          <w:p w14:paraId="1F341E5C">
            <w:pPr>
              <w:widowControl/>
              <w:ind w:left="181" w:leftChars="86"/>
              <w:jc w:val="center"/>
              <w:rPr>
                <w:rFonts w:hint="eastAsia" w:asciiTheme="minorEastAsia" w:hAnsiTheme="minorEastAsia"/>
                <w:szCs w:val="21"/>
              </w:rPr>
            </w:pPr>
          </w:p>
        </w:tc>
      </w:tr>
      <w:tr w14:paraId="20B2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continue"/>
          </w:tcPr>
          <w:p w14:paraId="409248D8">
            <w:pPr>
              <w:widowControl/>
              <w:ind w:left="181" w:leftChars="86"/>
              <w:jc w:val="center"/>
              <w:rPr>
                <w:rFonts w:hint="eastAsia" w:asciiTheme="minorEastAsia" w:hAnsiTheme="minorEastAsia"/>
                <w:szCs w:val="21"/>
              </w:rPr>
            </w:pPr>
          </w:p>
        </w:tc>
        <w:tc>
          <w:tcPr>
            <w:tcW w:w="856" w:type="dxa"/>
            <w:gridSpan w:val="2"/>
            <w:vAlign w:val="center"/>
          </w:tcPr>
          <w:p w14:paraId="47016328">
            <w:pPr>
              <w:widowControl/>
              <w:ind w:left="181" w:leftChars="86"/>
              <w:jc w:val="center"/>
              <w:rPr>
                <w:rFonts w:hint="eastAsia" w:asciiTheme="minorEastAsia" w:hAnsiTheme="minorEastAsia"/>
                <w:szCs w:val="21"/>
              </w:rPr>
            </w:pPr>
          </w:p>
        </w:tc>
        <w:tc>
          <w:tcPr>
            <w:tcW w:w="1001" w:type="dxa"/>
            <w:gridSpan w:val="3"/>
            <w:vAlign w:val="center"/>
          </w:tcPr>
          <w:p w14:paraId="1B45C376">
            <w:pPr>
              <w:widowControl/>
              <w:ind w:left="181" w:leftChars="86"/>
              <w:jc w:val="center"/>
              <w:rPr>
                <w:rFonts w:hint="eastAsia" w:asciiTheme="minorEastAsia" w:hAnsiTheme="minorEastAsia"/>
                <w:szCs w:val="21"/>
              </w:rPr>
            </w:pPr>
          </w:p>
        </w:tc>
        <w:tc>
          <w:tcPr>
            <w:tcW w:w="1418" w:type="dxa"/>
            <w:gridSpan w:val="4"/>
            <w:vAlign w:val="center"/>
          </w:tcPr>
          <w:p w14:paraId="5E6835BF">
            <w:pPr>
              <w:widowControl/>
              <w:ind w:left="181" w:leftChars="86"/>
              <w:jc w:val="center"/>
              <w:rPr>
                <w:rFonts w:hint="eastAsia" w:asciiTheme="minorEastAsia" w:hAnsiTheme="minorEastAsia"/>
                <w:szCs w:val="21"/>
              </w:rPr>
            </w:pPr>
          </w:p>
        </w:tc>
        <w:tc>
          <w:tcPr>
            <w:tcW w:w="1228" w:type="dxa"/>
            <w:gridSpan w:val="2"/>
            <w:vAlign w:val="center"/>
          </w:tcPr>
          <w:p w14:paraId="5EE2BCD9">
            <w:pPr>
              <w:widowControl/>
              <w:ind w:left="181" w:leftChars="86"/>
              <w:jc w:val="center"/>
              <w:rPr>
                <w:rFonts w:hint="eastAsia" w:asciiTheme="minorEastAsia" w:hAnsiTheme="minorEastAsia"/>
                <w:szCs w:val="21"/>
              </w:rPr>
            </w:pPr>
          </w:p>
        </w:tc>
        <w:tc>
          <w:tcPr>
            <w:tcW w:w="1276" w:type="dxa"/>
            <w:gridSpan w:val="3"/>
            <w:vAlign w:val="center"/>
          </w:tcPr>
          <w:p w14:paraId="3B73B037">
            <w:pPr>
              <w:widowControl/>
              <w:ind w:left="181" w:leftChars="86"/>
              <w:jc w:val="center"/>
              <w:rPr>
                <w:rFonts w:hint="eastAsia" w:asciiTheme="minorEastAsia" w:hAnsiTheme="minorEastAsia"/>
                <w:szCs w:val="21"/>
              </w:rPr>
            </w:pPr>
          </w:p>
        </w:tc>
        <w:tc>
          <w:tcPr>
            <w:tcW w:w="1276" w:type="dxa"/>
            <w:gridSpan w:val="4"/>
            <w:vAlign w:val="center"/>
          </w:tcPr>
          <w:p w14:paraId="603C1096">
            <w:pPr>
              <w:widowControl/>
              <w:ind w:left="181" w:leftChars="86"/>
              <w:jc w:val="center"/>
              <w:rPr>
                <w:rFonts w:hint="eastAsia" w:asciiTheme="minorEastAsia" w:hAnsiTheme="minorEastAsia"/>
                <w:szCs w:val="21"/>
              </w:rPr>
            </w:pPr>
          </w:p>
        </w:tc>
        <w:tc>
          <w:tcPr>
            <w:tcW w:w="1359" w:type="dxa"/>
            <w:gridSpan w:val="3"/>
            <w:vAlign w:val="center"/>
          </w:tcPr>
          <w:p w14:paraId="7B5525D4">
            <w:pPr>
              <w:widowControl/>
              <w:ind w:left="181" w:leftChars="86"/>
              <w:jc w:val="center"/>
              <w:rPr>
                <w:rFonts w:hint="eastAsia" w:asciiTheme="minorEastAsia" w:hAnsiTheme="minorEastAsia"/>
                <w:szCs w:val="21"/>
              </w:rPr>
            </w:pPr>
          </w:p>
        </w:tc>
        <w:tc>
          <w:tcPr>
            <w:tcW w:w="1192" w:type="dxa"/>
            <w:gridSpan w:val="3"/>
            <w:vAlign w:val="center"/>
          </w:tcPr>
          <w:p w14:paraId="0C991FF8">
            <w:pPr>
              <w:widowControl/>
              <w:ind w:left="181" w:leftChars="86"/>
              <w:jc w:val="center"/>
              <w:rPr>
                <w:rFonts w:hint="eastAsia" w:asciiTheme="minorEastAsia" w:hAnsiTheme="minorEastAsia"/>
                <w:szCs w:val="21"/>
              </w:rPr>
            </w:pPr>
          </w:p>
        </w:tc>
        <w:tc>
          <w:tcPr>
            <w:tcW w:w="1134" w:type="dxa"/>
            <w:gridSpan w:val="2"/>
            <w:vAlign w:val="center"/>
          </w:tcPr>
          <w:p w14:paraId="696C1A93">
            <w:pPr>
              <w:widowControl/>
              <w:ind w:left="181" w:leftChars="86"/>
              <w:jc w:val="center"/>
              <w:rPr>
                <w:rFonts w:hint="eastAsia" w:asciiTheme="minorEastAsia" w:hAnsiTheme="minorEastAsia"/>
                <w:szCs w:val="21"/>
              </w:rPr>
            </w:pPr>
          </w:p>
        </w:tc>
        <w:tc>
          <w:tcPr>
            <w:tcW w:w="1440" w:type="dxa"/>
            <w:gridSpan w:val="2"/>
            <w:vMerge w:val="continue"/>
          </w:tcPr>
          <w:p w14:paraId="73445D0E">
            <w:pPr>
              <w:widowControl/>
              <w:ind w:left="181" w:leftChars="86"/>
              <w:jc w:val="center"/>
              <w:rPr>
                <w:rFonts w:hint="eastAsia" w:asciiTheme="minorEastAsia" w:hAnsiTheme="minorEastAsia"/>
                <w:szCs w:val="21"/>
              </w:rPr>
            </w:pPr>
          </w:p>
        </w:tc>
      </w:tr>
      <w:tr w14:paraId="6884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62" w:type="dxa"/>
            <w:vMerge w:val="continue"/>
          </w:tcPr>
          <w:p w14:paraId="0738DE4F">
            <w:pPr>
              <w:widowControl/>
              <w:ind w:left="181" w:leftChars="86"/>
              <w:jc w:val="center"/>
              <w:rPr>
                <w:rFonts w:hint="eastAsia" w:asciiTheme="minorEastAsia" w:hAnsiTheme="minorEastAsia"/>
                <w:szCs w:val="21"/>
              </w:rPr>
            </w:pPr>
          </w:p>
        </w:tc>
        <w:tc>
          <w:tcPr>
            <w:tcW w:w="856" w:type="dxa"/>
            <w:gridSpan w:val="2"/>
            <w:vAlign w:val="center"/>
          </w:tcPr>
          <w:p w14:paraId="2BB5363F">
            <w:pPr>
              <w:widowControl/>
              <w:ind w:left="181" w:leftChars="86"/>
              <w:jc w:val="center"/>
              <w:rPr>
                <w:rFonts w:hint="eastAsia" w:asciiTheme="minorEastAsia" w:hAnsiTheme="minorEastAsia"/>
                <w:szCs w:val="21"/>
              </w:rPr>
            </w:pPr>
          </w:p>
        </w:tc>
        <w:tc>
          <w:tcPr>
            <w:tcW w:w="1001" w:type="dxa"/>
            <w:gridSpan w:val="3"/>
            <w:vAlign w:val="center"/>
          </w:tcPr>
          <w:p w14:paraId="61EED58B">
            <w:pPr>
              <w:widowControl/>
              <w:ind w:left="181" w:leftChars="86"/>
              <w:jc w:val="center"/>
              <w:rPr>
                <w:rFonts w:hint="eastAsia" w:asciiTheme="minorEastAsia" w:hAnsiTheme="minorEastAsia"/>
                <w:szCs w:val="21"/>
              </w:rPr>
            </w:pPr>
          </w:p>
        </w:tc>
        <w:tc>
          <w:tcPr>
            <w:tcW w:w="1418" w:type="dxa"/>
            <w:gridSpan w:val="4"/>
            <w:vAlign w:val="center"/>
          </w:tcPr>
          <w:p w14:paraId="22831A5A">
            <w:pPr>
              <w:widowControl/>
              <w:ind w:left="181" w:leftChars="86"/>
              <w:jc w:val="center"/>
              <w:rPr>
                <w:rFonts w:hint="eastAsia" w:asciiTheme="minorEastAsia" w:hAnsiTheme="minorEastAsia"/>
                <w:szCs w:val="21"/>
              </w:rPr>
            </w:pPr>
          </w:p>
        </w:tc>
        <w:tc>
          <w:tcPr>
            <w:tcW w:w="1228" w:type="dxa"/>
            <w:gridSpan w:val="2"/>
            <w:vAlign w:val="center"/>
          </w:tcPr>
          <w:p w14:paraId="1A96B4E8">
            <w:pPr>
              <w:widowControl/>
              <w:ind w:left="181" w:leftChars="86"/>
              <w:jc w:val="center"/>
              <w:rPr>
                <w:rFonts w:hint="eastAsia" w:asciiTheme="minorEastAsia" w:hAnsiTheme="minorEastAsia"/>
                <w:szCs w:val="21"/>
              </w:rPr>
            </w:pPr>
          </w:p>
        </w:tc>
        <w:tc>
          <w:tcPr>
            <w:tcW w:w="1276" w:type="dxa"/>
            <w:gridSpan w:val="3"/>
            <w:vAlign w:val="center"/>
          </w:tcPr>
          <w:p w14:paraId="22A6E354">
            <w:pPr>
              <w:widowControl/>
              <w:ind w:left="181" w:leftChars="86"/>
              <w:jc w:val="center"/>
              <w:rPr>
                <w:rFonts w:hint="eastAsia" w:asciiTheme="minorEastAsia" w:hAnsiTheme="minorEastAsia"/>
                <w:szCs w:val="21"/>
              </w:rPr>
            </w:pPr>
          </w:p>
        </w:tc>
        <w:tc>
          <w:tcPr>
            <w:tcW w:w="1276" w:type="dxa"/>
            <w:gridSpan w:val="4"/>
            <w:vAlign w:val="center"/>
          </w:tcPr>
          <w:p w14:paraId="776BC615">
            <w:pPr>
              <w:widowControl/>
              <w:ind w:left="181" w:leftChars="86"/>
              <w:jc w:val="center"/>
              <w:rPr>
                <w:rFonts w:hint="eastAsia" w:asciiTheme="minorEastAsia" w:hAnsiTheme="minorEastAsia"/>
                <w:szCs w:val="21"/>
              </w:rPr>
            </w:pPr>
          </w:p>
        </w:tc>
        <w:tc>
          <w:tcPr>
            <w:tcW w:w="1359" w:type="dxa"/>
            <w:gridSpan w:val="3"/>
            <w:vAlign w:val="center"/>
          </w:tcPr>
          <w:p w14:paraId="7C9B1926">
            <w:pPr>
              <w:widowControl/>
              <w:ind w:left="181" w:leftChars="86"/>
              <w:jc w:val="center"/>
              <w:rPr>
                <w:rFonts w:hint="eastAsia" w:asciiTheme="minorEastAsia" w:hAnsiTheme="minorEastAsia"/>
                <w:szCs w:val="21"/>
              </w:rPr>
            </w:pPr>
          </w:p>
        </w:tc>
        <w:tc>
          <w:tcPr>
            <w:tcW w:w="1192" w:type="dxa"/>
            <w:gridSpan w:val="3"/>
            <w:vAlign w:val="center"/>
          </w:tcPr>
          <w:p w14:paraId="6520BB04">
            <w:pPr>
              <w:widowControl/>
              <w:ind w:left="181" w:leftChars="86"/>
              <w:jc w:val="center"/>
              <w:rPr>
                <w:rFonts w:hint="eastAsia" w:asciiTheme="minorEastAsia" w:hAnsiTheme="minorEastAsia"/>
                <w:szCs w:val="21"/>
              </w:rPr>
            </w:pPr>
          </w:p>
        </w:tc>
        <w:tc>
          <w:tcPr>
            <w:tcW w:w="1134" w:type="dxa"/>
            <w:gridSpan w:val="2"/>
            <w:vAlign w:val="center"/>
          </w:tcPr>
          <w:p w14:paraId="33B37E2B">
            <w:pPr>
              <w:widowControl/>
              <w:ind w:left="181" w:leftChars="86"/>
              <w:jc w:val="center"/>
              <w:rPr>
                <w:rFonts w:hint="eastAsia" w:asciiTheme="minorEastAsia" w:hAnsiTheme="minorEastAsia"/>
                <w:szCs w:val="21"/>
              </w:rPr>
            </w:pPr>
          </w:p>
        </w:tc>
        <w:tc>
          <w:tcPr>
            <w:tcW w:w="1440" w:type="dxa"/>
            <w:gridSpan w:val="2"/>
            <w:vMerge w:val="continue"/>
          </w:tcPr>
          <w:p w14:paraId="07FBF8D0">
            <w:pPr>
              <w:widowControl/>
              <w:ind w:left="181" w:leftChars="86"/>
              <w:jc w:val="center"/>
              <w:rPr>
                <w:rFonts w:hint="eastAsia" w:asciiTheme="minorEastAsia" w:hAnsiTheme="minorEastAsia"/>
                <w:szCs w:val="21"/>
              </w:rPr>
            </w:pPr>
          </w:p>
        </w:tc>
      </w:tr>
      <w:tr w14:paraId="1AEC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542" w:type="dxa"/>
            <w:gridSpan w:val="29"/>
            <w:vAlign w:val="center"/>
          </w:tcPr>
          <w:p w14:paraId="502E4A7E">
            <w:pPr>
              <w:spacing w:line="360" w:lineRule="auto"/>
              <w:ind w:left="181" w:leftChars="86"/>
              <w:jc w:val="left"/>
              <w:rPr>
                <w:color w:val="000000"/>
              </w:rPr>
            </w:pPr>
            <w:r>
              <w:rPr>
                <w:rFonts w:hint="eastAsia"/>
                <w:color w:val="000000"/>
              </w:rPr>
              <w:t xml:space="preserve">软件版本：                             </w:t>
            </w:r>
          </w:p>
        </w:tc>
      </w:tr>
      <w:tr w14:paraId="2E43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283" w:type="dxa"/>
            <w:gridSpan w:val="16"/>
            <w:vAlign w:val="center"/>
          </w:tcPr>
          <w:p w14:paraId="053041A3">
            <w:pPr>
              <w:ind w:left="181" w:leftChars="86"/>
              <w:rPr>
                <w:rFonts w:hint="eastAsia" w:asciiTheme="minorEastAsia" w:hAnsiTheme="minorEastAsia"/>
                <w:szCs w:val="21"/>
              </w:rPr>
            </w:pPr>
            <w:r>
              <w:rPr>
                <w:rFonts w:hint="eastAsia" w:asciiTheme="minorEastAsia" w:hAnsiTheme="minorEastAsia"/>
                <w:szCs w:val="21"/>
              </w:rPr>
              <w:t>接收/</w:t>
            </w:r>
            <w:r>
              <w:rPr>
                <w:rFonts w:asciiTheme="minorEastAsia" w:hAnsiTheme="minorEastAsia"/>
                <w:szCs w:val="21"/>
              </w:rPr>
              <w:t>校准日期</w:t>
            </w:r>
            <w:r>
              <w:rPr>
                <w:rFonts w:hint="eastAsia" w:asciiTheme="minorEastAsia" w:hAnsiTheme="minorEastAsia"/>
                <w:szCs w:val="21"/>
              </w:rPr>
              <w:t>：      年      月     日  /       年      月    日</w:t>
            </w:r>
          </w:p>
        </w:tc>
        <w:tc>
          <w:tcPr>
            <w:tcW w:w="6259" w:type="dxa"/>
            <w:gridSpan w:val="13"/>
            <w:vAlign w:val="center"/>
          </w:tcPr>
          <w:p w14:paraId="2752CB08">
            <w:pPr>
              <w:ind w:left="181" w:leftChars="86"/>
              <w:rPr>
                <w:rFonts w:hint="eastAsia" w:asciiTheme="minorEastAsia" w:hAnsiTheme="minorEastAsia"/>
                <w:szCs w:val="21"/>
              </w:rPr>
            </w:pPr>
            <w:r>
              <w:rPr>
                <w:rFonts w:hint="eastAsia" w:asciiTheme="minorEastAsia" w:hAnsiTheme="minorEastAsia"/>
                <w:szCs w:val="21"/>
              </w:rPr>
              <w:t>校准周期/月</w:t>
            </w:r>
            <w:r>
              <w:rPr>
                <w:rFonts w:asciiTheme="minorEastAsia" w:hAnsiTheme="minorEastAsia"/>
                <w:szCs w:val="21"/>
              </w:rPr>
              <w:t>：</w:t>
            </w:r>
            <w:r>
              <w:rPr>
                <w:rFonts w:hint="eastAsia" w:asciiTheme="minorEastAsia" w:hAnsiTheme="minorEastAsia"/>
                <w:szCs w:val="21"/>
              </w:rPr>
              <w:t xml:space="preserve">  </w:t>
            </w:r>
          </w:p>
        </w:tc>
      </w:tr>
      <w:tr w14:paraId="47A92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283" w:type="dxa"/>
            <w:gridSpan w:val="16"/>
            <w:vAlign w:val="center"/>
          </w:tcPr>
          <w:p w14:paraId="74DBCA62">
            <w:pPr>
              <w:ind w:left="181" w:leftChars="86"/>
              <w:rPr>
                <w:rFonts w:hint="eastAsia" w:asciiTheme="minorEastAsia" w:hAnsiTheme="minorEastAsia"/>
                <w:szCs w:val="21"/>
              </w:rPr>
            </w:pPr>
            <w:r>
              <w:rPr>
                <w:rFonts w:hint="eastAsia" w:asciiTheme="minorEastAsia" w:hAnsiTheme="minorEastAsia"/>
                <w:szCs w:val="21"/>
              </w:rPr>
              <w:t>示值误差均符合最大允许误差（     ）的要求：   □是       □否</w:t>
            </w:r>
          </w:p>
        </w:tc>
        <w:tc>
          <w:tcPr>
            <w:tcW w:w="6259" w:type="dxa"/>
            <w:gridSpan w:val="13"/>
            <w:vAlign w:val="center"/>
          </w:tcPr>
          <w:p w14:paraId="2EEFFC27">
            <w:pPr>
              <w:ind w:left="181" w:leftChars="86"/>
              <w:rPr>
                <w:rFonts w:hint="eastAsia" w:asciiTheme="minorEastAsia" w:hAnsiTheme="minorEastAsia"/>
                <w:szCs w:val="21"/>
              </w:rPr>
            </w:pPr>
            <w:r>
              <w:rPr>
                <w:rFonts w:hint="eastAsia" w:asciiTheme="minorEastAsia" w:hAnsiTheme="minorEastAsia"/>
                <w:szCs w:val="21"/>
              </w:rPr>
              <w:t>证书编号：国罐计校    号</w:t>
            </w:r>
          </w:p>
        </w:tc>
      </w:tr>
      <w:tr w14:paraId="0542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283" w:type="dxa"/>
            <w:gridSpan w:val="16"/>
            <w:vAlign w:val="center"/>
          </w:tcPr>
          <w:p w14:paraId="3EB1D2F5">
            <w:pPr>
              <w:ind w:left="181" w:leftChars="86"/>
              <w:rPr>
                <w:rFonts w:hint="eastAsia" w:asciiTheme="minorEastAsia" w:hAnsiTheme="minorEastAsia"/>
                <w:szCs w:val="21"/>
              </w:rPr>
            </w:pPr>
            <w:r>
              <w:rPr>
                <w:rFonts w:hint="eastAsia" w:asciiTheme="minorEastAsia" w:hAnsiTheme="minorEastAsia"/>
                <w:szCs w:val="21"/>
              </w:rPr>
              <w:t>校准员：</w:t>
            </w:r>
          </w:p>
        </w:tc>
        <w:tc>
          <w:tcPr>
            <w:tcW w:w="6259" w:type="dxa"/>
            <w:gridSpan w:val="13"/>
            <w:vAlign w:val="center"/>
          </w:tcPr>
          <w:p w14:paraId="46F6CDCE">
            <w:pPr>
              <w:ind w:left="181" w:leftChars="86"/>
              <w:rPr>
                <w:rFonts w:hint="eastAsia" w:asciiTheme="minorEastAsia" w:hAnsiTheme="minorEastAsia"/>
                <w:szCs w:val="21"/>
              </w:rPr>
            </w:pPr>
            <w:r>
              <w:rPr>
                <w:rFonts w:hint="eastAsia" w:asciiTheme="minorEastAsia" w:hAnsiTheme="minorEastAsia"/>
                <w:szCs w:val="21"/>
              </w:rPr>
              <w:t>核验员：</w:t>
            </w:r>
          </w:p>
        </w:tc>
      </w:tr>
      <w:tr w14:paraId="5621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3542" w:type="dxa"/>
            <w:gridSpan w:val="29"/>
            <w:vAlign w:val="center"/>
          </w:tcPr>
          <w:p w14:paraId="5883DF7E">
            <w:pPr>
              <w:ind w:left="181" w:leftChars="86"/>
              <w:rPr>
                <w:rFonts w:hint="eastAsia" w:asciiTheme="minorEastAsia" w:hAnsiTheme="minorEastAsia"/>
                <w:szCs w:val="21"/>
              </w:rPr>
            </w:pPr>
            <w:r>
              <w:rPr>
                <w:rFonts w:hint="eastAsia" w:asciiTheme="minorEastAsia" w:hAnsiTheme="minorEastAsia"/>
                <w:szCs w:val="21"/>
              </w:rPr>
              <w:t>备注</w:t>
            </w:r>
            <w:r>
              <w:rPr>
                <w:rFonts w:asciiTheme="minorEastAsia" w:hAnsiTheme="minorEastAsia"/>
                <w:szCs w:val="21"/>
              </w:rPr>
              <w:t>：</w:t>
            </w:r>
          </w:p>
        </w:tc>
      </w:tr>
    </w:tbl>
    <w:p w14:paraId="065C5994">
      <w:pPr>
        <w:tabs>
          <w:tab w:val="left" w:pos="1560"/>
        </w:tabs>
        <w:spacing w:before="312" w:beforeLines="100" w:line="440" w:lineRule="exact"/>
        <w:jc w:val="center"/>
        <w:rPr>
          <w:rFonts w:hint="eastAsia" w:ascii="黑体" w:hAnsi="黑体" w:eastAsia="黑体"/>
          <w:szCs w:val="21"/>
        </w:rPr>
      </w:pPr>
      <w:r>
        <w:rPr>
          <w:rFonts w:hint="eastAsia" w:ascii="Times New Roman" w:hAnsi="Times New Roman" w:eastAsia="黑体"/>
          <w:szCs w:val="21"/>
        </w:rPr>
        <w:t>表B.3</w:t>
      </w:r>
      <w:r>
        <w:rPr>
          <w:rFonts w:hint="eastAsia" w:ascii="Times New Roman" w:hAnsi="Times New Roman" w:eastAsia="黑体"/>
          <w:szCs w:val="21"/>
          <w:u w:val="single"/>
        </w:rPr>
        <w:t xml:space="preserve">          </w:t>
      </w:r>
      <w:r>
        <w:rPr>
          <w:rFonts w:hint="eastAsia" w:ascii="Times New Roman" w:hAnsi="Times New Roman" w:eastAsia="黑体"/>
          <w:szCs w:val="21"/>
        </w:rPr>
        <w:t>容</w:t>
      </w:r>
      <w:r>
        <w:rPr>
          <w:rFonts w:hint="eastAsia" w:ascii="黑体" w:hAnsi="黑体" w:eastAsia="黑体"/>
          <w:szCs w:val="21"/>
        </w:rPr>
        <w:t>积三维激光扫描仪校准记录（二）</w:t>
      </w:r>
    </w:p>
    <w:tbl>
      <w:tblPr>
        <w:tblStyle w:val="15"/>
        <w:tblW w:w="136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89"/>
        <w:gridCol w:w="1850"/>
        <w:gridCol w:w="1985"/>
        <w:gridCol w:w="3934"/>
        <w:gridCol w:w="2444"/>
        <w:gridCol w:w="1701"/>
      </w:tblGrid>
      <w:tr w14:paraId="3E062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5AC76B88">
            <w:pPr>
              <w:snapToGrid w:val="0"/>
              <w:jc w:val="center"/>
              <w:rPr>
                <w:rFonts w:hint="eastAsia" w:ascii="宋体" w:hAnsi="宋体"/>
                <w:color w:val="000000"/>
                <w:szCs w:val="21"/>
              </w:rPr>
            </w:pPr>
            <w:r>
              <w:rPr>
                <w:rFonts w:hint="eastAsia" w:ascii="宋体"/>
              </w:rPr>
              <w:t>校准依据</w:t>
            </w:r>
          </w:p>
        </w:tc>
        <w:tc>
          <w:tcPr>
            <w:tcW w:w="11914" w:type="dxa"/>
            <w:gridSpan w:val="5"/>
            <w:vAlign w:val="center"/>
          </w:tcPr>
          <w:p w14:paraId="2F7531D9">
            <w:pPr>
              <w:snapToGrid w:val="0"/>
              <w:jc w:val="center"/>
              <w:rPr>
                <w:rFonts w:hint="eastAsia" w:ascii="宋体" w:hAnsi="宋体"/>
                <w:color w:val="000000"/>
                <w:szCs w:val="21"/>
              </w:rPr>
            </w:pPr>
          </w:p>
        </w:tc>
      </w:tr>
      <w:tr w14:paraId="64CBA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13603" w:type="dxa"/>
            <w:gridSpan w:val="6"/>
            <w:vAlign w:val="center"/>
          </w:tcPr>
          <w:p w14:paraId="0DCBF6E7">
            <w:pPr>
              <w:snapToGrid w:val="0"/>
              <w:rPr>
                <w:rFonts w:hint="eastAsia" w:ascii="宋体" w:hAnsi="宋体"/>
                <w:color w:val="000000"/>
                <w:szCs w:val="21"/>
              </w:rPr>
            </w:pPr>
            <w:r>
              <w:rPr>
                <w:rFonts w:hint="eastAsia" w:ascii="宋体" w:hAnsi="宋体"/>
                <w:color w:val="000000"/>
                <w:szCs w:val="21"/>
              </w:rPr>
              <w:t>校准环境条件及地点</w:t>
            </w:r>
          </w:p>
        </w:tc>
      </w:tr>
      <w:tr w14:paraId="3CD93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73C7165D">
            <w:pPr>
              <w:snapToGrid w:val="0"/>
              <w:jc w:val="center"/>
              <w:rPr>
                <w:rFonts w:hint="eastAsia" w:ascii="宋体" w:hAnsi="宋体"/>
                <w:color w:val="000000"/>
                <w:szCs w:val="21"/>
              </w:rPr>
            </w:pPr>
            <w:r>
              <w:rPr>
                <w:rFonts w:hint="eastAsia" w:ascii="宋体" w:hAnsi="宋体"/>
                <w:color w:val="000000"/>
                <w:szCs w:val="21"/>
              </w:rPr>
              <w:t>温度/</w:t>
            </w:r>
            <w:r>
              <w:rPr>
                <w:rFonts w:hint="eastAsia"/>
                <w:color w:val="000000"/>
              </w:rPr>
              <w:t>℃</w:t>
            </w:r>
          </w:p>
        </w:tc>
        <w:tc>
          <w:tcPr>
            <w:tcW w:w="11914" w:type="dxa"/>
            <w:gridSpan w:val="5"/>
            <w:vAlign w:val="center"/>
          </w:tcPr>
          <w:p w14:paraId="37B1D8DC">
            <w:pPr>
              <w:snapToGrid w:val="0"/>
              <w:rPr>
                <w:rFonts w:hint="eastAsia" w:ascii="宋体" w:hAnsi="宋体"/>
                <w:color w:val="000000"/>
                <w:szCs w:val="21"/>
              </w:rPr>
            </w:pPr>
          </w:p>
        </w:tc>
      </w:tr>
      <w:tr w14:paraId="5B977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74716C38">
            <w:pPr>
              <w:snapToGrid w:val="0"/>
              <w:jc w:val="center"/>
              <w:rPr>
                <w:rFonts w:hint="eastAsia" w:ascii="宋体" w:hAnsi="宋体"/>
                <w:color w:val="000000"/>
                <w:szCs w:val="21"/>
              </w:rPr>
            </w:pPr>
            <w:r>
              <w:rPr>
                <w:rFonts w:hint="eastAsia" w:ascii="宋体" w:hAnsi="宋体"/>
                <w:color w:val="000000"/>
                <w:szCs w:val="21"/>
              </w:rPr>
              <w:t>校准地点</w:t>
            </w:r>
          </w:p>
        </w:tc>
        <w:tc>
          <w:tcPr>
            <w:tcW w:w="11914" w:type="dxa"/>
            <w:gridSpan w:val="5"/>
            <w:vAlign w:val="center"/>
          </w:tcPr>
          <w:p w14:paraId="3E519A41">
            <w:pPr>
              <w:snapToGrid w:val="0"/>
              <w:rPr>
                <w:rFonts w:hint="eastAsia" w:ascii="宋体" w:hAnsi="宋体"/>
                <w:color w:val="000000"/>
                <w:szCs w:val="21"/>
              </w:rPr>
            </w:pPr>
          </w:p>
        </w:tc>
      </w:tr>
      <w:tr w14:paraId="0FD2D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13603" w:type="dxa"/>
            <w:gridSpan w:val="6"/>
            <w:vAlign w:val="center"/>
          </w:tcPr>
          <w:p w14:paraId="5CCF17D9">
            <w:pPr>
              <w:snapToGrid w:val="0"/>
              <w:rPr>
                <w:rFonts w:hint="eastAsia" w:ascii="宋体" w:hAnsi="宋体"/>
                <w:color w:val="000000"/>
                <w:szCs w:val="21"/>
              </w:rPr>
            </w:pPr>
            <w:r>
              <w:rPr>
                <w:rFonts w:hint="eastAsia" w:ascii="宋体" w:hAnsi="宋体"/>
                <w:color w:val="000000"/>
                <w:szCs w:val="21"/>
              </w:rPr>
              <w:t>校准使用的计量标准装置</w:t>
            </w:r>
          </w:p>
        </w:tc>
      </w:tr>
      <w:tr w14:paraId="3F1E5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3539" w:type="dxa"/>
            <w:gridSpan w:val="2"/>
            <w:vAlign w:val="center"/>
          </w:tcPr>
          <w:p w14:paraId="26965A34">
            <w:pPr>
              <w:snapToGrid w:val="0"/>
              <w:jc w:val="center"/>
              <w:rPr>
                <w:rFonts w:hint="eastAsia" w:ascii="宋体" w:hAnsi="宋体"/>
                <w:color w:val="000000"/>
                <w:szCs w:val="21"/>
              </w:rPr>
            </w:pPr>
            <w:r>
              <w:rPr>
                <w:rFonts w:hint="eastAsia" w:ascii="宋体" w:hAnsi="宋体"/>
                <w:color w:val="000000"/>
                <w:szCs w:val="21"/>
              </w:rPr>
              <w:t>名称</w:t>
            </w:r>
          </w:p>
        </w:tc>
        <w:tc>
          <w:tcPr>
            <w:tcW w:w="1985" w:type="dxa"/>
            <w:vAlign w:val="center"/>
          </w:tcPr>
          <w:p w14:paraId="710F49D7">
            <w:pPr>
              <w:snapToGrid w:val="0"/>
              <w:jc w:val="center"/>
              <w:rPr>
                <w:rFonts w:hint="eastAsia" w:ascii="宋体" w:hAnsi="宋体"/>
                <w:color w:val="000000"/>
                <w:szCs w:val="21"/>
              </w:rPr>
            </w:pPr>
            <w:r>
              <w:rPr>
                <w:rFonts w:hint="eastAsia" w:ascii="宋体" w:hAnsi="宋体"/>
                <w:color w:val="000000"/>
                <w:szCs w:val="21"/>
              </w:rPr>
              <w:t>测量范围</w:t>
            </w:r>
          </w:p>
        </w:tc>
        <w:tc>
          <w:tcPr>
            <w:tcW w:w="3934" w:type="dxa"/>
            <w:vAlign w:val="center"/>
          </w:tcPr>
          <w:p w14:paraId="7290ABD9">
            <w:pPr>
              <w:snapToGrid w:val="0"/>
              <w:jc w:val="center"/>
              <w:rPr>
                <w:rFonts w:hint="eastAsia" w:ascii="宋体" w:hAnsi="宋体"/>
                <w:color w:val="000000"/>
                <w:szCs w:val="21"/>
              </w:rPr>
            </w:pPr>
            <w:r>
              <w:rPr>
                <w:rFonts w:hint="eastAsia" w:ascii="宋体" w:hAnsi="宋体"/>
                <w:color w:val="000000"/>
                <w:szCs w:val="21"/>
              </w:rPr>
              <w:t>不确定度/准确度等级/最大允许误差</w:t>
            </w:r>
          </w:p>
        </w:tc>
        <w:tc>
          <w:tcPr>
            <w:tcW w:w="2444" w:type="dxa"/>
            <w:vAlign w:val="center"/>
          </w:tcPr>
          <w:p w14:paraId="331D8FA8">
            <w:pPr>
              <w:snapToGrid w:val="0"/>
              <w:jc w:val="center"/>
              <w:rPr>
                <w:rFonts w:hint="eastAsia" w:ascii="宋体" w:hAnsi="宋体"/>
                <w:color w:val="000000"/>
                <w:szCs w:val="21"/>
              </w:rPr>
            </w:pPr>
            <w:r>
              <w:rPr>
                <w:rFonts w:hint="eastAsia" w:ascii="宋体" w:hAnsi="宋体"/>
                <w:color w:val="000000"/>
                <w:szCs w:val="21"/>
              </w:rPr>
              <w:t>计量标准证书编号</w:t>
            </w:r>
          </w:p>
        </w:tc>
        <w:tc>
          <w:tcPr>
            <w:tcW w:w="1701" w:type="dxa"/>
            <w:vAlign w:val="center"/>
          </w:tcPr>
          <w:p w14:paraId="101CE232">
            <w:pPr>
              <w:snapToGrid w:val="0"/>
              <w:jc w:val="center"/>
              <w:rPr>
                <w:rFonts w:hint="eastAsia" w:ascii="宋体" w:hAnsi="宋体"/>
                <w:color w:val="000000"/>
                <w:szCs w:val="21"/>
              </w:rPr>
            </w:pPr>
            <w:r>
              <w:rPr>
                <w:rFonts w:hint="eastAsia" w:ascii="宋体" w:hAnsi="宋体"/>
                <w:color w:val="000000"/>
                <w:szCs w:val="21"/>
              </w:rPr>
              <w:t>有效期至</w:t>
            </w:r>
          </w:p>
        </w:tc>
      </w:tr>
      <w:tr w14:paraId="1C930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6" w:hRule="exact"/>
          <w:jc w:val="center"/>
        </w:trPr>
        <w:tc>
          <w:tcPr>
            <w:tcW w:w="3539" w:type="dxa"/>
            <w:gridSpan w:val="2"/>
            <w:vAlign w:val="center"/>
          </w:tcPr>
          <w:p w14:paraId="0A84AA85">
            <w:pPr>
              <w:snapToGrid w:val="0"/>
              <w:jc w:val="center"/>
              <w:rPr>
                <w:rFonts w:hint="eastAsia" w:ascii="宋体" w:hAnsi="宋体"/>
                <w:color w:val="000000"/>
                <w:szCs w:val="21"/>
              </w:rPr>
            </w:pPr>
          </w:p>
        </w:tc>
        <w:tc>
          <w:tcPr>
            <w:tcW w:w="1985" w:type="dxa"/>
            <w:vAlign w:val="center"/>
          </w:tcPr>
          <w:p w14:paraId="1E8E54E2">
            <w:pPr>
              <w:snapToGrid w:val="0"/>
              <w:jc w:val="center"/>
              <w:rPr>
                <w:rFonts w:hint="eastAsia" w:ascii="宋体" w:hAnsi="宋体"/>
                <w:color w:val="000000"/>
                <w:szCs w:val="21"/>
              </w:rPr>
            </w:pPr>
          </w:p>
        </w:tc>
        <w:tc>
          <w:tcPr>
            <w:tcW w:w="3934" w:type="dxa"/>
            <w:vAlign w:val="center"/>
          </w:tcPr>
          <w:p w14:paraId="555B2E27">
            <w:pPr>
              <w:snapToGrid w:val="0"/>
              <w:jc w:val="center"/>
              <w:rPr>
                <w:rFonts w:hint="eastAsia" w:ascii="宋体" w:hAnsi="宋体"/>
                <w:color w:val="000000"/>
                <w:szCs w:val="21"/>
              </w:rPr>
            </w:pPr>
          </w:p>
        </w:tc>
        <w:tc>
          <w:tcPr>
            <w:tcW w:w="2444" w:type="dxa"/>
            <w:vAlign w:val="center"/>
          </w:tcPr>
          <w:p w14:paraId="26067605">
            <w:pPr>
              <w:snapToGrid w:val="0"/>
              <w:jc w:val="center"/>
              <w:rPr>
                <w:rFonts w:hint="eastAsia" w:ascii="宋体" w:hAnsi="宋体"/>
                <w:color w:val="000000"/>
                <w:szCs w:val="21"/>
              </w:rPr>
            </w:pPr>
          </w:p>
        </w:tc>
        <w:tc>
          <w:tcPr>
            <w:tcW w:w="1701" w:type="dxa"/>
            <w:vAlign w:val="center"/>
          </w:tcPr>
          <w:p w14:paraId="60EA6E36">
            <w:pPr>
              <w:snapToGrid w:val="0"/>
              <w:jc w:val="left"/>
              <w:rPr>
                <w:rFonts w:hint="eastAsia" w:ascii="宋体" w:hAnsi="宋体"/>
                <w:color w:val="000000"/>
                <w:szCs w:val="21"/>
              </w:rPr>
            </w:pPr>
          </w:p>
        </w:tc>
      </w:tr>
      <w:tr w14:paraId="482558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13603" w:type="dxa"/>
            <w:gridSpan w:val="6"/>
            <w:vAlign w:val="center"/>
          </w:tcPr>
          <w:p w14:paraId="4FF3698E">
            <w:pPr>
              <w:snapToGrid w:val="0"/>
              <w:rPr>
                <w:rFonts w:hint="eastAsia" w:ascii="宋体" w:hAnsi="宋体"/>
                <w:color w:val="000000"/>
                <w:szCs w:val="21"/>
              </w:rPr>
            </w:pPr>
            <w:r>
              <w:rPr>
                <w:rFonts w:hint="eastAsia" w:ascii="宋体" w:hAnsi="宋体"/>
                <w:color w:val="000000"/>
                <w:szCs w:val="21"/>
              </w:rPr>
              <w:t>校准使用的标准器</w:t>
            </w:r>
          </w:p>
        </w:tc>
      </w:tr>
      <w:tr w14:paraId="04DFE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5BBA965C">
            <w:pPr>
              <w:snapToGrid w:val="0"/>
              <w:jc w:val="center"/>
              <w:rPr>
                <w:rFonts w:hint="eastAsia" w:ascii="宋体" w:hAnsi="宋体"/>
                <w:color w:val="000000"/>
                <w:szCs w:val="21"/>
              </w:rPr>
            </w:pPr>
            <w:r>
              <w:rPr>
                <w:rFonts w:hint="eastAsia" w:ascii="宋体" w:hAnsi="宋体"/>
                <w:color w:val="000000"/>
                <w:szCs w:val="21"/>
              </w:rPr>
              <w:t>名称</w:t>
            </w:r>
          </w:p>
        </w:tc>
        <w:tc>
          <w:tcPr>
            <w:tcW w:w="1850" w:type="dxa"/>
            <w:vAlign w:val="center"/>
          </w:tcPr>
          <w:p w14:paraId="20272D54">
            <w:pPr>
              <w:snapToGrid w:val="0"/>
              <w:jc w:val="center"/>
              <w:rPr>
                <w:rFonts w:hint="eastAsia" w:ascii="宋体" w:hAnsi="宋体"/>
                <w:color w:val="000000"/>
                <w:szCs w:val="21"/>
              </w:rPr>
            </w:pPr>
            <w:r>
              <w:rPr>
                <w:rFonts w:hint="eastAsia" w:ascii="宋体" w:hAnsi="宋体"/>
                <w:color w:val="000000"/>
                <w:szCs w:val="21"/>
              </w:rPr>
              <w:t>编号</w:t>
            </w:r>
          </w:p>
        </w:tc>
        <w:tc>
          <w:tcPr>
            <w:tcW w:w="1985" w:type="dxa"/>
            <w:vAlign w:val="center"/>
          </w:tcPr>
          <w:p w14:paraId="1A02A431">
            <w:pPr>
              <w:snapToGrid w:val="0"/>
              <w:jc w:val="center"/>
              <w:rPr>
                <w:rFonts w:hint="eastAsia" w:ascii="宋体" w:hAnsi="宋体"/>
                <w:color w:val="000000"/>
                <w:szCs w:val="21"/>
              </w:rPr>
            </w:pPr>
            <w:r>
              <w:rPr>
                <w:rFonts w:hint="eastAsia" w:ascii="宋体" w:hAnsi="宋体"/>
                <w:color w:val="000000"/>
                <w:szCs w:val="21"/>
              </w:rPr>
              <w:t>测量范围</w:t>
            </w:r>
          </w:p>
        </w:tc>
        <w:tc>
          <w:tcPr>
            <w:tcW w:w="3934" w:type="dxa"/>
            <w:vAlign w:val="center"/>
          </w:tcPr>
          <w:p w14:paraId="7261B9E0">
            <w:pPr>
              <w:snapToGrid w:val="0"/>
              <w:jc w:val="center"/>
              <w:rPr>
                <w:rFonts w:hint="eastAsia" w:ascii="宋体" w:hAnsi="宋体"/>
                <w:color w:val="000000"/>
                <w:szCs w:val="21"/>
              </w:rPr>
            </w:pPr>
            <w:r>
              <w:rPr>
                <w:rFonts w:hint="eastAsia" w:ascii="宋体" w:hAnsi="宋体"/>
                <w:color w:val="000000"/>
                <w:szCs w:val="21"/>
              </w:rPr>
              <w:t>不确定度/准确度等级/最大允许误差</w:t>
            </w:r>
          </w:p>
        </w:tc>
        <w:tc>
          <w:tcPr>
            <w:tcW w:w="2444" w:type="dxa"/>
            <w:vAlign w:val="center"/>
          </w:tcPr>
          <w:p w14:paraId="2A24AA8E">
            <w:pPr>
              <w:snapToGrid w:val="0"/>
              <w:jc w:val="center"/>
              <w:rPr>
                <w:rFonts w:hint="eastAsia" w:ascii="宋体" w:hAnsi="宋体"/>
                <w:color w:val="000000"/>
                <w:szCs w:val="21"/>
              </w:rPr>
            </w:pPr>
            <w:r>
              <w:rPr>
                <w:rFonts w:hint="eastAsia" w:ascii="宋体" w:hAnsi="宋体"/>
                <w:color w:val="000000"/>
                <w:szCs w:val="21"/>
              </w:rPr>
              <w:t>检定/校准证书编号</w:t>
            </w:r>
          </w:p>
        </w:tc>
        <w:tc>
          <w:tcPr>
            <w:tcW w:w="1701" w:type="dxa"/>
            <w:vAlign w:val="center"/>
          </w:tcPr>
          <w:p w14:paraId="5BAFDDE1">
            <w:pPr>
              <w:snapToGrid w:val="0"/>
              <w:jc w:val="center"/>
              <w:rPr>
                <w:rFonts w:hint="eastAsia" w:ascii="宋体" w:hAnsi="宋体"/>
                <w:color w:val="000000"/>
                <w:szCs w:val="21"/>
              </w:rPr>
            </w:pPr>
            <w:r>
              <w:rPr>
                <w:rFonts w:hint="eastAsia" w:ascii="宋体" w:hAnsi="宋体"/>
                <w:color w:val="000000"/>
                <w:szCs w:val="21"/>
              </w:rPr>
              <w:t>有效期至</w:t>
            </w:r>
          </w:p>
        </w:tc>
      </w:tr>
      <w:tr w14:paraId="095B2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jc w:val="center"/>
        </w:trPr>
        <w:tc>
          <w:tcPr>
            <w:tcW w:w="1689" w:type="dxa"/>
            <w:vAlign w:val="center"/>
          </w:tcPr>
          <w:p w14:paraId="1CCDFA8D">
            <w:pPr>
              <w:snapToGrid w:val="0"/>
              <w:jc w:val="center"/>
              <w:rPr>
                <w:rFonts w:hint="eastAsia" w:ascii="宋体" w:hAnsi="宋体"/>
                <w:color w:val="000000"/>
                <w:szCs w:val="21"/>
              </w:rPr>
            </w:pPr>
          </w:p>
        </w:tc>
        <w:tc>
          <w:tcPr>
            <w:tcW w:w="1850" w:type="dxa"/>
            <w:vAlign w:val="center"/>
          </w:tcPr>
          <w:p w14:paraId="310F9462">
            <w:pPr>
              <w:snapToGrid w:val="0"/>
              <w:jc w:val="left"/>
              <w:rPr>
                <w:rFonts w:hint="eastAsia" w:ascii="宋体" w:hAnsi="宋体"/>
                <w:color w:val="000000"/>
                <w:szCs w:val="21"/>
              </w:rPr>
            </w:pPr>
          </w:p>
        </w:tc>
        <w:tc>
          <w:tcPr>
            <w:tcW w:w="1985" w:type="dxa"/>
            <w:vAlign w:val="center"/>
          </w:tcPr>
          <w:p w14:paraId="786A4275">
            <w:pPr>
              <w:snapToGrid w:val="0"/>
              <w:jc w:val="left"/>
              <w:rPr>
                <w:rFonts w:hint="eastAsia" w:ascii="宋体" w:hAnsi="宋体"/>
                <w:color w:val="000000"/>
                <w:szCs w:val="21"/>
              </w:rPr>
            </w:pPr>
          </w:p>
        </w:tc>
        <w:tc>
          <w:tcPr>
            <w:tcW w:w="3934" w:type="dxa"/>
            <w:vAlign w:val="center"/>
          </w:tcPr>
          <w:p w14:paraId="1F847C0A">
            <w:pPr>
              <w:snapToGrid w:val="0"/>
              <w:jc w:val="center"/>
              <w:rPr>
                <w:rFonts w:hint="eastAsia" w:ascii="宋体" w:hAnsi="宋体"/>
                <w:color w:val="000000"/>
                <w:szCs w:val="21"/>
              </w:rPr>
            </w:pPr>
          </w:p>
        </w:tc>
        <w:tc>
          <w:tcPr>
            <w:tcW w:w="2444" w:type="dxa"/>
            <w:vAlign w:val="center"/>
          </w:tcPr>
          <w:p w14:paraId="08C04EA4">
            <w:pPr>
              <w:snapToGrid w:val="0"/>
              <w:jc w:val="center"/>
              <w:rPr>
                <w:rFonts w:hint="eastAsia" w:ascii="宋体" w:hAnsi="宋体"/>
                <w:color w:val="000000"/>
                <w:szCs w:val="21"/>
              </w:rPr>
            </w:pPr>
          </w:p>
        </w:tc>
        <w:tc>
          <w:tcPr>
            <w:tcW w:w="1701" w:type="dxa"/>
            <w:vAlign w:val="center"/>
          </w:tcPr>
          <w:p w14:paraId="549593FD">
            <w:pPr>
              <w:snapToGrid w:val="0"/>
              <w:jc w:val="left"/>
              <w:rPr>
                <w:rFonts w:hint="eastAsia" w:ascii="宋体" w:hAnsi="宋体"/>
                <w:color w:val="000000"/>
                <w:szCs w:val="21"/>
              </w:rPr>
            </w:pPr>
          </w:p>
        </w:tc>
      </w:tr>
      <w:tr w14:paraId="5DEC7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jc w:val="center"/>
        </w:trPr>
        <w:tc>
          <w:tcPr>
            <w:tcW w:w="1689" w:type="dxa"/>
            <w:vAlign w:val="center"/>
          </w:tcPr>
          <w:p w14:paraId="086A2619">
            <w:pPr>
              <w:snapToGrid w:val="0"/>
              <w:jc w:val="center"/>
              <w:rPr>
                <w:rFonts w:hint="eastAsia" w:ascii="宋体" w:hAnsi="宋体"/>
                <w:color w:val="000000"/>
                <w:szCs w:val="21"/>
              </w:rPr>
            </w:pPr>
          </w:p>
        </w:tc>
        <w:tc>
          <w:tcPr>
            <w:tcW w:w="1850" w:type="dxa"/>
            <w:vAlign w:val="center"/>
          </w:tcPr>
          <w:p w14:paraId="37645D7B">
            <w:pPr>
              <w:snapToGrid w:val="0"/>
              <w:jc w:val="left"/>
              <w:rPr>
                <w:rFonts w:hint="eastAsia" w:ascii="宋体" w:hAnsi="宋体"/>
                <w:color w:val="000000"/>
                <w:szCs w:val="21"/>
              </w:rPr>
            </w:pPr>
          </w:p>
        </w:tc>
        <w:tc>
          <w:tcPr>
            <w:tcW w:w="1985" w:type="dxa"/>
            <w:vAlign w:val="center"/>
          </w:tcPr>
          <w:p w14:paraId="20630370">
            <w:pPr>
              <w:snapToGrid w:val="0"/>
              <w:jc w:val="left"/>
              <w:rPr>
                <w:rFonts w:hint="eastAsia" w:ascii="宋体" w:hAnsi="宋体"/>
                <w:color w:val="000000"/>
                <w:szCs w:val="21"/>
              </w:rPr>
            </w:pPr>
          </w:p>
        </w:tc>
        <w:tc>
          <w:tcPr>
            <w:tcW w:w="3934" w:type="dxa"/>
            <w:vAlign w:val="center"/>
          </w:tcPr>
          <w:p w14:paraId="1187ABAB">
            <w:pPr>
              <w:snapToGrid w:val="0"/>
              <w:jc w:val="center"/>
              <w:rPr>
                <w:rFonts w:hint="eastAsia" w:ascii="宋体" w:hAnsi="宋体"/>
                <w:color w:val="000000"/>
                <w:szCs w:val="21"/>
              </w:rPr>
            </w:pPr>
          </w:p>
        </w:tc>
        <w:tc>
          <w:tcPr>
            <w:tcW w:w="2444" w:type="dxa"/>
            <w:vAlign w:val="center"/>
          </w:tcPr>
          <w:p w14:paraId="2B345D19">
            <w:pPr>
              <w:snapToGrid w:val="0"/>
              <w:jc w:val="center"/>
              <w:rPr>
                <w:rFonts w:hint="eastAsia" w:ascii="宋体" w:hAnsi="宋体"/>
                <w:color w:val="000000"/>
                <w:szCs w:val="21"/>
              </w:rPr>
            </w:pPr>
          </w:p>
        </w:tc>
        <w:tc>
          <w:tcPr>
            <w:tcW w:w="1701" w:type="dxa"/>
            <w:vAlign w:val="center"/>
          </w:tcPr>
          <w:p w14:paraId="12E45DBA">
            <w:pPr>
              <w:snapToGrid w:val="0"/>
              <w:jc w:val="left"/>
              <w:rPr>
                <w:rFonts w:hint="eastAsia" w:ascii="宋体" w:hAnsi="宋体"/>
                <w:color w:val="000000"/>
                <w:szCs w:val="21"/>
              </w:rPr>
            </w:pPr>
          </w:p>
        </w:tc>
      </w:tr>
      <w:tr w14:paraId="2DF5F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13603" w:type="dxa"/>
            <w:gridSpan w:val="6"/>
            <w:vAlign w:val="center"/>
          </w:tcPr>
          <w:p w14:paraId="531D814B">
            <w:pPr>
              <w:snapToGrid w:val="0"/>
              <w:rPr>
                <w:rFonts w:hint="eastAsia" w:ascii="宋体" w:hAnsi="宋体"/>
                <w:color w:val="000000"/>
                <w:szCs w:val="21"/>
              </w:rPr>
            </w:pPr>
            <w:r>
              <w:rPr>
                <w:rFonts w:hint="eastAsia" w:ascii="宋体" w:hAnsi="宋体"/>
                <w:color w:val="000000"/>
                <w:szCs w:val="21"/>
              </w:rPr>
              <w:t>校准使用的主要配套设备</w:t>
            </w:r>
          </w:p>
        </w:tc>
      </w:tr>
      <w:tr w14:paraId="4D053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507F17B5">
            <w:pPr>
              <w:snapToGrid w:val="0"/>
              <w:jc w:val="center"/>
              <w:rPr>
                <w:rFonts w:hint="eastAsia" w:ascii="宋体" w:hAnsi="宋体"/>
                <w:color w:val="000000"/>
                <w:szCs w:val="21"/>
              </w:rPr>
            </w:pPr>
            <w:r>
              <w:rPr>
                <w:rFonts w:hint="eastAsia" w:asciiTheme="minorEastAsia" w:hAnsiTheme="minorEastAsia"/>
                <w:szCs w:val="21"/>
              </w:rPr>
              <w:t>检尺点标靶编号</w:t>
            </w:r>
          </w:p>
        </w:tc>
        <w:tc>
          <w:tcPr>
            <w:tcW w:w="3835" w:type="dxa"/>
            <w:gridSpan w:val="2"/>
            <w:vAlign w:val="center"/>
          </w:tcPr>
          <w:p w14:paraId="36BD49BB">
            <w:pPr>
              <w:snapToGrid w:val="0"/>
              <w:jc w:val="center"/>
              <w:rPr>
                <w:rFonts w:hint="eastAsia" w:ascii="宋体" w:hAnsi="宋体"/>
                <w:color w:val="000000"/>
                <w:szCs w:val="21"/>
              </w:rPr>
            </w:pPr>
          </w:p>
        </w:tc>
        <w:tc>
          <w:tcPr>
            <w:tcW w:w="3934" w:type="dxa"/>
            <w:vAlign w:val="center"/>
          </w:tcPr>
          <w:p w14:paraId="16C24FA5">
            <w:pPr>
              <w:snapToGrid w:val="0"/>
              <w:jc w:val="center"/>
              <w:rPr>
                <w:rFonts w:hint="eastAsia" w:ascii="宋体" w:hAnsi="宋体"/>
                <w:color w:val="000000"/>
                <w:szCs w:val="21"/>
              </w:rPr>
            </w:pPr>
            <w:r>
              <w:rPr>
                <w:rFonts w:hint="eastAsia" w:asciiTheme="minorEastAsia" w:hAnsiTheme="minorEastAsia"/>
                <w:szCs w:val="21"/>
              </w:rPr>
              <w:t>温度计编号</w:t>
            </w:r>
          </w:p>
        </w:tc>
        <w:tc>
          <w:tcPr>
            <w:tcW w:w="4145" w:type="dxa"/>
            <w:gridSpan w:val="2"/>
            <w:vAlign w:val="center"/>
          </w:tcPr>
          <w:p w14:paraId="37763613">
            <w:pPr>
              <w:snapToGrid w:val="0"/>
              <w:jc w:val="center"/>
              <w:rPr>
                <w:rFonts w:hint="eastAsia" w:ascii="宋体" w:hAnsi="宋体"/>
                <w:color w:val="000000"/>
                <w:szCs w:val="21"/>
              </w:rPr>
            </w:pPr>
          </w:p>
        </w:tc>
      </w:tr>
      <w:tr w14:paraId="3542F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689" w:type="dxa"/>
            <w:vAlign w:val="center"/>
          </w:tcPr>
          <w:p w14:paraId="5BD58A49">
            <w:pPr>
              <w:snapToGrid w:val="0"/>
              <w:jc w:val="center"/>
            </w:pPr>
            <w:r>
              <w:rPr>
                <w:rFonts w:hint="eastAsia"/>
              </w:rPr>
              <w:t>测量设备状态</w:t>
            </w:r>
          </w:p>
        </w:tc>
        <w:tc>
          <w:tcPr>
            <w:tcW w:w="11914" w:type="dxa"/>
            <w:gridSpan w:val="5"/>
            <w:vAlign w:val="center"/>
          </w:tcPr>
          <w:p w14:paraId="2A27004B">
            <w:pPr>
              <w:snapToGrid w:val="0"/>
              <w:jc w:val="center"/>
              <w:rPr>
                <w:rFonts w:hint="eastAsia" w:ascii="宋体" w:hAnsi="宋体"/>
                <w:color w:val="000000"/>
                <w:szCs w:val="21"/>
              </w:rPr>
            </w:pPr>
          </w:p>
        </w:tc>
      </w:tr>
    </w:tbl>
    <w:p w14:paraId="4F3A0A2E">
      <w:pPr>
        <w:tabs>
          <w:tab w:val="left" w:pos="1560"/>
        </w:tabs>
        <w:spacing w:before="312" w:beforeLines="100" w:line="440" w:lineRule="exact"/>
        <w:jc w:val="center"/>
        <w:rPr>
          <w:rFonts w:hint="eastAsia" w:ascii="黑体" w:hAnsi="黑体" w:eastAsia="黑体"/>
          <w:szCs w:val="21"/>
        </w:rPr>
      </w:pPr>
    </w:p>
    <w:p w14:paraId="66333356">
      <w:pPr>
        <w:tabs>
          <w:tab w:val="left" w:pos="1560"/>
        </w:tabs>
        <w:spacing w:before="312" w:beforeLines="100" w:line="440" w:lineRule="exact"/>
        <w:jc w:val="center"/>
        <w:rPr>
          <w:rFonts w:hint="eastAsia" w:ascii="黑体" w:hAnsi="黑体" w:eastAsia="黑体"/>
          <w:szCs w:val="21"/>
        </w:rPr>
      </w:pPr>
    </w:p>
    <w:p w14:paraId="21027445">
      <w:pPr>
        <w:tabs>
          <w:tab w:val="left" w:pos="1560"/>
        </w:tabs>
        <w:spacing w:before="312" w:beforeLines="100" w:line="440" w:lineRule="exact"/>
        <w:jc w:val="center"/>
        <w:rPr>
          <w:rFonts w:hint="eastAsia" w:ascii="黑体" w:hAnsi="黑体" w:eastAsia="黑体"/>
          <w:szCs w:val="21"/>
        </w:rPr>
      </w:pPr>
    </w:p>
    <w:p w14:paraId="21181AD6">
      <w:pPr>
        <w:tabs>
          <w:tab w:val="left" w:pos="1560"/>
        </w:tabs>
        <w:spacing w:before="312" w:beforeLines="100" w:line="440" w:lineRule="exact"/>
        <w:jc w:val="center"/>
        <w:rPr>
          <w:rFonts w:hint="eastAsia" w:ascii="黑体" w:hAnsi="黑体" w:eastAsia="黑体"/>
          <w:szCs w:val="21"/>
        </w:rPr>
      </w:pPr>
    </w:p>
    <w:p w14:paraId="701E775A">
      <w:pPr>
        <w:tabs>
          <w:tab w:val="left" w:pos="6045"/>
        </w:tabs>
        <w:spacing w:before="156" w:beforeLines="50"/>
        <w:ind w:firstLine="220" w:firstLineChars="105"/>
        <w:rPr>
          <w:rFonts w:hint="eastAsia" w:asciiTheme="minorEastAsia" w:hAnsiTheme="minorEastAsia" w:eastAsiaTheme="minorEastAsia"/>
          <w:szCs w:val="21"/>
        </w:rPr>
      </w:pPr>
    </w:p>
    <w:p w14:paraId="57FDFCCF">
      <w:pPr>
        <w:widowControl/>
        <w:spacing w:before="156" w:beforeLines="50" w:line="360" w:lineRule="exact"/>
        <w:jc w:val="center"/>
        <w:rPr>
          <w:rFonts w:hint="eastAsia" w:ascii="宋体" w:hAnsi="宋体"/>
          <w:sz w:val="28"/>
          <w:szCs w:val="28"/>
        </w:rPr>
        <w:sectPr>
          <w:pgSz w:w="16838" w:h="11906" w:orient="landscape"/>
          <w:pgMar w:top="1800" w:right="1440" w:bottom="1800" w:left="1440" w:header="850" w:footer="471" w:gutter="0"/>
          <w:cols w:space="425" w:num="1"/>
          <w:docGrid w:type="lines" w:linePitch="312" w:charSpace="0"/>
        </w:sectPr>
      </w:pPr>
    </w:p>
    <w:p w14:paraId="45D87D19">
      <w:pPr>
        <w:pStyle w:val="2"/>
        <w:spacing w:before="0" w:after="0" w:line="240" w:lineRule="auto"/>
        <w:ind w:left="2268" w:hanging="2268" w:hangingChars="810"/>
        <w:rPr>
          <w:rFonts w:ascii="Times New Roman" w:hAnsi="Times New Roman" w:eastAsia="黑体"/>
          <w:b w:val="0"/>
          <w:kern w:val="0"/>
          <w:sz w:val="28"/>
          <w:szCs w:val="28"/>
        </w:rPr>
      </w:pPr>
      <w:bookmarkStart w:id="28" w:name="_Toc488765423"/>
      <w:r>
        <w:rPr>
          <w:rFonts w:hint="eastAsia" w:ascii="黑体" w:hAnsi="黑体" w:eastAsia="黑体"/>
          <w:b w:val="0"/>
          <w:kern w:val="0"/>
          <w:sz w:val="28"/>
          <w:szCs w:val="28"/>
        </w:rPr>
        <w:t>附</w:t>
      </w:r>
      <w:r>
        <w:rPr>
          <w:rFonts w:hint="eastAsia" w:ascii="Times New Roman" w:hAnsi="Times New Roman" w:eastAsia="黑体"/>
          <w:b w:val="0"/>
          <w:kern w:val="0"/>
          <w:sz w:val="28"/>
          <w:szCs w:val="28"/>
        </w:rPr>
        <w:t>录C</w:t>
      </w:r>
      <w:r>
        <w:rPr>
          <w:rFonts w:hint="eastAsia" w:ascii="Times New Roman" w:hAnsi="Times New Roman" w:eastAsia="黑体"/>
          <w:b w:val="0"/>
          <w:kern w:val="0"/>
          <w:sz w:val="28"/>
          <w:szCs w:val="28"/>
        </w:rPr>
        <w:br w:type="textWrapping"/>
      </w:r>
      <w:bookmarkStart w:id="29" w:name="_Toc472602391"/>
      <w:r>
        <w:rPr>
          <w:rFonts w:hint="eastAsia" w:ascii="Times New Roman" w:hAnsi="Times New Roman" w:eastAsia="黑体"/>
          <w:b w:val="0"/>
          <w:kern w:val="0"/>
          <w:sz w:val="28"/>
          <w:szCs w:val="28"/>
        </w:rPr>
        <w:t>容量比较法测量</w:t>
      </w:r>
      <w:bookmarkEnd w:id="29"/>
      <w:r>
        <w:rPr>
          <w:rFonts w:hint="eastAsia" w:ascii="Times New Roman" w:hAnsi="Times New Roman" w:eastAsia="黑体"/>
          <w:b w:val="0"/>
          <w:kern w:val="0"/>
          <w:sz w:val="28"/>
          <w:szCs w:val="28"/>
        </w:rPr>
        <w:t>检测罐参考容积</w:t>
      </w:r>
      <w:bookmarkEnd w:id="28"/>
    </w:p>
    <w:p w14:paraId="1D43F124">
      <w:pPr>
        <w:spacing w:line="360" w:lineRule="auto"/>
        <w:ind w:firstLine="480" w:firstLineChars="200"/>
        <w:rPr>
          <w:rFonts w:ascii="Times New Roman" w:hAnsi="Times New Roman"/>
          <w:sz w:val="24"/>
        </w:rPr>
      </w:pPr>
      <w:r>
        <w:rPr>
          <w:rFonts w:hint="eastAsia" w:ascii="Times New Roman" w:hAnsi="Times New Roman"/>
          <w:sz w:val="24"/>
          <w:szCs w:val="24"/>
        </w:rPr>
        <w:t>采用</w:t>
      </w:r>
      <w:r>
        <w:rPr>
          <w:rFonts w:hint="eastAsia" w:ascii="Times New Roman" w:hAnsi="Times New Roman"/>
          <w:sz w:val="24"/>
        </w:rPr>
        <w:t>标准金属量器、液位计、一体化温度传感器等设备，以水为介质，对检测罐进行直接比较，经过温度修正得到其在标准温度20 ℃下容积。</w:t>
      </w:r>
    </w:p>
    <w:p w14:paraId="5286A960">
      <w:pPr>
        <w:spacing w:line="360" w:lineRule="auto"/>
        <w:rPr>
          <w:rFonts w:ascii="Times New Roman" w:hAnsi="Times New Roman"/>
          <w:sz w:val="24"/>
        </w:rPr>
      </w:pPr>
      <w:r>
        <w:rPr>
          <w:rFonts w:hint="eastAsia" w:ascii="Times New Roman" w:hAnsi="Times New Roman"/>
          <w:sz w:val="24"/>
        </w:rPr>
        <w:t>C.1 测量前准备</w:t>
      </w:r>
    </w:p>
    <w:p w14:paraId="131CA3AA">
      <w:pPr>
        <w:spacing w:line="360" w:lineRule="auto"/>
        <w:rPr>
          <w:rFonts w:ascii="Times New Roman" w:hAnsi="Times New Roman"/>
          <w:sz w:val="24"/>
        </w:rPr>
      </w:pPr>
      <w:r>
        <w:rPr>
          <w:rFonts w:hint="eastAsia" w:ascii="Times New Roman" w:hAnsi="Times New Roman"/>
          <w:sz w:val="24"/>
        </w:rPr>
        <w:t>C.1.1按附录B.1准备校准记录</w:t>
      </w:r>
    </w:p>
    <w:p w14:paraId="4CBF77CA">
      <w:pPr>
        <w:spacing w:line="360" w:lineRule="auto"/>
        <w:rPr>
          <w:rFonts w:ascii="Times New Roman" w:hAnsi="Times New Roman"/>
          <w:sz w:val="24"/>
        </w:rPr>
      </w:pPr>
      <w:r>
        <w:rPr>
          <w:rFonts w:hint="eastAsia" w:ascii="Times New Roman" w:hAnsi="Times New Roman"/>
          <w:sz w:val="24"/>
        </w:rPr>
        <w:t>C.1.2 编制测量顺序控制表</w:t>
      </w:r>
    </w:p>
    <w:p w14:paraId="686361B6">
      <w:pPr>
        <w:spacing w:line="360" w:lineRule="auto"/>
        <w:ind w:firstLine="460" w:firstLineChars="192"/>
        <w:rPr>
          <w:rFonts w:ascii="Times New Roman" w:hAnsi="Times New Roman"/>
          <w:sz w:val="24"/>
        </w:rPr>
      </w:pPr>
      <w:r>
        <w:rPr>
          <w:rFonts w:hint="eastAsia" w:ascii="Times New Roman" w:hAnsi="Times New Roman"/>
          <w:sz w:val="24"/>
        </w:rPr>
        <w:t>根据检测罐容积范围，选用标准金属量器规格，确定它们的注水顺序和注水次数，编制成测量顺序控制表。</w:t>
      </w:r>
    </w:p>
    <w:p w14:paraId="47A88172">
      <w:pPr>
        <w:spacing w:line="360" w:lineRule="auto"/>
        <w:rPr>
          <w:rFonts w:ascii="Times New Roman" w:hAnsi="Times New Roman"/>
          <w:sz w:val="24"/>
        </w:rPr>
      </w:pPr>
      <w:r>
        <w:rPr>
          <w:rFonts w:hint="eastAsia" w:ascii="Times New Roman" w:hAnsi="Times New Roman"/>
          <w:sz w:val="24"/>
        </w:rPr>
        <w:t>C.1.3 系统初始化</w:t>
      </w:r>
    </w:p>
    <w:p w14:paraId="267AD5B2">
      <w:pPr>
        <w:snapToGrid w:val="0"/>
        <w:spacing w:line="360" w:lineRule="auto"/>
        <w:ind w:firstLine="480" w:firstLineChars="200"/>
        <w:rPr>
          <w:rFonts w:ascii="Times New Roman" w:hAnsi="Times New Roman"/>
          <w:sz w:val="24"/>
        </w:rPr>
      </w:pPr>
      <w:r>
        <w:rPr>
          <w:rFonts w:hint="eastAsia" w:ascii="Times New Roman" w:hAnsi="Times New Roman"/>
          <w:sz w:val="24"/>
        </w:rPr>
        <w:t>将高位水箱的水注入标准金属量器，充分润湿其内表面；打开放水阀，以最大排放量将标准金属量器内的水排空，充分湿润管道内表面。</w:t>
      </w:r>
    </w:p>
    <w:p w14:paraId="5164DAFD">
      <w:pPr>
        <w:spacing w:line="360" w:lineRule="auto"/>
        <w:rPr>
          <w:rFonts w:ascii="Times New Roman" w:hAnsi="Times New Roman"/>
          <w:sz w:val="24"/>
        </w:rPr>
      </w:pPr>
      <w:r>
        <w:rPr>
          <w:rFonts w:hint="eastAsia" w:ascii="Times New Roman" w:hAnsi="Times New Roman"/>
          <w:sz w:val="24"/>
        </w:rPr>
        <w:t>C.2测量步骤</w:t>
      </w:r>
    </w:p>
    <w:p w14:paraId="25320722">
      <w:pPr>
        <w:spacing w:line="360" w:lineRule="auto"/>
        <w:ind w:firstLine="480" w:firstLineChars="200"/>
        <w:rPr>
          <w:rFonts w:ascii="Times New Roman" w:hAnsi="Times New Roman"/>
          <w:sz w:val="24"/>
        </w:rPr>
      </w:pPr>
      <w:r>
        <w:rPr>
          <w:rFonts w:hint="eastAsia" w:ascii="Times New Roman" w:hAnsi="Times New Roman"/>
          <w:sz w:val="24"/>
        </w:rPr>
        <w:t>通过工控系统控制阀组，采用自流方式将高位水箱的水注入选用的标准金属量器，利用液位开关控制水位到达标准金属量器固定容量刻线位置，测量水温；然后采用自流方式将标准金属量器内的水全部注入检测罐，液面稳定后，测量检测罐内液位、水温，液位重复测量6次，以6次测量的平均值作为检测罐液位测得值。</w:t>
      </w:r>
    </w:p>
    <w:p w14:paraId="0B487A6C">
      <w:pPr>
        <w:spacing w:line="360" w:lineRule="auto"/>
        <w:ind w:firstLine="480" w:firstLineChars="200"/>
        <w:rPr>
          <w:rFonts w:ascii="Times New Roman" w:hAnsi="Times New Roman"/>
          <w:sz w:val="24"/>
        </w:rPr>
      </w:pPr>
      <w:r>
        <w:rPr>
          <w:rFonts w:hint="eastAsia" w:ascii="Times New Roman" w:hAnsi="Times New Roman"/>
          <w:sz w:val="24"/>
        </w:rPr>
        <w:t>工控系统按照测量顺序控制表，自动重复进行以上步骤，完成测量。</w:t>
      </w:r>
    </w:p>
    <w:p w14:paraId="768D3741">
      <w:pPr>
        <w:spacing w:line="360" w:lineRule="auto"/>
        <w:rPr>
          <w:rFonts w:ascii="Times New Roman" w:hAnsi="Times New Roman"/>
          <w:sz w:val="24"/>
        </w:rPr>
      </w:pPr>
      <w:r>
        <w:rPr>
          <w:rFonts w:hint="eastAsia" w:ascii="Times New Roman" w:hAnsi="Times New Roman"/>
          <w:sz w:val="24"/>
        </w:rPr>
        <w:t>C.3 数据处理</w:t>
      </w:r>
    </w:p>
    <w:p w14:paraId="228DB765">
      <w:pPr>
        <w:snapToGrid w:val="0"/>
        <w:spacing w:line="300" w:lineRule="auto"/>
        <w:ind w:firstLine="420"/>
        <w:rPr>
          <w:rFonts w:ascii="Times New Roman" w:hAnsi="Times New Roman"/>
          <w:sz w:val="24"/>
        </w:rPr>
      </w:pPr>
      <w:r>
        <w:rPr>
          <w:rFonts w:hint="eastAsia" w:ascii="Times New Roman" w:hAnsi="Times New Roman"/>
          <w:sz w:val="24"/>
        </w:rPr>
        <w:t>检测罐参考容积按公式（C.1）计算。</w:t>
      </w:r>
    </w:p>
    <w:tbl>
      <w:tblPr>
        <w:tblStyle w:val="15"/>
        <w:tblW w:w="0" w:type="auto"/>
        <w:tblInd w:w="0" w:type="dxa"/>
        <w:tblLayout w:type="autofit"/>
        <w:tblCellMar>
          <w:top w:w="0" w:type="dxa"/>
          <w:left w:w="108" w:type="dxa"/>
          <w:bottom w:w="0" w:type="dxa"/>
          <w:right w:w="108" w:type="dxa"/>
        </w:tblCellMar>
      </w:tblPr>
      <w:tblGrid>
        <w:gridCol w:w="6852"/>
        <w:gridCol w:w="1454"/>
      </w:tblGrid>
      <w:tr w14:paraId="1CEE2BD5">
        <w:tc>
          <w:tcPr>
            <w:tcW w:w="7054" w:type="dxa"/>
          </w:tcPr>
          <w:p w14:paraId="31C15E0E">
            <w:pPr>
              <w:spacing w:line="360" w:lineRule="auto"/>
              <w:ind w:firstLine="861" w:firstLineChars="359"/>
              <w:rPr>
                <w:rFonts w:ascii="Times New Roman" w:hAnsi="Times New Roman"/>
                <w:sz w:val="24"/>
                <w:szCs w:val="24"/>
              </w:rPr>
            </w:pPr>
            <m:oMathPara>
              <m:oMathParaPr>
                <m:jc m:val="right"/>
              </m:oMathParaPr>
              <m:oMath>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w:rPr>
                        <w:rFonts w:ascii="Cambria Math" w:hAnsi="Cambria Math"/>
                        <w:sz w:val="24"/>
                        <w:szCs w:val="24"/>
                      </w:rPr>
                      <m:t>hi</m:t>
                    </m:r>
                    <m:ctrlPr>
                      <w:rPr>
                        <w:rFonts w:ascii="Cambria Math" w:hAnsi="Cambria Math"/>
                        <w:i/>
                        <w:sz w:val="24"/>
                        <w:szCs w:val="24"/>
                      </w:rPr>
                    </m:ctrlPr>
                  </m:sub>
                </m:sSub>
                <m:r>
                  <m:rPr/>
                  <w:rPr>
                    <w:rFonts w:ascii="Cambria Math" w:hAnsi="Cambria Math"/>
                    <w:sz w:val="24"/>
                    <w:szCs w:val="24"/>
                  </w:rPr>
                  <m:t>=</m:t>
                </m:r>
                <m:nary>
                  <m:naryPr>
                    <m:chr m:val="∑"/>
                    <m:limLoc m:val="undOvr"/>
                    <m:ctrlPr>
                      <w:rPr>
                        <w:rFonts w:ascii="Cambria Math" w:hAnsi="Cambria Math"/>
                        <w:i/>
                        <w:sz w:val="24"/>
                        <w:szCs w:val="24"/>
                      </w:rPr>
                    </m:ctrlPr>
                  </m:naryPr>
                  <m:sub>
                    <m:r>
                      <m:rPr/>
                      <w:rPr>
                        <w:rFonts w:ascii="Cambria Math" w:hAnsi="Cambria Math"/>
                        <w:sz w:val="24"/>
                        <w:szCs w:val="24"/>
                      </w:rPr>
                      <m:t>i=1</m:t>
                    </m:r>
                    <m:ctrlPr>
                      <w:rPr>
                        <w:rFonts w:ascii="Cambria Math" w:hAnsi="Cambria Math"/>
                        <w:i/>
                        <w:sz w:val="24"/>
                        <w:szCs w:val="24"/>
                      </w:rPr>
                    </m:ctrlPr>
                  </m:sub>
                  <m:sup>
                    <m:r>
                      <m:rPr/>
                      <w:rPr>
                        <w:rFonts w:ascii="Cambria Math" w:hAnsi="Cambria Math"/>
                        <w:sz w:val="24"/>
                        <w:szCs w:val="24"/>
                      </w:rPr>
                      <m:t>n</m:t>
                    </m:r>
                    <m:ctrlPr>
                      <w:rPr>
                        <w:rFonts w:ascii="Cambria Math" w:hAnsi="Cambria Math"/>
                        <w:i/>
                        <w:sz w:val="24"/>
                        <w:szCs w:val="24"/>
                      </w:rPr>
                    </m:ctrlPr>
                  </m:sup>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nary>
                <m:d>
                  <m:dPr>
                    <m:begChr m:val="["/>
                    <m:endChr m:val="]"/>
                    <m:ctrlPr>
                      <w:rPr>
                        <w:rFonts w:ascii="Cambria Math" w:hAnsi="Cambria Math"/>
                        <w:i/>
                        <w:sz w:val="24"/>
                        <w:szCs w:val="24"/>
                      </w:rPr>
                    </m:ctrlPr>
                  </m:dPr>
                  <m:e>
                    <m:r>
                      <m:rPr/>
                      <w:rPr>
                        <w:rFonts w:ascii="Cambria Math" w:hAnsi="Cambria Math"/>
                        <w:sz w:val="24"/>
                        <w:szCs w:val="24"/>
                      </w:rPr>
                      <m:t>1+</m:t>
                    </m:r>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1i</m:t>
                            </m:r>
                            <m:ctrlPr>
                              <w:rPr>
                                <w:rFonts w:ascii="Cambria Math" w:hAnsi="Cambria Math"/>
                                <w:i/>
                                <w:sz w:val="24"/>
                                <w:szCs w:val="24"/>
                              </w:rPr>
                            </m:ctrlPr>
                          </m:sub>
                        </m:sSub>
                        <m:r>
                          <m:rPr/>
                          <w:rPr>
                            <w:rFonts w:ascii="Cambria Math" w:hAnsi="Cambria Math"/>
                            <w:sz w:val="24"/>
                            <w:szCs w:val="24"/>
                          </w:rPr>
                          <m:t>−20</m:t>
                        </m:r>
                        <m:ctrlPr>
                          <w:rPr>
                            <w:rFonts w:ascii="Cambria Math" w:hAnsi="Cambria Math"/>
                            <w:i/>
                            <w:sz w:val="24"/>
                            <w:szCs w:val="24"/>
                          </w:rPr>
                        </m:ctrlPr>
                      </m:e>
                    </m:d>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20−t</m:t>
                            </m:r>
                            <m:ctrlPr>
                              <w:rPr>
                                <w:rFonts w:ascii="Cambria Math" w:hAnsi="Cambria Math"/>
                                <w:i/>
                                <w:sz w:val="24"/>
                                <w:szCs w:val="24"/>
                              </w:rPr>
                            </m:ctrlPr>
                          </m:e>
                          <m:sub>
                            <m:r>
                              <m:rPr/>
                              <w:rPr>
                                <w:rFonts w:ascii="Cambria Math" w:hAnsi="Cambria Math"/>
                                <w:sz w:val="24"/>
                                <w:szCs w:val="24"/>
                              </w:rPr>
                              <m:t>2i</m:t>
                            </m:r>
                            <m:ctrlPr>
                              <w:rPr>
                                <w:rFonts w:ascii="Cambria Math" w:hAnsi="Cambria Math"/>
                                <w:i/>
                                <w:sz w:val="24"/>
                                <w:szCs w:val="24"/>
                              </w:rPr>
                            </m:ctrlPr>
                          </m:sub>
                        </m:sSub>
                        <m:ctrlPr>
                          <w:rPr>
                            <w:rFonts w:ascii="Cambria Math" w:hAnsi="Cambria Math"/>
                            <w:i/>
                            <w:sz w:val="24"/>
                            <w:szCs w:val="24"/>
                          </w:rPr>
                        </m:ctrlPr>
                      </m:e>
                    </m:d>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β</m:t>
                        </m:r>
                        <m:ctrlPr>
                          <w:rPr>
                            <w:rFonts w:ascii="Cambria Math" w:hAnsi="Cambria Math"/>
                            <w:sz w:val="24"/>
                            <w:szCs w:val="24"/>
                          </w:rPr>
                        </m:ctrlPr>
                      </m:e>
                      <m:sub>
                        <m:r>
                          <m:rPr>
                            <m:sty m:val="p"/>
                          </m:rPr>
                          <w:rPr>
                            <w:rFonts w:ascii="Cambria Math" w:hAnsi="Cambria Math"/>
                            <w:sz w:val="24"/>
                            <w:szCs w:val="24"/>
                          </w:rPr>
                          <m:t>w</m:t>
                        </m:r>
                        <m:r>
                          <m:rPr/>
                          <w:rPr>
                            <w:rFonts w:ascii="Cambria Math" w:hAnsi="Cambria Math"/>
                            <w:sz w:val="24"/>
                            <w:szCs w:val="24"/>
                          </w:rPr>
                          <m:t>i</m:t>
                        </m:r>
                        <m:ctrlPr>
                          <w:rPr>
                            <w:rFonts w:ascii="Cambria Math" w:hAnsi="Cambria Math"/>
                            <w:sz w:val="24"/>
                            <w:szCs w:val="24"/>
                          </w:rPr>
                        </m:ctrlPr>
                      </m:sub>
                    </m:sSub>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2i</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1i</m:t>
                            </m:r>
                            <m:ctrlPr>
                              <w:rPr>
                                <w:rFonts w:ascii="Cambria Math" w:hAnsi="Cambria Math"/>
                                <w:i/>
                                <w:sz w:val="24"/>
                                <w:szCs w:val="24"/>
                              </w:rPr>
                            </m:ctrlPr>
                          </m:sub>
                        </m:sSub>
                        <m:ctrlPr>
                          <w:rPr>
                            <w:rFonts w:ascii="Cambria Math" w:hAnsi="Cambria Math"/>
                            <w:i/>
                            <w:sz w:val="24"/>
                            <w:szCs w:val="24"/>
                          </w:rPr>
                        </m:ctrlPr>
                      </m:e>
                    </m:d>
                    <m:ctrlPr>
                      <w:rPr>
                        <w:rFonts w:ascii="Cambria Math" w:hAnsi="Cambria Math"/>
                        <w:i/>
                        <w:sz w:val="24"/>
                        <w:szCs w:val="24"/>
                      </w:rPr>
                    </m:ctrlPr>
                  </m:e>
                </m:d>
              </m:oMath>
            </m:oMathPara>
          </w:p>
        </w:tc>
        <w:tc>
          <w:tcPr>
            <w:tcW w:w="1468" w:type="dxa"/>
            <w:vAlign w:val="center"/>
          </w:tcPr>
          <w:p w14:paraId="62421A0C">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C.1</w:t>
            </w:r>
            <w:r>
              <w:rPr>
                <w:rFonts w:hint="eastAsia" w:ascii="Times New Roman" w:hAnsi="Times New Roman"/>
                <w:sz w:val="24"/>
                <w:szCs w:val="24"/>
              </w:rPr>
              <w:t>）</w:t>
            </w:r>
          </w:p>
        </w:tc>
      </w:tr>
    </w:tbl>
    <w:p w14:paraId="78144C50">
      <w:pPr>
        <w:pStyle w:val="8"/>
        <w:spacing w:line="360" w:lineRule="auto"/>
        <w:ind w:firstLine="424" w:firstLineChars="177"/>
        <w:textAlignment w:val="bottom"/>
        <w:rPr>
          <w:sz w:val="24"/>
        </w:rPr>
      </w:pPr>
      <w:r>
        <w:rPr>
          <w:rFonts w:hint="eastAsia"/>
          <w:sz w:val="24"/>
        </w:rPr>
        <w:t>式中：</w:t>
      </w:r>
      <w:r>
        <w:rPr>
          <w:rFonts w:hint="eastAsia"/>
          <w:sz w:val="24"/>
        </w:rPr>
        <w:tab/>
      </w:r>
    </w:p>
    <w:p w14:paraId="3DC09345">
      <w:pPr>
        <w:pStyle w:val="8"/>
        <w:spacing w:line="360" w:lineRule="auto"/>
        <w:ind w:firstLine="0" w:firstLineChars="0"/>
        <w:textAlignment w:val="bottom"/>
        <w:rPr>
          <w:sz w:val="24"/>
        </w:rPr>
      </w:pPr>
      <w:r>
        <w:rPr>
          <w:rFonts w:hint="eastAsia"/>
          <w:sz w:val="24"/>
        </w:rPr>
        <w:tab/>
      </w:r>
      <m:oMath>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hi</m:t>
            </m:r>
            <m:ctrlPr>
              <w:rPr>
                <w:rFonts w:ascii="Cambria Math" w:hAnsi="Cambria Math"/>
                <w:i/>
                <w:sz w:val="24"/>
              </w:rPr>
            </m:ctrlPr>
          </m:sub>
        </m:sSub>
      </m:oMath>
      <w:r>
        <w:rPr>
          <w:rFonts w:hint="eastAsia"/>
          <w:sz w:val="24"/>
        </w:rPr>
        <w:t>——第</w:t>
      </w:r>
      <w:r>
        <w:rPr>
          <w:i/>
          <w:sz w:val="24"/>
        </w:rPr>
        <w:t>i</w:t>
      </w:r>
      <w:r>
        <w:rPr>
          <w:rFonts w:hint="eastAsia"/>
          <w:sz w:val="24"/>
        </w:rPr>
        <w:t>次注水，检测罐中水温为20 ℃、液位为</w:t>
      </w:r>
      <m:oMath>
        <m:sSub>
          <m:sSubPr>
            <m:ctrlPr>
              <w:rPr>
                <w:rFonts w:ascii="Cambria Math" w:hAnsi="Cambria Math"/>
                <w:i/>
                <w:sz w:val="24"/>
              </w:rPr>
            </m:ctrlPr>
          </m:sSubPr>
          <m:e>
            <m:r>
              <m:rPr/>
              <w:rPr>
                <w:rFonts w:ascii="Cambria Math" w:hAnsi="Cambria Math"/>
                <w:sz w:val="24"/>
              </w:rPr>
              <m:t>h</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时的容积，L；</w:t>
      </w:r>
    </w:p>
    <w:p w14:paraId="1FDEA1CC">
      <w:pPr>
        <w:pStyle w:val="8"/>
        <w:spacing w:line="360" w:lineRule="auto"/>
        <w:ind w:firstLine="0" w:firstLineChars="0"/>
        <w:textAlignment w:val="bottom"/>
        <w:rPr>
          <w:sz w:val="24"/>
        </w:rPr>
      </w:pPr>
      <w:r>
        <w:rPr>
          <w:rFonts w:hint="eastAsia"/>
          <w:sz w:val="24"/>
        </w:rPr>
        <w:tab/>
      </w:r>
      <m:oMath>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m:sty m:val="p"/>
              </m:rPr>
              <w:rPr>
                <w:rFonts w:ascii="Cambria Math" w:hAnsi="Cambria Math"/>
                <w:sz w:val="24"/>
              </w:rPr>
              <m:t>B</m:t>
            </m:r>
            <m:r>
              <m:rPr/>
              <w:rPr>
                <w:rFonts w:ascii="Cambria Math" w:hAnsi="Cambria Math"/>
                <w:sz w:val="24"/>
              </w:rPr>
              <m:t>i</m:t>
            </m:r>
            <m:ctrlPr>
              <w:rPr>
                <w:rFonts w:ascii="Cambria Math" w:hAnsi="Cambria Math"/>
                <w:i/>
                <w:sz w:val="24"/>
              </w:rPr>
            </m:ctrlPr>
          </m:sub>
        </m:sSub>
      </m:oMath>
      <w:r>
        <w:rPr>
          <w:rFonts w:hint="eastAsia"/>
          <w:sz w:val="24"/>
        </w:rPr>
        <w:t>——第</w:t>
      </w:r>
      <w:r>
        <w:rPr>
          <w:i/>
          <w:sz w:val="24"/>
        </w:rPr>
        <w:t>i</w:t>
      </w:r>
      <w:r>
        <w:rPr>
          <w:rFonts w:hint="eastAsia"/>
          <w:sz w:val="24"/>
        </w:rPr>
        <w:t>次注水，所用标准金属量器20 ℃时的实际容积，L；</w:t>
      </w:r>
    </w:p>
    <w:p w14:paraId="3AF1DFE2">
      <w:pPr>
        <w:pStyle w:val="8"/>
        <w:spacing w:line="360" w:lineRule="auto"/>
        <w:ind w:firstLine="0" w:firstLineChars="0"/>
        <w:textAlignment w:val="bottom"/>
        <w:rPr>
          <w:sz w:val="24"/>
        </w:rPr>
      </w:pPr>
      <w:r>
        <w:rPr>
          <w:sz w:val="24"/>
        </w:rPr>
        <w:tab/>
      </w:r>
      <m:oMath>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1</m:t>
            </m:r>
            <m:r>
              <m:rPr/>
              <w:rPr>
                <w:rFonts w:ascii="Cambria Math" w:hAnsi="Cambria Math"/>
                <w:sz w:val="24"/>
              </w:rPr>
              <m:t>i</m:t>
            </m:r>
            <m:ctrlPr>
              <w:rPr>
                <w:rFonts w:ascii="Cambria Math" w:hAnsi="Cambria Math"/>
                <w:sz w:val="24"/>
              </w:rPr>
            </m:ctrlPr>
          </m:sub>
        </m:sSub>
      </m:oMath>
      <w:r>
        <w:rPr>
          <w:rFonts w:hint="eastAsia"/>
          <w:sz w:val="24"/>
        </w:rPr>
        <w:t>——第</w:t>
      </w:r>
      <w:r>
        <w:rPr>
          <w:i/>
          <w:sz w:val="24"/>
        </w:rPr>
        <w:t>i</w:t>
      </w:r>
      <w:r>
        <w:rPr>
          <w:rFonts w:hint="eastAsia"/>
          <w:sz w:val="24"/>
        </w:rPr>
        <w:t>次注水，所用标准金属量器中水温，℃；</w:t>
      </w:r>
    </w:p>
    <w:p w14:paraId="6C26B398">
      <w:pPr>
        <w:pStyle w:val="8"/>
        <w:spacing w:line="360" w:lineRule="auto"/>
        <w:ind w:firstLine="0" w:firstLineChars="0"/>
        <w:textAlignment w:val="bottom"/>
        <w:rPr>
          <w:sz w:val="24"/>
        </w:rPr>
      </w:pPr>
      <w:r>
        <w:rPr>
          <w:sz w:val="24"/>
        </w:rPr>
        <w:tab/>
      </w:r>
      <m:oMath>
        <m:sSub>
          <m:sSubPr>
            <m:ctrlPr>
              <w:rPr>
                <w:rFonts w:ascii="Cambria Math" w:hAnsi="Cambria Math"/>
                <w:sz w:val="24"/>
              </w:rPr>
            </m:ctrlPr>
          </m:sSubPr>
          <m:e>
            <m:r>
              <m:rPr/>
              <w:rPr>
                <w:rFonts w:ascii="Cambria Math" w:hAnsi="Cambria Math"/>
                <w:sz w:val="24"/>
              </w:rPr>
              <m:t>t</m:t>
            </m:r>
            <m:ctrlPr>
              <w:rPr>
                <w:rFonts w:ascii="Cambria Math" w:hAnsi="Cambria Math"/>
                <w:sz w:val="24"/>
              </w:rPr>
            </m:ctrlPr>
          </m:e>
          <m:sub>
            <m:r>
              <m:rPr>
                <m:sty m:val="p"/>
              </m:rPr>
              <w:rPr>
                <w:rFonts w:ascii="Cambria Math" w:hAnsi="Cambria Math"/>
                <w:sz w:val="24"/>
              </w:rPr>
              <m:t>2</m:t>
            </m:r>
            <m:r>
              <m:rPr/>
              <w:rPr>
                <w:rFonts w:ascii="Cambria Math" w:hAnsi="Cambria Math"/>
                <w:sz w:val="24"/>
              </w:rPr>
              <m:t>i</m:t>
            </m:r>
            <m:ctrlPr>
              <w:rPr>
                <w:rFonts w:ascii="Cambria Math" w:hAnsi="Cambria Math"/>
                <w:sz w:val="24"/>
              </w:rPr>
            </m:ctrlPr>
          </m:sub>
        </m:sSub>
      </m:oMath>
      <w:r>
        <w:rPr>
          <w:rFonts w:hint="eastAsia"/>
          <w:sz w:val="24"/>
        </w:rPr>
        <w:t>——第</w:t>
      </w:r>
      <w:r>
        <w:rPr>
          <w:i/>
          <w:sz w:val="24"/>
        </w:rPr>
        <w:t>i</w:t>
      </w:r>
      <w:r>
        <w:rPr>
          <w:rFonts w:hint="eastAsia"/>
          <w:sz w:val="24"/>
        </w:rPr>
        <w:t>次注水，检测罐中水温，℃；</w:t>
      </w:r>
    </w:p>
    <w:p w14:paraId="23C4CDE6">
      <w:pPr>
        <w:pStyle w:val="8"/>
        <w:spacing w:line="360" w:lineRule="auto"/>
        <w:ind w:firstLine="0" w:firstLineChars="0"/>
        <w:textAlignment w:val="bottom"/>
        <w:rPr>
          <w:sz w:val="24"/>
        </w:rPr>
      </w:pPr>
      <w:r>
        <w:rPr>
          <w:sz w:val="24"/>
        </w:rPr>
        <w:tab/>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oMath>
      <w:r>
        <w:rPr>
          <w:rFonts w:hint="eastAsia"/>
          <w:sz w:val="24"/>
        </w:rPr>
        <w:t>——标准金属量器体膨胀系数，℃</w:t>
      </w:r>
      <w:r>
        <w:rPr>
          <w:sz w:val="24"/>
          <w:vertAlign w:val="superscript"/>
        </w:rPr>
        <w:t>-1</w:t>
      </w:r>
      <w:r>
        <w:rPr>
          <w:rFonts w:hint="eastAsia"/>
          <w:sz w:val="24"/>
        </w:rPr>
        <w:t>；</w:t>
      </w:r>
    </w:p>
    <w:p w14:paraId="501BB7D0">
      <w:pPr>
        <w:pStyle w:val="8"/>
        <w:spacing w:line="360" w:lineRule="auto"/>
        <w:ind w:firstLine="0" w:firstLineChars="0"/>
        <w:textAlignment w:val="bottom"/>
        <w:rPr>
          <w:sz w:val="24"/>
        </w:rPr>
      </w:pPr>
      <w:r>
        <w:rPr>
          <w:sz w:val="24"/>
        </w:rPr>
        <w:tab/>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oMath>
      <w:r>
        <w:rPr>
          <w:rFonts w:hint="eastAsia"/>
          <w:sz w:val="24"/>
        </w:rPr>
        <w:t>——检测罐的罐体体膨胀系数，℃</w:t>
      </w:r>
      <w:r>
        <w:rPr>
          <w:sz w:val="24"/>
          <w:vertAlign w:val="superscript"/>
        </w:rPr>
        <w:t>-1</w:t>
      </w:r>
      <w:r>
        <w:rPr>
          <w:rFonts w:hint="eastAsia"/>
          <w:sz w:val="24"/>
        </w:rPr>
        <w:t>；</w:t>
      </w:r>
    </w:p>
    <w:p w14:paraId="5267766F">
      <w:pPr>
        <w:pStyle w:val="8"/>
        <w:spacing w:line="360" w:lineRule="auto"/>
        <w:ind w:firstLine="0" w:firstLineChars="0"/>
        <w:textAlignment w:val="bottom"/>
        <w:rPr>
          <w:sz w:val="24"/>
        </w:rPr>
      </w:pPr>
      <w:r>
        <w:rPr>
          <w:sz w:val="24"/>
        </w:rPr>
        <w:tab/>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w</m:t>
            </m:r>
            <m:r>
              <m:rPr/>
              <w:rPr>
                <w:rFonts w:ascii="Cambria Math" w:hAnsi="Cambria Math"/>
                <w:sz w:val="24"/>
              </w:rPr>
              <m:t>i</m:t>
            </m:r>
            <m:ctrlPr>
              <w:rPr>
                <w:rFonts w:ascii="Cambria Math" w:hAnsi="Cambria Math"/>
                <w:sz w:val="24"/>
              </w:rPr>
            </m:ctrlPr>
          </m:sub>
        </m:sSub>
      </m:oMath>
      <w:r>
        <w:rPr>
          <w:rFonts w:hint="eastAsia"/>
          <w:sz w:val="24"/>
        </w:rPr>
        <w:t>——水在</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1i</m:t>
            </m:r>
            <m:ctrlPr>
              <w:rPr>
                <w:rFonts w:ascii="Cambria Math" w:hAnsi="Cambria Math"/>
                <w:i/>
                <w:sz w:val="24"/>
              </w:rPr>
            </m:ctrlPr>
          </m:sub>
        </m:sSub>
      </m:oMath>
      <w:r>
        <w:rPr>
          <w:rFonts w:hint="eastAsia"/>
          <w:sz w:val="24"/>
        </w:rPr>
        <w:t>～</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2i</m:t>
            </m:r>
            <m:ctrlPr>
              <w:rPr>
                <w:rFonts w:ascii="Cambria Math" w:hAnsi="Cambria Math"/>
                <w:i/>
                <w:sz w:val="24"/>
              </w:rPr>
            </m:ctrlPr>
          </m:sub>
        </m:sSub>
      </m:oMath>
      <w:r>
        <w:rPr>
          <w:rFonts w:hint="eastAsia"/>
          <w:sz w:val="24"/>
        </w:rPr>
        <w:t>范围内的平均体膨胀系数，℃</w:t>
      </w:r>
      <w:r>
        <w:rPr>
          <w:sz w:val="24"/>
          <w:vertAlign w:val="superscript"/>
        </w:rPr>
        <w:t>-1</w:t>
      </w:r>
      <w:r>
        <w:rPr>
          <w:rFonts w:hint="eastAsia"/>
          <w:sz w:val="24"/>
        </w:rPr>
        <w:t>。</w:t>
      </w:r>
    </w:p>
    <w:p w14:paraId="1F7D4E89">
      <w:pPr>
        <w:spacing w:line="360" w:lineRule="auto"/>
        <w:rPr>
          <w:rFonts w:ascii="Times New Roman" w:hAnsi="Times New Roman"/>
          <w:sz w:val="24"/>
        </w:rPr>
      </w:pPr>
      <w:r>
        <w:rPr>
          <w:rFonts w:ascii="Times New Roman" w:hAnsi="Times New Roman"/>
          <w:sz w:val="24"/>
        </w:rPr>
        <w:t xml:space="preserve">C.4 </w:t>
      </w:r>
      <w:r>
        <w:rPr>
          <w:rFonts w:hint="eastAsia" w:ascii="Times New Roman" w:hAnsi="Times New Roman"/>
          <w:sz w:val="24"/>
        </w:rPr>
        <w:t>容积参考值结果输出</w:t>
      </w:r>
    </w:p>
    <w:p w14:paraId="05677338">
      <w:pPr>
        <w:spacing w:line="360" w:lineRule="auto"/>
        <w:ind w:firstLine="480" w:firstLineChars="200"/>
        <w:rPr>
          <w:rFonts w:ascii="Times New Roman" w:hAnsi="Times New Roman"/>
          <w:sz w:val="24"/>
        </w:rPr>
      </w:pPr>
      <w:r>
        <w:rPr>
          <w:rFonts w:hint="eastAsia" w:ascii="Times New Roman" w:hAnsi="Times New Roman"/>
          <w:sz w:val="24"/>
        </w:rPr>
        <w:t>取标记容积较小检测罐标记容积</w:t>
      </w:r>
      <w:r>
        <w:rPr>
          <w:rFonts w:ascii="Times New Roman" w:hAnsi="Times New Roman"/>
          <w:sz w:val="24"/>
        </w:rPr>
        <w:t xml:space="preserve"> 83%</w:t>
      </w:r>
      <w:r>
        <w:rPr>
          <w:rFonts w:hint="eastAsia" w:ascii="Times New Roman" w:hAnsi="Times New Roman"/>
          <w:sz w:val="24"/>
        </w:rPr>
        <w:t>～</w:t>
      </w:r>
      <w:r>
        <w:rPr>
          <w:rFonts w:ascii="Times New Roman" w:hAnsi="Times New Roman"/>
          <w:sz w:val="24"/>
        </w:rPr>
        <w:t xml:space="preserve">95% </w:t>
      </w:r>
      <w:r>
        <w:rPr>
          <w:rFonts w:hint="eastAsia" w:ascii="Times New Roman" w:hAnsi="Times New Roman"/>
          <w:sz w:val="24"/>
        </w:rPr>
        <w:t>范围内某一容积值</w:t>
      </w:r>
      <m:oMath>
        <m:r>
          <m:rPr/>
          <w:rPr>
            <w:rFonts w:ascii="Cambria Math" w:hAnsi="Cambria Math"/>
            <w:sz w:val="24"/>
          </w:rPr>
          <m:t>Vrr</m:t>
        </m:r>
      </m:oMath>
      <w:r>
        <w:rPr>
          <w:rFonts w:hint="eastAsia" w:ascii="Times New Roman" w:hAnsi="Times New Roman"/>
          <w:sz w:val="24"/>
        </w:rPr>
        <w:t>及其液位高度</w:t>
      </w:r>
      <w:r>
        <w:rPr>
          <w:rFonts w:ascii="Times New Roman" w:hAnsi="Times New Roman"/>
          <w:sz w:val="24"/>
        </w:rPr>
        <w:t xml:space="preserve"> </w:t>
      </w:r>
      <m:oMath>
        <m:r>
          <m:rPr/>
          <w:rPr>
            <w:rFonts w:ascii="Cambria Math" w:hAnsi="Cambria Math"/>
            <w:sz w:val="24"/>
          </w:rPr>
          <m:t>Hrr</m:t>
        </m:r>
      </m:oMath>
      <w:r>
        <w:rPr>
          <w:rFonts w:hint="eastAsia" w:ascii="Times New Roman" w:hAnsi="Times New Roman"/>
          <w:sz w:val="24"/>
        </w:rPr>
        <w:t>作为重复性测量参考值。取不同型号检测罐、每台标记容积</w:t>
      </w:r>
      <w:r>
        <w:rPr>
          <w:rFonts w:ascii="Times New Roman" w:hAnsi="Times New Roman"/>
          <w:sz w:val="24"/>
        </w:rPr>
        <w:t xml:space="preserve"> 83%</w:t>
      </w:r>
      <w:r>
        <w:rPr>
          <w:rFonts w:hint="eastAsia" w:ascii="Times New Roman" w:hAnsi="Times New Roman"/>
          <w:sz w:val="24"/>
        </w:rPr>
        <w:t>～</w:t>
      </w:r>
      <w:r>
        <w:rPr>
          <w:rFonts w:ascii="Times New Roman" w:hAnsi="Times New Roman"/>
          <w:sz w:val="24"/>
        </w:rPr>
        <w:t>95%</w:t>
      </w:r>
      <w:r>
        <w:rPr>
          <w:rFonts w:hint="eastAsia" w:ascii="Times New Roman" w:hAnsi="Times New Roman"/>
          <w:sz w:val="24"/>
        </w:rPr>
        <w:t>范围内任意三点容积值</w:t>
      </w: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及其液位高度</w:t>
      </w:r>
      <m:oMath>
        <m:sSub>
          <m:sSubPr>
            <m:ctrlPr>
              <w:rPr>
                <w:rFonts w:ascii="Cambria Math" w:hAnsi="Cambria Math"/>
                <w:i/>
                <w:sz w:val="24"/>
              </w:rPr>
            </m:ctrlPr>
          </m:sSubPr>
          <m:e>
            <m:r>
              <m:rPr/>
              <w:rPr>
                <w:rFonts w:ascii="Cambria Math" w:hAnsi="Cambria Math"/>
                <w:sz w:val="24"/>
              </w:rPr>
              <m:t>Hre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rPr>
        <w:t>作为示值误差测量参考值。其中，</w:t>
      </w:r>
      <m:oMath>
        <m:r>
          <m:rPr/>
          <w:rPr>
            <w:rFonts w:ascii="Cambria Math" w:hAnsi="Cambria Math"/>
            <w:sz w:val="24"/>
          </w:rPr>
          <m:t>i</m:t>
        </m:r>
      </m:oMath>
      <w:r>
        <w:rPr>
          <w:rFonts w:hint="eastAsia" w:ascii="Times New Roman" w:hAnsi="Times New Roman"/>
          <w:sz w:val="24"/>
        </w:rPr>
        <w:t>为检测罐编号，</w:t>
      </w:r>
      <m:oMath>
        <m:r>
          <m:rPr/>
          <w:rPr>
            <w:rFonts w:ascii="Cambria Math" w:hAnsi="Cambria Math"/>
            <w:sz w:val="24"/>
          </w:rPr>
          <m:t>j</m:t>
        </m:r>
      </m:oMath>
      <w:r>
        <w:rPr>
          <w:rFonts w:hint="eastAsia" w:ascii="Times New Roman" w:hAnsi="Times New Roman"/>
          <w:sz w:val="24"/>
        </w:rPr>
        <w:t>为某类型检测罐内校准点编号。</w:t>
      </w:r>
    </w:p>
    <w:p w14:paraId="6637724A">
      <w:pPr>
        <w:pStyle w:val="2"/>
        <w:spacing w:before="0" w:after="0" w:line="240" w:lineRule="auto"/>
        <w:ind w:left="3258" w:leftChars="1" w:hanging="3256" w:hangingChars="1163"/>
        <w:rPr>
          <w:rFonts w:ascii="Times New Roman" w:hAnsi="Times New Roman" w:eastAsia="黑体"/>
          <w:kern w:val="0"/>
          <w:sz w:val="28"/>
          <w:szCs w:val="28"/>
        </w:rPr>
      </w:pPr>
      <w:r>
        <w:rPr>
          <w:rFonts w:ascii="黑体" w:hAnsi="黑体" w:eastAsia="黑体"/>
          <w:b w:val="0"/>
          <w:kern w:val="0"/>
          <w:sz w:val="28"/>
          <w:szCs w:val="28"/>
        </w:rPr>
        <w:br w:type="page"/>
      </w:r>
      <w:bookmarkStart w:id="30" w:name="_Toc488765424"/>
      <w:r>
        <w:rPr>
          <w:rFonts w:hint="eastAsia" w:ascii="黑体" w:hAnsi="黑体" w:eastAsia="黑体"/>
          <w:b w:val="0"/>
          <w:kern w:val="0"/>
          <w:sz w:val="28"/>
          <w:szCs w:val="28"/>
        </w:rPr>
        <w:t>附录</w:t>
      </w:r>
      <w:r>
        <w:rPr>
          <w:rFonts w:hint="eastAsia" w:ascii="Times New Roman" w:hAnsi="Times New Roman" w:eastAsia="黑体"/>
          <w:b w:val="0"/>
          <w:kern w:val="0"/>
          <w:sz w:val="28"/>
          <w:szCs w:val="28"/>
        </w:rPr>
        <w:t>D</w:t>
      </w:r>
      <w:bookmarkStart w:id="31" w:name="_Toc472602389"/>
      <w:r>
        <w:rPr>
          <w:rFonts w:hint="eastAsia" w:ascii="Times New Roman" w:hAnsi="Times New Roman" w:eastAsia="黑体"/>
          <w:b w:val="0"/>
          <w:kern w:val="0"/>
          <w:sz w:val="28"/>
          <w:szCs w:val="28"/>
        </w:rPr>
        <w:br w:type="textWrapping"/>
      </w:r>
      <w:r>
        <w:rPr>
          <w:rFonts w:hint="eastAsia" w:ascii="Times New Roman" w:hAnsi="Times New Roman" w:eastAsia="黑体"/>
          <w:b w:val="0"/>
          <w:kern w:val="0"/>
          <w:sz w:val="28"/>
          <w:szCs w:val="28"/>
        </w:rPr>
        <w:t>容积温度修正公式</w:t>
      </w:r>
      <w:bookmarkEnd w:id="30"/>
      <w:bookmarkEnd w:id="31"/>
    </w:p>
    <w:p w14:paraId="78286549">
      <w:pPr>
        <w:spacing w:line="300" w:lineRule="auto"/>
        <w:ind w:firstLine="420"/>
        <w:rPr>
          <w:rFonts w:ascii="Times New Roman" w:hAnsi="Times New Roman"/>
          <w:sz w:val="24"/>
        </w:rPr>
      </w:pPr>
      <w:r>
        <w:rPr>
          <w:rFonts w:hint="eastAsia" w:ascii="Times New Roman" w:hAnsi="Times New Roman"/>
          <w:sz w:val="24"/>
        </w:rPr>
        <w:t>在非标准温度下得出的容积，按下列公式进行温度修正：</w:t>
      </w:r>
    </w:p>
    <w:tbl>
      <w:tblPr>
        <w:tblStyle w:val="15"/>
        <w:tblW w:w="0" w:type="auto"/>
        <w:tblInd w:w="0" w:type="dxa"/>
        <w:tblLayout w:type="autofit"/>
        <w:tblCellMar>
          <w:top w:w="0" w:type="dxa"/>
          <w:left w:w="108" w:type="dxa"/>
          <w:bottom w:w="0" w:type="dxa"/>
          <w:right w:w="108" w:type="dxa"/>
        </w:tblCellMar>
      </w:tblPr>
      <w:tblGrid>
        <w:gridCol w:w="7230"/>
        <w:gridCol w:w="1076"/>
      </w:tblGrid>
      <w:tr w14:paraId="795D95AC">
        <w:tblPrEx>
          <w:tblCellMar>
            <w:top w:w="0" w:type="dxa"/>
            <w:left w:w="108" w:type="dxa"/>
            <w:bottom w:w="0" w:type="dxa"/>
            <w:right w:w="108" w:type="dxa"/>
          </w:tblCellMar>
        </w:tblPrEx>
        <w:tc>
          <w:tcPr>
            <w:tcW w:w="7230" w:type="dxa"/>
          </w:tcPr>
          <w:p w14:paraId="40C28AA5">
            <w:pPr>
              <w:spacing w:line="360" w:lineRule="auto"/>
              <w:rPr>
                <w:rFonts w:ascii="Times New Roman" w:hAnsi="Times New Roman"/>
                <w:sz w:val="24"/>
                <w:szCs w:val="24"/>
              </w:rPr>
            </w:pPr>
            <m:oMathPara>
              <m:oMathParaPr>
                <m:jc m:val="center"/>
              </m:oMathParaPr>
              <m:oMath>
                <m:sSub>
                  <m:sSubPr>
                    <m:ctrlPr>
                      <w:rPr>
                        <w:rFonts w:ascii="Cambria Math" w:hAnsi="Cambria Math"/>
                        <w:i/>
                        <w:sz w:val="24"/>
                      </w:rPr>
                    </m:ctrlPr>
                  </m:sSubPr>
                  <m:e>
                    <m:r>
                      <m:rPr/>
                      <w:rPr>
                        <w:rFonts w:ascii="Cambria Math" w:hAnsi="Cambria Math"/>
                        <w:sz w:val="24"/>
                      </w:rPr>
                      <m:t xml:space="preserve">                V</m:t>
                    </m:r>
                    <m:ctrlPr>
                      <w:rPr>
                        <w:rFonts w:ascii="Cambria Math" w:hAnsi="Cambria Math"/>
                        <w:i/>
                        <w:sz w:val="24"/>
                      </w:rPr>
                    </m:ctrlPr>
                  </m:e>
                  <m:sub>
                    <m:r>
                      <m:rPr/>
                      <w:rPr>
                        <w:rFonts w:ascii="Cambria Math" w:hAnsi="Cambria Math"/>
                        <w:sz w:val="24"/>
                      </w:rPr>
                      <m:t>20</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r>
                  <m:rPr/>
                  <w:rPr>
                    <w:rFonts w:ascii="Cambria Math" w:hAnsi="Cambria Math"/>
                    <w:sz w:val="24"/>
                  </w:rPr>
                  <m:t>×</m:t>
                </m:r>
                <m:r>
                  <m:rPr>
                    <m:sty m:val="p"/>
                  </m:rPr>
                  <w:rPr>
                    <w:rFonts w:ascii="Cambria Math" w:hAnsi="Cambria Math"/>
                    <w:sz w:val="24"/>
                  </w:rPr>
                  <m:t>CTS</m:t>
                </m:r>
                <m:r>
                  <m:rPr>
                    <m:sty m:val="p"/>
                  </m:rPr>
                  <w:rPr>
                    <w:rFonts w:ascii="Cambria Math" w:hAnsi="Cambria Math" w:cs="Cambria Math"/>
                    <w:sz w:val="24"/>
                  </w:rPr>
                  <m:t>h</m:t>
                </m:r>
              </m:oMath>
            </m:oMathPara>
          </w:p>
        </w:tc>
        <w:tc>
          <w:tcPr>
            <w:tcW w:w="1076" w:type="dxa"/>
            <w:vAlign w:val="center"/>
          </w:tcPr>
          <w:p w14:paraId="024DAFCA">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D.1</w:t>
            </w:r>
            <w:r>
              <w:rPr>
                <w:rFonts w:hint="eastAsia" w:ascii="Times New Roman" w:hAnsi="Times New Roman"/>
                <w:sz w:val="24"/>
                <w:szCs w:val="24"/>
              </w:rPr>
              <w:t>）</w:t>
            </w:r>
          </w:p>
        </w:tc>
      </w:tr>
    </w:tbl>
    <w:p w14:paraId="1643D7A8">
      <w:pPr>
        <w:spacing w:line="300" w:lineRule="auto"/>
        <w:ind w:firstLine="420"/>
        <w:rPr>
          <w:rFonts w:ascii="Times New Roman" w:hAnsi="Times New Roman"/>
          <w:sz w:val="24"/>
        </w:rPr>
      </w:pPr>
      <w:r>
        <w:rPr>
          <w:rFonts w:hint="eastAsia" w:ascii="Times New Roman" w:hAnsi="Times New Roman"/>
          <w:sz w:val="24"/>
        </w:rPr>
        <w:t>式中：</w:t>
      </w:r>
    </w:p>
    <w:p w14:paraId="43B50F4A">
      <w:pPr>
        <w:spacing w:line="300" w:lineRule="auto"/>
        <w:ind w:firstLine="420"/>
        <w:rPr>
          <w:rFonts w:ascii="Times New Roman" w:hAnsi="Times New Roman"/>
          <w:sz w:val="24"/>
        </w:rPr>
      </w:pPr>
      <m:oMath>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20</m:t>
            </m:r>
            <m:ctrlPr>
              <w:rPr>
                <w:rFonts w:ascii="Cambria Math" w:hAnsi="Cambria Math"/>
                <w:i/>
                <w:sz w:val="24"/>
              </w:rPr>
            </m:ctrlPr>
          </m:sub>
        </m:sSub>
      </m:oMath>
      <w:r>
        <w:rPr>
          <w:rFonts w:hint="eastAsia" w:ascii="Times New Roman" w:hAnsi="Times New Roman"/>
          <w:sz w:val="24"/>
        </w:rPr>
        <w:t>——标准温度下的容积，L；</w:t>
      </w:r>
    </w:p>
    <w:p w14:paraId="141859C2">
      <w:pPr>
        <w:spacing w:line="300" w:lineRule="auto"/>
        <w:ind w:firstLine="424" w:firstLineChars="177"/>
        <w:rPr>
          <w:rFonts w:ascii="Times New Roman" w:hAnsi="Times New Roman"/>
          <w:sz w:val="24"/>
        </w:rPr>
      </w:pPr>
      <m:oMath>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oMath>
      <w:r>
        <w:rPr>
          <w:rFonts w:hint="eastAsia" w:ascii="Times New Roman" w:hAnsi="Times New Roman"/>
          <w:sz w:val="24"/>
        </w:rPr>
        <w:t>——扫描测量温度下的容积，L；</w:t>
      </w:r>
    </w:p>
    <w:p w14:paraId="2E7F92F4">
      <w:pPr>
        <w:spacing w:line="300" w:lineRule="auto"/>
        <w:ind w:firstLine="424" w:firstLineChars="177"/>
        <w:rPr>
          <w:rFonts w:ascii="Times New Roman" w:hAnsi="Times New Roman"/>
          <w:sz w:val="24"/>
        </w:rPr>
      </w:pPr>
      <m:oMath>
        <m:r>
          <m:rPr>
            <m:sty m:val="p"/>
          </m:rPr>
          <w:rPr>
            <w:rFonts w:ascii="Cambria Math" w:hAnsi="Cambria Math"/>
            <w:sz w:val="24"/>
          </w:rPr>
          <m:t>CTS</m:t>
        </m:r>
        <m:r>
          <m:rPr>
            <m:sty m:val="p"/>
          </m:rPr>
          <w:rPr>
            <w:rFonts w:ascii="Cambria Math" w:hAnsi="Cambria Math" w:cs="Cambria Math"/>
            <w:sz w:val="24"/>
          </w:rPr>
          <m:t>h</m:t>
        </m:r>
      </m:oMath>
      <w:r>
        <w:rPr>
          <w:rFonts w:hint="eastAsia" w:ascii="Times New Roman" w:hAnsi="Times New Roman"/>
          <w:sz w:val="24"/>
        </w:rPr>
        <w:t>——罐壁温度修正系数。</w:t>
      </w:r>
    </w:p>
    <w:p w14:paraId="4974446E">
      <w:pPr>
        <w:spacing w:line="300" w:lineRule="auto"/>
        <w:ind w:firstLine="424" w:firstLineChars="177"/>
        <w:rPr>
          <w:rFonts w:ascii="Times New Roman" w:hAnsi="Times New Roman"/>
          <w:sz w:val="24"/>
        </w:rPr>
      </w:pPr>
      <w:r>
        <w:rPr>
          <w:rFonts w:hint="eastAsia" w:ascii="Times New Roman" w:hAnsi="Times New Roman"/>
          <w:sz w:val="24"/>
        </w:rPr>
        <w:t>当对容积表修正时，</w:t>
      </w:r>
      <w:r>
        <w:rPr>
          <w:rFonts w:ascii="Times New Roman" w:hAnsi="Times New Roman"/>
          <w:sz w:val="24"/>
        </w:rPr>
        <w:t>修正系数可以用对横截面积影响的修正系数表示，因此罐壁温度修正系数</w:t>
      </w:r>
      <w:r>
        <w:rPr>
          <w:rFonts w:hint="eastAsia" w:ascii="Times New Roman" w:hAnsi="Times New Roman"/>
          <w:sz w:val="24"/>
        </w:rPr>
        <w:t>满足：</w:t>
      </w:r>
    </w:p>
    <w:p w14:paraId="7F331571">
      <w:pPr>
        <w:spacing w:line="300" w:lineRule="auto"/>
        <w:jc w:val="right"/>
        <w:rPr>
          <w:rFonts w:ascii="Times New Roman" w:hAnsi="Times New Roman"/>
          <w:sz w:val="24"/>
        </w:rPr>
      </w:pPr>
      <m:oMath>
        <m:r>
          <m:rPr>
            <m:sty m:val="p"/>
          </m:rPr>
          <w:rPr>
            <w:rFonts w:ascii="Cambria Math" w:hAnsi="Cambria Math"/>
            <w:sz w:val="24"/>
          </w:rPr>
          <m:t>CTS</m:t>
        </m:r>
        <m:r>
          <m:rPr>
            <m:sty m:val="p"/>
          </m:rPr>
          <w:rPr>
            <w:rFonts w:ascii="Cambria Math" w:hAnsi="Cambria Math" w:cs="Cambria Math"/>
            <w:sz w:val="24"/>
          </w:rPr>
          <m:t>h=</m:t>
        </m:r>
        <m:r>
          <m:rPr/>
          <w:rPr>
            <w:rFonts w:ascii="Cambria Math" w:hAnsi="Cambria Math"/>
            <w:sz w:val="24"/>
            <w:szCs w:val="24"/>
          </w:rPr>
          <m:t>1+2α</m:t>
        </m:r>
        <m:d>
          <m:dPr>
            <m:ctrlPr>
              <w:rPr>
                <w:rFonts w:ascii="Cambria Math" w:hAnsi="Cambria Math"/>
                <w:i/>
                <w:sz w:val="24"/>
                <w:szCs w:val="24"/>
              </w:rPr>
            </m:ctrlPr>
          </m:dPr>
          <m:e>
            <m:r>
              <m:rPr/>
              <w:rPr>
                <w:rFonts w:ascii="Cambria Math" w:hAnsi="Cambria Math"/>
                <w:sz w:val="24"/>
                <w:szCs w:val="24"/>
              </w:rPr>
              <m:t>20−t</m:t>
            </m:r>
            <m:ctrlPr>
              <w:rPr>
                <w:rFonts w:ascii="Cambria Math" w:hAnsi="Cambria Math"/>
                <w:i/>
                <w:sz w:val="24"/>
                <w:szCs w:val="24"/>
              </w:rPr>
            </m:ctrlPr>
          </m:e>
        </m:d>
      </m:oMath>
      <w:r>
        <w:rPr>
          <w:rFonts w:hint="eastAsia" w:ascii="Times New Roman" w:hAnsi="Times New Roman"/>
          <w:sz w:val="24"/>
          <w:szCs w:val="24"/>
        </w:rPr>
        <w:t xml:space="preserve">                （</w:t>
      </w:r>
      <w:r>
        <w:rPr>
          <w:rFonts w:hint="eastAsia" w:ascii="Times New Roman" w:hAnsi="Times New Roman"/>
          <w:sz w:val="24"/>
        </w:rPr>
        <w:t>D.2</w:t>
      </w:r>
      <w:r>
        <w:rPr>
          <w:rFonts w:hint="eastAsia" w:ascii="Times New Roman" w:hAnsi="Times New Roman"/>
          <w:sz w:val="24"/>
          <w:szCs w:val="24"/>
        </w:rPr>
        <w:t>）</w:t>
      </w:r>
    </w:p>
    <w:p w14:paraId="41E0652B">
      <w:pPr>
        <w:spacing w:line="300" w:lineRule="auto"/>
        <w:ind w:firstLine="424" w:firstLineChars="177"/>
        <w:rPr>
          <w:rFonts w:ascii="Times New Roman" w:hAnsi="Times New Roman"/>
          <w:sz w:val="24"/>
        </w:rPr>
      </w:pPr>
      <m:oMath>
        <m:r>
          <m:rPr/>
          <w:rPr>
            <w:rFonts w:ascii="Cambria Math" w:hAnsi="Cambria Math"/>
            <w:sz w:val="24"/>
            <w:szCs w:val="24"/>
          </w:rPr>
          <m:t>α</m:t>
        </m:r>
      </m:oMath>
      <w:r>
        <w:rPr>
          <w:rFonts w:hint="eastAsia" w:ascii="Times New Roman" w:hAnsi="Times New Roman"/>
          <w:sz w:val="24"/>
        </w:rPr>
        <w:t>——罐壁材质的线膨胀系数（低碳钢</w:t>
      </w:r>
      <m:oMath>
        <m:r>
          <m:rPr/>
          <w:rPr>
            <w:rFonts w:ascii="Cambria Math" w:hAnsi="Cambria Math"/>
            <w:sz w:val="24"/>
            <w:szCs w:val="24"/>
          </w:rPr>
          <m:t>α=0.000012</m:t>
        </m:r>
      </m:oMath>
      <w:r>
        <w:rPr>
          <w:rFonts w:hint="eastAsia" w:ascii="Times New Roman" w:hAnsi="Times New Roman"/>
          <w:sz w:val="24"/>
        </w:rPr>
        <w:t>），℃</w:t>
      </w:r>
      <w:r>
        <w:rPr>
          <w:rFonts w:hint="eastAsia" w:ascii="Times New Roman" w:hAnsi="Times New Roman"/>
          <w:sz w:val="24"/>
          <w:vertAlign w:val="superscript"/>
        </w:rPr>
        <w:t>-1</w:t>
      </w:r>
      <w:r>
        <w:rPr>
          <w:rFonts w:hint="eastAsia" w:ascii="Times New Roman" w:hAnsi="Times New Roman"/>
          <w:sz w:val="24"/>
        </w:rPr>
        <w:t>；</w:t>
      </w:r>
    </w:p>
    <w:p w14:paraId="58960A3F">
      <w:pPr>
        <w:spacing w:line="300" w:lineRule="auto"/>
        <w:ind w:firstLine="424" w:firstLineChars="177"/>
        <w:rPr>
          <w:rFonts w:hint="eastAsia" w:ascii="宋体" w:hAnsi="宋体"/>
          <w:sz w:val="24"/>
        </w:rPr>
      </w:pPr>
      <m:oMath>
        <m:r>
          <m:rPr/>
          <w:rPr>
            <w:rFonts w:ascii="Cambria Math" w:hAnsi="Cambria Math"/>
            <w:sz w:val="24"/>
            <w:szCs w:val="24"/>
          </w:rPr>
          <m:t>t</m:t>
        </m:r>
      </m:oMath>
      <w:r>
        <w:rPr>
          <w:rFonts w:hint="eastAsia" w:ascii="Times New Roman" w:hAnsi="Times New Roman"/>
          <w:sz w:val="24"/>
        </w:rPr>
        <w:t>——罐壁温度，℃，取环境温度</w:t>
      </w:r>
      <w:r>
        <w:rPr>
          <w:rFonts w:hint="eastAsia" w:ascii="宋体" w:hAnsi="宋体"/>
          <w:sz w:val="24"/>
        </w:rPr>
        <w:t>。</w:t>
      </w:r>
    </w:p>
    <w:p w14:paraId="5F65580F">
      <w:pPr>
        <w:spacing w:line="300" w:lineRule="auto"/>
        <w:ind w:firstLine="424" w:firstLineChars="177"/>
        <w:rPr>
          <w:rFonts w:ascii="Times New Roman" w:hAnsi="Times New Roman"/>
          <w:sz w:val="24"/>
        </w:rPr>
      </w:pPr>
      <w:r>
        <w:rPr>
          <w:rFonts w:hint="eastAsia" w:ascii="Times New Roman" w:hAnsi="Times New Roman"/>
          <w:sz w:val="24"/>
        </w:rPr>
        <w:t>当考虑</w:t>
      </w:r>
      <w:r>
        <w:rPr>
          <w:rFonts w:ascii="Times New Roman" w:hAnsi="Times New Roman"/>
          <w:sz w:val="24"/>
        </w:rPr>
        <w:t>温度对</w:t>
      </w:r>
      <w:r>
        <w:rPr>
          <w:rFonts w:hint="eastAsia" w:ascii="Times New Roman" w:hAnsi="Times New Roman"/>
          <w:sz w:val="24"/>
        </w:rPr>
        <w:t>量油尺等</w:t>
      </w:r>
      <w:r>
        <w:rPr>
          <w:rFonts w:ascii="Times New Roman" w:hAnsi="Times New Roman"/>
          <w:sz w:val="24"/>
        </w:rPr>
        <w:t>液位测量</w:t>
      </w:r>
      <w:r>
        <w:rPr>
          <w:rFonts w:hint="eastAsia" w:ascii="Times New Roman" w:hAnsi="Times New Roman"/>
          <w:sz w:val="24"/>
        </w:rPr>
        <w:t>工具的</w:t>
      </w:r>
      <w:r>
        <w:rPr>
          <w:rFonts w:ascii="Times New Roman" w:hAnsi="Times New Roman"/>
          <w:sz w:val="24"/>
        </w:rPr>
        <w:t>影响</w:t>
      </w:r>
      <w:r>
        <w:rPr>
          <w:rFonts w:hint="eastAsia" w:ascii="Times New Roman" w:hAnsi="Times New Roman"/>
          <w:sz w:val="24"/>
        </w:rPr>
        <w:t>，</w:t>
      </w:r>
      <w:r>
        <w:rPr>
          <w:rFonts w:ascii="Times New Roman" w:hAnsi="Times New Roman"/>
          <w:sz w:val="24"/>
        </w:rPr>
        <w:t>罐壁温度修正系数</w:t>
      </w:r>
      <w:r>
        <w:rPr>
          <w:rFonts w:hint="eastAsia" w:ascii="Times New Roman" w:hAnsi="Times New Roman"/>
          <w:sz w:val="24"/>
        </w:rPr>
        <w:t>满足：</w:t>
      </w:r>
    </w:p>
    <w:p w14:paraId="7B5F0089">
      <w:pPr>
        <w:spacing w:line="300" w:lineRule="auto"/>
        <w:jc w:val="right"/>
        <w:rPr>
          <w:rFonts w:ascii="Times New Roman" w:hAnsi="Times New Roman"/>
          <w:sz w:val="24"/>
        </w:rPr>
      </w:pPr>
      <m:oMath>
        <m:r>
          <m:rPr>
            <m:sty m:val="p"/>
          </m:rPr>
          <w:rPr>
            <w:rFonts w:ascii="Cambria Math" w:hAnsi="Cambria Math"/>
            <w:sz w:val="24"/>
          </w:rPr>
          <m:t>CTS</m:t>
        </m:r>
        <m:r>
          <m:rPr>
            <m:sty m:val="p"/>
          </m:rPr>
          <w:rPr>
            <w:rFonts w:ascii="Cambria Math" w:hAnsi="Cambria Math" w:cs="Cambria Math"/>
            <w:sz w:val="24"/>
          </w:rPr>
          <m:t>h=</m:t>
        </m:r>
        <m:r>
          <m:rPr/>
          <w:rPr>
            <w:rFonts w:ascii="Cambria Math" w:hAnsi="Cambria Math"/>
            <w:sz w:val="24"/>
            <w:szCs w:val="24"/>
          </w:rPr>
          <m:t>1+3α</m:t>
        </m:r>
        <m:d>
          <m:dPr>
            <m:ctrlPr>
              <w:rPr>
                <w:rFonts w:ascii="Cambria Math" w:hAnsi="Cambria Math"/>
                <w:i/>
                <w:sz w:val="24"/>
                <w:szCs w:val="24"/>
              </w:rPr>
            </m:ctrlPr>
          </m:dPr>
          <m:e>
            <m:r>
              <m:rPr/>
              <w:rPr>
                <w:rFonts w:ascii="Cambria Math" w:hAnsi="Cambria Math"/>
                <w:sz w:val="24"/>
                <w:szCs w:val="24"/>
              </w:rPr>
              <m:t>20−t</m:t>
            </m:r>
            <m:ctrlPr>
              <w:rPr>
                <w:rFonts w:ascii="Cambria Math" w:hAnsi="Cambria Math"/>
                <w:i/>
                <w:sz w:val="24"/>
                <w:szCs w:val="24"/>
              </w:rPr>
            </m:ctrlPr>
          </m:e>
        </m:d>
      </m:oMath>
      <w:r>
        <w:rPr>
          <w:rFonts w:hint="eastAsia" w:ascii="Times New Roman" w:hAnsi="Times New Roman"/>
          <w:sz w:val="24"/>
          <w:szCs w:val="24"/>
        </w:rPr>
        <w:t xml:space="preserve">                （</w:t>
      </w:r>
      <w:r>
        <w:rPr>
          <w:rFonts w:hint="eastAsia" w:ascii="Times New Roman" w:hAnsi="Times New Roman"/>
          <w:sz w:val="24"/>
        </w:rPr>
        <w:t>D.3</w:t>
      </w:r>
      <w:r>
        <w:rPr>
          <w:rFonts w:hint="eastAsia" w:ascii="Times New Roman" w:hAnsi="Times New Roman"/>
          <w:sz w:val="24"/>
          <w:szCs w:val="24"/>
        </w:rPr>
        <w:t>）</w:t>
      </w:r>
    </w:p>
    <w:p w14:paraId="1B1EFB6A">
      <w:pPr>
        <w:spacing w:line="300" w:lineRule="auto"/>
        <w:ind w:firstLine="424" w:firstLineChars="177"/>
        <w:rPr>
          <w:rFonts w:ascii="Times New Roman" w:hAnsi="Times New Roman"/>
          <w:sz w:val="24"/>
        </w:rPr>
      </w:pPr>
    </w:p>
    <w:p w14:paraId="6F650B3E">
      <w:pPr>
        <w:widowControl/>
        <w:jc w:val="left"/>
        <w:rPr>
          <w:sz w:val="24"/>
        </w:rPr>
        <w:sectPr>
          <w:pgSz w:w="11906" w:h="16838"/>
          <w:pgMar w:top="1440" w:right="1800" w:bottom="1440" w:left="1800" w:header="850" w:footer="471" w:gutter="0"/>
          <w:cols w:space="425" w:num="1"/>
          <w:docGrid w:type="lines" w:linePitch="312" w:charSpace="0"/>
        </w:sectPr>
      </w:pPr>
    </w:p>
    <w:p w14:paraId="126D43A9">
      <w:pPr>
        <w:pStyle w:val="2"/>
        <w:spacing w:before="0" w:after="0" w:line="240" w:lineRule="auto"/>
        <w:ind w:left="3258" w:leftChars="1" w:hanging="3256" w:hangingChars="1163"/>
        <w:rPr>
          <w:rFonts w:ascii="Times New Roman" w:hAnsi="Times New Roman" w:eastAsia="黑体"/>
          <w:b w:val="0"/>
          <w:kern w:val="0"/>
          <w:sz w:val="28"/>
          <w:szCs w:val="28"/>
        </w:rPr>
      </w:pPr>
      <w:bookmarkStart w:id="32" w:name="_Toc488765425"/>
      <w:r>
        <w:rPr>
          <w:rFonts w:hint="eastAsia" w:ascii="黑体" w:hAnsi="黑体" w:eastAsia="黑体"/>
          <w:b w:val="0"/>
          <w:kern w:val="0"/>
          <w:sz w:val="28"/>
          <w:szCs w:val="28"/>
        </w:rPr>
        <w:t>附录</w:t>
      </w:r>
      <w:r>
        <w:rPr>
          <w:rFonts w:hint="eastAsia" w:ascii="Times New Roman" w:hAnsi="Times New Roman" w:eastAsia="黑体"/>
          <w:b w:val="0"/>
          <w:kern w:val="0"/>
          <w:sz w:val="28"/>
          <w:szCs w:val="28"/>
        </w:rPr>
        <w:t>E</w:t>
      </w:r>
      <w:r>
        <w:rPr>
          <w:rFonts w:hint="eastAsia" w:ascii="Times New Roman" w:hAnsi="Times New Roman" w:eastAsia="黑体"/>
          <w:b w:val="0"/>
          <w:kern w:val="0"/>
          <w:sz w:val="28"/>
          <w:szCs w:val="28"/>
        </w:rPr>
        <w:br w:type="textWrapping"/>
      </w:r>
      <w:r>
        <w:rPr>
          <w:rFonts w:hint="eastAsia" w:ascii="Times New Roman" w:hAnsi="Times New Roman" w:eastAsia="黑体"/>
          <w:b w:val="0"/>
          <w:kern w:val="0"/>
          <w:sz w:val="28"/>
          <w:szCs w:val="28"/>
        </w:rPr>
        <w:t>校准证书内容</w:t>
      </w:r>
      <w:bookmarkEnd w:id="32"/>
    </w:p>
    <w:p w14:paraId="04C960DF">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标题：校准证书；</w:t>
      </w:r>
    </w:p>
    <w:p w14:paraId="3C960083">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实验室名称和地址；</w:t>
      </w:r>
    </w:p>
    <w:p w14:paraId="619E6F97">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进行校准的地点；</w:t>
      </w:r>
    </w:p>
    <w:p w14:paraId="162BD112">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证书或报告编号、页码及总页数；</w:t>
      </w:r>
    </w:p>
    <w:p w14:paraId="2A005185">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客户的名称和地址；</w:t>
      </w:r>
    </w:p>
    <w:p w14:paraId="694414B6">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被校对象的描述和明确标识；</w:t>
      </w:r>
    </w:p>
    <w:p w14:paraId="73DB6933">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进行校准的日期；</w:t>
      </w:r>
    </w:p>
    <w:p w14:paraId="435FB6A0">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校准所依据的技术规范的标识；</w:t>
      </w:r>
    </w:p>
    <w:p w14:paraId="49EDDD95">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校准所使用的计量标准及有效期；</w:t>
      </w:r>
    </w:p>
    <w:p w14:paraId="455A8594">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校准环境的表述；</w:t>
      </w:r>
    </w:p>
    <w:p w14:paraId="3CC3608C">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校准结果及其测量不确定度的说明；</w:t>
      </w:r>
    </w:p>
    <w:p w14:paraId="2E5BB646">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扫描仪使用参数；</w:t>
      </w:r>
    </w:p>
    <w:p w14:paraId="0F6C65FD">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校准使用的软件；</w:t>
      </w:r>
    </w:p>
    <w:p w14:paraId="4C91441F">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签发人的签名、职务或等效标识；</w:t>
      </w:r>
    </w:p>
    <w:p w14:paraId="7BEF2F5A">
      <w:pPr>
        <w:pStyle w:val="22"/>
        <w:widowControl/>
        <w:numPr>
          <w:ilvl w:val="0"/>
          <w:numId w:val="6"/>
        </w:numPr>
        <w:spacing w:line="360" w:lineRule="auto"/>
        <w:ind w:left="357" w:hanging="357" w:firstLineChars="0"/>
        <w:jc w:val="left"/>
        <w:rPr>
          <w:rFonts w:ascii="Times New Roman" w:hAnsi="Times New Roman"/>
          <w:sz w:val="24"/>
        </w:rPr>
      </w:pPr>
      <w:r>
        <w:rPr>
          <w:rFonts w:hint="eastAsia" w:ascii="Times New Roman" w:hAnsi="Times New Roman"/>
          <w:sz w:val="24"/>
        </w:rPr>
        <w:t>校准结果仅对被校对象有效的声明；</w:t>
      </w:r>
    </w:p>
    <w:p w14:paraId="21F88496">
      <w:pPr>
        <w:pStyle w:val="22"/>
        <w:widowControl/>
        <w:numPr>
          <w:ilvl w:val="0"/>
          <w:numId w:val="6"/>
        </w:numPr>
        <w:spacing w:line="360" w:lineRule="auto"/>
        <w:ind w:left="357" w:hanging="357" w:firstLineChars="0"/>
        <w:jc w:val="left"/>
        <w:rPr>
          <w:rFonts w:hint="eastAsia" w:ascii="宋体" w:hAnsi="宋体"/>
          <w:sz w:val="24"/>
        </w:rPr>
      </w:pPr>
      <w:r>
        <w:rPr>
          <w:rFonts w:hint="eastAsia" w:ascii="Times New Roman" w:hAnsi="Times New Roman"/>
          <w:sz w:val="24"/>
        </w:rPr>
        <w:t>未经实验室书面批准，不得部</w:t>
      </w:r>
      <w:r>
        <w:rPr>
          <w:rFonts w:ascii="宋体" w:hAnsi="宋体"/>
          <w:sz w:val="24"/>
        </w:rPr>
        <w:t>分</w:t>
      </w:r>
      <w:r>
        <w:rPr>
          <w:rFonts w:hint="eastAsia" w:ascii="宋体" w:hAnsi="宋体"/>
          <w:sz w:val="24"/>
        </w:rPr>
        <w:t>复制</w:t>
      </w:r>
      <w:r>
        <w:rPr>
          <w:rFonts w:ascii="宋体" w:hAnsi="宋体"/>
          <w:sz w:val="24"/>
        </w:rPr>
        <w:t>证书的声明。</w:t>
      </w:r>
    </w:p>
    <w:p w14:paraId="56032FC1">
      <w:pPr>
        <w:widowControl/>
        <w:jc w:val="left"/>
      </w:pPr>
      <w:r>
        <w:br w:type="page"/>
      </w:r>
    </w:p>
    <w:p w14:paraId="534BE0F8">
      <w:pPr>
        <w:pStyle w:val="2"/>
        <w:spacing w:before="0" w:after="0" w:line="240" w:lineRule="auto"/>
        <w:ind w:left="1700" w:hanging="1699" w:hangingChars="607"/>
        <w:rPr>
          <w:rFonts w:hint="eastAsia" w:ascii="黑体" w:hAnsi="黑体" w:eastAsia="黑体"/>
          <w:b w:val="0"/>
          <w:kern w:val="0"/>
          <w:sz w:val="28"/>
          <w:szCs w:val="28"/>
        </w:rPr>
      </w:pPr>
      <w:bookmarkStart w:id="33" w:name="_Toc488765426"/>
      <w:r>
        <w:rPr>
          <w:rFonts w:hint="eastAsia" w:ascii="黑体" w:hAnsi="黑体" w:eastAsia="黑体"/>
          <w:b w:val="0"/>
          <w:kern w:val="0"/>
          <w:sz w:val="28"/>
          <w:szCs w:val="28"/>
        </w:rPr>
        <w:t>附录</w:t>
      </w:r>
      <w:r>
        <w:rPr>
          <w:rFonts w:hint="eastAsia" w:ascii="Times New Roman" w:hAnsi="Times New Roman" w:eastAsia="黑体"/>
          <w:b w:val="0"/>
          <w:kern w:val="0"/>
          <w:sz w:val="28"/>
          <w:szCs w:val="28"/>
        </w:rPr>
        <w:t>F</w:t>
      </w:r>
      <w:r>
        <w:rPr>
          <w:rFonts w:hint="eastAsia" w:ascii="Times New Roman" w:hAnsi="Times New Roman" w:eastAsia="黑体"/>
          <w:b w:val="0"/>
          <w:kern w:val="0"/>
          <w:sz w:val="28"/>
          <w:szCs w:val="28"/>
        </w:rPr>
        <w:br w:type="textWrapping"/>
      </w:r>
      <w:r>
        <w:rPr>
          <w:rFonts w:hint="eastAsia" w:ascii="黑体" w:hAnsi="黑体" w:eastAsia="黑体"/>
          <w:b w:val="0"/>
          <w:kern w:val="0"/>
          <w:sz w:val="28"/>
          <w:szCs w:val="28"/>
        </w:rPr>
        <w:t>容积示值误差校准结果的测量不确定度分析</w:t>
      </w:r>
      <w:bookmarkEnd w:id="33"/>
    </w:p>
    <w:p w14:paraId="21026C7A">
      <w:pPr>
        <w:spacing w:line="360" w:lineRule="auto"/>
        <w:ind w:firstLine="480" w:firstLineChars="200"/>
        <w:rPr>
          <w:rFonts w:ascii="Times New Roman" w:hAnsi="Times New Roman"/>
          <w:sz w:val="24"/>
        </w:rPr>
      </w:pPr>
      <w:r>
        <w:rPr>
          <w:rFonts w:hint="eastAsia" w:ascii="Times New Roman" w:hAnsi="Times New Roman"/>
          <w:sz w:val="24"/>
        </w:rPr>
        <w:t>以采用G</w:t>
      </w:r>
      <w:r>
        <w:rPr>
          <w:rFonts w:hint="eastAsia" w:ascii="Times New Roman" w:hAnsi="Times New Roman"/>
          <w:sz w:val="24"/>
          <w:vertAlign w:val="subscript"/>
        </w:rPr>
        <w:t>11</w:t>
      </w:r>
      <w:r>
        <w:rPr>
          <w:rFonts w:hint="eastAsia" w:ascii="Times New Roman" w:hAnsi="Times New Roman"/>
          <w:sz w:val="24"/>
        </w:rPr>
        <w:t>型检测罐进行校准、校准点为G</w:t>
      </w:r>
      <w:r>
        <w:rPr>
          <w:rFonts w:hint="eastAsia" w:ascii="Times New Roman" w:hAnsi="Times New Roman"/>
          <w:sz w:val="24"/>
          <w:vertAlign w:val="subscript"/>
        </w:rPr>
        <w:t>11</w:t>
      </w:r>
      <w:r>
        <w:rPr>
          <w:rFonts w:hint="eastAsia" w:ascii="Times New Roman" w:hAnsi="Times New Roman"/>
          <w:sz w:val="24"/>
        </w:rPr>
        <w:t>型检测罐标记容积（36 000 L）的83%（29 880 L）为例进行分析。</w:t>
      </w:r>
    </w:p>
    <w:p w14:paraId="75084AC0">
      <w:pPr>
        <w:spacing w:line="360" w:lineRule="auto"/>
        <w:rPr>
          <w:rFonts w:ascii="Times New Roman" w:hAnsi="Times New Roman"/>
          <w:sz w:val="24"/>
        </w:rPr>
      </w:pPr>
      <w:r>
        <w:rPr>
          <w:rFonts w:hint="eastAsia" w:ascii="Times New Roman" w:hAnsi="Times New Roman"/>
          <w:sz w:val="24"/>
        </w:rPr>
        <w:t>F</w:t>
      </w:r>
      <w:r>
        <w:rPr>
          <w:rFonts w:hint="eastAsia" w:ascii="Times New Roman" w:hAnsi="Times New Roman"/>
          <w:sz w:val="24"/>
          <w:szCs w:val="24"/>
        </w:rPr>
        <w:t>.1</w:t>
      </w:r>
      <w:r>
        <w:rPr>
          <w:rFonts w:hint="eastAsia" w:ascii="Times New Roman" w:hAnsi="Times New Roman"/>
          <w:sz w:val="24"/>
        </w:rPr>
        <w:t xml:space="preserve">  测量方法</w:t>
      </w:r>
    </w:p>
    <w:p w14:paraId="5A289E0F">
      <w:pPr>
        <w:spacing w:line="360" w:lineRule="auto"/>
        <w:ind w:firstLine="480" w:firstLineChars="200"/>
        <w:rPr>
          <w:rFonts w:ascii="Times New Roman" w:hAnsi="Times New Roman"/>
          <w:sz w:val="24"/>
        </w:rPr>
      </w:pPr>
      <w:r>
        <w:rPr>
          <w:rFonts w:hint="eastAsia" w:ascii="Times New Roman" w:hAnsi="Times New Roman"/>
          <w:sz w:val="24"/>
        </w:rPr>
        <w:t>利用标准金属量器、磁致伸缩液位计、一体化温度传感器、检测罐等设备构成扫描仪校准装置，对扫描仪容积示值误差进行校准。</w:t>
      </w:r>
    </w:p>
    <w:p w14:paraId="63449E75">
      <w:pPr>
        <w:spacing w:line="360" w:lineRule="auto"/>
        <w:rPr>
          <w:rFonts w:ascii="Times New Roman" w:hAnsi="Times New Roman"/>
          <w:sz w:val="24"/>
          <w:szCs w:val="24"/>
        </w:rPr>
      </w:pPr>
      <w:r>
        <w:rPr>
          <w:rFonts w:hint="eastAsia" w:ascii="Times New Roman" w:hAnsi="Times New Roman"/>
          <w:sz w:val="24"/>
          <w:szCs w:val="24"/>
        </w:rPr>
        <w:t>F.2  测量模型</w:t>
      </w:r>
    </w:p>
    <w:p w14:paraId="5A7FD5C1">
      <w:pPr>
        <w:spacing w:line="360" w:lineRule="auto"/>
        <w:ind w:firstLine="420"/>
        <w:rPr>
          <w:rFonts w:ascii="Times New Roman" w:hAnsi="Times New Roman"/>
          <w:sz w:val="24"/>
          <w:szCs w:val="24"/>
        </w:rPr>
      </w:pPr>
      <w:r>
        <w:rPr>
          <w:rFonts w:hint="eastAsia" w:ascii="Times New Roman" w:hAnsi="Times New Roman"/>
          <w:sz w:val="24"/>
          <w:szCs w:val="24"/>
        </w:rPr>
        <w:t>示值误差为：</w:t>
      </w:r>
    </w:p>
    <w:p w14:paraId="1108C08D">
      <w:pPr>
        <w:spacing w:line="360" w:lineRule="auto"/>
        <w:ind w:firstLine="420"/>
        <w:rPr>
          <w:rFonts w:ascii="Times New Roman" w:hAnsi="Times New Roman"/>
          <w:sz w:val="24"/>
          <w:szCs w:val="24"/>
        </w:rPr>
      </w:pPr>
    </w:p>
    <w:tbl>
      <w:tblPr>
        <w:tblStyle w:val="15"/>
        <w:tblW w:w="0" w:type="auto"/>
        <w:tblInd w:w="0" w:type="dxa"/>
        <w:tblLayout w:type="autofit"/>
        <w:tblCellMar>
          <w:top w:w="0" w:type="dxa"/>
          <w:left w:w="108" w:type="dxa"/>
          <w:bottom w:w="0" w:type="dxa"/>
          <w:right w:w="108" w:type="dxa"/>
        </w:tblCellMar>
      </w:tblPr>
      <w:tblGrid>
        <w:gridCol w:w="7315"/>
        <w:gridCol w:w="991"/>
      </w:tblGrid>
      <w:tr w14:paraId="009C7786">
        <w:tblPrEx>
          <w:tblCellMar>
            <w:top w:w="0" w:type="dxa"/>
            <w:left w:w="108" w:type="dxa"/>
            <w:bottom w:w="0" w:type="dxa"/>
            <w:right w:w="108" w:type="dxa"/>
          </w:tblCellMar>
        </w:tblPrEx>
        <w:tc>
          <w:tcPr>
            <w:tcW w:w="7480" w:type="dxa"/>
            <w:vAlign w:val="center"/>
          </w:tcPr>
          <w:p w14:paraId="2BAB5DF4">
            <w:pPr>
              <w:spacing w:line="360" w:lineRule="auto"/>
              <w:ind w:firstLine="3674" w:firstLineChars="1531"/>
              <w:jc w:val="center"/>
              <w:rPr>
                <w:rFonts w:hint="eastAsia" w:ascii="宋体" w:hAnsi="宋体"/>
                <w:sz w:val="24"/>
                <w:szCs w:val="24"/>
              </w:rPr>
            </w:pPr>
            <m:oMathPara>
              <m:oMathParaPr>
                <m:jc m:val="center"/>
              </m:oMathParaPr>
              <m:oMath>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m:oMathPara>
          </w:p>
        </w:tc>
        <w:tc>
          <w:tcPr>
            <w:tcW w:w="816" w:type="dxa"/>
            <w:vAlign w:val="center"/>
          </w:tcPr>
          <w:p w14:paraId="68402A1D">
            <w:pPr>
              <w:spacing w:line="360" w:lineRule="auto"/>
              <w:jc w:val="right"/>
              <w:rPr>
                <w:sz w:val="24"/>
                <w:szCs w:val="24"/>
              </w:rPr>
            </w:pPr>
            <w:r>
              <w:rPr>
                <w:rFonts w:hint="eastAsia"/>
                <w:sz w:val="24"/>
                <w:szCs w:val="24"/>
              </w:rPr>
              <w:t>（</w:t>
            </w:r>
            <w:r>
              <w:rPr>
                <w:rFonts w:hint="eastAsia" w:ascii="Times New Roman" w:hAnsi="Times New Roman"/>
                <w:sz w:val="24"/>
                <w:szCs w:val="24"/>
              </w:rPr>
              <w:t>F.</w:t>
            </w:r>
            <w:r>
              <w:rPr>
                <w:rFonts w:hint="eastAsia" w:ascii="宋体" w:hAnsi="宋体"/>
                <w:sz w:val="24"/>
              </w:rPr>
              <w:t>1</w:t>
            </w:r>
            <w:r>
              <w:rPr>
                <w:rFonts w:hint="eastAsia"/>
                <w:sz w:val="24"/>
                <w:szCs w:val="24"/>
              </w:rPr>
              <w:t>）</w:t>
            </w:r>
          </w:p>
        </w:tc>
      </w:tr>
    </w:tbl>
    <w:p w14:paraId="0DA2131E">
      <w:pPr>
        <w:spacing w:line="360" w:lineRule="auto"/>
        <w:ind w:firstLine="424" w:firstLineChars="177"/>
        <w:jc w:val="left"/>
        <w:rPr>
          <w:rFonts w:hint="eastAsia" w:ascii="宋体" w:hAnsi="宋体"/>
          <w:sz w:val="24"/>
        </w:rPr>
      </w:pPr>
      <w:r>
        <w:rPr>
          <w:rFonts w:hint="eastAsia" w:ascii="宋体" w:hAnsi="宋体"/>
          <w:sz w:val="24"/>
        </w:rPr>
        <w:t>式中</w:t>
      </w:r>
      <w:r>
        <w:rPr>
          <w:rFonts w:ascii="宋体" w:hAnsi="宋体"/>
          <w:sz w:val="24"/>
        </w:rPr>
        <w:t>：</w:t>
      </w:r>
    </w:p>
    <w:p w14:paraId="1DC42BA9">
      <w:pPr>
        <w:spacing w:line="360" w:lineRule="auto"/>
        <w:ind w:left="420" w:firstLine="4" w:firstLineChars="2"/>
        <w:rPr>
          <w:rFonts w:hint="eastAsia" w:ascii="宋体" w:hAnsi="宋体"/>
          <w:i/>
          <w:sz w:val="24"/>
        </w:rPr>
      </w:pPr>
      <m:oMath>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个校准点示值误差</w:t>
      </w:r>
      <w:r>
        <w:rPr>
          <w:rFonts w:ascii="宋体" w:hAnsi="宋体"/>
          <w:sz w:val="24"/>
        </w:rPr>
        <w:t>，L；</w:t>
      </w:r>
    </w:p>
    <w:p w14:paraId="09CBB57F">
      <w:pPr>
        <w:spacing w:line="360" w:lineRule="auto"/>
        <w:ind w:firstLine="424" w:firstLineChars="177"/>
        <w:rPr>
          <w:rFonts w:hint="eastAsia" w:ascii="宋体" w:hAnsi="宋体"/>
          <w:sz w:val="24"/>
        </w:rPr>
      </w:pP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个校准点容积测得值</w:t>
      </w:r>
      <w:r>
        <w:rPr>
          <w:rFonts w:ascii="宋体" w:hAnsi="宋体"/>
          <w:sz w:val="24"/>
        </w:rPr>
        <w:t>，L；</w:t>
      </w:r>
    </w:p>
    <w:p w14:paraId="2A9F43ED">
      <w:pPr>
        <w:spacing w:line="360" w:lineRule="auto"/>
        <w:ind w:firstLine="480" w:firstLineChars="200"/>
        <w:rPr>
          <w:rFonts w:ascii="Times New Roman" w:hAnsi="Times New Roman"/>
          <w:sz w:val="24"/>
          <w:szCs w:val="24"/>
        </w:rPr>
      </w:pP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ascii="宋体" w:hAnsi="宋体"/>
          <w:sz w:val="24"/>
        </w:rPr>
        <w:t>——</w:t>
      </w:r>
      <w:r>
        <w:rPr>
          <w:rFonts w:hint="eastAsia" w:ascii="宋体" w:hAnsi="宋体"/>
          <w:sz w:val="24"/>
        </w:rPr>
        <w:t>第</w:t>
      </w:r>
      <m:oMath>
        <m:r>
          <m:rPr/>
          <w:rPr>
            <w:rFonts w:ascii="Cambria Math" w:hAnsi="Cambria Math"/>
            <w:sz w:val="24"/>
          </w:rPr>
          <m:t>i</m:t>
        </m:r>
      </m:oMath>
      <w:r>
        <w:rPr>
          <w:rFonts w:hint="eastAsia" w:ascii="宋体" w:hAnsi="宋体"/>
          <w:sz w:val="24"/>
        </w:rPr>
        <w:t>个检测罐、第</w:t>
      </w:r>
      <m:oMath>
        <m:r>
          <m:rPr/>
          <w:rPr>
            <w:rFonts w:ascii="Cambria Math" w:hAnsi="Cambria Math"/>
            <w:sz w:val="24"/>
          </w:rPr>
          <m:t>j</m:t>
        </m:r>
      </m:oMath>
      <w:r>
        <w:rPr>
          <w:rFonts w:hint="eastAsia" w:ascii="宋体" w:hAnsi="宋体"/>
          <w:sz w:val="24"/>
        </w:rPr>
        <w:t>个校准点</w:t>
      </w:r>
      <w:r>
        <w:rPr>
          <w:rFonts w:ascii="宋体" w:hAnsi="宋体"/>
          <w:sz w:val="24"/>
        </w:rPr>
        <w:t>容积</w:t>
      </w:r>
      <w:r>
        <w:rPr>
          <w:rFonts w:hint="eastAsia" w:ascii="宋体" w:hAnsi="宋体"/>
          <w:sz w:val="24"/>
        </w:rPr>
        <w:t>参考值</w:t>
      </w:r>
      <w:r>
        <w:rPr>
          <w:rFonts w:ascii="宋体" w:hAnsi="宋体"/>
          <w:sz w:val="24"/>
        </w:rPr>
        <w:t>，L</w:t>
      </w:r>
      <w:r>
        <w:rPr>
          <w:rFonts w:hint="eastAsia" w:ascii="宋体" w:hAnsi="宋体"/>
          <w:sz w:val="24"/>
        </w:rPr>
        <w:t>。</w:t>
      </w:r>
    </w:p>
    <w:p w14:paraId="524B509D">
      <w:pPr>
        <w:spacing w:line="360" w:lineRule="auto"/>
        <w:rPr>
          <w:rFonts w:ascii="Times New Roman" w:hAnsi="Times New Roman"/>
          <w:sz w:val="24"/>
          <w:szCs w:val="24"/>
        </w:rPr>
      </w:pPr>
    </w:p>
    <w:p w14:paraId="1356F7B0">
      <w:pPr>
        <w:spacing w:line="360" w:lineRule="auto"/>
        <w:rPr>
          <w:rFonts w:ascii="Times New Roman" w:hAnsi="Times New Roman"/>
          <w:sz w:val="24"/>
          <w:szCs w:val="24"/>
        </w:rPr>
      </w:pPr>
      <m:oMath>
        <m:r>
          <m:rPr>
            <m:sty m:val="p"/>
          </m:rPr>
          <w:rPr>
            <w:rFonts w:ascii="Cambria Math" w:hAnsi="Cambria Math"/>
            <w:sz w:val="24"/>
            <w:szCs w:val="24"/>
          </w:rPr>
          <m:t xml:space="preserve"> </m:t>
        </m:r>
      </m:oMath>
      <w:r>
        <w:rPr>
          <w:rFonts w:hint="eastAsia" w:ascii="Times New Roman" w:hAnsi="Times New Roman"/>
          <w:sz w:val="24"/>
          <w:szCs w:val="24"/>
        </w:rPr>
        <w:t xml:space="preserve">    灵敏系数为：</w:t>
      </w:r>
    </w:p>
    <w:tbl>
      <w:tblPr>
        <w:tblStyle w:val="15"/>
        <w:tblpPr w:leftFromText="180" w:rightFromText="180" w:vertAnchor="text" w:tblpY="1"/>
        <w:tblOverlap w:val="never"/>
        <w:tblW w:w="0" w:type="auto"/>
        <w:tblInd w:w="0" w:type="dxa"/>
        <w:tblLayout w:type="autofit"/>
        <w:tblCellMar>
          <w:top w:w="0" w:type="dxa"/>
          <w:left w:w="108" w:type="dxa"/>
          <w:bottom w:w="0" w:type="dxa"/>
          <w:right w:w="108" w:type="dxa"/>
        </w:tblCellMar>
      </w:tblPr>
      <w:tblGrid>
        <w:gridCol w:w="6853"/>
        <w:gridCol w:w="1453"/>
      </w:tblGrid>
      <w:tr w14:paraId="4BD4834C">
        <w:tblPrEx>
          <w:tblCellMar>
            <w:top w:w="0" w:type="dxa"/>
            <w:left w:w="108" w:type="dxa"/>
            <w:bottom w:w="0" w:type="dxa"/>
            <w:right w:w="108" w:type="dxa"/>
          </w:tblCellMar>
        </w:tblPrEx>
        <w:tc>
          <w:tcPr>
            <w:tcW w:w="7054" w:type="dxa"/>
          </w:tcPr>
          <w:p w14:paraId="52D70C4B">
            <w:pPr>
              <w:spacing w:line="360" w:lineRule="auto"/>
              <w:jc w:val="center"/>
              <w:rPr>
                <w:rFonts w:ascii="Times New Roman" w:hAnsi="Times New Roman"/>
                <w:sz w:val="24"/>
                <w:szCs w:val="24"/>
              </w:rPr>
            </w:pPr>
            <m:oMath>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i/>
                      <w:sz w:val="24"/>
                      <w:szCs w:val="24"/>
                    </w:rPr>
                  </m:ctrlPr>
                </m:den>
              </m:f>
              <m:r>
                <m:rPr>
                  <m:sty m:val="p"/>
                </m:rPr>
                <w:rPr>
                  <w:rFonts w:ascii="Cambria Math" w:hAnsi="Cambria Math"/>
                  <w:sz w:val="24"/>
                  <w:szCs w:val="24"/>
                </w:rPr>
                <m:t>=1</m:t>
              </m:r>
            </m:oMath>
            <w:r>
              <w:rPr>
                <w:rFonts w:hint="eastAsia" w:ascii="Times New Roman" w:hAnsi="Times New Roman"/>
                <w:sz w:val="24"/>
                <w:szCs w:val="24"/>
              </w:rPr>
              <w:t>，</w:t>
            </w:r>
            <m:oMath>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i/>
                      <w:sz w:val="24"/>
                      <w:szCs w:val="24"/>
                    </w:rPr>
                  </m:ctrlPr>
                </m:den>
              </m:f>
              <m:r>
                <m:rPr>
                  <m:sty m:val="p"/>
                </m:rPr>
                <w:rPr>
                  <w:rFonts w:ascii="Cambria Math" w:hAnsi="Cambria Math"/>
                  <w:sz w:val="24"/>
                  <w:szCs w:val="24"/>
                </w:rPr>
                <m:t>=−1</m:t>
              </m:r>
            </m:oMath>
          </w:p>
        </w:tc>
        <w:tc>
          <w:tcPr>
            <w:tcW w:w="1468" w:type="dxa"/>
            <w:vAlign w:val="center"/>
          </w:tcPr>
          <w:p w14:paraId="1EFF866B">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F.2</w:t>
            </w:r>
            <w:r>
              <w:rPr>
                <w:rFonts w:hint="eastAsia" w:ascii="Times New Roman" w:hAnsi="Times New Roman"/>
                <w:sz w:val="24"/>
                <w:szCs w:val="24"/>
              </w:rPr>
              <w:t>）</w:t>
            </w:r>
          </w:p>
        </w:tc>
      </w:tr>
    </w:tbl>
    <w:p w14:paraId="32BDDEF1">
      <w:pPr>
        <w:spacing w:line="360" w:lineRule="auto"/>
        <w:rPr>
          <w:rFonts w:ascii="Times New Roman" w:hAnsi="Times New Roman"/>
          <w:sz w:val="24"/>
          <w:szCs w:val="24"/>
        </w:rPr>
      </w:pPr>
      <w:r>
        <w:rPr>
          <w:rFonts w:hint="eastAsia" w:ascii="Times New Roman" w:hAnsi="Times New Roman"/>
          <w:sz w:val="24"/>
          <w:szCs w:val="24"/>
        </w:rPr>
        <w:t>F.3  标准不确定度来源分析</w:t>
      </w:r>
    </w:p>
    <w:p w14:paraId="391E7F58">
      <w:pPr>
        <w:spacing w:line="360" w:lineRule="auto"/>
        <w:rPr>
          <w:rFonts w:ascii="Times New Roman" w:hAnsi="Times New Roman"/>
          <w:sz w:val="24"/>
          <w:szCs w:val="24"/>
        </w:rPr>
      </w:pPr>
      <w:r>
        <w:rPr>
          <w:rFonts w:hint="eastAsia" w:ascii="Times New Roman" w:hAnsi="Times New Roman"/>
          <w:sz w:val="24"/>
          <w:szCs w:val="24"/>
        </w:rPr>
        <w:t>F.3.1 三维激光扫描仪容积测得值</w:t>
      </w: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szCs w:val="24"/>
        </w:rPr>
        <w:t>引入的标准不确定度分量</w:t>
      </w:r>
      <m:oMath>
        <m:r>
          <m:rP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oMath>
    </w:p>
    <w:p w14:paraId="62082ADC">
      <w:pPr>
        <w:spacing w:line="360" w:lineRule="auto"/>
        <w:ind w:firstLine="424" w:firstLineChars="177"/>
        <w:rPr>
          <w:rFonts w:ascii="Times New Roman" w:hAnsi="Times New Roman"/>
          <w:sz w:val="24"/>
          <w:szCs w:val="24"/>
        </w:rPr>
      </w:pPr>
      <w:r>
        <w:rPr>
          <w:rFonts w:hint="eastAsia" w:ascii="Times New Roman" w:hAnsi="Times New Roman"/>
          <w:sz w:val="24"/>
          <w:szCs w:val="24"/>
        </w:rPr>
        <w:t>三维激光扫描仪容积测得值修正至</w:t>
      </w:r>
      <w:r>
        <w:rPr>
          <w:rFonts w:ascii="Times New Roman" w:hAnsi="Times New Roman"/>
          <w:sz w:val="24"/>
          <w:szCs w:val="24"/>
        </w:rPr>
        <w:t xml:space="preserve">20 </w:t>
      </w:r>
      <w:r>
        <w:rPr>
          <w:rFonts w:hint="eastAsia" w:ascii="Times New Roman" w:hAnsi="Times New Roman"/>
          <w:sz w:val="24"/>
          <w:szCs w:val="24"/>
        </w:rPr>
        <w:t>℃时进行使用，</w:t>
      </w:r>
      <w:r>
        <w:rPr>
          <w:rFonts w:hint="eastAsia" w:ascii="Times New Roman" w:hAnsi="Times New Roman"/>
          <w:sz w:val="24"/>
        </w:rPr>
        <w:t>环境温度为（</w:t>
      </w:r>
      <w:r>
        <w:rPr>
          <w:rFonts w:ascii="Times New Roman" w:hAnsi="Times New Roman"/>
          <w:sz w:val="24"/>
        </w:rPr>
        <w:t>20</w:t>
      </w:r>
      <w:r>
        <w:rPr>
          <w:rFonts w:hint="eastAsia" w:ascii="Times New Roman" w:hAnsi="Times New Roman"/>
          <w:sz w:val="24"/>
        </w:rPr>
        <w:t>±</w:t>
      </w:r>
      <w:r>
        <w:rPr>
          <w:rFonts w:ascii="Times New Roman" w:hAnsi="Times New Roman"/>
          <w:sz w:val="24"/>
        </w:rPr>
        <w:t>20</w:t>
      </w:r>
      <w:r>
        <w:rPr>
          <w:rFonts w:hint="eastAsia" w:ascii="Times New Roman" w:hAnsi="Times New Roman"/>
          <w:sz w:val="24"/>
        </w:rPr>
        <w:t>）℃，最大温度变化量为</w:t>
      </w:r>
      <w:r>
        <w:rPr>
          <w:rFonts w:ascii="Times New Roman" w:hAnsi="Times New Roman"/>
          <w:sz w:val="24"/>
        </w:rPr>
        <w:t xml:space="preserve">20 </w:t>
      </w:r>
      <w:r>
        <w:rPr>
          <w:rFonts w:hint="eastAsia" w:ascii="Times New Roman" w:hAnsi="Times New Roman"/>
          <w:sz w:val="24"/>
        </w:rPr>
        <w:t>℃</w:t>
      </w:r>
      <w:r>
        <w:rPr>
          <w:rFonts w:hint="eastAsia" w:ascii="Times New Roman" w:hAnsi="Times New Roman"/>
          <w:sz w:val="24"/>
          <w:szCs w:val="24"/>
        </w:rPr>
        <w:t>，根据容积温度修正公式（</w:t>
      </w:r>
      <w:r>
        <w:rPr>
          <w:rFonts w:ascii="Times New Roman" w:hAnsi="Times New Roman"/>
          <w:sz w:val="24"/>
          <w:szCs w:val="24"/>
        </w:rPr>
        <w:t>D.1</w:t>
      </w:r>
      <w:r>
        <w:rPr>
          <w:rFonts w:hint="eastAsia" w:ascii="Times New Roman" w:hAnsi="Times New Roman"/>
          <w:sz w:val="24"/>
          <w:szCs w:val="24"/>
        </w:rPr>
        <w:t>）可得，</w:t>
      </w:r>
      <m:oMath>
        <m:r>
          <m:rP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oMath>
      <w:r>
        <w:rPr>
          <w:rFonts w:hint="eastAsia" w:ascii="Times New Roman" w:hAnsi="Times New Roman"/>
          <w:sz w:val="24"/>
          <w:szCs w:val="24"/>
        </w:rPr>
        <w:t>中各不确定度分量的灵敏系数为：</w:t>
      </w:r>
    </w:p>
    <w:p w14:paraId="6E61163B">
      <w:pPr>
        <w:spacing w:line="360" w:lineRule="auto"/>
        <w:ind w:firstLine="424" w:firstLineChars="177"/>
        <w:rPr>
          <w:rFonts w:ascii="Times New Roman" w:hAnsi="Times New Roman"/>
          <w:sz w:val="24"/>
          <w:szCs w:val="24"/>
        </w:rPr>
      </w:pPr>
      <w:r>
        <w:rPr>
          <w:rFonts w:hint="eastAsia" w:ascii="Times New Roman" w:hAnsi="Times New Roman"/>
          <w:sz w:val="24"/>
          <w:szCs w:val="24"/>
        </w:rPr>
        <w:t>环境温度测量引入的标准不确定度灵敏系数：</w:t>
      </w:r>
    </w:p>
    <w:tbl>
      <w:tblPr>
        <w:tblStyle w:val="15"/>
        <w:tblW w:w="0" w:type="auto"/>
        <w:tblInd w:w="0" w:type="dxa"/>
        <w:tblLayout w:type="autofit"/>
        <w:tblCellMar>
          <w:top w:w="0" w:type="dxa"/>
          <w:left w:w="108" w:type="dxa"/>
          <w:bottom w:w="0" w:type="dxa"/>
          <w:right w:w="108" w:type="dxa"/>
        </w:tblCellMar>
      </w:tblPr>
      <w:tblGrid>
        <w:gridCol w:w="6854"/>
        <w:gridCol w:w="1452"/>
      </w:tblGrid>
      <w:tr w14:paraId="30152CF9">
        <w:tc>
          <w:tcPr>
            <w:tcW w:w="7054" w:type="dxa"/>
          </w:tcPr>
          <w:p w14:paraId="1D9ECD3F">
            <w:pPr>
              <w:rPr>
                <w:rFonts w:ascii="Times New Roman" w:hAnsi="Times New Roman"/>
                <w:sz w:val="24"/>
                <w:szCs w:val="24"/>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11</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r>
                          <m:rPr/>
                          <w:rPr>
                            <w:rFonts w:ascii="Cambria Math" w:hAnsi="Cambria Math"/>
                            <w:sz w:val="24"/>
                            <w:szCs w:val="24"/>
                          </w:rPr>
                          <m:t xml:space="preserve">t </m:t>
                        </m:r>
                        <m:ctrlPr>
                          <w:rPr>
                            <w:rFonts w:ascii="Cambria Math" w:hAnsi="Cambria Math"/>
                            <w:i/>
                            <w:sz w:val="24"/>
                            <w:szCs w:val="24"/>
                          </w:rPr>
                        </m:ctrlPr>
                      </m:den>
                    </m:f>
                    <m:ctrlPr>
                      <w:rPr>
                        <w:rFonts w:ascii="Cambria Math" w:hAnsi="Cambria Math"/>
                        <w:sz w:val="24"/>
                        <w:szCs w:val="24"/>
                      </w:rPr>
                    </m:ctrlPr>
                  </m:e>
                </m:d>
                <m:r>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r>
                      <m:rPr/>
                      <w:rPr>
                        <w:rFonts w:hint="eastAsia" w:ascii="Cambria Math" w:hAnsi="Cambria Math"/>
                        <w:sz w:val="24"/>
                        <w:szCs w:val="24"/>
                      </w:rPr>
                      <m:t>×</m:t>
                    </m:r>
                    <m:r>
                      <m:rPr/>
                      <w:rPr>
                        <w:rFonts w:ascii="Cambria Math" w:hAnsi="Cambria Math"/>
                        <w:sz w:val="24"/>
                        <w:szCs w:val="24"/>
                      </w:rPr>
                      <m:t>2α</m:t>
                    </m:r>
                    <m:ctrlPr>
                      <w:rPr>
                        <w:rFonts w:ascii="Cambria Math" w:hAnsi="Cambria Math"/>
                        <w:i/>
                        <w:sz w:val="24"/>
                        <w:szCs w:val="24"/>
                      </w:rPr>
                    </m:ctrlPr>
                  </m:e>
                </m:d>
                <m:r>
                  <m:rPr/>
                  <w:rPr>
                    <w:rFonts w:ascii="Cambria Math" w:hAnsi="Cambria Math"/>
                    <w:sz w:val="24"/>
                    <w:szCs w:val="24"/>
                  </w:rPr>
                  <m:t>=7.17</m:t>
                </m:r>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10</m:t>
                    </m:r>
                    <m:ctrlPr>
                      <w:rPr>
                        <w:rFonts w:ascii="Cambria Math" w:hAnsi="Cambria Math"/>
                        <w:sz w:val="24"/>
                        <w:szCs w:val="24"/>
                      </w:rPr>
                    </m:ctrlPr>
                  </m:e>
                  <m:sup>
                    <m:r>
                      <m:rPr>
                        <m:sty m:val="p"/>
                      </m:rPr>
                      <w:rPr>
                        <w:rFonts w:ascii="Cambria Math" w:hAnsi="Cambria Math"/>
                        <w:sz w:val="24"/>
                        <w:szCs w:val="24"/>
                      </w:rPr>
                      <m:t>−1</m:t>
                    </m:r>
                    <m:ctrlPr>
                      <w:rPr>
                        <w:rFonts w:ascii="Cambria Math" w:hAnsi="Cambria Math"/>
                        <w:sz w:val="24"/>
                        <w:szCs w:val="24"/>
                      </w:rPr>
                    </m:ctrlPr>
                  </m:sup>
                </m:sSup>
                <m:r>
                  <m:rPr>
                    <m:sty m:val="p"/>
                  </m:rPr>
                  <w:rPr>
                    <w:rFonts w:ascii="Cambria Math" w:hAnsi="Cambria Math"/>
                    <w:sz w:val="24"/>
                    <w:szCs w:val="24"/>
                  </w:rPr>
                  <m:t xml:space="preserve"> L/</m:t>
                </m:r>
                <m:r>
                  <m:rPr/>
                  <w:rPr>
                    <w:rFonts w:ascii="Cambria Math" w:hAnsi="Cambria Math"/>
                    <w:sz w:val="24"/>
                    <w:szCs w:val="24"/>
                  </w:rPr>
                  <m:t>℃</m:t>
                </m:r>
              </m:oMath>
            </m:oMathPara>
          </w:p>
        </w:tc>
        <w:tc>
          <w:tcPr>
            <w:tcW w:w="1468" w:type="dxa"/>
            <w:vAlign w:val="center"/>
          </w:tcPr>
          <w:p w14:paraId="7034AE72">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F.3</w:t>
            </w:r>
            <w:r>
              <w:rPr>
                <w:rFonts w:hint="eastAsia" w:ascii="Times New Roman" w:hAnsi="Times New Roman"/>
                <w:sz w:val="24"/>
                <w:szCs w:val="24"/>
              </w:rPr>
              <w:t>）</w:t>
            </w:r>
          </w:p>
        </w:tc>
      </w:tr>
    </w:tbl>
    <w:p w14:paraId="376B131E">
      <w:pPr>
        <w:spacing w:line="360" w:lineRule="auto"/>
        <w:ind w:firstLine="424" w:firstLineChars="177"/>
        <w:rPr>
          <w:rFonts w:ascii="Times New Roman" w:hAnsi="Times New Roman"/>
          <w:sz w:val="24"/>
          <w:szCs w:val="24"/>
        </w:rPr>
      </w:pPr>
      <w:r>
        <w:rPr>
          <w:rFonts w:hint="eastAsia" w:ascii="Times New Roman" w:hAnsi="Times New Roman"/>
          <w:sz w:val="24"/>
          <w:szCs w:val="24"/>
        </w:rPr>
        <w:t>检测罐体</w:t>
      </w:r>
      <w:r>
        <w:rPr>
          <w:rFonts w:hint="eastAsia" w:ascii="Times New Roman" w:hAnsi="Times New Roman"/>
          <w:sz w:val="24"/>
        </w:rPr>
        <w:t>膨</w:t>
      </w:r>
      <w:r>
        <w:rPr>
          <w:rFonts w:hint="eastAsia" w:ascii="Times New Roman" w:hAnsi="Times New Roman"/>
          <w:sz w:val="24"/>
          <w:szCs w:val="24"/>
        </w:rPr>
        <w:t>胀系数</w:t>
      </w:r>
      <w:r>
        <w:rPr>
          <w:rFonts w:hint="eastAsia" w:ascii="Times New Roman" w:hAnsi="Times New Roman"/>
          <w:sz w:val="24"/>
        </w:rPr>
        <w:t>引入</w:t>
      </w:r>
      <w:r>
        <w:rPr>
          <w:rFonts w:hint="eastAsia" w:ascii="Times New Roman" w:hAnsi="Times New Roman"/>
          <w:sz w:val="24"/>
          <w:szCs w:val="24"/>
        </w:rPr>
        <w:t>的标准不确定度灵敏系数：</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4"/>
        <w:gridCol w:w="1452"/>
      </w:tblGrid>
      <w:tr w14:paraId="7584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4" w:type="dxa"/>
            <w:tcBorders>
              <w:top w:val="nil"/>
              <w:left w:val="nil"/>
              <w:bottom w:val="nil"/>
              <w:right w:val="nil"/>
            </w:tcBorders>
          </w:tcPr>
          <w:p w14:paraId="21C92464">
            <w:pPr>
              <w:rPr>
                <w:rFonts w:ascii="Times New Roman" w:hAnsi="Times New Roman"/>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12</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r>
                          <m:rPr/>
                          <w:rPr>
                            <w:rFonts w:ascii="Cambria Math" w:hAnsi="Cambria Math"/>
                            <w:sz w:val="24"/>
                            <w:szCs w:val="24"/>
                          </w:rPr>
                          <m:t xml:space="preserve">α </m:t>
                        </m:r>
                        <m:ctrlPr>
                          <w:rPr>
                            <w:rFonts w:ascii="Cambria Math" w:hAnsi="Cambria Math"/>
                            <w:i/>
                            <w:sz w:val="24"/>
                            <w:szCs w:val="24"/>
                          </w:rPr>
                        </m:ctrlPr>
                      </m:den>
                    </m:f>
                    <m:ctrlPr>
                      <w:rPr>
                        <w:rFonts w:ascii="Cambria Math" w:hAnsi="Cambria Math"/>
                        <w:sz w:val="24"/>
                        <w:szCs w:val="24"/>
                      </w:rPr>
                    </m:ctrlPr>
                  </m:e>
                </m:d>
                <m:r>
                  <m:rPr/>
                  <w:rPr>
                    <w:rFonts w:ascii="Cambria Math" w:hAnsi="Cambria Math"/>
                    <w:sz w:val="24"/>
                    <w:szCs w:val="24"/>
                  </w:rPr>
                  <m:t>=</m:t>
                </m:r>
                <m:d>
                  <m:dPr>
                    <m:begChr m:val="|"/>
                    <m:endChr m:val="|"/>
                    <m:ctrlPr>
                      <w:rPr>
                        <w:rFonts w:ascii="Cambria Math" w:hAnsi="Cambria Math"/>
                        <w:i/>
                        <w:sz w:val="24"/>
                        <w:szCs w:val="24"/>
                      </w:rPr>
                    </m:ctrlPr>
                  </m:dPr>
                  <m:e>
                    <m:r>
                      <m:rPr/>
                      <w:rPr>
                        <w:rFonts w:ascii="Cambria Math" w:hAnsi="Cambria Math"/>
                        <w:sz w:val="24"/>
                        <w:szCs w:val="24"/>
                      </w:rPr>
                      <m:t>2</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d>
                      <m:dPr>
                        <m:ctrlPr>
                          <w:rPr>
                            <w:rFonts w:ascii="Cambria Math" w:hAnsi="Cambria Math"/>
                            <w:i/>
                            <w:sz w:val="24"/>
                            <w:szCs w:val="24"/>
                          </w:rPr>
                        </m:ctrlPr>
                      </m:dPr>
                      <m:e>
                        <m:r>
                          <m:rPr/>
                          <w:rPr>
                            <w:rFonts w:ascii="Cambria Math" w:hAnsi="Cambria Math"/>
                            <w:sz w:val="24"/>
                            <w:szCs w:val="24"/>
                          </w:rPr>
                          <m:t>20−t</m:t>
                        </m:r>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=1 195 200</m:t>
                </m:r>
                <m:r>
                  <m:rPr>
                    <m:sty m:val="p"/>
                  </m:rPr>
                  <w:rPr>
                    <w:rFonts w:ascii="Cambria Math" w:hAnsi="Cambria Math"/>
                    <w:sz w:val="24"/>
                    <w:szCs w:val="24"/>
                  </w:rPr>
                  <m:t xml:space="preserve"> L</m:t>
                </m:r>
                <m:r>
                  <m:rPr/>
                  <w:rPr>
                    <w:rFonts w:ascii="Cambria Math" w:hAnsi="Cambria Math"/>
                    <w:sz w:val="24"/>
                    <w:szCs w:val="24"/>
                  </w:rPr>
                  <m:t>∙℃</m:t>
                </m:r>
              </m:oMath>
            </m:oMathPara>
          </w:p>
        </w:tc>
        <w:tc>
          <w:tcPr>
            <w:tcW w:w="1468" w:type="dxa"/>
            <w:tcBorders>
              <w:top w:val="nil"/>
              <w:left w:val="nil"/>
              <w:bottom w:val="nil"/>
              <w:right w:val="nil"/>
            </w:tcBorders>
          </w:tcPr>
          <w:p w14:paraId="3C85D689">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F.4</w:t>
            </w:r>
            <w:r>
              <w:rPr>
                <w:rFonts w:hint="eastAsia" w:ascii="Times New Roman" w:hAnsi="Times New Roman"/>
                <w:sz w:val="24"/>
                <w:szCs w:val="24"/>
              </w:rPr>
              <w:t>）</w:t>
            </w:r>
          </w:p>
        </w:tc>
      </w:tr>
    </w:tbl>
    <w:p w14:paraId="69DFC848">
      <w:pPr>
        <w:spacing w:line="360" w:lineRule="auto"/>
        <w:rPr>
          <w:rFonts w:ascii="Times New Roman" w:hAnsi="Times New Roman"/>
          <w:sz w:val="24"/>
          <w:szCs w:val="24"/>
        </w:rPr>
      </w:pPr>
      <w:r>
        <w:rPr>
          <w:rFonts w:hint="eastAsia" w:ascii="Times New Roman" w:hAnsi="Times New Roman"/>
          <w:sz w:val="24"/>
          <w:szCs w:val="24"/>
        </w:rPr>
        <w:t>F.3.1.1  环境温度测量引入的标准不确定度分量</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1t</m:t>
            </m:r>
            <m:ctrlPr>
              <w:rPr>
                <w:rFonts w:ascii="Cambria Math" w:hAnsi="Cambria Math"/>
                <w:i/>
                <w:sz w:val="24"/>
                <w:szCs w:val="24"/>
              </w:rPr>
            </m:ctrlPr>
          </m:sub>
        </m:sSub>
      </m:oMath>
    </w:p>
    <w:p w14:paraId="49135164">
      <w:pPr>
        <w:spacing w:line="360" w:lineRule="auto"/>
        <w:ind w:firstLine="420"/>
        <w:rPr>
          <w:rFonts w:ascii="Times New Roman" w:hAnsi="Times New Roman"/>
          <w:sz w:val="24"/>
          <w:szCs w:val="24"/>
        </w:rPr>
      </w:pPr>
      <w:r>
        <w:rPr>
          <w:rFonts w:hint="eastAsia" w:ascii="Times New Roman" w:hAnsi="Times New Roman"/>
          <w:sz w:val="24"/>
          <w:szCs w:val="24"/>
        </w:rPr>
        <w:t>校准时环境温度测量</w:t>
      </w:r>
      <w:r>
        <w:rPr>
          <w:rFonts w:hint="eastAsia" w:ascii="Times New Roman" w:hAnsi="Times New Roman"/>
          <w:sz w:val="24"/>
        </w:rPr>
        <w:t>（包括温度场的不均匀性）的最大误差为±</w:t>
      </w:r>
      <w:r>
        <w:rPr>
          <w:rFonts w:ascii="Times New Roman" w:hAnsi="Times New Roman"/>
          <w:sz w:val="24"/>
        </w:rPr>
        <w:t xml:space="preserve">2 </w:t>
      </w:r>
      <w:r>
        <w:rPr>
          <w:rFonts w:hint="eastAsia" w:ascii="Times New Roman" w:hAnsi="Times New Roman"/>
          <w:sz w:val="24"/>
        </w:rPr>
        <w:t>℃，</w:t>
      </w:r>
      <w:r>
        <w:rPr>
          <w:rFonts w:hint="eastAsia" w:ascii="Times New Roman" w:hAnsi="Times New Roman"/>
          <w:sz w:val="24"/>
          <w:szCs w:val="24"/>
        </w:rPr>
        <w:t>取均匀分布，则</w:t>
      </w:r>
    </w:p>
    <w:tbl>
      <w:tblPr>
        <w:tblStyle w:val="15"/>
        <w:tblW w:w="0" w:type="auto"/>
        <w:tblInd w:w="0" w:type="dxa"/>
        <w:tblLayout w:type="autofit"/>
        <w:tblCellMar>
          <w:top w:w="0" w:type="dxa"/>
          <w:left w:w="108" w:type="dxa"/>
          <w:bottom w:w="0" w:type="dxa"/>
          <w:right w:w="108" w:type="dxa"/>
        </w:tblCellMar>
      </w:tblPr>
      <w:tblGrid>
        <w:gridCol w:w="6854"/>
        <w:gridCol w:w="1452"/>
      </w:tblGrid>
      <w:tr w14:paraId="5B907E2E">
        <w:tc>
          <w:tcPr>
            <w:tcW w:w="7054" w:type="dxa"/>
          </w:tcPr>
          <w:p w14:paraId="05263E00">
            <w:pPr>
              <w:spacing w:line="360" w:lineRule="auto"/>
              <w:ind w:firstLine="1080" w:firstLineChars="450"/>
              <w:rPr>
                <w:rFonts w:ascii="Times New Roman" w:hAnsi="Times New Roman"/>
                <w:sz w:val="24"/>
                <w:szCs w:val="24"/>
              </w:rPr>
            </w:pPr>
            <m:oMathPara>
              <m:oMathParaPr>
                <m:jc m:val="center"/>
              </m:oMathParaPr>
              <m:oMath>
                <m:sSub>
                  <m:sSubPr>
                    <m:ctrlPr>
                      <w:rPr>
                        <w:rFonts w:ascii="Cambria Math" w:hAnsi="Cambria Math"/>
                        <w:i/>
                        <w:sz w:val="24"/>
                        <w:szCs w:val="24"/>
                      </w:rPr>
                    </m:ctrlPr>
                  </m:sSubPr>
                  <m:e>
                    <m:r>
                      <m:rPr/>
                      <w:rPr>
                        <w:rFonts w:ascii="Cambria Math" w:hAnsi="Cambria Math"/>
                        <w:sz w:val="24"/>
                        <w:szCs w:val="24"/>
                      </w:rPr>
                      <m:t xml:space="preserve">                   u</m:t>
                    </m:r>
                    <m:ctrlPr>
                      <w:rPr>
                        <w:rFonts w:ascii="Cambria Math" w:hAnsi="Cambria Math"/>
                        <w:i/>
                        <w:sz w:val="24"/>
                        <w:szCs w:val="24"/>
                      </w:rPr>
                    </m:ctrlPr>
                  </m:e>
                  <m:sub>
                    <m:r>
                      <m:rPr/>
                      <w:rPr>
                        <w:rFonts w:ascii="Cambria Math" w:hAnsi="Cambria Math"/>
                        <w:sz w:val="24"/>
                        <w:szCs w:val="24"/>
                      </w:rPr>
                      <m:t>1t</m:t>
                    </m:r>
                    <m:ctrlPr>
                      <w:rPr>
                        <w:rFonts w:ascii="Cambria Math" w:hAnsi="Cambria Math"/>
                        <w:i/>
                        <w:sz w:val="24"/>
                        <w:szCs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2</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hAns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hAnsi="Cambria Math"/>
                    <w:sz w:val="24"/>
                    <w:szCs w:val="24"/>
                  </w:rPr>
                  <m:t xml:space="preserve">=1.15 </m:t>
                </m:r>
                <m:r>
                  <m:rPr/>
                  <w:rPr>
                    <w:rFonts w:ascii="Cambria Math" w:hAnsi="Cambria Math"/>
                    <w:sz w:val="24"/>
                    <w:szCs w:val="24"/>
                  </w:rPr>
                  <m:t>℃</m:t>
                </m:r>
              </m:oMath>
            </m:oMathPara>
          </w:p>
        </w:tc>
        <w:tc>
          <w:tcPr>
            <w:tcW w:w="1468" w:type="dxa"/>
          </w:tcPr>
          <w:p w14:paraId="27254338">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F.5</w:t>
            </w:r>
            <w:r>
              <w:rPr>
                <w:rFonts w:hint="eastAsia" w:ascii="Times New Roman" w:hAnsi="Times New Roman"/>
                <w:sz w:val="24"/>
                <w:szCs w:val="24"/>
              </w:rPr>
              <w:t>）</w:t>
            </w:r>
          </w:p>
        </w:tc>
      </w:tr>
    </w:tbl>
    <w:p w14:paraId="51458573">
      <w:pPr>
        <w:spacing w:line="360" w:lineRule="auto"/>
        <w:rPr>
          <w:rFonts w:ascii="Times New Roman" w:hAnsi="Times New Roman"/>
          <w:sz w:val="24"/>
          <w:szCs w:val="24"/>
        </w:rPr>
      </w:pPr>
      <w:r>
        <w:rPr>
          <w:rFonts w:hint="eastAsia" w:ascii="Times New Roman" w:hAnsi="Times New Roman"/>
          <w:sz w:val="24"/>
          <w:szCs w:val="24"/>
        </w:rPr>
        <w:t>F.3.1.2  检测罐体</w:t>
      </w:r>
      <w:r>
        <w:rPr>
          <w:rFonts w:hint="eastAsia" w:ascii="Times New Roman" w:hAnsi="Times New Roman"/>
          <w:sz w:val="24"/>
        </w:rPr>
        <w:t>膨</w:t>
      </w:r>
      <w:r>
        <w:rPr>
          <w:rFonts w:hint="eastAsia" w:ascii="Times New Roman" w:hAnsi="Times New Roman"/>
          <w:sz w:val="24"/>
          <w:szCs w:val="24"/>
        </w:rPr>
        <w:t>胀系数</w:t>
      </w:r>
      <w:r>
        <w:rPr>
          <w:rFonts w:hint="eastAsia" w:ascii="Times New Roman" w:hAnsi="Times New Roman"/>
          <w:sz w:val="24"/>
        </w:rPr>
        <w:t>引入</w:t>
      </w:r>
      <w:r>
        <w:rPr>
          <w:rFonts w:hint="eastAsia" w:ascii="Times New Roman" w:hAnsi="Times New Roman"/>
          <w:sz w:val="24"/>
          <w:szCs w:val="24"/>
        </w:rPr>
        <w:t>的标准不确定度</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1β</m:t>
            </m:r>
            <m:ctrlPr>
              <w:rPr>
                <w:rFonts w:ascii="Cambria Math" w:hAnsi="Cambria Math"/>
                <w:i/>
                <w:sz w:val="24"/>
                <w:szCs w:val="24"/>
              </w:rPr>
            </m:ctrlPr>
          </m:sub>
        </m:sSub>
      </m:oMath>
    </w:p>
    <w:p w14:paraId="731D6557">
      <w:pPr>
        <w:pStyle w:val="8"/>
        <w:spacing w:line="360" w:lineRule="auto"/>
        <w:ind w:firstLineChars="0"/>
        <w:rPr>
          <w:sz w:val="24"/>
        </w:rPr>
      </w:pPr>
      <w:r>
        <w:rPr>
          <w:rFonts w:hint="eastAsia"/>
          <w:sz w:val="24"/>
        </w:rPr>
        <w:t>检测罐体膨胀系数的最大误差为</w:t>
      </w:r>
      <w:r>
        <w:rPr>
          <w:sz w:val="24"/>
        </w:rPr>
        <w:t>1.2</w:t>
      </w:r>
      <w:r>
        <w:rPr>
          <w:rFonts w:hint="eastAsia"/>
          <w:sz w:val="24"/>
        </w:rPr>
        <w:t>×</w:t>
      </w:r>
      <w:r>
        <w:rPr>
          <w:sz w:val="24"/>
        </w:rPr>
        <w:t>10</w:t>
      </w:r>
      <w:r>
        <w:rPr>
          <w:sz w:val="24"/>
          <w:vertAlign w:val="superscript"/>
        </w:rPr>
        <w:t xml:space="preserve">-6 </w:t>
      </w:r>
      <w:r>
        <w:rPr>
          <w:rFonts w:hint="eastAsia"/>
          <w:sz w:val="24"/>
        </w:rPr>
        <w:t>℃</w:t>
      </w:r>
      <w:r>
        <w:rPr>
          <w:sz w:val="24"/>
          <w:vertAlign w:val="superscript"/>
        </w:rPr>
        <w:t>-1</w:t>
      </w:r>
      <w:r>
        <w:rPr>
          <w:rFonts w:hint="eastAsia"/>
          <w:sz w:val="24"/>
        </w:rPr>
        <w:t>，作均匀分布处理，则</w:t>
      </w:r>
    </w:p>
    <w:tbl>
      <w:tblPr>
        <w:tblStyle w:val="15"/>
        <w:tblW w:w="0" w:type="auto"/>
        <w:tblInd w:w="0" w:type="dxa"/>
        <w:tblLayout w:type="autofit"/>
        <w:tblCellMar>
          <w:top w:w="0" w:type="dxa"/>
          <w:left w:w="108" w:type="dxa"/>
          <w:bottom w:w="0" w:type="dxa"/>
          <w:right w:w="108" w:type="dxa"/>
        </w:tblCellMar>
      </w:tblPr>
      <w:tblGrid>
        <w:gridCol w:w="6854"/>
        <w:gridCol w:w="1452"/>
      </w:tblGrid>
      <w:tr w14:paraId="5217391C">
        <w:tblPrEx>
          <w:tblCellMar>
            <w:top w:w="0" w:type="dxa"/>
            <w:left w:w="108" w:type="dxa"/>
            <w:bottom w:w="0" w:type="dxa"/>
            <w:right w:w="108" w:type="dxa"/>
          </w:tblCellMar>
        </w:tblPrEx>
        <w:tc>
          <w:tcPr>
            <w:tcW w:w="7054" w:type="dxa"/>
            <w:vAlign w:val="center"/>
          </w:tcPr>
          <w:p w14:paraId="49C5AF45">
            <w:pPr>
              <w:pStyle w:val="8"/>
              <w:spacing w:line="360" w:lineRule="auto"/>
              <w:ind w:firstLineChars="175"/>
              <w:rPr>
                <w:sz w:val="24"/>
              </w:rPr>
            </w:pPr>
            <m:oMathPara>
              <m:oMathParaPr>
                <m:jc m:val="center"/>
              </m:oMathParaPr>
              <m:oMath>
                <m:sSub>
                  <m:sSubPr>
                    <m:ctrlPr>
                      <w:rPr>
                        <w:rFonts w:ascii="Cambria Math" w:hAnsi="Cambria Math"/>
                        <w:i/>
                        <w:sz w:val="24"/>
                      </w:rPr>
                    </m:ctrlPr>
                  </m:sSubPr>
                  <m:e>
                    <m:r>
                      <m:rPr/>
                      <w:rPr>
                        <w:rFonts w:ascii="Cambria Math" w:hAnsi="Cambria Math"/>
                        <w:sz w:val="24"/>
                      </w:rPr>
                      <m:t xml:space="preserve">       u</m:t>
                    </m:r>
                    <m:ctrlPr>
                      <w:rPr>
                        <w:rFonts w:ascii="Cambria Math" w:hAnsi="Cambria Math"/>
                        <w:i/>
                        <w:sz w:val="24"/>
                      </w:rPr>
                    </m:ctrlPr>
                  </m:e>
                  <m:sub>
                    <m:r>
                      <m:rPr/>
                      <w:rPr>
                        <w:rFonts w:ascii="Cambria Math" w:hAnsi="Cambria Math"/>
                        <w:sz w:val="24"/>
                      </w:rPr>
                      <m:t>1β</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m:sty m:val="p"/>
                      </m:rPr>
                      <w:rPr>
                        <w:rFonts w:ascii="Cambria Math" w:hAnsi="Cambria Math"/>
                        <w:sz w:val="24"/>
                      </w:rPr>
                      <m:t>1.2×</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ctrlPr>
                      <w:rPr>
                        <w:rFonts w:ascii="Cambria Math" w:hAnsi="Cambria Math"/>
                        <w:sz w:val="24"/>
                      </w:rPr>
                    </m:ctrlPr>
                  </m:num>
                  <m:den>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3</m:t>
                        </m:r>
                        <m:ctrlPr>
                          <w:rPr>
                            <w:rFonts w:ascii="Cambria Math" w:hAnsi="Cambria Math"/>
                            <w:sz w:val="24"/>
                          </w:rPr>
                        </m:ctrlPr>
                      </m:e>
                    </m:rad>
                    <m:ctrlPr>
                      <w:rPr>
                        <w:rFonts w:ascii="Cambria Math" w:hAnsi="Cambria Math"/>
                        <w:sz w:val="24"/>
                      </w:rPr>
                    </m:ctrlPr>
                  </m:den>
                </m:f>
                <m:r>
                  <m:rPr/>
                  <w:rPr>
                    <w:rFonts w:ascii="Cambria Math" w:hAnsi="Cambria Math"/>
                    <w:sz w:val="24"/>
                  </w:rPr>
                  <m:t>=</m:t>
                </m:r>
                <m:r>
                  <m:rPr>
                    <m:sty m:val="p"/>
                  </m:rPr>
                  <w:rPr>
                    <w:rFonts w:ascii="Cambria Math" w:hAnsi="Cambria Math"/>
                    <w:sz w:val="24"/>
                  </w:rPr>
                  <m:t>0.69×</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r>
                  <m:rPr/>
                  <w:rPr>
                    <w:rFonts w:ascii="Cambria Math" w:hAnsi="Cambria Math"/>
                    <w:sz w:val="24"/>
                  </w:rPr>
                  <m:t xml:space="preserve"> </m:t>
                </m:r>
                <m:sSup>
                  <m:sSupPr>
                    <m:ctrlPr>
                      <w:rPr>
                        <w:rFonts w:ascii="Cambria Math" w:hAnsi="Cambria Math"/>
                        <w:sz w:val="24"/>
                      </w:rPr>
                    </m:ctrlPr>
                  </m:sSupPr>
                  <m:e>
                    <m:r>
                      <m:rPr/>
                      <w:rPr>
                        <w:rFonts w:ascii="Cambria Math" w:hAnsi="Cambria Math"/>
                        <w:sz w:val="24"/>
                      </w:rPr>
                      <m:t xml:space="preserve"> ℃</m:t>
                    </m:r>
                    <m:ctrlPr>
                      <w:rPr>
                        <w:rFonts w:ascii="Cambria Math" w:hAnsi="Cambria Math"/>
                        <w:sz w:val="24"/>
                      </w:rPr>
                    </m:ctrlPr>
                  </m:e>
                  <m:sup>
                    <m:r>
                      <m:rPr>
                        <m:sty m:val="p"/>
                      </m:rPr>
                      <w:rPr>
                        <w:rFonts w:ascii="Cambria Math" w:hAnsi="Cambria Math"/>
                        <w:sz w:val="24"/>
                      </w:rPr>
                      <m:t>−1</m:t>
                    </m:r>
                    <m:ctrlPr>
                      <w:rPr>
                        <w:rFonts w:ascii="Cambria Math" w:hAnsi="Cambria Math"/>
                        <w:sz w:val="24"/>
                      </w:rPr>
                    </m:ctrlPr>
                  </m:sup>
                </m:sSup>
              </m:oMath>
            </m:oMathPara>
          </w:p>
        </w:tc>
        <w:tc>
          <w:tcPr>
            <w:tcW w:w="1468" w:type="dxa"/>
            <w:vAlign w:val="center"/>
          </w:tcPr>
          <w:p w14:paraId="3FE1BCDD">
            <w:pPr>
              <w:pStyle w:val="8"/>
              <w:spacing w:line="360" w:lineRule="auto"/>
              <w:ind w:firstLine="0" w:firstLineChars="0"/>
              <w:jc w:val="right"/>
              <w:rPr>
                <w:sz w:val="24"/>
              </w:rPr>
            </w:pPr>
            <w:r>
              <w:rPr>
                <w:rFonts w:hint="eastAsia"/>
                <w:sz w:val="24"/>
              </w:rPr>
              <w:t>（F.6）</w:t>
            </w:r>
          </w:p>
        </w:tc>
      </w:tr>
    </w:tbl>
    <w:p w14:paraId="5FF6C44E">
      <w:pPr>
        <w:spacing w:line="360" w:lineRule="auto"/>
        <w:rPr>
          <w:rFonts w:ascii="Times New Roman" w:hAnsi="Times New Roman"/>
          <w:sz w:val="24"/>
          <w:szCs w:val="24"/>
        </w:rPr>
      </w:pPr>
      <w:r>
        <w:rPr>
          <w:rFonts w:hint="eastAsia" w:ascii="Times New Roman" w:hAnsi="Times New Roman"/>
          <w:sz w:val="24"/>
          <w:szCs w:val="24"/>
        </w:rPr>
        <w:t>F.3.1.3  容积测量重复性引入的标准不确定度分量</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1r</m:t>
            </m:r>
            <m:ctrlPr>
              <w:rPr>
                <w:rFonts w:ascii="Cambria Math" w:hAnsi="Cambria Math"/>
                <w:i/>
                <w:sz w:val="24"/>
                <w:szCs w:val="24"/>
              </w:rPr>
            </m:ctrlPr>
          </m:sub>
        </m:sSub>
      </m:oMath>
    </w:p>
    <w:p w14:paraId="18D5DC13">
      <w:pPr>
        <w:spacing w:line="360" w:lineRule="auto"/>
        <w:ind w:firstLine="480" w:firstLineChars="200"/>
        <w:rPr>
          <w:sz w:val="24"/>
          <w:szCs w:val="24"/>
        </w:rPr>
      </w:pPr>
      <w:r>
        <w:rPr>
          <w:rFonts w:hint="eastAsia" w:ascii="Times New Roman" w:hAnsi="Times New Roman"/>
          <w:sz w:val="24"/>
          <w:szCs w:val="24"/>
        </w:rPr>
        <w:t>选一性能稳定的扫描仪作为被校准对象，对</w:t>
      </w:r>
      <w:r>
        <w:rPr>
          <w:rFonts w:ascii="Times New Roman" w:hAnsi="Times New Roman"/>
          <w:sz w:val="24"/>
          <w:szCs w:val="24"/>
        </w:rPr>
        <w:t>G</w:t>
      </w:r>
      <w:r>
        <w:rPr>
          <w:rFonts w:ascii="Times New Roman" w:hAnsi="Times New Roman"/>
          <w:sz w:val="24"/>
          <w:szCs w:val="24"/>
          <w:vertAlign w:val="subscript"/>
        </w:rPr>
        <w:t>11</w:t>
      </w:r>
      <w:r>
        <w:rPr>
          <w:rFonts w:hint="eastAsia" w:ascii="Times New Roman" w:hAnsi="Times New Roman"/>
          <w:sz w:val="24"/>
          <w:szCs w:val="24"/>
        </w:rPr>
        <w:t>型检测罐重复扫描</w:t>
      </w:r>
      <w:r>
        <w:rPr>
          <w:rFonts w:ascii="Times New Roman" w:hAnsi="Times New Roman"/>
          <w:sz w:val="24"/>
          <w:szCs w:val="24"/>
        </w:rPr>
        <w:t>6</w:t>
      </w:r>
      <w:r>
        <w:rPr>
          <w:rFonts w:hint="eastAsia" w:ascii="Times New Roman" w:hAnsi="Times New Roman"/>
          <w:sz w:val="24"/>
          <w:szCs w:val="24"/>
        </w:rPr>
        <w:t>次；校准点对应高度为</w:t>
      </w:r>
      <w:r>
        <w:rPr>
          <w:rFonts w:ascii="Times New Roman" w:hAnsi="Times New Roman"/>
          <w:sz w:val="24"/>
          <w:szCs w:val="24"/>
        </w:rPr>
        <w:t>1 610.0 mm</w:t>
      </w:r>
      <w:r>
        <w:rPr>
          <w:rFonts w:hint="eastAsia" w:ascii="Times New Roman" w:hAnsi="Times New Roman"/>
          <w:sz w:val="24"/>
          <w:szCs w:val="24"/>
        </w:rPr>
        <w:t>，容积测得值分别为：</w:t>
      </w:r>
      <w:r>
        <w:rPr>
          <w:rFonts w:ascii="Times New Roman" w:hAnsi="Times New Roman"/>
          <w:kern w:val="0"/>
          <w:sz w:val="24"/>
          <w:szCs w:val="24"/>
        </w:rPr>
        <w:t>29 834 L</w:t>
      </w:r>
      <w:r>
        <w:rPr>
          <w:rFonts w:hint="eastAsia" w:ascii="Times New Roman" w:hAnsi="Times New Roman"/>
          <w:sz w:val="24"/>
          <w:szCs w:val="24"/>
        </w:rPr>
        <w:t>，</w:t>
      </w:r>
      <w:r>
        <w:rPr>
          <w:rFonts w:ascii="Times New Roman" w:hAnsi="Times New Roman"/>
          <w:kern w:val="0"/>
          <w:sz w:val="24"/>
          <w:szCs w:val="24"/>
        </w:rPr>
        <w:t>29 837 L</w:t>
      </w:r>
      <w:r>
        <w:rPr>
          <w:rFonts w:hint="eastAsia" w:ascii="Times New Roman" w:hAnsi="Times New Roman"/>
          <w:sz w:val="24"/>
          <w:szCs w:val="24"/>
        </w:rPr>
        <w:t>，</w:t>
      </w:r>
      <w:r>
        <w:rPr>
          <w:rFonts w:ascii="Times New Roman" w:hAnsi="Times New Roman"/>
          <w:kern w:val="0"/>
          <w:sz w:val="24"/>
          <w:szCs w:val="24"/>
        </w:rPr>
        <w:t>29 836 L</w:t>
      </w:r>
      <w:r>
        <w:rPr>
          <w:rFonts w:hint="eastAsia" w:ascii="Times New Roman" w:hAnsi="Times New Roman"/>
          <w:sz w:val="24"/>
          <w:szCs w:val="24"/>
        </w:rPr>
        <w:t>，</w:t>
      </w:r>
      <w:r>
        <w:rPr>
          <w:rFonts w:ascii="Times New Roman" w:hAnsi="Times New Roman"/>
          <w:kern w:val="0"/>
          <w:sz w:val="24"/>
          <w:szCs w:val="24"/>
        </w:rPr>
        <w:t>29 827 L</w:t>
      </w:r>
      <w:r>
        <w:rPr>
          <w:rFonts w:hint="eastAsia" w:ascii="Times New Roman" w:hAnsi="Times New Roman"/>
          <w:sz w:val="24"/>
          <w:szCs w:val="24"/>
        </w:rPr>
        <w:t>，</w:t>
      </w:r>
      <w:r>
        <w:rPr>
          <w:rFonts w:ascii="Times New Roman" w:hAnsi="Times New Roman"/>
          <w:kern w:val="0"/>
          <w:sz w:val="24"/>
          <w:szCs w:val="24"/>
        </w:rPr>
        <w:t>29 831 L</w:t>
      </w:r>
      <w:r>
        <w:rPr>
          <w:rFonts w:hint="eastAsia" w:ascii="Times New Roman" w:hAnsi="Times New Roman"/>
          <w:sz w:val="24"/>
          <w:szCs w:val="24"/>
        </w:rPr>
        <w:t>，</w:t>
      </w:r>
      <w:r>
        <w:rPr>
          <w:rFonts w:ascii="Times New Roman" w:hAnsi="Times New Roman"/>
          <w:kern w:val="0"/>
          <w:sz w:val="24"/>
          <w:szCs w:val="24"/>
        </w:rPr>
        <w:t>29 84</w:t>
      </w:r>
      <w:r>
        <w:rPr>
          <w:kern w:val="0"/>
          <w:sz w:val="24"/>
          <w:szCs w:val="24"/>
        </w:rPr>
        <w:t>4 L</w:t>
      </w:r>
      <w:r>
        <w:rPr>
          <w:rFonts w:hint="eastAsia"/>
          <w:kern w:val="0"/>
          <w:sz w:val="24"/>
          <w:szCs w:val="24"/>
        </w:rPr>
        <w:t>。按照极差法计算出</w:t>
      </w:r>
      <w:r>
        <w:rPr>
          <w:rFonts w:hint="eastAsia"/>
          <w:sz w:val="24"/>
          <w:szCs w:val="24"/>
        </w:rPr>
        <w:t>实验标准偏差：</w:t>
      </w:r>
    </w:p>
    <w:tbl>
      <w:tblPr>
        <w:tblStyle w:val="15"/>
        <w:tblW w:w="0" w:type="auto"/>
        <w:tblInd w:w="0" w:type="dxa"/>
        <w:tblLayout w:type="autofit"/>
        <w:tblCellMar>
          <w:top w:w="0" w:type="dxa"/>
          <w:left w:w="108" w:type="dxa"/>
          <w:bottom w:w="0" w:type="dxa"/>
          <w:right w:w="108" w:type="dxa"/>
        </w:tblCellMar>
      </w:tblPr>
      <w:tblGrid>
        <w:gridCol w:w="6442"/>
        <w:gridCol w:w="1864"/>
      </w:tblGrid>
      <w:tr w14:paraId="4DF51B62">
        <w:tc>
          <w:tcPr>
            <w:tcW w:w="6629" w:type="dxa"/>
          </w:tcPr>
          <w:p w14:paraId="5F68826B">
            <w:pPr>
              <w:spacing w:line="360" w:lineRule="auto"/>
              <w:ind w:firstLine="480" w:firstLineChars="200"/>
              <w:jc w:val="center"/>
              <w:rPr>
                <w:sz w:val="24"/>
                <w:szCs w:val="24"/>
              </w:rPr>
            </w:pPr>
            <m:oMathPara>
              <m:oMath>
                <m:r>
                  <m:rPr/>
                  <w:rPr>
                    <w:rFonts w:ascii="Cambria Math" w:hAnsi="Cambria Math"/>
                    <w:sz w:val="24"/>
                    <w:szCs w:val="24"/>
                  </w:rPr>
                  <m:t xml:space="preserve">             s</m:t>
                </m:r>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r>
                  <m:rPr/>
                  <w:rPr>
                    <w:rFonts w:ascii="Cambria Math" w:hAnsi="Cambria Math"/>
                    <w:sz w:val="24"/>
                    <w:szCs w:val="24"/>
                  </w:rPr>
                  <m:t xml:space="preserve">6.72 </m:t>
                </m:r>
                <m:r>
                  <m:rPr>
                    <m:sty m:val="p"/>
                  </m:rPr>
                  <w:rPr>
                    <w:rFonts w:ascii="Cambria Math" w:hAnsi="Cambria Math"/>
                    <w:sz w:val="24"/>
                    <w:szCs w:val="24"/>
                  </w:rPr>
                  <m:t>L</m:t>
                </m:r>
              </m:oMath>
            </m:oMathPara>
          </w:p>
        </w:tc>
        <w:tc>
          <w:tcPr>
            <w:tcW w:w="1893" w:type="dxa"/>
          </w:tcPr>
          <w:p w14:paraId="47602195">
            <w:pPr>
              <w:spacing w:line="360" w:lineRule="auto"/>
              <w:jc w:val="right"/>
              <w:rPr>
                <w:sz w:val="24"/>
                <w:szCs w:val="24"/>
              </w:rPr>
            </w:pPr>
            <w:r>
              <w:rPr>
                <w:rFonts w:hint="eastAsia" w:ascii="Times New Roman" w:hAnsi="Times New Roman"/>
                <w:sz w:val="24"/>
                <w:szCs w:val="24"/>
              </w:rPr>
              <w:t>（F.7）</w:t>
            </w:r>
          </w:p>
        </w:tc>
      </w:tr>
    </w:tbl>
    <w:p w14:paraId="4F2858AA">
      <w:pPr>
        <w:spacing w:line="360" w:lineRule="auto"/>
        <w:ind w:firstLine="480" w:firstLineChars="200"/>
        <w:rPr>
          <w:sz w:val="24"/>
          <w:szCs w:val="24"/>
        </w:rPr>
      </w:pPr>
      <w:r>
        <w:rPr>
          <w:rFonts w:hint="eastAsia"/>
          <w:sz w:val="24"/>
          <w:szCs w:val="24"/>
        </w:rPr>
        <w:t>则</w:t>
      </w:r>
    </w:p>
    <w:tbl>
      <w:tblPr>
        <w:tblStyle w:val="15"/>
        <w:tblW w:w="0" w:type="auto"/>
        <w:tblInd w:w="0" w:type="dxa"/>
        <w:tblLayout w:type="autofit"/>
        <w:tblCellMar>
          <w:top w:w="0" w:type="dxa"/>
          <w:left w:w="108" w:type="dxa"/>
          <w:bottom w:w="0" w:type="dxa"/>
          <w:right w:w="108" w:type="dxa"/>
        </w:tblCellMar>
      </w:tblPr>
      <w:tblGrid>
        <w:gridCol w:w="6993"/>
        <w:gridCol w:w="1313"/>
      </w:tblGrid>
      <w:tr w14:paraId="22172E6B">
        <w:tblPrEx>
          <w:tblCellMar>
            <w:top w:w="0" w:type="dxa"/>
            <w:left w:w="108" w:type="dxa"/>
            <w:bottom w:w="0" w:type="dxa"/>
            <w:right w:w="108" w:type="dxa"/>
          </w:tblCellMar>
        </w:tblPrEx>
        <w:tc>
          <w:tcPr>
            <w:tcW w:w="7196" w:type="dxa"/>
            <w:vAlign w:val="center"/>
          </w:tcPr>
          <w:p w14:paraId="59DE5855">
            <w:pPr>
              <w:spacing w:line="360" w:lineRule="auto"/>
              <w:ind w:firstLine="2126" w:firstLineChars="886"/>
              <w:rPr>
                <w:rFonts w:ascii="Times New Roman" w:hAnsi="Times New Roman"/>
                <w:sz w:val="24"/>
                <w:szCs w:val="24"/>
              </w:rPr>
            </w:pPr>
            <m:oMathPara>
              <m:oMathParaPr>
                <m:jc m:val="center"/>
              </m:oMathParaPr>
              <m:oMath>
                <m:sSub>
                  <m:sSubPr>
                    <m:ctrlPr>
                      <w:rPr>
                        <w:rFonts w:ascii="Cambria Math" w:hAnsi="Cambria Math"/>
                        <w:i/>
                        <w:sz w:val="24"/>
                      </w:rPr>
                    </m:ctrlPr>
                  </m:sSubPr>
                  <m:e>
                    <m:r>
                      <m:rPr/>
                      <w:rPr>
                        <w:rFonts w:ascii="Cambria Math" w:hAnsi="Cambria Math"/>
                        <w:sz w:val="24"/>
                      </w:rPr>
                      <m:t xml:space="preserve"> u</m:t>
                    </m:r>
                    <m:ctrlPr>
                      <w:rPr>
                        <w:rFonts w:ascii="Cambria Math" w:hAnsi="Cambria Math"/>
                        <w:i/>
                        <w:sz w:val="24"/>
                      </w:rPr>
                    </m:ctrlPr>
                  </m:e>
                  <m:sub>
                    <m:r>
                      <m:rPr/>
                      <w:rPr>
                        <w:rFonts w:ascii="Cambria Math" w:hAnsi="Cambria Math"/>
                        <w:sz w:val="24"/>
                      </w:rPr>
                      <m:t>1r</m:t>
                    </m:r>
                    <m:ctrlPr>
                      <w:rPr>
                        <w:rFonts w:ascii="Cambria Math" w:hAnsi="Cambria Math"/>
                        <w:i/>
                        <w:sz w:val="24"/>
                      </w:rPr>
                    </m:ctrlPr>
                  </m:sub>
                </m:sSub>
                <m:r>
                  <m:rPr/>
                  <w:rPr>
                    <w:rFonts w:ascii="Cambria Math" w:hAnsi="Cambria Math"/>
                    <w:sz w:val="24"/>
                  </w:rPr>
                  <m:t>=</m:t>
                </m:r>
                <m:r>
                  <m:rPr/>
                  <w:rPr>
                    <w:rFonts w:ascii="Cambria Math" w:hAnsi="Cambria Math"/>
                    <w:sz w:val="24"/>
                    <w:szCs w:val="24"/>
                  </w:rPr>
                  <m:t xml:space="preserve">6.72 </m:t>
                </m:r>
                <m:r>
                  <m:rPr>
                    <m:sty m:val="p"/>
                  </m:rPr>
                  <w:rPr>
                    <w:rFonts w:ascii="Cambria Math" w:hAnsi="Cambria Math"/>
                    <w:sz w:val="24"/>
                    <w:szCs w:val="24"/>
                  </w:rPr>
                  <m:t>L</m:t>
                </m:r>
              </m:oMath>
            </m:oMathPara>
          </w:p>
        </w:tc>
        <w:tc>
          <w:tcPr>
            <w:tcW w:w="1326" w:type="dxa"/>
            <w:vAlign w:val="center"/>
          </w:tcPr>
          <w:p w14:paraId="41EFA845">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F.8</w:t>
            </w:r>
            <w:r>
              <w:rPr>
                <w:rFonts w:hint="eastAsia" w:ascii="Times New Roman" w:hAnsi="Times New Roman"/>
                <w:sz w:val="24"/>
                <w:szCs w:val="24"/>
              </w:rPr>
              <w:t>）</w:t>
            </w:r>
          </w:p>
        </w:tc>
      </w:tr>
    </w:tbl>
    <w:p w14:paraId="66B2B6A5">
      <w:pPr>
        <w:spacing w:line="360" w:lineRule="auto"/>
        <w:rPr>
          <w:rFonts w:ascii="Times New Roman" w:hAnsi="Times New Roman"/>
          <w:sz w:val="24"/>
          <w:szCs w:val="24"/>
        </w:rPr>
      </w:pPr>
      <w:r>
        <w:rPr>
          <w:rFonts w:hint="eastAsia" w:ascii="Times New Roman" w:hAnsi="Times New Roman"/>
          <w:sz w:val="24"/>
          <w:szCs w:val="24"/>
        </w:rPr>
        <w:t>F.3.2  容积参考值</w:t>
      </w: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szCs w:val="24"/>
        </w:rPr>
        <w:t>引入的不确定度分量</w:t>
      </w:r>
      <m:oMath>
        <m:r>
          <m:rP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oMath>
    </w:p>
    <w:p w14:paraId="7115BB5E">
      <w:pPr>
        <w:spacing w:line="360" w:lineRule="auto"/>
        <w:ind w:firstLine="475" w:firstLineChars="198"/>
        <w:rPr>
          <w:rFonts w:ascii="Times New Roman" w:hAnsi="Times New Roman"/>
          <w:sz w:val="24"/>
        </w:rPr>
      </w:pPr>
      <w:r>
        <w:rPr>
          <w:rFonts w:hint="eastAsia" w:ascii="Times New Roman" w:hAnsi="Times New Roman"/>
          <w:sz w:val="24"/>
          <w:szCs w:val="24"/>
        </w:rPr>
        <w:t>容积参考值测量过程中，环境温度同F.4.1</w:t>
      </w:r>
      <w:r>
        <w:rPr>
          <w:rFonts w:hint="eastAsia" w:ascii="Times New Roman" w:hAnsi="Times New Roman"/>
          <w:sz w:val="24"/>
        </w:rPr>
        <w:t>；标准金属量器与检测罐中水温相差不超过±</w:t>
      </w:r>
      <w:r>
        <w:rPr>
          <w:rFonts w:ascii="Times New Roman" w:hAnsi="Times New Roman"/>
          <w:sz w:val="24"/>
        </w:rPr>
        <w:t xml:space="preserve">2 </w:t>
      </w:r>
      <w:r>
        <w:rPr>
          <w:rFonts w:hint="eastAsia" w:ascii="Times New Roman" w:hAnsi="Times New Roman"/>
          <w:sz w:val="24"/>
        </w:rPr>
        <w:t>℃；标准金属量器体膨胀系数</w:t>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r>
          <m:rPr>
            <m:sty m:val="p"/>
          </m:rPr>
          <w:rPr>
            <w:rFonts w:ascii="Cambria Math" w:hAnsi="Cambria Math"/>
            <w:sz w:val="24"/>
          </w:rPr>
          <m:t>=34</m:t>
        </m:r>
        <m:r>
          <m:rPr>
            <m:sty m:val="p"/>
          </m:rPr>
          <w:rPr>
            <w:rFonts w:hint="eastAsia" w:ascii="Cambria Math" w:hAnsi="Cambria Math"/>
            <w:sz w:val="24"/>
          </w:rPr>
          <m:t>×</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sSup>
          <m:sSupPr>
            <m:ctrlPr>
              <w:rPr>
                <w:rFonts w:ascii="Cambria Math" w:hAnsi="Cambria Math"/>
                <w:sz w:val="24"/>
              </w:rPr>
            </m:ctrlPr>
          </m:sSupPr>
          <m:e>
            <m:r>
              <m:rPr>
                <m:sty m:val="p"/>
              </m:rPr>
              <w:rPr>
                <w:rFonts w:ascii="Cambria Math" w:hAnsi="Cambria Math"/>
                <w:sz w:val="24"/>
              </w:rPr>
              <m:t xml:space="preserve"> </m:t>
            </m:r>
            <m:r>
              <m:rPr>
                <m:sty m:val="p"/>
              </m:rPr>
              <w:rPr>
                <w:rFonts w:hint="eastAsia" w:ascii="Cambria Math" w:hAnsi="Cambria Math"/>
                <w:sz w:val="24"/>
              </w:rPr>
              <m:t>℃</m:t>
            </m:r>
            <m:ctrlPr>
              <w:rPr>
                <w:rFonts w:ascii="Cambria Math" w:hAnsi="Cambria Math"/>
                <w:sz w:val="24"/>
              </w:rPr>
            </m:ctrlPr>
          </m:e>
          <m:sup>
            <m:r>
              <m:rPr>
                <m:sty m:val="p"/>
              </m:rPr>
              <w:rPr>
                <w:rFonts w:ascii="Cambria Math" w:hAnsi="Cambria Math"/>
                <w:sz w:val="24"/>
              </w:rPr>
              <m:t>−1</m:t>
            </m:r>
            <m:ctrlPr>
              <w:rPr>
                <w:rFonts w:ascii="Cambria Math" w:hAnsi="Cambria Math"/>
                <w:sz w:val="24"/>
              </w:rPr>
            </m:ctrlPr>
          </m:sup>
        </m:sSup>
      </m:oMath>
      <w:r>
        <w:rPr>
          <w:rFonts w:hint="eastAsia" w:ascii="Times New Roman" w:hAnsi="Times New Roman"/>
          <w:sz w:val="24"/>
        </w:rPr>
        <w:t>；检测罐体膨胀系数</w:t>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r>
          <m:rPr/>
          <w:rPr>
            <w:rFonts w:ascii="Cambria Math" w:hAnsi="Cambria Math"/>
            <w:sz w:val="24"/>
            <w:szCs w:val="24"/>
          </w:rPr>
          <m:t>=</m:t>
        </m:r>
        <m:r>
          <m:rPr>
            <m:sty m:val="p"/>
          </m:rPr>
          <w:rPr>
            <w:rFonts w:ascii="Cambria Math" w:hAnsi="Cambria Math"/>
            <w:sz w:val="24"/>
          </w:rPr>
          <m:t>36</m:t>
        </m:r>
        <m:r>
          <m:rPr>
            <m:sty m:val="p"/>
          </m:rPr>
          <w:rPr>
            <w:rFonts w:hint="eastAsia" w:ascii="Cambria Math" w:hAnsi="Cambria Math"/>
            <w:sz w:val="24"/>
          </w:rPr>
          <m:t>×</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sSup>
          <m:sSupPr>
            <m:ctrlPr>
              <w:rPr>
                <w:rFonts w:ascii="Cambria Math" w:hAnsi="Cambria Math"/>
                <w:sz w:val="24"/>
              </w:rPr>
            </m:ctrlPr>
          </m:sSupPr>
          <m:e>
            <m:r>
              <m:rPr>
                <m:sty m:val="p"/>
              </m:rPr>
              <w:rPr>
                <w:rFonts w:ascii="Cambria Math" w:hAnsi="Cambria Math"/>
                <w:sz w:val="24"/>
              </w:rPr>
              <m:t xml:space="preserve"> </m:t>
            </m:r>
            <m:r>
              <m:rPr>
                <m:sty m:val="p"/>
              </m:rPr>
              <w:rPr>
                <w:rFonts w:hint="eastAsia" w:ascii="Cambria Math" w:hAnsi="Cambria Math"/>
                <w:sz w:val="24"/>
              </w:rPr>
              <m:t>℃</m:t>
            </m:r>
            <m:ctrlPr>
              <w:rPr>
                <w:rFonts w:ascii="Cambria Math" w:hAnsi="Cambria Math"/>
                <w:sz w:val="24"/>
              </w:rPr>
            </m:ctrlPr>
          </m:e>
          <m:sup>
            <m:r>
              <m:rPr>
                <m:sty m:val="p"/>
              </m:rPr>
              <w:rPr>
                <w:rFonts w:ascii="Cambria Math" w:hAnsi="Cambria Math"/>
                <w:sz w:val="24"/>
              </w:rPr>
              <m:t>−1</m:t>
            </m:r>
            <m:ctrlPr>
              <w:rPr>
                <w:rFonts w:ascii="Cambria Math" w:hAnsi="Cambria Math"/>
                <w:sz w:val="24"/>
              </w:rPr>
            </m:ctrlPr>
          </m:sup>
        </m:sSup>
      </m:oMath>
      <w:r>
        <w:rPr>
          <w:rFonts w:hint="eastAsia" w:ascii="Times New Roman" w:hAnsi="Times New Roman"/>
          <w:sz w:val="24"/>
        </w:rPr>
        <w:t>；水体膨胀系数</w:t>
      </w:r>
      <m:oMath>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w</m:t>
            </m:r>
            <m:ctrlPr>
              <w:rPr>
                <w:rFonts w:ascii="Cambria Math" w:hAnsi="Cambria Math"/>
                <w:sz w:val="24"/>
              </w:rPr>
            </m:ctrlPr>
          </m:sub>
        </m:sSub>
        <m:r>
          <m:rPr>
            <m:sty m:val="p"/>
          </m:rPr>
          <w:rPr>
            <w:rFonts w:ascii="Cambria Math" w:hAnsi="Cambria Math"/>
            <w:sz w:val="24"/>
          </w:rPr>
          <m:t>=2</m:t>
        </m:r>
        <m:r>
          <m:rPr>
            <m:sty m:val="p"/>
          </m:rPr>
          <w:rPr>
            <w:rFonts w:hint="eastAsia" w:ascii="Cambria Math" w:hAnsi="Cambria Math"/>
            <w:sz w:val="24"/>
          </w:rPr>
          <m:t>×</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−4</m:t>
            </m:r>
            <m:ctrlPr>
              <w:rPr>
                <w:rFonts w:ascii="Cambria Math" w:hAnsi="Cambria Math"/>
                <w:sz w:val="24"/>
              </w:rPr>
            </m:ctrlPr>
          </m:sup>
        </m:sSup>
        <m:sSup>
          <m:sSupPr>
            <m:ctrlPr>
              <w:rPr>
                <w:rFonts w:ascii="Cambria Math" w:hAnsi="Cambria Math"/>
                <w:sz w:val="24"/>
              </w:rPr>
            </m:ctrlPr>
          </m:sSupPr>
          <m:e>
            <m:r>
              <m:rPr>
                <m:sty m:val="p"/>
              </m:rPr>
              <w:rPr>
                <w:rFonts w:ascii="Cambria Math" w:hAnsi="Cambria Math"/>
                <w:sz w:val="24"/>
              </w:rPr>
              <m:t xml:space="preserve"> </m:t>
            </m:r>
            <m:r>
              <m:rPr>
                <m:sty m:val="p"/>
              </m:rPr>
              <w:rPr>
                <w:rFonts w:hint="eastAsia" w:ascii="Cambria Math" w:hAnsi="Cambria Math"/>
                <w:sz w:val="24"/>
              </w:rPr>
              <m:t>℃</m:t>
            </m:r>
            <m:ctrlPr>
              <w:rPr>
                <w:rFonts w:ascii="Cambria Math" w:hAnsi="Cambria Math"/>
                <w:sz w:val="24"/>
              </w:rPr>
            </m:ctrlPr>
          </m:e>
          <m:sup>
            <m:r>
              <m:rPr>
                <m:sty m:val="p"/>
              </m:rPr>
              <w:rPr>
                <w:rFonts w:ascii="Cambria Math" w:hAnsi="Cambria Math"/>
                <w:sz w:val="24"/>
              </w:rPr>
              <m:t>−1</m:t>
            </m:r>
            <m:ctrlPr>
              <w:rPr>
                <w:rFonts w:ascii="Cambria Math" w:hAnsi="Cambria Math"/>
                <w:sz w:val="24"/>
              </w:rPr>
            </m:ctrlPr>
          </m:sup>
        </m:sSup>
      </m:oMath>
      <w:r>
        <w:rPr>
          <w:rFonts w:hint="eastAsia" w:ascii="Times New Roman" w:hAnsi="Times New Roman"/>
          <w:sz w:val="24"/>
        </w:rPr>
        <w:t>。</w:t>
      </w:r>
      <w:r>
        <w:rPr>
          <w:rFonts w:hint="eastAsia" w:ascii="Times New Roman" w:hAnsi="Times New Roman"/>
          <w:sz w:val="24"/>
          <w:szCs w:val="24"/>
        </w:rPr>
        <w:t>根据</w:t>
      </w:r>
      <w:r>
        <w:rPr>
          <w:rFonts w:hint="eastAsia" w:ascii="Times New Roman" w:hAnsi="Times New Roman"/>
          <w:sz w:val="24"/>
        </w:rPr>
        <w:t>检测罐参考容积计算公式（</w:t>
      </w:r>
      <w:r>
        <w:rPr>
          <w:rFonts w:ascii="Times New Roman" w:hAnsi="Times New Roman"/>
          <w:sz w:val="24"/>
          <w:szCs w:val="24"/>
        </w:rPr>
        <w:t>C.1</w:t>
      </w:r>
      <w:r>
        <w:rPr>
          <w:rFonts w:hint="eastAsia" w:ascii="Times New Roman" w:hAnsi="Times New Roman"/>
          <w:sz w:val="24"/>
        </w:rPr>
        <w:t>），</w:t>
      </w:r>
      <w:r>
        <w:rPr>
          <w:rFonts w:hint="eastAsia" w:ascii="Times New Roman" w:hAnsi="Times New Roman"/>
          <w:sz w:val="24"/>
          <w:szCs w:val="24"/>
        </w:rPr>
        <w:t>可得，</w:t>
      </w:r>
      <m:oMath>
        <m:r>
          <m:rP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oMath>
      <w:r>
        <w:rPr>
          <w:rFonts w:hint="eastAsia" w:ascii="Times New Roman" w:hAnsi="Times New Roman"/>
          <w:sz w:val="24"/>
          <w:szCs w:val="24"/>
        </w:rPr>
        <w:t>中各不确定度分量的灵敏系数为：</w:t>
      </w:r>
    </w:p>
    <w:tbl>
      <w:tblPr>
        <w:tblStyle w:val="15"/>
        <w:tblW w:w="0" w:type="auto"/>
        <w:tblInd w:w="0" w:type="dxa"/>
        <w:tblLayout w:type="autofit"/>
        <w:tblCellMar>
          <w:top w:w="0" w:type="dxa"/>
          <w:left w:w="108" w:type="dxa"/>
          <w:bottom w:w="0" w:type="dxa"/>
          <w:right w:w="108" w:type="dxa"/>
        </w:tblCellMar>
      </w:tblPr>
      <w:tblGrid>
        <w:gridCol w:w="7125"/>
        <w:gridCol w:w="1181"/>
      </w:tblGrid>
      <w:tr w14:paraId="538ABD0F">
        <w:tblPrEx>
          <w:tblCellMar>
            <w:top w:w="0" w:type="dxa"/>
            <w:left w:w="108" w:type="dxa"/>
            <w:bottom w:w="0" w:type="dxa"/>
            <w:right w:w="108" w:type="dxa"/>
          </w:tblCellMar>
        </w:tblPrEx>
        <w:tc>
          <w:tcPr>
            <w:tcW w:w="8522" w:type="dxa"/>
            <w:gridSpan w:val="2"/>
            <w:vAlign w:val="center"/>
          </w:tcPr>
          <w:p w14:paraId="69C206C6">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标准金属量器容积测量引入的标准不确定度分量灵敏系数：</w:t>
            </w:r>
          </w:p>
        </w:tc>
      </w:tr>
      <w:tr w14:paraId="54AA7F97">
        <w:tblPrEx>
          <w:tblCellMar>
            <w:top w:w="0" w:type="dxa"/>
            <w:left w:w="108" w:type="dxa"/>
            <w:bottom w:w="0" w:type="dxa"/>
            <w:right w:w="108" w:type="dxa"/>
          </w:tblCellMar>
        </w:tblPrEx>
        <w:tc>
          <w:tcPr>
            <w:tcW w:w="7338" w:type="dxa"/>
            <w:vAlign w:val="center"/>
          </w:tcPr>
          <w:p w14:paraId="0C83CE35">
            <w:pPr>
              <w:spacing w:line="360" w:lineRule="auto"/>
              <w:ind w:firstLine="277" w:firstLineChars="132"/>
              <w:rPr>
                <w:rFonts w:ascii="Times New Roman" w:hAnsi="Times New Roman"/>
                <w:sz w:val="24"/>
                <w:szCs w:val="24"/>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21</m:t>
                        </m:r>
                        <m:ctrlPr>
                          <w:rPr>
                            <w:rFonts w:ascii="Cambria Math" w:hAnsi="Cambria Math"/>
                            <w:i/>
                            <w:szCs w:val="21"/>
                          </w:rPr>
                        </m:ctrlPr>
                      </m:sub>
                    </m:sSub>
                    <m:ctrlPr>
                      <w:rPr>
                        <w:rFonts w:ascii="Cambria Math" w:hAnsi="Cambria Math"/>
                        <w:i/>
                        <w:szCs w:val="21"/>
                      </w:rPr>
                    </m:ctrlPr>
                  </m:e>
                </m:d>
                <m:r>
                  <m:rPr>
                    <m:sty m:val="p"/>
                  </m:rPr>
                  <w:rPr>
                    <w:rFonts w:ascii="Cambria Math" w:hAnsi="Cambria Math"/>
                    <w:szCs w:val="21"/>
                  </w:rPr>
                  <m:t>=</m:t>
                </m:r>
                <m:d>
                  <m:dPr>
                    <m:begChr m:val="|"/>
                    <m:endChr m:val="|"/>
                    <m:ctrlPr>
                      <w:rPr>
                        <w:rFonts w:ascii="Cambria Math" w:hAnsi="Cambria Math"/>
                        <w:szCs w:val="21"/>
                      </w:rPr>
                    </m:ctrlPr>
                  </m:dPr>
                  <m:e>
                    <m:f>
                      <m:fPr>
                        <m:ctrlPr>
                          <w:rPr>
                            <w:rFonts w:ascii="Cambria Math" w:hAnsi="Cambria Math"/>
                            <w:szCs w:val="21"/>
                          </w:rPr>
                        </m:ctrlPr>
                      </m:fPr>
                      <m:num>
                        <m:r>
                          <m:rPr>
                            <m:sty m:val="p"/>
                          </m:rPr>
                          <w:rPr>
                            <w:rFonts w:ascii="Cambria Math" w:hAnsi="Cambria Math"/>
                            <w:szCs w:val="21"/>
                          </w:rPr>
                          <m:t>∂</m:t>
                        </m:r>
                        <m:d>
                          <m:dPr>
                            <m:ctrlPr>
                              <w:rPr>
                                <w:rFonts w:ascii="Cambria Math" w:hAnsi="Cambria Math"/>
                                <w:szCs w:val="21"/>
                              </w:rPr>
                            </m:ctrlPr>
                          </m:dPr>
                          <m:e>
                            <m:sSub>
                              <m:sSubPr>
                                <m:ctrlPr>
                                  <w:rPr>
                                    <w:rFonts w:ascii="Cambria Math" w:hAnsi="Cambria Math"/>
                                    <w:i/>
                                    <w:sz w:val="22"/>
                                    <w:szCs w:val="21"/>
                                  </w:rPr>
                                </m:ctrlPr>
                              </m:sSubPr>
                              <m:e>
                                <m:r>
                                  <m:rPr/>
                                  <w:rPr>
                                    <w:rFonts w:ascii="Cambria Math" w:hAnsi="Cambria Math"/>
                                    <w:sz w:val="22"/>
                                    <w:szCs w:val="21"/>
                                  </w:rPr>
                                  <m:t>Vre</m:t>
                                </m:r>
                                <m:ctrlPr>
                                  <w:rPr>
                                    <w:rFonts w:ascii="Cambria Math" w:hAnsi="Cambria Math"/>
                                    <w:i/>
                                    <w:sz w:val="22"/>
                                    <w:szCs w:val="21"/>
                                  </w:rPr>
                                </m:ctrlPr>
                              </m:e>
                              <m:sub>
                                <m:r>
                                  <m:rPr/>
                                  <w:rPr>
                                    <w:rFonts w:ascii="Cambria Math" w:hAnsi="Cambria Math"/>
                                    <w:sz w:val="22"/>
                                    <w:szCs w:val="21"/>
                                  </w:rPr>
                                  <m:t>i,j</m:t>
                                </m:r>
                                <m:ctrlPr>
                                  <w:rPr>
                                    <w:rFonts w:ascii="Cambria Math" w:hAnsi="Cambria Math"/>
                                    <w:i/>
                                    <w:sz w:val="22"/>
                                    <w:szCs w:val="21"/>
                                  </w:rPr>
                                </m:ctrlPr>
                              </m:sub>
                            </m:sSub>
                            <m:ctrlPr>
                              <w:rPr>
                                <w:rFonts w:ascii="Cambria Math" w:hAnsi="Cambria Math"/>
                                <w:szCs w:val="21"/>
                              </w:rPr>
                            </m:ctrlPr>
                          </m:e>
                        </m:d>
                        <m:ctrlPr>
                          <w:rPr>
                            <w:rFonts w:ascii="Cambria Math" w:hAnsi="Cambria Math"/>
                            <w:szCs w:val="21"/>
                          </w:rPr>
                        </m:ctrlPr>
                      </m:num>
                      <m:den>
                        <m:r>
                          <m:rPr>
                            <m:sty m:val="p"/>
                          </m:rPr>
                          <w:rPr>
                            <w:rFonts w:ascii="Cambria Math" w:hAnsi="Cambria Math"/>
                            <w:szCs w:val="21"/>
                          </w:rPr>
                          <m:t>∂</m:t>
                        </m:r>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m:sty m:val="p"/>
                              </m:rPr>
                              <w:rPr>
                                <w:rFonts w:ascii="Cambria Math" w:hAnsi="Cambria Math"/>
                                <w:szCs w:val="21"/>
                              </w:rPr>
                              <m:t>B</m:t>
                            </m:r>
                            <m:ctrlPr>
                              <w:rPr>
                                <w:rFonts w:ascii="Cambria Math" w:hAnsi="Cambria Math"/>
                                <w:i/>
                                <w:szCs w:val="21"/>
                              </w:rPr>
                            </m:ctrlPr>
                          </m:sub>
                        </m:sSub>
                        <m:ctrlPr>
                          <w:rPr>
                            <w:rFonts w:ascii="Cambria Math" w:hAnsi="Cambria Math"/>
                            <w:i/>
                            <w:szCs w:val="21"/>
                          </w:rPr>
                        </m:ctrlPr>
                      </m:den>
                    </m:f>
                    <m:ctrlPr>
                      <w:rPr>
                        <w:rFonts w:ascii="Cambria Math" w:hAnsi="Cambria Math"/>
                        <w:szCs w:val="21"/>
                      </w:rPr>
                    </m:ctrlPr>
                  </m:e>
                </m:d>
                <m:r>
                  <m:rPr>
                    <m:sty m:val="p"/>
                  </m:rPr>
                  <w:rPr>
                    <w:rFonts w:ascii="Cambria Math" w:hAnsi="Cambria Math"/>
                    <w:szCs w:val="21"/>
                  </w:rPr>
                  <m:t>=</m:t>
                </m:r>
                <m:d>
                  <m:dPr>
                    <m:begChr m:val="|"/>
                    <m:endChr m:val="|"/>
                    <m:ctrlPr>
                      <w:rPr>
                        <w:rFonts w:ascii="Cambria Math" w:hAnsi="Cambria Math"/>
                        <w:i/>
                        <w:szCs w:val="21"/>
                      </w:rPr>
                    </m:ctrlPr>
                  </m:dPr>
                  <m:e>
                    <m:r>
                      <m:rPr/>
                      <w:rPr>
                        <w:rFonts w:ascii="Cambria Math" w:hAnsi="Cambria Math"/>
                        <w:szCs w:val="21"/>
                      </w:rPr>
                      <m:t>1+</m:t>
                    </m:r>
                    <m:sSub>
                      <m:sSubPr>
                        <m:ctrlPr>
                          <w:rPr>
                            <w:rFonts w:ascii="Cambria Math" w:hAnsi="Cambria Math"/>
                            <w:i/>
                            <w:szCs w:val="21"/>
                          </w:rPr>
                        </m:ctrlPr>
                      </m:sSubPr>
                      <m:e>
                        <m:r>
                          <m:rPr/>
                          <w:rPr>
                            <w:rFonts w:ascii="Cambria Math" w:hAnsi="Cambria Math"/>
                            <w:szCs w:val="21"/>
                          </w:rPr>
                          <m:t>β</m:t>
                        </m:r>
                        <m:ctrlPr>
                          <w:rPr>
                            <w:rFonts w:ascii="Cambria Math" w:hAnsi="Cambria Math"/>
                            <w:i/>
                            <w:szCs w:val="21"/>
                          </w:rPr>
                        </m:ctrlPr>
                      </m:e>
                      <m:sub>
                        <m:r>
                          <m:rPr/>
                          <w:rPr>
                            <w:rFonts w:ascii="Cambria Math" w:hAnsi="Cambria Math"/>
                            <w:szCs w:val="21"/>
                          </w:rPr>
                          <m:t>1</m:t>
                        </m:r>
                        <m:ctrlPr>
                          <w:rPr>
                            <w:rFonts w:ascii="Cambria Math" w:hAnsi="Cambria Math"/>
                            <w:i/>
                            <w:szCs w:val="21"/>
                          </w:rPr>
                        </m:ctrlPr>
                      </m:sub>
                    </m:sSub>
                    <m:d>
                      <m:dPr>
                        <m:ctrlPr>
                          <w:rPr>
                            <w:rFonts w:ascii="Cambria Math" w:hAnsi="Cambria Math"/>
                            <w:i/>
                            <w:szCs w:val="21"/>
                          </w:rPr>
                        </m:ctrlPr>
                      </m:dPr>
                      <m:e>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r>
                          <m:rPr/>
                          <w:rPr>
                            <w:rFonts w:ascii="Cambria Math" w:hAnsi="Cambria Math"/>
                            <w:szCs w:val="21"/>
                          </w:rPr>
                          <m:t>−20</m:t>
                        </m:r>
                        <m:ctrlPr>
                          <w:rPr>
                            <w:rFonts w:ascii="Cambria Math" w:hAnsi="Cambria Math"/>
                            <w:i/>
                            <w:szCs w:val="21"/>
                          </w:rPr>
                        </m:ctrlPr>
                      </m:e>
                    </m:d>
                    <m:r>
                      <m:rPr/>
                      <w:rPr>
                        <w:rFonts w:ascii="Cambria Math" w:hAnsi="Cambria Math"/>
                        <w:szCs w:val="21"/>
                      </w:rPr>
                      <m:t>+</m:t>
                    </m:r>
                    <m:sSub>
                      <m:sSubPr>
                        <m:ctrlPr>
                          <w:rPr>
                            <w:rFonts w:ascii="Cambria Math" w:hAnsi="Cambria Math"/>
                            <w:i/>
                            <w:szCs w:val="21"/>
                          </w:rPr>
                        </m:ctrlPr>
                      </m:sSubPr>
                      <m:e>
                        <m:r>
                          <m:rPr/>
                          <w:rPr>
                            <w:rFonts w:ascii="Cambria Math" w:hAnsi="Cambria Math"/>
                            <w:szCs w:val="21"/>
                          </w:rPr>
                          <m:t>β</m:t>
                        </m:r>
                        <m:ctrlPr>
                          <w:rPr>
                            <w:rFonts w:ascii="Cambria Math" w:hAnsi="Cambria Math"/>
                            <w:i/>
                            <w:szCs w:val="21"/>
                          </w:rPr>
                        </m:ctrlPr>
                      </m:e>
                      <m:sub>
                        <m:r>
                          <m:rPr/>
                          <w:rPr>
                            <w:rFonts w:ascii="Cambria Math" w:hAnsi="Cambria Math"/>
                            <w:szCs w:val="21"/>
                          </w:rPr>
                          <m:t>2</m:t>
                        </m:r>
                        <m:ctrlPr>
                          <w:rPr>
                            <w:rFonts w:ascii="Cambria Math" w:hAnsi="Cambria Math"/>
                            <w:i/>
                            <w:szCs w:val="21"/>
                          </w:rPr>
                        </m:ctrlPr>
                      </m:sub>
                    </m:sSub>
                    <m:d>
                      <m:dPr>
                        <m:ctrlPr>
                          <w:rPr>
                            <w:rFonts w:ascii="Cambria Math" w:hAnsi="Cambria Math"/>
                            <w:i/>
                            <w:szCs w:val="21"/>
                          </w:rPr>
                        </m:ctrlPr>
                      </m:dPr>
                      <m:e>
                        <m:r>
                          <m:rPr/>
                          <w:rPr>
                            <w:rFonts w:ascii="Cambria Math" w:hAnsi="Cambria Math"/>
                            <w:szCs w:val="21"/>
                          </w:rPr>
                          <m:t>20</m:t>
                        </m:r>
                        <m:r>
                          <m:rPr/>
                          <w:rPr>
                            <w:rFonts w:ascii="Cambria Math" w:hAnsi="Cambria Math" w:eastAsia="MS Mincho"/>
                            <w:szCs w:val="21"/>
                          </w:rPr>
                          <m:t>−</m:t>
                        </m:r>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ctrlPr>
                          <w:rPr>
                            <w:rFonts w:ascii="Cambria Math" w:hAnsi="Cambria Math"/>
                            <w:i/>
                            <w:szCs w:val="21"/>
                          </w:rPr>
                        </m:ctrlPr>
                      </m:e>
                    </m:d>
                    <m:r>
                      <m:rPr/>
                      <w:rPr>
                        <w:rFonts w:ascii="Cambria Math" w:hAnsi="Cambria Math"/>
                        <w:szCs w:val="21"/>
                      </w:rPr>
                      <m:t>+</m:t>
                    </m:r>
                    <m:sSub>
                      <m:sSubPr>
                        <m:ctrlPr>
                          <w:rPr>
                            <w:rFonts w:ascii="Cambria Math" w:hAnsi="Cambria Math"/>
                            <w:szCs w:val="21"/>
                          </w:rPr>
                        </m:ctrlPr>
                      </m:sSubPr>
                      <m:e>
                        <m:r>
                          <m:rPr/>
                          <w:rPr>
                            <w:rFonts w:ascii="Cambria Math" w:hAnsi="Cambria Math"/>
                            <w:szCs w:val="21"/>
                          </w:rPr>
                          <m:t>β</m:t>
                        </m:r>
                        <m:ctrlPr>
                          <w:rPr>
                            <w:rFonts w:ascii="Cambria Math" w:hAnsi="Cambria Math"/>
                            <w:szCs w:val="21"/>
                          </w:rPr>
                        </m:ctrlPr>
                      </m:e>
                      <m:sub>
                        <m:r>
                          <m:rPr>
                            <m:sty m:val="p"/>
                          </m:rPr>
                          <w:rPr>
                            <w:rFonts w:ascii="Cambria Math" w:hAnsi="Cambria Math"/>
                            <w:szCs w:val="21"/>
                          </w:rPr>
                          <m:t>w</m:t>
                        </m:r>
                        <m:ctrlPr>
                          <w:rPr>
                            <w:rFonts w:ascii="Cambria Math" w:hAnsi="Cambria Math"/>
                            <w:szCs w:val="21"/>
                          </w:rPr>
                        </m:ctrlPr>
                      </m:sub>
                    </m:sSub>
                    <m:d>
                      <m:dPr>
                        <m:ctrlPr>
                          <w:rPr>
                            <w:rFonts w:ascii="Cambria Math" w:hAnsi="Cambria Math"/>
                            <w:i/>
                            <w:szCs w:val="21"/>
                          </w:rPr>
                        </m:ctrlPr>
                      </m:dPr>
                      <m:e>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r>
                          <m:rPr/>
                          <w:rPr>
                            <w:rFonts w:ascii="Cambria Math" w:hAnsi="Cambria Math"/>
                            <w:szCs w:val="21"/>
                          </w:rPr>
                          <m:t>−</m:t>
                        </m:r>
                        <m:sSub>
                          <m:sSubPr>
                            <m:ctrlPr>
                              <w:rPr>
                                <w:rFonts w:ascii="Cambria Math" w:hAnsi="Cambria Math"/>
                                <w:szCs w:val="21"/>
                              </w:rPr>
                            </m:ctrlPr>
                          </m:sSubPr>
                          <m:e>
                            <m:r>
                              <m:rPr/>
                              <w:rPr>
                                <w:rFonts w:ascii="Cambria Math" w:hAnsi="Cambria Math"/>
                                <w:szCs w:val="21"/>
                              </w:rPr>
                              <m:t>t</m:t>
                            </m:r>
                            <m:ctrlPr>
                              <w:rPr>
                                <w:rFonts w:ascii="Cambria Math" w:hAnsi="Cambria Math"/>
                                <w:szCs w:val="21"/>
                              </w:rPr>
                            </m:ctrlPr>
                          </m:e>
                          <m:sub>
                            <m:r>
                              <m:rPr>
                                <m:sty m:val="p"/>
                              </m:rPr>
                              <w:rPr>
                                <w:rFonts w:ascii="Cambria Math" w:hAnsi="Cambria Math"/>
                                <w:szCs w:val="21"/>
                              </w:rPr>
                              <m:t>1</m:t>
                            </m:r>
                            <m:ctrlPr>
                              <w:rPr>
                                <w:rFonts w:ascii="Cambria Math" w:hAnsi="Cambria Math"/>
                                <w:szCs w:val="21"/>
                              </w:rPr>
                            </m:ctrlPr>
                          </m:sub>
                        </m:sSub>
                        <m:ctrlPr>
                          <w:rPr>
                            <w:rFonts w:ascii="Cambria Math" w:hAnsi="Cambria Math"/>
                            <w:i/>
                            <w:szCs w:val="21"/>
                          </w:rPr>
                        </m:ctrlPr>
                      </m:e>
                    </m:d>
                    <m:ctrlPr>
                      <w:rPr>
                        <w:rFonts w:ascii="Cambria Math" w:hAnsi="Cambria Math"/>
                        <w:i/>
                        <w:szCs w:val="21"/>
                      </w:rPr>
                    </m:ctrlPr>
                  </m:e>
                </m:d>
                <m:r>
                  <m:rPr>
                    <m:sty m:val="p"/>
                  </m:rPr>
                  <w:rPr>
                    <w:rFonts w:hint="eastAsia" w:ascii="Cambria Math" w:hAnsi="Cambria Math"/>
                    <w:szCs w:val="21"/>
                  </w:rPr>
                  <m:t>≈</m:t>
                </m:r>
                <m:r>
                  <m:rPr/>
                  <w:rPr>
                    <w:rFonts w:ascii="Cambria Math" w:hAnsi="Cambria Math"/>
                    <w:szCs w:val="21"/>
                  </w:rPr>
                  <m:t>1.0</m:t>
                </m:r>
              </m:oMath>
            </m:oMathPara>
          </w:p>
        </w:tc>
        <w:tc>
          <w:tcPr>
            <w:tcW w:w="1184" w:type="dxa"/>
            <w:vAlign w:val="center"/>
          </w:tcPr>
          <w:p w14:paraId="378A6DFE">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F.9</w:t>
            </w:r>
            <w:r>
              <w:rPr>
                <w:rFonts w:hint="eastAsia" w:ascii="Times New Roman" w:hAnsi="Times New Roman"/>
                <w:sz w:val="24"/>
                <w:szCs w:val="24"/>
              </w:rPr>
              <w:t>）</w:t>
            </w:r>
          </w:p>
        </w:tc>
      </w:tr>
      <w:tr w14:paraId="573776C8">
        <w:tblPrEx>
          <w:tblCellMar>
            <w:top w:w="0" w:type="dxa"/>
            <w:left w:w="108" w:type="dxa"/>
            <w:bottom w:w="0" w:type="dxa"/>
            <w:right w:w="108" w:type="dxa"/>
          </w:tblCellMar>
        </w:tblPrEx>
        <w:tc>
          <w:tcPr>
            <w:tcW w:w="8522" w:type="dxa"/>
            <w:gridSpan w:val="2"/>
            <w:vAlign w:val="center"/>
          </w:tcPr>
          <w:p w14:paraId="2BEDA749">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标准金属量器</w:t>
            </w:r>
            <w:r>
              <w:rPr>
                <w:rFonts w:hint="eastAsia" w:ascii="Times New Roman" w:hAnsi="Times New Roman"/>
                <w:sz w:val="24"/>
              </w:rPr>
              <w:t>体</w:t>
            </w:r>
            <w:r>
              <w:rPr>
                <w:rFonts w:hint="eastAsia" w:ascii="Times New Roman" w:hAnsi="Times New Roman"/>
                <w:sz w:val="24"/>
                <w:szCs w:val="24"/>
              </w:rPr>
              <w:t>膨胀系数引入的标准不确定度分量灵敏系数：</w:t>
            </w:r>
          </w:p>
        </w:tc>
      </w:tr>
      <w:tr w14:paraId="27705A40">
        <w:tblPrEx>
          <w:tblCellMar>
            <w:top w:w="0" w:type="dxa"/>
            <w:left w:w="108" w:type="dxa"/>
            <w:bottom w:w="0" w:type="dxa"/>
            <w:right w:w="108" w:type="dxa"/>
          </w:tblCellMar>
        </w:tblPrEx>
        <w:tc>
          <w:tcPr>
            <w:tcW w:w="7338" w:type="dxa"/>
            <w:vAlign w:val="center"/>
          </w:tcPr>
          <w:p w14:paraId="05D4B9A4">
            <w:pPr>
              <w:rPr>
                <w:rFonts w:ascii="Times New Roman" w:hAnsi="Times New Roman"/>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22</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ctrlPr>
                          <w:rPr>
                            <w:rFonts w:ascii="Cambria Math" w:hAnsi="Cambria Math"/>
                            <w:i/>
                            <w:sz w:val="24"/>
                            <w:szCs w:val="24"/>
                          </w:rPr>
                        </m:ctrlPr>
                      </m:den>
                    </m:f>
                    <m:ctrlPr>
                      <w:rPr>
                        <w:rFonts w:ascii="Cambria Math" w:hAnsi="Cambria Math"/>
                        <w:sz w:val="24"/>
                        <w:szCs w:val="24"/>
                      </w:rPr>
                    </m:ctrlPr>
                  </m:e>
                </m:d>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sz w:val="24"/>
                                <w:szCs w:val="24"/>
                              </w:rPr>
                            </m:ctrlPr>
                          </m:sSubPr>
                          <m:e>
                            <m:r>
                              <m:rP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rPr>
                              <m:t>1</m:t>
                            </m:r>
                            <m:ctrlPr>
                              <w:rPr>
                                <w:rFonts w:ascii="Cambria Math" w:hAnsi="Cambria Math"/>
                                <w:sz w:val="24"/>
                                <w:szCs w:val="24"/>
                              </w:rPr>
                            </m:ctrlPr>
                          </m:sub>
                        </m:sSub>
                        <m:r>
                          <m:rPr/>
                          <w:rPr>
                            <w:rFonts w:ascii="Cambria Math" w:hAnsi="Cambria Math"/>
                            <w:sz w:val="24"/>
                            <w:szCs w:val="24"/>
                          </w:rPr>
                          <m:t>−20</m:t>
                        </m:r>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 xml:space="preserve">=597 600 </m:t>
                </m:r>
                <m:r>
                  <m:rPr>
                    <m:sty m:val="p"/>
                  </m:rPr>
                  <w:rPr>
                    <w:rFonts w:ascii="Cambria Math" w:hAnsi="Cambria Math"/>
                    <w:sz w:val="24"/>
                    <w:szCs w:val="24"/>
                  </w:rPr>
                  <m:t>L</m:t>
                </m:r>
                <m:r>
                  <m:rPr/>
                  <w:rPr>
                    <w:rFonts w:ascii="Cambria Math" w:hAnsi="Cambria Math"/>
                    <w:sz w:val="24"/>
                    <w:szCs w:val="24"/>
                  </w:rPr>
                  <m:t>∙℃</m:t>
                </m:r>
              </m:oMath>
            </m:oMathPara>
          </w:p>
        </w:tc>
        <w:tc>
          <w:tcPr>
            <w:tcW w:w="1184" w:type="dxa"/>
            <w:vAlign w:val="center"/>
          </w:tcPr>
          <w:p w14:paraId="4CE27A08">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F.10</w:t>
            </w:r>
            <w:r>
              <w:rPr>
                <w:rFonts w:hint="eastAsia" w:ascii="Times New Roman" w:hAnsi="Times New Roman"/>
                <w:sz w:val="24"/>
                <w:szCs w:val="24"/>
              </w:rPr>
              <w:t>）</w:t>
            </w:r>
          </w:p>
        </w:tc>
      </w:tr>
      <w:tr w14:paraId="56022266">
        <w:tblPrEx>
          <w:tblCellMar>
            <w:top w:w="0" w:type="dxa"/>
            <w:left w:w="108" w:type="dxa"/>
            <w:bottom w:w="0" w:type="dxa"/>
            <w:right w:w="108" w:type="dxa"/>
          </w:tblCellMar>
        </w:tblPrEx>
        <w:tc>
          <w:tcPr>
            <w:tcW w:w="8522" w:type="dxa"/>
            <w:gridSpan w:val="2"/>
            <w:vAlign w:val="center"/>
          </w:tcPr>
          <w:p w14:paraId="1C431ED2">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检测罐</w:t>
            </w:r>
            <w:r>
              <w:rPr>
                <w:rFonts w:hint="eastAsia" w:ascii="Times New Roman" w:hAnsi="Times New Roman"/>
                <w:sz w:val="24"/>
              </w:rPr>
              <w:t>体</w:t>
            </w:r>
            <w:r>
              <w:rPr>
                <w:rFonts w:hint="eastAsia" w:ascii="Times New Roman" w:hAnsi="Times New Roman"/>
                <w:sz w:val="24"/>
                <w:szCs w:val="24"/>
              </w:rPr>
              <w:t>膨胀系数引入的标准不确定度分量灵敏系数：</w:t>
            </w:r>
          </w:p>
        </w:tc>
      </w:tr>
      <w:tr w14:paraId="52D24171">
        <w:tblPrEx>
          <w:tblCellMar>
            <w:top w:w="0" w:type="dxa"/>
            <w:left w:w="108" w:type="dxa"/>
            <w:bottom w:w="0" w:type="dxa"/>
            <w:right w:w="108" w:type="dxa"/>
          </w:tblCellMar>
        </w:tblPrEx>
        <w:tc>
          <w:tcPr>
            <w:tcW w:w="7338" w:type="dxa"/>
            <w:vAlign w:val="center"/>
          </w:tcPr>
          <w:p w14:paraId="2AEE812B">
            <w:pPr>
              <w:rPr>
                <w:rFonts w:ascii="Times New Roman" w:hAnsi="Times New Roman"/>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23</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ctrlPr>
                          <w:rPr>
                            <w:rFonts w:ascii="Cambria Math" w:hAnsi="Cambria Math"/>
                            <w:i/>
                            <w:sz w:val="24"/>
                            <w:szCs w:val="24"/>
                          </w:rPr>
                        </m:ctrlPr>
                      </m:den>
                    </m:f>
                    <m:ctrlPr>
                      <w:rPr>
                        <w:rFonts w:ascii="Cambria Math" w:hAnsi="Cambria Math"/>
                        <w:sz w:val="24"/>
                        <w:szCs w:val="24"/>
                      </w:rPr>
                    </m:ctrlPr>
                  </m:e>
                </m:d>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ctrlPr>
                          <w:rPr>
                            <w:rFonts w:ascii="Cambria Math" w:hAnsi="Cambria Math"/>
                            <w:i/>
                            <w:sz w:val="24"/>
                            <w:szCs w:val="24"/>
                          </w:rPr>
                        </m:ctrlPr>
                      </m:sub>
                    </m:sSub>
                    <m:d>
                      <m:dPr>
                        <m:ctrlPr>
                          <w:rPr>
                            <w:rFonts w:ascii="Cambria Math" w:hAnsi="Cambria Math"/>
                            <w:i/>
                            <w:sz w:val="24"/>
                            <w:szCs w:val="24"/>
                          </w:rPr>
                        </m:ctrlPr>
                      </m:dPr>
                      <m:e>
                        <m:r>
                          <m:rPr/>
                          <w:rPr>
                            <w:rFonts w:ascii="Cambria Math" w:hAnsi="Cambria Math"/>
                            <w:sz w:val="24"/>
                            <w:szCs w:val="24"/>
                          </w:rPr>
                          <m:t>20</m:t>
                        </m:r>
                        <m:r>
                          <m:rPr/>
                          <w:rPr>
                            <w:rFonts w:ascii="Cambria Math" w:hAnsi="Cambria Math" w:eastAsia="MS Mincho"/>
                            <w:sz w:val="24"/>
                            <w:szCs w:val="24"/>
                          </w:rPr>
                          <m:t>−</m:t>
                        </m:r>
                        <m:sSub>
                          <m:sSubPr>
                            <m:ctrlPr>
                              <w:rPr>
                                <w:rFonts w:ascii="Cambria Math" w:hAnsi="Cambria Math"/>
                                <w:sz w:val="24"/>
                                <w:szCs w:val="24"/>
                              </w:rPr>
                            </m:ctrlPr>
                          </m:sSubPr>
                          <m:e>
                            <m:r>
                              <m:rP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Sub>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 xml:space="preserve">=597 600 </m:t>
                </m:r>
                <m:r>
                  <m:rPr>
                    <m:sty m:val="p"/>
                  </m:rPr>
                  <w:rPr>
                    <w:rFonts w:ascii="Cambria Math" w:hAnsi="Cambria Math"/>
                    <w:sz w:val="24"/>
                    <w:szCs w:val="24"/>
                  </w:rPr>
                  <m:t>L</m:t>
                </m:r>
                <m:r>
                  <m:rPr/>
                  <w:rPr>
                    <w:rFonts w:ascii="Cambria Math" w:hAnsi="Cambria Math"/>
                    <w:sz w:val="24"/>
                    <w:szCs w:val="24"/>
                  </w:rPr>
                  <m:t>∙℃</m:t>
                </m:r>
              </m:oMath>
            </m:oMathPara>
          </w:p>
        </w:tc>
        <w:tc>
          <w:tcPr>
            <w:tcW w:w="1184" w:type="dxa"/>
            <w:vAlign w:val="center"/>
          </w:tcPr>
          <w:p w14:paraId="1ADE077F">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F.11</w:t>
            </w:r>
            <w:r>
              <w:rPr>
                <w:rFonts w:hint="eastAsia" w:ascii="Times New Roman" w:hAnsi="Times New Roman"/>
                <w:sz w:val="24"/>
                <w:szCs w:val="24"/>
              </w:rPr>
              <w:t>）</w:t>
            </w:r>
          </w:p>
        </w:tc>
      </w:tr>
      <w:tr w14:paraId="22385CB1">
        <w:tblPrEx>
          <w:tblCellMar>
            <w:top w:w="0" w:type="dxa"/>
            <w:left w:w="108" w:type="dxa"/>
            <w:bottom w:w="0" w:type="dxa"/>
            <w:right w:w="108" w:type="dxa"/>
          </w:tblCellMar>
        </w:tblPrEx>
        <w:tc>
          <w:tcPr>
            <w:tcW w:w="8522" w:type="dxa"/>
            <w:gridSpan w:val="2"/>
            <w:vAlign w:val="center"/>
          </w:tcPr>
          <w:p w14:paraId="67256FA1">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水</w:t>
            </w:r>
            <w:r>
              <w:rPr>
                <w:rFonts w:hint="eastAsia" w:ascii="Times New Roman" w:hAnsi="Times New Roman"/>
                <w:sz w:val="24"/>
              </w:rPr>
              <w:t>体</w:t>
            </w:r>
            <w:r>
              <w:rPr>
                <w:rFonts w:hint="eastAsia" w:ascii="Times New Roman" w:hAnsi="Times New Roman"/>
                <w:sz w:val="24"/>
                <w:szCs w:val="24"/>
              </w:rPr>
              <w:t>膨胀系数引入的标准不确定度分量灵敏系数：</w:t>
            </w:r>
          </w:p>
        </w:tc>
      </w:tr>
      <w:tr w14:paraId="4E0897CF">
        <w:tblPrEx>
          <w:tblCellMar>
            <w:top w:w="0" w:type="dxa"/>
            <w:left w:w="108" w:type="dxa"/>
            <w:bottom w:w="0" w:type="dxa"/>
            <w:right w:w="108" w:type="dxa"/>
          </w:tblCellMar>
        </w:tblPrEx>
        <w:tc>
          <w:tcPr>
            <w:tcW w:w="7338" w:type="dxa"/>
            <w:vAlign w:val="center"/>
          </w:tcPr>
          <w:p w14:paraId="6748A6AC">
            <w:pPr>
              <w:rPr>
                <w:rFonts w:ascii="Times New Roman" w:hAnsi="Times New Roman"/>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24</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w</m:t>
                            </m:r>
                            <m:ctrlPr>
                              <w:rPr>
                                <w:rFonts w:ascii="Cambria Math" w:hAnsi="Cambria Math"/>
                                <w:i/>
                                <w:sz w:val="24"/>
                                <w:szCs w:val="24"/>
                              </w:rPr>
                            </m:ctrlPr>
                          </m:sub>
                        </m:sSub>
                        <m:ctrlPr>
                          <w:rPr>
                            <w:rFonts w:ascii="Cambria Math" w:hAnsi="Cambria Math"/>
                            <w:i/>
                            <w:sz w:val="24"/>
                            <w:szCs w:val="24"/>
                          </w:rPr>
                        </m:ctrlPr>
                      </m:den>
                    </m:f>
                    <m:ctrlPr>
                      <w:rPr>
                        <w:rFonts w:ascii="Cambria Math" w:hAnsi="Cambria Math"/>
                        <w:sz w:val="24"/>
                        <w:szCs w:val="24"/>
                      </w:rPr>
                    </m:ctrlPr>
                  </m:e>
                </m:d>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sz w:val="24"/>
                                <w:szCs w:val="24"/>
                              </w:rPr>
                            </m:ctrlPr>
                          </m:sSubPr>
                          <m:e>
                            <m:r>
                              <m:rP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t</m:t>
                            </m:r>
                            <m:ctrlPr>
                              <w:rPr>
                                <w:rFonts w:ascii="Cambria Math" w:hAnsi="Cambria Math"/>
                                <w:sz w:val="24"/>
                                <w:szCs w:val="24"/>
                              </w:rPr>
                            </m:ctrlPr>
                          </m:e>
                          <m:sub>
                            <m:r>
                              <m:rPr>
                                <m:sty m:val="p"/>
                              </m:rPr>
                              <w:rPr>
                                <w:rFonts w:ascii="Cambria Math" w:hAnsi="Cambria Math"/>
                                <w:sz w:val="24"/>
                                <w:szCs w:val="24"/>
                              </w:rPr>
                              <m:t>1</m:t>
                            </m:r>
                            <m:ctrlPr>
                              <w:rPr>
                                <w:rFonts w:ascii="Cambria Math" w:hAnsi="Cambria Math"/>
                                <w:sz w:val="24"/>
                                <w:szCs w:val="24"/>
                              </w:rPr>
                            </m:ctrlPr>
                          </m:sub>
                        </m:sSub>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 xml:space="preserve">=59 760 </m:t>
                </m:r>
                <m:r>
                  <m:rPr>
                    <m:sty m:val="p"/>
                  </m:rPr>
                  <w:rPr>
                    <w:rFonts w:ascii="Cambria Math" w:hAnsi="Cambria Math"/>
                    <w:sz w:val="24"/>
                    <w:szCs w:val="24"/>
                  </w:rPr>
                  <m:t>L</m:t>
                </m:r>
                <m:r>
                  <m:rPr/>
                  <w:rPr>
                    <w:rFonts w:ascii="Cambria Math" w:hAnsi="Cambria Math"/>
                    <w:sz w:val="24"/>
                    <w:szCs w:val="24"/>
                  </w:rPr>
                  <m:t>∙℃</m:t>
                </m:r>
              </m:oMath>
            </m:oMathPara>
          </w:p>
        </w:tc>
        <w:tc>
          <w:tcPr>
            <w:tcW w:w="1184" w:type="dxa"/>
            <w:vAlign w:val="center"/>
          </w:tcPr>
          <w:p w14:paraId="692F1369">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F.12</w:t>
            </w:r>
            <w:r>
              <w:rPr>
                <w:rFonts w:hint="eastAsia" w:ascii="Times New Roman" w:hAnsi="Times New Roman"/>
                <w:sz w:val="24"/>
                <w:szCs w:val="24"/>
              </w:rPr>
              <w:t>）</w:t>
            </w:r>
          </w:p>
        </w:tc>
      </w:tr>
      <w:tr w14:paraId="4140CF97">
        <w:tblPrEx>
          <w:tblCellMar>
            <w:top w:w="0" w:type="dxa"/>
            <w:left w:w="108" w:type="dxa"/>
            <w:bottom w:w="0" w:type="dxa"/>
            <w:right w:w="108" w:type="dxa"/>
          </w:tblCellMar>
        </w:tblPrEx>
        <w:tc>
          <w:tcPr>
            <w:tcW w:w="8522" w:type="dxa"/>
            <w:gridSpan w:val="2"/>
            <w:vAlign w:val="center"/>
          </w:tcPr>
          <w:p w14:paraId="3AB4B2EC">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标准金属量器内水温度测引入的标准不确定度分量灵敏系数：</w:t>
            </w:r>
          </w:p>
        </w:tc>
      </w:tr>
      <w:tr w14:paraId="054A4AE3">
        <w:tblPrEx>
          <w:tblCellMar>
            <w:top w:w="0" w:type="dxa"/>
            <w:left w:w="108" w:type="dxa"/>
            <w:bottom w:w="0" w:type="dxa"/>
            <w:right w:w="108" w:type="dxa"/>
          </w:tblCellMar>
        </w:tblPrEx>
        <w:tc>
          <w:tcPr>
            <w:tcW w:w="7338" w:type="dxa"/>
            <w:vAlign w:val="center"/>
          </w:tcPr>
          <w:p w14:paraId="6E68B51C">
            <w:pPr>
              <w:spacing w:line="360" w:lineRule="auto"/>
              <w:rPr>
                <w:rFonts w:ascii="Times New Roman" w:hAnsi="Times New Roman"/>
                <w:sz w:val="24"/>
                <w:szCs w:val="24"/>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25</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ctrlPr>
                          <w:rPr>
                            <w:rFonts w:ascii="Cambria Math" w:hAnsi="Cambria Math"/>
                            <w:i/>
                            <w:sz w:val="24"/>
                            <w:szCs w:val="24"/>
                          </w:rPr>
                        </m:ctrlPr>
                      </m:den>
                    </m:f>
                    <m:ctrlPr>
                      <w:rPr>
                        <w:rFonts w:ascii="Cambria Math" w:hAnsi="Cambria Math"/>
                        <w:sz w:val="24"/>
                        <w:szCs w:val="24"/>
                      </w:rPr>
                    </m:ctrlPr>
                  </m:e>
                </m:d>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1</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sz w:val="24"/>
                                <w:szCs w:val="24"/>
                              </w:rPr>
                            </m:ctrlPr>
                          </m:sSubPr>
                          <m:e>
                            <m:r>
                              <m:rPr/>
                              <w:rPr>
                                <w:rFonts w:ascii="Cambria Math" w:hAnsi="Cambria Math"/>
                                <w:sz w:val="24"/>
                                <w:szCs w:val="24"/>
                              </w:rPr>
                              <m:t>β</m:t>
                            </m:r>
                            <m:ctrlPr>
                              <w:rPr>
                                <w:rFonts w:ascii="Cambria Math" w:hAnsi="Cambria Math"/>
                                <w:sz w:val="24"/>
                                <w:szCs w:val="24"/>
                              </w:rPr>
                            </m:ctrlPr>
                          </m:e>
                          <m:sub>
                            <m:r>
                              <m:rPr>
                                <m:sty m:val="p"/>
                              </m:rPr>
                              <w:rPr>
                                <w:rFonts w:ascii="Cambria Math" w:hAnsi="Cambria Math"/>
                                <w:sz w:val="24"/>
                                <w:szCs w:val="24"/>
                              </w:rPr>
                              <m:t>w</m:t>
                            </m:r>
                            <m:ctrlPr>
                              <w:rPr>
                                <w:rFonts w:ascii="Cambria Math" w:hAnsi="Cambria Math"/>
                                <w:sz w:val="24"/>
                                <w:szCs w:val="24"/>
                              </w:rPr>
                            </m:ctrlPr>
                          </m:sub>
                        </m:sSub>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 xml:space="preserve">=5.0 </m:t>
                </m:r>
                <m:r>
                  <m:rPr>
                    <m:sty m:val="p"/>
                  </m:rPr>
                  <w:rPr>
                    <w:rFonts w:ascii="Cambria Math" w:hAnsi="Cambria Math"/>
                    <w:sz w:val="24"/>
                    <w:szCs w:val="24"/>
                  </w:rPr>
                  <m:t>L/</m:t>
                </m:r>
                <m:r>
                  <m:rPr/>
                  <w:rPr>
                    <w:rFonts w:ascii="Cambria Math" w:hAnsi="Cambria Math"/>
                    <w:sz w:val="24"/>
                    <w:szCs w:val="24"/>
                  </w:rPr>
                  <m:t>℃</m:t>
                </m:r>
              </m:oMath>
            </m:oMathPara>
          </w:p>
        </w:tc>
        <w:tc>
          <w:tcPr>
            <w:tcW w:w="1184" w:type="dxa"/>
            <w:vAlign w:val="center"/>
          </w:tcPr>
          <w:p w14:paraId="41F8EA88">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F.13</w:t>
            </w:r>
            <w:r>
              <w:rPr>
                <w:rFonts w:hint="eastAsia" w:ascii="Times New Roman" w:hAnsi="Times New Roman"/>
                <w:sz w:val="24"/>
                <w:szCs w:val="24"/>
              </w:rPr>
              <w:t>）</w:t>
            </w:r>
          </w:p>
        </w:tc>
      </w:tr>
      <w:tr w14:paraId="1F666E71">
        <w:tblPrEx>
          <w:tblCellMar>
            <w:top w:w="0" w:type="dxa"/>
            <w:left w:w="108" w:type="dxa"/>
            <w:bottom w:w="0" w:type="dxa"/>
            <w:right w:w="108" w:type="dxa"/>
          </w:tblCellMar>
        </w:tblPrEx>
        <w:tc>
          <w:tcPr>
            <w:tcW w:w="8522" w:type="dxa"/>
            <w:gridSpan w:val="2"/>
            <w:vAlign w:val="center"/>
          </w:tcPr>
          <w:p w14:paraId="0E279406">
            <w:pPr>
              <w:spacing w:line="360" w:lineRule="auto"/>
              <w:ind w:firstLine="424" w:firstLineChars="177"/>
              <w:jc w:val="left"/>
              <w:rPr>
                <w:rFonts w:ascii="Times New Roman" w:hAnsi="Times New Roman"/>
                <w:sz w:val="24"/>
                <w:szCs w:val="24"/>
              </w:rPr>
            </w:pPr>
            <w:r>
              <w:rPr>
                <w:rFonts w:hint="eastAsia" w:ascii="Times New Roman" w:hAnsi="Times New Roman"/>
                <w:sz w:val="24"/>
                <w:szCs w:val="24"/>
              </w:rPr>
              <w:t>检测罐内水温度测量引入的标准不确定度分量灵敏系数：</w:t>
            </w:r>
          </w:p>
        </w:tc>
      </w:tr>
      <w:tr w14:paraId="60967D4D">
        <w:tblPrEx>
          <w:tblCellMar>
            <w:top w:w="0" w:type="dxa"/>
            <w:left w:w="108" w:type="dxa"/>
            <w:bottom w:w="0" w:type="dxa"/>
            <w:right w:w="108" w:type="dxa"/>
          </w:tblCellMar>
        </w:tblPrEx>
        <w:tc>
          <w:tcPr>
            <w:tcW w:w="7338" w:type="dxa"/>
            <w:vAlign w:val="center"/>
          </w:tcPr>
          <w:p w14:paraId="37A7AABC">
            <w:pPr>
              <w:spacing w:line="360" w:lineRule="auto"/>
              <w:ind w:firstLine="480" w:firstLineChars="200"/>
              <w:rPr>
                <w:rFonts w:ascii="Times New Roman" w:hAnsi="Times New Roman"/>
                <w:sz w:val="24"/>
                <w:szCs w:val="24"/>
              </w:rPr>
            </w:pPr>
            <m:oMathPara>
              <m:oMath>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t>
                        </m:r>
                        <m:ctrlPr>
                          <w:rPr>
                            <w:rFonts w:ascii="Cambria Math" w:hAnsi="Cambria Math"/>
                            <w:i/>
                            <w:sz w:val="24"/>
                            <w:szCs w:val="24"/>
                          </w:rPr>
                        </m:ctrlPr>
                      </m:e>
                      <m:sub>
                        <m:r>
                          <m:rPr/>
                          <w:rPr>
                            <w:rFonts w:ascii="Cambria Math" w:hAnsi="Cambria Math"/>
                            <w:sz w:val="24"/>
                            <w:szCs w:val="24"/>
                          </w:rPr>
                          <m:t>26</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d>
                  <m:dPr>
                    <m:begChr m:val="|"/>
                    <m:endChr m:val="|"/>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num>
                      <m:den>
                        <m:r>
                          <m:rPr>
                            <m:sty m:val="p"/>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t</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ctrlPr>
                          <w:rPr>
                            <w:rFonts w:ascii="Cambria Math" w:hAnsi="Cambria Math"/>
                            <w:i/>
                            <w:sz w:val="24"/>
                            <w:szCs w:val="24"/>
                          </w:rPr>
                        </m:ctrlPr>
                      </m:den>
                    </m:f>
                    <m:ctrlPr>
                      <w:rPr>
                        <w:rFonts w:ascii="Cambria Math" w:hAnsi="Cambria Math"/>
                        <w:sz w:val="24"/>
                        <w:szCs w:val="24"/>
                      </w:rPr>
                    </m:ctrlPr>
                  </m:e>
                </m:d>
                <m:r>
                  <m:rPr>
                    <m:sty m:val="p"/>
                  </m:rP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m:sty m:val="p"/>
                          </m:rPr>
                          <w:rPr>
                            <w:rFonts w:ascii="Cambria Math" w:hAnsi="Cambria Math"/>
                            <w:sz w:val="24"/>
                            <w:szCs w:val="24"/>
                          </w:rPr>
                          <m:t>B</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sz w:val="24"/>
                                    <w:szCs w:val="24"/>
                                  </w:rPr>
                                </m:ctrlPr>
                              </m:sSubPr>
                              <m:e>
                                <m:r>
                                  <m:rPr/>
                                  <w:rPr>
                                    <w:rFonts w:ascii="Cambria Math" w:hAnsi="Cambria Math"/>
                                    <w:sz w:val="24"/>
                                    <w:szCs w:val="24"/>
                                  </w:rPr>
                                  <m:t>β</m:t>
                                </m:r>
                                <m:ctrlPr>
                                  <w:rPr>
                                    <w:rFonts w:ascii="Cambria Math" w:hAnsi="Cambria Math"/>
                                    <w:sz w:val="24"/>
                                    <w:szCs w:val="24"/>
                                  </w:rPr>
                                </m:ctrlPr>
                              </m:e>
                              <m:sub>
                                <m:r>
                                  <m:rPr>
                                    <m:sty m:val="p"/>
                                  </m:rPr>
                                  <w:rPr>
                                    <w:rFonts w:ascii="Cambria Math" w:hAnsi="Cambria Math"/>
                                    <w:sz w:val="24"/>
                                    <w:szCs w:val="24"/>
                                  </w:rPr>
                                  <m:t>w</m:t>
                                </m:r>
                                <m:ctrlPr>
                                  <w:rPr>
                                    <w:rFonts w:ascii="Cambria Math" w:hAnsi="Cambria Math"/>
                                    <w:sz w:val="24"/>
                                    <w:szCs w:val="24"/>
                                  </w:rPr>
                                </m:ctrlPr>
                              </m:sub>
                            </m:sSub>
                            <m:r>
                              <m:rPr/>
                              <w:rPr>
                                <w:rFonts w:ascii="Cambria Math" w:hAnsi="Cambria Math"/>
                                <w:sz w:val="24"/>
                                <w:szCs w:val="24"/>
                              </w:rPr>
                              <m:t>−β</m:t>
                            </m:r>
                            <m:ctrlPr>
                              <w:rPr>
                                <w:rFonts w:ascii="Cambria Math" w:hAnsi="Cambria Math"/>
                                <w:i/>
                                <w:sz w:val="24"/>
                                <w:szCs w:val="24"/>
                              </w:rPr>
                            </m:ctrlPr>
                          </m:e>
                          <m:sub>
                            <m:r>
                              <m:rPr/>
                              <w:rPr>
                                <w:rFonts w:ascii="Cambria Math" w:hAnsi="Cambria Math"/>
                                <w:sz w:val="24"/>
                                <w:szCs w:val="24"/>
                              </w:rPr>
                              <m:t>2</m:t>
                            </m:r>
                            <m:ctrlPr>
                              <w:rPr>
                                <w:rFonts w:ascii="Cambria Math" w:hAnsi="Cambria Math"/>
                                <w:i/>
                                <w:sz w:val="24"/>
                                <w:szCs w:val="24"/>
                              </w:rPr>
                            </m:ctrlPr>
                          </m:sub>
                        </m:sSub>
                        <m:ctrlPr>
                          <w:rPr>
                            <w:rFonts w:ascii="Cambria Math" w:hAnsi="Cambria Math"/>
                            <w:i/>
                            <w:sz w:val="24"/>
                            <w:szCs w:val="24"/>
                          </w:rPr>
                        </m:ctrlPr>
                      </m:e>
                    </m:d>
                    <m:ctrlPr>
                      <w:rPr>
                        <w:rFonts w:ascii="Cambria Math" w:hAnsi="Cambria Math"/>
                        <w:i/>
                        <w:sz w:val="24"/>
                        <w:szCs w:val="24"/>
                      </w:rPr>
                    </m:ctrlPr>
                  </m:e>
                </m:d>
                <m:r>
                  <m:rPr/>
                  <w:rPr>
                    <w:rFonts w:ascii="Cambria Math" w:hAnsi="Cambria Math"/>
                    <w:sz w:val="24"/>
                    <w:szCs w:val="24"/>
                  </w:rPr>
                  <m:t>=4.9</m:t>
                </m:r>
                <m:r>
                  <m:rPr>
                    <m:sty m:val="p"/>
                  </m:rPr>
                  <w:rPr>
                    <w:rFonts w:ascii="Cambria Math" w:hAnsi="Cambria Math"/>
                    <w:sz w:val="24"/>
                    <w:szCs w:val="24"/>
                  </w:rPr>
                  <m:t>L/</m:t>
                </m:r>
                <m:r>
                  <m:rPr/>
                  <w:rPr>
                    <w:rFonts w:ascii="Cambria Math" w:hAnsi="Cambria Math"/>
                    <w:sz w:val="24"/>
                    <w:szCs w:val="24"/>
                  </w:rPr>
                  <m:t>℃</m:t>
                </m:r>
              </m:oMath>
            </m:oMathPara>
          </w:p>
        </w:tc>
        <w:tc>
          <w:tcPr>
            <w:tcW w:w="1184" w:type="dxa"/>
            <w:vAlign w:val="center"/>
          </w:tcPr>
          <w:p w14:paraId="364DC54A">
            <w:pPr>
              <w:spacing w:line="360" w:lineRule="auto"/>
              <w:jc w:val="right"/>
              <w:rPr>
                <w:rFonts w:ascii="Times New Roman" w:hAnsi="Times New Roman"/>
                <w:sz w:val="24"/>
                <w:szCs w:val="24"/>
              </w:rPr>
            </w:pPr>
            <w:r>
              <w:rPr>
                <w:rFonts w:hint="eastAsia" w:ascii="Times New Roman" w:hAnsi="Times New Roman"/>
                <w:sz w:val="24"/>
                <w:szCs w:val="24"/>
              </w:rPr>
              <w:t>（</w:t>
            </w:r>
            <w:r>
              <w:rPr>
                <w:rFonts w:hint="eastAsia" w:ascii="Times New Roman" w:hAnsi="Times New Roman"/>
                <w:sz w:val="24"/>
              </w:rPr>
              <w:t>F.14</w:t>
            </w:r>
            <w:r>
              <w:rPr>
                <w:rFonts w:hint="eastAsia" w:ascii="Times New Roman" w:hAnsi="Times New Roman"/>
                <w:sz w:val="24"/>
                <w:szCs w:val="24"/>
              </w:rPr>
              <w:t>）</w:t>
            </w:r>
          </w:p>
        </w:tc>
      </w:tr>
    </w:tbl>
    <w:p w14:paraId="0851CF83">
      <w:pPr>
        <w:spacing w:line="360" w:lineRule="auto"/>
        <w:rPr>
          <w:rFonts w:ascii="Times New Roman" w:hAnsi="Times New Roman"/>
          <w:sz w:val="24"/>
          <w:szCs w:val="24"/>
        </w:rPr>
      </w:pPr>
      <w:r>
        <w:rPr>
          <w:rFonts w:hint="eastAsia" w:ascii="Times New Roman" w:hAnsi="Times New Roman"/>
          <w:sz w:val="24"/>
          <w:szCs w:val="24"/>
        </w:rPr>
        <w:t>F.3.2.1  标准金属量器容积测量引入的标准不确定度</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2d</m:t>
            </m:r>
            <m:ctrlPr>
              <w:rPr>
                <w:rFonts w:ascii="Cambria Math" w:hAnsi="Cambria Math"/>
                <w:i/>
                <w:sz w:val="24"/>
                <w:szCs w:val="24"/>
              </w:rPr>
            </m:ctrlPr>
          </m:sub>
        </m:sSub>
      </m:oMath>
    </w:p>
    <w:p w14:paraId="45929494">
      <w:pPr>
        <w:pStyle w:val="8"/>
        <w:spacing w:line="360" w:lineRule="auto"/>
        <w:ind w:firstLine="480"/>
        <w:rPr>
          <w:sz w:val="24"/>
        </w:rPr>
      </w:pPr>
      <w:r>
        <w:rPr>
          <w:rFonts w:hint="eastAsia"/>
          <w:sz w:val="24"/>
        </w:rPr>
        <w:t>二等标准金属量器最大允许误差为±2.5</w:t>
      </w:r>
      <w:r>
        <w:rPr>
          <w:rFonts w:hint="eastAsia" w:eastAsia="新宋体"/>
          <w:sz w:val="24"/>
        </w:rPr>
        <w:t>×</w:t>
      </w:r>
      <w:r>
        <w:rPr>
          <w:rFonts w:hint="eastAsia"/>
          <w:sz w:val="24"/>
        </w:rPr>
        <w:t>10</w:t>
      </w:r>
      <w:r>
        <w:rPr>
          <w:rFonts w:hint="eastAsia"/>
          <w:sz w:val="24"/>
          <w:vertAlign w:val="superscript"/>
        </w:rPr>
        <w:t>-4</w:t>
      </w:r>
      <w:r>
        <w:rPr>
          <w:rFonts w:hint="eastAsia"/>
          <w:sz w:val="24"/>
        </w:rPr>
        <w:t>,则</w:t>
      </w:r>
    </w:p>
    <w:tbl>
      <w:tblPr>
        <w:tblStyle w:val="15"/>
        <w:tblW w:w="0" w:type="auto"/>
        <w:tblInd w:w="0" w:type="dxa"/>
        <w:tblLayout w:type="autofit"/>
        <w:tblCellMar>
          <w:top w:w="0" w:type="dxa"/>
          <w:left w:w="108" w:type="dxa"/>
          <w:bottom w:w="0" w:type="dxa"/>
          <w:right w:w="108" w:type="dxa"/>
        </w:tblCellMar>
      </w:tblPr>
      <w:tblGrid>
        <w:gridCol w:w="6441"/>
        <w:gridCol w:w="1865"/>
      </w:tblGrid>
      <w:tr w14:paraId="45227DCB">
        <w:tblPrEx>
          <w:tblCellMar>
            <w:top w:w="0" w:type="dxa"/>
            <w:left w:w="108" w:type="dxa"/>
            <w:bottom w:w="0" w:type="dxa"/>
            <w:right w:w="108" w:type="dxa"/>
          </w:tblCellMar>
        </w:tblPrEx>
        <w:tc>
          <w:tcPr>
            <w:tcW w:w="6629" w:type="dxa"/>
            <w:vAlign w:val="center"/>
          </w:tcPr>
          <w:p w14:paraId="235AD041">
            <w:pPr>
              <w:pStyle w:val="8"/>
              <w:spacing w:line="360" w:lineRule="auto"/>
              <w:ind w:firstLine="840" w:firstLineChars="350"/>
              <w:rPr>
                <w:sz w:val="24"/>
              </w:rPr>
            </w:pPr>
            <m:oMathPara>
              <m:oMathParaPr>
                <m:jc m:val="center"/>
              </m:oMathParaPr>
              <m:oMath>
                <m:sSub>
                  <m:sSubPr>
                    <m:ctrlPr>
                      <w:rPr>
                        <w:rFonts w:ascii="Cambria Math" w:hAnsi="Cambria Math"/>
                        <w:i/>
                        <w:sz w:val="24"/>
                      </w:rPr>
                    </m:ctrlPr>
                  </m:sSubPr>
                  <m:e>
                    <m:r>
                      <m:rPr/>
                      <w:rPr>
                        <w:rFonts w:ascii="Cambria Math" w:hAnsi="Cambria Math"/>
                        <w:sz w:val="24"/>
                      </w:rPr>
                      <m:t xml:space="preserve"> u</m:t>
                    </m:r>
                    <m:ctrlPr>
                      <w:rPr>
                        <w:rFonts w:ascii="Cambria Math" w:hAnsi="Cambria Math"/>
                        <w:i/>
                        <w:sz w:val="24"/>
                      </w:rPr>
                    </m:ctrlPr>
                  </m:e>
                  <m:sub>
                    <m:r>
                      <m:rPr/>
                      <w:rPr>
                        <w:rFonts w:ascii="Cambria Math" w:hAnsi="Cambria Math"/>
                        <w:sz w:val="24"/>
                      </w:rPr>
                      <m:t>2d</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m:sty m:val="p"/>
                      </m:rPr>
                      <w:rPr>
                        <w:rFonts w:ascii="Cambria Math" w:hAnsi="Cambria Math"/>
                        <w:sz w:val="24"/>
                      </w:rPr>
                      <m:t>29 880L×2.5×</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−4</m:t>
                        </m:r>
                        <m:ctrlPr>
                          <w:rPr>
                            <w:rFonts w:ascii="Cambria Math" w:hAnsi="Cambria Math"/>
                            <w:sz w:val="24"/>
                          </w:rPr>
                        </m:ctrlPr>
                      </m:sup>
                    </m:sSup>
                    <m:ctrlPr>
                      <w:rPr>
                        <w:rFonts w:ascii="Cambria Math" w:hAnsi="Cambria Math"/>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sz w:val="24"/>
                      </w:rPr>
                    </m:ctrlPr>
                  </m:den>
                </m:f>
                <m:r>
                  <m:rPr/>
                  <w:rPr>
                    <w:rFonts w:ascii="Cambria Math" w:hAnsi="Cambria Math"/>
                    <w:sz w:val="24"/>
                  </w:rPr>
                  <m:t>=</m:t>
                </m:r>
                <m:r>
                  <m:rPr>
                    <m:sty m:val="p"/>
                  </m:rPr>
                  <w:rPr>
                    <w:rFonts w:ascii="Cambria Math" w:hAnsi="Cambria Math"/>
                    <w:sz w:val="24"/>
                  </w:rPr>
                  <m:t>4.3 L</m:t>
                </m:r>
              </m:oMath>
            </m:oMathPara>
          </w:p>
        </w:tc>
        <w:tc>
          <w:tcPr>
            <w:tcW w:w="1893" w:type="dxa"/>
            <w:vAlign w:val="center"/>
          </w:tcPr>
          <w:p w14:paraId="6DF402F6">
            <w:pPr>
              <w:pStyle w:val="8"/>
              <w:spacing w:line="360" w:lineRule="auto"/>
              <w:ind w:firstLine="0" w:firstLineChars="0"/>
              <w:jc w:val="right"/>
              <w:rPr>
                <w:sz w:val="24"/>
              </w:rPr>
            </w:pPr>
            <w:r>
              <w:rPr>
                <w:rFonts w:hint="eastAsia"/>
                <w:sz w:val="24"/>
              </w:rPr>
              <w:t>（F.15）</w:t>
            </w:r>
          </w:p>
        </w:tc>
      </w:tr>
    </w:tbl>
    <w:p w14:paraId="5740BA46">
      <w:pPr>
        <w:spacing w:line="360" w:lineRule="auto"/>
        <w:rPr>
          <w:rFonts w:ascii="Times New Roman" w:hAnsi="Times New Roman"/>
          <w:sz w:val="24"/>
          <w:szCs w:val="24"/>
        </w:rPr>
      </w:pPr>
      <w:r>
        <w:rPr>
          <w:rFonts w:hint="eastAsia" w:ascii="Times New Roman" w:hAnsi="Times New Roman"/>
          <w:sz w:val="24"/>
          <w:szCs w:val="24"/>
        </w:rPr>
        <w:t>F.3.2.2  标准金属量器</w:t>
      </w:r>
      <w:r>
        <w:rPr>
          <w:rFonts w:hint="eastAsia" w:ascii="Times New Roman" w:hAnsi="Times New Roman"/>
          <w:sz w:val="24"/>
        </w:rPr>
        <w:t>体</w:t>
      </w:r>
      <w:r>
        <w:rPr>
          <w:rFonts w:hint="eastAsia" w:ascii="Times New Roman" w:hAnsi="Times New Roman"/>
          <w:sz w:val="24"/>
          <w:szCs w:val="24"/>
        </w:rPr>
        <w:t>膨胀系数引入的标准不确定度</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2e</m:t>
            </m:r>
            <m:ctrlPr>
              <w:rPr>
                <w:rFonts w:ascii="Cambria Math" w:hAnsi="Cambria Math"/>
                <w:i/>
                <w:sz w:val="24"/>
                <w:szCs w:val="24"/>
              </w:rPr>
            </m:ctrlPr>
          </m:sub>
        </m:sSub>
      </m:oMath>
    </w:p>
    <w:p w14:paraId="6936EDFD">
      <w:pPr>
        <w:pStyle w:val="8"/>
        <w:spacing w:line="360" w:lineRule="auto"/>
        <w:ind w:firstLineChars="0"/>
        <w:rPr>
          <w:sz w:val="24"/>
        </w:rPr>
      </w:pPr>
      <w:r>
        <w:rPr>
          <w:rFonts w:hint="eastAsia"/>
          <w:sz w:val="24"/>
        </w:rPr>
        <w:t>标准金属</w:t>
      </w:r>
      <w:r>
        <w:rPr>
          <w:sz w:val="24"/>
        </w:rPr>
        <w:t>量器</w:t>
      </w:r>
      <w:r>
        <w:rPr>
          <w:rFonts w:hint="eastAsia"/>
          <w:sz w:val="24"/>
        </w:rPr>
        <w:t>体膨胀系数的最大误差为</w:t>
      </w:r>
      <w:r>
        <w:rPr>
          <w:sz w:val="24"/>
        </w:rPr>
        <w:t>5</w:t>
      </w:r>
      <w:r>
        <w:rPr>
          <w:rFonts w:hint="eastAsia"/>
          <w:sz w:val="24"/>
        </w:rPr>
        <w:t>×</w:t>
      </w:r>
      <w:r>
        <w:rPr>
          <w:sz w:val="24"/>
        </w:rPr>
        <w:t>10</w:t>
      </w:r>
      <w:r>
        <w:rPr>
          <w:sz w:val="24"/>
          <w:vertAlign w:val="superscript"/>
        </w:rPr>
        <w:t xml:space="preserve">-6 </w:t>
      </w:r>
      <w:r>
        <w:rPr>
          <w:rFonts w:hint="eastAsia"/>
          <w:sz w:val="24"/>
        </w:rPr>
        <w:t>℃</w:t>
      </w:r>
      <w:r>
        <w:rPr>
          <w:sz w:val="24"/>
          <w:vertAlign w:val="superscript"/>
        </w:rPr>
        <w:t>-1</w:t>
      </w:r>
      <w:r>
        <w:rPr>
          <w:rFonts w:hint="eastAsia"/>
          <w:sz w:val="24"/>
        </w:rPr>
        <w:t>，作均匀分布处理，则</w:t>
      </w:r>
    </w:p>
    <w:tbl>
      <w:tblPr>
        <w:tblStyle w:val="15"/>
        <w:tblW w:w="0" w:type="auto"/>
        <w:tblInd w:w="0" w:type="dxa"/>
        <w:tblLayout w:type="autofit"/>
        <w:tblCellMar>
          <w:top w:w="0" w:type="dxa"/>
          <w:left w:w="108" w:type="dxa"/>
          <w:bottom w:w="0" w:type="dxa"/>
          <w:right w:w="108" w:type="dxa"/>
        </w:tblCellMar>
      </w:tblPr>
      <w:tblGrid>
        <w:gridCol w:w="6439"/>
        <w:gridCol w:w="1867"/>
      </w:tblGrid>
      <w:tr w14:paraId="1A246EBA">
        <w:tblPrEx>
          <w:tblCellMar>
            <w:top w:w="0" w:type="dxa"/>
            <w:left w:w="108" w:type="dxa"/>
            <w:bottom w:w="0" w:type="dxa"/>
            <w:right w:w="108" w:type="dxa"/>
          </w:tblCellMar>
        </w:tblPrEx>
        <w:tc>
          <w:tcPr>
            <w:tcW w:w="6629" w:type="dxa"/>
            <w:vAlign w:val="center"/>
          </w:tcPr>
          <w:p w14:paraId="7B54E596">
            <w:pPr>
              <w:pStyle w:val="8"/>
              <w:spacing w:line="360"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2e</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m:sty m:val="p"/>
                      </m:rPr>
                      <w:rPr>
                        <w:rFonts w:ascii="Cambria Math" w:hAnsi="Cambria Math"/>
                        <w:sz w:val="24"/>
                      </w:rPr>
                      <m:t>5×</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r>
                      <m:rPr/>
                      <w:rPr>
                        <w:rFonts w:ascii="Cambria Math" w:hAnsi="Cambria Math"/>
                        <w:sz w:val="24"/>
                      </w:rPr>
                      <m:t xml:space="preserve"> </m:t>
                    </m:r>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ctrlPr>
                      <w:rPr>
                        <w:rFonts w:ascii="Cambria Math" w:hAnsi="Cambria Math"/>
                        <w:sz w:val="24"/>
                      </w:rPr>
                    </m:ctrlPr>
                  </m:num>
                  <m:den>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3</m:t>
                        </m:r>
                        <m:ctrlPr>
                          <w:rPr>
                            <w:rFonts w:ascii="Cambria Math" w:hAnsi="Cambria Math"/>
                            <w:sz w:val="24"/>
                          </w:rPr>
                        </m:ctrlPr>
                      </m:e>
                    </m:rad>
                    <m:ctrlPr>
                      <w:rPr>
                        <w:rFonts w:ascii="Cambria Math" w:hAnsi="Cambria Math"/>
                        <w:sz w:val="24"/>
                      </w:rPr>
                    </m:ctrlPr>
                  </m:den>
                </m:f>
                <m:r>
                  <m:rPr/>
                  <w:rPr>
                    <w:rFonts w:ascii="Cambria Math" w:hAnsi="Cambria Math"/>
                    <w:sz w:val="24"/>
                  </w:rPr>
                  <m:t>=2.89×</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r>
                  <m:rPr/>
                  <w:rPr>
                    <w:rFonts w:ascii="Cambria Math" w:hAnsi="Cambria Math"/>
                    <w:sz w:val="24"/>
                  </w:rPr>
                  <m:t xml:space="preserve"> </m:t>
                </m:r>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oMath>
            </m:oMathPara>
          </w:p>
        </w:tc>
        <w:tc>
          <w:tcPr>
            <w:tcW w:w="1893" w:type="dxa"/>
            <w:vAlign w:val="center"/>
          </w:tcPr>
          <w:p w14:paraId="02F8B42A">
            <w:pPr>
              <w:pStyle w:val="8"/>
              <w:spacing w:line="360" w:lineRule="auto"/>
              <w:ind w:firstLine="0" w:firstLineChars="0"/>
              <w:jc w:val="right"/>
              <w:rPr>
                <w:sz w:val="24"/>
              </w:rPr>
            </w:pPr>
            <w:r>
              <w:rPr>
                <w:rFonts w:hint="eastAsia"/>
                <w:sz w:val="24"/>
              </w:rPr>
              <w:t>（F.16）</w:t>
            </w:r>
          </w:p>
        </w:tc>
      </w:tr>
    </w:tbl>
    <w:p w14:paraId="02B88348">
      <w:pPr>
        <w:spacing w:line="360" w:lineRule="auto"/>
        <w:rPr>
          <w:rFonts w:ascii="Times New Roman" w:hAnsi="Times New Roman"/>
          <w:sz w:val="24"/>
          <w:szCs w:val="24"/>
        </w:rPr>
      </w:pPr>
      <w:r>
        <w:rPr>
          <w:rFonts w:hint="eastAsia" w:ascii="Times New Roman" w:hAnsi="Times New Roman"/>
          <w:sz w:val="24"/>
          <w:szCs w:val="24"/>
        </w:rPr>
        <w:t>F.3.2.3  检测罐</w:t>
      </w:r>
      <w:r>
        <w:rPr>
          <w:rFonts w:hint="eastAsia" w:ascii="Times New Roman" w:hAnsi="Times New Roman"/>
          <w:sz w:val="24"/>
        </w:rPr>
        <w:t>体</w:t>
      </w:r>
      <w:r>
        <w:rPr>
          <w:rFonts w:hint="eastAsia" w:ascii="Times New Roman" w:hAnsi="Times New Roman"/>
          <w:sz w:val="24"/>
          <w:szCs w:val="24"/>
        </w:rPr>
        <w:t>膨胀系数引入的标准不确定度</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2f</m:t>
            </m:r>
            <m:ctrlPr>
              <w:rPr>
                <w:rFonts w:ascii="Cambria Math" w:hAnsi="Cambria Math"/>
                <w:i/>
                <w:sz w:val="24"/>
                <w:szCs w:val="24"/>
              </w:rPr>
            </m:ctrlPr>
          </m:sub>
        </m:sSub>
      </m:oMath>
    </w:p>
    <w:p w14:paraId="7B9123FD">
      <w:pPr>
        <w:pStyle w:val="8"/>
        <w:spacing w:line="360" w:lineRule="auto"/>
        <w:ind w:firstLineChars="0"/>
        <w:rPr>
          <w:sz w:val="24"/>
        </w:rPr>
      </w:pPr>
      <w:r>
        <w:rPr>
          <w:rFonts w:hint="eastAsia"/>
          <w:sz w:val="24"/>
        </w:rPr>
        <w:t>检测罐体膨胀系数的最大误差为</w:t>
      </w:r>
      <w:r>
        <w:rPr>
          <w:sz w:val="24"/>
        </w:rPr>
        <w:t>1.2</w:t>
      </w:r>
      <w:r>
        <w:rPr>
          <w:rFonts w:hint="eastAsia"/>
          <w:sz w:val="24"/>
        </w:rPr>
        <w:t>×</w:t>
      </w:r>
      <w:r>
        <w:rPr>
          <w:sz w:val="24"/>
        </w:rPr>
        <w:t>10</w:t>
      </w:r>
      <w:r>
        <w:rPr>
          <w:sz w:val="24"/>
          <w:vertAlign w:val="superscript"/>
        </w:rPr>
        <w:t xml:space="preserve">-6 </w:t>
      </w:r>
      <w:r>
        <w:rPr>
          <w:rFonts w:hint="eastAsia"/>
          <w:sz w:val="24"/>
        </w:rPr>
        <w:t>℃</w:t>
      </w:r>
      <w:r>
        <w:rPr>
          <w:sz w:val="24"/>
          <w:vertAlign w:val="superscript"/>
        </w:rPr>
        <w:t>-1</w:t>
      </w:r>
      <w:r>
        <w:rPr>
          <w:rFonts w:hint="eastAsia"/>
          <w:sz w:val="24"/>
        </w:rPr>
        <w:t>，作均匀分布处理，则</w:t>
      </w:r>
    </w:p>
    <w:tbl>
      <w:tblPr>
        <w:tblStyle w:val="15"/>
        <w:tblW w:w="0" w:type="auto"/>
        <w:tblInd w:w="0" w:type="dxa"/>
        <w:tblLayout w:type="autofit"/>
        <w:tblCellMar>
          <w:top w:w="0" w:type="dxa"/>
          <w:left w:w="108" w:type="dxa"/>
          <w:bottom w:w="0" w:type="dxa"/>
          <w:right w:w="108" w:type="dxa"/>
        </w:tblCellMar>
      </w:tblPr>
      <w:tblGrid>
        <w:gridCol w:w="6439"/>
        <w:gridCol w:w="1867"/>
      </w:tblGrid>
      <w:tr w14:paraId="5935E4A1">
        <w:tblPrEx>
          <w:tblCellMar>
            <w:top w:w="0" w:type="dxa"/>
            <w:left w:w="108" w:type="dxa"/>
            <w:bottom w:w="0" w:type="dxa"/>
            <w:right w:w="108" w:type="dxa"/>
          </w:tblCellMar>
        </w:tblPrEx>
        <w:tc>
          <w:tcPr>
            <w:tcW w:w="6629" w:type="dxa"/>
            <w:vAlign w:val="center"/>
          </w:tcPr>
          <w:p w14:paraId="0A1EA204">
            <w:pPr>
              <w:pStyle w:val="8"/>
              <w:spacing w:line="360"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2f</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m:sty m:val="p"/>
                      </m:rPr>
                      <w:rPr>
                        <w:rFonts w:ascii="Cambria Math" w:hAnsi="Cambria Math"/>
                        <w:sz w:val="24"/>
                      </w:rPr>
                      <m:t>1.2×</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−6</m:t>
                        </m:r>
                        <m:ctrlPr>
                          <w:rPr>
                            <w:rFonts w:ascii="Cambria Math" w:hAnsi="Cambria Math"/>
                            <w:sz w:val="24"/>
                          </w:rPr>
                        </m:ctrlPr>
                      </m:sup>
                    </m:sSup>
                    <m:r>
                      <m:rPr/>
                      <w:rPr>
                        <w:rFonts w:ascii="Cambria Math" w:hAnsi="Cambria Math"/>
                        <w:sz w:val="24"/>
                      </w:rPr>
                      <m:t xml:space="preserve"> </m:t>
                    </m:r>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ctrlPr>
                      <w:rPr>
                        <w:rFonts w:ascii="Cambria Math" w:hAnsi="Cambria Math"/>
                        <w:sz w:val="24"/>
                      </w:rPr>
                    </m:ctrlPr>
                  </m:num>
                  <m:den>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3</m:t>
                        </m:r>
                        <m:ctrlPr>
                          <w:rPr>
                            <w:rFonts w:ascii="Cambria Math" w:hAnsi="Cambria Math"/>
                            <w:sz w:val="24"/>
                          </w:rPr>
                        </m:ctrlPr>
                      </m:e>
                    </m:rad>
                    <m:ctrlPr>
                      <w:rPr>
                        <w:rFonts w:ascii="Cambria Math" w:hAnsi="Cambria Math"/>
                        <w:sz w:val="24"/>
                      </w:rPr>
                    </m:ctrlPr>
                  </m:den>
                </m:f>
                <m:r>
                  <m:rPr/>
                  <w:rPr>
                    <w:rFonts w:ascii="Cambria Math" w:hAnsi="Cambria Math"/>
                    <w:sz w:val="24"/>
                  </w:rPr>
                  <m:t>=0.69×</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r>
                  <m:rPr/>
                  <w:rPr>
                    <w:rFonts w:ascii="Cambria Math" w:hAnsi="Cambria Math"/>
                    <w:sz w:val="24"/>
                  </w:rPr>
                  <m:t xml:space="preserve"> </m:t>
                </m:r>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oMath>
            </m:oMathPara>
          </w:p>
        </w:tc>
        <w:tc>
          <w:tcPr>
            <w:tcW w:w="1893" w:type="dxa"/>
            <w:vAlign w:val="center"/>
          </w:tcPr>
          <w:p w14:paraId="543A3CA8">
            <w:pPr>
              <w:pStyle w:val="8"/>
              <w:spacing w:line="360" w:lineRule="auto"/>
              <w:ind w:firstLine="0" w:firstLineChars="0"/>
              <w:jc w:val="right"/>
              <w:rPr>
                <w:sz w:val="24"/>
              </w:rPr>
            </w:pPr>
            <w:r>
              <w:rPr>
                <w:rFonts w:hint="eastAsia"/>
                <w:sz w:val="24"/>
              </w:rPr>
              <w:t>（F.17）</w:t>
            </w:r>
          </w:p>
        </w:tc>
      </w:tr>
    </w:tbl>
    <w:p w14:paraId="0390C80A">
      <w:pPr>
        <w:spacing w:line="360" w:lineRule="auto"/>
        <w:rPr>
          <w:rFonts w:ascii="Times New Roman" w:hAnsi="Times New Roman"/>
          <w:sz w:val="24"/>
          <w:szCs w:val="24"/>
        </w:rPr>
      </w:pPr>
      <w:r>
        <w:rPr>
          <w:rFonts w:hint="eastAsia" w:ascii="Times New Roman" w:hAnsi="Times New Roman"/>
          <w:sz w:val="24"/>
          <w:szCs w:val="24"/>
        </w:rPr>
        <w:t>F.3.2.4  水</w:t>
      </w:r>
      <w:r>
        <w:rPr>
          <w:rFonts w:hint="eastAsia" w:ascii="Times New Roman" w:hAnsi="Times New Roman"/>
          <w:sz w:val="24"/>
        </w:rPr>
        <w:t>体</w:t>
      </w:r>
      <w:r>
        <w:rPr>
          <w:rFonts w:hint="eastAsia" w:ascii="Times New Roman" w:hAnsi="Times New Roman"/>
          <w:sz w:val="24"/>
          <w:szCs w:val="24"/>
        </w:rPr>
        <w:t>膨胀系数引入的标准不确定度分量</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2g</m:t>
            </m:r>
            <m:ctrlPr>
              <w:rPr>
                <w:rFonts w:ascii="Cambria Math" w:hAnsi="Cambria Math"/>
                <w:i/>
                <w:sz w:val="24"/>
                <w:szCs w:val="24"/>
              </w:rPr>
            </m:ctrlPr>
          </m:sub>
        </m:sSub>
      </m:oMath>
    </w:p>
    <w:p w14:paraId="6456C90D">
      <w:pPr>
        <w:pStyle w:val="8"/>
        <w:spacing w:line="360" w:lineRule="auto"/>
        <w:ind w:firstLineChars="0"/>
        <w:rPr>
          <w:sz w:val="24"/>
        </w:rPr>
      </w:pPr>
      <w:r>
        <w:rPr>
          <w:rFonts w:hint="eastAsia"/>
          <w:sz w:val="24"/>
        </w:rPr>
        <w:t>水体膨胀胀系数的最大误差为</w:t>
      </w:r>
      <w:r>
        <w:rPr>
          <w:sz w:val="24"/>
        </w:rPr>
        <w:t>0.2</w:t>
      </w:r>
      <w:r>
        <w:rPr>
          <w:rFonts w:hint="eastAsia"/>
          <w:sz w:val="24"/>
        </w:rPr>
        <w:t>×</w:t>
      </w:r>
      <w:r>
        <w:rPr>
          <w:sz w:val="24"/>
        </w:rPr>
        <w:t>10</w:t>
      </w:r>
      <w:r>
        <w:rPr>
          <w:sz w:val="24"/>
          <w:vertAlign w:val="superscript"/>
        </w:rPr>
        <w:t xml:space="preserve">-4 </w:t>
      </w:r>
      <w:r>
        <w:rPr>
          <w:rFonts w:hint="eastAsia"/>
          <w:sz w:val="24"/>
        </w:rPr>
        <w:t>℃</w:t>
      </w:r>
      <w:r>
        <w:rPr>
          <w:sz w:val="24"/>
          <w:vertAlign w:val="superscript"/>
        </w:rPr>
        <w:t>-1</w:t>
      </w:r>
      <w:r>
        <w:rPr>
          <w:rFonts w:hint="eastAsia"/>
          <w:sz w:val="24"/>
        </w:rPr>
        <w:t>，作均匀分布处理，则</w:t>
      </w:r>
    </w:p>
    <w:tbl>
      <w:tblPr>
        <w:tblStyle w:val="15"/>
        <w:tblW w:w="0" w:type="auto"/>
        <w:tblInd w:w="0" w:type="dxa"/>
        <w:tblLayout w:type="autofit"/>
        <w:tblCellMar>
          <w:top w:w="0" w:type="dxa"/>
          <w:left w:w="108" w:type="dxa"/>
          <w:bottom w:w="0" w:type="dxa"/>
          <w:right w:w="108" w:type="dxa"/>
        </w:tblCellMar>
      </w:tblPr>
      <w:tblGrid>
        <w:gridCol w:w="6440"/>
        <w:gridCol w:w="1866"/>
      </w:tblGrid>
      <w:tr w14:paraId="7449E247">
        <w:tblPrEx>
          <w:tblCellMar>
            <w:top w:w="0" w:type="dxa"/>
            <w:left w:w="108" w:type="dxa"/>
            <w:bottom w:w="0" w:type="dxa"/>
            <w:right w:w="108" w:type="dxa"/>
          </w:tblCellMar>
        </w:tblPrEx>
        <w:tc>
          <w:tcPr>
            <w:tcW w:w="6629" w:type="dxa"/>
            <w:vAlign w:val="center"/>
          </w:tcPr>
          <w:p w14:paraId="706BD202">
            <w:pPr>
              <w:pStyle w:val="8"/>
              <w:spacing w:line="360"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2g</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sSup>
                      <m:sSupPr>
                        <m:ctrlPr>
                          <w:rPr>
                            <w:rFonts w:ascii="Cambria Math" w:hAnsi="Cambria Math"/>
                            <w:sz w:val="24"/>
                          </w:rPr>
                        </m:ctrlPr>
                      </m:sSupPr>
                      <m:e>
                        <m:r>
                          <m:rPr>
                            <m:sty m:val="p"/>
                          </m:rPr>
                          <w:rPr>
                            <w:rFonts w:ascii="Cambria Math" w:hAnsi="Cambria Math"/>
                            <w:sz w:val="24"/>
                          </w:rPr>
                          <m:t>10</m:t>
                        </m:r>
                        <m:ctrlPr>
                          <w:rPr>
                            <w:rFonts w:ascii="Cambria Math" w:hAnsi="Cambria Math"/>
                            <w:sz w:val="24"/>
                          </w:rPr>
                        </m:ctrlPr>
                      </m:e>
                      <m:sup>
                        <m:r>
                          <m:rPr>
                            <m:sty m:val="p"/>
                          </m:rPr>
                          <w:rPr>
                            <w:rFonts w:ascii="Cambria Math" w:hAnsi="Cambria Math"/>
                            <w:sz w:val="24"/>
                          </w:rPr>
                          <m:t>−4</m:t>
                        </m:r>
                        <m:ctrlPr>
                          <w:rPr>
                            <w:rFonts w:ascii="Cambria Math" w:hAnsi="Cambria Math"/>
                            <w:sz w:val="24"/>
                          </w:rPr>
                        </m:ctrlPr>
                      </m:sup>
                    </m:sSup>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ctrlPr>
                      <w:rPr>
                        <w:rFonts w:ascii="Cambria Math" w:hAnsi="Cambria Math"/>
                        <w:sz w:val="24"/>
                      </w:rPr>
                    </m:ctrlPr>
                  </m:num>
                  <m:den>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3</m:t>
                        </m:r>
                        <m:ctrlPr>
                          <w:rPr>
                            <w:rFonts w:ascii="Cambria Math" w:hAnsi="Cambria Math"/>
                            <w:sz w:val="24"/>
                          </w:rPr>
                        </m:ctrlPr>
                      </m:e>
                    </m:rad>
                    <m:ctrlPr>
                      <w:rPr>
                        <w:rFonts w:ascii="Cambria Math" w:hAnsi="Cambria Math"/>
                        <w:sz w:val="24"/>
                      </w:rPr>
                    </m:ctrlPr>
                  </m:den>
                </m:f>
                <m:r>
                  <m:rPr/>
                  <w:rPr>
                    <w:rFonts w:ascii="Cambria Math" w:hAnsi="Cambria Math"/>
                    <w:sz w:val="24"/>
                  </w:rPr>
                  <m:t>=11.54×</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r>
                  <m:rPr/>
                  <w:rPr>
                    <w:rFonts w:ascii="Cambria Math" w:hAnsi="Cambria Math"/>
                    <w:sz w:val="24"/>
                  </w:rPr>
                  <m:t xml:space="preserve"> </m:t>
                </m:r>
                <m:sSup>
                  <m:sSupPr>
                    <m:ctrlPr>
                      <w:rPr>
                        <w:rFonts w:ascii="Cambria Math" w:hAnsi="Cambria Math"/>
                        <w:i/>
                        <w:sz w:val="24"/>
                      </w:rPr>
                    </m:ctrlPr>
                  </m:sSupPr>
                  <m:e>
                    <m:r>
                      <m:rPr/>
                      <w:rPr>
                        <w:rFonts w:ascii="Cambria Math" w:hAnsi="Cambria Math"/>
                        <w:sz w:val="24"/>
                      </w:rPr>
                      <m:t>℃</m:t>
                    </m:r>
                    <m:ctrlPr>
                      <w:rPr>
                        <w:rFonts w:ascii="Cambria Math" w:hAnsi="Cambria Math"/>
                        <w:i/>
                        <w:sz w:val="24"/>
                      </w:rPr>
                    </m:ctrlPr>
                  </m:e>
                  <m:sup>
                    <m:r>
                      <m:rPr/>
                      <w:rPr>
                        <w:rFonts w:ascii="Cambria Math" w:hAnsi="Cambria Math"/>
                        <w:sz w:val="24"/>
                      </w:rPr>
                      <m:t>−1</m:t>
                    </m:r>
                    <m:ctrlPr>
                      <w:rPr>
                        <w:rFonts w:ascii="Cambria Math" w:hAnsi="Cambria Math"/>
                        <w:i/>
                        <w:sz w:val="24"/>
                      </w:rPr>
                    </m:ctrlPr>
                  </m:sup>
                </m:sSup>
              </m:oMath>
            </m:oMathPara>
          </w:p>
        </w:tc>
        <w:tc>
          <w:tcPr>
            <w:tcW w:w="1893" w:type="dxa"/>
            <w:vAlign w:val="center"/>
          </w:tcPr>
          <w:p w14:paraId="73649235">
            <w:pPr>
              <w:pStyle w:val="8"/>
              <w:spacing w:line="360" w:lineRule="auto"/>
              <w:ind w:firstLine="0" w:firstLineChars="0"/>
              <w:jc w:val="right"/>
              <w:rPr>
                <w:sz w:val="24"/>
              </w:rPr>
            </w:pPr>
            <w:r>
              <w:rPr>
                <w:rFonts w:hint="eastAsia"/>
                <w:sz w:val="24"/>
              </w:rPr>
              <w:t>（F.18）</w:t>
            </w:r>
          </w:p>
        </w:tc>
      </w:tr>
    </w:tbl>
    <w:p w14:paraId="517AB4B4">
      <w:pPr>
        <w:spacing w:line="360" w:lineRule="auto"/>
        <w:rPr>
          <w:rFonts w:ascii="Times New Roman" w:hAnsi="Times New Roman"/>
          <w:sz w:val="24"/>
          <w:szCs w:val="24"/>
        </w:rPr>
      </w:pPr>
      <w:r>
        <w:rPr>
          <w:rFonts w:hint="eastAsia" w:ascii="Times New Roman" w:hAnsi="Times New Roman"/>
          <w:sz w:val="24"/>
          <w:szCs w:val="24"/>
        </w:rPr>
        <w:t>F.3.2.5  标准金属量器内水温测量引入的标准不确定度分量</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2h</m:t>
            </m:r>
            <m:ctrlPr>
              <w:rPr>
                <w:rFonts w:ascii="Cambria Math" w:hAnsi="Cambria Math"/>
                <w:i/>
                <w:sz w:val="24"/>
                <w:szCs w:val="24"/>
              </w:rPr>
            </m:ctrlPr>
          </m:sub>
        </m:sSub>
      </m:oMath>
    </w:p>
    <w:p w14:paraId="6B73416B">
      <w:pPr>
        <w:spacing w:line="360" w:lineRule="auto"/>
        <w:ind w:firstLine="420"/>
        <w:rPr>
          <w:rFonts w:ascii="Times New Roman" w:hAnsi="Times New Roman"/>
          <w:sz w:val="24"/>
          <w:szCs w:val="24"/>
        </w:rPr>
      </w:pPr>
      <w:r>
        <w:rPr>
          <w:rFonts w:hint="eastAsia" w:ascii="Times New Roman" w:hAnsi="Times New Roman"/>
          <w:sz w:val="24"/>
          <w:szCs w:val="24"/>
        </w:rPr>
        <w:t>标准金属量器内水温测</w:t>
      </w:r>
      <w:r>
        <w:rPr>
          <w:rFonts w:hint="eastAsia" w:ascii="Times New Roman" w:hAnsi="Times New Roman"/>
          <w:sz w:val="24"/>
        </w:rPr>
        <w:t>量（包括温度场的不均匀性）的最大误差为±</w:t>
      </w:r>
      <w:r>
        <w:rPr>
          <w:rFonts w:ascii="Times New Roman" w:hAnsi="Times New Roman"/>
          <w:sz w:val="24"/>
        </w:rPr>
        <w:t xml:space="preserve">0.2 </w:t>
      </w:r>
      <w:r>
        <w:rPr>
          <w:rFonts w:hint="eastAsia" w:ascii="Times New Roman" w:hAnsi="Times New Roman"/>
          <w:sz w:val="24"/>
        </w:rPr>
        <w:t>℃，</w:t>
      </w:r>
      <w:r>
        <w:rPr>
          <w:rFonts w:hint="eastAsia" w:ascii="Times New Roman" w:hAnsi="Times New Roman"/>
          <w:sz w:val="24"/>
          <w:szCs w:val="24"/>
        </w:rPr>
        <w:t>取均匀分布，则</w:t>
      </w:r>
    </w:p>
    <w:tbl>
      <w:tblPr>
        <w:tblStyle w:val="15"/>
        <w:tblW w:w="0" w:type="auto"/>
        <w:tblInd w:w="0" w:type="dxa"/>
        <w:tblLayout w:type="autofit"/>
        <w:tblCellMar>
          <w:top w:w="0" w:type="dxa"/>
          <w:left w:w="108" w:type="dxa"/>
          <w:bottom w:w="0" w:type="dxa"/>
          <w:right w:w="108" w:type="dxa"/>
        </w:tblCellMar>
      </w:tblPr>
      <w:tblGrid>
        <w:gridCol w:w="6439"/>
        <w:gridCol w:w="1867"/>
      </w:tblGrid>
      <w:tr w14:paraId="7CC4C311">
        <w:tblPrEx>
          <w:tblCellMar>
            <w:top w:w="0" w:type="dxa"/>
            <w:left w:w="108" w:type="dxa"/>
            <w:bottom w:w="0" w:type="dxa"/>
            <w:right w:w="108" w:type="dxa"/>
          </w:tblCellMar>
        </w:tblPrEx>
        <w:tc>
          <w:tcPr>
            <w:tcW w:w="6629" w:type="dxa"/>
            <w:vAlign w:val="center"/>
          </w:tcPr>
          <w:p w14:paraId="3FA19284">
            <w:pPr>
              <w:spacing w:line="360" w:lineRule="auto"/>
              <w:ind w:firstLine="420"/>
              <w:rPr>
                <w:rFonts w:ascii="Times New Roman" w:hAnsi="Times New Roman"/>
                <w:sz w:val="24"/>
                <w:szCs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2h</m:t>
                    </m:r>
                    <m:ctrlPr>
                      <w:rPr>
                        <w:rFonts w:ascii="Cambria Math" w:hAnsi="Cambria Math"/>
                        <w:i/>
                        <w:sz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0.2</m:t>
                    </m:r>
                    <m:r>
                      <m:rPr/>
                      <w:rPr>
                        <w:rFonts w:ascii="Cambria Math" w:hAnsi="Cambria Math"/>
                        <w:sz w:val="24"/>
                      </w:rPr>
                      <m:t>℃</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hAns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hAnsi="Cambria Math"/>
                    <w:sz w:val="24"/>
                    <w:szCs w:val="24"/>
                  </w:rPr>
                  <m:t>=</m:t>
                </m:r>
                <m:r>
                  <m:rPr/>
                  <w:rPr>
                    <w:rFonts w:ascii="Cambria Math" w:hAnsi="Cambria Math"/>
                    <w:sz w:val="24"/>
                  </w:rPr>
                  <m:t>0.115 5 ℃</m:t>
                </m:r>
              </m:oMath>
            </m:oMathPara>
          </w:p>
        </w:tc>
        <w:tc>
          <w:tcPr>
            <w:tcW w:w="1893" w:type="dxa"/>
            <w:vAlign w:val="center"/>
          </w:tcPr>
          <w:p w14:paraId="347EBA7B">
            <w:pPr>
              <w:pStyle w:val="8"/>
              <w:spacing w:line="360" w:lineRule="auto"/>
              <w:ind w:firstLine="0" w:firstLineChars="0"/>
              <w:jc w:val="right"/>
              <w:rPr>
                <w:sz w:val="24"/>
              </w:rPr>
            </w:pPr>
            <w:r>
              <w:rPr>
                <w:rFonts w:hint="eastAsia"/>
                <w:sz w:val="24"/>
              </w:rPr>
              <w:t>（F.19）</w:t>
            </w:r>
          </w:p>
        </w:tc>
      </w:tr>
    </w:tbl>
    <w:p w14:paraId="237C60D5">
      <w:pPr>
        <w:spacing w:line="360" w:lineRule="auto"/>
        <w:rPr>
          <w:rFonts w:ascii="Times New Roman" w:hAnsi="Times New Roman"/>
          <w:sz w:val="24"/>
          <w:szCs w:val="24"/>
        </w:rPr>
      </w:pPr>
      <w:r>
        <w:rPr>
          <w:rFonts w:hint="eastAsia" w:ascii="Times New Roman" w:hAnsi="Times New Roman"/>
          <w:sz w:val="24"/>
          <w:szCs w:val="24"/>
        </w:rPr>
        <w:t>F.3.2.6  检测罐内水温测量引入的标准不确定度分量</w:t>
      </w:r>
      <m:oMath>
        <m:sSub>
          <m:sSubPr>
            <m:ctrlPr>
              <w:rPr>
                <w:rFonts w:ascii="Cambria Math" w:hAnsi="Cambria Math"/>
                <w:i/>
                <w:sz w:val="24"/>
                <w:szCs w:val="24"/>
              </w:rPr>
            </m:ctrlPr>
          </m:sSubPr>
          <m:e>
            <m:r>
              <m:rPr/>
              <w:rPr>
                <w:rFonts w:ascii="Cambria Math" w:hAnsi="Cambria Math"/>
                <w:sz w:val="24"/>
                <w:szCs w:val="24"/>
              </w:rPr>
              <m:t>u</m:t>
            </m:r>
            <m:ctrlPr>
              <w:rPr>
                <w:rFonts w:ascii="Cambria Math" w:hAnsi="Cambria Math"/>
                <w:i/>
                <w:sz w:val="24"/>
                <w:szCs w:val="24"/>
              </w:rPr>
            </m:ctrlPr>
          </m:e>
          <m:sub>
            <m:r>
              <m:rPr/>
              <w:rPr>
                <w:rFonts w:ascii="Cambria Math" w:hAnsi="Cambria Math"/>
                <w:sz w:val="24"/>
                <w:szCs w:val="24"/>
              </w:rPr>
              <m:t>2i</m:t>
            </m:r>
            <m:ctrlPr>
              <w:rPr>
                <w:rFonts w:ascii="Cambria Math" w:hAnsi="Cambria Math"/>
                <w:i/>
                <w:sz w:val="24"/>
                <w:szCs w:val="24"/>
              </w:rPr>
            </m:ctrlPr>
          </m:sub>
        </m:sSub>
      </m:oMath>
    </w:p>
    <w:p w14:paraId="759B9661">
      <w:pPr>
        <w:spacing w:line="360" w:lineRule="auto"/>
        <w:ind w:firstLine="420"/>
        <w:rPr>
          <w:rFonts w:ascii="Times New Roman" w:hAnsi="Times New Roman"/>
          <w:sz w:val="24"/>
          <w:szCs w:val="24"/>
        </w:rPr>
      </w:pPr>
      <w:r>
        <w:rPr>
          <w:rFonts w:hint="eastAsia" w:ascii="Times New Roman" w:hAnsi="Times New Roman"/>
          <w:sz w:val="24"/>
          <w:szCs w:val="24"/>
        </w:rPr>
        <w:t>检测罐内水温测量</w:t>
      </w:r>
      <w:r>
        <w:rPr>
          <w:rFonts w:hint="eastAsia" w:ascii="Times New Roman" w:hAnsi="Times New Roman"/>
          <w:sz w:val="24"/>
        </w:rPr>
        <w:t>的最大误差为±</w:t>
      </w:r>
      <w:r>
        <w:rPr>
          <w:rFonts w:ascii="Times New Roman" w:hAnsi="Times New Roman"/>
          <w:sz w:val="24"/>
        </w:rPr>
        <w:t xml:space="preserve">1 </w:t>
      </w:r>
      <w:r>
        <w:rPr>
          <w:rFonts w:hint="eastAsia" w:ascii="Times New Roman" w:hAnsi="Times New Roman"/>
          <w:sz w:val="24"/>
        </w:rPr>
        <w:t>℃，</w:t>
      </w:r>
      <w:r>
        <w:rPr>
          <w:rFonts w:hint="eastAsia" w:ascii="Times New Roman" w:hAnsi="Times New Roman"/>
          <w:sz w:val="24"/>
          <w:szCs w:val="24"/>
        </w:rPr>
        <w:t>取均匀分布，则</w:t>
      </w:r>
    </w:p>
    <w:tbl>
      <w:tblPr>
        <w:tblStyle w:val="15"/>
        <w:tblW w:w="0" w:type="auto"/>
        <w:tblInd w:w="0" w:type="dxa"/>
        <w:tblLayout w:type="autofit"/>
        <w:tblCellMar>
          <w:top w:w="0" w:type="dxa"/>
          <w:left w:w="108" w:type="dxa"/>
          <w:bottom w:w="0" w:type="dxa"/>
          <w:right w:w="108" w:type="dxa"/>
        </w:tblCellMar>
      </w:tblPr>
      <w:tblGrid>
        <w:gridCol w:w="6439"/>
        <w:gridCol w:w="1867"/>
      </w:tblGrid>
      <w:tr w14:paraId="7B6D2D9E">
        <w:tblPrEx>
          <w:tblCellMar>
            <w:top w:w="0" w:type="dxa"/>
            <w:left w:w="108" w:type="dxa"/>
            <w:bottom w:w="0" w:type="dxa"/>
            <w:right w:w="108" w:type="dxa"/>
          </w:tblCellMar>
        </w:tblPrEx>
        <w:tc>
          <w:tcPr>
            <w:tcW w:w="6629" w:type="dxa"/>
            <w:vAlign w:val="center"/>
          </w:tcPr>
          <w:p w14:paraId="6CE5009F">
            <w:pPr>
              <w:spacing w:line="360" w:lineRule="auto"/>
              <w:ind w:firstLine="420"/>
              <w:rPr>
                <w:rFonts w:ascii="Times New Roman" w:hAnsi="Times New Roman"/>
                <w:sz w:val="24"/>
                <w:szCs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2i</m:t>
                    </m:r>
                    <m:ctrlPr>
                      <w:rPr>
                        <w:rFonts w:ascii="Cambria Math" w:hAnsi="Cambria Math"/>
                        <w:i/>
                        <w:sz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r>
                      <m:rPr/>
                      <w:rPr>
                        <w:rFonts w:ascii="Cambria Math" w:hAnsi="Cambria Math"/>
                        <w:sz w:val="24"/>
                      </w:rPr>
                      <m:t>℃</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hAns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hAnsi="Cambria Math"/>
                    <w:sz w:val="24"/>
                    <w:szCs w:val="24"/>
                  </w:rPr>
                  <m:t>=</m:t>
                </m:r>
                <m:r>
                  <m:rPr/>
                  <w:rPr>
                    <w:rFonts w:ascii="Cambria Math" w:hAnsi="Cambria Math"/>
                    <w:sz w:val="24"/>
                  </w:rPr>
                  <m:t>0.577 4 ℃</m:t>
                </m:r>
              </m:oMath>
            </m:oMathPara>
          </w:p>
        </w:tc>
        <w:tc>
          <w:tcPr>
            <w:tcW w:w="1893" w:type="dxa"/>
            <w:vAlign w:val="center"/>
          </w:tcPr>
          <w:p w14:paraId="2855B77E">
            <w:pPr>
              <w:pStyle w:val="8"/>
              <w:spacing w:line="360" w:lineRule="auto"/>
              <w:ind w:firstLine="0" w:firstLineChars="0"/>
              <w:jc w:val="right"/>
              <w:rPr>
                <w:sz w:val="24"/>
              </w:rPr>
            </w:pPr>
            <w:r>
              <w:rPr>
                <w:rFonts w:hint="eastAsia"/>
                <w:sz w:val="24"/>
              </w:rPr>
              <w:t>（F.20）</w:t>
            </w:r>
          </w:p>
        </w:tc>
      </w:tr>
    </w:tbl>
    <w:p w14:paraId="267C063A">
      <w:pPr>
        <w:spacing w:line="360" w:lineRule="auto"/>
        <w:rPr>
          <w:rFonts w:ascii="Times New Roman" w:hAnsi="Times New Roman"/>
          <w:sz w:val="24"/>
        </w:rPr>
      </w:pPr>
      <w:r>
        <w:rPr>
          <w:rFonts w:hint="eastAsia" w:ascii="Times New Roman" w:hAnsi="Times New Roman"/>
          <w:sz w:val="24"/>
          <w:szCs w:val="24"/>
        </w:rPr>
        <w:t>F.3.2.7  磁致伸缩液位计修正值的不确定度</w:t>
      </w:r>
      <w:r>
        <w:rPr>
          <w:rFonts w:hint="eastAsia" w:ascii="Times New Roman" w:hAnsi="Times New Roman"/>
          <w:sz w:val="24"/>
        </w:rPr>
        <w:t>引入的</w:t>
      </w:r>
      <w:r>
        <w:rPr>
          <w:rFonts w:hint="eastAsia" w:ascii="Times New Roman" w:hAnsi="Times New Roman"/>
          <w:sz w:val="24"/>
          <w:szCs w:val="24"/>
        </w:rPr>
        <w:t>标准不确定度分量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2j</m:t>
            </m:r>
            <m:ctrlPr>
              <w:rPr>
                <w:rFonts w:ascii="Cambria Math" w:hAnsi="Cambria Math"/>
                <w:i/>
                <w:sz w:val="24"/>
              </w:rPr>
            </m:ctrlPr>
          </m:sub>
        </m:sSub>
      </m:oMath>
    </w:p>
    <w:p w14:paraId="7F07B469">
      <w:pPr>
        <w:spacing w:line="360" w:lineRule="auto"/>
        <w:ind w:firstLine="424" w:firstLineChars="177"/>
        <w:rPr>
          <w:rFonts w:ascii="Times New Roman" w:hAnsi="Times New Roman"/>
          <w:sz w:val="24"/>
        </w:rPr>
      </w:pPr>
      <w:r>
        <w:rPr>
          <w:rFonts w:hint="eastAsia" w:ascii="Times New Roman" w:hAnsi="Times New Roman"/>
          <w:sz w:val="24"/>
        </w:rPr>
        <w:t>在标记容积的</w:t>
      </w:r>
      <w:r>
        <w:rPr>
          <w:rFonts w:ascii="Times New Roman" w:hAnsi="Times New Roman"/>
          <w:sz w:val="24"/>
        </w:rPr>
        <w:t>83%</w:t>
      </w:r>
      <w:r>
        <w:rPr>
          <w:rFonts w:hint="eastAsia" w:ascii="Times New Roman" w:hAnsi="Times New Roman"/>
          <w:sz w:val="24"/>
        </w:rPr>
        <w:t>附近，液位相差</w:t>
      </w:r>
      <w:r>
        <w:rPr>
          <w:rFonts w:ascii="Times New Roman" w:hAnsi="Times New Roman"/>
          <w:sz w:val="24"/>
        </w:rPr>
        <w:t>1 mm</w:t>
      </w:r>
      <w:r>
        <w:rPr>
          <w:rFonts w:hint="eastAsia" w:ascii="Times New Roman" w:hAnsi="Times New Roman"/>
          <w:sz w:val="24"/>
        </w:rPr>
        <w:t>对应的容积差小于</w:t>
      </w:r>
      <w:r>
        <w:rPr>
          <w:rFonts w:ascii="Times New Roman" w:hAnsi="Times New Roman"/>
          <w:sz w:val="24"/>
        </w:rPr>
        <w:t>20.0</w:t>
      </w:r>
      <w:r>
        <w:rPr>
          <w:rFonts w:ascii="Times New Roman" w:hAnsi="Times New Roman"/>
          <w:color w:val="FF0000"/>
          <w:sz w:val="24"/>
        </w:rPr>
        <w:t xml:space="preserve"> </w:t>
      </w:r>
      <w:r>
        <w:rPr>
          <w:rFonts w:ascii="Times New Roman" w:hAnsi="Times New Roman"/>
          <w:sz w:val="24"/>
        </w:rPr>
        <w:t>L</w:t>
      </w:r>
      <w:r>
        <w:rPr>
          <w:rFonts w:hint="eastAsia" w:ascii="Times New Roman" w:hAnsi="Times New Roman"/>
          <w:sz w:val="24"/>
        </w:rPr>
        <w:t>。</w:t>
      </w:r>
      <w:r>
        <w:rPr>
          <w:rFonts w:hint="eastAsia" w:ascii="Times New Roman" w:hAnsi="Times New Roman"/>
          <w:sz w:val="24"/>
          <w:szCs w:val="24"/>
        </w:rPr>
        <w:t>磁致伸缩液</w:t>
      </w:r>
      <w:r>
        <w:rPr>
          <w:rFonts w:hint="eastAsia" w:ascii="Times New Roman" w:hAnsi="Times New Roman"/>
          <w:sz w:val="24"/>
        </w:rPr>
        <w:t>位计</w:t>
      </w:r>
      <w:r>
        <w:rPr>
          <w:rFonts w:ascii="Times New Roman" w:hAnsi="Times New Roman"/>
          <w:sz w:val="24"/>
        </w:rPr>
        <w:t>修正使用，修正值的不确定度</w:t>
      </w:r>
      <w:r>
        <w:rPr>
          <w:rFonts w:ascii="Times New Roman" w:hAnsi="Times New Roman"/>
          <w:i/>
          <w:iCs/>
          <w:sz w:val="24"/>
        </w:rPr>
        <w:t>U</w:t>
      </w:r>
      <w:r>
        <w:rPr>
          <w:rFonts w:ascii="Times New Roman" w:hAnsi="Times New Roman"/>
          <w:sz w:val="24"/>
        </w:rPr>
        <w:t>≤0.4mm，</w:t>
      </w:r>
      <w:r>
        <w:rPr>
          <w:rFonts w:hint="eastAsia" w:ascii="Times New Roman" w:hAnsi="Times New Roman"/>
          <w:sz w:val="24"/>
        </w:rPr>
        <w:t>，则</w:t>
      </w:r>
    </w:p>
    <w:tbl>
      <w:tblPr>
        <w:tblStyle w:val="15"/>
        <w:tblW w:w="0" w:type="auto"/>
        <w:tblInd w:w="0" w:type="dxa"/>
        <w:tblLayout w:type="autofit"/>
        <w:tblCellMar>
          <w:top w:w="0" w:type="dxa"/>
          <w:left w:w="108" w:type="dxa"/>
          <w:bottom w:w="0" w:type="dxa"/>
          <w:right w:w="108" w:type="dxa"/>
        </w:tblCellMar>
      </w:tblPr>
      <w:tblGrid>
        <w:gridCol w:w="6442"/>
        <w:gridCol w:w="1864"/>
      </w:tblGrid>
      <w:tr w14:paraId="67F7D3B9">
        <w:tblPrEx>
          <w:tblCellMar>
            <w:top w:w="0" w:type="dxa"/>
            <w:left w:w="108" w:type="dxa"/>
            <w:bottom w:w="0" w:type="dxa"/>
            <w:right w:w="108" w:type="dxa"/>
          </w:tblCellMar>
        </w:tblPrEx>
        <w:tc>
          <w:tcPr>
            <w:tcW w:w="6629" w:type="dxa"/>
            <w:vAlign w:val="center"/>
          </w:tcPr>
          <w:p w14:paraId="65A11C13">
            <w:pPr>
              <w:pStyle w:val="8"/>
              <w:spacing w:line="360"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2j</m:t>
                    </m:r>
                    <m:ctrlPr>
                      <w:rPr>
                        <w:rFonts w:ascii="Cambria Math" w:hAnsi="Cambria Math"/>
                        <w:i/>
                        <w:sz w:val="24"/>
                      </w:rPr>
                    </m:ctrlPr>
                  </m:sub>
                </m:sSub>
                <m:r>
                  <m:rPr/>
                  <w:rPr>
                    <w:rFonts w:ascii="Cambria Math" w:hAnsi="Cambria Math"/>
                    <w:sz w:val="24"/>
                  </w:rPr>
                  <m:t>=</m:t>
                </m:r>
                <m:f>
                  <m:fPr>
                    <m:ctrlPr>
                      <w:rPr>
                        <w:rFonts w:ascii="Cambria Math" w:hAnsi="Cambria Math"/>
                        <w:sz w:val="24"/>
                      </w:rPr>
                    </m:ctrlPr>
                  </m:fPr>
                  <m:num>
                    <m:r>
                      <m:rPr/>
                      <w:rPr>
                        <w:rFonts w:ascii="Cambria Math" w:hAnsi="Cambria Math"/>
                        <w:sz w:val="24"/>
                      </w:rPr>
                      <m:t>20</m:t>
                    </m:r>
                    <m:r>
                      <m:rPr>
                        <m:sty m:val="p"/>
                      </m:rPr>
                      <w:rPr>
                        <w:rFonts w:ascii="Cambria Math" w:hAnsi="Cambria Math"/>
                        <w:sz w:val="24"/>
                      </w:rPr>
                      <m:t>L/mm</m:t>
                    </m:r>
                    <m:r>
                      <m:rPr>
                        <m:sty m:val="p"/>
                      </m:rPr>
                      <w:rPr>
                        <w:rFonts w:ascii="Cambria Math" w:hAnsi="Cambria Math" w:eastAsia="MS Mincho"/>
                        <w:sz w:val="24"/>
                      </w:rPr>
                      <m:t>×</m:t>
                    </m:r>
                    <m:r>
                      <m:rPr>
                        <m:sty m:val="p"/>
                      </m:rPr>
                      <w:rPr>
                        <w:rFonts w:ascii="Cambria Math" w:hAnsi="Cambria Math"/>
                        <w:sz w:val="24"/>
                      </w:rPr>
                      <m:t>0.4 mm</m:t>
                    </m:r>
                    <m:ctrlPr>
                      <w:rPr>
                        <w:rFonts w:ascii="Cambria Math" w:hAnsi="Cambria Math"/>
                        <w:sz w:val="24"/>
                      </w:rPr>
                    </m:ctrlPr>
                  </m:num>
                  <m:den>
                    <m:r>
                      <m:rPr>
                        <m:sty m:val="p"/>
                      </m:rPr>
                      <w:rPr>
                        <w:rFonts w:ascii="Cambria Math" w:hAnsi="Cambria Math"/>
                        <w:sz w:val="24"/>
                      </w:rPr>
                      <m:t>2</m:t>
                    </m:r>
                    <m:ctrlPr>
                      <w:rPr>
                        <w:rFonts w:ascii="Cambria Math" w:hAnsi="Cambria Math"/>
                        <w:sz w:val="24"/>
                      </w:rPr>
                    </m:ctrlPr>
                  </m:den>
                </m:f>
                <m:r>
                  <m:rPr/>
                  <w:rPr>
                    <w:rFonts w:ascii="Cambria Math" w:hAnsi="Cambria Math"/>
                    <w:sz w:val="24"/>
                  </w:rPr>
                  <m:t>=</m:t>
                </m:r>
                <m:r>
                  <m:rPr>
                    <m:sty m:val="p"/>
                  </m:rPr>
                  <w:rPr>
                    <w:rFonts w:ascii="Cambria Math" w:hAnsi="Cambria Math"/>
                    <w:sz w:val="24"/>
                  </w:rPr>
                  <m:t>4.0 L</m:t>
                </m:r>
              </m:oMath>
            </m:oMathPara>
          </w:p>
        </w:tc>
        <w:tc>
          <w:tcPr>
            <w:tcW w:w="1893" w:type="dxa"/>
            <w:vAlign w:val="center"/>
          </w:tcPr>
          <w:p w14:paraId="70BEEF86">
            <w:pPr>
              <w:pStyle w:val="8"/>
              <w:spacing w:line="360" w:lineRule="auto"/>
              <w:ind w:firstLine="0" w:firstLineChars="0"/>
              <w:jc w:val="right"/>
              <w:rPr>
                <w:sz w:val="24"/>
              </w:rPr>
            </w:pPr>
            <w:r>
              <w:rPr>
                <w:rFonts w:hint="eastAsia"/>
                <w:sz w:val="24"/>
              </w:rPr>
              <w:t>（F.21）</w:t>
            </w:r>
          </w:p>
        </w:tc>
      </w:tr>
    </w:tbl>
    <w:p w14:paraId="29825DB7">
      <w:pPr>
        <w:spacing w:line="360" w:lineRule="auto"/>
        <w:rPr>
          <w:rFonts w:ascii="Times New Roman" w:hAnsi="Times New Roman"/>
          <w:sz w:val="24"/>
        </w:rPr>
      </w:pPr>
      <w:r>
        <w:rPr>
          <w:rFonts w:hint="eastAsia" w:ascii="Times New Roman" w:hAnsi="Times New Roman"/>
          <w:sz w:val="24"/>
          <w:szCs w:val="24"/>
        </w:rPr>
        <w:t>F.3.2.8  磁致伸缩液位计重复性</w:t>
      </w:r>
      <w:r>
        <w:rPr>
          <w:rFonts w:hint="eastAsia" w:ascii="Times New Roman" w:hAnsi="Times New Roman"/>
          <w:sz w:val="24"/>
        </w:rPr>
        <w:t>引入的</w:t>
      </w:r>
      <w:r>
        <w:rPr>
          <w:rFonts w:hint="eastAsia" w:ascii="Times New Roman" w:hAnsi="Times New Roman"/>
          <w:sz w:val="24"/>
          <w:szCs w:val="24"/>
        </w:rPr>
        <w:t>标准不确定度分量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2k</m:t>
            </m:r>
            <m:ctrlPr>
              <w:rPr>
                <w:rFonts w:ascii="Cambria Math" w:hAnsi="Cambria Math"/>
                <w:i/>
                <w:sz w:val="24"/>
              </w:rPr>
            </m:ctrlPr>
          </m:sub>
        </m:sSub>
      </m:oMath>
    </w:p>
    <w:p w14:paraId="0951F27A">
      <w:pPr>
        <w:spacing w:line="360" w:lineRule="auto"/>
        <w:ind w:firstLine="424" w:firstLineChars="177"/>
        <w:rPr>
          <w:rFonts w:ascii="Times New Roman" w:hAnsi="Times New Roman"/>
          <w:sz w:val="24"/>
        </w:rPr>
      </w:pPr>
      <w:r>
        <w:rPr>
          <w:rFonts w:hint="eastAsia" w:ascii="Times New Roman" w:hAnsi="Times New Roman"/>
          <w:sz w:val="24"/>
        </w:rPr>
        <w:t>在检测罐注水</w:t>
      </w:r>
      <w:r>
        <w:rPr>
          <w:rFonts w:ascii="Times New Roman" w:hAnsi="Times New Roman"/>
          <w:sz w:val="24"/>
        </w:rPr>
        <w:t>29864L</w:t>
      </w:r>
      <w:r>
        <w:rPr>
          <w:rFonts w:hint="eastAsia" w:ascii="Times New Roman" w:hAnsi="Times New Roman"/>
          <w:sz w:val="24"/>
        </w:rPr>
        <w:t>处，待液面稳定，测量液位结果分别为</w:t>
      </w:r>
      <w:r>
        <w:rPr>
          <w:rFonts w:ascii="Times New Roman" w:hAnsi="Times New Roman"/>
          <w:sz w:val="24"/>
        </w:rPr>
        <w:t>1610.0 mm</w:t>
      </w:r>
      <w:r>
        <w:rPr>
          <w:rFonts w:hint="eastAsia" w:ascii="Times New Roman" w:hAnsi="Times New Roman"/>
          <w:sz w:val="24"/>
        </w:rPr>
        <w:t>，</w:t>
      </w:r>
      <w:r>
        <w:rPr>
          <w:rFonts w:ascii="Times New Roman" w:hAnsi="Times New Roman"/>
          <w:sz w:val="24"/>
        </w:rPr>
        <w:t>1610.0 mm,1610.2 mm,1610.6 mm,1610.0 mm,1610.3 mm</w:t>
      </w:r>
      <w:r>
        <w:rPr>
          <w:rFonts w:hint="eastAsia" w:ascii="Times New Roman" w:hAnsi="Times New Roman"/>
          <w:sz w:val="24"/>
        </w:rPr>
        <w:t>。按照极差法计算出实验标准偏差：</w:t>
      </w:r>
    </w:p>
    <w:tbl>
      <w:tblPr>
        <w:tblStyle w:val="15"/>
        <w:tblW w:w="0" w:type="auto"/>
        <w:tblInd w:w="0" w:type="dxa"/>
        <w:tblLayout w:type="autofit"/>
        <w:tblCellMar>
          <w:top w:w="0" w:type="dxa"/>
          <w:left w:w="108" w:type="dxa"/>
          <w:bottom w:w="0" w:type="dxa"/>
          <w:right w:w="108" w:type="dxa"/>
        </w:tblCellMar>
      </w:tblPr>
      <w:tblGrid>
        <w:gridCol w:w="6439"/>
        <w:gridCol w:w="1867"/>
      </w:tblGrid>
      <w:tr w14:paraId="2390FA24">
        <w:tblPrEx>
          <w:tblCellMar>
            <w:top w:w="0" w:type="dxa"/>
            <w:left w:w="108" w:type="dxa"/>
            <w:bottom w:w="0" w:type="dxa"/>
            <w:right w:w="108" w:type="dxa"/>
          </w:tblCellMar>
        </w:tblPrEx>
        <w:tc>
          <w:tcPr>
            <w:tcW w:w="6629" w:type="dxa"/>
            <w:vAlign w:val="center"/>
          </w:tcPr>
          <w:p w14:paraId="27CFE041">
            <w:pPr>
              <w:spacing w:line="360" w:lineRule="auto"/>
              <w:ind w:firstLine="420"/>
              <w:jc w:val="center"/>
              <w:rPr>
                <w:rFonts w:ascii="Times New Roman" w:hAnsi="Times New Roman"/>
                <w:sz w:val="24"/>
                <w:szCs w:val="24"/>
              </w:rPr>
            </w:pPr>
            <m:oMathPara>
              <m:oMath>
                <m:r>
                  <m:rPr/>
                  <w:rPr>
                    <w:rFonts w:ascii="Cambria Math" w:hAnsi="Cambria Math"/>
                    <w:sz w:val="24"/>
                    <w:szCs w:val="24"/>
                  </w:rPr>
                  <m:t>s</m:t>
                </m:r>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h</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d>
                <m:r>
                  <m:rPr>
                    <m:sty m:val="p"/>
                  </m:rPr>
                  <w:rPr>
                    <w:rFonts w:ascii="Cambria Math" w:hAnsi="Cambria Math"/>
                    <w:sz w:val="24"/>
                    <w:szCs w:val="24"/>
                  </w:rPr>
                  <m:t>=</m:t>
                </m:r>
                <m:r>
                  <m:rPr/>
                  <w:rPr>
                    <w:rFonts w:ascii="Cambria Math" w:hAnsi="Cambria Math"/>
                    <w:sz w:val="24"/>
                    <w:szCs w:val="24"/>
                  </w:rPr>
                  <m:t xml:space="preserve">0.24 </m:t>
                </m:r>
                <m:r>
                  <m:rPr>
                    <m:sty m:val="p"/>
                  </m:rPr>
                  <w:rPr>
                    <w:rFonts w:ascii="Cambria Math" w:hAnsi="Cambria Math"/>
                    <w:sz w:val="24"/>
                    <w:szCs w:val="24"/>
                  </w:rPr>
                  <m:t>mm</m:t>
                </m:r>
              </m:oMath>
            </m:oMathPara>
          </w:p>
        </w:tc>
        <w:tc>
          <w:tcPr>
            <w:tcW w:w="1893" w:type="dxa"/>
            <w:vAlign w:val="center"/>
          </w:tcPr>
          <w:p w14:paraId="6CDADE59">
            <w:pPr>
              <w:pStyle w:val="8"/>
              <w:spacing w:line="360" w:lineRule="auto"/>
              <w:ind w:firstLine="0" w:firstLineChars="0"/>
              <w:jc w:val="right"/>
              <w:rPr>
                <w:sz w:val="24"/>
              </w:rPr>
            </w:pPr>
            <w:r>
              <w:rPr>
                <w:rFonts w:hint="eastAsia"/>
                <w:sz w:val="24"/>
              </w:rPr>
              <w:t>（F.22）</w:t>
            </w:r>
          </w:p>
        </w:tc>
      </w:tr>
    </w:tbl>
    <w:p w14:paraId="0BD8E9A9">
      <w:pPr>
        <w:spacing w:line="360" w:lineRule="auto"/>
        <w:ind w:firstLine="420"/>
        <w:rPr>
          <w:rFonts w:ascii="Times New Roman" w:hAnsi="Times New Roman"/>
          <w:sz w:val="24"/>
          <w:szCs w:val="24"/>
        </w:rPr>
      </w:pPr>
      <w:r>
        <w:rPr>
          <w:rFonts w:hint="eastAsia" w:ascii="Times New Roman" w:hAnsi="Times New Roman"/>
          <w:sz w:val="24"/>
          <w:szCs w:val="24"/>
        </w:rPr>
        <w:t>用</w:t>
      </w:r>
      <w:r>
        <w:rPr>
          <w:rFonts w:ascii="Times New Roman" w:hAnsi="Times New Roman"/>
          <w:sz w:val="24"/>
          <w:szCs w:val="24"/>
        </w:rPr>
        <w:t>6</w:t>
      </w:r>
      <w:r>
        <w:rPr>
          <w:rFonts w:hint="eastAsia" w:ascii="Times New Roman" w:hAnsi="Times New Roman"/>
          <w:sz w:val="24"/>
          <w:szCs w:val="24"/>
        </w:rPr>
        <w:t>次测量结果的平均值作为检测罐液位高度，则：</w:t>
      </w:r>
    </w:p>
    <w:tbl>
      <w:tblPr>
        <w:tblStyle w:val="15"/>
        <w:tblW w:w="0" w:type="auto"/>
        <w:tblInd w:w="0" w:type="dxa"/>
        <w:tblLayout w:type="autofit"/>
        <w:tblCellMar>
          <w:top w:w="0" w:type="dxa"/>
          <w:left w:w="108" w:type="dxa"/>
          <w:bottom w:w="0" w:type="dxa"/>
          <w:right w:w="108" w:type="dxa"/>
        </w:tblCellMar>
      </w:tblPr>
      <w:tblGrid>
        <w:gridCol w:w="6441"/>
        <w:gridCol w:w="1865"/>
      </w:tblGrid>
      <w:tr w14:paraId="5C1EFDF0">
        <w:tblPrEx>
          <w:tblCellMar>
            <w:top w:w="0" w:type="dxa"/>
            <w:left w:w="108" w:type="dxa"/>
            <w:bottom w:w="0" w:type="dxa"/>
            <w:right w:w="108" w:type="dxa"/>
          </w:tblCellMar>
        </w:tblPrEx>
        <w:tc>
          <w:tcPr>
            <w:tcW w:w="6629" w:type="dxa"/>
            <w:vAlign w:val="center"/>
          </w:tcPr>
          <w:p w14:paraId="1B889CD0">
            <w:pPr>
              <w:pStyle w:val="8"/>
              <w:spacing w:line="360" w:lineRule="auto"/>
              <w:ind w:firstLine="48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2k</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20</m:t>
                    </m:r>
                    <m:r>
                      <m:rPr>
                        <m:sty m:val="p"/>
                      </m:rPr>
                      <w:rPr>
                        <w:rFonts w:ascii="Cambria Math" w:hAnsi="Cambria Math"/>
                        <w:sz w:val="24"/>
                      </w:rPr>
                      <m:t>L/mm</m:t>
                    </m:r>
                    <m:r>
                      <m:rPr>
                        <m:sty m:val="p"/>
                      </m:rPr>
                      <w:rPr>
                        <w:rFonts w:ascii="Cambria Math" w:hAnsi="Cambria Math" w:eastAsia="MS Mincho"/>
                        <w:sz w:val="24"/>
                      </w:rPr>
                      <m:t>×</m:t>
                    </m:r>
                    <m:r>
                      <m:rPr/>
                      <w:rPr>
                        <w:rFonts w:ascii="Cambria Math" w:hAnsi="Cambria Math"/>
                        <w:sz w:val="24"/>
                      </w:rPr>
                      <m:t>s</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h</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6</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=1.96 </m:t>
                </m:r>
                <m:r>
                  <m:rPr>
                    <m:sty m:val="p"/>
                  </m:rPr>
                  <w:rPr>
                    <w:rFonts w:ascii="Cambria Math" w:hAnsi="Cambria Math"/>
                    <w:sz w:val="24"/>
                  </w:rPr>
                  <m:t>L</m:t>
                </m:r>
              </m:oMath>
            </m:oMathPara>
          </w:p>
        </w:tc>
        <w:tc>
          <w:tcPr>
            <w:tcW w:w="1893" w:type="dxa"/>
            <w:vAlign w:val="center"/>
          </w:tcPr>
          <w:p w14:paraId="62F495AD">
            <w:pPr>
              <w:pStyle w:val="8"/>
              <w:spacing w:line="360" w:lineRule="auto"/>
              <w:ind w:firstLine="0" w:firstLineChars="0"/>
              <w:jc w:val="right"/>
              <w:rPr>
                <w:sz w:val="24"/>
              </w:rPr>
            </w:pPr>
            <w:r>
              <w:rPr>
                <w:rFonts w:hint="eastAsia"/>
                <w:sz w:val="24"/>
              </w:rPr>
              <w:t>（F.23）</w:t>
            </w:r>
          </w:p>
        </w:tc>
      </w:tr>
    </w:tbl>
    <w:p w14:paraId="00615229">
      <w:pPr>
        <w:spacing w:line="360" w:lineRule="auto"/>
        <w:rPr>
          <w:rFonts w:ascii="Times New Roman" w:hAnsi="Times New Roman"/>
          <w:sz w:val="24"/>
          <w:szCs w:val="24"/>
        </w:rPr>
      </w:pPr>
      <w:r>
        <w:rPr>
          <w:rFonts w:ascii="Times New Roman" w:hAnsi="Times New Roman"/>
          <w:sz w:val="24"/>
          <w:szCs w:val="24"/>
        </w:rPr>
        <w:tab/>
      </w:r>
      <w:r>
        <w:rPr>
          <w:rFonts w:hint="eastAsia" w:ascii="Times New Roman" w:hAnsi="Times New Roman"/>
          <w:sz w:val="24"/>
          <w:szCs w:val="24"/>
        </w:rPr>
        <w:t>F.4  合成标准不确定度</w:t>
      </w:r>
    </w:p>
    <w:p w14:paraId="3099964F">
      <w:pPr>
        <w:spacing w:line="360" w:lineRule="auto"/>
        <w:ind w:firstLine="420"/>
        <w:rPr>
          <w:rFonts w:ascii="Times New Roman" w:hAnsi="Times New Roman"/>
          <w:sz w:val="24"/>
          <w:szCs w:val="24"/>
        </w:rPr>
      </w:pPr>
      <w:r>
        <w:rPr>
          <w:rFonts w:hint="eastAsia" w:ascii="Times New Roman" w:hAnsi="Times New Roman"/>
          <w:sz w:val="24"/>
          <w:szCs w:val="24"/>
        </w:rPr>
        <w:t>容积示值误差测量结果中各项标准不确定度分量如表</w:t>
      </w:r>
      <w:r>
        <w:rPr>
          <w:rFonts w:ascii="Times New Roman" w:hAnsi="Times New Roman"/>
          <w:sz w:val="24"/>
          <w:szCs w:val="24"/>
        </w:rPr>
        <w:t>F.1</w:t>
      </w:r>
      <w:r>
        <w:rPr>
          <w:rFonts w:hint="eastAsia" w:ascii="Times New Roman" w:hAnsi="Times New Roman"/>
          <w:sz w:val="24"/>
          <w:szCs w:val="24"/>
        </w:rPr>
        <w:t>所示。</w:t>
      </w:r>
    </w:p>
    <w:p w14:paraId="0F281D03">
      <w:pPr>
        <w:snapToGrid w:val="0"/>
        <w:jc w:val="center"/>
        <w:rPr>
          <w:rFonts w:ascii="Times New Roman" w:hAnsi="Times New Roman" w:eastAsia="黑体"/>
          <w:szCs w:val="21"/>
        </w:rPr>
      </w:pPr>
      <w:r>
        <w:rPr>
          <w:rFonts w:hint="eastAsia" w:ascii="Times New Roman" w:hAnsi="Times New Roman" w:eastAsia="黑体"/>
          <w:szCs w:val="21"/>
        </w:rPr>
        <w:t>表F.1 标准不确定度分量</w:t>
      </w:r>
    </w:p>
    <w:tbl>
      <w:tblPr>
        <w:tblStyle w:val="15"/>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21"/>
        <w:gridCol w:w="2383"/>
        <w:gridCol w:w="645"/>
        <w:gridCol w:w="1765"/>
        <w:gridCol w:w="1046"/>
      </w:tblGrid>
      <w:tr w14:paraId="3DFC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dxa"/>
            <w:vAlign w:val="center"/>
          </w:tcPr>
          <w:p w14:paraId="5B28496A">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不确定度来源</w:t>
            </w:r>
          </w:p>
        </w:tc>
        <w:tc>
          <w:tcPr>
            <w:tcW w:w="3004" w:type="dxa"/>
            <w:gridSpan w:val="2"/>
            <w:vAlign w:val="center"/>
          </w:tcPr>
          <w:p w14:paraId="10EDA275">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标准不确定度</w:t>
            </w:r>
          </w:p>
          <w:p w14:paraId="077E15FC">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分量</w:t>
            </w:r>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i</m:t>
                  </m:r>
                  <m:ctrlPr>
                    <w:rPr>
                      <w:rFonts w:ascii="Cambria Math" w:hAnsi="Cambria Math" w:eastAsiaTheme="minorEastAsia"/>
                      <w:i/>
                      <w:szCs w:val="21"/>
                    </w:rPr>
                  </m:ctrlPr>
                </m:sub>
              </m:sSub>
            </m:oMath>
          </w:p>
        </w:tc>
        <w:tc>
          <w:tcPr>
            <w:tcW w:w="2410" w:type="dxa"/>
            <w:gridSpan w:val="2"/>
            <w:vAlign w:val="center"/>
          </w:tcPr>
          <w:p w14:paraId="1B531DF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灵敏系数</w:t>
            </w:r>
            <m:oMath>
              <m:d>
                <m:dPr>
                  <m:begChr m:val="|"/>
                  <m:endChr m:val="|"/>
                  <m:ctrlPr>
                    <w:rPr>
                      <w:rFonts w:ascii="Cambria Math" w:hAnsi="Cambria Math" w:eastAsiaTheme="minorEastAsia"/>
                      <w:i/>
                      <w:szCs w:val="21"/>
                    </w:rPr>
                  </m:ctrlPr>
                </m:dPr>
                <m:e>
                  <m:sSub>
                    <m:sSubPr>
                      <m:ctrlPr>
                        <w:rPr>
                          <w:rFonts w:ascii="Cambria Math" w:hAnsi="Cambria Math" w:eastAsiaTheme="minorEastAsia"/>
                          <w:i/>
                          <w:szCs w:val="21"/>
                        </w:rPr>
                      </m:ctrlPr>
                    </m:sSubPr>
                    <m:e>
                      <m:r>
                        <m:rPr/>
                        <w:rPr>
                          <w:rFonts w:ascii="Cambria Math" w:hAnsi="Cambria Math" w:eastAsiaTheme="minorEastAsia"/>
                          <w:szCs w:val="21"/>
                        </w:rPr>
                        <m:t>c</m:t>
                      </m:r>
                      <m:ctrlPr>
                        <w:rPr>
                          <w:rFonts w:ascii="Cambria Math" w:hAnsi="Cambria Math" w:eastAsiaTheme="minorEastAsia"/>
                          <w:i/>
                          <w:szCs w:val="21"/>
                        </w:rPr>
                      </m:ctrlPr>
                    </m:e>
                    <m:sub>
                      <m:r>
                        <m:rPr/>
                        <w:rPr>
                          <w:rFonts w:ascii="Cambria Math" w:hAnsi="Cambria Math" w:eastAsiaTheme="minorEastAsia"/>
                          <w:szCs w:val="21"/>
                        </w:rPr>
                        <m:t>i</m:t>
                      </m:r>
                      <m:ctrlPr>
                        <w:rPr>
                          <w:rFonts w:ascii="Cambria Math" w:hAnsi="Cambria Math" w:eastAsiaTheme="minorEastAsia"/>
                          <w:i/>
                          <w:szCs w:val="21"/>
                        </w:rPr>
                      </m:ctrlPr>
                    </m:sub>
                  </m:sSub>
                  <m:ctrlPr>
                    <w:rPr>
                      <w:rFonts w:ascii="Cambria Math" w:hAnsi="Cambria Math" w:eastAsiaTheme="minorEastAsia"/>
                      <w:i/>
                      <w:szCs w:val="21"/>
                    </w:rPr>
                  </m:ctrlPr>
                </m:e>
              </m:d>
            </m:oMath>
          </w:p>
        </w:tc>
        <w:tc>
          <w:tcPr>
            <w:tcW w:w="1046" w:type="dxa"/>
            <w:vAlign w:val="center"/>
          </w:tcPr>
          <w:p w14:paraId="5EB0C180">
            <w:pPr>
              <w:spacing w:line="360" w:lineRule="auto"/>
              <w:jc w:val="center"/>
              <w:rPr>
                <w:rFonts w:ascii="Times New Roman" w:hAnsi="Times New Roman" w:eastAsiaTheme="minorEastAsia"/>
                <w:szCs w:val="21"/>
              </w:rPr>
            </w:pPr>
            <m:oMathPara>
              <m:oMath>
                <m:d>
                  <m:dPr>
                    <m:begChr m:val="|"/>
                    <m:endChr m:val="|"/>
                    <m:ctrlPr>
                      <w:rPr>
                        <w:rFonts w:ascii="Cambria Math" w:hAnsi="Cambria Math" w:eastAsiaTheme="minorEastAsia"/>
                        <w:i/>
                        <w:szCs w:val="21"/>
                      </w:rPr>
                    </m:ctrlPr>
                  </m:dPr>
                  <m:e>
                    <m:sSub>
                      <m:sSubPr>
                        <m:ctrlPr>
                          <w:rPr>
                            <w:rFonts w:ascii="Cambria Math" w:hAnsi="Cambria Math" w:eastAsiaTheme="minorEastAsia"/>
                            <w:i/>
                            <w:szCs w:val="21"/>
                          </w:rPr>
                        </m:ctrlPr>
                      </m:sSubPr>
                      <m:e>
                        <m:r>
                          <m:rPr/>
                          <w:rPr>
                            <w:rFonts w:ascii="Cambria Math" w:hAnsi="Cambria Math" w:eastAsiaTheme="minorEastAsia"/>
                            <w:szCs w:val="21"/>
                          </w:rPr>
                          <m:t>c</m:t>
                        </m:r>
                        <m:ctrlPr>
                          <w:rPr>
                            <w:rFonts w:ascii="Cambria Math" w:hAnsi="Cambria Math" w:eastAsiaTheme="minorEastAsia"/>
                            <w:i/>
                            <w:szCs w:val="21"/>
                          </w:rPr>
                        </m:ctrlPr>
                      </m:e>
                      <m:sub>
                        <m:r>
                          <m:rPr/>
                          <w:rPr>
                            <w:rFonts w:ascii="Cambria Math" w:hAnsi="Cambria Math" w:eastAsiaTheme="minorEastAsia"/>
                            <w:szCs w:val="21"/>
                          </w:rPr>
                          <m:t>i</m:t>
                        </m:r>
                        <m:ctrlPr>
                          <w:rPr>
                            <w:rFonts w:ascii="Cambria Math" w:hAnsi="Cambria Math" w:eastAsiaTheme="minorEastAsia"/>
                            <w:i/>
                            <w:szCs w:val="21"/>
                          </w:rPr>
                        </m:ctrlPr>
                      </m:sub>
                    </m:sSub>
                    <m:ctrlPr>
                      <w:rPr>
                        <w:rFonts w:ascii="Cambria Math" w:hAnsi="Cambria Math" w:eastAsiaTheme="minorEastAsia"/>
                        <w:i/>
                        <w:szCs w:val="21"/>
                      </w:rPr>
                    </m:ctrlPr>
                  </m:e>
                </m:d>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i</m:t>
                    </m:r>
                    <m:ctrlPr>
                      <w:rPr>
                        <w:rFonts w:ascii="Cambria Math" w:hAnsi="Cambria Math" w:eastAsiaTheme="minorEastAsia"/>
                        <w:i/>
                        <w:szCs w:val="21"/>
                      </w:rPr>
                    </m:ctrlPr>
                  </m:sub>
                </m:sSub>
                <m:r>
                  <m:rPr/>
                  <w:rPr>
                    <w:rFonts w:ascii="Cambria Math" w:hAnsi="Cambria Math" w:eastAsiaTheme="minorEastAsia"/>
                    <w:szCs w:val="21"/>
                  </w:rPr>
                  <m:t>/</m:t>
                </m:r>
                <m:r>
                  <m:rPr>
                    <m:sty m:val="p"/>
                  </m:rPr>
                  <w:rPr>
                    <w:rFonts w:ascii="Cambria Math" w:hAnsi="Cambria Math" w:eastAsiaTheme="minorEastAsia"/>
                    <w:szCs w:val="21"/>
                  </w:rPr>
                  <m:t>L</m:t>
                </m:r>
              </m:oMath>
            </m:oMathPara>
          </w:p>
        </w:tc>
      </w:tr>
      <w:tr w14:paraId="1246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4EA53A08">
            <w:pPr>
              <w:spacing w:line="360" w:lineRule="auto"/>
              <w:jc w:val="center"/>
              <w:rPr>
                <w:rFonts w:ascii="Times New Roman" w:hAnsi="Times New Roman" w:eastAsia="黑体"/>
                <w:szCs w:val="21"/>
              </w:rPr>
            </w:pPr>
            <w:r>
              <w:rPr>
                <w:rFonts w:hint="eastAsia" w:ascii="Times New Roman" w:hAnsi="Times New Roman" w:eastAsiaTheme="minorEastAsia"/>
                <w:szCs w:val="21"/>
              </w:rPr>
              <w:t>环境温度测量</w:t>
            </w:r>
          </w:p>
        </w:tc>
        <w:tc>
          <w:tcPr>
            <w:tcW w:w="621" w:type="dxa"/>
            <w:vAlign w:val="center"/>
          </w:tcPr>
          <w:p w14:paraId="183F8FCA">
            <w:pPr>
              <w:spacing w:line="360" w:lineRule="auto"/>
              <w:jc w:val="center"/>
              <w:rPr>
                <w:rFonts w:ascii="Times New Roman" w:hAnsi="Times New Roman" w:eastAsiaTheme="minorEastAsia"/>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1t</m:t>
                    </m:r>
                    <m:ctrlPr>
                      <w:rPr>
                        <w:rFonts w:ascii="Cambria Math" w:hAnsi="Cambria Math" w:eastAsiaTheme="minorEastAsia"/>
                        <w:i/>
                        <w:szCs w:val="21"/>
                      </w:rPr>
                    </m:ctrlPr>
                  </m:sub>
                </m:sSub>
              </m:oMath>
            </m:oMathPara>
          </w:p>
        </w:tc>
        <w:tc>
          <w:tcPr>
            <w:tcW w:w="2383" w:type="dxa"/>
            <w:vAlign w:val="center"/>
          </w:tcPr>
          <w:p w14:paraId="597BF1A0">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1.15 ℃</w:t>
            </w:r>
          </w:p>
        </w:tc>
        <w:tc>
          <w:tcPr>
            <w:tcW w:w="645" w:type="dxa"/>
            <w:vAlign w:val="center"/>
          </w:tcPr>
          <w:p w14:paraId="05F7D9CE">
            <w:pPr>
              <w:spacing w:line="360" w:lineRule="auto"/>
              <w:jc w:val="center"/>
              <w:rPr>
                <w:rFonts w:ascii="Times New Roman" w:hAnsi="Times New Roman" w:eastAsiaTheme="minorEastAsia"/>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11</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05940231">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7.17</w:t>
            </w:r>
            <w:r>
              <w:rPr>
                <w:rFonts w:hint="eastAsia" w:ascii="Times New Roman" w:hAnsi="Times New Roman" w:eastAsiaTheme="minorEastAsia"/>
                <w:color w:val="333333"/>
                <w:szCs w:val="21"/>
                <w:shd w:val="clear" w:color="auto" w:fill="FFFFFF"/>
              </w:rPr>
              <w:t>×10</w:t>
            </w:r>
            <w:r>
              <w:rPr>
                <w:rFonts w:hint="eastAsia" w:ascii="Times New Roman" w:hAnsi="Times New Roman" w:eastAsiaTheme="minorEastAsia"/>
                <w:color w:val="333333"/>
                <w:szCs w:val="21"/>
                <w:shd w:val="clear" w:color="auto" w:fill="FFFFFF"/>
                <w:vertAlign w:val="superscript"/>
              </w:rPr>
              <w:t>-1</w:t>
            </w:r>
            <w:r>
              <w:rPr>
                <w:rFonts w:hint="eastAsia" w:ascii="Times New Roman" w:hAnsi="Times New Roman" w:eastAsiaTheme="minorEastAsia"/>
                <w:szCs w:val="21"/>
              </w:rPr>
              <w:t xml:space="preserve"> L/℃</w:t>
            </w:r>
          </w:p>
        </w:tc>
        <w:tc>
          <w:tcPr>
            <w:tcW w:w="1046" w:type="dxa"/>
            <w:vAlign w:val="center"/>
          </w:tcPr>
          <w:p w14:paraId="1A24D684">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0.82</w:t>
            </w:r>
          </w:p>
        </w:tc>
      </w:tr>
      <w:tr w14:paraId="1FF5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545A6206">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检测罐体膨胀系数</w:t>
            </w:r>
          </w:p>
        </w:tc>
        <w:tc>
          <w:tcPr>
            <w:tcW w:w="621" w:type="dxa"/>
            <w:vAlign w:val="center"/>
          </w:tcPr>
          <w:p w14:paraId="2A6F74D8">
            <w:pPr>
              <w:spacing w:line="360" w:lineRule="auto"/>
              <w:jc w:val="center"/>
              <w:rPr>
                <w:rFonts w:ascii="Times New Roman" w:hAnsi="Times New Roman" w:eastAsia="黑体"/>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1β</m:t>
                    </m:r>
                    <m:ctrlPr>
                      <w:rPr>
                        <w:rFonts w:ascii="Cambria Math" w:hAnsi="Cambria Math" w:eastAsiaTheme="minorEastAsia"/>
                        <w:i/>
                        <w:szCs w:val="21"/>
                      </w:rPr>
                    </m:ctrlPr>
                  </m:sub>
                </m:sSub>
              </m:oMath>
            </m:oMathPara>
          </w:p>
        </w:tc>
        <w:tc>
          <w:tcPr>
            <w:tcW w:w="2383" w:type="dxa"/>
            <w:vAlign w:val="center"/>
          </w:tcPr>
          <w:p w14:paraId="10E25531">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0.69</w:t>
            </w:r>
            <w:r>
              <w:rPr>
                <w:rFonts w:hint="eastAsia" w:ascii="Times New Roman" w:hAnsi="Times New Roman" w:eastAsiaTheme="minorEastAsia"/>
                <w:color w:val="333333"/>
                <w:szCs w:val="21"/>
                <w:shd w:val="clear" w:color="auto" w:fill="FFFFFF"/>
              </w:rPr>
              <w:t>×10</w:t>
            </w:r>
            <w:r>
              <w:rPr>
                <w:rFonts w:hint="eastAsia" w:ascii="Times New Roman" w:hAnsi="Times New Roman" w:eastAsiaTheme="minorEastAsia"/>
                <w:color w:val="333333"/>
                <w:szCs w:val="21"/>
                <w:shd w:val="clear" w:color="auto" w:fill="FFFFFF"/>
                <w:vertAlign w:val="superscript"/>
              </w:rPr>
              <w:t>-6</w:t>
            </w:r>
            <w:r>
              <w:rPr>
                <w:rFonts w:hint="eastAsia" w:ascii="Times New Roman" w:hAnsi="Times New Roman" w:eastAsiaTheme="minorEastAsia"/>
                <w:szCs w:val="21"/>
              </w:rPr>
              <w:t xml:space="preserve"> ℃</w:t>
            </w:r>
            <w:r>
              <w:rPr>
                <w:rFonts w:hint="eastAsia" w:ascii="Times New Roman" w:hAnsi="Times New Roman" w:eastAsiaTheme="minorEastAsia"/>
                <w:szCs w:val="21"/>
                <w:vertAlign w:val="superscript"/>
              </w:rPr>
              <w:t>-1</w:t>
            </w:r>
          </w:p>
        </w:tc>
        <w:tc>
          <w:tcPr>
            <w:tcW w:w="645" w:type="dxa"/>
            <w:vAlign w:val="center"/>
          </w:tcPr>
          <w:p w14:paraId="55EB00A8">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12</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33850E4A">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1 195 200 L</w:t>
            </w:r>
            <w:r>
              <w:rPr>
                <w:rFonts w:ascii="Times New Roman" w:hAnsi="Times New Roman" w:eastAsiaTheme="minorEastAsia"/>
                <w:color w:val="333333"/>
                <w:szCs w:val="21"/>
                <w:shd w:val="clear" w:color="auto" w:fill="FFFFFF"/>
              </w:rPr>
              <w:t>·</w:t>
            </w:r>
            <w:r>
              <w:rPr>
                <w:rFonts w:hint="eastAsia" w:ascii="Times New Roman" w:hAnsi="Times New Roman" w:eastAsiaTheme="minorEastAsia"/>
                <w:szCs w:val="21"/>
              </w:rPr>
              <w:t>℃</w:t>
            </w:r>
          </w:p>
        </w:tc>
        <w:tc>
          <w:tcPr>
            <w:tcW w:w="1046" w:type="dxa"/>
            <w:vAlign w:val="center"/>
          </w:tcPr>
          <w:p w14:paraId="1281FDE2">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0.82</w:t>
            </w:r>
          </w:p>
        </w:tc>
      </w:tr>
      <w:tr w14:paraId="0B23E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47000434">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容积测量重复性</w:t>
            </w:r>
          </w:p>
        </w:tc>
        <w:tc>
          <w:tcPr>
            <w:tcW w:w="621" w:type="dxa"/>
            <w:vAlign w:val="center"/>
          </w:tcPr>
          <w:p w14:paraId="66AE20AC">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1r</m:t>
                    </m:r>
                    <m:ctrlPr>
                      <w:rPr>
                        <w:rFonts w:ascii="Cambria Math" w:hAnsi="Cambria Math" w:eastAsiaTheme="minorEastAsia"/>
                        <w:i/>
                        <w:szCs w:val="21"/>
                      </w:rPr>
                    </m:ctrlPr>
                  </m:sub>
                </m:sSub>
              </m:oMath>
            </m:oMathPara>
          </w:p>
        </w:tc>
        <w:tc>
          <w:tcPr>
            <w:tcW w:w="2383" w:type="dxa"/>
            <w:vAlign w:val="center"/>
          </w:tcPr>
          <w:p w14:paraId="412841E6">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6.72 L</w:t>
            </w:r>
          </w:p>
        </w:tc>
        <w:tc>
          <w:tcPr>
            <w:tcW w:w="645" w:type="dxa"/>
            <w:vAlign w:val="center"/>
          </w:tcPr>
          <w:p w14:paraId="4074DF1C">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13</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5EA004BF">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w:t>
            </w:r>
          </w:p>
        </w:tc>
        <w:tc>
          <w:tcPr>
            <w:tcW w:w="1046" w:type="dxa"/>
            <w:vAlign w:val="center"/>
          </w:tcPr>
          <w:p w14:paraId="3BE2E97B">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 xml:space="preserve">6.72 </w:t>
            </w:r>
          </w:p>
        </w:tc>
      </w:tr>
      <w:tr w14:paraId="647B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6306E02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标准金属量器</w:t>
            </w:r>
          </w:p>
        </w:tc>
        <w:tc>
          <w:tcPr>
            <w:tcW w:w="621" w:type="dxa"/>
            <w:vAlign w:val="center"/>
          </w:tcPr>
          <w:p w14:paraId="19D17F86">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2d</m:t>
                    </m:r>
                    <m:ctrlPr>
                      <w:rPr>
                        <w:rFonts w:ascii="Cambria Math" w:hAnsi="Cambria Math" w:eastAsiaTheme="minorEastAsia"/>
                        <w:i/>
                        <w:szCs w:val="21"/>
                      </w:rPr>
                    </m:ctrlPr>
                  </m:sub>
                </m:sSub>
              </m:oMath>
            </m:oMathPara>
          </w:p>
        </w:tc>
        <w:tc>
          <w:tcPr>
            <w:tcW w:w="2383" w:type="dxa"/>
            <w:vAlign w:val="center"/>
          </w:tcPr>
          <w:p w14:paraId="1516053C">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4.31 L</w:t>
            </w:r>
          </w:p>
        </w:tc>
        <w:tc>
          <w:tcPr>
            <w:tcW w:w="645" w:type="dxa"/>
            <w:vAlign w:val="center"/>
          </w:tcPr>
          <w:p w14:paraId="08D38234">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21</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3536A93B">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w:t>
            </w:r>
          </w:p>
        </w:tc>
        <w:tc>
          <w:tcPr>
            <w:tcW w:w="1046" w:type="dxa"/>
            <w:vAlign w:val="center"/>
          </w:tcPr>
          <w:p w14:paraId="0D0719F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4.31</w:t>
            </w:r>
          </w:p>
        </w:tc>
      </w:tr>
      <w:tr w14:paraId="2DF4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4B4589EC">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标准金属量器体膨胀系数</w:t>
            </w:r>
          </w:p>
        </w:tc>
        <w:tc>
          <w:tcPr>
            <w:tcW w:w="621" w:type="dxa"/>
            <w:vAlign w:val="center"/>
          </w:tcPr>
          <w:p w14:paraId="45C9068A">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2e</m:t>
                    </m:r>
                    <m:ctrlPr>
                      <w:rPr>
                        <w:rFonts w:ascii="Cambria Math" w:hAnsi="Cambria Math" w:eastAsiaTheme="minorEastAsia"/>
                        <w:i/>
                        <w:szCs w:val="21"/>
                      </w:rPr>
                    </m:ctrlPr>
                  </m:sub>
                </m:sSub>
              </m:oMath>
            </m:oMathPara>
          </w:p>
        </w:tc>
        <w:tc>
          <w:tcPr>
            <w:tcW w:w="2383" w:type="dxa"/>
            <w:vAlign w:val="center"/>
          </w:tcPr>
          <w:p w14:paraId="4C0CB3E0">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2.89</w:t>
            </w:r>
            <w:r>
              <w:rPr>
                <w:rFonts w:hint="eastAsia" w:ascii="Times New Roman" w:hAnsi="Times New Roman" w:eastAsiaTheme="minorEastAsia"/>
                <w:color w:val="333333"/>
                <w:szCs w:val="21"/>
                <w:shd w:val="clear" w:color="auto" w:fill="FFFFFF"/>
              </w:rPr>
              <w:t>×10</w:t>
            </w:r>
            <w:r>
              <w:rPr>
                <w:rFonts w:hint="eastAsia" w:ascii="Times New Roman" w:hAnsi="Times New Roman" w:eastAsiaTheme="minorEastAsia"/>
                <w:color w:val="333333"/>
                <w:szCs w:val="21"/>
                <w:shd w:val="clear" w:color="auto" w:fill="FFFFFF"/>
                <w:vertAlign w:val="superscript"/>
              </w:rPr>
              <w:t>-6</w:t>
            </w:r>
            <w:r>
              <w:rPr>
                <w:rFonts w:hint="eastAsia" w:ascii="Times New Roman" w:hAnsi="Times New Roman" w:eastAsiaTheme="minorEastAsia"/>
                <w:szCs w:val="21"/>
              </w:rPr>
              <w:t xml:space="preserve"> ℃</w:t>
            </w:r>
            <w:r>
              <w:rPr>
                <w:rFonts w:hint="eastAsia" w:ascii="Times New Roman" w:hAnsi="Times New Roman" w:eastAsiaTheme="minorEastAsia"/>
                <w:szCs w:val="21"/>
                <w:vertAlign w:val="superscript"/>
              </w:rPr>
              <w:t>-1</w:t>
            </w:r>
          </w:p>
        </w:tc>
        <w:tc>
          <w:tcPr>
            <w:tcW w:w="645" w:type="dxa"/>
            <w:vAlign w:val="center"/>
          </w:tcPr>
          <w:p w14:paraId="1E5D66C1">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22</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003BAD72">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597 600 L</w:t>
            </w:r>
            <w:r>
              <w:rPr>
                <w:rFonts w:ascii="Times New Roman" w:hAnsi="Times New Roman"/>
                <w:color w:val="333333"/>
                <w:szCs w:val="21"/>
                <w:shd w:val="clear" w:color="auto" w:fill="FFFFFF"/>
              </w:rPr>
              <w:t>·</w:t>
            </w:r>
            <w:r>
              <w:rPr>
                <w:rFonts w:hint="eastAsia" w:ascii="Times New Roman" w:hAnsi="Times New Roman" w:eastAsiaTheme="minorEastAsia"/>
                <w:szCs w:val="21"/>
              </w:rPr>
              <w:t>℃</w:t>
            </w:r>
          </w:p>
        </w:tc>
        <w:tc>
          <w:tcPr>
            <w:tcW w:w="1046" w:type="dxa"/>
            <w:vAlign w:val="center"/>
          </w:tcPr>
          <w:p w14:paraId="0C798BCA">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1.73</w:t>
            </w:r>
          </w:p>
        </w:tc>
      </w:tr>
      <w:tr w14:paraId="183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0CC7D2A1">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检测罐体膨胀系数</w:t>
            </w:r>
          </w:p>
        </w:tc>
        <w:tc>
          <w:tcPr>
            <w:tcW w:w="621" w:type="dxa"/>
            <w:vAlign w:val="center"/>
          </w:tcPr>
          <w:p w14:paraId="68E82EAC">
            <w:pPr>
              <w:spacing w:line="360" w:lineRule="auto"/>
              <w:jc w:val="center"/>
              <w:rPr>
                <w:rFonts w:ascii="Times New Roman" w:hAnsi="Times New Roman"/>
                <w:szCs w:val="21"/>
              </w:rPr>
            </w:pPr>
            <m:oMathPara>
              <m:oMath>
                <m:sSub>
                  <m:sSubPr>
                    <m:ctrlPr>
                      <w:rPr>
                        <w:rFonts w:ascii="Cambria Math" w:hAnsi="Cambria Math"/>
                        <w:i/>
                        <w:szCs w:val="21"/>
                      </w:rPr>
                    </m:ctrlPr>
                  </m:sSubPr>
                  <m:e>
                    <m:r>
                      <m:rPr/>
                      <w:rPr>
                        <w:rFonts w:ascii="Cambria Math" w:hAnsi="Cambria Math"/>
                        <w:szCs w:val="21"/>
                      </w:rPr>
                      <m:t>u</m:t>
                    </m:r>
                    <m:ctrlPr>
                      <w:rPr>
                        <w:rFonts w:ascii="Cambria Math" w:hAnsi="Cambria Math"/>
                        <w:i/>
                        <w:szCs w:val="21"/>
                      </w:rPr>
                    </m:ctrlPr>
                  </m:e>
                  <m:sub>
                    <m:r>
                      <m:rPr/>
                      <w:rPr>
                        <w:rFonts w:ascii="Cambria Math" w:hAnsi="Cambria Math"/>
                        <w:szCs w:val="21"/>
                      </w:rPr>
                      <m:t>2f</m:t>
                    </m:r>
                    <m:ctrlPr>
                      <w:rPr>
                        <w:rFonts w:ascii="Cambria Math" w:hAnsi="Cambria Math"/>
                        <w:i/>
                        <w:szCs w:val="21"/>
                      </w:rPr>
                    </m:ctrlPr>
                  </m:sub>
                </m:sSub>
              </m:oMath>
            </m:oMathPara>
          </w:p>
        </w:tc>
        <w:tc>
          <w:tcPr>
            <w:tcW w:w="2383" w:type="dxa"/>
            <w:vAlign w:val="center"/>
          </w:tcPr>
          <w:p w14:paraId="2E536190">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0.69</w:t>
            </w:r>
            <w:r>
              <w:rPr>
                <w:rFonts w:hint="eastAsia" w:ascii="Times New Roman" w:hAnsi="Times New Roman" w:eastAsiaTheme="minorEastAsia"/>
                <w:color w:val="333333"/>
                <w:szCs w:val="21"/>
                <w:shd w:val="clear" w:color="auto" w:fill="FFFFFF"/>
              </w:rPr>
              <w:t>×10</w:t>
            </w:r>
            <w:r>
              <w:rPr>
                <w:rFonts w:hint="eastAsia" w:ascii="Times New Roman" w:hAnsi="Times New Roman" w:eastAsiaTheme="minorEastAsia"/>
                <w:color w:val="333333"/>
                <w:szCs w:val="21"/>
                <w:shd w:val="clear" w:color="auto" w:fill="FFFFFF"/>
                <w:vertAlign w:val="superscript"/>
              </w:rPr>
              <w:t>-6</w:t>
            </w:r>
            <w:r>
              <w:rPr>
                <w:rFonts w:hint="eastAsia" w:ascii="Times New Roman" w:hAnsi="Times New Roman" w:eastAsiaTheme="minorEastAsia"/>
                <w:szCs w:val="21"/>
              </w:rPr>
              <w:t xml:space="preserve"> ℃</w:t>
            </w:r>
            <w:r>
              <w:rPr>
                <w:rFonts w:hint="eastAsia" w:ascii="Times New Roman" w:hAnsi="Times New Roman" w:eastAsiaTheme="minorEastAsia"/>
                <w:szCs w:val="21"/>
                <w:vertAlign w:val="superscript"/>
              </w:rPr>
              <w:t>-1</w:t>
            </w:r>
          </w:p>
        </w:tc>
        <w:tc>
          <w:tcPr>
            <w:tcW w:w="645" w:type="dxa"/>
            <w:vAlign w:val="center"/>
          </w:tcPr>
          <w:p w14:paraId="4FD2AC6D">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23</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602DA6A4">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597 600 L</w:t>
            </w:r>
            <w:r>
              <w:rPr>
                <w:rFonts w:ascii="Times New Roman" w:hAnsi="Times New Roman"/>
                <w:color w:val="333333"/>
                <w:szCs w:val="21"/>
                <w:shd w:val="clear" w:color="auto" w:fill="FFFFFF"/>
              </w:rPr>
              <w:t>·</w:t>
            </w:r>
            <w:r>
              <w:rPr>
                <w:rFonts w:hint="eastAsia" w:ascii="Times New Roman" w:hAnsi="Times New Roman" w:eastAsiaTheme="minorEastAsia"/>
                <w:szCs w:val="21"/>
              </w:rPr>
              <w:t>℃</w:t>
            </w:r>
          </w:p>
        </w:tc>
        <w:tc>
          <w:tcPr>
            <w:tcW w:w="1046" w:type="dxa"/>
            <w:vAlign w:val="center"/>
          </w:tcPr>
          <w:p w14:paraId="525EC1A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0.41</w:t>
            </w:r>
          </w:p>
        </w:tc>
      </w:tr>
      <w:tr w14:paraId="0870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1BF429E1">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水体膨胀系数</w:t>
            </w:r>
          </w:p>
        </w:tc>
        <w:tc>
          <w:tcPr>
            <w:tcW w:w="621" w:type="dxa"/>
            <w:vAlign w:val="center"/>
          </w:tcPr>
          <w:p w14:paraId="00F750E4">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2g</m:t>
                    </m:r>
                    <m:ctrlPr>
                      <w:rPr>
                        <w:rFonts w:ascii="Cambria Math" w:hAnsi="Cambria Math" w:eastAsiaTheme="minorEastAsia"/>
                        <w:i/>
                        <w:szCs w:val="21"/>
                      </w:rPr>
                    </m:ctrlPr>
                  </m:sub>
                </m:sSub>
              </m:oMath>
            </m:oMathPara>
          </w:p>
        </w:tc>
        <w:tc>
          <w:tcPr>
            <w:tcW w:w="2383" w:type="dxa"/>
            <w:vAlign w:val="center"/>
          </w:tcPr>
          <w:p w14:paraId="2AE6FE7D">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11.54</w:t>
            </w:r>
            <w:r>
              <w:rPr>
                <w:rFonts w:hint="eastAsia" w:ascii="Times New Roman" w:hAnsi="Times New Roman" w:eastAsiaTheme="minorEastAsia"/>
                <w:color w:val="333333"/>
                <w:szCs w:val="21"/>
                <w:shd w:val="clear" w:color="auto" w:fill="FFFFFF"/>
              </w:rPr>
              <w:t>×10</w:t>
            </w:r>
            <w:r>
              <w:rPr>
                <w:rFonts w:hint="eastAsia" w:ascii="Times New Roman" w:hAnsi="Times New Roman" w:eastAsiaTheme="minorEastAsia"/>
                <w:color w:val="333333"/>
                <w:szCs w:val="21"/>
                <w:shd w:val="clear" w:color="auto" w:fill="FFFFFF"/>
                <w:vertAlign w:val="superscript"/>
              </w:rPr>
              <w:t>-6</w:t>
            </w:r>
            <w:r>
              <w:rPr>
                <w:rFonts w:hint="eastAsia" w:ascii="Times New Roman" w:hAnsi="Times New Roman" w:eastAsiaTheme="minorEastAsia"/>
                <w:szCs w:val="21"/>
              </w:rPr>
              <w:t xml:space="preserve"> ℃</w:t>
            </w:r>
            <w:r>
              <w:rPr>
                <w:rFonts w:hint="eastAsia" w:ascii="Times New Roman" w:hAnsi="Times New Roman" w:eastAsiaTheme="minorEastAsia"/>
                <w:szCs w:val="21"/>
                <w:vertAlign w:val="superscript"/>
              </w:rPr>
              <w:t>-1</w:t>
            </w:r>
          </w:p>
        </w:tc>
        <w:tc>
          <w:tcPr>
            <w:tcW w:w="645" w:type="dxa"/>
            <w:vAlign w:val="center"/>
          </w:tcPr>
          <w:p w14:paraId="7ABDDC12">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24</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60B0A200">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59 760 L</w:t>
            </w:r>
            <w:r>
              <w:rPr>
                <w:rFonts w:ascii="Times New Roman" w:hAnsi="Times New Roman"/>
                <w:color w:val="333333"/>
                <w:szCs w:val="21"/>
                <w:shd w:val="clear" w:color="auto" w:fill="FFFFFF"/>
              </w:rPr>
              <w:t>·</w:t>
            </w:r>
            <w:r>
              <w:rPr>
                <w:rFonts w:hint="eastAsia" w:ascii="Times New Roman" w:hAnsi="Times New Roman" w:eastAsiaTheme="minorEastAsia"/>
                <w:szCs w:val="21"/>
              </w:rPr>
              <w:t>℃</w:t>
            </w:r>
          </w:p>
        </w:tc>
        <w:tc>
          <w:tcPr>
            <w:tcW w:w="1046" w:type="dxa"/>
            <w:vAlign w:val="center"/>
          </w:tcPr>
          <w:p w14:paraId="7343BB2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0.69</w:t>
            </w:r>
          </w:p>
        </w:tc>
      </w:tr>
      <w:tr w14:paraId="7A952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1191B220">
            <w:pPr>
              <w:jc w:val="center"/>
              <w:rPr>
                <w:rFonts w:ascii="Times New Roman" w:hAnsi="Times New Roman" w:eastAsiaTheme="minorEastAsia"/>
                <w:szCs w:val="21"/>
              </w:rPr>
            </w:pPr>
            <w:r>
              <w:rPr>
                <w:rFonts w:hint="eastAsia" w:ascii="Times New Roman" w:hAnsi="Times New Roman" w:eastAsiaTheme="minorEastAsia"/>
                <w:szCs w:val="21"/>
              </w:rPr>
              <w:t>标准金属量器内水温测量</w:t>
            </w:r>
          </w:p>
        </w:tc>
        <w:tc>
          <w:tcPr>
            <w:tcW w:w="621" w:type="dxa"/>
            <w:vAlign w:val="center"/>
          </w:tcPr>
          <w:p w14:paraId="1D6B2E93">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2h</m:t>
                    </m:r>
                    <m:ctrlPr>
                      <w:rPr>
                        <w:rFonts w:ascii="Cambria Math" w:hAnsi="Cambria Math" w:eastAsiaTheme="minorEastAsia"/>
                        <w:i/>
                        <w:szCs w:val="21"/>
                      </w:rPr>
                    </m:ctrlPr>
                  </m:sub>
                </m:sSub>
              </m:oMath>
            </m:oMathPara>
          </w:p>
        </w:tc>
        <w:tc>
          <w:tcPr>
            <w:tcW w:w="2383" w:type="dxa"/>
            <w:vAlign w:val="center"/>
          </w:tcPr>
          <w:p w14:paraId="33E672AD">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0.115 5 ℃</w:t>
            </w:r>
          </w:p>
        </w:tc>
        <w:tc>
          <w:tcPr>
            <w:tcW w:w="645" w:type="dxa"/>
            <w:vAlign w:val="center"/>
          </w:tcPr>
          <w:p w14:paraId="2ACA364F">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25</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2A9237E9">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5.0 L/℃</w:t>
            </w:r>
          </w:p>
        </w:tc>
        <w:tc>
          <w:tcPr>
            <w:tcW w:w="1046" w:type="dxa"/>
            <w:vAlign w:val="center"/>
          </w:tcPr>
          <w:p w14:paraId="4677BCDC">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0.58</w:t>
            </w:r>
          </w:p>
        </w:tc>
      </w:tr>
      <w:tr w14:paraId="1230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1CF6DC0E">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检测罐内水温测量</w:t>
            </w:r>
          </w:p>
        </w:tc>
        <w:tc>
          <w:tcPr>
            <w:tcW w:w="621" w:type="dxa"/>
            <w:vAlign w:val="center"/>
          </w:tcPr>
          <w:p w14:paraId="4564BC88">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2i</m:t>
                    </m:r>
                    <m:ctrlPr>
                      <w:rPr>
                        <w:rFonts w:ascii="Cambria Math" w:hAnsi="Cambria Math" w:eastAsiaTheme="minorEastAsia"/>
                        <w:i/>
                        <w:szCs w:val="21"/>
                      </w:rPr>
                    </m:ctrlPr>
                  </m:sub>
                </m:sSub>
              </m:oMath>
            </m:oMathPara>
          </w:p>
        </w:tc>
        <w:tc>
          <w:tcPr>
            <w:tcW w:w="2383" w:type="dxa"/>
            <w:vAlign w:val="center"/>
          </w:tcPr>
          <w:p w14:paraId="44A19721">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0.577 4 ℃</w:t>
            </w:r>
          </w:p>
        </w:tc>
        <w:tc>
          <w:tcPr>
            <w:tcW w:w="645" w:type="dxa"/>
            <w:vAlign w:val="center"/>
          </w:tcPr>
          <w:p w14:paraId="062FB225">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26</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6ED1F128">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4.9 L/℃</w:t>
            </w:r>
          </w:p>
        </w:tc>
        <w:tc>
          <w:tcPr>
            <w:tcW w:w="1046" w:type="dxa"/>
            <w:vAlign w:val="center"/>
          </w:tcPr>
          <w:p w14:paraId="071D82D2">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2.8</w:t>
            </w:r>
          </w:p>
        </w:tc>
      </w:tr>
      <w:tr w14:paraId="2608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132AE7FB">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磁致伸缩液位</w:t>
            </w:r>
          </w:p>
        </w:tc>
        <w:tc>
          <w:tcPr>
            <w:tcW w:w="621" w:type="dxa"/>
            <w:vAlign w:val="center"/>
          </w:tcPr>
          <w:p w14:paraId="7012392F">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2j</m:t>
                    </m:r>
                    <m:ctrlPr>
                      <w:rPr>
                        <w:rFonts w:ascii="Cambria Math" w:hAnsi="Cambria Math" w:eastAsiaTheme="minorEastAsia"/>
                        <w:i/>
                        <w:szCs w:val="21"/>
                      </w:rPr>
                    </m:ctrlPr>
                  </m:sub>
                </m:sSub>
              </m:oMath>
            </m:oMathPara>
          </w:p>
        </w:tc>
        <w:tc>
          <w:tcPr>
            <w:tcW w:w="2383" w:type="dxa"/>
            <w:vAlign w:val="center"/>
          </w:tcPr>
          <w:p w14:paraId="0628B857">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11.55 L</w:t>
            </w:r>
          </w:p>
        </w:tc>
        <w:tc>
          <w:tcPr>
            <w:tcW w:w="645" w:type="dxa"/>
            <w:vAlign w:val="center"/>
          </w:tcPr>
          <w:p w14:paraId="6334833F">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27</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709BF714">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w:t>
            </w:r>
          </w:p>
        </w:tc>
        <w:tc>
          <w:tcPr>
            <w:tcW w:w="1046" w:type="dxa"/>
            <w:vAlign w:val="center"/>
          </w:tcPr>
          <w:p w14:paraId="2A62A963">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11.55</w:t>
            </w:r>
          </w:p>
        </w:tc>
      </w:tr>
      <w:tr w14:paraId="7C80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6" w:type="dxa"/>
            <w:vAlign w:val="center"/>
          </w:tcPr>
          <w:p w14:paraId="104F999A">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液位测量重复性</w:t>
            </w:r>
          </w:p>
        </w:tc>
        <w:tc>
          <w:tcPr>
            <w:tcW w:w="621" w:type="dxa"/>
            <w:vAlign w:val="center"/>
          </w:tcPr>
          <w:p w14:paraId="58C4621D">
            <w:pPr>
              <w:spacing w:line="360" w:lineRule="auto"/>
              <w:jc w:val="center"/>
              <w:rPr>
                <w:rFonts w:ascii="Times New Roman" w:hAnsi="Times New Roman"/>
                <w:szCs w:val="21"/>
              </w:rPr>
            </w:pPr>
            <m:oMathPara>
              <m:oMath>
                <m:sSub>
                  <m:sSubPr>
                    <m:ctrlPr>
                      <w:rPr>
                        <w:rFonts w:ascii="Cambria Math" w:hAnsi="Cambria Math" w:eastAsiaTheme="minorEastAsia"/>
                        <w:i/>
                        <w:szCs w:val="21"/>
                      </w:rPr>
                    </m:ctrlPr>
                  </m:sSubPr>
                  <m:e>
                    <m:r>
                      <m:rPr/>
                      <w:rPr>
                        <w:rFonts w:ascii="Cambria Math" w:hAnsi="Cambria Math" w:eastAsiaTheme="minorEastAsia"/>
                        <w:szCs w:val="21"/>
                      </w:rPr>
                      <m:t>u</m:t>
                    </m:r>
                    <m:ctrlPr>
                      <w:rPr>
                        <w:rFonts w:ascii="Cambria Math" w:hAnsi="Cambria Math" w:eastAsiaTheme="minorEastAsia"/>
                        <w:i/>
                        <w:szCs w:val="21"/>
                      </w:rPr>
                    </m:ctrlPr>
                  </m:e>
                  <m:sub>
                    <m:r>
                      <m:rPr/>
                      <w:rPr>
                        <w:rFonts w:ascii="Cambria Math" w:hAnsi="Cambria Math" w:eastAsiaTheme="minorEastAsia"/>
                        <w:szCs w:val="21"/>
                      </w:rPr>
                      <m:t>2k</m:t>
                    </m:r>
                    <m:ctrlPr>
                      <w:rPr>
                        <w:rFonts w:ascii="Cambria Math" w:hAnsi="Cambria Math" w:eastAsiaTheme="minorEastAsia"/>
                        <w:i/>
                        <w:szCs w:val="21"/>
                      </w:rPr>
                    </m:ctrlPr>
                  </m:sub>
                </m:sSub>
              </m:oMath>
            </m:oMathPara>
          </w:p>
        </w:tc>
        <w:tc>
          <w:tcPr>
            <w:tcW w:w="2383" w:type="dxa"/>
            <w:vAlign w:val="center"/>
          </w:tcPr>
          <w:p w14:paraId="00F4E315">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1.96 L</w:t>
            </w:r>
          </w:p>
        </w:tc>
        <w:tc>
          <w:tcPr>
            <w:tcW w:w="645" w:type="dxa"/>
            <w:vAlign w:val="center"/>
          </w:tcPr>
          <w:p w14:paraId="4DB8495C">
            <w:pPr>
              <w:spacing w:line="360" w:lineRule="auto"/>
              <w:jc w:val="center"/>
              <w:rPr>
                <w:rFonts w:ascii="Times New Roman" w:hAnsi="Times New Roman"/>
                <w:szCs w:val="21"/>
              </w:rPr>
            </w:pPr>
            <m:oMathPara>
              <m:oMath>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ascii="Cambria Math" w:hAnsi="Cambria Math"/>
                            <w:szCs w:val="21"/>
                          </w:rPr>
                          <m:t>28</m:t>
                        </m:r>
                        <m:ctrlPr>
                          <w:rPr>
                            <w:rFonts w:ascii="Cambria Math" w:hAnsi="Cambria Math"/>
                            <w:i/>
                            <w:szCs w:val="21"/>
                          </w:rPr>
                        </m:ctrlPr>
                      </m:sub>
                    </m:sSub>
                    <m:ctrlPr>
                      <w:rPr>
                        <w:rFonts w:ascii="Cambria Math" w:hAnsi="Cambria Math"/>
                        <w:i/>
                        <w:szCs w:val="21"/>
                      </w:rPr>
                    </m:ctrlPr>
                  </m:e>
                </m:d>
              </m:oMath>
            </m:oMathPara>
          </w:p>
        </w:tc>
        <w:tc>
          <w:tcPr>
            <w:tcW w:w="1765" w:type="dxa"/>
            <w:vAlign w:val="center"/>
          </w:tcPr>
          <w:p w14:paraId="31E3391F">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w:t>
            </w:r>
          </w:p>
        </w:tc>
        <w:tc>
          <w:tcPr>
            <w:tcW w:w="1046" w:type="dxa"/>
            <w:vAlign w:val="center"/>
          </w:tcPr>
          <w:p w14:paraId="75133260">
            <w:pPr>
              <w:spacing w:line="360" w:lineRule="auto"/>
              <w:jc w:val="center"/>
              <w:rPr>
                <w:rFonts w:ascii="Times New Roman" w:hAnsi="Times New Roman" w:eastAsiaTheme="minorEastAsia"/>
                <w:szCs w:val="21"/>
              </w:rPr>
            </w:pPr>
            <w:r>
              <w:rPr>
                <w:rFonts w:hint="eastAsia" w:ascii="Times New Roman" w:hAnsi="Times New Roman" w:eastAsiaTheme="minorEastAsia"/>
                <w:szCs w:val="21"/>
              </w:rPr>
              <w:t>1.96</w:t>
            </w:r>
          </w:p>
        </w:tc>
      </w:tr>
    </w:tbl>
    <w:p w14:paraId="14092B83">
      <w:pPr>
        <w:spacing w:line="360" w:lineRule="auto"/>
        <w:ind w:firstLine="420"/>
        <w:rPr>
          <w:rFonts w:ascii="Times New Roman" w:hAnsi="Times New Roman"/>
          <w:sz w:val="24"/>
          <w:szCs w:val="24"/>
        </w:rPr>
      </w:pPr>
      <w:r>
        <w:rPr>
          <w:rFonts w:hint="eastAsia" w:ascii="Times New Roman" w:hAnsi="Times New Roman"/>
          <w:sz w:val="24"/>
          <w:szCs w:val="24"/>
        </w:rPr>
        <w:t>容积测得值各不确定度分量之间互不相关，容积测得值</w:t>
      </w:r>
      <m:oMath>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szCs w:val="24"/>
        </w:rPr>
        <w:t>引入的不确定度为：</w:t>
      </w:r>
    </w:p>
    <w:p w14:paraId="38B53D3E">
      <w:pPr>
        <w:jc w:val="right"/>
        <w:rPr>
          <w:rFonts w:ascii="Times New Roman" w:hAnsi="Times New Roman"/>
          <w:sz w:val="24"/>
          <w:szCs w:val="24"/>
        </w:rPr>
      </w:pPr>
      <m:oMath>
        <m:r>
          <m:rPr/>
          <w:rPr>
            <w:rFonts w:ascii="Cambria Math" w:hAnsi="Cambria Math"/>
            <w:sz w:val="24"/>
            <w:szCs w:val="24"/>
          </w:rPr>
          <m:t>u</m:t>
        </m:r>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r>
          <m:rPr/>
          <w:rPr>
            <w:rFonts w:ascii="Cambria Math" w:hAnsi="Cambria Math"/>
            <w:sz w:val="24"/>
            <w:szCs w:val="24"/>
          </w:rPr>
          <m:t> = </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w:rPr>
                    <w:rFonts w:ascii="Cambria Math" w:hAnsi="Cambria Math"/>
                    <w:sz w:val="24"/>
                    <w:szCs w:val="24"/>
                  </w:rPr>
                  <m:t>c</m:t>
                </m:r>
                <m:ctrlPr>
                  <w:rPr>
                    <w:rFonts w:ascii="Cambria Math" w:hAnsi="Cambria Math"/>
                    <w:sz w:val="24"/>
                    <w:szCs w:val="24"/>
                  </w:rPr>
                </m:ctrlPr>
              </m:e>
              <m:sub>
                <m:r>
                  <m:rPr/>
                  <w:rPr>
                    <w:rFonts w:ascii="Cambria Math" w:hAnsi="Cambria Math"/>
                    <w:sz w:val="24"/>
                    <w:szCs w:val="24"/>
                  </w:rPr>
                  <m:t>11</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sSubSup>
              <m:sSubSupPr>
                <m:ctrlPr>
                  <w:rPr>
                    <w:rFonts w:ascii="Cambria Math" w:hAnsi="Cambria Math"/>
                    <w:sz w:val="24"/>
                    <w:szCs w:val="24"/>
                  </w:rPr>
                </m:ctrlPr>
              </m:sSubSup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1t</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r>
              <m:rPr/>
              <w:rPr>
                <w:rFonts w:ascii="Cambria Math" w:hAnsi="Cambria Math"/>
                <w:sz w:val="24"/>
                <w:szCs w:val="24"/>
              </w:rPr>
              <m:t> + </m:t>
            </m:r>
            <m:sSubSup>
              <m:sSubSupPr>
                <m:ctrlPr>
                  <w:rPr>
                    <w:rFonts w:ascii="Cambria Math" w:hAnsi="Cambria Math"/>
                    <w:sz w:val="24"/>
                    <w:szCs w:val="24"/>
                  </w:rPr>
                </m:ctrlPr>
              </m:sSubSupPr>
              <m:e>
                <m:r>
                  <m:rPr/>
                  <w:rPr>
                    <w:rFonts w:ascii="Cambria Math" w:hAnsi="Cambria Math"/>
                    <w:sz w:val="24"/>
                    <w:szCs w:val="24"/>
                  </w:rPr>
                  <m:t>c</m:t>
                </m:r>
                <m:ctrlPr>
                  <w:rPr>
                    <w:rFonts w:ascii="Cambria Math" w:hAnsi="Cambria Math"/>
                    <w:sz w:val="24"/>
                    <w:szCs w:val="24"/>
                  </w:rPr>
                </m:ctrlPr>
              </m:e>
              <m:sub>
                <m:r>
                  <m:rPr/>
                  <w:rPr>
                    <w:rFonts w:ascii="Cambria Math" w:hAnsi="Cambria Math"/>
                    <w:sz w:val="24"/>
                    <w:szCs w:val="24"/>
                  </w:rPr>
                  <m:t>12</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sSubSup>
              <m:sSubSupPr>
                <m:ctrlPr>
                  <w:rPr>
                    <w:rFonts w:ascii="Cambria Math" w:hAnsi="Cambria Math"/>
                    <w:sz w:val="24"/>
                    <w:szCs w:val="24"/>
                  </w:rPr>
                </m:ctrlPr>
              </m:sSubSup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1β</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r>
              <m:rPr/>
              <w:rPr>
                <w:rFonts w:ascii="Cambria Math" w:hAnsi="Cambria Math"/>
                <w:sz w:val="24"/>
                <w:szCs w:val="24"/>
              </w:rPr>
              <m:t> + </m:t>
            </m:r>
            <m:sSubSup>
              <m:sSubSupPr>
                <m:ctrlPr>
                  <w:rPr>
                    <w:rFonts w:ascii="Cambria Math" w:hAnsi="Cambria Math"/>
                    <w:sz w:val="24"/>
                    <w:szCs w:val="24"/>
                  </w:rPr>
                </m:ctrlPr>
              </m:sSubSupPr>
              <m:e>
                <m:r>
                  <m:rPr/>
                  <w:rPr>
                    <w:rFonts w:ascii="Cambria Math" w:hAnsi="Cambria Math"/>
                    <w:sz w:val="24"/>
                    <w:szCs w:val="24"/>
                  </w:rPr>
                  <m:t>c</m:t>
                </m:r>
                <m:ctrlPr>
                  <w:rPr>
                    <w:rFonts w:ascii="Cambria Math" w:hAnsi="Cambria Math"/>
                    <w:sz w:val="24"/>
                    <w:szCs w:val="24"/>
                  </w:rPr>
                </m:ctrlPr>
              </m:e>
              <m:sub>
                <m:r>
                  <m:rPr/>
                  <w:rPr>
                    <w:rFonts w:ascii="Cambria Math" w:hAnsi="Cambria Math"/>
                    <w:sz w:val="24"/>
                    <w:szCs w:val="24"/>
                  </w:rPr>
                  <m:t>13</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sSubSup>
              <m:sSubSupPr>
                <m:ctrlPr>
                  <w:rPr>
                    <w:rFonts w:ascii="Cambria Math" w:hAnsi="Cambria Math"/>
                    <w:sz w:val="24"/>
                    <w:szCs w:val="24"/>
                  </w:rPr>
                </m:ctrlPr>
              </m:sSubSupPr>
              <m:e>
                <m:r>
                  <m:rPr/>
                  <w:rPr>
                    <w:rFonts w:ascii="Cambria Math" w:hAnsi="Cambria Math"/>
                    <w:sz w:val="24"/>
                    <w:szCs w:val="24"/>
                  </w:rPr>
                  <m:t>u</m:t>
                </m:r>
                <m:ctrlPr>
                  <w:rPr>
                    <w:rFonts w:ascii="Cambria Math" w:hAnsi="Cambria Math"/>
                    <w:sz w:val="24"/>
                    <w:szCs w:val="24"/>
                  </w:rPr>
                </m:ctrlPr>
              </m:e>
              <m:sub>
                <m:r>
                  <m:rPr/>
                  <w:rPr>
                    <w:rFonts w:ascii="Cambria Math" w:hAnsi="Cambria Math"/>
                    <w:sz w:val="24"/>
                    <w:szCs w:val="24"/>
                  </w:rPr>
                  <m:t>1τ</m:t>
                </m:r>
                <m:ctrlPr>
                  <w:rPr>
                    <w:rFonts w:ascii="Cambria Math" w:hAnsi="Cambria Math"/>
                    <w:sz w:val="24"/>
                    <w:szCs w:val="24"/>
                  </w:rPr>
                </m:ctrlPr>
              </m:sub>
              <m:sup>
                <m:r>
                  <m:rPr/>
                  <w:rPr>
                    <w:rFonts w:ascii="Cambria Math" w:hAnsi="Cambria Math"/>
                    <w:sz w:val="24"/>
                    <w:szCs w:val="24"/>
                  </w:rPr>
                  <m:t>2</m:t>
                </m:r>
                <m:ctrlPr>
                  <w:rPr>
                    <w:rFonts w:ascii="Cambria Math" w:hAnsi="Cambria Math"/>
                    <w:sz w:val="24"/>
                    <w:szCs w:val="24"/>
                  </w:rPr>
                </m:ctrlPr>
              </m:sup>
            </m:sSubSup>
            <m:ctrlPr>
              <w:rPr>
                <w:rFonts w:ascii="Cambria Math" w:hAnsi="Cambria Math"/>
                <w:sz w:val="24"/>
                <w:szCs w:val="24"/>
              </w:rPr>
            </m:ctrlPr>
          </m:e>
        </m:rad>
        <m:r>
          <m:rPr/>
          <w:rPr>
            <w:rFonts w:ascii="Cambria Math" w:hAnsi="Cambria Math"/>
            <w:sz w:val="24"/>
            <w:szCs w:val="24"/>
          </w:rPr>
          <m:t xml:space="preserve">=6.82 </m:t>
        </m:r>
        <m:r>
          <m:rPr>
            <m:sty m:val="p"/>
          </m:rPr>
          <w:rPr>
            <w:rFonts w:ascii="Cambria Math" w:hAnsi="Cambria Math"/>
            <w:sz w:val="24"/>
            <w:szCs w:val="24"/>
          </w:rPr>
          <m:t>L</m:t>
        </m:r>
      </m:oMath>
      <w:r>
        <w:rPr>
          <w:rFonts w:ascii="Times New Roman" w:hAnsi="Times New Roman"/>
          <w:sz w:val="24"/>
          <w:szCs w:val="24"/>
        </w:rPr>
        <w:t xml:space="preserve">              </w:t>
      </w:r>
      <w:r>
        <w:rPr>
          <w:rFonts w:hint="eastAsia" w:ascii="Times New Roman" w:hAnsi="Times New Roman"/>
          <w:sz w:val="24"/>
          <w:szCs w:val="24"/>
        </w:rPr>
        <w:t>（F.24）</w:t>
      </w:r>
    </w:p>
    <w:p w14:paraId="1B5D382C">
      <w:pPr>
        <w:spacing w:line="360" w:lineRule="auto"/>
        <w:ind w:firstLine="480" w:firstLineChars="200"/>
        <w:rPr>
          <w:rFonts w:ascii="Times New Roman" w:hAnsi="Times New Roman"/>
          <w:sz w:val="24"/>
          <w:szCs w:val="24"/>
        </w:rPr>
      </w:pPr>
      <w:r>
        <w:rPr>
          <w:rFonts w:hint="eastAsia" w:ascii="Times New Roman" w:hAnsi="Times New Roman"/>
          <w:sz w:val="24"/>
          <w:szCs w:val="24"/>
        </w:rPr>
        <w:t>容积参考值各不确定度分量之间互不相关，容积参考值</w:t>
      </w:r>
      <m:oMath>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oMath>
      <w:r>
        <w:rPr>
          <w:rFonts w:hint="eastAsia" w:ascii="Times New Roman" w:hAnsi="Times New Roman"/>
          <w:sz w:val="24"/>
          <w:szCs w:val="24"/>
        </w:rPr>
        <w:t>引入的不确定度为：</w:t>
      </w:r>
    </w:p>
    <w:p w14:paraId="03594790">
      <w:pPr>
        <w:spacing w:line="360" w:lineRule="auto"/>
        <w:jc w:val="right"/>
        <w:rPr>
          <w:rFonts w:ascii="Times New Roman" w:hAnsi="Times New Roman"/>
          <w:sz w:val="18"/>
          <w:szCs w:val="18"/>
        </w:rPr>
      </w:pPr>
      <m:oMath>
        <m:r>
          <m:rPr/>
          <w:rPr>
            <w:rFonts w:ascii="Cambria Math" w:hAnsi="Cambria Math"/>
            <w:sz w:val="16"/>
            <w:szCs w:val="16"/>
          </w:rPr>
          <m:t>u</m:t>
        </m:r>
        <m:d>
          <m:dPr>
            <m:ctrlPr>
              <w:rPr>
                <w:rFonts w:ascii="Cambria Math" w:hAnsi="Cambria Math"/>
                <w:sz w:val="16"/>
                <w:szCs w:val="16"/>
              </w:rPr>
            </m:ctrlPr>
          </m:dPr>
          <m:e>
            <m:sSub>
              <m:sSubPr>
                <m:ctrlPr>
                  <w:rPr>
                    <w:rFonts w:ascii="Cambria Math" w:hAnsi="Cambria Math"/>
                    <w:i/>
                    <w:sz w:val="22"/>
                    <w:szCs w:val="21"/>
                  </w:rPr>
                </m:ctrlPr>
              </m:sSubPr>
              <m:e>
                <m:r>
                  <m:rPr/>
                  <w:rPr>
                    <w:rFonts w:ascii="Cambria Math" w:hAnsi="Cambria Math"/>
                    <w:sz w:val="22"/>
                    <w:szCs w:val="21"/>
                  </w:rPr>
                  <m:t>Vre</m:t>
                </m:r>
                <m:ctrlPr>
                  <w:rPr>
                    <w:rFonts w:ascii="Cambria Math" w:hAnsi="Cambria Math"/>
                    <w:i/>
                    <w:sz w:val="22"/>
                    <w:szCs w:val="21"/>
                  </w:rPr>
                </m:ctrlPr>
              </m:e>
              <m:sub>
                <m:r>
                  <m:rPr/>
                  <w:rPr>
                    <w:rFonts w:ascii="Cambria Math" w:hAnsi="Cambria Math"/>
                    <w:sz w:val="22"/>
                    <w:szCs w:val="21"/>
                  </w:rPr>
                  <m:t>i,j</m:t>
                </m:r>
                <m:ctrlPr>
                  <w:rPr>
                    <w:rFonts w:ascii="Cambria Math" w:hAnsi="Cambria Math"/>
                    <w:i/>
                    <w:sz w:val="22"/>
                    <w:szCs w:val="21"/>
                  </w:rPr>
                </m:ctrlPr>
              </m:sub>
            </m:sSub>
            <m:ctrlPr>
              <w:rPr>
                <w:rFonts w:ascii="Cambria Math" w:hAnsi="Cambria Math"/>
                <w:sz w:val="16"/>
                <w:szCs w:val="16"/>
              </w:rPr>
            </m:ctrlPr>
          </m:e>
        </m:d>
        <m:r>
          <m:rPr/>
          <w:rPr>
            <w:rFonts w:ascii="Cambria Math" w:hAnsi="Cambria Math"/>
            <w:sz w:val="16"/>
            <w:szCs w:val="16"/>
          </w:rPr>
          <m:t>=</m:t>
        </m:r>
        <m:rad>
          <m:radPr>
            <m:degHide m:val="1"/>
            <m:ctrlPr>
              <w:rPr>
                <w:rFonts w:ascii="Cambria Math" w:hAnsi="Cambria Math"/>
                <w:i/>
                <w:sz w:val="16"/>
                <w:szCs w:val="16"/>
              </w:rPr>
            </m:ctrlPr>
          </m:radPr>
          <m:deg>
            <m:ctrlPr>
              <w:rPr>
                <w:rFonts w:ascii="Cambria Math" w:hAnsi="Cambria Math"/>
                <w:i/>
                <w:sz w:val="16"/>
                <w:szCs w:val="16"/>
              </w:rPr>
            </m:ctrlPr>
          </m:deg>
          <m:e>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21</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2d</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22</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2e</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23</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2f</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24</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2g</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25</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2h</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26</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2i</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27</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2j</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r>
              <m:rPr/>
              <w:rPr>
                <w:rFonts w:ascii="Cambria Math" w:hAnsi="Cambria Math"/>
                <w:sz w:val="16"/>
                <w:szCs w:val="16"/>
              </w:rPr>
              <m:t>+</m:t>
            </m:r>
            <m:sSubSup>
              <m:sSubSupPr>
                <m:ctrlPr>
                  <w:rPr>
                    <w:rFonts w:ascii="Cambria Math" w:hAnsi="Cambria Math"/>
                    <w:i/>
                    <w:sz w:val="16"/>
                    <w:szCs w:val="16"/>
                  </w:rPr>
                </m:ctrlPr>
              </m:sSubSupPr>
              <m:e>
                <m:r>
                  <m:rPr/>
                  <w:rPr>
                    <w:rFonts w:ascii="Cambria Math" w:hAnsi="Cambria Math"/>
                    <w:sz w:val="16"/>
                    <w:szCs w:val="16"/>
                  </w:rPr>
                  <m:t>c</m:t>
                </m:r>
                <m:ctrlPr>
                  <w:rPr>
                    <w:rFonts w:ascii="Cambria Math" w:hAnsi="Cambria Math"/>
                    <w:i/>
                    <w:sz w:val="16"/>
                    <w:szCs w:val="16"/>
                  </w:rPr>
                </m:ctrlPr>
              </m:e>
              <m:sub>
                <m:r>
                  <m:rPr/>
                  <w:rPr>
                    <w:rFonts w:ascii="Cambria Math" w:hAnsi="Cambria Math"/>
                    <w:sz w:val="16"/>
                    <w:szCs w:val="16"/>
                  </w:rPr>
                  <m:t>28</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sSubSup>
              <m:sSubSupPr>
                <m:ctrlPr>
                  <w:rPr>
                    <w:rFonts w:ascii="Cambria Math" w:hAnsi="Cambria Math"/>
                    <w:i/>
                    <w:sz w:val="16"/>
                    <w:szCs w:val="16"/>
                  </w:rPr>
                </m:ctrlPr>
              </m:sSubSupPr>
              <m:e>
                <m:r>
                  <m:rPr/>
                  <w:rPr>
                    <w:rFonts w:ascii="Cambria Math" w:hAnsi="Cambria Math"/>
                    <w:sz w:val="16"/>
                    <w:szCs w:val="16"/>
                  </w:rPr>
                  <m:t>u</m:t>
                </m:r>
                <m:ctrlPr>
                  <w:rPr>
                    <w:rFonts w:ascii="Cambria Math" w:hAnsi="Cambria Math"/>
                    <w:i/>
                    <w:sz w:val="16"/>
                    <w:szCs w:val="16"/>
                  </w:rPr>
                </m:ctrlPr>
              </m:e>
              <m:sub>
                <m:r>
                  <m:rPr/>
                  <w:rPr>
                    <w:rFonts w:ascii="Cambria Math" w:hAnsi="Cambria Math"/>
                    <w:sz w:val="16"/>
                    <w:szCs w:val="16"/>
                  </w:rPr>
                  <m:t>2k</m:t>
                </m:r>
                <m:ctrlPr>
                  <w:rPr>
                    <w:rFonts w:ascii="Cambria Math" w:hAnsi="Cambria Math"/>
                    <w:i/>
                    <w:sz w:val="16"/>
                    <w:szCs w:val="16"/>
                  </w:rPr>
                </m:ctrlPr>
              </m:sub>
              <m:sup>
                <m:r>
                  <m:rPr/>
                  <w:rPr>
                    <w:rFonts w:ascii="Cambria Math" w:hAnsi="Cambria Math"/>
                    <w:sz w:val="16"/>
                    <w:szCs w:val="16"/>
                  </w:rPr>
                  <m:t>2</m:t>
                </m:r>
                <m:ctrlPr>
                  <w:rPr>
                    <w:rFonts w:ascii="Cambria Math" w:hAnsi="Cambria Math"/>
                    <w:i/>
                    <w:sz w:val="16"/>
                    <w:szCs w:val="16"/>
                  </w:rPr>
                </m:ctrlPr>
              </m:sup>
            </m:sSubSup>
            <m:ctrlPr>
              <w:rPr>
                <w:rFonts w:ascii="Cambria Math" w:hAnsi="Cambria Math"/>
                <w:i/>
                <w:sz w:val="16"/>
                <w:szCs w:val="16"/>
              </w:rPr>
            </m:ctrlPr>
          </m:e>
        </m:rad>
        <m:r>
          <m:rPr/>
          <w:rPr>
            <w:rFonts w:ascii="Cambria Math" w:hAnsi="Cambria Math"/>
            <w:sz w:val="16"/>
            <w:szCs w:val="16"/>
          </w:rPr>
          <m:t>=7.10</m:t>
        </m:r>
        <m:r>
          <m:rPr>
            <m:sty m:val="p"/>
          </m:rPr>
          <w:rPr>
            <w:rFonts w:ascii="Cambria Math" w:hAnsi="Cambria Math"/>
            <w:sz w:val="16"/>
            <w:szCs w:val="16"/>
          </w:rPr>
          <m:t xml:space="preserve"> L</m:t>
        </m:r>
      </m:oMath>
      <w:r>
        <w:rPr>
          <w:rFonts w:ascii="Times New Roman" w:hAnsi="Times New Roman"/>
          <w:iCs/>
          <w:sz w:val="18"/>
          <w:szCs w:val="18"/>
        </w:rPr>
        <w:t xml:space="preserve">  </w:t>
      </w:r>
      <w:r>
        <w:rPr>
          <w:rFonts w:hint="eastAsia" w:ascii="Times New Roman" w:hAnsi="Times New Roman"/>
          <w:sz w:val="24"/>
          <w:szCs w:val="24"/>
        </w:rPr>
        <w:t>（F.25）</w:t>
      </w:r>
    </w:p>
    <w:p w14:paraId="788DDFC8">
      <w:pPr>
        <w:spacing w:line="360" w:lineRule="auto"/>
        <w:ind w:firstLine="480" w:firstLineChars="200"/>
        <w:rPr>
          <w:rFonts w:ascii="Times New Roman" w:hAnsi="Times New Roman"/>
          <w:sz w:val="24"/>
          <w:szCs w:val="24"/>
        </w:rPr>
      </w:pPr>
      <w:r>
        <w:rPr>
          <w:rFonts w:hint="eastAsia" w:ascii="Times New Roman" w:hAnsi="Times New Roman"/>
          <w:sz w:val="24"/>
          <w:szCs w:val="24"/>
        </w:rPr>
        <w:t>示值误差各不确定度分量之间互不相关，合成标准不确定度为：</w:t>
      </w:r>
    </w:p>
    <w:p w14:paraId="75CEFDF4">
      <w:pPr>
        <w:spacing w:line="360" w:lineRule="auto"/>
        <w:jc w:val="right"/>
        <w:rPr>
          <w:rFonts w:ascii="Times New Roman" w:hAnsi="Times New Roman"/>
          <w:sz w:val="24"/>
          <w:szCs w:val="24"/>
        </w:rPr>
      </w:pPr>
      <m:oMath>
        <m:sSub>
          <m:sSubPr>
            <m:ctrlPr>
              <w:rPr>
                <w:rFonts w:ascii="Cambria Math" w:hAnsi="Cambria Math"/>
                <w:sz w:val="24"/>
                <w:szCs w:val="24"/>
              </w:rPr>
            </m:ctrlPr>
          </m:sSubPr>
          <m:e>
            <m:r>
              <m:rPr/>
              <w:rPr>
                <w:rFonts w:ascii="Cambria Math" w:hAnsi="Cambria Math"/>
                <w:sz w:val="24"/>
                <w:szCs w:val="24"/>
              </w:rPr>
              <m:t xml:space="preserve">           u</m:t>
            </m:r>
            <m:ctrlPr>
              <w:rPr>
                <w:rFonts w:ascii="Cambria Math" w:hAnsi="Cambria Math"/>
                <w:sz w:val="24"/>
                <w:szCs w:val="24"/>
              </w:rPr>
            </m:ctrlPr>
          </m:e>
          <m:sub>
            <m:r>
              <m:rPr>
                <m:sty m:val="p"/>
              </m:rPr>
              <w:rPr>
                <w:rFonts w:ascii="Cambria Math" w:hAnsi="Cambria Math"/>
                <w:sz w:val="24"/>
                <w:szCs w:val="24"/>
              </w:rPr>
              <m:t>c</m:t>
            </m:r>
            <m:ctrlPr>
              <w:rPr>
                <w:rFonts w:ascii="Cambria Math" w:hAnsi="Cambria Math"/>
                <w:sz w:val="24"/>
                <w:szCs w:val="24"/>
              </w:rPr>
            </m:ctrlPr>
          </m:sub>
        </m:sSub>
        <m:d>
          <m:dPr>
            <m:ctrlPr>
              <w:rPr>
                <w:rFonts w:ascii="Cambria Math" w:hAnsi="Cambria Math"/>
                <w:sz w:val="24"/>
                <w:szCs w:val="24"/>
              </w:rPr>
            </m:ctrlPr>
          </m:dPr>
          <m:e>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sSubSup>
              <m:sSubSupPr>
                <m:ctrlPr>
                  <w:rPr>
                    <w:rFonts w:ascii="Cambria Math" w:hAnsi="Cambria Math"/>
                    <w:sz w:val="24"/>
                    <w:szCs w:val="24"/>
                  </w:rPr>
                </m:ctrlPr>
              </m:sSubSupPr>
              <m:e>
                <m:r>
                  <m:rPr/>
                  <w:rPr>
                    <w:rFonts w:ascii="Cambria Math" w:hAnsi="Cambria Math"/>
                    <w:sz w:val="24"/>
                    <w:szCs w:val="24"/>
                  </w:rPr>
                  <m:t>c</m:t>
                </m:r>
                <m:ctrlPr>
                  <w:rPr>
                    <w:rFonts w:ascii="Cambria Math" w:hAnsi="Cambria Math"/>
                    <w:sz w:val="24"/>
                    <w:szCs w:val="24"/>
                  </w:rPr>
                </m:ctrlPr>
              </m:e>
              <m:sub>
                <m:r>
                  <m:rPr>
                    <m:sty m:val="p"/>
                  </m:rPr>
                  <w:rPr>
                    <w:rFonts w:ascii="Cambria Math" w:hAnsi="Cambria Math"/>
                    <w:sz w:val="24"/>
                    <w:szCs w:val="24"/>
                  </w:rPr>
                  <m:t>1</m:t>
                </m:r>
                <m:ctrlPr>
                  <w:rPr>
                    <w:rFonts w:ascii="Cambria Math" w:hAnsi="Cambria Math"/>
                    <w:sz w:val="24"/>
                    <w:szCs w:val="24"/>
                  </w:rPr>
                </m:ctrlPr>
              </m:sub>
              <m:sup>
                <m:r>
                  <m:rPr>
                    <m:sty m:val="p"/>
                  </m:rPr>
                  <w:rPr>
                    <w:rFonts w:ascii="Cambria Math" w:hAnsi="Cambria Math"/>
                    <w:sz w:val="24"/>
                    <w:szCs w:val="24"/>
                  </w:rPr>
                  <m:t>2</m:t>
                </m:r>
                <m:ctrlPr>
                  <w:rPr>
                    <w:rFonts w:ascii="Cambria Math" w:hAnsi="Cambria Math"/>
                    <w:sz w:val="24"/>
                    <w:szCs w:val="24"/>
                  </w:rPr>
                </m:ctrlPr>
              </m:sup>
            </m:sSubSup>
            <m:sSup>
              <m:sSupPr>
                <m:ctrlPr>
                  <w:rPr>
                    <w:rFonts w:ascii="Cambria Math" w:hAnsi="Cambria Math"/>
                    <w:sz w:val="24"/>
                    <w:szCs w:val="24"/>
                  </w:rPr>
                </m:ctrlPr>
              </m:sSupPr>
              <m:e>
                <m:r>
                  <m:rPr/>
                  <w:rPr>
                    <w:rFonts w:ascii="Cambria Math" w:hAnsi="Cambria Math"/>
                    <w:sz w:val="24"/>
                    <w:szCs w:val="24"/>
                  </w:rPr>
                  <m:t>u</m:t>
                </m:r>
                <m:ctrlPr>
                  <w:rPr>
                    <w:rFonts w:ascii="Cambria Math" w:hAnsi="Cambria Math"/>
                    <w:sz w:val="24"/>
                    <w:szCs w:val="24"/>
                  </w:rPr>
                </m:ctrlPr>
              </m:e>
              <m:sup>
                <m:r>
                  <m:rPr>
                    <m:sty m:val="p"/>
                  </m:rPr>
                  <w:rPr>
                    <w:rFonts w:ascii="Cambria Math" w:hAnsi="Cambria Math"/>
                    <w:sz w:val="24"/>
                    <w:szCs w:val="24"/>
                  </w:rPr>
                  <m:t>2</m:t>
                </m:r>
                <m:ctrlPr>
                  <w:rPr>
                    <w:rFonts w:ascii="Cambria Math" w:hAnsi="Cambria Math"/>
                    <w:sz w:val="24"/>
                    <w:szCs w:val="24"/>
                  </w:rPr>
                </m:ctrlPr>
              </m:sup>
            </m:sSup>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Vme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r>
              <m:rPr>
                <m:sty m:val="p"/>
              </m:rPr>
              <w:rPr>
                <w:rFonts w:ascii="Cambria Math" w:hAnsi="Cambria Math"/>
                <w:sz w:val="24"/>
                <w:szCs w:val="24"/>
              </w:rPr>
              <m:t>+</m:t>
            </m:r>
            <m:sSubSup>
              <m:sSubSupPr>
                <m:ctrlPr>
                  <w:rPr>
                    <w:rFonts w:ascii="Cambria Math" w:hAnsi="Cambria Math"/>
                    <w:sz w:val="24"/>
                    <w:szCs w:val="24"/>
                  </w:rPr>
                </m:ctrlPr>
              </m:sSubSupPr>
              <m:e>
                <m:r>
                  <m:rPr/>
                  <w:rPr>
                    <w:rFonts w:ascii="Cambria Math" w:hAnsi="Cambria Math"/>
                    <w:sz w:val="24"/>
                    <w:szCs w:val="24"/>
                  </w:rPr>
                  <m:t>c</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up>
                <m:r>
                  <m:rPr>
                    <m:sty m:val="p"/>
                  </m:rPr>
                  <w:rPr>
                    <w:rFonts w:ascii="Cambria Math" w:hAnsi="Cambria Math"/>
                    <w:sz w:val="24"/>
                    <w:szCs w:val="24"/>
                  </w:rPr>
                  <m:t>2</m:t>
                </m:r>
                <m:ctrlPr>
                  <w:rPr>
                    <w:rFonts w:ascii="Cambria Math" w:hAnsi="Cambria Math"/>
                    <w:sz w:val="24"/>
                    <w:szCs w:val="24"/>
                  </w:rPr>
                </m:ctrlPr>
              </m:sup>
            </m:sSubSup>
            <m:sSup>
              <m:sSupPr>
                <m:ctrlPr>
                  <w:rPr>
                    <w:rFonts w:ascii="Cambria Math" w:hAnsi="Cambria Math"/>
                    <w:sz w:val="24"/>
                    <w:szCs w:val="24"/>
                  </w:rPr>
                </m:ctrlPr>
              </m:sSupPr>
              <m:e>
                <m:r>
                  <m:rPr/>
                  <w:rPr>
                    <w:rFonts w:ascii="Cambria Math" w:hAnsi="Cambria Math"/>
                    <w:sz w:val="24"/>
                    <w:szCs w:val="24"/>
                  </w:rPr>
                  <m:t>u</m:t>
                </m:r>
                <m:ctrlPr>
                  <w:rPr>
                    <w:rFonts w:ascii="Cambria Math" w:hAnsi="Cambria Math"/>
                    <w:sz w:val="24"/>
                    <w:szCs w:val="24"/>
                  </w:rPr>
                </m:ctrlPr>
              </m:e>
              <m:sup>
                <m:r>
                  <m:rPr>
                    <m:sty m:val="p"/>
                  </m:rPr>
                  <w:rPr>
                    <w:rFonts w:ascii="Cambria Math" w:hAnsi="Cambria Math"/>
                    <w:sz w:val="24"/>
                    <w:szCs w:val="24"/>
                  </w:rPr>
                  <m:t>2</m:t>
                </m:r>
                <m:ctrlPr>
                  <w:rPr>
                    <w:rFonts w:ascii="Cambria Math" w:hAnsi="Cambria Math"/>
                    <w:sz w:val="24"/>
                    <w:szCs w:val="24"/>
                  </w:rPr>
                </m:ctrlPr>
              </m:sup>
            </m:sSup>
            <m:d>
              <m:dPr>
                <m:ctrlPr>
                  <w:rPr>
                    <w:rFonts w:ascii="Cambria Math" w:hAnsi="Cambria Math"/>
                    <w:sz w:val="24"/>
                    <w:szCs w:val="24"/>
                  </w:rPr>
                </m:ctrlPr>
              </m:dPr>
              <m:e>
                <m:sSub>
                  <m:sSubPr>
                    <m:ctrlPr>
                      <w:rPr>
                        <w:rFonts w:ascii="Cambria Math" w:hAnsi="Cambria Math"/>
                        <w:i/>
                        <w:sz w:val="24"/>
                      </w:rPr>
                    </m:ctrlPr>
                  </m:sSubPr>
                  <m:e>
                    <m:r>
                      <m:rPr/>
                      <w:rPr>
                        <w:rFonts w:ascii="Cambria Math" w:hAnsi="Cambria Math"/>
                        <w:sz w:val="24"/>
                      </w:rPr>
                      <m:t>Vre</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ctrlPr>
              <w:rPr>
                <w:rFonts w:ascii="Cambria Math" w:hAnsi="Cambria Math"/>
                <w:sz w:val="24"/>
                <w:szCs w:val="24"/>
              </w:rPr>
            </m:ctrlPr>
          </m:e>
        </m:rad>
        <m:r>
          <m:rPr>
            <m:sty m:val="p"/>
          </m:rPr>
          <w:rPr>
            <w:rFonts w:ascii="Cambria Math" w:hAnsi="Cambria Math"/>
            <w:sz w:val="24"/>
            <w:szCs w:val="24"/>
          </w:rPr>
          <m:t>=9.84</m:t>
        </m:r>
        <m:r>
          <m:rPr/>
          <w:rPr>
            <w:rFonts w:ascii="Cambria Math" w:hAnsi="Cambria Math"/>
            <w:sz w:val="24"/>
            <w:szCs w:val="24"/>
          </w:rPr>
          <m:t xml:space="preserve"> </m:t>
        </m:r>
        <m:r>
          <m:rPr>
            <m:sty m:val="p"/>
          </m:rPr>
          <w:rPr>
            <w:rFonts w:ascii="Cambria Math" w:hAnsi="Cambria Math"/>
            <w:sz w:val="24"/>
            <w:szCs w:val="24"/>
          </w:rPr>
          <m:t>L</m:t>
        </m:r>
      </m:oMath>
      <w:r>
        <w:rPr>
          <w:rFonts w:ascii="Times New Roman" w:hAnsi="Times New Roman"/>
          <w:sz w:val="24"/>
          <w:szCs w:val="24"/>
        </w:rPr>
        <w:t xml:space="preserve">      </w:t>
      </w:r>
      <w:r>
        <w:rPr>
          <w:rFonts w:hint="eastAsia" w:ascii="Times New Roman" w:hAnsi="Times New Roman"/>
          <w:sz w:val="24"/>
        </w:rPr>
        <w:t>（F.26）</w:t>
      </w:r>
    </w:p>
    <w:p w14:paraId="20C90399">
      <w:pPr>
        <w:spacing w:line="360" w:lineRule="auto"/>
        <w:rPr>
          <w:rFonts w:ascii="Times New Roman" w:hAnsi="Times New Roman"/>
          <w:sz w:val="24"/>
          <w:szCs w:val="24"/>
        </w:rPr>
      </w:pPr>
      <w:r>
        <w:rPr>
          <w:rFonts w:hint="eastAsia" w:ascii="Times New Roman" w:hAnsi="Times New Roman"/>
          <w:sz w:val="24"/>
          <w:szCs w:val="24"/>
        </w:rPr>
        <w:t>F.5  校准结果的扩展不确定度</w:t>
      </w:r>
    </w:p>
    <w:p w14:paraId="5A9BD355">
      <w:pPr>
        <w:spacing w:line="360" w:lineRule="auto"/>
        <w:rPr>
          <w:rFonts w:ascii="Times New Roman" w:hAnsi="Times New Roman"/>
          <w:sz w:val="24"/>
          <w:szCs w:val="24"/>
        </w:rPr>
      </w:pPr>
      <w:r>
        <w:rPr>
          <w:rFonts w:ascii="Times New Roman" w:hAnsi="Times New Roman"/>
          <w:sz w:val="24"/>
          <w:szCs w:val="24"/>
        </w:rPr>
        <w:tab/>
      </w:r>
      <w:r>
        <w:rPr>
          <w:rFonts w:hint="eastAsia" w:ascii="Times New Roman" w:hAnsi="Times New Roman"/>
          <w:sz w:val="24"/>
          <w:szCs w:val="24"/>
        </w:rPr>
        <w:t>取</w:t>
      </w:r>
      <w:r>
        <w:rPr>
          <w:rFonts w:ascii="Times New Roman" w:hAnsi="Times New Roman"/>
          <w:i/>
          <w:sz w:val="24"/>
          <w:szCs w:val="24"/>
        </w:rPr>
        <w:t>k</w:t>
      </w:r>
      <w:r>
        <w:rPr>
          <w:rFonts w:ascii="Times New Roman" w:hAnsi="Times New Roman"/>
          <w:sz w:val="24"/>
          <w:szCs w:val="24"/>
        </w:rPr>
        <w:t>=2</w:t>
      </w:r>
      <w:r>
        <w:rPr>
          <w:rFonts w:hint="eastAsia" w:ascii="Times New Roman" w:hAnsi="Times New Roman"/>
          <w:sz w:val="24"/>
          <w:szCs w:val="24"/>
        </w:rPr>
        <w:t>，则校准结果的扩展不确定度为：</w:t>
      </w:r>
    </w:p>
    <w:tbl>
      <w:tblPr>
        <w:tblStyle w:val="15"/>
        <w:tblW w:w="0" w:type="auto"/>
        <w:jc w:val="center"/>
        <w:tblLayout w:type="autofit"/>
        <w:tblCellMar>
          <w:top w:w="0" w:type="dxa"/>
          <w:left w:w="108" w:type="dxa"/>
          <w:bottom w:w="0" w:type="dxa"/>
          <w:right w:w="108" w:type="dxa"/>
        </w:tblCellMar>
      </w:tblPr>
      <w:tblGrid>
        <w:gridCol w:w="7124"/>
        <w:gridCol w:w="1182"/>
      </w:tblGrid>
      <w:tr w14:paraId="5BE295B3">
        <w:tblPrEx>
          <w:tblCellMar>
            <w:top w:w="0" w:type="dxa"/>
            <w:left w:w="108" w:type="dxa"/>
            <w:bottom w:w="0" w:type="dxa"/>
            <w:right w:w="108" w:type="dxa"/>
          </w:tblCellMar>
        </w:tblPrEx>
        <w:trPr>
          <w:jc w:val="center"/>
        </w:trPr>
        <w:tc>
          <w:tcPr>
            <w:tcW w:w="7338" w:type="dxa"/>
            <w:vAlign w:val="center"/>
          </w:tcPr>
          <w:p w14:paraId="27073A0C">
            <w:pPr>
              <w:spacing w:line="360" w:lineRule="auto"/>
              <w:jc w:val="center"/>
              <w:rPr>
                <w:rFonts w:ascii="Times New Roman" w:hAnsi="Times New Roman"/>
                <w:sz w:val="24"/>
                <w:szCs w:val="24"/>
              </w:rPr>
            </w:pPr>
            <m:oMathPara>
              <m:oMath>
                <m:sSub>
                  <m:sSubPr>
                    <m:ctrlPr>
                      <w:rPr>
                        <w:rFonts w:ascii="Cambria Math" w:hAnsi="Cambria Math"/>
                        <w:sz w:val="24"/>
                        <w:szCs w:val="24"/>
                      </w:rPr>
                    </m:ctrlPr>
                  </m:sSubPr>
                  <m:e>
                    <m:r>
                      <m:rPr/>
                      <w:rPr>
                        <w:rFonts w:ascii="Cambria Math" w:hAnsi="Cambria Math"/>
                        <w:sz w:val="24"/>
                        <w:szCs w:val="24"/>
                      </w:rPr>
                      <m:t>U=k×u</m:t>
                    </m:r>
                    <m:ctrlPr>
                      <w:rPr>
                        <w:rFonts w:ascii="Cambria Math" w:hAnsi="Cambria Math"/>
                        <w:sz w:val="24"/>
                        <w:szCs w:val="24"/>
                      </w:rPr>
                    </m:ctrlPr>
                  </m:e>
                  <m:sub>
                    <m:r>
                      <m:rPr>
                        <m:sty m:val="p"/>
                      </m:rPr>
                      <w:rPr>
                        <w:rFonts w:ascii="Cambria Math" w:hAnsi="Cambria Math"/>
                        <w:sz w:val="24"/>
                        <w:szCs w:val="24"/>
                      </w:rPr>
                      <m:t>c</m:t>
                    </m:r>
                    <m:ctrlPr>
                      <w:rPr>
                        <w:rFonts w:ascii="Cambria Math" w:hAnsi="Cambria Math"/>
                        <w:sz w:val="24"/>
                        <w:szCs w:val="24"/>
                      </w:rPr>
                    </m:ctrlPr>
                  </m:sub>
                </m:sSub>
                <m:d>
                  <m:dPr>
                    <m:ctrlPr>
                      <w:rPr>
                        <w:rFonts w:ascii="Cambria Math" w:hAnsi="Cambria Math"/>
                        <w:sz w:val="24"/>
                        <w:szCs w:val="24"/>
                      </w:rPr>
                    </m:ctrlPr>
                  </m:dPr>
                  <m:e>
                    <m:r>
                      <m:rPr>
                        <m:sty m:val="p"/>
                      </m:rPr>
                      <w:rPr>
                        <w:rFonts w:ascii="Cambria Math" w:hAnsi="Cambria Math"/>
                        <w:sz w:val="24"/>
                      </w:rPr>
                      <m:t>∆</m:t>
                    </m:r>
                    <m:sSub>
                      <m:sSubPr>
                        <m:ctrlPr>
                          <w:rPr>
                            <w:rFonts w:ascii="Cambria Math" w:hAnsi="Cambria Math"/>
                            <w:i/>
                            <w:sz w:val="24"/>
                          </w:rPr>
                        </m:ctrlPr>
                      </m:sSubPr>
                      <m:e>
                        <m:r>
                          <m:rPr/>
                          <w:rPr>
                            <w:rFonts w:ascii="Cambria Math" w:hAnsi="Cambria Math"/>
                            <w:sz w:val="24"/>
                          </w:rPr>
                          <m:t>V</m:t>
                        </m:r>
                        <m:ctrlPr>
                          <w:rPr>
                            <w:rFonts w:ascii="Cambria Math" w:hAnsi="Cambria Math"/>
                            <w:i/>
                            <w:sz w:val="24"/>
                          </w:rPr>
                        </m:ctrlPr>
                      </m:e>
                      <m:sub>
                        <m:r>
                          <m:rPr/>
                          <w:rPr>
                            <w:rFonts w:ascii="Cambria Math" w:hAnsi="Cambria Math"/>
                            <w:sz w:val="24"/>
                          </w:rPr>
                          <m:t>i,j</m:t>
                        </m:r>
                        <m:ctrlPr>
                          <w:rPr>
                            <w:rFonts w:ascii="Cambria Math" w:hAnsi="Cambria Math"/>
                            <w:i/>
                            <w:sz w:val="24"/>
                          </w:rPr>
                        </m:ctrlPr>
                      </m:sub>
                    </m:sSub>
                    <m:ctrlPr>
                      <w:rPr>
                        <w:rFonts w:ascii="Cambria Math" w:hAnsi="Cambria Math"/>
                        <w:sz w:val="24"/>
                        <w:szCs w:val="24"/>
                      </w:rPr>
                    </m:ctrlPr>
                  </m:e>
                </m:d>
                <m:r>
                  <m:rPr>
                    <m:sty m:val="p"/>
                  </m:rPr>
                  <w:rPr>
                    <w:rFonts w:ascii="Cambria Math" w:hAnsi="Cambria Math"/>
                    <w:sz w:val="24"/>
                    <w:szCs w:val="24"/>
                  </w:rPr>
                  <m:t>=19.68</m:t>
                </m:r>
                <m:r>
                  <m:rPr/>
                  <w:rPr>
                    <w:rFonts w:ascii="Cambria Math" w:hAnsi="Cambria Math"/>
                    <w:sz w:val="24"/>
                    <w:szCs w:val="24"/>
                  </w:rPr>
                  <m:t xml:space="preserve"> </m:t>
                </m:r>
                <m:r>
                  <m:rPr>
                    <m:sty m:val="p"/>
                  </m:rPr>
                  <w:rPr>
                    <w:rFonts w:ascii="Cambria Math" w:hAnsi="Cambria Math"/>
                    <w:sz w:val="24"/>
                    <w:szCs w:val="24"/>
                  </w:rPr>
                  <m:t>L</m:t>
                </m:r>
              </m:oMath>
            </m:oMathPara>
          </w:p>
        </w:tc>
        <w:tc>
          <w:tcPr>
            <w:tcW w:w="1184" w:type="dxa"/>
            <w:vAlign w:val="center"/>
          </w:tcPr>
          <w:p w14:paraId="5B4AB3DA">
            <w:pPr>
              <w:pStyle w:val="8"/>
              <w:spacing w:line="360" w:lineRule="auto"/>
              <w:ind w:firstLine="0" w:firstLineChars="0"/>
              <w:jc w:val="right"/>
              <w:rPr>
                <w:sz w:val="24"/>
              </w:rPr>
            </w:pPr>
            <w:r>
              <w:rPr>
                <w:rFonts w:hint="eastAsia"/>
                <w:sz w:val="24"/>
              </w:rPr>
              <w:t>（F.27）</w:t>
            </w:r>
          </w:p>
        </w:tc>
      </w:tr>
    </w:tbl>
    <w:p w14:paraId="1E95D643">
      <w:pPr>
        <w:spacing w:line="360" w:lineRule="auto"/>
        <w:ind w:firstLine="424" w:firstLineChars="177"/>
        <w:rPr>
          <w:rFonts w:ascii="Times New Roman" w:hAnsi="Times New Roman"/>
          <w:sz w:val="24"/>
          <w:szCs w:val="24"/>
        </w:rPr>
      </w:pPr>
      <w:r>
        <w:rPr>
          <w:rFonts w:hint="eastAsia" w:ascii="Times New Roman" w:hAnsi="Times New Roman"/>
          <w:sz w:val="24"/>
          <w:szCs w:val="24"/>
        </w:rPr>
        <w:t>相对扩展不确定度为：</w:t>
      </w:r>
    </w:p>
    <w:tbl>
      <w:tblPr>
        <w:tblStyle w:val="15"/>
        <w:tblW w:w="0" w:type="auto"/>
        <w:jc w:val="center"/>
        <w:tblLayout w:type="autofit"/>
        <w:tblCellMar>
          <w:top w:w="0" w:type="dxa"/>
          <w:left w:w="108" w:type="dxa"/>
          <w:bottom w:w="0" w:type="dxa"/>
          <w:right w:w="108" w:type="dxa"/>
        </w:tblCellMar>
      </w:tblPr>
      <w:tblGrid>
        <w:gridCol w:w="7124"/>
        <w:gridCol w:w="1182"/>
      </w:tblGrid>
      <w:tr w14:paraId="7F4CC7B8">
        <w:tblPrEx>
          <w:tblCellMar>
            <w:top w:w="0" w:type="dxa"/>
            <w:left w:w="108" w:type="dxa"/>
            <w:bottom w:w="0" w:type="dxa"/>
            <w:right w:w="108" w:type="dxa"/>
          </w:tblCellMar>
        </w:tblPrEx>
        <w:trPr>
          <w:jc w:val="center"/>
        </w:trPr>
        <w:tc>
          <w:tcPr>
            <w:tcW w:w="7338" w:type="dxa"/>
            <w:vAlign w:val="center"/>
          </w:tcPr>
          <w:p w14:paraId="754980D5">
            <w:pPr>
              <w:spacing w:line="360" w:lineRule="auto"/>
              <w:jc w:val="center"/>
              <w:rPr>
                <w:rFonts w:ascii="Times New Roman" w:hAnsi="Times New Roman"/>
                <w:sz w:val="24"/>
                <w:szCs w:val="24"/>
              </w:rPr>
            </w:pPr>
            <m:oMathPara>
              <m:oMath>
                <m:sSub>
                  <m:sSubPr>
                    <m:ctrlPr>
                      <w:rPr>
                        <w:rFonts w:ascii="Cambria Math" w:hAnsi="Cambria Math"/>
                        <w:sz w:val="24"/>
                        <w:szCs w:val="24"/>
                      </w:rPr>
                    </m:ctrlPr>
                  </m:sSubPr>
                  <m:e>
                    <m:r>
                      <m:rPr/>
                      <w:rPr>
                        <w:rFonts w:hint="eastAsia" w:ascii="Cambria Math" w:hAnsi="Cambria Math"/>
                        <w:sz w:val="24"/>
                        <w:szCs w:val="24"/>
                      </w:rPr>
                      <m:t>U</m:t>
                    </m:r>
                    <m:ctrlPr>
                      <w:rPr>
                        <w:rFonts w:ascii="Cambria Math" w:hAnsi="Cambria Math"/>
                        <w:sz w:val="24"/>
                        <w:szCs w:val="24"/>
                      </w:rPr>
                    </m:ctrlPr>
                  </m:e>
                  <m:sub>
                    <m:r>
                      <m:rPr>
                        <m:sty m:val="p"/>
                      </m:rPr>
                      <w:rPr>
                        <w:rFonts w:hint="eastAsia" w:ascii="Cambria Math" w:hAnsi="Cambria Math"/>
                        <w:sz w:val="24"/>
                        <w:szCs w:val="24"/>
                      </w:rPr>
                      <m:t>rel</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r>
                      <m:rPr/>
                      <w:rPr>
                        <w:rFonts w:ascii="Cambria Math" w:hAnsi="Cambria Math"/>
                        <w:sz w:val="24"/>
                        <w:szCs w:val="24"/>
                      </w:rPr>
                      <m:t xml:space="preserve">19.68 </m:t>
                    </m:r>
                    <m:r>
                      <m:rPr>
                        <m:sty m:val="p"/>
                      </m:rPr>
                      <w:rPr>
                        <w:rFonts w:ascii="Cambria Math" w:hAnsi="Cambria Math"/>
                        <w:sz w:val="24"/>
                        <w:szCs w:val="24"/>
                      </w:rPr>
                      <m:t>L</m:t>
                    </m:r>
                    <m:ctrlPr>
                      <w:rPr>
                        <w:rFonts w:ascii="Cambria Math" w:hAnsi="Cambria Math"/>
                        <w:sz w:val="24"/>
                        <w:szCs w:val="24"/>
                      </w:rPr>
                    </m:ctrlPr>
                  </m:num>
                  <m:den>
                    <m:r>
                      <m:rPr/>
                      <w:rPr>
                        <w:rFonts w:ascii="Cambria Math" w:hAnsi="Cambria Math"/>
                        <w:sz w:val="24"/>
                        <w:szCs w:val="24"/>
                      </w:rPr>
                      <m:t xml:space="preserve">29 880 </m:t>
                    </m:r>
                    <m:r>
                      <m:rPr>
                        <m:sty m:val="p"/>
                      </m:rPr>
                      <w:rPr>
                        <w:rFonts w:ascii="Cambria Math" w:hAnsi="Cambria Math"/>
                        <w:sz w:val="24"/>
                        <w:szCs w:val="24"/>
                      </w:rPr>
                      <m:t>L</m:t>
                    </m:r>
                    <m:ctrlPr>
                      <w:rPr>
                        <w:rFonts w:ascii="Cambria Math" w:hAnsi="Cambria Math"/>
                        <w:sz w:val="24"/>
                        <w:szCs w:val="24"/>
                      </w:rPr>
                    </m:ctrlPr>
                  </m:den>
                </m:f>
                <m:r>
                  <m:rPr>
                    <m:sty m:val="p"/>
                  </m:rPr>
                  <w:rPr>
                    <w:rFonts w:ascii="Cambria Math" w:hAnsi="Cambria Math"/>
                    <w:sz w:val="24"/>
                    <w:szCs w:val="24"/>
                  </w:rPr>
                  <m:t>=0</m:t>
                </m:r>
                <m:r>
                  <m:rPr>
                    <m:sty m:val="p"/>
                  </m:rPr>
                  <w:rPr>
                    <w:rFonts w:hint="eastAsia" w:ascii="Cambria Math" w:hAnsi="Cambria Math"/>
                    <w:sz w:val="24"/>
                    <w:szCs w:val="24"/>
                  </w:rPr>
                  <m:t>.</m:t>
                </m:r>
                <m:r>
                  <m:rPr>
                    <m:sty m:val="p"/>
                  </m:rPr>
                  <w:rPr>
                    <w:rFonts w:ascii="Cambria Math" w:hAnsi="Cambria Math"/>
                    <w:sz w:val="24"/>
                    <w:szCs w:val="24"/>
                  </w:rPr>
                  <m:t>7×</m:t>
                </m:r>
                <m:sSup>
                  <m:sSupPr>
                    <m:ctrlPr>
                      <w:rPr>
                        <w:rFonts w:ascii="Cambria Math" w:hAnsi="Cambria Math"/>
                        <w:sz w:val="24"/>
                        <w:szCs w:val="24"/>
                      </w:rPr>
                    </m:ctrlPr>
                  </m:sSupPr>
                  <m:e>
                    <m:r>
                      <m:rPr>
                        <m:sty m:val="p"/>
                      </m:rPr>
                      <w:rPr>
                        <w:rFonts w:hint="eastAsia" w:ascii="Cambria Math" w:hAnsi="Cambria Math"/>
                        <w:sz w:val="24"/>
                        <w:szCs w:val="24"/>
                      </w:rPr>
                      <m:t>10</m:t>
                    </m:r>
                    <m:ctrlPr>
                      <w:rPr>
                        <w:rFonts w:ascii="Cambria Math" w:hAnsi="Cambria Math"/>
                        <w:sz w:val="24"/>
                        <w:szCs w:val="24"/>
                      </w:rPr>
                    </m:ctrlPr>
                  </m:e>
                  <m:sup>
                    <m:r>
                      <m:rPr>
                        <m:sty m:val="p"/>
                      </m:rPr>
                      <w:rPr>
                        <w:rFonts w:ascii="Cambria Math" w:hAnsi="Cambria Math" w:eastAsia="MS Mincho"/>
                        <w:sz w:val="24"/>
                        <w:szCs w:val="24"/>
                      </w:rPr>
                      <m:t>−</m:t>
                    </m:r>
                    <m:r>
                      <m:rPr>
                        <m:sty m:val="p"/>
                      </m:rPr>
                      <w:rPr>
                        <w:rFonts w:hint="eastAsia" w:ascii="Cambria Math" w:hAnsi="Cambria Math"/>
                        <w:sz w:val="24"/>
                        <w:szCs w:val="24"/>
                      </w:rPr>
                      <m:t>3</m:t>
                    </m:r>
                    <m:ctrlPr>
                      <w:rPr>
                        <w:rFonts w:ascii="Cambria Math" w:hAnsi="Cambria Math"/>
                        <w:sz w:val="24"/>
                        <w:szCs w:val="24"/>
                      </w:rPr>
                    </m:ctrlPr>
                  </m:sup>
                </m:sSup>
              </m:oMath>
            </m:oMathPara>
          </w:p>
        </w:tc>
        <w:tc>
          <w:tcPr>
            <w:tcW w:w="1184" w:type="dxa"/>
            <w:vAlign w:val="center"/>
          </w:tcPr>
          <w:p w14:paraId="1FE069EF">
            <w:pPr>
              <w:pStyle w:val="8"/>
              <w:spacing w:line="360" w:lineRule="auto"/>
              <w:ind w:firstLine="0" w:firstLineChars="0"/>
              <w:jc w:val="right"/>
              <w:rPr>
                <w:sz w:val="24"/>
              </w:rPr>
            </w:pPr>
            <w:r>
              <w:rPr>
                <w:rFonts w:hint="eastAsia"/>
                <w:sz w:val="24"/>
              </w:rPr>
              <w:t>（F.28）</w:t>
            </w:r>
          </w:p>
        </w:tc>
      </w:tr>
    </w:tbl>
    <w:p w14:paraId="3F96CC23">
      <w:pPr>
        <w:widowControl/>
        <w:jc w:val="left"/>
        <w:rPr>
          <w:sz w:val="24"/>
          <w:szCs w:val="24"/>
        </w:rPr>
      </w:pPr>
    </w:p>
    <w:sectPr>
      <w:headerReference r:id="rId10" w:type="even"/>
      <w:pgSz w:w="11906" w:h="16838"/>
      <w:pgMar w:top="1440" w:right="1800" w:bottom="1440" w:left="1800" w:header="850" w:footer="47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AB8D4">
    <w:pPr>
      <w:pStyle w:val="10"/>
      <w:jc w:val="right"/>
    </w:pPr>
  </w:p>
  <w:p w14:paraId="2D41752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2E15F">
    <w:pPr>
      <w:pStyle w:val="10"/>
    </w:pPr>
    <w:r>
      <w:fldChar w:fldCharType="begin"/>
    </w:r>
    <w:r>
      <w:instrText xml:space="preserve"> PAGE   \* MERGEFORMAT </w:instrText>
    </w:r>
    <w:r>
      <w:fldChar w:fldCharType="separate"/>
    </w:r>
    <w:r>
      <w:rPr>
        <w:lang w:val="zh-CN"/>
      </w:rPr>
      <w:t>2</w:t>
    </w:r>
    <w:r>
      <w:fldChar w:fldCharType="end"/>
    </w:r>
  </w:p>
  <w:p w14:paraId="4B9CA74B">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0099"/>
      <w:docPartObj>
        <w:docPartGallery w:val="AutoText"/>
      </w:docPartObj>
    </w:sdtPr>
    <w:sdtContent>
      <w:p w14:paraId="0BFDA34E">
        <w:pPr>
          <w:pStyle w:val="10"/>
          <w:jc w:val="right"/>
        </w:pPr>
        <w:r>
          <w:fldChar w:fldCharType="begin"/>
        </w:r>
        <w:r>
          <w:instrText xml:space="preserve"> PAGE   \* MERGEFORMAT </w:instrText>
        </w:r>
        <w:r>
          <w:fldChar w:fldCharType="separate"/>
        </w:r>
        <w:r>
          <w:rPr>
            <w:lang w:val="zh-CN"/>
          </w:rPr>
          <w:t>1</w:t>
        </w:r>
        <w:r>
          <w:rPr>
            <w:lang w:val="zh-CN"/>
          </w:rPr>
          <w:fldChar w:fldCharType="end"/>
        </w:r>
      </w:p>
    </w:sdtContent>
  </w:sdt>
  <w:p w14:paraId="1C6EAF32">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0098"/>
      <w:docPartObj>
        <w:docPartGallery w:val="AutoText"/>
      </w:docPartObj>
    </w:sdtPr>
    <w:sdtContent>
      <w:p w14:paraId="74743C37">
        <w:pPr>
          <w:pStyle w:val="10"/>
        </w:pPr>
        <w:r>
          <w:fldChar w:fldCharType="begin"/>
        </w:r>
        <w:r>
          <w:instrText xml:space="preserve"> PAGE   \* MERGEFORMAT </w:instrText>
        </w:r>
        <w:r>
          <w:fldChar w:fldCharType="separate"/>
        </w:r>
        <w:r>
          <w:rPr>
            <w:lang w:val="zh-CN"/>
          </w:rPr>
          <w:t>II</w:t>
        </w:r>
        <w:r>
          <w:rPr>
            <w:lang w:val="zh-CN"/>
          </w:rPr>
          <w:fldChar w:fldCharType="end"/>
        </w:r>
      </w:p>
    </w:sdtContent>
  </w:sdt>
  <w:p w14:paraId="2A3709B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82C73">
    <w:pPr>
      <w:pStyle w:val="10"/>
      <w:jc w:val="right"/>
    </w:pPr>
    <w:r>
      <w:fldChar w:fldCharType="begin"/>
    </w:r>
    <w:r>
      <w:instrText xml:space="preserve">PAGE   \* MERGEFORMAT</w:instrText>
    </w:r>
    <w:r>
      <w:fldChar w:fldCharType="separate"/>
    </w:r>
    <w:r>
      <w:rPr>
        <w:lang w:val="zh-CN"/>
      </w:rPr>
      <w:t>17</w:t>
    </w:r>
    <w:r>
      <w:rPr>
        <w:lang w:val="zh-CN"/>
      </w:rPr>
      <w:fldChar w:fldCharType="end"/>
    </w:r>
  </w:p>
  <w:p w14:paraId="27CDF8D1">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EBF0A">
    <w:pPr>
      <w:pStyle w:val="11"/>
      <w:rPr>
        <w:rFonts w:ascii="黑体" w:eastAsia="黑体"/>
        <w:sz w:val="21"/>
        <w:szCs w:val="21"/>
      </w:rPr>
    </w:pPr>
    <w:r>
      <w:rPr>
        <w:rFonts w:hint="eastAsia" w:ascii="黑体" w:eastAsia="黑体"/>
        <w:sz w:val="21"/>
        <w:szCs w:val="21"/>
      </w:rPr>
      <w:t>JJ</w:t>
    </w:r>
    <w:r>
      <w:rPr>
        <w:rFonts w:ascii="黑体" w:eastAsia="黑体"/>
        <w:sz w:val="21"/>
        <w:szCs w:val="21"/>
      </w:rPr>
      <w:t>F</w:t>
    </w:r>
    <w:r>
      <w:rPr>
        <w:rFonts w:hint="eastAsia" w:ascii="黑体" w:eastAsia="黑体"/>
        <w:sz w:val="21"/>
        <w:szCs w:val="21"/>
      </w:rPr>
      <w:t xml:space="preserve"> 1719-</w:t>
    </w:r>
    <w:r>
      <w:rPr>
        <w:rFonts w:ascii="黑体" w:eastAsia="黑体"/>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0566A">
    <w:pPr>
      <w:pStyle w:val="11"/>
      <w:rPr>
        <w:rFonts w:ascii="黑体" w:eastAsia="黑体"/>
        <w:sz w:val="21"/>
        <w:szCs w:val="21"/>
      </w:rPr>
    </w:pPr>
    <w:r>
      <w:rPr>
        <w:rFonts w:hint="eastAsia" w:ascii="黑体" w:eastAsia="黑体"/>
        <w:sz w:val="21"/>
        <w:szCs w:val="21"/>
      </w:rPr>
      <w:t>JJ</w:t>
    </w:r>
    <w:r>
      <w:rPr>
        <w:rFonts w:ascii="黑体" w:eastAsia="黑体"/>
        <w:sz w:val="21"/>
        <w:szCs w:val="21"/>
      </w:rPr>
      <w:t>F</w:t>
    </w:r>
    <w:r>
      <w:rPr>
        <w:rFonts w:hint="eastAsia" w:ascii="黑体" w:eastAsia="黑体"/>
        <w:sz w:val="21"/>
        <w:szCs w:val="21"/>
      </w:rPr>
      <w:t xml:space="preserve"> 1719-</w:t>
    </w:r>
    <w:r>
      <w:rPr>
        <w:rFonts w:ascii="黑体" w:eastAsia="黑体"/>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91E1E">
    <w:pPr>
      <w:pStyle w:val="11"/>
      <w:rPr>
        <w:rFonts w:ascii="黑体" w:eastAsia="黑体"/>
        <w:sz w:val="21"/>
        <w:szCs w:val="21"/>
      </w:rPr>
    </w:pPr>
    <w:r>
      <w:rPr>
        <w:rFonts w:hint="eastAsia" w:ascii="黑体" w:eastAsia="黑体"/>
        <w:sz w:val="21"/>
        <w:szCs w:val="21"/>
      </w:rPr>
      <w:t>JJFXXXX-</w:t>
    </w:r>
    <w:r>
      <w:rPr>
        <w:rFonts w:ascii="黑体" w:eastAsia="黑体"/>
        <w:sz w:val="21"/>
        <w:szCs w:val="21"/>
      </w:rPr>
      <w:t>XXX</w:t>
    </w:r>
    <w:r>
      <w:rPr>
        <w:rFonts w:hint="eastAsia" w:ascii="黑体" w:eastAsia="黑体"/>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9101F"/>
    <w:multiLevelType w:val="multilevel"/>
    <w:tmpl w:val="0679101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AE507B"/>
    <w:multiLevelType w:val="multilevel"/>
    <w:tmpl w:val="12AE507B"/>
    <w:lvl w:ilvl="0" w:tentative="0">
      <w:start w:val="1"/>
      <w:numFmt w:val="decimal"/>
      <w:lvlText w:val="%1"/>
      <w:lvlJc w:val="left"/>
      <w:pPr>
        <w:ind w:left="425" w:hanging="425"/>
      </w:pPr>
      <w:rPr>
        <w:rFonts w:hint="default"/>
      </w:rPr>
    </w:lvl>
    <w:lvl w:ilvl="1" w:tentative="0">
      <w:start w:val="1"/>
      <w:numFmt w:val="decimal"/>
      <w:lvlText w:val="3.%2"/>
      <w:lvlJc w:val="left"/>
      <w:pPr>
        <w:ind w:left="992" w:hanging="567"/>
      </w:pPr>
      <w:rPr>
        <w:rFonts w:hint="eastAsia"/>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470B3845"/>
    <w:multiLevelType w:val="multilevel"/>
    <w:tmpl w:val="470B3845"/>
    <w:lvl w:ilvl="0" w:tentative="0">
      <w:start w:val="1"/>
      <w:numFmt w:val="decimal"/>
      <w:lvlText w:val="5.%1"/>
      <w:lvlJc w:val="left"/>
      <w:pPr>
        <w:ind w:left="420" w:hanging="420"/>
      </w:pPr>
      <w:rPr>
        <w:rFonts w:hint="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E56E57"/>
    <w:multiLevelType w:val="multilevel"/>
    <w:tmpl w:val="5DE56E57"/>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4E0F62"/>
    <w:multiLevelType w:val="multilevel"/>
    <w:tmpl w:val="5F4E0F62"/>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rPr>
        <w:rFonts w:hint="default"/>
      </w:rPr>
    </w:lvl>
    <w:lvl w:ilvl="2" w:tentative="0">
      <w:start w:val="1"/>
      <w:numFmt w:val="decimal"/>
      <w:lvlText w:val="%1.%2.%3"/>
      <w:lvlJc w:val="left"/>
      <w:pPr>
        <w:ind w:left="1418" w:hanging="567"/>
      </w:pPr>
      <w:rPr>
        <w:rFonts w:hint="default"/>
      </w:rPr>
    </w:lvl>
    <w:lvl w:ilvl="3" w:tentative="0">
      <w:start w:val="1"/>
      <w:numFmt w:val="decimal"/>
      <w:lvlText w:val="%1.%2.%3.%4"/>
      <w:lvlJc w:val="left"/>
      <w:pPr>
        <w:ind w:left="1984" w:hanging="708"/>
      </w:pPr>
      <w:rPr>
        <w:rFonts w:hint="default"/>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5">
    <w:nsid w:val="692C1D0D"/>
    <w:multiLevelType w:val="multilevel"/>
    <w:tmpl w:val="692C1D0D"/>
    <w:lvl w:ilvl="0" w:tentative="0">
      <w:start w:val="1"/>
      <w:numFmt w:val="decimal"/>
      <w:lvlText w:val="6.%1"/>
      <w:lvlJc w:val="left"/>
      <w:pPr>
        <w:ind w:left="425" w:hanging="425"/>
      </w:pPr>
      <w:rPr>
        <w:rFonts w:hint="eastAsia"/>
      </w:rPr>
    </w:lvl>
    <w:lvl w:ilvl="1" w:tentative="0">
      <w:start w:val="1"/>
      <w:numFmt w:val="decimal"/>
      <w:lvlText w:val="%1.%2"/>
      <w:lvlJc w:val="left"/>
      <w:pPr>
        <w:ind w:left="992" w:hanging="567"/>
      </w:pPr>
      <w:rPr>
        <w:rFonts w:hint="default"/>
      </w:rPr>
    </w:lvl>
    <w:lvl w:ilvl="2" w:tentative="0">
      <w:start w:val="1"/>
      <w:numFmt w:val="decimal"/>
      <w:lvlText w:val="%1.%2.%3"/>
      <w:lvlJc w:val="left"/>
      <w:pPr>
        <w:ind w:left="1418" w:hanging="567"/>
      </w:pPr>
      <w:rPr>
        <w:rFonts w:hint="default"/>
      </w:rPr>
    </w:lvl>
    <w:lvl w:ilvl="3" w:tentative="0">
      <w:start w:val="1"/>
      <w:numFmt w:val="decimal"/>
      <w:lvlText w:val="%1.%2.%3.%4"/>
      <w:lvlJc w:val="left"/>
      <w:pPr>
        <w:ind w:left="1984" w:hanging="708"/>
      </w:pPr>
      <w:rPr>
        <w:rFonts w:hint="default"/>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04E"/>
    <w:rsid w:val="00000C95"/>
    <w:rsid w:val="00000DFC"/>
    <w:rsid w:val="000025A2"/>
    <w:rsid w:val="0000284B"/>
    <w:rsid w:val="00002C78"/>
    <w:rsid w:val="00003F23"/>
    <w:rsid w:val="00004048"/>
    <w:rsid w:val="000042FC"/>
    <w:rsid w:val="00004E91"/>
    <w:rsid w:val="000054CB"/>
    <w:rsid w:val="00006978"/>
    <w:rsid w:val="00006B38"/>
    <w:rsid w:val="00011548"/>
    <w:rsid w:val="000115F0"/>
    <w:rsid w:val="000122BF"/>
    <w:rsid w:val="000132FE"/>
    <w:rsid w:val="00013676"/>
    <w:rsid w:val="00014364"/>
    <w:rsid w:val="00016C9C"/>
    <w:rsid w:val="000173FD"/>
    <w:rsid w:val="00017D3B"/>
    <w:rsid w:val="00020613"/>
    <w:rsid w:val="00021053"/>
    <w:rsid w:val="00022247"/>
    <w:rsid w:val="000230F8"/>
    <w:rsid w:val="000235AA"/>
    <w:rsid w:val="00024583"/>
    <w:rsid w:val="00024D77"/>
    <w:rsid w:val="000253D2"/>
    <w:rsid w:val="00030003"/>
    <w:rsid w:val="000303CA"/>
    <w:rsid w:val="000321B7"/>
    <w:rsid w:val="0003513D"/>
    <w:rsid w:val="00035A0C"/>
    <w:rsid w:val="00037298"/>
    <w:rsid w:val="00037A49"/>
    <w:rsid w:val="0004043C"/>
    <w:rsid w:val="00041096"/>
    <w:rsid w:val="00042C44"/>
    <w:rsid w:val="0004342F"/>
    <w:rsid w:val="000461D3"/>
    <w:rsid w:val="00046393"/>
    <w:rsid w:val="00046B47"/>
    <w:rsid w:val="00046C44"/>
    <w:rsid w:val="00052964"/>
    <w:rsid w:val="00052E07"/>
    <w:rsid w:val="0005622C"/>
    <w:rsid w:val="000572E7"/>
    <w:rsid w:val="0006072A"/>
    <w:rsid w:val="00060B93"/>
    <w:rsid w:val="00061C63"/>
    <w:rsid w:val="00061EA7"/>
    <w:rsid w:val="000635EB"/>
    <w:rsid w:val="00065364"/>
    <w:rsid w:val="0006548A"/>
    <w:rsid w:val="0006703C"/>
    <w:rsid w:val="00070A7C"/>
    <w:rsid w:val="00072761"/>
    <w:rsid w:val="0007496C"/>
    <w:rsid w:val="00074D73"/>
    <w:rsid w:val="000753B6"/>
    <w:rsid w:val="000756CC"/>
    <w:rsid w:val="00075D0E"/>
    <w:rsid w:val="000767A3"/>
    <w:rsid w:val="0007686D"/>
    <w:rsid w:val="000802A5"/>
    <w:rsid w:val="00080E41"/>
    <w:rsid w:val="00082F8D"/>
    <w:rsid w:val="0008545D"/>
    <w:rsid w:val="00085651"/>
    <w:rsid w:val="0009039B"/>
    <w:rsid w:val="000903C9"/>
    <w:rsid w:val="000908A5"/>
    <w:rsid w:val="000909A6"/>
    <w:rsid w:val="00090C60"/>
    <w:rsid w:val="00091054"/>
    <w:rsid w:val="00093C22"/>
    <w:rsid w:val="00094608"/>
    <w:rsid w:val="00094E02"/>
    <w:rsid w:val="000967A1"/>
    <w:rsid w:val="000968A1"/>
    <w:rsid w:val="00097713"/>
    <w:rsid w:val="000A28E2"/>
    <w:rsid w:val="000A3422"/>
    <w:rsid w:val="000A361D"/>
    <w:rsid w:val="000A37AE"/>
    <w:rsid w:val="000A3E06"/>
    <w:rsid w:val="000A3E20"/>
    <w:rsid w:val="000A4153"/>
    <w:rsid w:val="000A671C"/>
    <w:rsid w:val="000A78C4"/>
    <w:rsid w:val="000A798D"/>
    <w:rsid w:val="000B440C"/>
    <w:rsid w:val="000B49A6"/>
    <w:rsid w:val="000B49E5"/>
    <w:rsid w:val="000B6B06"/>
    <w:rsid w:val="000B70CD"/>
    <w:rsid w:val="000B759D"/>
    <w:rsid w:val="000C099E"/>
    <w:rsid w:val="000C15A6"/>
    <w:rsid w:val="000C1C83"/>
    <w:rsid w:val="000C2B3C"/>
    <w:rsid w:val="000C3CC7"/>
    <w:rsid w:val="000C4627"/>
    <w:rsid w:val="000C4BC3"/>
    <w:rsid w:val="000C4EBE"/>
    <w:rsid w:val="000C5886"/>
    <w:rsid w:val="000C5BB0"/>
    <w:rsid w:val="000C6409"/>
    <w:rsid w:val="000C740F"/>
    <w:rsid w:val="000C75A3"/>
    <w:rsid w:val="000C772D"/>
    <w:rsid w:val="000D139D"/>
    <w:rsid w:val="000D14BF"/>
    <w:rsid w:val="000D2F11"/>
    <w:rsid w:val="000D3F9B"/>
    <w:rsid w:val="000D48C7"/>
    <w:rsid w:val="000D7200"/>
    <w:rsid w:val="000E0029"/>
    <w:rsid w:val="000E1ADA"/>
    <w:rsid w:val="000E1BCC"/>
    <w:rsid w:val="000E29DB"/>
    <w:rsid w:val="000E6E08"/>
    <w:rsid w:val="000F379A"/>
    <w:rsid w:val="000F43BE"/>
    <w:rsid w:val="000F43E7"/>
    <w:rsid w:val="000F7856"/>
    <w:rsid w:val="00100F38"/>
    <w:rsid w:val="001014B4"/>
    <w:rsid w:val="00101975"/>
    <w:rsid w:val="001023AB"/>
    <w:rsid w:val="0010296B"/>
    <w:rsid w:val="00103F20"/>
    <w:rsid w:val="00104855"/>
    <w:rsid w:val="0010541C"/>
    <w:rsid w:val="00105624"/>
    <w:rsid w:val="00106730"/>
    <w:rsid w:val="00107C56"/>
    <w:rsid w:val="00112396"/>
    <w:rsid w:val="00112F3A"/>
    <w:rsid w:val="001142E5"/>
    <w:rsid w:val="0011510F"/>
    <w:rsid w:val="00116418"/>
    <w:rsid w:val="0011719B"/>
    <w:rsid w:val="0011745A"/>
    <w:rsid w:val="001216C8"/>
    <w:rsid w:val="00121CD4"/>
    <w:rsid w:val="00122019"/>
    <w:rsid w:val="0012324F"/>
    <w:rsid w:val="001243E0"/>
    <w:rsid w:val="00124427"/>
    <w:rsid w:val="0012514A"/>
    <w:rsid w:val="00125CD4"/>
    <w:rsid w:val="00126C73"/>
    <w:rsid w:val="00127961"/>
    <w:rsid w:val="00130178"/>
    <w:rsid w:val="00132C30"/>
    <w:rsid w:val="00132FD9"/>
    <w:rsid w:val="00133B1E"/>
    <w:rsid w:val="001345F2"/>
    <w:rsid w:val="0013678C"/>
    <w:rsid w:val="0013727E"/>
    <w:rsid w:val="00137E5F"/>
    <w:rsid w:val="0014017B"/>
    <w:rsid w:val="0014022C"/>
    <w:rsid w:val="00140B98"/>
    <w:rsid w:val="00141756"/>
    <w:rsid w:val="0014302F"/>
    <w:rsid w:val="00143213"/>
    <w:rsid w:val="00143358"/>
    <w:rsid w:val="00143BFA"/>
    <w:rsid w:val="00144690"/>
    <w:rsid w:val="0015003A"/>
    <w:rsid w:val="001507DD"/>
    <w:rsid w:val="00150A4C"/>
    <w:rsid w:val="00151D6A"/>
    <w:rsid w:val="0015344C"/>
    <w:rsid w:val="00153CE3"/>
    <w:rsid w:val="00154744"/>
    <w:rsid w:val="00154844"/>
    <w:rsid w:val="00155752"/>
    <w:rsid w:val="001565CF"/>
    <w:rsid w:val="00156860"/>
    <w:rsid w:val="00157011"/>
    <w:rsid w:val="00160715"/>
    <w:rsid w:val="00161E35"/>
    <w:rsid w:val="00162FA2"/>
    <w:rsid w:val="00163389"/>
    <w:rsid w:val="0016518D"/>
    <w:rsid w:val="00165934"/>
    <w:rsid w:val="00165F23"/>
    <w:rsid w:val="0016735D"/>
    <w:rsid w:val="0016758F"/>
    <w:rsid w:val="00171AA3"/>
    <w:rsid w:val="00173BC8"/>
    <w:rsid w:val="00174CD6"/>
    <w:rsid w:val="001769D5"/>
    <w:rsid w:val="00180BBC"/>
    <w:rsid w:val="001818A5"/>
    <w:rsid w:val="0018349B"/>
    <w:rsid w:val="0018570A"/>
    <w:rsid w:val="001867C2"/>
    <w:rsid w:val="00186ACF"/>
    <w:rsid w:val="00186D9B"/>
    <w:rsid w:val="00190C9F"/>
    <w:rsid w:val="00193684"/>
    <w:rsid w:val="00193712"/>
    <w:rsid w:val="001A0AE0"/>
    <w:rsid w:val="001A0C36"/>
    <w:rsid w:val="001A1E81"/>
    <w:rsid w:val="001A6325"/>
    <w:rsid w:val="001A6449"/>
    <w:rsid w:val="001A69B0"/>
    <w:rsid w:val="001A76B5"/>
    <w:rsid w:val="001B13CE"/>
    <w:rsid w:val="001B224A"/>
    <w:rsid w:val="001B2A4E"/>
    <w:rsid w:val="001B3828"/>
    <w:rsid w:val="001B4EA2"/>
    <w:rsid w:val="001B6065"/>
    <w:rsid w:val="001B745D"/>
    <w:rsid w:val="001B7DC9"/>
    <w:rsid w:val="001C0CE9"/>
    <w:rsid w:val="001C19DC"/>
    <w:rsid w:val="001C250D"/>
    <w:rsid w:val="001C27A6"/>
    <w:rsid w:val="001C3214"/>
    <w:rsid w:val="001C6202"/>
    <w:rsid w:val="001D01D0"/>
    <w:rsid w:val="001D06F6"/>
    <w:rsid w:val="001D2471"/>
    <w:rsid w:val="001D4A8A"/>
    <w:rsid w:val="001D5049"/>
    <w:rsid w:val="001D5910"/>
    <w:rsid w:val="001D5AA2"/>
    <w:rsid w:val="001D5D7A"/>
    <w:rsid w:val="001D6165"/>
    <w:rsid w:val="001E1D5A"/>
    <w:rsid w:val="001E372B"/>
    <w:rsid w:val="001E3AF1"/>
    <w:rsid w:val="001E6598"/>
    <w:rsid w:val="001E6822"/>
    <w:rsid w:val="001E79B9"/>
    <w:rsid w:val="001F0D9C"/>
    <w:rsid w:val="001F1696"/>
    <w:rsid w:val="001F175A"/>
    <w:rsid w:val="001F184F"/>
    <w:rsid w:val="001F28FF"/>
    <w:rsid w:val="001F6368"/>
    <w:rsid w:val="001F7C86"/>
    <w:rsid w:val="00201F9C"/>
    <w:rsid w:val="00203D06"/>
    <w:rsid w:val="0020560F"/>
    <w:rsid w:val="00205D3B"/>
    <w:rsid w:val="00207CA5"/>
    <w:rsid w:val="00211188"/>
    <w:rsid w:val="00211CFD"/>
    <w:rsid w:val="002137F2"/>
    <w:rsid w:val="00215F9B"/>
    <w:rsid w:val="00216DE5"/>
    <w:rsid w:val="00217256"/>
    <w:rsid w:val="002177FC"/>
    <w:rsid w:val="00217BBD"/>
    <w:rsid w:val="0022120B"/>
    <w:rsid w:val="002219C6"/>
    <w:rsid w:val="0022291E"/>
    <w:rsid w:val="002249C4"/>
    <w:rsid w:val="00226D89"/>
    <w:rsid w:val="0022786D"/>
    <w:rsid w:val="0023008F"/>
    <w:rsid w:val="00230EA8"/>
    <w:rsid w:val="00230F29"/>
    <w:rsid w:val="002335FB"/>
    <w:rsid w:val="00233C4B"/>
    <w:rsid w:val="002344D5"/>
    <w:rsid w:val="0023483C"/>
    <w:rsid w:val="00237CC7"/>
    <w:rsid w:val="002412C5"/>
    <w:rsid w:val="00241502"/>
    <w:rsid w:val="00241EF8"/>
    <w:rsid w:val="0024209B"/>
    <w:rsid w:val="00242C60"/>
    <w:rsid w:val="00245138"/>
    <w:rsid w:val="002454AD"/>
    <w:rsid w:val="0024630C"/>
    <w:rsid w:val="002465E7"/>
    <w:rsid w:val="00247054"/>
    <w:rsid w:val="002512E9"/>
    <w:rsid w:val="00252C0D"/>
    <w:rsid w:val="002533BB"/>
    <w:rsid w:val="002536AB"/>
    <w:rsid w:val="00253E10"/>
    <w:rsid w:val="0025484C"/>
    <w:rsid w:val="00254CC3"/>
    <w:rsid w:val="0025516B"/>
    <w:rsid w:val="0025561D"/>
    <w:rsid w:val="00256758"/>
    <w:rsid w:val="0026014A"/>
    <w:rsid w:val="0026247F"/>
    <w:rsid w:val="0026272C"/>
    <w:rsid w:val="00262D32"/>
    <w:rsid w:val="00263E87"/>
    <w:rsid w:val="0026618A"/>
    <w:rsid w:val="00273529"/>
    <w:rsid w:val="00273BFE"/>
    <w:rsid w:val="00274C6B"/>
    <w:rsid w:val="00275EFC"/>
    <w:rsid w:val="00277462"/>
    <w:rsid w:val="00280958"/>
    <w:rsid w:val="00281FAD"/>
    <w:rsid w:val="0028208C"/>
    <w:rsid w:val="002822F9"/>
    <w:rsid w:val="0028339C"/>
    <w:rsid w:val="00284C6F"/>
    <w:rsid w:val="00286001"/>
    <w:rsid w:val="00286163"/>
    <w:rsid w:val="002864FC"/>
    <w:rsid w:val="002874C3"/>
    <w:rsid w:val="002878BD"/>
    <w:rsid w:val="00287983"/>
    <w:rsid w:val="00290667"/>
    <w:rsid w:val="0029296E"/>
    <w:rsid w:val="002932AE"/>
    <w:rsid w:val="00295F26"/>
    <w:rsid w:val="00296D75"/>
    <w:rsid w:val="002A077F"/>
    <w:rsid w:val="002A0FC8"/>
    <w:rsid w:val="002A1F34"/>
    <w:rsid w:val="002A2ADE"/>
    <w:rsid w:val="002A2CCF"/>
    <w:rsid w:val="002A2EE3"/>
    <w:rsid w:val="002A2EE9"/>
    <w:rsid w:val="002A3190"/>
    <w:rsid w:val="002A3A0E"/>
    <w:rsid w:val="002A498C"/>
    <w:rsid w:val="002A53B3"/>
    <w:rsid w:val="002A6262"/>
    <w:rsid w:val="002A628F"/>
    <w:rsid w:val="002A6E7A"/>
    <w:rsid w:val="002A6FC4"/>
    <w:rsid w:val="002A7886"/>
    <w:rsid w:val="002B1376"/>
    <w:rsid w:val="002B197C"/>
    <w:rsid w:val="002B1D3F"/>
    <w:rsid w:val="002B471F"/>
    <w:rsid w:val="002B490D"/>
    <w:rsid w:val="002B59F4"/>
    <w:rsid w:val="002B6E18"/>
    <w:rsid w:val="002C102C"/>
    <w:rsid w:val="002C1D22"/>
    <w:rsid w:val="002C3295"/>
    <w:rsid w:val="002C36B3"/>
    <w:rsid w:val="002C3EB6"/>
    <w:rsid w:val="002C528F"/>
    <w:rsid w:val="002C56A1"/>
    <w:rsid w:val="002C5E74"/>
    <w:rsid w:val="002C7BFA"/>
    <w:rsid w:val="002D03A8"/>
    <w:rsid w:val="002D0523"/>
    <w:rsid w:val="002D0CE0"/>
    <w:rsid w:val="002D1D17"/>
    <w:rsid w:val="002D3C11"/>
    <w:rsid w:val="002D40DA"/>
    <w:rsid w:val="002D4C9D"/>
    <w:rsid w:val="002D56CA"/>
    <w:rsid w:val="002D5796"/>
    <w:rsid w:val="002D6877"/>
    <w:rsid w:val="002E0FB8"/>
    <w:rsid w:val="002E2087"/>
    <w:rsid w:val="002E20D0"/>
    <w:rsid w:val="002E2FF4"/>
    <w:rsid w:val="002E332E"/>
    <w:rsid w:val="002E4016"/>
    <w:rsid w:val="002E45F7"/>
    <w:rsid w:val="002E4982"/>
    <w:rsid w:val="002E5DB7"/>
    <w:rsid w:val="002E6FD8"/>
    <w:rsid w:val="002E7218"/>
    <w:rsid w:val="002F0483"/>
    <w:rsid w:val="002F1403"/>
    <w:rsid w:val="002F2BE5"/>
    <w:rsid w:val="002F3EE0"/>
    <w:rsid w:val="002F44BA"/>
    <w:rsid w:val="002F5252"/>
    <w:rsid w:val="002F56B9"/>
    <w:rsid w:val="002F5955"/>
    <w:rsid w:val="002F6A34"/>
    <w:rsid w:val="002F73A6"/>
    <w:rsid w:val="002F7B5D"/>
    <w:rsid w:val="00300715"/>
    <w:rsid w:val="0030343A"/>
    <w:rsid w:val="0030349A"/>
    <w:rsid w:val="00303D44"/>
    <w:rsid w:val="00306ABC"/>
    <w:rsid w:val="00307288"/>
    <w:rsid w:val="003073AC"/>
    <w:rsid w:val="00307AB0"/>
    <w:rsid w:val="00310155"/>
    <w:rsid w:val="00310DBD"/>
    <w:rsid w:val="00310EAE"/>
    <w:rsid w:val="0031139E"/>
    <w:rsid w:val="00312B62"/>
    <w:rsid w:val="00314ABA"/>
    <w:rsid w:val="00315C1A"/>
    <w:rsid w:val="00315DEE"/>
    <w:rsid w:val="00317330"/>
    <w:rsid w:val="00320C32"/>
    <w:rsid w:val="00320D08"/>
    <w:rsid w:val="00321274"/>
    <w:rsid w:val="0032143D"/>
    <w:rsid w:val="00322002"/>
    <w:rsid w:val="00323759"/>
    <w:rsid w:val="00323869"/>
    <w:rsid w:val="00324E4F"/>
    <w:rsid w:val="003253C6"/>
    <w:rsid w:val="003309E1"/>
    <w:rsid w:val="00332FA3"/>
    <w:rsid w:val="00333143"/>
    <w:rsid w:val="00333DA1"/>
    <w:rsid w:val="00334151"/>
    <w:rsid w:val="00337045"/>
    <w:rsid w:val="0033721D"/>
    <w:rsid w:val="00342A13"/>
    <w:rsid w:val="00342BAF"/>
    <w:rsid w:val="00343044"/>
    <w:rsid w:val="0034324B"/>
    <w:rsid w:val="003476FD"/>
    <w:rsid w:val="0034796C"/>
    <w:rsid w:val="003512C6"/>
    <w:rsid w:val="00352B9C"/>
    <w:rsid w:val="00354BB1"/>
    <w:rsid w:val="003565F1"/>
    <w:rsid w:val="00356E92"/>
    <w:rsid w:val="00361399"/>
    <w:rsid w:val="003630A8"/>
    <w:rsid w:val="003636AA"/>
    <w:rsid w:val="003636AF"/>
    <w:rsid w:val="00363D8E"/>
    <w:rsid w:val="00364140"/>
    <w:rsid w:val="0036420B"/>
    <w:rsid w:val="003655C7"/>
    <w:rsid w:val="00365767"/>
    <w:rsid w:val="00365CA2"/>
    <w:rsid w:val="00367383"/>
    <w:rsid w:val="003718C3"/>
    <w:rsid w:val="00372204"/>
    <w:rsid w:val="00373009"/>
    <w:rsid w:val="00373694"/>
    <w:rsid w:val="00374B96"/>
    <w:rsid w:val="003758A1"/>
    <w:rsid w:val="00377AC8"/>
    <w:rsid w:val="0038115B"/>
    <w:rsid w:val="003816D6"/>
    <w:rsid w:val="00382001"/>
    <w:rsid w:val="003832EA"/>
    <w:rsid w:val="003848A9"/>
    <w:rsid w:val="00384D22"/>
    <w:rsid w:val="003856A4"/>
    <w:rsid w:val="00385A77"/>
    <w:rsid w:val="003865E5"/>
    <w:rsid w:val="00386B31"/>
    <w:rsid w:val="003871D2"/>
    <w:rsid w:val="00387D3E"/>
    <w:rsid w:val="003909C1"/>
    <w:rsid w:val="00391794"/>
    <w:rsid w:val="00392EB0"/>
    <w:rsid w:val="00394FFF"/>
    <w:rsid w:val="003972B8"/>
    <w:rsid w:val="00397953"/>
    <w:rsid w:val="00397E5E"/>
    <w:rsid w:val="003A0797"/>
    <w:rsid w:val="003A07C4"/>
    <w:rsid w:val="003A0AAF"/>
    <w:rsid w:val="003A1D21"/>
    <w:rsid w:val="003A285D"/>
    <w:rsid w:val="003A3108"/>
    <w:rsid w:val="003A69E8"/>
    <w:rsid w:val="003A6B23"/>
    <w:rsid w:val="003A7142"/>
    <w:rsid w:val="003B11DF"/>
    <w:rsid w:val="003B1630"/>
    <w:rsid w:val="003B1BAC"/>
    <w:rsid w:val="003B497A"/>
    <w:rsid w:val="003B6272"/>
    <w:rsid w:val="003C163B"/>
    <w:rsid w:val="003C191D"/>
    <w:rsid w:val="003C2B1E"/>
    <w:rsid w:val="003C2DAD"/>
    <w:rsid w:val="003C43E9"/>
    <w:rsid w:val="003C73CA"/>
    <w:rsid w:val="003C77F8"/>
    <w:rsid w:val="003C7A05"/>
    <w:rsid w:val="003D0E8B"/>
    <w:rsid w:val="003D1557"/>
    <w:rsid w:val="003D2A2B"/>
    <w:rsid w:val="003D46DC"/>
    <w:rsid w:val="003E208B"/>
    <w:rsid w:val="003E2308"/>
    <w:rsid w:val="003E24CC"/>
    <w:rsid w:val="003E25AF"/>
    <w:rsid w:val="003E277B"/>
    <w:rsid w:val="003E2896"/>
    <w:rsid w:val="003E2F49"/>
    <w:rsid w:val="003E3673"/>
    <w:rsid w:val="003E37F4"/>
    <w:rsid w:val="003E7521"/>
    <w:rsid w:val="003E771C"/>
    <w:rsid w:val="003F18AD"/>
    <w:rsid w:val="003F2CFF"/>
    <w:rsid w:val="003F42BD"/>
    <w:rsid w:val="003F54C4"/>
    <w:rsid w:val="003F5AB0"/>
    <w:rsid w:val="003F5D2C"/>
    <w:rsid w:val="003F5FA6"/>
    <w:rsid w:val="003F6CD4"/>
    <w:rsid w:val="00402FC6"/>
    <w:rsid w:val="00404651"/>
    <w:rsid w:val="004050E3"/>
    <w:rsid w:val="00407630"/>
    <w:rsid w:val="0040786E"/>
    <w:rsid w:val="004102F2"/>
    <w:rsid w:val="00411A92"/>
    <w:rsid w:val="00417444"/>
    <w:rsid w:val="004214B3"/>
    <w:rsid w:val="00422701"/>
    <w:rsid w:val="00422D8C"/>
    <w:rsid w:val="00423825"/>
    <w:rsid w:val="00423939"/>
    <w:rsid w:val="00423AEB"/>
    <w:rsid w:val="00423F77"/>
    <w:rsid w:val="00425862"/>
    <w:rsid w:val="00430A67"/>
    <w:rsid w:val="0043103A"/>
    <w:rsid w:val="004317A5"/>
    <w:rsid w:val="0043274A"/>
    <w:rsid w:val="00433035"/>
    <w:rsid w:val="00433503"/>
    <w:rsid w:val="0043394D"/>
    <w:rsid w:val="00436A94"/>
    <w:rsid w:val="00437FA1"/>
    <w:rsid w:val="00440268"/>
    <w:rsid w:val="004402EA"/>
    <w:rsid w:val="004409BF"/>
    <w:rsid w:val="00440CA6"/>
    <w:rsid w:val="0044287B"/>
    <w:rsid w:val="00443E74"/>
    <w:rsid w:val="0044562F"/>
    <w:rsid w:val="0044587E"/>
    <w:rsid w:val="00445B3F"/>
    <w:rsid w:val="00446F7F"/>
    <w:rsid w:val="0044711C"/>
    <w:rsid w:val="00447BAB"/>
    <w:rsid w:val="00453482"/>
    <w:rsid w:val="00453A97"/>
    <w:rsid w:val="00460C79"/>
    <w:rsid w:val="00463EB3"/>
    <w:rsid w:val="00464113"/>
    <w:rsid w:val="004641B0"/>
    <w:rsid w:val="004652A1"/>
    <w:rsid w:val="00470BB1"/>
    <w:rsid w:val="00472B08"/>
    <w:rsid w:val="004735C9"/>
    <w:rsid w:val="00474BD7"/>
    <w:rsid w:val="00475D33"/>
    <w:rsid w:val="00477716"/>
    <w:rsid w:val="0048105D"/>
    <w:rsid w:val="0048275C"/>
    <w:rsid w:val="004836D2"/>
    <w:rsid w:val="00483B44"/>
    <w:rsid w:val="004919A3"/>
    <w:rsid w:val="00493025"/>
    <w:rsid w:val="004950DF"/>
    <w:rsid w:val="00497242"/>
    <w:rsid w:val="00497B58"/>
    <w:rsid w:val="004A0C5A"/>
    <w:rsid w:val="004A34BB"/>
    <w:rsid w:val="004A55EB"/>
    <w:rsid w:val="004A6999"/>
    <w:rsid w:val="004A72D7"/>
    <w:rsid w:val="004A7605"/>
    <w:rsid w:val="004B0387"/>
    <w:rsid w:val="004B2191"/>
    <w:rsid w:val="004B3A69"/>
    <w:rsid w:val="004B40F7"/>
    <w:rsid w:val="004B6C0F"/>
    <w:rsid w:val="004C079D"/>
    <w:rsid w:val="004C1082"/>
    <w:rsid w:val="004C1F8E"/>
    <w:rsid w:val="004C24F9"/>
    <w:rsid w:val="004C3D33"/>
    <w:rsid w:val="004C3EE2"/>
    <w:rsid w:val="004C4AF9"/>
    <w:rsid w:val="004C595B"/>
    <w:rsid w:val="004C5CC7"/>
    <w:rsid w:val="004C60A4"/>
    <w:rsid w:val="004C70D5"/>
    <w:rsid w:val="004C7927"/>
    <w:rsid w:val="004D01B9"/>
    <w:rsid w:val="004D11EF"/>
    <w:rsid w:val="004D17FA"/>
    <w:rsid w:val="004D18F5"/>
    <w:rsid w:val="004D1A3E"/>
    <w:rsid w:val="004D2B5B"/>
    <w:rsid w:val="004D4481"/>
    <w:rsid w:val="004D5194"/>
    <w:rsid w:val="004D5EAB"/>
    <w:rsid w:val="004D7204"/>
    <w:rsid w:val="004E0BD0"/>
    <w:rsid w:val="004E5FAD"/>
    <w:rsid w:val="004E6364"/>
    <w:rsid w:val="004E6D19"/>
    <w:rsid w:val="004E7E76"/>
    <w:rsid w:val="004F0ED2"/>
    <w:rsid w:val="004F15ED"/>
    <w:rsid w:val="004F3196"/>
    <w:rsid w:val="004F32A6"/>
    <w:rsid w:val="004F4E13"/>
    <w:rsid w:val="004F4F8D"/>
    <w:rsid w:val="004F5917"/>
    <w:rsid w:val="004F5B76"/>
    <w:rsid w:val="004F764E"/>
    <w:rsid w:val="00500AB9"/>
    <w:rsid w:val="00501409"/>
    <w:rsid w:val="00501DA1"/>
    <w:rsid w:val="00502E0D"/>
    <w:rsid w:val="005032A2"/>
    <w:rsid w:val="00503AA6"/>
    <w:rsid w:val="00503C78"/>
    <w:rsid w:val="00504A39"/>
    <w:rsid w:val="005055A8"/>
    <w:rsid w:val="005056C0"/>
    <w:rsid w:val="00507611"/>
    <w:rsid w:val="00510AE8"/>
    <w:rsid w:val="00511EF5"/>
    <w:rsid w:val="00512163"/>
    <w:rsid w:val="00514E27"/>
    <w:rsid w:val="00515F33"/>
    <w:rsid w:val="005228AD"/>
    <w:rsid w:val="0052315C"/>
    <w:rsid w:val="005234A9"/>
    <w:rsid w:val="00523D28"/>
    <w:rsid w:val="00526077"/>
    <w:rsid w:val="00527B8C"/>
    <w:rsid w:val="005306E2"/>
    <w:rsid w:val="00531B81"/>
    <w:rsid w:val="00532E5C"/>
    <w:rsid w:val="00533DE5"/>
    <w:rsid w:val="0053598B"/>
    <w:rsid w:val="0053610B"/>
    <w:rsid w:val="00536184"/>
    <w:rsid w:val="00536625"/>
    <w:rsid w:val="00537215"/>
    <w:rsid w:val="00537AE6"/>
    <w:rsid w:val="00537DDE"/>
    <w:rsid w:val="0054006E"/>
    <w:rsid w:val="0054014A"/>
    <w:rsid w:val="00540EE3"/>
    <w:rsid w:val="0054101B"/>
    <w:rsid w:val="00542FB1"/>
    <w:rsid w:val="0054481C"/>
    <w:rsid w:val="00544B4F"/>
    <w:rsid w:val="00545CEE"/>
    <w:rsid w:val="00545EA3"/>
    <w:rsid w:val="005467D8"/>
    <w:rsid w:val="00546A5E"/>
    <w:rsid w:val="0055150F"/>
    <w:rsid w:val="00552A8C"/>
    <w:rsid w:val="00553CD6"/>
    <w:rsid w:val="005558F4"/>
    <w:rsid w:val="005566E8"/>
    <w:rsid w:val="00561A62"/>
    <w:rsid w:val="00562410"/>
    <w:rsid w:val="005625B5"/>
    <w:rsid w:val="00562AAF"/>
    <w:rsid w:val="005634DA"/>
    <w:rsid w:val="00563F7B"/>
    <w:rsid w:val="00564362"/>
    <w:rsid w:val="00566090"/>
    <w:rsid w:val="0056734D"/>
    <w:rsid w:val="00567E01"/>
    <w:rsid w:val="005709FB"/>
    <w:rsid w:val="00570E52"/>
    <w:rsid w:val="005712DA"/>
    <w:rsid w:val="00571B06"/>
    <w:rsid w:val="00572255"/>
    <w:rsid w:val="005738E4"/>
    <w:rsid w:val="005742D6"/>
    <w:rsid w:val="00574A11"/>
    <w:rsid w:val="005775F9"/>
    <w:rsid w:val="00577BE7"/>
    <w:rsid w:val="00577D55"/>
    <w:rsid w:val="00580050"/>
    <w:rsid w:val="00580B49"/>
    <w:rsid w:val="00581805"/>
    <w:rsid w:val="00581BEB"/>
    <w:rsid w:val="005835A2"/>
    <w:rsid w:val="005839D2"/>
    <w:rsid w:val="00583B2C"/>
    <w:rsid w:val="00583D2B"/>
    <w:rsid w:val="00583DF3"/>
    <w:rsid w:val="005867F0"/>
    <w:rsid w:val="00586FB1"/>
    <w:rsid w:val="00590509"/>
    <w:rsid w:val="005907EA"/>
    <w:rsid w:val="005908D1"/>
    <w:rsid w:val="0059119D"/>
    <w:rsid w:val="00591B99"/>
    <w:rsid w:val="00593771"/>
    <w:rsid w:val="00595B5E"/>
    <w:rsid w:val="00596587"/>
    <w:rsid w:val="005A02C7"/>
    <w:rsid w:val="005A10A7"/>
    <w:rsid w:val="005A1235"/>
    <w:rsid w:val="005A1324"/>
    <w:rsid w:val="005A41F0"/>
    <w:rsid w:val="005A686E"/>
    <w:rsid w:val="005A68E8"/>
    <w:rsid w:val="005A6D8D"/>
    <w:rsid w:val="005B05C6"/>
    <w:rsid w:val="005B0A01"/>
    <w:rsid w:val="005B0BED"/>
    <w:rsid w:val="005B112B"/>
    <w:rsid w:val="005B13FB"/>
    <w:rsid w:val="005B2A79"/>
    <w:rsid w:val="005B353A"/>
    <w:rsid w:val="005B3735"/>
    <w:rsid w:val="005B4EEC"/>
    <w:rsid w:val="005B5ABA"/>
    <w:rsid w:val="005C1968"/>
    <w:rsid w:val="005C268C"/>
    <w:rsid w:val="005C2ABB"/>
    <w:rsid w:val="005C5D2D"/>
    <w:rsid w:val="005C6591"/>
    <w:rsid w:val="005C691C"/>
    <w:rsid w:val="005C6BA6"/>
    <w:rsid w:val="005C6C83"/>
    <w:rsid w:val="005C6CFD"/>
    <w:rsid w:val="005C6FF1"/>
    <w:rsid w:val="005C7578"/>
    <w:rsid w:val="005D3B1F"/>
    <w:rsid w:val="005D5D83"/>
    <w:rsid w:val="005D7389"/>
    <w:rsid w:val="005D7600"/>
    <w:rsid w:val="005E0E05"/>
    <w:rsid w:val="005E1CD5"/>
    <w:rsid w:val="005E1D12"/>
    <w:rsid w:val="005E26DE"/>
    <w:rsid w:val="005E2F90"/>
    <w:rsid w:val="005E4ABE"/>
    <w:rsid w:val="005E5121"/>
    <w:rsid w:val="005E6338"/>
    <w:rsid w:val="005E671C"/>
    <w:rsid w:val="005E702D"/>
    <w:rsid w:val="005E7CD4"/>
    <w:rsid w:val="005F0493"/>
    <w:rsid w:val="005F0AB4"/>
    <w:rsid w:val="005F20F4"/>
    <w:rsid w:val="005F2D57"/>
    <w:rsid w:val="005F7824"/>
    <w:rsid w:val="00601A38"/>
    <w:rsid w:val="00601F62"/>
    <w:rsid w:val="00602981"/>
    <w:rsid w:val="00602AF1"/>
    <w:rsid w:val="00604FEE"/>
    <w:rsid w:val="00605242"/>
    <w:rsid w:val="00605282"/>
    <w:rsid w:val="00606572"/>
    <w:rsid w:val="00607FEE"/>
    <w:rsid w:val="00610F26"/>
    <w:rsid w:val="006111E3"/>
    <w:rsid w:val="006136AF"/>
    <w:rsid w:val="006140A9"/>
    <w:rsid w:val="00616140"/>
    <w:rsid w:val="00620AB8"/>
    <w:rsid w:val="00620ECD"/>
    <w:rsid w:val="00621712"/>
    <w:rsid w:val="0062220A"/>
    <w:rsid w:val="00622934"/>
    <w:rsid w:val="00623C35"/>
    <w:rsid w:val="00624713"/>
    <w:rsid w:val="00624B65"/>
    <w:rsid w:val="006256F9"/>
    <w:rsid w:val="006259AE"/>
    <w:rsid w:val="006261B3"/>
    <w:rsid w:val="00626597"/>
    <w:rsid w:val="00626A14"/>
    <w:rsid w:val="00627C68"/>
    <w:rsid w:val="006305D1"/>
    <w:rsid w:val="00630EB1"/>
    <w:rsid w:val="00632AEC"/>
    <w:rsid w:val="006332A0"/>
    <w:rsid w:val="00635B91"/>
    <w:rsid w:val="00637D81"/>
    <w:rsid w:val="00642A72"/>
    <w:rsid w:val="00642D8E"/>
    <w:rsid w:val="00644155"/>
    <w:rsid w:val="006452BC"/>
    <w:rsid w:val="00646583"/>
    <w:rsid w:val="00646EA4"/>
    <w:rsid w:val="0064793B"/>
    <w:rsid w:val="00647FF7"/>
    <w:rsid w:val="006507B0"/>
    <w:rsid w:val="00650C51"/>
    <w:rsid w:val="00653CBD"/>
    <w:rsid w:val="006552CB"/>
    <w:rsid w:val="00657195"/>
    <w:rsid w:val="00657A8C"/>
    <w:rsid w:val="00660BBD"/>
    <w:rsid w:val="006615CD"/>
    <w:rsid w:val="006615D5"/>
    <w:rsid w:val="00661FD3"/>
    <w:rsid w:val="00662DA2"/>
    <w:rsid w:val="00663662"/>
    <w:rsid w:val="006641B1"/>
    <w:rsid w:val="00665254"/>
    <w:rsid w:val="0066564B"/>
    <w:rsid w:val="00666E95"/>
    <w:rsid w:val="00667120"/>
    <w:rsid w:val="006677D4"/>
    <w:rsid w:val="006719AD"/>
    <w:rsid w:val="00672188"/>
    <w:rsid w:val="00672C3F"/>
    <w:rsid w:val="00672F74"/>
    <w:rsid w:val="00673508"/>
    <w:rsid w:val="00673DBC"/>
    <w:rsid w:val="00674E68"/>
    <w:rsid w:val="0067538D"/>
    <w:rsid w:val="0067548B"/>
    <w:rsid w:val="00675594"/>
    <w:rsid w:val="00677250"/>
    <w:rsid w:val="0068099C"/>
    <w:rsid w:val="006814BD"/>
    <w:rsid w:val="006819DC"/>
    <w:rsid w:val="00683804"/>
    <w:rsid w:val="00684D21"/>
    <w:rsid w:val="00685BC2"/>
    <w:rsid w:val="00686715"/>
    <w:rsid w:val="00686A62"/>
    <w:rsid w:val="00686EC0"/>
    <w:rsid w:val="006873D3"/>
    <w:rsid w:val="00687B69"/>
    <w:rsid w:val="006928EF"/>
    <w:rsid w:val="00692A5E"/>
    <w:rsid w:val="006957A3"/>
    <w:rsid w:val="00697C79"/>
    <w:rsid w:val="006A1B4D"/>
    <w:rsid w:val="006A3821"/>
    <w:rsid w:val="006A41AA"/>
    <w:rsid w:val="006A498F"/>
    <w:rsid w:val="006A5210"/>
    <w:rsid w:val="006A52CC"/>
    <w:rsid w:val="006A6CC0"/>
    <w:rsid w:val="006A706F"/>
    <w:rsid w:val="006B0782"/>
    <w:rsid w:val="006B2BA9"/>
    <w:rsid w:val="006B4112"/>
    <w:rsid w:val="006B4CB6"/>
    <w:rsid w:val="006B68A5"/>
    <w:rsid w:val="006B7B28"/>
    <w:rsid w:val="006B7FBC"/>
    <w:rsid w:val="006C0204"/>
    <w:rsid w:val="006C07AA"/>
    <w:rsid w:val="006C442C"/>
    <w:rsid w:val="006C4F1D"/>
    <w:rsid w:val="006C5FD5"/>
    <w:rsid w:val="006C6526"/>
    <w:rsid w:val="006C67A7"/>
    <w:rsid w:val="006C6C14"/>
    <w:rsid w:val="006C6C93"/>
    <w:rsid w:val="006D19E8"/>
    <w:rsid w:val="006D1B06"/>
    <w:rsid w:val="006D34BC"/>
    <w:rsid w:val="006D5369"/>
    <w:rsid w:val="006D7302"/>
    <w:rsid w:val="006D7997"/>
    <w:rsid w:val="006E0CCA"/>
    <w:rsid w:val="006E1080"/>
    <w:rsid w:val="006E17CE"/>
    <w:rsid w:val="006E1DD6"/>
    <w:rsid w:val="006E26C0"/>
    <w:rsid w:val="006E2ABA"/>
    <w:rsid w:val="006E38C4"/>
    <w:rsid w:val="006E3A7A"/>
    <w:rsid w:val="006E3B4A"/>
    <w:rsid w:val="006E5A29"/>
    <w:rsid w:val="006E602A"/>
    <w:rsid w:val="006E7131"/>
    <w:rsid w:val="006F029D"/>
    <w:rsid w:val="006F19A9"/>
    <w:rsid w:val="006F23CB"/>
    <w:rsid w:val="006F69DF"/>
    <w:rsid w:val="006F6EE3"/>
    <w:rsid w:val="006F73B1"/>
    <w:rsid w:val="006F79B3"/>
    <w:rsid w:val="00702040"/>
    <w:rsid w:val="0070308B"/>
    <w:rsid w:val="00703917"/>
    <w:rsid w:val="00704DEE"/>
    <w:rsid w:val="00711116"/>
    <w:rsid w:val="00713B0F"/>
    <w:rsid w:val="00715A40"/>
    <w:rsid w:val="00715A4F"/>
    <w:rsid w:val="00717EC7"/>
    <w:rsid w:val="0072104E"/>
    <w:rsid w:val="007217BC"/>
    <w:rsid w:val="007219ED"/>
    <w:rsid w:val="00722579"/>
    <w:rsid w:val="007252BB"/>
    <w:rsid w:val="0072687D"/>
    <w:rsid w:val="007309E6"/>
    <w:rsid w:val="0073135F"/>
    <w:rsid w:val="00731D64"/>
    <w:rsid w:val="00731E26"/>
    <w:rsid w:val="00732EE8"/>
    <w:rsid w:val="007334A4"/>
    <w:rsid w:val="00734258"/>
    <w:rsid w:val="00735097"/>
    <w:rsid w:val="00735D8C"/>
    <w:rsid w:val="007372DC"/>
    <w:rsid w:val="00737771"/>
    <w:rsid w:val="00737984"/>
    <w:rsid w:val="00740871"/>
    <w:rsid w:val="00740965"/>
    <w:rsid w:val="00740BEF"/>
    <w:rsid w:val="00742B3C"/>
    <w:rsid w:val="007448B6"/>
    <w:rsid w:val="0074565E"/>
    <w:rsid w:val="00745E3B"/>
    <w:rsid w:val="00745E42"/>
    <w:rsid w:val="0075000D"/>
    <w:rsid w:val="00750EB9"/>
    <w:rsid w:val="00751BCE"/>
    <w:rsid w:val="0075200C"/>
    <w:rsid w:val="007530E1"/>
    <w:rsid w:val="0075349E"/>
    <w:rsid w:val="00753FCA"/>
    <w:rsid w:val="00754C48"/>
    <w:rsid w:val="00754DFE"/>
    <w:rsid w:val="00754F91"/>
    <w:rsid w:val="007556A1"/>
    <w:rsid w:val="00756890"/>
    <w:rsid w:val="00756CC4"/>
    <w:rsid w:val="007614E2"/>
    <w:rsid w:val="00763570"/>
    <w:rsid w:val="0076541B"/>
    <w:rsid w:val="00766D80"/>
    <w:rsid w:val="00767984"/>
    <w:rsid w:val="00770F77"/>
    <w:rsid w:val="0077109F"/>
    <w:rsid w:val="00772DA6"/>
    <w:rsid w:val="00772DCA"/>
    <w:rsid w:val="0077339D"/>
    <w:rsid w:val="00775C43"/>
    <w:rsid w:val="00776BAB"/>
    <w:rsid w:val="00776E8A"/>
    <w:rsid w:val="00781417"/>
    <w:rsid w:val="0078228F"/>
    <w:rsid w:val="00783DE3"/>
    <w:rsid w:val="00784EA7"/>
    <w:rsid w:val="00786CC7"/>
    <w:rsid w:val="00786E78"/>
    <w:rsid w:val="00787D26"/>
    <w:rsid w:val="0079023E"/>
    <w:rsid w:val="0079163E"/>
    <w:rsid w:val="00791981"/>
    <w:rsid w:val="00792949"/>
    <w:rsid w:val="0079449F"/>
    <w:rsid w:val="00794CF0"/>
    <w:rsid w:val="0079567B"/>
    <w:rsid w:val="00796621"/>
    <w:rsid w:val="00796A88"/>
    <w:rsid w:val="007A0AB1"/>
    <w:rsid w:val="007A427A"/>
    <w:rsid w:val="007A465C"/>
    <w:rsid w:val="007A4BA3"/>
    <w:rsid w:val="007A635F"/>
    <w:rsid w:val="007A6C1E"/>
    <w:rsid w:val="007B2424"/>
    <w:rsid w:val="007B5B0D"/>
    <w:rsid w:val="007B5F28"/>
    <w:rsid w:val="007B6BD2"/>
    <w:rsid w:val="007B77AC"/>
    <w:rsid w:val="007C036D"/>
    <w:rsid w:val="007C118A"/>
    <w:rsid w:val="007C150C"/>
    <w:rsid w:val="007C2E0B"/>
    <w:rsid w:val="007C34E2"/>
    <w:rsid w:val="007C3FF4"/>
    <w:rsid w:val="007C43EC"/>
    <w:rsid w:val="007C6F13"/>
    <w:rsid w:val="007C783E"/>
    <w:rsid w:val="007D083E"/>
    <w:rsid w:val="007D1C76"/>
    <w:rsid w:val="007D2491"/>
    <w:rsid w:val="007D2F90"/>
    <w:rsid w:val="007D3724"/>
    <w:rsid w:val="007D51B6"/>
    <w:rsid w:val="007D572E"/>
    <w:rsid w:val="007D64AB"/>
    <w:rsid w:val="007D7F26"/>
    <w:rsid w:val="007E1C84"/>
    <w:rsid w:val="007E1D62"/>
    <w:rsid w:val="007E2822"/>
    <w:rsid w:val="007E2ED6"/>
    <w:rsid w:val="007E34DD"/>
    <w:rsid w:val="007E4BD6"/>
    <w:rsid w:val="007E552B"/>
    <w:rsid w:val="007E6914"/>
    <w:rsid w:val="007E7DD7"/>
    <w:rsid w:val="007F0A68"/>
    <w:rsid w:val="007F2060"/>
    <w:rsid w:val="007F2293"/>
    <w:rsid w:val="007F2668"/>
    <w:rsid w:val="007F2B2B"/>
    <w:rsid w:val="007F5608"/>
    <w:rsid w:val="007F5EB1"/>
    <w:rsid w:val="00800D60"/>
    <w:rsid w:val="008049F1"/>
    <w:rsid w:val="00804A0F"/>
    <w:rsid w:val="00805555"/>
    <w:rsid w:val="00807C4E"/>
    <w:rsid w:val="00810771"/>
    <w:rsid w:val="008121F1"/>
    <w:rsid w:val="00813DC4"/>
    <w:rsid w:val="008146A4"/>
    <w:rsid w:val="008151DC"/>
    <w:rsid w:val="008157DA"/>
    <w:rsid w:val="008161A0"/>
    <w:rsid w:val="00816DBE"/>
    <w:rsid w:val="00817C86"/>
    <w:rsid w:val="0082000C"/>
    <w:rsid w:val="008200E0"/>
    <w:rsid w:val="008215ED"/>
    <w:rsid w:val="008230DE"/>
    <w:rsid w:val="00824AA0"/>
    <w:rsid w:val="008264AE"/>
    <w:rsid w:val="00826530"/>
    <w:rsid w:val="00827526"/>
    <w:rsid w:val="00827960"/>
    <w:rsid w:val="00831972"/>
    <w:rsid w:val="00832239"/>
    <w:rsid w:val="00832313"/>
    <w:rsid w:val="00833595"/>
    <w:rsid w:val="008339D9"/>
    <w:rsid w:val="0083451F"/>
    <w:rsid w:val="0083467B"/>
    <w:rsid w:val="0083580D"/>
    <w:rsid w:val="008378EB"/>
    <w:rsid w:val="008414AD"/>
    <w:rsid w:val="00843499"/>
    <w:rsid w:val="00844B50"/>
    <w:rsid w:val="00846E4B"/>
    <w:rsid w:val="00850839"/>
    <w:rsid w:val="008514D7"/>
    <w:rsid w:val="0085196D"/>
    <w:rsid w:val="00852B09"/>
    <w:rsid w:val="0085324F"/>
    <w:rsid w:val="008553B9"/>
    <w:rsid w:val="00855677"/>
    <w:rsid w:val="00855772"/>
    <w:rsid w:val="00855B91"/>
    <w:rsid w:val="00856446"/>
    <w:rsid w:val="00860259"/>
    <w:rsid w:val="00860666"/>
    <w:rsid w:val="0086070B"/>
    <w:rsid w:val="00861091"/>
    <w:rsid w:val="00862185"/>
    <w:rsid w:val="00862DAC"/>
    <w:rsid w:val="00862FE8"/>
    <w:rsid w:val="00864AF5"/>
    <w:rsid w:val="0086771A"/>
    <w:rsid w:val="00867F9A"/>
    <w:rsid w:val="008704D9"/>
    <w:rsid w:val="008708BD"/>
    <w:rsid w:val="00870C17"/>
    <w:rsid w:val="0087195B"/>
    <w:rsid w:val="00871C34"/>
    <w:rsid w:val="00873268"/>
    <w:rsid w:val="00873D84"/>
    <w:rsid w:val="00875438"/>
    <w:rsid w:val="00880726"/>
    <w:rsid w:val="0088083F"/>
    <w:rsid w:val="00882182"/>
    <w:rsid w:val="0088298E"/>
    <w:rsid w:val="00882DD5"/>
    <w:rsid w:val="00883EC7"/>
    <w:rsid w:val="00883F0A"/>
    <w:rsid w:val="00883FCE"/>
    <w:rsid w:val="0088412C"/>
    <w:rsid w:val="008846AB"/>
    <w:rsid w:val="00884799"/>
    <w:rsid w:val="0088646A"/>
    <w:rsid w:val="00887246"/>
    <w:rsid w:val="00887726"/>
    <w:rsid w:val="008878F7"/>
    <w:rsid w:val="00890EE1"/>
    <w:rsid w:val="008922F4"/>
    <w:rsid w:val="00892899"/>
    <w:rsid w:val="0089396C"/>
    <w:rsid w:val="00893F3F"/>
    <w:rsid w:val="00894264"/>
    <w:rsid w:val="00896E58"/>
    <w:rsid w:val="008977F7"/>
    <w:rsid w:val="008A12B7"/>
    <w:rsid w:val="008A1704"/>
    <w:rsid w:val="008A3058"/>
    <w:rsid w:val="008A3190"/>
    <w:rsid w:val="008A322C"/>
    <w:rsid w:val="008A3462"/>
    <w:rsid w:val="008A3BBF"/>
    <w:rsid w:val="008A64EB"/>
    <w:rsid w:val="008A65AF"/>
    <w:rsid w:val="008B2AB1"/>
    <w:rsid w:val="008B4CE5"/>
    <w:rsid w:val="008B4DDE"/>
    <w:rsid w:val="008B55BD"/>
    <w:rsid w:val="008B66AB"/>
    <w:rsid w:val="008B6C92"/>
    <w:rsid w:val="008B714D"/>
    <w:rsid w:val="008C083F"/>
    <w:rsid w:val="008C1423"/>
    <w:rsid w:val="008C1F41"/>
    <w:rsid w:val="008C2C52"/>
    <w:rsid w:val="008C38D5"/>
    <w:rsid w:val="008C645C"/>
    <w:rsid w:val="008C6715"/>
    <w:rsid w:val="008C6A8A"/>
    <w:rsid w:val="008D052A"/>
    <w:rsid w:val="008D0689"/>
    <w:rsid w:val="008D51CF"/>
    <w:rsid w:val="008E0B4D"/>
    <w:rsid w:val="008E31C7"/>
    <w:rsid w:val="008E3847"/>
    <w:rsid w:val="008E4414"/>
    <w:rsid w:val="008E4668"/>
    <w:rsid w:val="008F0154"/>
    <w:rsid w:val="008F045C"/>
    <w:rsid w:val="008F0F4F"/>
    <w:rsid w:val="008F292F"/>
    <w:rsid w:val="008F49CE"/>
    <w:rsid w:val="008F5D8C"/>
    <w:rsid w:val="008F6084"/>
    <w:rsid w:val="008F6296"/>
    <w:rsid w:val="008F7DFC"/>
    <w:rsid w:val="009003A6"/>
    <w:rsid w:val="0090147A"/>
    <w:rsid w:val="0090244E"/>
    <w:rsid w:val="0090309B"/>
    <w:rsid w:val="00905A13"/>
    <w:rsid w:val="009069D0"/>
    <w:rsid w:val="0090720E"/>
    <w:rsid w:val="00907BEB"/>
    <w:rsid w:val="0091065A"/>
    <w:rsid w:val="009127BB"/>
    <w:rsid w:val="00915600"/>
    <w:rsid w:val="0091578A"/>
    <w:rsid w:val="00916F25"/>
    <w:rsid w:val="00921C5A"/>
    <w:rsid w:val="009239E6"/>
    <w:rsid w:val="00924A5F"/>
    <w:rsid w:val="00925015"/>
    <w:rsid w:val="00925591"/>
    <w:rsid w:val="009257CF"/>
    <w:rsid w:val="00925815"/>
    <w:rsid w:val="00926725"/>
    <w:rsid w:val="0092678F"/>
    <w:rsid w:val="009279CC"/>
    <w:rsid w:val="00927BF7"/>
    <w:rsid w:val="00930822"/>
    <w:rsid w:val="009348E9"/>
    <w:rsid w:val="009349A9"/>
    <w:rsid w:val="00935436"/>
    <w:rsid w:val="00935C99"/>
    <w:rsid w:val="00936937"/>
    <w:rsid w:val="00936D2E"/>
    <w:rsid w:val="00936ECE"/>
    <w:rsid w:val="00937CA2"/>
    <w:rsid w:val="009411A2"/>
    <w:rsid w:val="0094153B"/>
    <w:rsid w:val="0094251F"/>
    <w:rsid w:val="00942CA1"/>
    <w:rsid w:val="00944185"/>
    <w:rsid w:val="00946ACB"/>
    <w:rsid w:val="00947AA0"/>
    <w:rsid w:val="00947E7E"/>
    <w:rsid w:val="00952276"/>
    <w:rsid w:val="009536F5"/>
    <w:rsid w:val="009543AC"/>
    <w:rsid w:val="00955405"/>
    <w:rsid w:val="00956655"/>
    <w:rsid w:val="00960810"/>
    <w:rsid w:val="00961E01"/>
    <w:rsid w:val="00962FBE"/>
    <w:rsid w:val="0096360C"/>
    <w:rsid w:val="00964709"/>
    <w:rsid w:val="00965793"/>
    <w:rsid w:val="00967A79"/>
    <w:rsid w:val="00973DCC"/>
    <w:rsid w:val="00976540"/>
    <w:rsid w:val="00977294"/>
    <w:rsid w:val="00977876"/>
    <w:rsid w:val="009817AB"/>
    <w:rsid w:val="0098229E"/>
    <w:rsid w:val="0098292B"/>
    <w:rsid w:val="00982DAA"/>
    <w:rsid w:val="00986877"/>
    <w:rsid w:val="00986BE0"/>
    <w:rsid w:val="00986C32"/>
    <w:rsid w:val="00987895"/>
    <w:rsid w:val="00987C48"/>
    <w:rsid w:val="0099007A"/>
    <w:rsid w:val="009902F2"/>
    <w:rsid w:val="009905A2"/>
    <w:rsid w:val="0099107B"/>
    <w:rsid w:val="009917A2"/>
    <w:rsid w:val="00992508"/>
    <w:rsid w:val="00992705"/>
    <w:rsid w:val="00993385"/>
    <w:rsid w:val="009945CB"/>
    <w:rsid w:val="00995005"/>
    <w:rsid w:val="00996A7A"/>
    <w:rsid w:val="009A032F"/>
    <w:rsid w:val="009A0945"/>
    <w:rsid w:val="009A0C09"/>
    <w:rsid w:val="009A0F6D"/>
    <w:rsid w:val="009A129B"/>
    <w:rsid w:val="009A1ECC"/>
    <w:rsid w:val="009A1FB4"/>
    <w:rsid w:val="009A320F"/>
    <w:rsid w:val="009A33CA"/>
    <w:rsid w:val="009A4558"/>
    <w:rsid w:val="009A65AC"/>
    <w:rsid w:val="009B0F9C"/>
    <w:rsid w:val="009B191F"/>
    <w:rsid w:val="009B1AD0"/>
    <w:rsid w:val="009B1FEB"/>
    <w:rsid w:val="009B2966"/>
    <w:rsid w:val="009B2C62"/>
    <w:rsid w:val="009B4007"/>
    <w:rsid w:val="009B4960"/>
    <w:rsid w:val="009B4C98"/>
    <w:rsid w:val="009B4D92"/>
    <w:rsid w:val="009B5F78"/>
    <w:rsid w:val="009B629A"/>
    <w:rsid w:val="009B7FC6"/>
    <w:rsid w:val="009C12ED"/>
    <w:rsid w:val="009C2D08"/>
    <w:rsid w:val="009C3F92"/>
    <w:rsid w:val="009C4796"/>
    <w:rsid w:val="009C5A90"/>
    <w:rsid w:val="009C66BA"/>
    <w:rsid w:val="009C6B17"/>
    <w:rsid w:val="009C6C03"/>
    <w:rsid w:val="009C7C6D"/>
    <w:rsid w:val="009C7FD0"/>
    <w:rsid w:val="009D3F8A"/>
    <w:rsid w:val="009D4E1A"/>
    <w:rsid w:val="009D6E11"/>
    <w:rsid w:val="009D7A2D"/>
    <w:rsid w:val="009E16F5"/>
    <w:rsid w:val="009E26A5"/>
    <w:rsid w:val="009E2B54"/>
    <w:rsid w:val="009E2D1A"/>
    <w:rsid w:val="009E34CA"/>
    <w:rsid w:val="009E3D68"/>
    <w:rsid w:val="009E6A12"/>
    <w:rsid w:val="009E6AFD"/>
    <w:rsid w:val="009F030D"/>
    <w:rsid w:val="009F0A6E"/>
    <w:rsid w:val="009F15ED"/>
    <w:rsid w:val="009F1A19"/>
    <w:rsid w:val="009F2B03"/>
    <w:rsid w:val="009F355D"/>
    <w:rsid w:val="009F5F0F"/>
    <w:rsid w:val="00A00196"/>
    <w:rsid w:val="00A00A7D"/>
    <w:rsid w:val="00A00D0D"/>
    <w:rsid w:val="00A01348"/>
    <w:rsid w:val="00A01699"/>
    <w:rsid w:val="00A03DF5"/>
    <w:rsid w:val="00A04256"/>
    <w:rsid w:val="00A0489F"/>
    <w:rsid w:val="00A049A4"/>
    <w:rsid w:val="00A05C76"/>
    <w:rsid w:val="00A06B4C"/>
    <w:rsid w:val="00A06DB8"/>
    <w:rsid w:val="00A07170"/>
    <w:rsid w:val="00A101BF"/>
    <w:rsid w:val="00A11DBF"/>
    <w:rsid w:val="00A120E4"/>
    <w:rsid w:val="00A13059"/>
    <w:rsid w:val="00A14707"/>
    <w:rsid w:val="00A14B29"/>
    <w:rsid w:val="00A14DAC"/>
    <w:rsid w:val="00A1796B"/>
    <w:rsid w:val="00A17B47"/>
    <w:rsid w:val="00A17B8C"/>
    <w:rsid w:val="00A223CC"/>
    <w:rsid w:val="00A23780"/>
    <w:rsid w:val="00A23BB6"/>
    <w:rsid w:val="00A24D92"/>
    <w:rsid w:val="00A26A12"/>
    <w:rsid w:val="00A26AEF"/>
    <w:rsid w:val="00A26D71"/>
    <w:rsid w:val="00A27AF6"/>
    <w:rsid w:val="00A318A4"/>
    <w:rsid w:val="00A31B47"/>
    <w:rsid w:val="00A3216A"/>
    <w:rsid w:val="00A325C8"/>
    <w:rsid w:val="00A336C1"/>
    <w:rsid w:val="00A338EB"/>
    <w:rsid w:val="00A34258"/>
    <w:rsid w:val="00A35FE7"/>
    <w:rsid w:val="00A36D93"/>
    <w:rsid w:val="00A37CE7"/>
    <w:rsid w:val="00A424AE"/>
    <w:rsid w:val="00A426EB"/>
    <w:rsid w:val="00A44777"/>
    <w:rsid w:val="00A46277"/>
    <w:rsid w:val="00A47167"/>
    <w:rsid w:val="00A471F4"/>
    <w:rsid w:val="00A50804"/>
    <w:rsid w:val="00A50AEF"/>
    <w:rsid w:val="00A513EA"/>
    <w:rsid w:val="00A52125"/>
    <w:rsid w:val="00A52F15"/>
    <w:rsid w:val="00A53C5A"/>
    <w:rsid w:val="00A54C03"/>
    <w:rsid w:val="00A55155"/>
    <w:rsid w:val="00A5620A"/>
    <w:rsid w:val="00A56F6B"/>
    <w:rsid w:val="00A63140"/>
    <w:rsid w:val="00A6413F"/>
    <w:rsid w:val="00A66FB3"/>
    <w:rsid w:val="00A677DF"/>
    <w:rsid w:val="00A67886"/>
    <w:rsid w:val="00A704BA"/>
    <w:rsid w:val="00A70BAC"/>
    <w:rsid w:val="00A7163B"/>
    <w:rsid w:val="00A71AC8"/>
    <w:rsid w:val="00A742F9"/>
    <w:rsid w:val="00A74708"/>
    <w:rsid w:val="00A750F4"/>
    <w:rsid w:val="00A80108"/>
    <w:rsid w:val="00A8178F"/>
    <w:rsid w:val="00A82021"/>
    <w:rsid w:val="00A85140"/>
    <w:rsid w:val="00A85BAA"/>
    <w:rsid w:val="00A85FBB"/>
    <w:rsid w:val="00A86610"/>
    <w:rsid w:val="00A8697B"/>
    <w:rsid w:val="00A875E7"/>
    <w:rsid w:val="00A87ACF"/>
    <w:rsid w:val="00A9271A"/>
    <w:rsid w:val="00A955A0"/>
    <w:rsid w:val="00A96487"/>
    <w:rsid w:val="00AA2631"/>
    <w:rsid w:val="00AA2F1E"/>
    <w:rsid w:val="00AA3239"/>
    <w:rsid w:val="00AA4F9A"/>
    <w:rsid w:val="00AA5B0A"/>
    <w:rsid w:val="00AA61E4"/>
    <w:rsid w:val="00AA6F1F"/>
    <w:rsid w:val="00AA73D6"/>
    <w:rsid w:val="00AA77E0"/>
    <w:rsid w:val="00AA7A1B"/>
    <w:rsid w:val="00AA7B71"/>
    <w:rsid w:val="00AA7D4A"/>
    <w:rsid w:val="00AB0CB1"/>
    <w:rsid w:val="00AB20CC"/>
    <w:rsid w:val="00AB225B"/>
    <w:rsid w:val="00AB27F7"/>
    <w:rsid w:val="00AB44ED"/>
    <w:rsid w:val="00AB5280"/>
    <w:rsid w:val="00AB5525"/>
    <w:rsid w:val="00AB5C18"/>
    <w:rsid w:val="00AB69BC"/>
    <w:rsid w:val="00AC0C09"/>
    <w:rsid w:val="00AC2A1B"/>
    <w:rsid w:val="00AC3A3D"/>
    <w:rsid w:val="00AC49D9"/>
    <w:rsid w:val="00AC4EA1"/>
    <w:rsid w:val="00AC7822"/>
    <w:rsid w:val="00AD024C"/>
    <w:rsid w:val="00AD07EF"/>
    <w:rsid w:val="00AD0907"/>
    <w:rsid w:val="00AD0BD0"/>
    <w:rsid w:val="00AD1946"/>
    <w:rsid w:val="00AD3138"/>
    <w:rsid w:val="00AD4127"/>
    <w:rsid w:val="00AE0103"/>
    <w:rsid w:val="00AE07D0"/>
    <w:rsid w:val="00AE1520"/>
    <w:rsid w:val="00AE3B6E"/>
    <w:rsid w:val="00AE3F9D"/>
    <w:rsid w:val="00AE4DD3"/>
    <w:rsid w:val="00AE5613"/>
    <w:rsid w:val="00AF131A"/>
    <w:rsid w:val="00AF143B"/>
    <w:rsid w:val="00AF38FF"/>
    <w:rsid w:val="00AF3A22"/>
    <w:rsid w:val="00AF541D"/>
    <w:rsid w:val="00AF6006"/>
    <w:rsid w:val="00B0040F"/>
    <w:rsid w:val="00B018D2"/>
    <w:rsid w:val="00B0295F"/>
    <w:rsid w:val="00B05B06"/>
    <w:rsid w:val="00B0735D"/>
    <w:rsid w:val="00B07E03"/>
    <w:rsid w:val="00B07FA4"/>
    <w:rsid w:val="00B1222A"/>
    <w:rsid w:val="00B12975"/>
    <w:rsid w:val="00B12991"/>
    <w:rsid w:val="00B12E1D"/>
    <w:rsid w:val="00B14F8B"/>
    <w:rsid w:val="00B168C9"/>
    <w:rsid w:val="00B16A15"/>
    <w:rsid w:val="00B16E6C"/>
    <w:rsid w:val="00B179CC"/>
    <w:rsid w:val="00B2011D"/>
    <w:rsid w:val="00B22207"/>
    <w:rsid w:val="00B22E63"/>
    <w:rsid w:val="00B24403"/>
    <w:rsid w:val="00B26678"/>
    <w:rsid w:val="00B307AD"/>
    <w:rsid w:val="00B31458"/>
    <w:rsid w:val="00B413FD"/>
    <w:rsid w:val="00B42BE3"/>
    <w:rsid w:val="00B43F6D"/>
    <w:rsid w:val="00B4449D"/>
    <w:rsid w:val="00B45B75"/>
    <w:rsid w:val="00B4772D"/>
    <w:rsid w:val="00B50766"/>
    <w:rsid w:val="00B50B87"/>
    <w:rsid w:val="00B52194"/>
    <w:rsid w:val="00B5363F"/>
    <w:rsid w:val="00B544BE"/>
    <w:rsid w:val="00B54813"/>
    <w:rsid w:val="00B55DFA"/>
    <w:rsid w:val="00B5795E"/>
    <w:rsid w:val="00B62F56"/>
    <w:rsid w:val="00B636A8"/>
    <w:rsid w:val="00B63D36"/>
    <w:rsid w:val="00B65EB4"/>
    <w:rsid w:val="00B66071"/>
    <w:rsid w:val="00B669A8"/>
    <w:rsid w:val="00B66ADF"/>
    <w:rsid w:val="00B674C4"/>
    <w:rsid w:val="00B7000B"/>
    <w:rsid w:val="00B7055F"/>
    <w:rsid w:val="00B70F64"/>
    <w:rsid w:val="00B71B08"/>
    <w:rsid w:val="00B738F7"/>
    <w:rsid w:val="00B7496B"/>
    <w:rsid w:val="00B74A61"/>
    <w:rsid w:val="00B74DF0"/>
    <w:rsid w:val="00B75DD1"/>
    <w:rsid w:val="00B76F66"/>
    <w:rsid w:val="00B77284"/>
    <w:rsid w:val="00B777AE"/>
    <w:rsid w:val="00B777B8"/>
    <w:rsid w:val="00B80459"/>
    <w:rsid w:val="00B804F5"/>
    <w:rsid w:val="00B810A0"/>
    <w:rsid w:val="00B8196A"/>
    <w:rsid w:val="00B81DBF"/>
    <w:rsid w:val="00B83295"/>
    <w:rsid w:val="00B83DBB"/>
    <w:rsid w:val="00B844C4"/>
    <w:rsid w:val="00B85568"/>
    <w:rsid w:val="00B858EA"/>
    <w:rsid w:val="00B86C05"/>
    <w:rsid w:val="00B9015A"/>
    <w:rsid w:val="00B901C2"/>
    <w:rsid w:val="00B9104E"/>
    <w:rsid w:val="00B91C40"/>
    <w:rsid w:val="00B938CD"/>
    <w:rsid w:val="00B93CD4"/>
    <w:rsid w:val="00B94E56"/>
    <w:rsid w:val="00BA2D11"/>
    <w:rsid w:val="00BA311D"/>
    <w:rsid w:val="00BA3B82"/>
    <w:rsid w:val="00BA3F84"/>
    <w:rsid w:val="00BA49FC"/>
    <w:rsid w:val="00BA61B6"/>
    <w:rsid w:val="00BA69FF"/>
    <w:rsid w:val="00BA6AA8"/>
    <w:rsid w:val="00BA75E6"/>
    <w:rsid w:val="00BA7E32"/>
    <w:rsid w:val="00BB004B"/>
    <w:rsid w:val="00BB2BB9"/>
    <w:rsid w:val="00BB32AE"/>
    <w:rsid w:val="00BB3EFB"/>
    <w:rsid w:val="00BB4B2E"/>
    <w:rsid w:val="00BB5D52"/>
    <w:rsid w:val="00BB5EBD"/>
    <w:rsid w:val="00BC0913"/>
    <w:rsid w:val="00BC3814"/>
    <w:rsid w:val="00BC5E64"/>
    <w:rsid w:val="00BC64C9"/>
    <w:rsid w:val="00BC7483"/>
    <w:rsid w:val="00BC789C"/>
    <w:rsid w:val="00BD02C3"/>
    <w:rsid w:val="00BD1E9F"/>
    <w:rsid w:val="00BD2350"/>
    <w:rsid w:val="00BD416E"/>
    <w:rsid w:val="00BD4E4F"/>
    <w:rsid w:val="00BD68FA"/>
    <w:rsid w:val="00BD719D"/>
    <w:rsid w:val="00BD75F9"/>
    <w:rsid w:val="00BD7871"/>
    <w:rsid w:val="00BE087A"/>
    <w:rsid w:val="00BE1528"/>
    <w:rsid w:val="00BE1BF4"/>
    <w:rsid w:val="00BE265E"/>
    <w:rsid w:val="00BE3431"/>
    <w:rsid w:val="00BE470A"/>
    <w:rsid w:val="00BE4806"/>
    <w:rsid w:val="00BE4FE9"/>
    <w:rsid w:val="00BE6841"/>
    <w:rsid w:val="00BE6D21"/>
    <w:rsid w:val="00BE750E"/>
    <w:rsid w:val="00BE7D35"/>
    <w:rsid w:val="00BF0813"/>
    <w:rsid w:val="00BF093B"/>
    <w:rsid w:val="00BF1F91"/>
    <w:rsid w:val="00BF3454"/>
    <w:rsid w:val="00BF4036"/>
    <w:rsid w:val="00BF5D65"/>
    <w:rsid w:val="00BF676B"/>
    <w:rsid w:val="00BF6938"/>
    <w:rsid w:val="00BF7237"/>
    <w:rsid w:val="00BF752A"/>
    <w:rsid w:val="00C000B5"/>
    <w:rsid w:val="00C00218"/>
    <w:rsid w:val="00C002A8"/>
    <w:rsid w:val="00C01EB1"/>
    <w:rsid w:val="00C02595"/>
    <w:rsid w:val="00C042B6"/>
    <w:rsid w:val="00C04CF5"/>
    <w:rsid w:val="00C110BE"/>
    <w:rsid w:val="00C11ACB"/>
    <w:rsid w:val="00C146CD"/>
    <w:rsid w:val="00C15311"/>
    <w:rsid w:val="00C1608C"/>
    <w:rsid w:val="00C21974"/>
    <w:rsid w:val="00C2259C"/>
    <w:rsid w:val="00C2358A"/>
    <w:rsid w:val="00C2458C"/>
    <w:rsid w:val="00C24888"/>
    <w:rsid w:val="00C2735F"/>
    <w:rsid w:val="00C27FC9"/>
    <w:rsid w:val="00C338C2"/>
    <w:rsid w:val="00C340CA"/>
    <w:rsid w:val="00C366CF"/>
    <w:rsid w:val="00C373D0"/>
    <w:rsid w:val="00C4119C"/>
    <w:rsid w:val="00C4191C"/>
    <w:rsid w:val="00C429FA"/>
    <w:rsid w:val="00C44B58"/>
    <w:rsid w:val="00C454C0"/>
    <w:rsid w:val="00C464BD"/>
    <w:rsid w:val="00C46923"/>
    <w:rsid w:val="00C46FB9"/>
    <w:rsid w:val="00C50C57"/>
    <w:rsid w:val="00C5171D"/>
    <w:rsid w:val="00C52696"/>
    <w:rsid w:val="00C55048"/>
    <w:rsid w:val="00C55C5B"/>
    <w:rsid w:val="00C55D76"/>
    <w:rsid w:val="00C56573"/>
    <w:rsid w:val="00C56909"/>
    <w:rsid w:val="00C60DCC"/>
    <w:rsid w:val="00C61213"/>
    <w:rsid w:val="00C6246E"/>
    <w:rsid w:val="00C63402"/>
    <w:rsid w:val="00C64A67"/>
    <w:rsid w:val="00C65184"/>
    <w:rsid w:val="00C65DD6"/>
    <w:rsid w:val="00C66287"/>
    <w:rsid w:val="00C6636A"/>
    <w:rsid w:val="00C66839"/>
    <w:rsid w:val="00C6776F"/>
    <w:rsid w:val="00C67D57"/>
    <w:rsid w:val="00C70AA4"/>
    <w:rsid w:val="00C70B72"/>
    <w:rsid w:val="00C70BC3"/>
    <w:rsid w:val="00C70BD9"/>
    <w:rsid w:val="00C71F9F"/>
    <w:rsid w:val="00C730A1"/>
    <w:rsid w:val="00C734AD"/>
    <w:rsid w:val="00C738C1"/>
    <w:rsid w:val="00C74CA7"/>
    <w:rsid w:val="00C76C90"/>
    <w:rsid w:val="00C771BA"/>
    <w:rsid w:val="00C80189"/>
    <w:rsid w:val="00C8099C"/>
    <w:rsid w:val="00C82A13"/>
    <w:rsid w:val="00C8302C"/>
    <w:rsid w:val="00C87A2B"/>
    <w:rsid w:val="00C87B3F"/>
    <w:rsid w:val="00C906D7"/>
    <w:rsid w:val="00C91AE0"/>
    <w:rsid w:val="00C928B9"/>
    <w:rsid w:val="00C928D6"/>
    <w:rsid w:val="00C92D51"/>
    <w:rsid w:val="00C938A8"/>
    <w:rsid w:val="00C95015"/>
    <w:rsid w:val="00C95DE0"/>
    <w:rsid w:val="00C96429"/>
    <w:rsid w:val="00C96E12"/>
    <w:rsid w:val="00C96EB1"/>
    <w:rsid w:val="00C97423"/>
    <w:rsid w:val="00C97DA0"/>
    <w:rsid w:val="00CA01DB"/>
    <w:rsid w:val="00CA0D4A"/>
    <w:rsid w:val="00CA14DE"/>
    <w:rsid w:val="00CA1E18"/>
    <w:rsid w:val="00CA1FC7"/>
    <w:rsid w:val="00CA21C6"/>
    <w:rsid w:val="00CA2627"/>
    <w:rsid w:val="00CA2B4B"/>
    <w:rsid w:val="00CA320D"/>
    <w:rsid w:val="00CA3AED"/>
    <w:rsid w:val="00CA6E03"/>
    <w:rsid w:val="00CB0114"/>
    <w:rsid w:val="00CB0FE7"/>
    <w:rsid w:val="00CB1364"/>
    <w:rsid w:val="00CB3A25"/>
    <w:rsid w:val="00CB4CEF"/>
    <w:rsid w:val="00CB52B4"/>
    <w:rsid w:val="00CB5EA2"/>
    <w:rsid w:val="00CB77BB"/>
    <w:rsid w:val="00CB7963"/>
    <w:rsid w:val="00CC0322"/>
    <w:rsid w:val="00CC04F9"/>
    <w:rsid w:val="00CC28F1"/>
    <w:rsid w:val="00CC408C"/>
    <w:rsid w:val="00CC6151"/>
    <w:rsid w:val="00CC65CA"/>
    <w:rsid w:val="00CC7992"/>
    <w:rsid w:val="00CD0E83"/>
    <w:rsid w:val="00CD0E9D"/>
    <w:rsid w:val="00CD1051"/>
    <w:rsid w:val="00CD22C9"/>
    <w:rsid w:val="00CD305C"/>
    <w:rsid w:val="00CD43C3"/>
    <w:rsid w:val="00CD7EAE"/>
    <w:rsid w:val="00CE080D"/>
    <w:rsid w:val="00CE162C"/>
    <w:rsid w:val="00CE24D0"/>
    <w:rsid w:val="00CE24ED"/>
    <w:rsid w:val="00CE47A9"/>
    <w:rsid w:val="00CE4EF5"/>
    <w:rsid w:val="00CE6C7F"/>
    <w:rsid w:val="00CE75FE"/>
    <w:rsid w:val="00CF12B5"/>
    <w:rsid w:val="00CF1D3C"/>
    <w:rsid w:val="00CF1DDB"/>
    <w:rsid w:val="00CF1ED6"/>
    <w:rsid w:val="00CF24B7"/>
    <w:rsid w:val="00CF3C52"/>
    <w:rsid w:val="00CF5D52"/>
    <w:rsid w:val="00CF68C4"/>
    <w:rsid w:val="00CF6D0D"/>
    <w:rsid w:val="00D001F3"/>
    <w:rsid w:val="00D01897"/>
    <w:rsid w:val="00D01C5E"/>
    <w:rsid w:val="00D021F3"/>
    <w:rsid w:val="00D0262B"/>
    <w:rsid w:val="00D0284F"/>
    <w:rsid w:val="00D02B01"/>
    <w:rsid w:val="00D04208"/>
    <w:rsid w:val="00D0485C"/>
    <w:rsid w:val="00D04935"/>
    <w:rsid w:val="00D04A41"/>
    <w:rsid w:val="00D06238"/>
    <w:rsid w:val="00D075C0"/>
    <w:rsid w:val="00D07DC0"/>
    <w:rsid w:val="00D1317E"/>
    <w:rsid w:val="00D1361D"/>
    <w:rsid w:val="00D1507A"/>
    <w:rsid w:val="00D15866"/>
    <w:rsid w:val="00D15DD4"/>
    <w:rsid w:val="00D16A60"/>
    <w:rsid w:val="00D20E7C"/>
    <w:rsid w:val="00D2162B"/>
    <w:rsid w:val="00D21F4A"/>
    <w:rsid w:val="00D24061"/>
    <w:rsid w:val="00D25781"/>
    <w:rsid w:val="00D26529"/>
    <w:rsid w:val="00D30221"/>
    <w:rsid w:val="00D3580B"/>
    <w:rsid w:val="00D369DD"/>
    <w:rsid w:val="00D3728C"/>
    <w:rsid w:val="00D41A2F"/>
    <w:rsid w:val="00D4281A"/>
    <w:rsid w:val="00D4548C"/>
    <w:rsid w:val="00D455C1"/>
    <w:rsid w:val="00D45A33"/>
    <w:rsid w:val="00D46340"/>
    <w:rsid w:val="00D505CF"/>
    <w:rsid w:val="00D506BC"/>
    <w:rsid w:val="00D5087D"/>
    <w:rsid w:val="00D50A78"/>
    <w:rsid w:val="00D50F0A"/>
    <w:rsid w:val="00D51B4B"/>
    <w:rsid w:val="00D533E8"/>
    <w:rsid w:val="00D53711"/>
    <w:rsid w:val="00D538EC"/>
    <w:rsid w:val="00D53A56"/>
    <w:rsid w:val="00D5594B"/>
    <w:rsid w:val="00D561DE"/>
    <w:rsid w:val="00D6041F"/>
    <w:rsid w:val="00D637CD"/>
    <w:rsid w:val="00D64F3B"/>
    <w:rsid w:val="00D65BDA"/>
    <w:rsid w:val="00D67115"/>
    <w:rsid w:val="00D673FC"/>
    <w:rsid w:val="00D678B9"/>
    <w:rsid w:val="00D718C4"/>
    <w:rsid w:val="00D73A0A"/>
    <w:rsid w:val="00D74D0D"/>
    <w:rsid w:val="00D7505F"/>
    <w:rsid w:val="00D751C4"/>
    <w:rsid w:val="00D7760C"/>
    <w:rsid w:val="00D80B57"/>
    <w:rsid w:val="00D811EB"/>
    <w:rsid w:val="00D8164F"/>
    <w:rsid w:val="00D82703"/>
    <w:rsid w:val="00D82E0B"/>
    <w:rsid w:val="00D83B8D"/>
    <w:rsid w:val="00D84732"/>
    <w:rsid w:val="00D85278"/>
    <w:rsid w:val="00D86F77"/>
    <w:rsid w:val="00D87A20"/>
    <w:rsid w:val="00D90849"/>
    <w:rsid w:val="00D9085C"/>
    <w:rsid w:val="00D90EB0"/>
    <w:rsid w:val="00D90F57"/>
    <w:rsid w:val="00D912BC"/>
    <w:rsid w:val="00D92173"/>
    <w:rsid w:val="00D924D1"/>
    <w:rsid w:val="00D93F13"/>
    <w:rsid w:val="00D970AA"/>
    <w:rsid w:val="00DA2D41"/>
    <w:rsid w:val="00DA3FB8"/>
    <w:rsid w:val="00DA4F13"/>
    <w:rsid w:val="00DA50D4"/>
    <w:rsid w:val="00DA56B0"/>
    <w:rsid w:val="00DA75BB"/>
    <w:rsid w:val="00DB10FA"/>
    <w:rsid w:val="00DB244A"/>
    <w:rsid w:val="00DB27F5"/>
    <w:rsid w:val="00DB33C6"/>
    <w:rsid w:val="00DB46A8"/>
    <w:rsid w:val="00DB5A43"/>
    <w:rsid w:val="00DB605F"/>
    <w:rsid w:val="00DB635A"/>
    <w:rsid w:val="00DB76D4"/>
    <w:rsid w:val="00DC014A"/>
    <w:rsid w:val="00DC080D"/>
    <w:rsid w:val="00DC0BB0"/>
    <w:rsid w:val="00DC1C67"/>
    <w:rsid w:val="00DC1D5E"/>
    <w:rsid w:val="00DC249A"/>
    <w:rsid w:val="00DC2F5C"/>
    <w:rsid w:val="00DC42F0"/>
    <w:rsid w:val="00DC4F02"/>
    <w:rsid w:val="00DC70EC"/>
    <w:rsid w:val="00DC76A9"/>
    <w:rsid w:val="00DD1121"/>
    <w:rsid w:val="00DD1414"/>
    <w:rsid w:val="00DD1E47"/>
    <w:rsid w:val="00DD2F76"/>
    <w:rsid w:val="00DD3287"/>
    <w:rsid w:val="00DD4652"/>
    <w:rsid w:val="00DD5809"/>
    <w:rsid w:val="00DD5DA4"/>
    <w:rsid w:val="00DD5F65"/>
    <w:rsid w:val="00DD6BEC"/>
    <w:rsid w:val="00DD70C4"/>
    <w:rsid w:val="00DD755C"/>
    <w:rsid w:val="00DD75D4"/>
    <w:rsid w:val="00DE1889"/>
    <w:rsid w:val="00DE2326"/>
    <w:rsid w:val="00DE24D8"/>
    <w:rsid w:val="00DE2686"/>
    <w:rsid w:val="00DE3648"/>
    <w:rsid w:val="00DE3B82"/>
    <w:rsid w:val="00DE3C7B"/>
    <w:rsid w:val="00DE41BF"/>
    <w:rsid w:val="00DE7444"/>
    <w:rsid w:val="00DE74C9"/>
    <w:rsid w:val="00DE76D4"/>
    <w:rsid w:val="00DF0ECA"/>
    <w:rsid w:val="00DF1089"/>
    <w:rsid w:val="00DF21F8"/>
    <w:rsid w:val="00DF250A"/>
    <w:rsid w:val="00DF3A3D"/>
    <w:rsid w:val="00DF4CCE"/>
    <w:rsid w:val="00DF52B1"/>
    <w:rsid w:val="00DF52B5"/>
    <w:rsid w:val="00E0083D"/>
    <w:rsid w:val="00E01E36"/>
    <w:rsid w:val="00E0343E"/>
    <w:rsid w:val="00E035DD"/>
    <w:rsid w:val="00E03A84"/>
    <w:rsid w:val="00E069E8"/>
    <w:rsid w:val="00E07D8B"/>
    <w:rsid w:val="00E12DEA"/>
    <w:rsid w:val="00E12E3F"/>
    <w:rsid w:val="00E1382E"/>
    <w:rsid w:val="00E14801"/>
    <w:rsid w:val="00E14D4E"/>
    <w:rsid w:val="00E14DFE"/>
    <w:rsid w:val="00E158B0"/>
    <w:rsid w:val="00E15D81"/>
    <w:rsid w:val="00E161D6"/>
    <w:rsid w:val="00E1684E"/>
    <w:rsid w:val="00E174B0"/>
    <w:rsid w:val="00E22D28"/>
    <w:rsid w:val="00E24F82"/>
    <w:rsid w:val="00E263C1"/>
    <w:rsid w:val="00E26903"/>
    <w:rsid w:val="00E2788E"/>
    <w:rsid w:val="00E30A3B"/>
    <w:rsid w:val="00E31BC7"/>
    <w:rsid w:val="00E32966"/>
    <w:rsid w:val="00E3335A"/>
    <w:rsid w:val="00E33458"/>
    <w:rsid w:val="00E3461E"/>
    <w:rsid w:val="00E348DB"/>
    <w:rsid w:val="00E349BD"/>
    <w:rsid w:val="00E34DE9"/>
    <w:rsid w:val="00E360E8"/>
    <w:rsid w:val="00E362D2"/>
    <w:rsid w:val="00E367A9"/>
    <w:rsid w:val="00E372A2"/>
    <w:rsid w:val="00E37ACC"/>
    <w:rsid w:val="00E37C97"/>
    <w:rsid w:val="00E4214C"/>
    <w:rsid w:val="00E425F4"/>
    <w:rsid w:val="00E42BCC"/>
    <w:rsid w:val="00E43072"/>
    <w:rsid w:val="00E44BAE"/>
    <w:rsid w:val="00E45448"/>
    <w:rsid w:val="00E468F6"/>
    <w:rsid w:val="00E4710C"/>
    <w:rsid w:val="00E47AC4"/>
    <w:rsid w:val="00E52952"/>
    <w:rsid w:val="00E54336"/>
    <w:rsid w:val="00E54A10"/>
    <w:rsid w:val="00E562B1"/>
    <w:rsid w:val="00E565CF"/>
    <w:rsid w:val="00E5762E"/>
    <w:rsid w:val="00E57F8A"/>
    <w:rsid w:val="00E6031F"/>
    <w:rsid w:val="00E61478"/>
    <w:rsid w:val="00E636B4"/>
    <w:rsid w:val="00E6393A"/>
    <w:rsid w:val="00E65948"/>
    <w:rsid w:val="00E659CC"/>
    <w:rsid w:val="00E66DEF"/>
    <w:rsid w:val="00E67208"/>
    <w:rsid w:val="00E71157"/>
    <w:rsid w:val="00E71419"/>
    <w:rsid w:val="00E71D9F"/>
    <w:rsid w:val="00E720EA"/>
    <w:rsid w:val="00E72C07"/>
    <w:rsid w:val="00E72C9F"/>
    <w:rsid w:val="00E73DDD"/>
    <w:rsid w:val="00E81A89"/>
    <w:rsid w:val="00E83465"/>
    <w:rsid w:val="00E86999"/>
    <w:rsid w:val="00E907D3"/>
    <w:rsid w:val="00E9116A"/>
    <w:rsid w:val="00E91571"/>
    <w:rsid w:val="00E92119"/>
    <w:rsid w:val="00E928D3"/>
    <w:rsid w:val="00E9404B"/>
    <w:rsid w:val="00E97274"/>
    <w:rsid w:val="00EA053A"/>
    <w:rsid w:val="00EA1CFC"/>
    <w:rsid w:val="00EA1D98"/>
    <w:rsid w:val="00EA1F56"/>
    <w:rsid w:val="00EA202E"/>
    <w:rsid w:val="00EA2913"/>
    <w:rsid w:val="00EA2E9A"/>
    <w:rsid w:val="00EA3A31"/>
    <w:rsid w:val="00EA666D"/>
    <w:rsid w:val="00EA6FA2"/>
    <w:rsid w:val="00EB15A2"/>
    <w:rsid w:val="00EB27F6"/>
    <w:rsid w:val="00EB346B"/>
    <w:rsid w:val="00EB3FEF"/>
    <w:rsid w:val="00EB78BF"/>
    <w:rsid w:val="00EB7E02"/>
    <w:rsid w:val="00EB7E70"/>
    <w:rsid w:val="00EC0346"/>
    <w:rsid w:val="00EC0D53"/>
    <w:rsid w:val="00EC2DA1"/>
    <w:rsid w:val="00EC3EBB"/>
    <w:rsid w:val="00EC4FAB"/>
    <w:rsid w:val="00EC5BFF"/>
    <w:rsid w:val="00EC6164"/>
    <w:rsid w:val="00EC74BC"/>
    <w:rsid w:val="00ED0298"/>
    <w:rsid w:val="00ED073A"/>
    <w:rsid w:val="00ED2198"/>
    <w:rsid w:val="00ED5B35"/>
    <w:rsid w:val="00ED5C93"/>
    <w:rsid w:val="00ED70FB"/>
    <w:rsid w:val="00ED7DA4"/>
    <w:rsid w:val="00EE2B1E"/>
    <w:rsid w:val="00EE34D2"/>
    <w:rsid w:val="00EE5328"/>
    <w:rsid w:val="00EE5448"/>
    <w:rsid w:val="00EE5556"/>
    <w:rsid w:val="00EE5BA6"/>
    <w:rsid w:val="00EE6564"/>
    <w:rsid w:val="00EE76E3"/>
    <w:rsid w:val="00EF0B0F"/>
    <w:rsid w:val="00EF0E45"/>
    <w:rsid w:val="00EF1F36"/>
    <w:rsid w:val="00EF22EC"/>
    <w:rsid w:val="00EF2BD2"/>
    <w:rsid w:val="00EF57E4"/>
    <w:rsid w:val="00EF5F6F"/>
    <w:rsid w:val="00EF65DF"/>
    <w:rsid w:val="00EF68DD"/>
    <w:rsid w:val="00EF7987"/>
    <w:rsid w:val="00F00705"/>
    <w:rsid w:val="00F01AA8"/>
    <w:rsid w:val="00F02111"/>
    <w:rsid w:val="00F02E63"/>
    <w:rsid w:val="00F05341"/>
    <w:rsid w:val="00F05991"/>
    <w:rsid w:val="00F06CB3"/>
    <w:rsid w:val="00F06E8F"/>
    <w:rsid w:val="00F06FF5"/>
    <w:rsid w:val="00F0766B"/>
    <w:rsid w:val="00F07D5B"/>
    <w:rsid w:val="00F103F9"/>
    <w:rsid w:val="00F125C4"/>
    <w:rsid w:val="00F1295F"/>
    <w:rsid w:val="00F12A38"/>
    <w:rsid w:val="00F1374E"/>
    <w:rsid w:val="00F15D76"/>
    <w:rsid w:val="00F163FB"/>
    <w:rsid w:val="00F17027"/>
    <w:rsid w:val="00F17A3E"/>
    <w:rsid w:val="00F2011C"/>
    <w:rsid w:val="00F201DB"/>
    <w:rsid w:val="00F22B07"/>
    <w:rsid w:val="00F232D2"/>
    <w:rsid w:val="00F23586"/>
    <w:rsid w:val="00F25688"/>
    <w:rsid w:val="00F25B02"/>
    <w:rsid w:val="00F26118"/>
    <w:rsid w:val="00F262A1"/>
    <w:rsid w:val="00F26C1E"/>
    <w:rsid w:val="00F2706C"/>
    <w:rsid w:val="00F2721D"/>
    <w:rsid w:val="00F274D9"/>
    <w:rsid w:val="00F27BA9"/>
    <w:rsid w:val="00F3244D"/>
    <w:rsid w:val="00F326F4"/>
    <w:rsid w:val="00F338B7"/>
    <w:rsid w:val="00F35051"/>
    <w:rsid w:val="00F356A8"/>
    <w:rsid w:val="00F35EB2"/>
    <w:rsid w:val="00F36389"/>
    <w:rsid w:val="00F3647C"/>
    <w:rsid w:val="00F36B45"/>
    <w:rsid w:val="00F36E35"/>
    <w:rsid w:val="00F40674"/>
    <w:rsid w:val="00F41505"/>
    <w:rsid w:val="00F427BB"/>
    <w:rsid w:val="00F42C3B"/>
    <w:rsid w:val="00F4405B"/>
    <w:rsid w:val="00F450D9"/>
    <w:rsid w:val="00F45141"/>
    <w:rsid w:val="00F451F8"/>
    <w:rsid w:val="00F46861"/>
    <w:rsid w:val="00F473C3"/>
    <w:rsid w:val="00F50478"/>
    <w:rsid w:val="00F50B61"/>
    <w:rsid w:val="00F5174A"/>
    <w:rsid w:val="00F51817"/>
    <w:rsid w:val="00F51FF6"/>
    <w:rsid w:val="00F5408F"/>
    <w:rsid w:val="00F546A0"/>
    <w:rsid w:val="00F54AE3"/>
    <w:rsid w:val="00F56072"/>
    <w:rsid w:val="00F60951"/>
    <w:rsid w:val="00F620E1"/>
    <w:rsid w:val="00F623EF"/>
    <w:rsid w:val="00F62498"/>
    <w:rsid w:val="00F6306E"/>
    <w:rsid w:val="00F63A74"/>
    <w:rsid w:val="00F64C37"/>
    <w:rsid w:val="00F65AD8"/>
    <w:rsid w:val="00F66998"/>
    <w:rsid w:val="00F670B3"/>
    <w:rsid w:val="00F714B9"/>
    <w:rsid w:val="00F73FCC"/>
    <w:rsid w:val="00F7404B"/>
    <w:rsid w:val="00F76110"/>
    <w:rsid w:val="00F76187"/>
    <w:rsid w:val="00F7697B"/>
    <w:rsid w:val="00F83040"/>
    <w:rsid w:val="00F830F2"/>
    <w:rsid w:val="00F83AD6"/>
    <w:rsid w:val="00F83E7B"/>
    <w:rsid w:val="00F85D52"/>
    <w:rsid w:val="00F86C08"/>
    <w:rsid w:val="00F87464"/>
    <w:rsid w:val="00F91C33"/>
    <w:rsid w:val="00F932CE"/>
    <w:rsid w:val="00F93708"/>
    <w:rsid w:val="00F96D58"/>
    <w:rsid w:val="00F97D09"/>
    <w:rsid w:val="00FA00BF"/>
    <w:rsid w:val="00FA107C"/>
    <w:rsid w:val="00FA1622"/>
    <w:rsid w:val="00FA3C8C"/>
    <w:rsid w:val="00FA5599"/>
    <w:rsid w:val="00FA5E4E"/>
    <w:rsid w:val="00FB0481"/>
    <w:rsid w:val="00FB04DC"/>
    <w:rsid w:val="00FB340C"/>
    <w:rsid w:val="00FB35ED"/>
    <w:rsid w:val="00FB699F"/>
    <w:rsid w:val="00FB6BAC"/>
    <w:rsid w:val="00FB71B9"/>
    <w:rsid w:val="00FC0092"/>
    <w:rsid w:val="00FC1649"/>
    <w:rsid w:val="00FC3B79"/>
    <w:rsid w:val="00FC4154"/>
    <w:rsid w:val="00FC63DE"/>
    <w:rsid w:val="00FD108D"/>
    <w:rsid w:val="00FD1421"/>
    <w:rsid w:val="00FD3F99"/>
    <w:rsid w:val="00FD43C3"/>
    <w:rsid w:val="00FD5B75"/>
    <w:rsid w:val="00FD5C63"/>
    <w:rsid w:val="00FD5EFD"/>
    <w:rsid w:val="00FD603F"/>
    <w:rsid w:val="00FD79F3"/>
    <w:rsid w:val="00FE01DF"/>
    <w:rsid w:val="00FE0F1D"/>
    <w:rsid w:val="00FE31A0"/>
    <w:rsid w:val="00FE3262"/>
    <w:rsid w:val="00FE4032"/>
    <w:rsid w:val="00FE40BD"/>
    <w:rsid w:val="00FE41EC"/>
    <w:rsid w:val="00FE4513"/>
    <w:rsid w:val="00FE4879"/>
    <w:rsid w:val="00FE50A1"/>
    <w:rsid w:val="00FE6375"/>
    <w:rsid w:val="00FE7564"/>
    <w:rsid w:val="00FF18A8"/>
    <w:rsid w:val="00FF1AFC"/>
    <w:rsid w:val="00FF1DC5"/>
    <w:rsid w:val="00FF25D7"/>
    <w:rsid w:val="00FF25F7"/>
    <w:rsid w:val="00FF51BD"/>
    <w:rsid w:val="00FF5D94"/>
    <w:rsid w:val="00FF7A36"/>
    <w:rsid w:val="00FF7B34"/>
    <w:rsid w:val="1D5644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FFFFFF"/>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7"/>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 w:val="20"/>
      <w:szCs w:val="20"/>
    </w:rPr>
  </w:style>
  <w:style w:type="paragraph" w:styleId="7">
    <w:name w:val="annotation text"/>
    <w:basedOn w:val="1"/>
    <w:link w:val="33"/>
    <w:semiHidden/>
    <w:unhideWhenUsed/>
    <w:qFormat/>
    <w:uiPriority w:val="99"/>
    <w:pPr>
      <w:jc w:val="left"/>
    </w:pPr>
  </w:style>
  <w:style w:type="paragraph" w:styleId="8">
    <w:name w:val="Body Text Indent"/>
    <w:basedOn w:val="1"/>
    <w:link w:val="27"/>
    <w:qFormat/>
    <w:uiPriority w:val="0"/>
    <w:pPr>
      <w:ind w:firstLine="420" w:firstLineChars="200"/>
    </w:pPr>
    <w:rPr>
      <w:rFonts w:ascii="Times New Roman" w:hAnsi="Times New Roman"/>
      <w:szCs w:val="24"/>
    </w:rPr>
  </w:style>
  <w:style w:type="paragraph" w:styleId="9">
    <w:name w:val="Balloon Text"/>
    <w:basedOn w:val="1"/>
    <w:link w:val="24"/>
    <w:semiHidden/>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tabs>
        <w:tab w:val="left" w:pos="420"/>
        <w:tab w:val="right" w:leader="dot" w:pos="8296"/>
      </w:tabs>
    </w:pPr>
  </w:style>
  <w:style w:type="paragraph" w:styleId="14">
    <w:name w:val="annotation subject"/>
    <w:basedOn w:val="7"/>
    <w:next w:val="7"/>
    <w:link w:val="34"/>
    <w:semiHidden/>
    <w:unhideWhenUsed/>
    <w:qFormat/>
    <w:uiPriority w:val="99"/>
    <w:rPr>
      <w:b/>
      <w:bCs/>
    </w:rPr>
  </w:style>
  <w:style w:type="table" w:styleId="16">
    <w:name w:val="Table Grid"/>
    <w:basedOn w:val="1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800080"/>
      <w:u w:val="single"/>
    </w:rPr>
  </w:style>
  <w:style w:type="character" w:styleId="19">
    <w:name w:val="Emphasis"/>
    <w:basedOn w:val="17"/>
    <w:qFormat/>
    <w:uiPriority w:val="20"/>
    <w:rPr>
      <w:i/>
      <w:iCs/>
    </w:rPr>
  </w:style>
  <w:style w:type="character" w:styleId="20">
    <w:name w:val="Hyperlink"/>
    <w:basedOn w:val="17"/>
    <w:unhideWhenUsed/>
    <w:qFormat/>
    <w:uiPriority w:val="99"/>
    <w:rPr>
      <w:color w:val="0000FF"/>
      <w:u w:val="single"/>
    </w:rPr>
  </w:style>
  <w:style w:type="character" w:styleId="21">
    <w:name w:val="annotation reference"/>
    <w:basedOn w:val="17"/>
    <w:semiHidden/>
    <w:unhideWhenUsed/>
    <w:qFormat/>
    <w:uiPriority w:val="99"/>
    <w:rPr>
      <w:sz w:val="21"/>
      <w:szCs w:val="21"/>
    </w:rPr>
  </w:style>
  <w:style w:type="paragraph" w:styleId="22">
    <w:name w:val="List Paragraph"/>
    <w:basedOn w:val="1"/>
    <w:qFormat/>
    <w:uiPriority w:val="0"/>
    <w:pPr>
      <w:ind w:firstLine="420" w:firstLineChars="200"/>
    </w:pPr>
  </w:style>
  <w:style w:type="character" w:styleId="23">
    <w:name w:val="Placeholder Text"/>
    <w:basedOn w:val="17"/>
    <w:semiHidden/>
    <w:qFormat/>
    <w:uiPriority w:val="99"/>
    <w:rPr>
      <w:color w:val="808080"/>
    </w:rPr>
  </w:style>
  <w:style w:type="character" w:customStyle="1" w:styleId="24">
    <w:name w:val="批注框文本 字符"/>
    <w:basedOn w:val="17"/>
    <w:link w:val="9"/>
    <w:semiHidden/>
    <w:uiPriority w:val="99"/>
    <w:rPr>
      <w:sz w:val="18"/>
      <w:szCs w:val="18"/>
    </w:rPr>
  </w:style>
  <w:style w:type="character" w:customStyle="1" w:styleId="25">
    <w:name w:val="页眉 字符"/>
    <w:basedOn w:val="17"/>
    <w:link w:val="11"/>
    <w:qFormat/>
    <w:uiPriority w:val="0"/>
    <w:rPr>
      <w:sz w:val="18"/>
      <w:szCs w:val="18"/>
    </w:rPr>
  </w:style>
  <w:style w:type="character" w:customStyle="1" w:styleId="26">
    <w:name w:val="页脚 字符"/>
    <w:basedOn w:val="17"/>
    <w:link w:val="10"/>
    <w:qFormat/>
    <w:uiPriority w:val="99"/>
    <w:rPr>
      <w:sz w:val="18"/>
      <w:szCs w:val="18"/>
    </w:rPr>
  </w:style>
  <w:style w:type="character" w:customStyle="1" w:styleId="27">
    <w:name w:val="正文文本缩进 字符"/>
    <w:basedOn w:val="17"/>
    <w:link w:val="8"/>
    <w:qFormat/>
    <w:uiPriority w:val="0"/>
    <w:rPr>
      <w:rFonts w:ascii="Times New Roman" w:hAnsi="Times New Roman" w:eastAsia="宋体" w:cs="Times New Roman"/>
      <w:szCs w:val="24"/>
    </w:rPr>
  </w:style>
  <w:style w:type="character" w:customStyle="1" w:styleId="28">
    <w:name w:val="标题 1 字符"/>
    <w:basedOn w:val="17"/>
    <w:link w:val="2"/>
    <w:qFormat/>
    <w:uiPriority w:val="9"/>
    <w:rPr>
      <w:b/>
      <w:bCs/>
      <w:kern w:val="44"/>
      <w:sz w:val="44"/>
      <w:szCs w:val="44"/>
    </w:rPr>
  </w:style>
  <w:style w:type="character" w:customStyle="1" w:styleId="29">
    <w:name w:val="标题 2 字符"/>
    <w:basedOn w:val="17"/>
    <w:link w:val="3"/>
    <w:qFormat/>
    <w:uiPriority w:val="9"/>
    <w:rPr>
      <w:rFonts w:ascii="Cambria" w:hAnsi="Cambria" w:eastAsia="宋体" w:cs="Times New Roman"/>
      <w:b/>
      <w:bCs/>
      <w:sz w:val="32"/>
      <w:szCs w:val="32"/>
    </w:rPr>
  </w:style>
  <w:style w:type="paragraph" w:customStyle="1" w:styleId="30">
    <w:name w:val="TOC Heading"/>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character" w:customStyle="1" w:styleId="31">
    <w:name w:val="apple-converted-space"/>
    <w:basedOn w:val="17"/>
    <w:qFormat/>
    <w:uiPriority w:val="0"/>
  </w:style>
  <w:style w:type="paragraph" w:customStyle="1" w:styleId="32">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33">
    <w:name w:val="批注文字 字符"/>
    <w:basedOn w:val="17"/>
    <w:link w:val="7"/>
    <w:semiHidden/>
    <w:qFormat/>
    <w:uiPriority w:val="99"/>
    <w:rPr>
      <w:kern w:val="2"/>
      <w:sz w:val="21"/>
      <w:szCs w:val="22"/>
    </w:rPr>
  </w:style>
  <w:style w:type="character" w:customStyle="1" w:styleId="34">
    <w:name w:val="批注主题 字符"/>
    <w:basedOn w:val="33"/>
    <w:link w:val="14"/>
    <w:semiHidden/>
    <w:qFormat/>
    <w:uiPriority w:val="99"/>
    <w:rPr>
      <w:b/>
      <w:bCs/>
      <w:kern w:val="2"/>
      <w:sz w:val="21"/>
      <w:szCs w:val="22"/>
    </w:rPr>
  </w:style>
  <w:style w:type="character" w:customStyle="1" w:styleId="35">
    <w:name w:val="标题 4 字符"/>
    <w:basedOn w:val="17"/>
    <w:link w:val="5"/>
    <w:semiHidden/>
    <w:qFormat/>
    <w:uiPriority w:val="9"/>
    <w:rPr>
      <w:rFonts w:asciiTheme="majorHAnsi" w:hAnsiTheme="majorHAnsi" w:eastAsiaTheme="majorEastAsia" w:cstheme="majorBidi"/>
      <w:b/>
      <w:bCs/>
      <w:kern w:val="2"/>
      <w:sz w:val="28"/>
      <w:szCs w:val="28"/>
    </w:rPr>
  </w:style>
  <w:style w:type="paragraph" w:customStyle="1" w:styleId="36">
    <w:name w:val="Revision"/>
    <w:hidden/>
    <w:semiHidden/>
    <w:qFormat/>
    <w:uiPriority w:val="99"/>
    <w:rPr>
      <w:rFonts w:ascii="Calibri" w:hAnsi="Calibri" w:eastAsia="宋体" w:cs="Times New Roman"/>
      <w:kern w:val="2"/>
      <w:sz w:val="21"/>
      <w:szCs w:val="22"/>
      <w:lang w:val="en-US" w:eastAsia="zh-CN" w:bidi="ar-SA"/>
    </w:rPr>
  </w:style>
  <w:style w:type="character" w:customStyle="1" w:styleId="37">
    <w:name w:val="标题 3 字符"/>
    <w:basedOn w:val="17"/>
    <w:link w:val="4"/>
    <w:semiHidden/>
    <w:qFormat/>
    <w:uiPriority w:val="9"/>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wmf"/><Relationship Id="rId34" Type="http://schemas.openxmlformats.org/officeDocument/2006/relationships/oleObject" Target="embeddings/oleObject9.bin"/><Relationship Id="rId33" Type="http://schemas.openxmlformats.org/officeDocument/2006/relationships/image" Target="media/image13.wmf"/><Relationship Id="rId32" Type="http://schemas.openxmlformats.org/officeDocument/2006/relationships/oleObject" Target="embeddings/oleObject8.bin"/><Relationship Id="rId31" Type="http://schemas.openxmlformats.org/officeDocument/2006/relationships/image" Target="media/image12.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1.png"/><Relationship Id="rId28" Type="http://schemas.openxmlformats.org/officeDocument/2006/relationships/image" Target="media/image10.wmf"/><Relationship Id="rId27" Type="http://schemas.openxmlformats.org/officeDocument/2006/relationships/oleObject" Target="embeddings/oleObject6.bin"/><Relationship Id="rId26" Type="http://schemas.openxmlformats.org/officeDocument/2006/relationships/image" Target="media/image9.wmf"/><Relationship Id="rId25" Type="http://schemas.openxmlformats.org/officeDocument/2006/relationships/oleObject" Target="embeddings/oleObject5.bin"/><Relationship Id="rId24" Type="http://schemas.openxmlformats.org/officeDocument/2006/relationships/image" Target="media/image8.wmf"/><Relationship Id="rId23" Type="http://schemas.openxmlformats.org/officeDocument/2006/relationships/oleObject" Target="embeddings/oleObject4.bin"/><Relationship Id="rId22" Type="http://schemas.openxmlformats.org/officeDocument/2006/relationships/image" Target="media/image7.wmf"/><Relationship Id="rId21" Type="http://schemas.openxmlformats.org/officeDocument/2006/relationships/oleObject" Target="embeddings/oleObject3.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5.wmf"/><Relationship Id="rId17" Type="http://schemas.openxmlformats.org/officeDocument/2006/relationships/oleObject" Target="embeddings/oleObject1.bin"/><Relationship Id="rId16" Type="http://schemas.openxmlformats.org/officeDocument/2006/relationships/image" Target="media/image4.png"/><Relationship Id="rId15" Type="http://schemas.openxmlformats.org/officeDocument/2006/relationships/image" Target="media/image3.emf"/><Relationship Id="rId14" Type="http://schemas.openxmlformats.org/officeDocument/2006/relationships/oleObject" Target="embeddings/Microsoft_Visio_2003-2010___1.vsd"/><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A6D03-F304-4F03-A104-DF93295BF9D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405</Words>
  <Characters>490</Characters>
  <Lines>98</Lines>
  <Paragraphs>27</Paragraphs>
  <TotalTime>274</TotalTime>
  <ScaleCrop>false</ScaleCrop>
  <LinksUpToDate>false</LinksUpToDate>
  <CharactersWithSpaces>529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2026-08-23T03:32:00Z</dcterms:created>
  <dc:creator>alex</dc:creator>
  <cp:lastModifiedBy>周宝珑</cp:lastModifiedBy>
  <cp:lastPrinted>2017-09-04T08:31:00Z</cp:lastPrinted>
  <dcterms:modified xsi:type="dcterms:W3CDTF">2026-08-25T01:48:49Z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eyJoZGlkIjoiMjhiNWUzOWNhNGYwODNhMzBhYWRjY2E4YmUwY2M4ZGUiLCJ1c2VySWQiOiI4NDU0MTQzMzgifQ==</vt:lpwstr>
  </property>
  <property fmtid="{D5CDD505-2E9C-101B-9397-08002B2CF9AE}" pid="3" name="KSOProductBuildVer">
    <vt:lpwstr>2052-12.1.0.28043</vt:lpwstr>
  </property>
  <property fmtid="{D5CDD505-2E9C-101B-9397-08002B2CF9AE}" pid="4" name="ICV">
    <vt:lpwstr>0AF7E43C3BEB45A88349495F7F504F6D_12</vt:lpwstr>
  </property>
</Properties>
</file>