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DDB9F" w14:textId="77777777" w:rsidR="00200C0E" w:rsidRDefault="00200C0E">
      <w:pPr>
        <w:pStyle w:val="a5"/>
        <w:tabs>
          <w:tab w:val="left" w:pos="2625"/>
        </w:tabs>
        <w:rPr>
          <w:rFonts w:ascii="Times New Roman"/>
          <w:sz w:val="28"/>
          <w:szCs w:val="28"/>
        </w:rPr>
      </w:pPr>
    </w:p>
    <w:p w14:paraId="03979FFF" w14:textId="77777777" w:rsidR="00200C0E" w:rsidRDefault="00200C0E">
      <w:pPr>
        <w:pStyle w:val="a5"/>
        <w:tabs>
          <w:tab w:val="left" w:pos="2625"/>
        </w:tabs>
        <w:rPr>
          <w:rFonts w:ascii="Times New Roman"/>
          <w:sz w:val="28"/>
          <w:szCs w:val="28"/>
        </w:rPr>
      </w:pPr>
    </w:p>
    <w:p w14:paraId="59BA3F68" w14:textId="596C3CAD" w:rsidR="00200C0E" w:rsidRDefault="002049BD" w:rsidP="00AE3B2D">
      <w:pPr>
        <w:pStyle w:val="a5"/>
        <w:spacing w:line="360" w:lineRule="auto"/>
        <w:rPr>
          <w:rFonts w:ascii="Times New Roman" w:eastAsia="黑体"/>
          <w:kern w:val="2"/>
          <w:sz w:val="44"/>
          <w:szCs w:val="44"/>
        </w:rPr>
      </w:pPr>
      <w:r>
        <w:rPr>
          <w:rFonts w:ascii="Times New Roman" w:eastAsia="黑体" w:hint="eastAsia"/>
          <w:kern w:val="2"/>
          <w:sz w:val="44"/>
          <w:szCs w:val="44"/>
        </w:rPr>
        <w:t>《企业温室气体排放计量器具配备与管理规范</w:t>
      </w:r>
      <w:r>
        <w:rPr>
          <w:rFonts w:ascii="Times New Roman" w:eastAsia="黑体" w:hint="eastAsia"/>
          <w:kern w:val="2"/>
          <w:sz w:val="44"/>
          <w:szCs w:val="44"/>
        </w:rPr>
        <w:t xml:space="preserve"> </w:t>
      </w:r>
      <w:r>
        <w:rPr>
          <w:rFonts w:ascii="Times New Roman" w:eastAsia="黑体" w:hint="eastAsia"/>
          <w:kern w:val="2"/>
          <w:sz w:val="44"/>
          <w:szCs w:val="44"/>
        </w:rPr>
        <w:t>油气生产</w:t>
      </w:r>
      <w:r>
        <w:rPr>
          <w:rFonts w:ascii="Times New Roman" w:eastAsia="黑体"/>
          <w:kern w:val="2"/>
          <w:sz w:val="44"/>
          <w:szCs w:val="44"/>
        </w:rPr>
        <w:t>》</w:t>
      </w:r>
      <w:r>
        <w:rPr>
          <w:rFonts w:ascii="Times New Roman" w:eastAsia="黑体" w:hint="eastAsia"/>
          <w:kern w:val="2"/>
          <w:sz w:val="44"/>
          <w:szCs w:val="44"/>
        </w:rPr>
        <w:t>国家计量技术规范编写</w:t>
      </w:r>
      <w:r>
        <w:rPr>
          <w:rFonts w:ascii="Times New Roman" w:eastAsia="黑体"/>
          <w:kern w:val="2"/>
          <w:sz w:val="44"/>
          <w:szCs w:val="44"/>
        </w:rPr>
        <w:t>说明</w:t>
      </w:r>
    </w:p>
    <w:p w14:paraId="1E64A7B8" w14:textId="6F731D45" w:rsidR="00200C0E" w:rsidRDefault="002049BD">
      <w:pPr>
        <w:pStyle w:val="a5"/>
        <w:rPr>
          <w:rFonts w:ascii="Times New Roman"/>
          <w:sz w:val="28"/>
          <w:szCs w:val="28"/>
        </w:rPr>
      </w:pPr>
      <w:r>
        <w:rPr>
          <w:rFonts w:ascii="Times New Roman" w:eastAsia="黑体"/>
          <w:color w:val="000000"/>
          <w:sz w:val="28"/>
          <w:szCs w:val="28"/>
        </w:rPr>
        <w:t xml:space="preserve">  </w:t>
      </w:r>
      <w:r>
        <w:rPr>
          <w:rFonts w:ascii="Times New Roman" w:eastAsia="黑体"/>
          <w:color w:val="000000"/>
          <w:sz w:val="28"/>
          <w:szCs w:val="28"/>
        </w:rPr>
        <w:t>（</w:t>
      </w:r>
      <w:r w:rsidR="00AE3B2D">
        <w:rPr>
          <w:rFonts w:ascii="Times New Roman" w:eastAsia="黑体" w:hint="eastAsia"/>
          <w:color w:val="000000"/>
          <w:sz w:val="28"/>
          <w:szCs w:val="28"/>
        </w:rPr>
        <w:t>征求意见</w:t>
      </w:r>
      <w:r>
        <w:rPr>
          <w:rFonts w:ascii="Times New Roman" w:eastAsia="黑体"/>
          <w:color w:val="000000"/>
          <w:sz w:val="28"/>
          <w:szCs w:val="28"/>
        </w:rPr>
        <w:t>稿）</w:t>
      </w:r>
    </w:p>
    <w:p w14:paraId="3DD7542E" w14:textId="77777777" w:rsidR="00200C0E" w:rsidRDefault="00200C0E">
      <w:pPr>
        <w:pStyle w:val="a5"/>
        <w:rPr>
          <w:rFonts w:ascii="Times New Roman" w:eastAsia="黑体"/>
          <w:sz w:val="32"/>
          <w:szCs w:val="32"/>
        </w:rPr>
      </w:pPr>
    </w:p>
    <w:p w14:paraId="32B2646C" w14:textId="77777777" w:rsidR="00200C0E" w:rsidRDefault="00200C0E">
      <w:pPr>
        <w:pStyle w:val="a5"/>
        <w:rPr>
          <w:rFonts w:ascii="Times New Roman" w:eastAsia="黑体"/>
          <w:sz w:val="32"/>
          <w:szCs w:val="32"/>
        </w:rPr>
      </w:pPr>
    </w:p>
    <w:p w14:paraId="6BCE87E4" w14:textId="77777777" w:rsidR="00200C0E" w:rsidRDefault="00200C0E">
      <w:pPr>
        <w:pStyle w:val="a5"/>
        <w:rPr>
          <w:rFonts w:ascii="Times New Roman" w:eastAsia="黑体"/>
          <w:sz w:val="32"/>
          <w:szCs w:val="32"/>
        </w:rPr>
      </w:pPr>
    </w:p>
    <w:p w14:paraId="765112C4" w14:textId="77777777" w:rsidR="00200C0E" w:rsidRDefault="00200C0E">
      <w:pPr>
        <w:pStyle w:val="a5"/>
        <w:rPr>
          <w:rFonts w:ascii="Times New Roman" w:eastAsia="黑体"/>
          <w:sz w:val="32"/>
          <w:szCs w:val="32"/>
        </w:rPr>
      </w:pPr>
    </w:p>
    <w:p w14:paraId="0AB319B2" w14:textId="77777777" w:rsidR="00200C0E" w:rsidRDefault="00200C0E">
      <w:pPr>
        <w:pStyle w:val="a5"/>
        <w:spacing w:before="0" w:line="360" w:lineRule="auto"/>
        <w:ind w:firstLine="640"/>
        <w:rPr>
          <w:rFonts w:ascii="Times New Roman" w:eastAsia="黑体"/>
          <w:sz w:val="32"/>
          <w:szCs w:val="32"/>
        </w:rPr>
      </w:pPr>
    </w:p>
    <w:p w14:paraId="76F98882" w14:textId="77777777" w:rsidR="00200C0E" w:rsidRDefault="00200C0E">
      <w:pPr>
        <w:pStyle w:val="a5"/>
        <w:spacing w:before="0" w:line="360" w:lineRule="auto"/>
        <w:ind w:firstLine="640"/>
        <w:rPr>
          <w:rFonts w:ascii="Times New Roman" w:eastAsia="黑体"/>
          <w:sz w:val="32"/>
          <w:szCs w:val="32"/>
        </w:rPr>
      </w:pPr>
    </w:p>
    <w:p w14:paraId="4D8EB78A" w14:textId="77777777" w:rsidR="00200C0E" w:rsidRDefault="00200C0E">
      <w:pPr>
        <w:pStyle w:val="a5"/>
        <w:spacing w:before="0" w:line="360" w:lineRule="auto"/>
        <w:ind w:firstLine="640"/>
        <w:rPr>
          <w:rFonts w:ascii="Times New Roman" w:eastAsia="黑体"/>
          <w:sz w:val="32"/>
          <w:szCs w:val="32"/>
        </w:rPr>
      </w:pPr>
    </w:p>
    <w:p w14:paraId="0EB6F231" w14:textId="77777777" w:rsidR="00200C0E" w:rsidRDefault="002049BD">
      <w:pPr>
        <w:pStyle w:val="a5"/>
        <w:spacing w:line="360" w:lineRule="auto"/>
        <w:ind w:firstLine="640"/>
        <w:rPr>
          <w:rFonts w:ascii="Times New Roman" w:eastAsia="黑体"/>
          <w:sz w:val="28"/>
          <w:szCs w:val="28"/>
        </w:rPr>
      </w:pPr>
      <w:r>
        <w:rPr>
          <w:rFonts w:ascii="Times New Roman" w:eastAsia="黑体" w:hint="eastAsia"/>
          <w:bCs/>
          <w:sz w:val="28"/>
          <w:szCs w:val="28"/>
        </w:rPr>
        <w:t>单位名称</w:t>
      </w:r>
      <w:r>
        <w:rPr>
          <w:rFonts w:ascii="Times New Roman" w:eastAsia="黑体" w:hint="eastAsia"/>
          <w:bCs/>
          <w:sz w:val="28"/>
          <w:szCs w:val="28"/>
        </w:rPr>
        <w:t>：</w:t>
      </w:r>
      <w:r>
        <w:rPr>
          <w:rFonts w:ascii="Times New Roman" w:eastAsia="黑体" w:hint="eastAsia"/>
          <w:bCs/>
          <w:sz w:val="28"/>
          <w:szCs w:val="28"/>
        </w:rPr>
        <w:t>中国石油化工股份有限公司胜利油田分公司技术检测中心</w:t>
      </w:r>
    </w:p>
    <w:p w14:paraId="2B4D640B" w14:textId="77777777" w:rsidR="00200C0E" w:rsidRDefault="002049BD">
      <w:pPr>
        <w:pStyle w:val="a5"/>
        <w:spacing w:before="0" w:line="240" w:lineRule="auto"/>
        <w:rPr>
          <w:rFonts w:ascii="Times New Roman" w:eastAsia="黑体"/>
          <w:sz w:val="28"/>
          <w:szCs w:val="28"/>
        </w:rPr>
      </w:pPr>
      <w:r>
        <w:rPr>
          <w:rFonts w:ascii="Times New Roman" w:eastAsia="黑体"/>
          <w:sz w:val="28"/>
          <w:szCs w:val="28"/>
        </w:rPr>
        <w:t xml:space="preserve">  </w:t>
      </w:r>
      <w:r>
        <w:rPr>
          <w:rFonts w:ascii="Times New Roman" w:eastAsia="黑体" w:hint="eastAsia"/>
          <w:sz w:val="28"/>
          <w:szCs w:val="28"/>
        </w:rPr>
        <w:t>2026</w:t>
      </w:r>
      <w:r>
        <w:rPr>
          <w:rFonts w:ascii="Times New Roman" w:eastAsia="黑体"/>
          <w:sz w:val="28"/>
          <w:szCs w:val="28"/>
        </w:rPr>
        <w:t>年</w:t>
      </w:r>
      <w:r>
        <w:rPr>
          <w:rFonts w:ascii="Times New Roman" w:eastAsia="黑体" w:hint="eastAsia"/>
          <w:sz w:val="28"/>
          <w:szCs w:val="28"/>
        </w:rPr>
        <w:t>5</w:t>
      </w:r>
      <w:r>
        <w:rPr>
          <w:rFonts w:ascii="Times New Roman" w:eastAsia="黑体"/>
          <w:sz w:val="28"/>
          <w:szCs w:val="28"/>
        </w:rPr>
        <w:t>月</w:t>
      </w:r>
    </w:p>
    <w:p w14:paraId="3A03784A" w14:textId="77777777" w:rsidR="00200C0E" w:rsidRDefault="00200C0E">
      <w:pPr>
        <w:pStyle w:val="1"/>
        <w:numPr>
          <w:ilvl w:val="0"/>
          <w:numId w:val="1"/>
        </w:numPr>
        <w:spacing w:before="0" w:after="0" w:line="440" w:lineRule="exact"/>
        <w:rPr>
          <w:rFonts w:eastAsia="黑体"/>
          <w:b w:val="0"/>
          <w:bCs w:val="0"/>
          <w:sz w:val="28"/>
          <w:szCs w:val="28"/>
        </w:rPr>
        <w:sectPr w:rsidR="00200C0E">
          <w:footerReference w:type="default" r:id="rId7"/>
          <w:pgSz w:w="11906" w:h="16838"/>
          <w:pgMar w:top="1418" w:right="1418" w:bottom="1418" w:left="1418" w:header="851" w:footer="992" w:gutter="0"/>
          <w:pgNumType w:start="1"/>
          <w:cols w:space="720"/>
          <w:titlePg/>
          <w:docGrid w:type="lines" w:linePitch="500"/>
        </w:sectPr>
      </w:pPr>
    </w:p>
    <w:p w14:paraId="2DEC26EC" w14:textId="77777777" w:rsidR="00200C0E" w:rsidRDefault="00200C0E">
      <w:pPr>
        <w:pStyle w:val="1"/>
        <w:numPr>
          <w:ilvl w:val="0"/>
          <w:numId w:val="1"/>
        </w:numPr>
        <w:spacing w:before="0" w:after="0" w:line="440" w:lineRule="exact"/>
        <w:rPr>
          <w:rFonts w:eastAsia="黑体"/>
          <w:b w:val="0"/>
          <w:bCs w:val="0"/>
          <w:sz w:val="28"/>
          <w:szCs w:val="28"/>
        </w:rPr>
        <w:sectPr w:rsidR="00200C0E">
          <w:type w:val="continuous"/>
          <w:pgSz w:w="11906" w:h="16838"/>
          <w:pgMar w:top="1418" w:right="1418" w:bottom="1418" w:left="1418" w:header="851" w:footer="992" w:gutter="0"/>
          <w:cols w:space="720"/>
          <w:docGrid w:type="lines" w:linePitch="500"/>
        </w:sectPr>
      </w:pPr>
    </w:p>
    <w:p w14:paraId="2BEA3A83" w14:textId="77777777" w:rsidR="00200C0E" w:rsidRDefault="002049BD">
      <w:pPr>
        <w:pStyle w:val="a4"/>
        <w:tabs>
          <w:tab w:val="left" w:pos="0"/>
        </w:tabs>
        <w:ind w:left="-200" w:firstLineChars="0" w:firstLine="0"/>
        <w:jc w:val="center"/>
        <w:rPr>
          <w:rFonts w:ascii="宋体" w:hAnsi="宋体" w:cs="宋体"/>
          <w:b/>
          <w:bCs/>
          <w:sz w:val="32"/>
          <w:szCs w:val="32"/>
        </w:rPr>
      </w:pPr>
      <w:r>
        <w:rPr>
          <w:rFonts w:ascii="宋体" w:hAnsi="宋体" w:cs="宋体" w:hint="eastAsia"/>
          <w:b/>
          <w:bCs/>
          <w:sz w:val="32"/>
          <w:szCs w:val="32"/>
        </w:rPr>
        <w:lastRenderedPageBreak/>
        <w:t>《</w:t>
      </w:r>
      <w:r>
        <w:rPr>
          <w:rFonts w:ascii="宋体" w:hAnsi="宋体" w:cs="宋体" w:hint="eastAsia"/>
          <w:b/>
          <w:bCs/>
          <w:sz w:val="32"/>
          <w:szCs w:val="32"/>
        </w:rPr>
        <w:t>企业温室气体排放计量器具配备与管理规范</w:t>
      </w:r>
      <w:r>
        <w:rPr>
          <w:rFonts w:ascii="宋体" w:hAnsi="宋体" w:cs="宋体" w:hint="eastAsia"/>
          <w:b/>
          <w:bCs/>
          <w:sz w:val="32"/>
          <w:szCs w:val="32"/>
        </w:rPr>
        <w:t xml:space="preserve"> </w:t>
      </w:r>
      <w:r>
        <w:rPr>
          <w:rFonts w:ascii="宋体" w:hAnsi="宋体" w:cs="宋体" w:hint="eastAsia"/>
          <w:b/>
          <w:bCs/>
          <w:sz w:val="32"/>
          <w:szCs w:val="32"/>
        </w:rPr>
        <w:t>油气</w:t>
      </w:r>
      <w:r>
        <w:rPr>
          <w:rFonts w:ascii="宋体" w:hAnsi="宋体" w:cs="宋体" w:hint="eastAsia"/>
          <w:b/>
          <w:bCs/>
          <w:sz w:val="32"/>
          <w:szCs w:val="32"/>
        </w:rPr>
        <w:t>生产</w:t>
      </w:r>
      <w:r>
        <w:rPr>
          <w:rFonts w:ascii="宋体" w:hAnsi="宋体" w:cs="宋体" w:hint="eastAsia"/>
          <w:b/>
          <w:bCs/>
          <w:sz w:val="32"/>
          <w:szCs w:val="32"/>
        </w:rPr>
        <w:t>》</w:t>
      </w:r>
    </w:p>
    <w:p w14:paraId="61CC4C11" w14:textId="77777777" w:rsidR="00200C0E" w:rsidRDefault="002049BD">
      <w:pPr>
        <w:pStyle w:val="a4"/>
        <w:tabs>
          <w:tab w:val="left" w:pos="0"/>
        </w:tabs>
        <w:ind w:left="-200" w:firstLineChars="0" w:firstLine="0"/>
        <w:jc w:val="center"/>
        <w:rPr>
          <w:rFonts w:ascii="宋体" w:hAnsi="宋体" w:cs="宋体"/>
          <w:b/>
          <w:bCs/>
          <w:sz w:val="32"/>
          <w:szCs w:val="32"/>
        </w:rPr>
      </w:pPr>
      <w:r>
        <w:rPr>
          <w:rFonts w:ascii="宋体" w:hAnsi="宋体" w:cs="宋体" w:hint="eastAsia"/>
          <w:b/>
          <w:bCs/>
          <w:sz w:val="32"/>
          <w:szCs w:val="32"/>
        </w:rPr>
        <w:t>编写说明</w:t>
      </w:r>
    </w:p>
    <w:p w14:paraId="0ADA24AF"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一、</w:t>
      </w:r>
      <w:r>
        <w:rPr>
          <w:rFonts w:ascii="宋体" w:hAnsi="宋体" w:cs="宋体" w:hint="eastAsia"/>
          <w:b/>
          <w:bCs/>
          <w:sz w:val="28"/>
          <w:szCs w:val="28"/>
        </w:rPr>
        <w:t>阐明任务来源、编写依据、与国际相关技术文件的兼容情况</w:t>
      </w:r>
    </w:p>
    <w:p w14:paraId="077E6DB8"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1.</w:t>
      </w:r>
      <w:r>
        <w:rPr>
          <w:rFonts w:ascii="宋体" w:hAnsi="宋体" w:cs="宋体" w:hint="eastAsia"/>
          <w:b/>
          <w:bCs/>
          <w:sz w:val="28"/>
          <w:szCs w:val="28"/>
        </w:rPr>
        <w:t>任务来源</w:t>
      </w:r>
    </w:p>
    <w:p w14:paraId="32C04CA5"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本标准根据市监计量发</w:t>
      </w:r>
      <w:r>
        <w:rPr>
          <w:rFonts w:ascii="宋体" w:hAnsi="宋体" w:cs="宋体" w:hint="eastAsia"/>
          <w:sz w:val="28"/>
          <w:szCs w:val="28"/>
        </w:rPr>
        <w:t>[2024]40</w:t>
      </w:r>
      <w:r>
        <w:rPr>
          <w:rFonts w:ascii="宋体" w:hAnsi="宋体" w:cs="宋体" w:hint="eastAsia"/>
          <w:sz w:val="28"/>
          <w:szCs w:val="28"/>
        </w:rPr>
        <w:t>号文件《市场监管总局办公厅关于印发</w:t>
      </w:r>
      <w:r>
        <w:rPr>
          <w:rFonts w:ascii="宋体" w:hAnsi="宋体" w:cs="宋体" w:hint="eastAsia"/>
          <w:sz w:val="28"/>
          <w:szCs w:val="28"/>
        </w:rPr>
        <w:t>2024</w:t>
      </w:r>
      <w:r>
        <w:rPr>
          <w:rFonts w:ascii="宋体" w:hAnsi="宋体" w:cs="宋体" w:hint="eastAsia"/>
          <w:sz w:val="28"/>
          <w:szCs w:val="28"/>
        </w:rPr>
        <w:t>年国家计量技术规范制定、修订及宣贯计划的通知》的要求，制定国家计量技术规范项目《企业温室气体排放计量器具配备与管理规范</w:t>
      </w:r>
      <w:r>
        <w:rPr>
          <w:rFonts w:ascii="宋体" w:hAnsi="宋体" w:cs="宋体" w:hint="eastAsia"/>
          <w:sz w:val="28"/>
          <w:szCs w:val="28"/>
        </w:rPr>
        <w:t xml:space="preserve"> </w:t>
      </w:r>
      <w:r>
        <w:rPr>
          <w:rFonts w:ascii="宋体" w:hAnsi="宋体" w:cs="宋体" w:hint="eastAsia"/>
          <w:sz w:val="28"/>
          <w:szCs w:val="28"/>
        </w:rPr>
        <w:t>油气生产》（计划项目编号：</w:t>
      </w:r>
      <w:r>
        <w:rPr>
          <w:rFonts w:ascii="宋体" w:hAnsi="宋体" w:cs="宋体" w:hint="eastAsia"/>
          <w:sz w:val="28"/>
          <w:szCs w:val="28"/>
        </w:rPr>
        <w:t>MTC42</w:t>
      </w:r>
      <w:r>
        <w:rPr>
          <w:rFonts w:ascii="宋体" w:hAnsi="宋体" w:cs="宋体" w:hint="eastAsia"/>
          <w:sz w:val="28"/>
          <w:szCs w:val="28"/>
        </w:rPr>
        <w:t>－</w:t>
      </w:r>
      <w:r>
        <w:rPr>
          <w:rFonts w:ascii="宋体" w:hAnsi="宋体" w:cs="宋体" w:hint="eastAsia"/>
          <w:sz w:val="28"/>
          <w:szCs w:val="28"/>
        </w:rPr>
        <w:t>2024</w:t>
      </w:r>
      <w:r>
        <w:rPr>
          <w:rFonts w:ascii="宋体" w:hAnsi="宋体" w:cs="宋体" w:hint="eastAsia"/>
          <w:sz w:val="28"/>
          <w:szCs w:val="28"/>
        </w:rPr>
        <w:t>－</w:t>
      </w:r>
      <w:r>
        <w:rPr>
          <w:rFonts w:ascii="宋体" w:hAnsi="宋体" w:cs="宋体" w:hint="eastAsia"/>
          <w:sz w:val="28"/>
          <w:szCs w:val="28"/>
        </w:rPr>
        <w:t>01</w:t>
      </w:r>
      <w:r>
        <w:rPr>
          <w:rFonts w:ascii="宋体" w:hAnsi="宋体" w:cs="宋体" w:hint="eastAsia"/>
          <w:sz w:val="28"/>
          <w:szCs w:val="28"/>
        </w:rPr>
        <w:t>），负责起草牵头单位为中国石油化工股份有限公司胜利油田分公司技术检测中心，计划于</w:t>
      </w:r>
      <w:r>
        <w:rPr>
          <w:rFonts w:ascii="宋体" w:hAnsi="宋体" w:cs="宋体" w:hint="eastAsia"/>
          <w:sz w:val="28"/>
          <w:szCs w:val="28"/>
        </w:rPr>
        <w:t>2026</w:t>
      </w:r>
      <w:r>
        <w:rPr>
          <w:rFonts w:ascii="宋体" w:hAnsi="宋体" w:cs="宋体" w:hint="eastAsia"/>
          <w:sz w:val="28"/>
          <w:szCs w:val="28"/>
        </w:rPr>
        <w:t>年</w:t>
      </w:r>
      <w:r>
        <w:rPr>
          <w:rFonts w:ascii="宋体" w:hAnsi="宋体" w:cs="宋体" w:hint="eastAsia"/>
          <w:sz w:val="28"/>
          <w:szCs w:val="28"/>
        </w:rPr>
        <w:t>5</w:t>
      </w:r>
      <w:r>
        <w:rPr>
          <w:rFonts w:ascii="宋体" w:hAnsi="宋体" w:cs="宋体" w:hint="eastAsia"/>
          <w:sz w:val="28"/>
          <w:szCs w:val="28"/>
        </w:rPr>
        <w:t>月底完成标准制定任务。</w:t>
      </w:r>
    </w:p>
    <w:p w14:paraId="2B910C35"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2.</w:t>
      </w:r>
      <w:r>
        <w:rPr>
          <w:rFonts w:ascii="宋体" w:hAnsi="宋体" w:cs="宋体" w:hint="eastAsia"/>
          <w:b/>
          <w:bCs/>
          <w:sz w:val="28"/>
          <w:szCs w:val="28"/>
        </w:rPr>
        <w:t>编写依据</w:t>
      </w:r>
    </w:p>
    <w:p w14:paraId="19B77D97"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国务院发布《关于印发计量发展规划（</w:t>
      </w:r>
      <w:r>
        <w:rPr>
          <w:rFonts w:ascii="宋体" w:hAnsi="宋体" w:cs="宋体" w:hint="eastAsia"/>
          <w:sz w:val="28"/>
          <w:szCs w:val="28"/>
        </w:rPr>
        <w:t>2021</w:t>
      </w:r>
      <w:r>
        <w:rPr>
          <w:rFonts w:ascii="宋体" w:hAnsi="宋体" w:cs="宋体" w:hint="eastAsia"/>
          <w:sz w:val="28"/>
          <w:szCs w:val="28"/>
        </w:rPr>
        <w:t>—</w:t>
      </w:r>
      <w:r>
        <w:rPr>
          <w:rFonts w:ascii="宋体" w:hAnsi="宋体" w:cs="宋体" w:hint="eastAsia"/>
          <w:sz w:val="28"/>
          <w:szCs w:val="28"/>
        </w:rPr>
        <w:t>2035</w:t>
      </w:r>
      <w:r>
        <w:rPr>
          <w:rFonts w:ascii="宋体" w:hAnsi="宋体" w:cs="宋体" w:hint="eastAsia"/>
          <w:sz w:val="28"/>
          <w:szCs w:val="28"/>
        </w:rPr>
        <w:t>年）的通知》、市场监管总局</w:t>
      </w:r>
      <w:r>
        <w:rPr>
          <w:rFonts w:ascii="宋体" w:hAnsi="宋体" w:cs="宋体" w:hint="eastAsia"/>
          <w:sz w:val="28"/>
          <w:szCs w:val="28"/>
        </w:rPr>
        <w:t>联合</w:t>
      </w:r>
      <w:r>
        <w:rPr>
          <w:rFonts w:ascii="宋体" w:hAnsi="宋体" w:cs="宋体" w:hint="eastAsia"/>
          <w:sz w:val="28"/>
          <w:szCs w:val="28"/>
        </w:rPr>
        <w:t>国家发展改革委、工业和信息化部等九部门印发《建立健全碳达峰碳中和标准计量体系实施方案》、《重点用能单位能源计量审查规范》（</w:t>
      </w:r>
      <w:r>
        <w:rPr>
          <w:rFonts w:ascii="宋体" w:hAnsi="宋体" w:cs="宋体" w:hint="eastAsia"/>
          <w:sz w:val="28"/>
          <w:szCs w:val="28"/>
        </w:rPr>
        <w:t>JJF1356</w:t>
      </w:r>
      <w:r>
        <w:rPr>
          <w:rFonts w:ascii="宋体" w:hAnsi="宋体" w:cs="宋体" w:hint="eastAsia"/>
          <w:sz w:val="28"/>
          <w:szCs w:val="28"/>
        </w:rPr>
        <w:t>）、《用能单位能源计量器具配备和管理通则》（</w:t>
      </w:r>
      <w:r>
        <w:rPr>
          <w:rFonts w:ascii="宋体" w:hAnsi="宋体" w:cs="宋体" w:hint="eastAsia"/>
          <w:sz w:val="28"/>
          <w:szCs w:val="28"/>
        </w:rPr>
        <w:t>GB17167</w:t>
      </w:r>
      <w:r>
        <w:rPr>
          <w:rFonts w:ascii="宋体" w:hAnsi="宋体" w:cs="宋体" w:hint="eastAsia"/>
          <w:sz w:val="28"/>
          <w:szCs w:val="28"/>
        </w:rPr>
        <w:t>）、《石油石化行业能源计量器具配备和管理要求》（</w:t>
      </w:r>
      <w:r>
        <w:rPr>
          <w:rFonts w:ascii="宋体" w:hAnsi="宋体" w:cs="宋体" w:hint="eastAsia"/>
          <w:sz w:val="28"/>
          <w:szCs w:val="28"/>
        </w:rPr>
        <w:t>GB/T20901</w:t>
      </w:r>
      <w:r>
        <w:rPr>
          <w:rFonts w:ascii="宋体" w:hAnsi="宋体" w:cs="宋体" w:hint="eastAsia"/>
          <w:sz w:val="28"/>
          <w:szCs w:val="28"/>
        </w:rPr>
        <w:t>）等。</w:t>
      </w:r>
    </w:p>
    <w:p w14:paraId="79EB8252"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3.</w:t>
      </w:r>
      <w:r>
        <w:rPr>
          <w:rFonts w:ascii="宋体" w:hAnsi="宋体" w:cs="宋体" w:hint="eastAsia"/>
          <w:b/>
          <w:bCs/>
          <w:sz w:val="28"/>
          <w:szCs w:val="28"/>
        </w:rPr>
        <w:t>兼容情况</w:t>
      </w:r>
    </w:p>
    <w:p w14:paraId="3CA20AB6" w14:textId="4FA68410"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无。</w:t>
      </w:r>
    </w:p>
    <w:p w14:paraId="4083CBB1" w14:textId="7C511188" w:rsidR="00AE3B2D" w:rsidRPr="00AE3B2D" w:rsidRDefault="00AE3B2D" w:rsidP="00AE3B2D">
      <w:pPr>
        <w:pStyle w:val="a4"/>
        <w:tabs>
          <w:tab w:val="left" w:pos="0"/>
        </w:tabs>
        <w:ind w:firstLine="562"/>
        <w:jc w:val="left"/>
        <w:rPr>
          <w:rFonts w:ascii="宋体" w:hAnsi="宋体" w:cs="宋体"/>
          <w:b/>
          <w:bCs/>
          <w:sz w:val="28"/>
          <w:szCs w:val="28"/>
        </w:rPr>
      </w:pPr>
      <w:r w:rsidRPr="00AE3B2D">
        <w:rPr>
          <w:rFonts w:ascii="宋体" w:hAnsi="宋体" w:cs="宋体"/>
          <w:b/>
          <w:bCs/>
          <w:sz w:val="28"/>
          <w:szCs w:val="28"/>
        </w:rPr>
        <w:t>4.</w:t>
      </w:r>
      <w:r w:rsidRPr="00AE3B2D">
        <w:rPr>
          <w:rFonts w:ascii="宋体" w:hAnsi="宋体" w:cs="宋体" w:hint="eastAsia"/>
          <w:b/>
          <w:bCs/>
          <w:sz w:val="28"/>
          <w:szCs w:val="28"/>
        </w:rPr>
        <w:t>起草过程</w:t>
      </w:r>
    </w:p>
    <w:p w14:paraId="1B2A1554" w14:textId="32D0407C" w:rsidR="00AE3B2D" w:rsidRPr="00AE3B2D" w:rsidRDefault="00AE3B2D" w:rsidP="00AE3B2D">
      <w:pPr>
        <w:pStyle w:val="a4"/>
        <w:tabs>
          <w:tab w:val="left" w:pos="0"/>
        </w:tabs>
        <w:ind w:firstLine="560"/>
        <w:jc w:val="left"/>
        <w:rPr>
          <w:rFonts w:ascii="宋体" w:hAnsi="宋体" w:cs="宋体"/>
          <w:bCs/>
          <w:sz w:val="28"/>
          <w:szCs w:val="28"/>
        </w:rPr>
      </w:pPr>
      <w:r w:rsidRPr="00AE3B2D">
        <w:rPr>
          <w:rFonts w:ascii="宋体" w:hAnsi="宋体" w:cs="宋体" w:hint="eastAsia"/>
          <w:bCs/>
          <w:sz w:val="28"/>
          <w:szCs w:val="28"/>
        </w:rPr>
        <w:t>2024年1月申报</w:t>
      </w:r>
      <w:r w:rsidR="00BC07DA" w:rsidRPr="00BC07DA">
        <w:rPr>
          <w:rFonts w:ascii="宋体" w:hAnsi="宋体" w:cs="宋体" w:hint="eastAsia"/>
          <w:bCs/>
          <w:sz w:val="28"/>
          <w:szCs w:val="28"/>
        </w:rPr>
        <w:t>企业温室气体排放计量器具配备与管理规范 油气生产</w:t>
      </w:r>
      <w:r w:rsidRPr="00AE3B2D">
        <w:rPr>
          <w:rFonts w:ascii="宋体" w:hAnsi="宋体" w:cs="宋体" w:hint="eastAsia"/>
          <w:bCs/>
          <w:sz w:val="28"/>
          <w:szCs w:val="28"/>
        </w:rPr>
        <w:t>申报书；</w:t>
      </w:r>
    </w:p>
    <w:p w14:paraId="3880EAB1" w14:textId="77777777" w:rsidR="00AE3B2D" w:rsidRPr="00AE3B2D" w:rsidRDefault="00AE3B2D" w:rsidP="00AE3B2D">
      <w:pPr>
        <w:pStyle w:val="a4"/>
        <w:tabs>
          <w:tab w:val="left" w:pos="0"/>
        </w:tabs>
        <w:ind w:firstLine="560"/>
        <w:jc w:val="left"/>
        <w:rPr>
          <w:rFonts w:ascii="宋体" w:hAnsi="宋体" w:cs="宋体"/>
          <w:bCs/>
          <w:sz w:val="28"/>
          <w:szCs w:val="28"/>
        </w:rPr>
      </w:pPr>
      <w:r w:rsidRPr="00AE3B2D">
        <w:rPr>
          <w:rFonts w:ascii="宋体" w:hAnsi="宋体" w:cs="宋体" w:hint="eastAsia"/>
          <w:bCs/>
          <w:sz w:val="28"/>
          <w:szCs w:val="28"/>
        </w:rPr>
        <w:t>2024年5月市场监管总局办公厅正式通知《关于印发 2024 年国家计量技术规范项目制定、修订及宣贯计划》；</w:t>
      </w:r>
    </w:p>
    <w:p w14:paraId="44B86476" w14:textId="270502FC" w:rsidR="00AE3B2D" w:rsidRPr="00AE3B2D" w:rsidRDefault="00AE3B2D" w:rsidP="00AE3B2D">
      <w:pPr>
        <w:pStyle w:val="a4"/>
        <w:tabs>
          <w:tab w:val="left" w:pos="0"/>
        </w:tabs>
        <w:ind w:firstLine="560"/>
        <w:jc w:val="left"/>
        <w:rPr>
          <w:rFonts w:ascii="宋体" w:hAnsi="宋体" w:cs="宋体"/>
          <w:bCs/>
          <w:sz w:val="28"/>
          <w:szCs w:val="28"/>
        </w:rPr>
      </w:pPr>
      <w:r w:rsidRPr="00AE3B2D">
        <w:rPr>
          <w:rFonts w:ascii="宋体" w:hAnsi="宋体" w:cs="宋体" w:hint="eastAsia"/>
          <w:bCs/>
          <w:sz w:val="28"/>
          <w:szCs w:val="28"/>
        </w:rPr>
        <w:t>2024年9月，</w:t>
      </w:r>
      <w:r w:rsidRPr="00AE3B2D">
        <w:rPr>
          <w:rFonts w:ascii="宋体" w:hAnsi="宋体" w:cs="宋体"/>
          <w:bCs/>
          <w:sz w:val="28"/>
          <w:szCs w:val="28"/>
        </w:rPr>
        <w:t>全国石油专用计量测试技术委员会</w:t>
      </w:r>
      <w:r w:rsidRPr="00AE3B2D">
        <w:rPr>
          <w:rFonts w:ascii="宋体" w:hAnsi="宋体" w:cs="宋体" w:hint="eastAsia"/>
          <w:bCs/>
          <w:sz w:val="28"/>
          <w:szCs w:val="28"/>
        </w:rPr>
        <w:t>进行规范编制线上协调会。</w:t>
      </w:r>
    </w:p>
    <w:p w14:paraId="70F2ECBD" w14:textId="0F20F970" w:rsidR="00AE3B2D" w:rsidRPr="00AE3B2D" w:rsidRDefault="00AE3B2D" w:rsidP="00AE3B2D">
      <w:pPr>
        <w:pStyle w:val="a4"/>
        <w:tabs>
          <w:tab w:val="left" w:pos="0"/>
        </w:tabs>
        <w:ind w:firstLine="560"/>
        <w:jc w:val="left"/>
        <w:rPr>
          <w:rFonts w:ascii="宋体" w:hAnsi="宋体" w:cs="宋体"/>
          <w:bCs/>
          <w:sz w:val="28"/>
          <w:szCs w:val="28"/>
        </w:rPr>
      </w:pPr>
      <w:r w:rsidRPr="00AE3B2D">
        <w:rPr>
          <w:rFonts w:ascii="宋体" w:hAnsi="宋体" w:cs="宋体" w:hint="eastAsia"/>
          <w:bCs/>
          <w:sz w:val="28"/>
          <w:szCs w:val="28"/>
        </w:rPr>
        <w:t>2025年3月，</w:t>
      </w:r>
      <w:r w:rsidRPr="00AE3B2D">
        <w:rPr>
          <w:rFonts w:ascii="宋体" w:hAnsi="宋体" w:cs="宋体"/>
          <w:bCs/>
          <w:sz w:val="28"/>
          <w:szCs w:val="28"/>
        </w:rPr>
        <w:t>全国石油专用计量测试技术委员会</w:t>
      </w:r>
      <w:r w:rsidRPr="00AE3B2D">
        <w:rPr>
          <w:rFonts w:ascii="宋体" w:hAnsi="宋体" w:cs="宋体" w:hint="eastAsia"/>
          <w:bCs/>
          <w:sz w:val="28"/>
          <w:szCs w:val="28"/>
        </w:rPr>
        <w:t>进行规范编制协调会。</w:t>
      </w:r>
    </w:p>
    <w:p w14:paraId="327101C0" w14:textId="2D3F0DA3" w:rsidR="00AE3B2D" w:rsidRDefault="00AE3B2D" w:rsidP="00AE3B2D">
      <w:pPr>
        <w:pStyle w:val="a4"/>
        <w:tabs>
          <w:tab w:val="left" w:pos="0"/>
        </w:tabs>
        <w:ind w:firstLine="560"/>
        <w:jc w:val="left"/>
        <w:rPr>
          <w:rFonts w:ascii="宋体" w:hAnsi="宋体" w:cs="宋体"/>
          <w:bCs/>
          <w:sz w:val="28"/>
          <w:szCs w:val="28"/>
        </w:rPr>
      </w:pPr>
      <w:r w:rsidRPr="00AE3B2D">
        <w:rPr>
          <w:rFonts w:ascii="宋体" w:hAnsi="宋体" w:cs="宋体" w:hint="eastAsia"/>
          <w:bCs/>
          <w:sz w:val="28"/>
          <w:szCs w:val="28"/>
        </w:rPr>
        <w:t>2025年8月，</w:t>
      </w:r>
      <w:r w:rsidRPr="00AE3B2D">
        <w:rPr>
          <w:rFonts w:ascii="宋体" w:hAnsi="宋体" w:cs="宋体"/>
          <w:bCs/>
          <w:sz w:val="28"/>
          <w:szCs w:val="28"/>
        </w:rPr>
        <w:t>全国石油专用计量测试技术委员会</w:t>
      </w:r>
      <w:r w:rsidR="00BC07DA">
        <w:rPr>
          <w:rFonts w:ascii="宋体" w:hAnsi="宋体" w:cs="宋体" w:hint="eastAsia"/>
          <w:bCs/>
          <w:sz w:val="28"/>
          <w:szCs w:val="28"/>
        </w:rPr>
        <w:t>开展了征求意见稿（</w:t>
      </w:r>
      <w:r w:rsidR="00BC07DA">
        <w:rPr>
          <w:rFonts w:ascii="宋体" w:hAnsi="宋体" w:cs="宋体" w:hint="eastAsia"/>
          <w:bCs/>
          <w:sz w:val="28"/>
          <w:szCs w:val="28"/>
        </w:rPr>
        <w:t>草案</w:t>
      </w:r>
      <w:r w:rsidR="00BC07DA">
        <w:rPr>
          <w:rFonts w:ascii="宋体" w:hAnsi="宋体" w:cs="宋体" w:hint="eastAsia"/>
          <w:bCs/>
          <w:sz w:val="28"/>
          <w:szCs w:val="28"/>
        </w:rPr>
        <w:t>）的审查会进行第一次审查</w:t>
      </w:r>
      <w:r w:rsidRPr="00AE3B2D">
        <w:rPr>
          <w:rFonts w:ascii="宋体" w:hAnsi="宋体" w:cs="宋体" w:hint="eastAsia"/>
          <w:bCs/>
          <w:sz w:val="28"/>
          <w:szCs w:val="28"/>
        </w:rPr>
        <w:t>。</w:t>
      </w:r>
    </w:p>
    <w:p w14:paraId="0761B7C7" w14:textId="2620158D" w:rsidR="00BC07DA" w:rsidRDefault="00BC07DA" w:rsidP="00BC07DA">
      <w:pPr>
        <w:pStyle w:val="a4"/>
        <w:tabs>
          <w:tab w:val="left" w:pos="0"/>
        </w:tabs>
        <w:ind w:firstLine="560"/>
        <w:jc w:val="left"/>
        <w:rPr>
          <w:rFonts w:ascii="宋体" w:hAnsi="宋体" w:cs="宋体"/>
          <w:bCs/>
          <w:sz w:val="28"/>
          <w:szCs w:val="28"/>
        </w:rPr>
      </w:pPr>
      <w:r>
        <w:rPr>
          <w:rFonts w:ascii="宋体" w:hAnsi="宋体" w:cs="宋体"/>
          <w:bCs/>
          <w:sz w:val="28"/>
          <w:szCs w:val="28"/>
        </w:rPr>
        <w:t>2026</w:t>
      </w:r>
      <w:r>
        <w:rPr>
          <w:rFonts w:ascii="宋体" w:hAnsi="宋体" w:cs="宋体" w:hint="eastAsia"/>
          <w:bCs/>
          <w:sz w:val="28"/>
          <w:szCs w:val="28"/>
        </w:rPr>
        <w:t>年8月，</w:t>
      </w:r>
      <w:r w:rsidRPr="00AE3B2D">
        <w:rPr>
          <w:rFonts w:ascii="宋体" w:hAnsi="宋体" w:cs="宋体"/>
          <w:bCs/>
          <w:sz w:val="28"/>
          <w:szCs w:val="28"/>
        </w:rPr>
        <w:t>全国石油专用计量测试技术委员会</w:t>
      </w:r>
      <w:r>
        <w:rPr>
          <w:rFonts w:ascii="宋体" w:hAnsi="宋体" w:cs="宋体" w:hint="eastAsia"/>
          <w:bCs/>
          <w:sz w:val="28"/>
          <w:szCs w:val="28"/>
        </w:rPr>
        <w:t>开展了征求意见稿审查会</w:t>
      </w:r>
      <w:r>
        <w:rPr>
          <w:rFonts w:ascii="宋体" w:hAnsi="宋体" w:cs="宋体" w:hint="eastAsia"/>
          <w:bCs/>
          <w:sz w:val="28"/>
          <w:szCs w:val="28"/>
        </w:rPr>
        <w:t>第二次</w:t>
      </w:r>
      <w:r>
        <w:rPr>
          <w:rFonts w:ascii="宋体" w:hAnsi="宋体" w:cs="宋体" w:hint="eastAsia"/>
          <w:bCs/>
          <w:sz w:val="28"/>
          <w:szCs w:val="28"/>
        </w:rPr>
        <w:t>审查</w:t>
      </w:r>
      <w:r>
        <w:rPr>
          <w:rFonts w:ascii="宋体" w:hAnsi="宋体" w:cs="宋体" w:hint="eastAsia"/>
          <w:bCs/>
          <w:sz w:val="28"/>
          <w:szCs w:val="28"/>
        </w:rPr>
        <w:t>，并按照审查专家建议进行修改完善，</w:t>
      </w:r>
      <w:r w:rsidRPr="00AE3B2D">
        <w:rPr>
          <w:rFonts w:ascii="宋体" w:hAnsi="宋体" w:cs="宋体" w:hint="eastAsia"/>
          <w:bCs/>
          <w:sz w:val="28"/>
          <w:szCs w:val="28"/>
        </w:rPr>
        <w:t>形成征求意见稿</w:t>
      </w:r>
      <w:r>
        <w:rPr>
          <w:rFonts w:ascii="宋体" w:hAnsi="宋体" w:cs="宋体" w:hint="eastAsia"/>
          <w:bCs/>
          <w:sz w:val="28"/>
          <w:szCs w:val="28"/>
        </w:rPr>
        <w:t>相关材料</w:t>
      </w:r>
      <w:r w:rsidRPr="00AE3B2D">
        <w:rPr>
          <w:rFonts w:ascii="宋体" w:hAnsi="宋体" w:cs="宋体" w:hint="eastAsia"/>
          <w:bCs/>
          <w:sz w:val="28"/>
          <w:szCs w:val="28"/>
        </w:rPr>
        <w:t>。</w:t>
      </w:r>
    </w:p>
    <w:p w14:paraId="00FB5A70" w14:textId="342142BF" w:rsidR="00AE3B2D" w:rsidRPr="00AE3B2D" w:rsidRDefault="00AE3B2D" w:rsidP="00AE3B2D">
      <w:pPr>
        <w:pStyle w:val="a4"/>
        <w:tabs>
          <w:tab w:val="left" w:pos="0"/>
        </w:tabs>
        <w:ind w:firstLine="562"/>
        <w:jc w:val="left"/>
        <w:rPr>
          <w:rFonts w:ascii="宋体" w:hAnsi="宋体" w:cs="宋体"/>
          <w:b/>
          <w:bCs/>
          <w:sz w:val="28"/>
          <w:szCs w:val="28"/>
        </w:rPr>
      </w:pPr>
      <w:r>
        <w:rPr>
          <w:rFonts w:ascii="宋体" w:hAnsi="宋体" w:cs="宋体"/>
          <w:b/>
          <w:bCs/>
          <w:sz w:val="28"/>
          <w:szCs w:val="28"/>
        </w:rPr>
        <w:t>5.</w:t>
      </w:r>
      <w:r w:rsidRPr="00AE3B2D">
        <w:rPr>
          <w:rFonts w:ascii="宋体" w:hAnsi="宋体" w:cs="宋体" w:hint="eastAsia"/>
          <w:b/>
          <w:bCs/>
          <w:sz w:val="28"/>
          <w:szCs w:val="28"/>
        </w:rPr>
        <w:t>主要</w:t>
      </w:r>
      <w:r w:rsidRPr="00AE3B2D">
        <w:rPr>
          <w:rFonts w:ascii="宋体" w:hAnsi="宋体" w:cs="宋体"/>
          <w:b/>
          <w:bCs/>
          <w:sz w:val="28"/>
          <w:szCs w:val="28"/>
        </w:rPr>
        <w:t>参加单位</w:t>
      </w:r>
      <w:r w:rsidRPr="00AE3B2D">
        <w:rPr>
          <w:rFonts w:ascii="宋体" w:hAnsi="宋体" w:cs="宋体" w:hint="eastAsia"/>
          <w:b/>
          <w:bCs/>
          <w:sz w:val="28"/>
          <w:szCs w:val="28"/>
        </w:rPr>
        <w:t>和</w:t>
      </w:r>
      <w:r w:rsidRPr="00AE3B2D">
        <w:rPr>
          <w:rFonts w:ascii="宋体" w:hAnsi="宋体" w:cs="宋体"/>
          <w:b/>
          <w:bCs/>
          <w:sz w:val="28"/>
          <w:szCs w:val="28"/>
        </w:rPr>
        <w:t>工作组成员</w:t>
      </w:r>
      <w:r w:rsidRPr="00AE3B2D">
        <w:rPr>
          <w:rFonts w:ascii="宋体" w:hAnsi="宋体" w:cs="宋体" w:hint="eastAsia"/>
          <w:b/>
          <w:bCs/>
          <w:sz w:val="28"/>
          <w:szCs w:val="28"/>
        </w:rPr>
        <w:t>及分工</w:t>
      </w:r>
    </w:p>
    <w:p w14:paraId="42253BBE" w14:textId="7D9FFC6F" w:rsidR="00AE3B2D" w:rsidRDefault="00AE3B2D" w:rsidP="00BC07DA">
      <w:pPr>
        <w:pStyle w:val="a4"/>
        <w:tabs>
          <w:tab w:val="left" w:pos="0"/>
        </w:tabs>
        <w:ind w:firstLine="560"/>
        <w:jc w:val="left"/>
        <w:rPr>
          <w:rFonts w:ascii="宋体" w:hAnsi="宋体" w:cs="宋体"/>
          <w:bCs/>
          <w:sz w:val="28"/>
          <w:szCs w:val="28"/>
        </w:rPr>
      </w:pPr>
      <w:r w:rsidRPr="00AE3B2D">
        <w:rPr>
          <w:rFonts w:ascii="宋体" w:hAnsi="宋体" w:cs="宋体" w:hint="eastAsia"/>
          <w:bCs/>
          <w:sz w:val="28"/>
          <w:szCs w:val="28"/>
        </w:rPr>
        <w:t>本次起草组由</w:t>
      </w:r>
      <w:r w:rsidR="00BC07DA">
        <w:rPr>
          <w:rFonts w:ascii="宋体" w:hAnsi="宋体" w:cs="宋体" w:hint="eastAsia"/>
          <w:bCs/>
          <w:sz w:val="28"/>
          <w:szCs w:val="28"/>
        </w:rPr>
        <w:t>中国石化胜利油田技术检测中心</w:t>
      </w:r>
      <w:r w:rsidRPr="00AE3B2D">
        <w:rPr>
          <w:rFonts w:ascii="宋体" w:hAnsi="宋体" w:cs="宋体" w:hint="eastAsia"/>
          <w:bCs/>
          <w:sz w:val="28"/>
          <w:szCs w:val="28"/>
        </w:rPr>
        <w:t>、中国计量科学研究院。</w:t>
      </w:r>
      <w:r w:rsidR="00BC07DA">
        <w:rPr>
          <w:rFonts w:ascii="宋体" w:hAnsi="宋体" w:cs="宋体" w:hint="eastAsia"/>
          <w:bCs/>
          <w:sz w:val="28"/>
          <w:szCs w:val="28"/>
        </w:rPr>
        <w:t>中国石化胜利油田技术检测中心</w:t>
      </w:r>
      <w:r w:rsidRPr="00AE3B2D">
        <w:rPr>
          <w:rFonts w:ascii="宋体" w:hAnsi="宋体" w:cs="宋体" w:hint="eastAsia"/>
          <w:bCs/>
          <w:sz w:val="28"/>
          <w:szCs w:val="28"/>
        </w:rPr>
        <w:t>主要进行整体起草工作的规划、文本的编制、材料的整理</w:t>
      </w:r>
      <w:r w:rsidR="00BC07DA">
        <w:rPr>
          <w:rFonts w:ascii="宋体" w:hAnsi="宋体" w:cs="宋体" w:hint="eastAsia"/>
          <w:bCs/>
          <w:sz w:val="28"/>
          <w:szCs w:val="28"/>
        </w:rPr>
        <w:t>等</w:t>
      </w:r>
      <w:r w:rsidRPr="00AE3B2D">
        <w:rPr>
          <w:rFonts w:ascii="宋体" w:hAnsi="宋体" w:cs="宋体" w:hint="eastAsia"/>
          <w:bCs/>
          <w:sz w:val="28"/>
          <w:szCs w:val="28"/>
        </w:rPr>
        <w:t>；</w:t>
      </w:r>
      <w:r w:rsidR="00BC07DA">
        <w:rPr>
          <w:rFonts w:ascii="宋体" w:hAnsi="宋体" w:cs="宋体" w:hint="eastAsia"/>
          <w:bCs/>
          <w:sz w:val="28"/>
          <w:szCs w:val="28"/>
        </w:rPr>
        <w:t>中国石油大庆油田、</w:t>
      </w:r>
      <w:r w:rsidRPr="00AE3B2D">
        <w:rPr>
          <w:rFonts w:ascii="宋体" w:hAnsi="宋体" w:cs="宋体" w:hint="eastAsia"/>
          <w:bCs/>
          <w:sz w:val="28"/>
          <w:szCs w:val="28"/>
        </w:rPr>
        <w:t>中国计量科学研究院</w:t>
      </w:r>
      <w:r w:rsidR="00BC07DA">
        <w:rPr>
          <w:rFonts w:ascii="宋体" w:hAnsi="宋体" w:cs="宋体" w:hint="eastAsia"/>
          <w:bCs/>
          <w:sz w:val="28"/>
          <w:szCs w:val="28"/>
        </w:rPr>
        <w:t>、</w:t>
      </w:r>
      <w:r w:rsidR="00BC07DA" w:rsidRPr="00BC07DA">
        <w:rPr>
          <w:rFonts w:ascii="宋体" w:hAnsi="宋体" w:cs="宋体" w:hint="eastAsia"/>
          <w:bCs/>
          <w:sz w:val="28"/>
          <w:szCs w:val="28"/>
        </w:rPr>
        <w:t>中国海洋石油集团有限公司</w:t>
      </w:r>
      <w:r w:rsidRPr="00AE3B2D">
        <w:rPr>
          <w:rFonts w:ascii="宋体" w:hAnsi="宋体" w:cs="宋体" w:hint="eastAsia"/>
          <w:bCs/>
          <w:sz w:val="28"/>
          <w:szCs w:val="28"/>
        </w:rPr>
        <w:t>主要</w:t>
      </w:r>
      <w:r w:rsidR="00BC07DA">
        <w:rPr>
          <w:rFonts w:ascii="宋体" w:hAnsi="宋体" w:cs="宋体" w:hint="eastAsia"/>
          <w:bCs/>
          <w:sz w:val="28"/>
          <w:szCs w:val="28"/>
        </w:rPr>
        <w:t>对各相关章节内容的完善提供有关资料依据等。</w:t>
      </w:r>
    </w:p>
    <w:p w14:paraId="7DA42814" w14:textId="0F03949A" w:rsidR="002049BD" w:rsidRDefault="002049BD" w:rsidP="00BC07DA">
      <w:pPr>
        <w:pStyle w:val="a4"/>
        <w:tabs>
          <w:tab w:val="left" w:pos="0"/>
        </w:tabs>
        <w:ind w:firstLine="560"/>
        <w:jc w:val="left"/>
        <w:rPr>
          <w:rFonts w:ascii="宋体" w:hAnsi="宋体" w:cs="宋体"/>
          <w:bCs/>
          <w:sz w:val="28"/>
          <w:szCs w:val="28"/>
        </w:rPr>
      </w:pPr>
      <w:r>
        <w:rPr>
          <w:rFonts w:ascii="宋体" w:hAnsi="宋体" w:cs="宋体" w:hint="eastAsia"/>
          <w:sz w:val="28"/>
          <w:szCs w:val="28"/>
        </w:rPr>
        <w:t>起草组成员见下表。</w:t>
      </w:r>
      <w:bookmarkStart w:id="0" w:name="_GoBack"/>
      <w:bookmarkEnd w:id="0"/>
    </w:p>
    <w:tbl>
      <w:tblPr>
        <w:tblW w:w="4998" w:type="pct"/>
        <w:jc w:val="center"/>
        <w:tblCellMar>
          <w:left w:w="0" w:type="dxa"/>
          <w:right w:w="0" w:type="dxa"/>
        </w:tblCellMar>
        <w:tblLook w:val="04A0" w:firstRow="1" w:lastRow="0" w:firstColumn="1" w:lastColumn="0" w:noHBand="0" w:noVBand="1"/>
      </w:tblPr>
      <w:tblGrid>
        <w:gridCol w:w="911"/>
        <w:gridCol w:w="1170"/>
        <w:gridCol w:w="6402"/>
        <w:gridCol w:w="1279"/>
      </w:tblGrid>
      <w:tr w:rsidR="002049BD" w14:paraId="21B7C5A7" w14:textId="77777777" w:rsidTr="008B367F">
        <w:trPr>
          <w:trHeight w:hRule="exact" w:val="567"/>
          <w:jc w:val="center"/>
        </w:trPr>
        <w:tc>
          <w:tcPr>
            <w:tcW w:w="466" w:type="pct"/>
            <w:tcBorders>
              <w:top w:val="single" w:sz="8" w:space="0" w:color="000000"/>
              <w:left w:val="single" w:sz="8" w:space="0" w:color="000000"/>
              <w:bottom w:val="single" w:sz="8" w:space="0" w:color="000000"/>
              <w:right w:val="single" w:sz="8" w:space="0" w:color="000000"/>
            </w:tcBorders>
            <w:vAlign w:val="center"/>
          </w:tcPr>
          <w:p w14:paraId="4E6991DF"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序号</w:t>
            </w:r>
          </w:p>
        </w:tc>
        <w:tc>
          <w:tcPr>
            <w:tcW w:w="599" w:type="pct"/>
            <w:tcBorders>
              <w:top w:val="single" w:sz="8" w:space="0" w:color="000000"/>
              <w:left w:val="single" w:sz="8" w:space="0" w:color="000000"/>
              <w:bottom w:val="single" w:sz="8" w:space="0" w:color="000000"/>
              <w:right w:val="single" w:sz="8" w:space="0" w:color="000000"/>
            </w:tcBorders>
            <w:vAlign w:val="center"/>
          </w:tcPr>
          <w:p w14:paraId="430DEC3B"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姓名</w:t>
            </w:r>
          </w:p>
        </w:tc>
        <w:tc>
          <w:tcPr>
            <w:tcW w:w="3278" w:type="pct"/>
            <w:tcBorders>
              <w:top w:val="single" w:sz="8" w:space="0" w:color="000000"/>
              <w:left w:val="single" w:sz="8" w:space="0" w:color="000000"/>
              <w:bottom w:val="single" w:sz="8" w:space="0" w:color="000000"/>
              <w:right w:val="single" w:sz="8" w:space="0" w:color="000000"/>
            </w:tcBorders>
            <w:vAlign w:val="center"/>
          </w:tcPr>
          <w:p w14:paraId="082C7392"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单位名称</w:t>
            </w:r>
          </w:p>
        </w:tc>
        <w:tc>
          <w:tcPr>
            <w:tcW w:w="655" w:type="pct"/>
            <w:tcBorders>
              <w:top w:val="single" w:sz="8" w:space="0" w:color="000000"/>
              <w:left w:val="single" w:sz="8" w:space="0" w:color="000000"/>
              <w:bottom w:val="single" w:sz="8" w:space="0" w:color="000000"/>
              <w:right w:val="single" w:sz="8" w:space="0" w:color="000000"/>
            </w:tcBorders>
            <w:vAlign w:val="center"/>
          </w:tcPr>
          <w:p w14:paraId="2C5A5D3D"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备注</w:t>
            </w:r>
          </w:p>
        </w:tc>
      </w:tr>
      <w:tr w:rsidR="002049BD" w14:paraId="35727BB1" w14:textId="77777777" w:rsidTr="008B367F">
        <w:trPr>
          <w:trHeight w:hRule="exact" w:val="567"/>
          <w:jc w:val="center"/>
        </w:trPr>
        <w:tc>
          <w:tcPr>
            <w:tcW w:w="466" w:type="pct"/>
            <w:tcBorders>
              <w:top w:val="single" w:sz="8" w:space="0" w:color="000000"/>
              <w:left w:val="single" w:sz="8" w:space="0" w:color="000000"/>
              <w:bottom w:val="single" w:sz="8" w:space="0" w:color="000000"/>
              <w:right w:val="single" w:sz="8" w:space="0" w:color="000000"/>
            </w:tcBorders>
            <w:vAlign w:val="center"/>
          </w:tcPr>
          <w:p w14:paraId="22265F00"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1</w:t>
            </w:r>
          </w:p>
        </w:tc>
        <w:tc>
          <w:tcPr>
            <w:tcW w:w="599" w:type="pct"/>
            <w:tcBorders>
              <w:top w:val="single" w:sz="8" w:space="0" w:color="000000"/>
              <w:left w:val="single" w:sz="8" w:space="0" w:color="000000"/>
              <w:bottom w:val="single" w:sz="8" w:space="0" w:color="000000"/>
              <w:right w:val="single" w:sz="8" w:space="0" w:color="000000"/>
            </w:tcBorders>
            <w:vAlign w:val="center"/>
          </w:tcPr>
          <w:p w14:paraId="351759D8"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姜兴伟</w:t>
            </w:r>
          </w:p>
        </w:tc>
        <w:tc>
          <w:tcPr>
            <w:tcW w:w="3278" w:type="pct"/>
            <w:tcBorders>
              <w:top w:val="single" w:sz="8" w:space="0" w:color="000000"/>
              <w:left w:val="single" w:sz="8" w:space="0" w:color="000000"/>
              <w:bottom w:val="single" w:sz="8" w:space="0" w:color="000000"/>
              <w:right w:val="single" w:sz="8" w:space="0" w:color="000000"/>
            </w:tcBorders>
            <w:vAlign w:val="center"/>
          </w:tcPr>
          <w:p w14:paraId="5BDE7AF3"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中国石化胜利油田分公司技术检测中心</w:t>
            </w:r>
          </w:p>
        </w:tc>
        <w:tc>
          <w:tcPr>
            <w:tcW w:w="655" w:type="pct"/>
            <w:tcBorders>
              <w:top w:val="single" w:sz="8" w:space="0" w:color="000000"/>
              <w:left w:val="single" w:sz="8" w:space="0" w:color="000000"/>
              <w:bottom w:val="single" w:sz="8" w:space="0" w:color="000000"/>
              <w:right w:val="single" w:sz="8" w:space="0" w:color="000000"/>
            </w:tcBorders>
            <w:vAlign w:val="center"/>
          </w:tcPr>
          <w:p w14:paraId="011FA10F"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起草人</w:t>
            </w:r>
          </w:p>
        </w:tc>
      </w:tr>
      <w:tr w:rsidR="002049BD" w14:paraId="01E896C1" w14:textId="77777777" w:rsidTr="008B367F">
        <w:trPr>
          <w:trHeight w:hRule="exact" w:val="567"/>
          <w:jc w:val="center"/>
        </w:trPr>
        <w:tc>
          <w:tcPr>
            <w:tcW w:w="466" w:type="pct"/>
            <w:tcBorders>
              <w:top w:val="single" w:sz="8" w:space="0" w:color="000000"/>
              <w:left w:val="single" w:sz="8" w:space="0" w:color="000000"/>
              <w:bottom w:val="single" w:sz="8" w:space="0" w:color="000000"/>
              <w:right w:val="single" w:sz="8" w:space="0" w:color="000000"/>
            </w:tcBorders>
            <w:vAlign w:val="center"/>
          </w:tcPr>
          <w:p w14:paraId="03FFF478"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2</w:t>
            </w:r>
          </w:p>
        </w:tc>
        <w:tc>
          <w:tcPr>
            <w:tcW w:w="599" w:type="pct"/>
            <w:tcBorders>
              <w:top w:val="single" w:sz="8" w:space="0" w:color="000000"/>
              <w:left w:val="single" w:sz="8" w:space="0" w:color="000000"/>
              <w:bottom w:val="single" w:sz="8" w:space="0" w:color="000000"/>
              <w:right w:val="single" w:sz="8" w:space="0" w:color="000000"/>
            </w:tcBorders>
            <w:vAlign w:val="center"/>
          </w:tcPr>
          <w:p w14:paraId="0D526342"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袁海滨</w:t>
            </w:r>
          </w:p>
        </w:tc>
        <w:tc>
          <w:tcPr>
            <w:tcW w:w="3278" w:type="pct"/>
            <w:tcBorders>
              <w:top w:val="single" w:sz="8" w:space="0" w:color="000000"/>
              <w:left w:val="single" w:sz="8" w:space="0" w:color="000000"/>
              <w:bottom w:val="single" w:sz="8" w:space="0" w:color="000000"/>
              <w:right w:val="single" w:sz="8" w:space="0" w:color="000000"/>
            </w:tcBorders>
            <w:vAlign w:val="center"/>
          </w:tcPr>
          <w:p w14:paraId="2CB68F47"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中国石油天然气集团有限公司大庆油田</w:t>
            </w:r>
          </w:p>
        </w:tc>
        <w:tc>
          <w:tcPr>
            <w:tcW w:w="655" w:type="pct"/>
            <w:tcBorders>
              <w:top w:val="single" w:sz="8" w:space="0" w:color="000000"/>
              <w:left w:val="single" w:sz="8" w:space="0" w:color="000000"/>
              <w:bottom w:val="single" w:sz="8" w:space="0" w:color="000000"/>
              <w:right w:val="single" w:sz="8" w:space="0" w:color="000000"/>
            </w:tcBorders>
            <w:vAlign w:val="center"/>
          </w:tcPr>
          <w:p w14:paraId="72A36863"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起草人</w:t>
            </w:r>
          </w:p>
        </w:tc>
      </w:tr>
      <w:tr w:rsidR="002049BD" w14:paraId="20FD1383" w14:textId="77777777" w:rsidTr="008B367F">
        <w:trPr>
          <w:trHeight w:hRule="exact" w:val="567"/>
          <w:jc w:val="center"/>
        </w:trPr>
        <w:tc>
          <w:tcPr>
            <w:tcW w:w="466" w:type="pct"/>
            <w:tcBorders>
              <w:top w:val="single" w:sz="8" w:space="0" w:color="000000"/>
              <w:left w:val="single" w:sz="8" w:space="0" w:color="000000"/>
              <w:bottom w:val="single" w:sz="8" w:space="0" w:color="000000"/>
              <w:right w:val="single" w:sz="8" w:space="0" w:color="000000"/>
            </w:tcBorders>
            <w:vAlign w:val="center"/>
          </w:tcPr>
          <w:p w14:paraId="52EC1618"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3</w:t>
            </w:r>
          </w:p>
        </w:tc>
        <w:tc>
          <w:tcPr>
            <w:tcW w:w="599" w:type="pct"/>
            <w:tcBorders>
              <w:top w:val="single" w:sz="8" w:space="0" w:color="000000"/>
              <w:left w:val="single" w:sz="8" w:space="0" w:color="000000"/>
              <w:bottom w:val="single" w:sz="8" w:space="0" w:color="000000"/>
              <w:right w:val="single" w:sz="8" w:space="0" w:color="000000"/>
            </w:tcBorders>
            <w:vAlign w:val="center"/>
          </w:tcPr>
          <w:p w14:paraId="46188876"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张景奇</w:t>
            </w:r>
          </w:p>
        </w:tc>
        <w:tc>
          <w:tcPr>
            <w:tcW w:w="3278" w:type="pct"/>
            <w:tcBorders>
              <w:top w:val="single" w:sz="8" w:space="0" w:color="000000"/>
              <w:left w:val="single" w:sz="8" w:space="0" w:color="000000"/>
              <w:bottom w:val="single" w:sz="8" w:space="0" w:color="000000"/>
              <w:right w:val="single" w:sz="8" w:space="0" w:color="000000"/>
            </w:tcBorders>
            <w:vAlign w:val="center"/>
          </w:tcPr>
          <w:p w14:paraId="3637FD5F"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中国海洋石油集团有限公司节能减排监测中心</w:t>
            </w:r>
          </w:p>
        </w:tc>
        <w:tc>
          <w:tcPr>
            <w:tcW w:w="655" w:type="pct"/>
            <w:tcBorders>
              <w:top w:val="single" w:sz="8" w:space="0" w:color="000000"/>
              <w:left w:val="single" w:sz="8" w:space="0" w:color="000000"/>
              <w:bottom w:val="single" w:sz="8" w:space="0" w:color="000000"/>
              <w:right w:val="single" w:sz="8" w:space="0" w:color="000000"/>
            </w:tcBorders>
            <w:vAlign w:val="center"/>
          </w:tcPr>
          <w:p w14:paraId="1CFFEB92"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起草人</w:t>
            </w:r>
          </w:p>
        </w:tc>
      </w:tr>
      <w:tr w:rsidR="002049BD" w14:paraId="74A7EF68" w14:textId="77777777" w:rsidTr="008B367F">
        <w:trPr>
          <w:trHeight w:hRule="exact" w:val="567"/>
          <w:jc w:val="center"/>
        </w:trPr>
        <w:tc>
          <w:tcPr>
            <w:tcW w:w="466" w:type="pct"/>
            <w:tcBorders>
              <w:top w:val="single" w:sz="8" w:space="0" w:color="000000"/>
              <w:left w:val="single" w:sz="8" w:space="0" w:color="000000"/>
              <w:bottom w:val="single" w:sz="8" w:space="0" w:color="000000"/>
              <w:right w:val="single" w:sz="8" w:space="0" w:color="000000"/>
            </w:tcBorders>
            <w:vAlign w:val="center"/>
          </w:tcPr>
          <w:p w14:paraId="27E24968"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4</w:t>
            </w:r>
          </w:p>
        </w:tc>
        <w:tc>
          <w:tcPr>
            <w:tcW w:w="599" w:type="pct"/>
            <w:tcBorders>
              <w:top w:val="single" w:sz="8" w:space="0" w:color="000000"/>
              <w:left w:val="single" w:sz="8" w:space="0" w:color="000000"/>
              <w:bottom w:val="single" w:sz="8" w:space="0" w:color="000000"/>
              <w:right w:val="single" w:sz="8" w:space="0" w:color="000000"/>
            </w:tcBorders>
            <w:vAlign w:val="center"/>
          </w:tcPr>
          <w:p w14:paraId="2F26D2D4" w14:textId="77777777" w:rsidR="002049BD" w:rsidRDefault="002049BD" w:rsidP="008B367F">
            <w:pPr>
              <w:pStyle w:val="TableParagraph"/>
              <w:tabs>
                <w:tab w:val="left" w:pos="605"/>
              </w:tabs>
              <w:spacing w:line="360" w:lineRule="auto"/>
              <w:jc w:val="center"/>
              <w:rPr>
                <w:rFonts w:ascii="宋体" w:hAnsi="宋体" w:cs="宋体"/>
                <w:sz w:val="28"/>
                <w:szCs w:val="28"/>
              </w:rPr>
            </w:pPr>
            <w:r>
              <w:rPr>
                <w:rFonts w:ascii="宋体" w:hAnsi="宋体" w:cs="宋体" w:hint="eastAsia"/>
                <w:sz w:val="28"/>
                <w:szCs w:val="28"/>
              </w:rPr>
              <w:t>李琦</w:t>
            </w:r>
          </w:p>
        </w:tc>
        <w:tc>
          <w:tcPr>
            <w:tcW w:w="3278" w:type="pct"/>
            <w:tcBorders>
              <w:top w:val="single" w:sz="8" w:space="0" w:color="000000"/>
              <w:left w:val="single" w:sz="8" w:space="0" w:color="000000"/>
              <w:bottom w:val="single" w:sz="8" w:space="0" w:color="000000"/>
              <w:right w:val="single" w:sz="8" w:space="0" w:color="000000"/>
            </w:tcBorders>
            <w:vAlign w:val="center"/>
          </w:tcPr>
          <w:p w14:paraId="7F72E3C2"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中国计量科学研究院</w:t>
            </w:r>
          </w:p>
        </w:tc>
        <w:tc>
          <w:tcPr>
            <w:tcW w:w="655" w:type="pct"/>
            <w:tcBorders>
              <w:top w:val="single" w:sz="8" w:space="0" w:color="000000"/>
              <w:left w:val="single" w:sz="8" w:space="0" w:color="000000"/>
              <w:bottom w:val="single" w:sz="8" w:space="0" w:color="000000"/>
              <w:right w:val="single" w:sz="8" w:space="0" w:color="000000"/>
            </w:tcBorders>
            <w:vAlign w:val="center"/>
          </w:tcPr>
          <w:p w14:paraId="75987406"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起草人</w:t>
            </w:r>
          </w:p>
        </w:tc>
      </w:tr>
      <w:tr w:rsidR="002049BD" w14:paraId="6F489AFB" w14:textId="77777777" w:rsidTr="008B367F">
        <w:trPr>
          <w:trHeight w:hRule="exact" w:val="567"/>
          <w:jc w:val="center"/>
        </w:trPr>
        <w:tc>
          <w:tcPr>
            <w:tcW w:w="466" w:type="pct"/>
            <w:tcBorders>
              <w:top w:val="single" w:sz="8" w:space="0" w:color="000000"/>
              <w:left w:val="single" w:sz="8" w:space="0" w:color="000000"/>
              <w:bottom w:val="single" w:sz="8" w:space="0" w:color="000000"/>
              <w:right w:val="single" w:sz="8" w:space="0" w:color="000000"/>
            </w:tcBorders>
            <w:vAlign w:val="center"/>
          </w:tcPr>
          <w:p w14:paraId="699851E7"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5</w:t>
            </w:r>
          </w:p>
        </w:tc>
        <w:tc>
          <w:tcPr>
            <w:tcW w:w="599" w:type="pct"/>
            <w:tcBorders>
              <w:top w:val="single" w:sz="8" w:space="0" w:color="000000"/>
              <w:left w:val="single" w:sz="8" w:space="0" w:color="000000"/>
              <w:bottom w:val="single" w:sz="8" w:space="0" w:color="000000"/>
              <w:right w:val="single" w:sz="8" w:space="0" w:color="000000"/>
            </w:tcBorders>
            <w:vAlign w:val="center"/>
          </w:tcPr>
          <w:p w14:paraId="138B0521"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赵丽萍</w:t>
            </w:r>
          </w:p>
        </w:tc>
        <w:tc>
          <w:tcPr>
            <w:tcW w:w="3278" w:type="pct"/>
            <w:tcBorders>
              <w:top w:val="single" w:sz="8" w:space="0" w:color="000000"/>
              <w:left w:val="single" w:sz="8" w:space="0" w:color="000000"/>
              <w:bottom w:val="single" w:sz="8" w:space="0" w:color="000000"/>
              <w:right w:val="single" w:sz="8" w:space="0" w:color="000000"/>
            </w:tcBorders>
            <w:vAlign w:val="center"/>
          </w:tcPr>
          <w:p w14:paraId="57508047"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中石化石油化工科学研究院有限公司</w:t>
            </w:r>
          </w:p>
        </w:tc>
        <w:tc>
          <w:tcPr>
            <w:tcW w:w="655" w:type="pct"/>
            <w:tcBorders>
              <w:top w:val="single" w:sz="8" w:space="0" w:color="000000"/>
              <w:left w:val="single" w:sz="8" w:space="0" w:color="000000"/>
              <w:bottom w:val="single" w:sz="8" w:space="0" w:color="000000"/>
              <w:right w:val="single" w:sz="8" w:space="0" w:color="000000"/>
            </w:tcBorders>
            <w:vAlign w:val="center"/>
          </w:tcPr>
          <w:p w14:paraId="465613F6" w14:textId="77777777" w:rsidR="002049BD" w:rsidRDefault="002049BD" w:rsidP="008B367F">
            <w:pPr>
              <w:pStyle w:val="TableParagraph"/>
              <w:spacing w:line="360" w:lineRule="auto"/>
              <w:jc w:val="center"/>
              <w:rPr>
                <w:rFonts w:ascii="宋体" w:hAnsi="宋体" w:cs="宋体"/>
                <w:sz w:val="28"/>
                <w:szCs w:val="28"/>
              </w:rPr>
            </w:pPr>
            <w:r>
              <w:rPr>
                <w:rFonts w:ascii="宋体" w:hAnsi="宋体" w:cs="宋体" w:hint="eastAsia"/>
                <w:sz w:val="28"/>
                <w:szCs w:val="28"/>
              </w:rPr>
              <w:t>起草人</w:t>
            </w:r>
          </w:p>
        </w:tc>
      </w:tr>
    </w:tbl>
    <w:p w14:paraId="4F9C69FD" w14:textId="77777777" w:rsidR="002049BD" w:rsidRPr="00BC07DA" w:rsidRDefault="002049BD" w:rsidP="00BC07DA">
      <w:pPr>
        <w:pStyle w:val="a4"/>
        <w:tabs>
          <w:tab w:val="left" w:pos="0"/>
        </w:tabs>
        <w:ind w:firstLine="560"/>
        <w:jc w:val="left"/>
        <w:rPr>
          <w:rFonts w:ascii="宋体" w:hAnsi="宋体" w:cs="宋体" w:hint="eastAsia"/>
          <w:bCs/>
          <w:sz w:val="28"/>
          <w:szCs w:val="28"/>
        </w:rPr>
      </w:pPr>
    </w:p>
    <w:p w14:paraId="45E7E0D5"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二</w:t>
      </w:r>
      <w:r>
        <w:rPr>
          <w:rFonts w:ascii="宋体" w:hAnsi="宋体" w:cs="宋体" w:hint="eastAsia"/>
          <w:b/>
          <w:bCs/>
          <w:sz w:val="28"/>
          <w:szCs w:val="28"/>
        </w:rPr>
        <w:t>、</w:t>
      </w:r>
      <w:r>
        <w:rPr>
          <w:rFonts w:ascii="宋体" w:hAnsi="宋体" w:cs="宋体" w:hint="eastAsia"/>
          <w:b/>
          <w:bCs/>
          <w:sz w:val="28"/>
          <w:szCs w:val="28"/>
        </w:rPr>
        <w:t>对所规定的主要技术要求、试验条件、试验方法的有关说明</w:t>
      </w:r>
    </w:p>
    <w:p w14:paraId="2C596EE6"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碳排放测量核算为“双碳”工作提供全面、科学的数据支撑，排放数据准确可靠、溯源性强</w:t>
      </w:r>
      <w:r w:rsidRPr="00AE3B2D">
        <w:rPr>
          <w:rFonts w:ascii="宋体" w:hAnsi="宋体" w:cs="宋体" w:hint="eastAsia"/>
          <w:b/>
          <w:bCs/>
          <w:sz w:val="28"/>
          <w:szCs w:val="28"/>
        </w:rPr>
        <w:t>是提升碳计量</w:t>
      </w:r>
      <w:r>
        <w:rPr>
          <w:rFonts w:ascii="宋体" w:hAnsi="宋体" w:cs="宋体" w:hint="eastAsia"/>
          <w:sz w:val="28"/>
          <w:szCs w:val="28"/>
        </w:rPr>
        <w:t>数据利用价值，支撑政府和行业制定碳达峰碳中和路径和措施的重要依据。目前，国内外使用的碳排放量化方法主要有排放因子法、物料平衡法和实测法。经调研分析发现，采用以上方法进行石油石化行业碳排放计量时存在关键参数直接测量技术不完善、数据量值溯源体系不健全、数据管理平台和标准制度缺失等问题。</w:t>
      </w:r>
    </w:p>
    <w:p w14:paraId="729C313A"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能源计量和碳计量管理制度未有效衔接。当前石油石化行业众多企业在计量仪表配备方面大多参照</w:t>
      </w:r>
      <w:r>
        <w:rPr>
          <w:rFonts w:ascii="宋体" w:hAnsi="宋体" w:cs="宋体" w:hint="eastAsia"/>
          <w:sz w:val="28"/>
          <w:szCs w:val="28"/>
        </w:rPr>
        <w:t>GB17167</w:t>
      </w:r>
      <w:r>
        <w:rPr>
          <w:rFonts w:ascii="宋体" w:hAnsi="宋体" w:cs="宋体" w:hint="eastAsia"/>
          <w:sz w:val="28"/>
          <w:szCs w:val="28"/>
        </w:rPr>
        <w:t>《用能单位能源计量器具配备和管理通则</w:t>
      </w:r>
      <w:r>
        <w:rPr>
          <w:rFonts w:ascii="宋体" w:hAnsi="宋体" w:cs="宋体" w:hint="eastAsia"/>
          <w:sz w:val="28"/>
          <w:szCs w:val="28"/>
        </w:rPr>
        <w:t>》，基本能够满足能源计量的需求。但是对于碳计量，由于其担负着支撑行业双碳路线正确实施的重大政治责任，目前能源计量器具配备制度不能满足精准碳计量的需求，具体体现在以下几方面：一是重点排放源用能设备配备率与精度未作说明。加热炉、锅炉烟气及火炬放空气流量大、二氧化碳浓度高，是行业重点排放源，但目前排放因子法是主要计算方法，实测法处在探索阶段，实测设备布设点位要求、采样频率、准确度等关键参数未规定，不利于重点排放量形成统一、精准的碳排放计量手段；二是逸散、泄漏等行业特有的非能源计量范围的排放源无计量器具规范。逸散、</w:t>
      </w:r>
      <w:r>
        <w:rPr>
          <w:rFonts w:ascii="宋体" w:hAnsi="宋体" w:cs="宋体" w:hint="eastAsia"/>
          <w:sz w:val="28"/>
          <w:szCs w:val="28"/>
        </w:rPr>
        <w:t>泄漏等排放源计量器具的配备、管理和使用要求目前仅可参考《中国石油和天然气生产企业温室气体排放核算方法与报告指南（试行）》，</w:t>
      </w:r>
      <w:r>
        <w:rPr>
          <w:rFonts w:ascii="宋体" w:hAnsi="宋体" w:cs="宋体" w:hint="eastAsia"/>
          <w:sz w:val="28"/>
          <w:szCs w:val="28"/>
        </w:rPr>
        <w:t>但未</w:t>
      </w:r>
      <w:r>
        <w:rPr>
          <w:rFonts w:ascii="宋体" w:hAnsi="宋体" w:cs="宋体" w:hint="eastAsia"/>
          <w:sz w:val="28"/>
          <w:szCs w:val="28"/>
        </w:rPr>
        <w:t>对</w:t>
      </w:r>
      <w:r>
        <w:rPr>
          <w:rFonts w:ascii="宋体" w:hAnsi="宋体" w:cs="宋体" w:hint="eastAsia"/>
          <w:sz w:val="28"/>
          <w:szCs w:val="28"/>
        </w:rPr>
        <w:t>勘探开发、试油试气、油气开采、油气处理、油气集输等可能出现甲烷逸散环节的逸散浓度、逸散速度等实测参数的计量设备选型、溯源、精度进行规范，</w:t>
      </w:r>
      <w:r>
        <w:rPr>
          <w:rFonts w:ascii="宋体" w:hAnsi="宋体" w:cs="宋体" w:hint="eastAsia"/>
          <w:sz w:val="28"/>
          <w:szCs w:val="28"/>
        </w:rPr>
        <w:t>甲烷逸散量难以做到行业互认。同时</w:t>
      </w:r>
      <w:r>
        <w:rPr>
          <w:rFonts w:ascii="宋体" w:hAnsi="宋体" w:cs="宋体" w:hint="eastAsia"/>
          <w:sz w:val="28"/>
          <w:szCs w:val="28"/>
        </w:rPr>
        <w:t>CCUS</w:t>
      </w:r>
      <w:r>
        <w:rPr>
          <w:rFonts w:ascii="宋体" w:hAnsi="宋体" w:cs="宋体" w:hint="eastAsia"/>
          <w:sz w:val="28"/>
          <w:szCs w:val="28"/>
        </w:rPr>
        <w:t>技术可能出现的管线逸散放空、井口泄漏、土壤泄漏目前没有计量规范，降低了</w:t>
      </w:r>
      <w:r>
        <w:rPr>
          <w:rFonts w:ascii="宋体" w:hAnsi="宋体" w:cs="宋体" w:hint="eastAsia"/>
          <w:sz w:val="28"/>
          <w:szCs w:val="28"/>
        </w:rPr>
        <w:t>CCUS</w:t>
      </w:r>
      <w:r>
        <w:rPr>
          <w:rFonts w:ascii="宋体" w:hAnsi="宋体" w:cs="宋体" w:hint="eastAsia"/>
          <w:sz w:val="28"/>
          <w:szCs w:val="28"/>
        </w:rPr>
        <w:t>项目减排量的置信度。</w:t>
      </w:r>
    </w:p>
    <w:p w14:paraId="383D86E4"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行业碳排放数据质量管控制度与标准缺失。</w:t>
      </w:r>
      <w:r>
        <w:rPr>
          <w:rFonts w:ascii="宋体" w:hAnsi="宋体" w:cs="宋体" w:hint="eastAsia"/>
          <w:sz w:val="28"/>
          <w:szCs w:val="28"/>
        </w:rPr>
        <w:t>2013</w:t>
      </w:r>
      <w:r>
        <w:rPr>
          <w:rFonts w:ascii="宋体" w:hAnsi="宋体" w:cs="宋体" w:hint="eastAsia"/>
          <w:sz w:val="28"/>
          <w:szCs w:val="28"/>
        </w:rPr>
        <w:t>年以来，我国逐步建立了发电、石化、化工等行业碳排放核算体系。其</w:t>
      </w:r>
      <w:r>
        <w:rPr>
          <w:rFonts w:ascii="宋体" w:hAnsi="宋体" w:cs="宋体" w:hint="eastAsia"/>
          <w:sz w:val="28"/>
          <w:szCs w:val="28"/>
        </w:rPr>
        <w:t>中，发电行业依托碳市场形成了《企业温室气体排放核算方法与报告指南发电设施》，详细规定了数据质量控制计划与管理要求。但当前石油石化行业仅注重法人边界总量的核算，并且在已发布的《中国石油化工企业温室气体排放核算方法与报告指南》中“数据的监测与获取”仅规定了数据获取边界与计算公式，未明确能源计量器具配备比例要求、准确度要求、检定</w:t>
      </w:r>
      <w:r>
        <w:rPr>
          <w:rFonts w:ascii="宋体" w:hAnsi="宋体" w:cs="宋体" w:hint="eastAsia"/>
          <w:sz w:val="28"/>
          <w:szCs w:val="28"/>
        </w:rPr>
        <w:t>/</w:t>
      </w:r>
      <w:r>
        <w:rPr>
          <w:rFonts w:ascii="宋体" w:hAnsi="宋体" w:cs="宋体" w:hint="eastAsia"/>
          <w:sz w:val="28"/>
          <w:szCs w:val="28"/>
        </w:rPr>
        <w:t>校准要求、监测计划、数据治理控制计划不确定性分析等，导致不同企业间碳排放数据横向对比性差、同一企业不同层级人员总量核算存在人为误差。</w:t>
      </w:r>
    </w:p>
    <w:p w14:paraId="123DAF2A"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在线校准规范缺失。随着碳计量发展需求，市场上各个机构</w:t>
      </w:r>
      <w:r>
        <w:rPr>
          <w:rFonts w:ascii="宋体" w:hAnsi="宋体" w:cs="宋体" w:hint="eastAsia"/>
          <w:sz w:val="28"/>
          <w:szCs w:val="28"/>
        </w:rPr>
        <w:t>研发出形形色色的碳计量设备，也包括大量在线监测、远程在线监测的计量设备，并且这些设备本身就处于研发、探索、实验阶段，而针对这些在线监测的碳计量设备的专门校准标准器更是处于空缺状态。这些仪器在缺少专用标准器及设备的同时，也缺少在线校准的统一标准规范，导致没有统一的检测校准方法，多种方法的检测无法做到量值统一和溯源，碳计量数据无法得到互认。</w:t>
      </w:r>
    </w:p>
    <w:p w14:paraId="1A83E811"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三、</w:t>
      </w:r>
      <w:r>
        <w:rPr>
          <w:rFonts w:ascii="宋体" w:hAnsi="宋体" w:cs="宋体" w:hint="eastAsia"/>
          <w:b/>
          <w:bCs/>
          <w:sz w:val="28"/>
          <w:szCs w:val="28"/>
        </w:rPr>
        <w:t>对重要条款的解释</w:t>
      </w:r>
    </w:p>
    <w:p w14:paraId="4BBC2404"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sz w:val="28"/>
          <w:szCs w:val="28"/>
        </w:rPr>
        <w:t>碳计量器具的计量特性：本规范应明确石油石化行业需配备的碳排放计量器具的计量特性（准确度等级和最大允许误差），需对石油石化行业碳排放计量器具的计量特</w:t>
      </w:r>
      <w:r>
        <w:rPr>
          <w:rFonts w:ascii="宋体" w:hAnsi="宋体" w:cs="宋体" w:hint="eastAsia"/>
          <w:sz w:val="28"/>
          <w:szCs w:val="28"/>
        </w:rPr>
        <w:t>性进行全面深入的调研，合理规定碳排放计量器具的配备要求。</w:t>
      </w:r>
    </w:p>
    <w:p w14:paraId="020BAEDA"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w:t>
      </w:r>
      <w:r>
        <w:rPr>
          <w:rFonts w:ascii="宋体" w:hAnsi="宋体" w:cs="宋体" w:hint="eastAsia"/>
          <w:sz w:val="28"/>
          <w:szCs w:val="28"/>
        </w:rPr>
        <w:t>碳计量器具的溯源技术要求。根据石油天然气产品的碳足迹流程图，明确碳计量器具的采集点位置，各采集点要求配备的计量器具应满足碳排放核算法和直接测量法关于碳排放量的计量要求，并与现行有效的标准、规范协调一致，以此确认需配备的碳排放计量器具种类、数量、准确度等级等。</w:t>
      </w:r>
    </w:p>
    <w:p w14:paraId="0F23ABCA"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w:t>
      </w:r>
      <w:r>
        <w:rPr>
          <w:rFonts w:ascii="宋体" w:hAnsi="宋体" w:cs="宋体" w:hint="eastAsia"/>
          <w:sz w:val="28"/>
          <w:szCs w:val="28"/>
        </w:rPr>
        <w:t>碳计量器具的管理：本规范明确石油石化行业计量器具配备的管理要求，包括具有行业特点的计量管理制度，计量人员，计量器具，计量数据应用的管理要求。</w:t>
      </w:r>
    </w:p>
    <w:p w14:paraId="34B2B593"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碳足迹流程图：本规范应基于石油石化行业的</w:t>
      </w:r>
      <w:r>
        <w:rPr>
          <w:rFonts w:ascii="宋体" w:hAnsi="宋体" w:cs="宋体" w:hint="eastAsia"/>
          <w:sz w:val="28"/>
          <w:szCs w:val="28"/>
        </w:rPr>
        <w:t>工艺流程图绘制碳流程图，确定碳排放计量器具的配备位置和数量，需充分调研石油石化行业的基本工艺流程，识别不同类别的碳源流，确定碳排放流向。</w:t>
      </w:r>
    </w:p>
    <w:p w14:paraId="40BEC723"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四、</w:t>
      </w:r>
      <w:r>
        <w:rPr>
          <w:rFonts w:ascii="宋体" w:hAnsi="宋体" w:cs="宋体" w:hint="eastAsia"/>
          <w:b/>
          <w:bCs/>
          <w:sz w:val="28"/>
          <w:szCs w:val="28"/>
        </w:rPr>
        <w:t>对重大分歧意见的处理结果和依据</w:t>
      </w:r>
    </w:p>
    <w:p w14:paraId="19AD8FC5"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无。</w:t>
      </w:r>
    </w:p>
    <w:p w14:paraId="76AAD903"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五、</w:t>
      </w:r>
      <w:r>
        <w:rPr>
          <w:rFonts w:ascii="宋体" w:hAnsi="宋体" w:cs="宋体" w:hint="eastAsia"/>
          <w:b/>
          <w:bCs/>
          <w:sz w:val="28"/>
          <w:szCs w:val="28"/>
        </w:rPr>
        <w:t>在修订时，应当对修改内容予以说明。</w:t>
      </w:r>
    </w:p>
    <w:p w14:paraId="0EE579DF"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本规范为初次制定。</w:t>
      </w:r>
    </w:p>
    <w:p w14:paraId="7B802B9B"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六、编制整体情况说明</w:t>
      </w:r>
    </w:p>
    <w:p w14:paraId="0857442B"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1.</w:t>
      </w:r>
      <w:r>
        <w:rPr>
          <w:rFonts w:ascii="宋体" w:hAnsi="宋体" w:cs="宋体" w:hint="eastAsia"/>
          <w:b/>
          <w:bCs/>
          <w:sz w:val="28"/>
          <w:szCs w:val="28"/>
        </w:rPr>
        <w:t>油气开采温室气体计量规范现状分析</w:t>
      </w:r>
    </w:p>
    <w:p w14:paraId="4FBAAC55"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1.1</w:t>
      </w:r>
      <w:r>
        <w:rPr>
          <w:rFonts w:ascii="宋体" w:hAnsi="宋体" w:cs="宋体" w:hint="eastAsia"/>
          <w:b/>
          <w:bCs/>
          <w:sz w:val="28"/>
          <w:szCs w:val="28"/>
        </w:rPr>
        <w:t>国内外标准体系发展现状</w:t>
      </w:r>
    </w:p>
    <w:p w14:paraId="33F1382F"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当前，油气开采行业的温室气体计量规范正处于快速发展和完善的阶段。在国际层面，</w:t>
      </w:r>
      <w:r>
        <w:rPr>
          <w:rFonts w:ascii="宋体" w:hAnsi="宋体" w:cs="宋体" w:hint="eastAsia"/>
          <w:sz w:val="28"/>
          <w:szCs w:val="28"/>
        </w:rPr>
        <w:t>ISO/TC67</w:t>
      </w:r>
      <w:r>
        <w:rPr>
          <w:rFonts w:ascii="宋体" w:hAnsi="宋体" w:cs="宋体" w:hint="eastAsia"/>
          <w:sz w:val="28"/>
          <w:szCs w:val="28"/>
        </w:rPr>
        <w:t>石油、石化和天然气工业技术委员会制定了一系列相关标准，例如</w:t>
      </w:r>
      <w:r>
        <w:rPr>
          <w:rFonts w:ascii="宋体" w:hAnsi="宋体" w:cs="宋体" w:hint="eastAsia"/>
          <w:sz w:val="28"/>
          <w:szCs w:val="28"/>
        </w:rPr>
        <w:t>ISO14064</w:t>
      </w:r>
      <w:r>
        <w:rPr>
          <w:rFonts w:ascii="宋体" w:hAnsi="宋体" w:cs="宋体" w:hint="eastAsia"/>
          <w:sz w:val="28"/>
          <w:szCs w:val="28"/>
        </w:rPr>
        <w:t>系列标准提供了组织温室气体排放量化和报告的框架。欧盟、美国等也建立了完善的法律法规体系，如美国的《温室气体报告计划》（</w:t>
      </w:r>
      <w:r>
        <w:rPr>
          <w:rFonts w:ascii="宋体" w:hAnsi="宋体" w:cs="宋体" w:hint="eastAsia"/>
          <w:sz w:val="28"/>
          <w:szCs w:val="28"/>
        </w:rPr>
        <w:t>GHGRP</w:t>
      </w:r>
      <w:r>
        <w:rPr>
          <w:rFonts w:ascii="宋体" w:hAnsi="宋体" w:cs="宋体" w:hint="eastAsia"/>
          <w:sz w:val="28"/>
          <w:szCs w:val="28"/>
        </w:rPr>
        <w:t>）和欧盟的《监测、报告与核查条例》（</w:t>
      </w:r>
      <w:r>
        <w:rPr>
          <w:rFonts w:ascii="宋体" w:hAnsi="宋体" w:cs="宋体" w:hint="eastAsia"/>
          <w:sz w:val="28"/>
          <w:szCs w:val="28"/>
        </w:rPr>
        <w:t>MRV</w:t>
      </w:r>
      <w:r>
        <w:rPr>
          <w:rFonts w:ascii="宋体" w:hAnsi="宋体" w:cs="宋体" w:hint="eastAsia"/>
          <w:sz w:val="28"/>
          <w:szCs w:val="28"/>
        </w:rPr>
        <w:t>），对油气开采企业的甲烷等温室气体排放监测提出了严格的技术要求。</w:t>
      </w:r>
    </w:p>
    <w:p w14:paraId="7E11EC90"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在国内，标准体系构建工作已取得显著进展。国家层面已发布</w:t>
      </w:r>
      <w:r>
        <w:rPr>
          <w:rFonts w:ascii="宋体" w:hAnsi="宋体" w:cs="宋体" w:hint="eastAsia"/>
          <w:sz w:val="28"/>
          <w:szCs w:val="28"/>
        </w:rPr>
        <w:t>GB/T 32151.16-2023</w:t>
      </w:r>
      <w:r>
        <w:rPr>
          <w:rFonts w:ascii="宋体" w:hAnsi="宋体" w:cs="宋体" w:hint="eastAsia"/>
          <w:sz w:val="28"/>
          <w:szCs w:val="28"/>
        </w:rPr>
        <w:t>《碳排放核算与报告要</w:t>
      </w:r>
      <w:r>
        <w:rPr>
          <w:rFonts w:ascii="宋体" w:hAnsi="宋体" w:cs="宋体" w:hint="eastAsia"/>
          <w:sz w:val="28"/>
          <w:szCs w:val="28"/>
        </w:rPr>
        <w:t>求第</w:t>
      </w:r>
      <w:r>
        <w:rPr>
          <w:rFonts w:ascii="宋体" w:hAnsi="宋体" w:cs="宋体" w:hint="eastAsia"/>
          <w:sz w:val="28"/>
          <w:szCs w:val="28"/>
        </w:rPr>
        <w:t>16</w:t>
      </w:r>
      <w:r>
        <w:rPr>
          <w:rFonts w:ascii="宋体" w:hAnsi="宋体" w:cs="宋体" w:hint="eastAsia"/>
          <w:sz w:val="28"/>
          <w:szCs w:val="28"/>
        </w:rPr>
        <w:t>部分：石油天然气生产企业》，为碳排放核算提供了宏观依据。同时，针对计量器具的具体配备与管理，辽宁省率先发布了地方计量技术规范</w:t>
      </w:r>
      <w:r>
        <w:rPr>
          <w:rFonts w:ascii="宋体" w:hAnsi="宋体" w:cs="宋体" w:hint="eastAsia"/>
          <w:sz w:val="28"/>
          <w:szCs w:val="28"/>
        </w:rPr>
        <w:t>JJF(</w:t>
      </w:r>
      <w:r>
        <w:rPr>
          <w:rFonts w:ascii="宋体" w:hAnsi="宋体" w:cs="宋体" w:hint="eastAsia"/>
          <w:sz w:val="28"/>
          <w:szCs w:val="28"/>
        </w:rPr>
        <w:t>辽</w:t>
      </w:r>
      <w:r>
        <w:rPr>
          <w:rFonts w:ascii="宋体" w:hAnsi="宋体" w:cs="宋体" w:hint="eastAsia"/>
          <w:sz w:val="28"/>
          <w:szCs w:val="28"/>
        </w:rPr>
        <w:t>)565-2025</w:t>
      </w:r>
      <w:r>
        <w:rPr>
          <w:rFonts w:ascii="宋体" w:hAnsi="宋体" w:cs="宋体" w:hint="eastAsia"/>
          <w:sz w:val="28"/>
          <w:szCs w:val="28"/>
        </w:rPr>
        <w:t>《企业温室气体排放计量器具配备和管理规范石油化工行业》，该规范明确规定了“石油化工行业内年度温室气体</w:t>
      </w:r>
      <w:r>
        <w:rPr>
          <w:rFonts w:ascii="宋体" w:hAnsi="宋体" w:cs="宋体" w:hint="eastAsia"/>
          <w:sz w:val="28"/>
          <w:szCs w:val="28"/>
        </w:rPr>
        <w:t>排放量达</w:t>
      </w:r>
      <w:r>
        <w:rPr>
          <w:rFonts w:ascii="宋体" w:hAnsi="宋体" w:cs="宋体" w:hint="eastAsia"/>
          <w:sz w:val="28"/>
          <w:szCs w:val="28"/>
        </w:rPr>
        <w:t>2.6</w:t>
      </w:r>
      <w:r>
        <w:rPr>
          <w:rFonts w:ascii="宋体" w:hAnsi="宋体" w:cs="宋体" w:hint="eastAsia"/>
          <w:sz w:val="28"/>
          <w:szCs w:val="28"/>
        </w:rPr>
        <w:t>万吨二氧化碳当量</w:t>
      </w:r>
      <w:r>
        <w:rPr>
          <w:rFonts w:ascii="宋体" w:hAnsi="宋体" w:cs="宋体" w:hint="eastAsia"/>
          <w:sz w:val="28"/>
          <w:szCs w:val="28"/>
        </w:rPr>
        <w:t>...</w:t>
      </w:r>
      <w:r>
        <w:rPr>
          <w:rFonts w:ascii="宋体" w:hAnsi="宋体" w:cs="宋体" w:hint="eastAsia"/>
          <w:sz w:val="28"/>
          <w:szCs w:val="28"/>
        </w:rPr>
        <w:t>的重点排放单位”的计量器具配备要求。此外，针对非常规油气资源，</w:t>
      </w:r>
      <w:r>
        <w:rPr>
          <w:rFonts w:ascii="宋体" w:hAnsi="宋体" w:cs="宋体" w:hint="eastAsia"/>
          <w:sz w:val="28"/>
          <w:szCs w:val="28"/>
        </w:rPr>
        <w:t>SY/T7641-2021</w:t>
      </w:r>
      <w:r>
        <w:rPr>
          <w:rFonts w:ascii="宋体" w:hAnsi="宋体" w:cs="宋体" w:hint="eastAsia"/>
          <w:sz w:val="28"/>
          <w:szCs w:val="28"/>
        </w:rPr>
        <w:t>《非常规油气开采企业温室气体排放核算方法与报告指南》也已发布实施，填补了页岩气、煤层气等领域的标准空白。</w:t>
      </w:r>
    </w:p>
    <w:p w14:paraId="67820FA4"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1.2</w:t>
      </w:r>
      <w:r>
        <w:rPr>
          <w:rFonts w:ascii="宋体" w:hAnsi="宋体" w:cs="宋体" w:hint="eastAsia"/>
          <w:b/>
          <w:bCs/>
          <w:sz w:val="28"/>
          <w:szCs w:val="28"/>
        </w:rPr>
        <w:t>现行规范的主要特</w:t>
      </w:r>
      <w:r>
        <w:rPr>
          <w:rFonts w:ascii="宋体" w:hAnsi="宋体" w:cs="宋体" w:hint="eastAsia"/>
          <w:b/>
          <w:bCs/>
          <w:sz w:val="28"/>
          <w:szCs w:val="28"/>
        </w:rPr>
        <w:t>点与不足</w:t>
      </w:r>
    </w:p>
    <w:p w14:paraId="0BBB40CC"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现行规范体系呈现出“核算先行、计量跟进”的特点。以</w:t>
      </w:r>
      <w:r>
        <w:rPr>
          <w:rFonts w:ascii="宋体" w:hAnsi="宋体" w:cs="宋体" w:hint="eastAsia"/>
          <w:sz w:val="28"/>
          <w:szCs w:val="28"/>
        </w:rPr>
        <w:t>GB/T32151.16-2023</w:t>
      </w:r>
      <w:r>
        <w:rPr>
          <w:rFonts w:ascii="宋体" w:hAnsi="宋体" w:cs="宋体" w:hint="eastAsia"/>
          <w:sz w:val="28"/>
          <w:szCs w:val="28"/>
        </w:rPr>
        <w:t>为代表的核算标准，主要侧重于基于排放因子法的计算逻辑，对计量器具的现场配备要求着墨较少。而</w:t>
      </w:r>
      <w:r>
        <w:rPr>
          <w:rFonts w:ascii="宋体" w:hAnsi="宋体" w:cs="宋体" w:hint="eastAsia"/>
          <w:sz w:val="28"/>
          <w:szCs w:val="28"/>
        </w:rPr>
        <w:t>JJF(</w:t>
      </w:r>
      <w:r>
        <w:rPr>
          <w:rFonts w:ascii="宋体" w:hAnsi="宋体" w:cs="宋体" w:hint="eastAsia"/>
          <w:sz w:val="28"/>
          <w:szCs w:val="28"/>
        </w:rPr>
        <w:t>辽</w:t>
      </w:r>
      <w:r>
        <w:rPr>
          <w:rFonts w:ascii="宋体" w:hAnsi="宋体" w:cs="宋体" w:hint="eastAsia"/>
          <w:sz w:val="28"/>
          <w:szCs w:val="28"/>
        </w:rPr>
        <w:t>)565-2025</w:t>
      </w:r>
      <w:r>
        <w:rPr>
          <w:rFonts w:ascii="宋体" w:hAnsi="宋体" w:cs="宋体" w:hint="eastAsia"/>
          <w:sz w:val="28"/>
          <w:szCs w:val="28"/>
        </w:rPr>
        <w:t>等地方规范虽然在计量器具“配备率”和“准确度等级”上做出了具体规定，例如要求计算法下主要碳源流的活动数据计量器具配备率为</w:t>
      </w:r>
      <w:r>
        <w:rPr>
          <w:rFonts w:ascii="宋体" w:hAnsi="宋体" w:cs="宋体" w:hint="eastAsia"/>
          <w:sz w:val="28"/>
          <w:szCs w:val="28"/>
        </w:rPr>
        <w:t>100%</w:t>
      </w:r>
      <w:r>
        <w:rPr>
          <w:rFonts w:ascii="宋体" w:hAnsi="宋体" w:cs="宋体" w:hint="eastAsia"/>
          <w:sz w:val="28"/>
          <w:szCs w:val="28"/>
        </w:rPr>
        <w:t>，但在实施细则和行业针对性上仍存在提升空间。</w:t>
      </w:r>
    </w:p>
    <w:p w14:paraId="20898FF2"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主要不足表现在以下几个方面：</w:t>
      </w:r>
    </w:p>
    <w:p w14:paraId="43C49A1D"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首先是法律定位与统一性问题。目前缺乏一个覆盖全行业的国家层面计量技术规范（</w:t>
      </w:r>
      <w:r>
        <w:rPr>
          <w:rFonts w:ascii="宋体" w:hAnsi="宋体" w:cs="宋体" w:hint="eastAsia"/>
          <w:sz w:val="28"/>
          <w:szCs w:val="28"/>
        </w:rPr>
        <w:t>JJF</w:t>
      </w:r>
      <w:r>
        <w:rPr>
          <w:rFonts w:ascii="宋体" w:hAnsi="宋体" w:cs="宋体" w:hint="eastAsia"/>
          <w:sz w:val="28"/>
          <w:szCs w:val="28"/>
        </w:rPr>
        <w:t>），地方标准（如</w:t>
      </w:r>
      <w:r>
        <w:rPr>
          <w:rFonts w:ascii="宋体" w:hAnsi="宋体" w:cs="宋体" w:hint="eastAsia"/>
          <w:sz w:val="28"/>
          <w:szCs w:val="28"/>
        </w:rPr>
        <w:t>辽宁省标）虽然实操性强，但仅限特定区域，可能导致跨区域企业执行标准不一，增加了合规成本。</w:t>
      </w:r>
    </w:p>
    <w:p w14:paraId="5A8B2777"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其次是技术指标的适用性。部分指标直接沿用通用能源计量标准（如</w:t>
      </w:r>
      <w:r>
        <w:rPr>
          <w:rFonts w:ascii="宋体" w:hAnsi="宋体" w:cs="宋体" w:hint="eastAsia"/>
          <w:sz w:val="28"/>
          <w:szCs w:val="28"/>
        </w:rPr>
        <w:t>GB17167</w:t>
      </w:r>
      <w:r>
        <w:rPr>
          <w:rFonts w:ascii="宋体" w:hAnsi="宋体" w:cs="宋体" w:hint="eastAsia"/>
          <w:sz w:val="28"/>
          <w:szCs w:val="28"/>
        </w:rPr>
        <w:t>）或石化下游（炼化）标准，未能充分考虑油气开采“点多、线长、面广”的物理特性。例如，针对偏远井口、输油管道站场等分散性排放源，现有的计量器具精度要求和检定周期可能缺乏可操作性。</w:t>
      </w:r>
    </w:p>
    <w:p w14:paraId="6DAFBF2D"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再次是甲烷计量监测的滞后性。甲烷（</w:t>
      </w:r>
      <w:r>
        <w:rPr>
          <w:rFonts w:ascii="宋体" w:hAnsi="宋体" w:cs="宋体" w:hint="eastAsia"/>
          <w:sz w:val="28"/>
          <w:szCs w:val="28"/>
        </w:rPr>
        <w:t>CH</w:t>
      </w:r>
      <w:r>
        <w:rPr>
          <w:rFonts w:ascii="宋体" w:hAnsi="宋体" w:cs="宋体" w:hint="eastAsia"/>
          <w:sz w:val="28"/>
          <w:szCs w:val="28"/>
          <w:vertAlign w:val="subscript"/>
        </w:rPr>
        <w:t>4</w:t>
      </w:r>
      <w:r>
        <w:rPr>
          <w:rFonts w:ascii="宋体" w:hAnsi="宋体" w:cs="宋体" w:hint="eastAsia"/>
          <w:sz w:val="28"/>
          <w:szCs w:val="28"/>
        </w:rPr>
        <w:t>）是油气开采行业最主要的温室气体排放源之一，其全球变暖潜能值（</w:t>
      </w:r>
      <w:r>
        <w:rPr>
          <w:rFonts w:ascii="宋体" w:hAnsi="宋体" w:cs="宋体" w:hint="eastAsia"/>
          <w:sz w:val="28"/>
          <w:szCs w:val="28"/>
        </w:rPr>
        <w:t>GWP</w:t>
      </w:r>
      <w:r>
        <w:rPr>
          <w:rFonts w:ascii="宋体" w:hAnsi="宋体" w:cs="宋体" w:hint="eastAsia"/>
          <w:sz w:val="28"/>
          <w:szCs w:val="28"/>
        </w:rPr>
        <w:t>）远高于二氧化碳。然而，目前关于甲烷的“监测标准”存在“过于宽</w:t>
      </w:r>
      <w:r>
        <w:rPr>
          <w:rFonts w:ascii="宋体" w:hAnsi="宋体" w:cs="宋体" w:hint="eastAsia"/>
          <w:sz w:val="28"/>
          <w:szCs w:val="28"/>
        </w:rPr>
        <w:t>泛、不完整或不符合国情等问题，直接套用会导致核算结果与实际情况相差较大”。现有规范更多关注</w:t>
      </w:r>
      <w:r>
        <w:rPr>
          <w:rFonts w:ascii="宋体" w:hAnsi="宋体" w:cs="宋体" w:hint="eastAsia"/>
          <w:sz w:val="28"/>
          <w:szCs w:val="28"/>
        </w:rPr>
        <w:t>CO</w:t>
      </w:r>
      <w:r>
        <w:rPr>
          <w:rFonts w:ascii="宋体" w:hAnsi="宋体" w:cs="宋体" w:hint="eastAsia"/>
          <w:sz w:val="28"/>
          <w:szCs w:val="28"/>
          <w:vertAlign w:val="subscript"/>
        </w:rPr>
        <w:t>2</w:t>
      </w:r>
      <w:r>
        <w:rPr>
          <w:rFonts w:ascii="宋体" w:hAnsi="宋体" w:cs="宋体" w:hint="eastAsia"/>
          <w:sz w:val="28"/>
          <w:szCs w:val="28"/>
        </w:rPr>
        <w:t>，对于甲烷逸散排放的计量器具配备要求较为笼统，缺乏针对不同类型设备（如井口装置、压缩机、分离器）的差异化监测指标。</w:t>
      </w:r>
    </w:p>
    <w:p w14:paraId="0FD93D73"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最后是实测法与计算法的衔接问题。规范虽然提及“宜配备满足实测法要求的碳排放计量器具”，但对于实测法（如</w:t>
      </w:r>
      <w:r>
        <w:rPr>
          <w:rFonts w:ascii="宋体" w:hAnsi="宋体" w:cs="宋体" w:hint="eastAsia"/>
          <w:sz w:val="28"/>
          <w:szCs w:val="28"/>
        </w:rPr>
        <w:t>CEMS</w:t>
      </w:r>
      <w:r>
        <w:rPr>
          <w:rFonts w:ascii="宋体" w:hAnsi="宋体" w:cs="宋体" w:hint="eastAsia"/>
          <w:sz w:val="28"/>
          <w:szCs w:val="28"/>
        </w:rPr>
        <w:t>系统）在天然气开采环境下的具体应用条件、安装规范及数据质量审核标准，尚缺乏详尽的技术指引。</w:t>
      </w:r>
    </w:p>
    <w:p w14:paraId="163A8F67"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2.</w:t>
      </w:r>
      <w:r>
        <w:rPr>
          <w:rFonts w:ascii="宋体" w:hAnsi="宋体" w:cs="宋体" w:hint="eastAsia"/>
          <w:b/>
          <w:bCs/>
          <w:sz w:val="28"/>
          <w:szCs w:val="28"/>
        </w:rPr>
        <w:t>规范内容解析</w:t>
      </w:r>
    </w:p>
    <w:p w14:paraId="41B3FDC4"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2.1</w:t>
      </w:r>
      <w:r>
        <w:rPr>
          <w:rFonts w:ascii="宋体" w:hAnsi="宋体" w:cs="宋体" w:hint="eastAsia"/>
          <w:b/>
          <w:bCs/>
          <w:sz w:val="28"/>
          <w:szCs w:val="28"/>
        </w:rPr>
        <w:t>计量边界与排放源分类</w:t>
      </w:r>
    </w:p>
    <w:p w14:paraId="6641CAB2"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征求意见稿（以下简称《规范》）明确将碳计量边界设定为</w:t>
      </w:r>
      <w:r>
        <w:rPr>
          <w:rFonts w:ascii="宋体" w:hAnsi="宋体" w:cs="宋体" w:hint="eastAsia"/>
          <w:sz w:val="28"/>
          <w:szCs w:val="28"/>
        </w:rPr>
        <w:t>“年度温室气体排放量不少于</w:t>
      </w:r>
      <w:r>
        <w:rPr>
          <w:rFonts w:ascii="宋体" w:hAnsi="宋体" w:cs="宋体" w:hint="eastAsia"/>
          <w:sz w:val="28"/>
          <w:szCs w:val="28"/>
        </w:rPr>
        <w:t>2.6</w:t>
      </w:r>
      <w:r>
        <w:rPr>
          <w:rFonts w:ascii="宋体" w:hAnsi="宋体" w:cs="宋体" w:hint="eastAsia"/>
          <w:sz w:val="28"/>
          <w:szCs w:val="28"/>
        </w:rPr>
        <w:t>万吨二氧化碳当量的油气开采企业”，并参考</w:t>
      </w:r>
      <w:r>
        <w:rPr>
          <w:rFonts w:ascii="宋体" w:hAnsi="宋体" w:cs="宋体" w:hint="eastAsia"/>
          <w:sz w:val="28"/>
          <w:szCs w:val="28"/>
        </w:rPr>
        <w:t>GB/T32151.16</w:t>
      </w:r>
      <w:r>
        <w:rPr>
          <w:rFonts w:ascii="宋体" w:hAnsi="宋体" w:cs="宋体" w:hint="eastAsia"/>
          <w:sz w:val="28"/>
          <w:szCs w:val="28"/>
        </w:rPr>
        <w:t>界定了具体的业务范围。这一边界划分与</w:t>
      </w:r>
      <w:r>
        <w:rPr>
          <w:rFonts w:ascii="宋体" w:hAnsi="宋体" w:cs="宋体" w:hint="eastAsia"/>
          <w:sz w:val="28"/>
          <w:szCs w:val="28"/>
        </w:rPr>
        <w:t>JJF(</w:t>
      </w:r>
      <w:r>
        <w:rPr>
          <w:rFonts w:ascii="宋体" w:hAnsi="宋体" w:cs="宋体" w:hint="eastAsia"/>
          <w:sz w:val="28"/>
          <w:szCs w:val="28"/>
        </w:rPr>
        <w:t>辽</w:t>
      </w:r>
      <w:r>
        <w:rPr>
          <w:rFonts w:ascii="宋体" w:hAnsi="宋体" w:cs="宋体" w:hint="eastAsia"/>
          <w:sz w:val="28"/>
          <w:szCs w:val="28"/>
        </w:rPr>
        <w:t>)565-2025</w:t>
      </w:r>
      <w:r>
        <w:rPr>
          <w:rFonts w:ascii="宋体" w:hAnsi="宋体" w:cs="宋体" w:hint="eastAsia"/>
          <w:sz w:val="28"/>
          <w:szCs w:val="28"/>
        </w:rPr>
        <w:t>的适用范围保持了高度一致，体现了我国对重点排放单位管理的统一阈值要求。</w:t>
      </w:r>
    </w:p>
    <w:p w14:paraId="0A5C3968"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在排放源及业务分类上，《规范》展现了较强的系统性和针对性。它将油气开采全流程细分为四个核心业务板块：油气勘探、油气开采（开发）、油气处理、油气长输储运。这种划分方式不仅覆盖了从井口到外输（或终端）的完整链路，而且为不同环节的碳排放核算提供了明确的物理边界。</w:t>
      </w:r>
    </w:p>
    <w:p w14:paraId="3B9E8C3F"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具体而言：</w:t>
      </w:r>
    </w:p>
    <w:p w14:paraId="1FB25AC5"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油气勘探业</w:t>
      </w:r>
      <w:r>
        <w:rPr>
          <w:rFonts w:ascii="宋体" w:hAnsi="宋体" w:cs="宋体" w:hint="eastAsia"/>
          <w:sz w:val="28"/>
          <w:szCs w:val="28"/>
        </w:rPr>
        <w:t>务：《规范》识别了化石燃料燃烧、火炬系统燃烧、试油试气作业工艺放空等直接排放源，以及电力、热力消耗的间接排放源。这一分类全面涵盖了勘探阶段钻井、测井、试油等高耗能及间歇性作业环节。</w:t>
      </w:r>
    </w:p>
    <w:p w14:paraId="5C6F4377"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油气开采业务：重点聚焦于驱替介质注入、采油、井场储运等环节。该部分的创新之处在于详细列出了“工艺放空和甲烷逸散”作为排放源，并指出其活动数据可通过“点位数量”结合报表统计或通过“作业时数、放空流速、气体组分”等实测方法获取。这表明《规范》已开始关注油气开采中占比巨大的无组织排放问题。</w:t>
      </w:r>
    </w:p>
    <w:p w14:paraId="16BDA16A"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油气处理与长输储运业务：进一步将核算边界延伸</w:t>
      </w:r>
      <w:r>
        <w:rPr>
          <w:rFonts w:ascii="宋体" w:hAnsi="宋体" w:cs="宋体" w:hint="eastAsia"/>
          <w:sz w:val="28"/>
          <w:szCs w:val="28"/>
        </w:rPr>
        <w:t>至联合站、原油库及运输管道。针对集输工艺，明确了分离器、压力容器、储油罐等设备的动静密封点泄漏及敞口液面逸散等排放源。</w:t>
      </w:r>
    </w:p>
    <w:p w14:paraId="742CD345"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2.2</w:t>
      </w:r>
      <w:r>
        <w:rPr>
          <w:rFonts w:ascii="宋体" w:hAnsi="宋体" w:cs="宋体" w:hint="eastAsia"/>
          <w:b/>
          <w:bCs/>
          <w:sz w:val="28"/>
          <w:szCs w:val="28"/>
        </w:rPr>
        <w:t>器具配备原则与管理要求</w:t>
      </w:r>
    </w:p>
    <w:p w14:paraId="04B8B964"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《规范》在“碳计量器具配备”章节中，提出了层次分明、兼具刚性与弹性的配备原则。</w:t>
      </w:r>
    </w:p>
    <w:p w14:paraId="1C5F43E3"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首先，按方法分类配备。将碳排放量核算方法明确分为“计算法”（含排放因子法、物料平衡法）和“实测法”两类。对于计算法，强制要求配备获取“活动水平数据”的计量器具（如流量计、电能表），即要求“主要碳源流”和“次要碳源流”的器具配备率均达到</w:t>
      </w:r>
      <w:r>
        <w:rPr>
          <w:rFonts w:ascii="宋体" w:hAnsi="宋体" w:cs="宋体" w:hint="eastAsia"/>
          <w:sz w:val="28"/>
          <w:szCs w:val="28"/>
        </w:rPr>
        <w:t>100%</w:t>
      </w:r>
      <w:r>
        <w:rPr>
          <w:rFonts w:ascii="宋体" w:hAnsi="宋体" w:cs="宋体" w:hint="eastAsia"/>
          <w:sz w:val="28"/>
          <w:szCs w:val="28"/>
        </w:rPr>
        <w:t>；对于“微量碳源流”，则允许配备率降至</w:t>
      </w:r>
      <w:r>
        <w:rPr>
          <w:rFonts w:ascii="宋体" w:hAnsi="宋体" w:cs="宋体" w:hint="eastAsia"/>
          <w:sz w:val="28"/>
          <w:szCs w:val="28"/>
        </w:rPr>
        <w:t>60%</w:t>
      </w:r>
      <w:r>
        <w:rPr>
          <w:rFonts w:ascii="宋体" w:hAnsi="宋体" w:cs="宋体" w:hint="eastAsia"/>
          <w:sz w:val="28"/>
          <w:szCs w:val="28"/>
        </w:rPr>
        <w:t>。这一分级配置策略体现了“抓大放小”的成本效益原则，确保了对排放贡献大的源流实施严密的计量监控。对于实测法，则规定排放单位自行配备固定排放源计量器具，而逸散排放源可委托第三方，这符合行业现状。</w:t>
      </w:r>
    </w:p>
    <w:p w14:paraId="788AA9B1"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其次，计量性能与环境适应性要求。</w:t>
      </w:r>
      <w:r>
        <w:rPr>
          <w:rFonts w:ascii="宋体" w:hAnsi="宋体" w:cs="宋体" w:hint="eastAsia"/>
          <w:sz w:val="28"/>
          <w:szCs w:val="28"/>
        </w:rPr>
        <w:t>《规范》要求碳计量器具的性能必须满足生产工艺及使用环境（如温度、湿度、振动、腐蚀等）的要求。这一条款的加入至关重要，因为油气开采现场环境恶劣（如海上平台的高盐雾、沙漠地区的昼夜温差、集输站场的电磁干扰），通用型工业仪表在这些场景下往往难以维持长期稳定性和精度，强调环境适应性是确保数据真实可靠的前提。</w:t>
      </w:r>
    </w:p>
    <w:p w14:paraId="2EA71670"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在管理要求方面，《规范》构建了涵盖制度、人员、器具及数据的全链条管理体系。例如，要求企业建立碳计量管理规章制度，明确碳计量器具台账和档案内容，并对碳计量数据提出了“保存期限应不低于</w:t>
      </w:r>
      <w:r>
        <w:rPr>
          <w:rFonts w:ascii="宋体" w:hAnsi="宋体" w:cs="宋体" w:hint="eastAsia"/>
          <w:sz w:val="28"/>
          <w:szCs w:val="28"/>
        </w:rPr>
        <w:t>6</w:t>
      </w:r>
      <w:r>
        <w:rPr>
          <w:rFonts w:ascii="宋体" w:hAnsi="宋体" w:cs="宋体" w:hint="eastAsia"/>
          <w:sz w:val="28"/>
          <w:szCs w:val="28"/>
        </w:rPr>
        <w:t>年”的要求。此外，还特别建议使用“具备远传功能的碳计量器具”，并强调数据在存储、传输过程中的安全管理。这一规定顺应了数字化转型趋势，旨在通过自动化、智能化手段减少人工干预造成的误差和失真，为未来构建实时碳排放监控网络奠定了基础。</w:t>
      </w:r>
    </w:p>
    <w:p w14:paraId="4B27AAA7"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3.</w:t>
      </w:r>
      <w:r>
        <w:rPr>
          <w:rFonts w:ascii="宋体" w:hAnsi="宋体" w:cs="宋体" w:hint="eastAsia"/>
          <w:b/>
          <w:bCs/>
          <w:sz w:val="28"/>
          <w:szCs w:val="28"/>
        </w:rPr>
        <w:t>编写中发现的不合适指标分析</w:t>
      </w:r>
    </w:p>
    <w:p w14:paraId="3C2F4F8C"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3.1</w:t>
      </w:r>
      <w:r>
        <w:rPr>
          <w:rFonts w:ascii="宋体" w:hAnsi="宋体" w:cs="宋体" w:hint="eastAsia"/>
          <w:b/>
          <w:bCs/>
          <w:sz w:val="28"/>
          <w:szCs w:val="28"/>
        </w:rPr>
        <w:t>甲烷监测指标与安全标准的问题</w:t>
      </w:r>
    </w:p>
    <w:p w14:paraId="60AF081C"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关于甲烷（</w:t>
      </w:r>
      <w:r>
        <w:rPr>
          <w:rFonts w:ascii="宋体" w:hAnsi="宋体" w:cs="宋体" w:hint="eastAsia"/>
          <w:sz w:val="28"/>
          <w:szCs w:val="28"/>
        </w:rPr>
        <w:t>CH</w:t>
      </w:r>
      <w:r>
        <w:rPr>
          <w:rFonts w:ascii="宋体" w:hAnsi="宋体" w:cs="宋体" w:hint="eastAsia"/>
          <w:sz w:val="28"/>
          <w:szCs w:val="28"/>
          <w:vertAlign w:val="subscript"/>
        </w:rPr>
        <w:t>4</w:t>
      </w:r>
      <w:r>
        <w:rPr>
          <w:rFonts w:ascii="宋体" w:hAnsi="宋体" w:cs="宋体" w:hint="eastAsia"/>
          <w:sz w:val="28"/>
          <w:szCs w:val="28"/>
        </w:rPr>
        <w:t>）的检测标准存在</w:t>
      </w:r>
      <w:r>
        <w:rPr>
          <w:rFonts w:ascii="宋体" w:hAnsi="宋体" w:cs="宋体" w:hint="eastAsia"/>
          <w:sz w:val="28"/>
          <w:szCs w:val="28"/>
        </w:rPr>
        <w:t>明显的交叉和混淆，这直接影响到《规范》中相关指标的设定。目前，国内关于甲烷检测的指标主要分为两大类：一类是基于安全防范的爆炸下限（</w:t>
      </w:r>
      <w:r>
        <w:rPr>
          <w:rFonts w:ascii="宋体" w:hAnsi="宋体" w:cs="宋体" w:hint="eastAsia"/>
          <w:sz w:val="28"/>
          <w:szCs w:val="28"/>
        </w:rPr>
        <w:t>LEL</w:t>
      </w:r>
      <w:r>
        <w:rPr>
          <w:rFonts w:ascii="宋体" w:hAnsi="宋体" w:cs="宋体" w:hint="eastAsia"/>
          <w:sz w:val="28"/>
          <w:szCs w:val="28"/>
        </w:rPr>
        <w:t>）指标，另一类是基于环境监测或排放核算的浓度或通量指标。</w:t>
      </w:r>
    </w:p>
    <w:p w14:paraId="2950ACDC"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安全标准优先于排放标准。例如，</w:t>
      </w:r>
      <w:r>
        <w:rPr>
          <w:rFonts w:ascii="宋体" w:hAnsi="宋体" w:cs="宋体" w:hint="eastAsia"/>
          <w:sz w:val="28"/>
          <w:szCs w:val="28"/>
        </w:rPr>
        <w:t>GB50493-2019</w:t>
      </w:r>
      <w:r>
        <w:rPr>
          <w:rFonts w:ascii="宋体" w:hAnsi="宋体" w:cs="宋体" w:hint="eastAsia"/>
          <w:sz w:val="28"/>
          <w:szCs w:val="28"/>
        </w:rPr>
        <w:t>规定，甲烷的一级报警阈值为≤</w:t>
      </w:r>
      <w:r>
        <w:rPr>
          <w:rFonts w:ascii="宋体" w:hAnsi="宋体" w:cs="宋体" w:hint="eastAsia"/>
          <w:sz w:val="28"/>
          <w:szCs w:val="28"/>
        </w:rPr>
        <w:t>25%LEL</w:t>
      </w:r>
      <w:r>
        <w:rPr>
          <w:rFonts w:ascii="宋体" w:hAnsi="宋体" w:cs="宋体" w:hint="eastAsia"/>
          <w:sz w:val="28"/>
          <w:szCs w:val="28"/>
        </w:rPr>
        <w:t>（约</w:t>
      </w:r>
      <w:r>
        <w:rPr>
          <w:rFonts w:ascii="宋体" w:hAnsi="宋体" w:cs="宋体" w:hint="eastAsia"/>
          <w:sz w:val="28"/>
          <w:szCs w:val="28"/>
        </w:rPr>
        <w:t>1.25%</w:t>
      </w:r>
      <w:r>
        <w:rPr>
          <w:rFonts w:ascii="宋体" w:hAnsi="宋体" w:cs="宋体" w:hint="eastAsia"/>
          <w:sz w:val="28"/>
          <w:szCs w:val="28"/>
        </w:rPr>
        <w:t>体积浓度，即</w:t>
      </w:r>
      <w:r>
        <w:rPr>
          <w:rFonts w:ascii="宋体" w:hAnsi="宋体" w:cs="宋体" w:hint="eastAsia"/>
          <w:sz w:val="28"/>
          <w:szCs w:val="28"/>
        </w:rPr>
        <w:t>12.500ppm</w:t>
      </w:r>
      <w:r>
        <w:rPr>
          <w:rFonts w:ascii="宋体" w:hAnsi="宋体" w:cs="宋体" w:hint="eastAsia"/>
          <w:sz w:val="28"/>
          <w:szCs w:val="28"/>
        </w:rPr>
        <w:t>），二级报警为≤</w:t>
      </w:r>
      <w:r>
        <w:rPr>
          <w:rFonts w:ascii="宋体" w:hAnsi="宋体" w:cs="宋体" w:hint="eastAsia"/>
          <w:sz w:val="28"/>
          <w:szCs w:val="28"/>
        </w:rPr>
        <w:t>50%LEL</w:t>
      </w:r>
      <w:r>
        <w:rPr>
          <w:rFonts w:ascii="宋体" w:hAnsi="宋体" w:cs="宋体" w:hint="eastAsia"/>
          <w:sz w:val="28"/>
          <w:szCs w:val="28"/>
        </w:rPr>
        <w:t>。这些指标的设定目的是为了防止火灾和爆炸事故，侧重于高浓度下的风险预警。</w:t>
      </w:r>
    </w:p>
    <w:p w14:paraId="5BD237D4"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然而，在温室气体排放核算领域，关注的重点是微量排放和总量控制。甲烷的</w:t>
      </w:r>
      <w:r>
        <w:rPr>
          <w:rFonts w:ascii="宋体" w:hAnsi="宋体" w:cs="宋体" w:hint="eastAsia"/>
          <w:sz w:val="28"/>
          <w:szCs w:val="28"/>
        </w:rPr>
        <w:t>GWP</w:t>
      </w:r>
      <w:r>
        <w:rPr>
          <w:rFonts w:ascii="宋体" w:hAnsi="宋体" w:cs="宋体" w:hint="eastAsia"/>
          <w:sz w:val="28"/>
          <w:szCs w:val="28"/>
        </w:rPr>
        <w:t>值极</w:t>
      </w:r>
      <w:r>
        <w:rPr>
          <w:rFonts w:ascii="宋体" w:hAnsi="宋体" w:cs="宋体" w:hint="eastAsia"/>
          <w:sz w:val="28"/>
          <w:szCs w:val="28"/>
        </w:rPr>
        <w:t>高，即使在</w:t>
      </w:r>
      <w:r>
        <w:rPr>
          <w:rFonts w:ascii="宋体" w:hAnsi="宋体" w:cs="宋体" w:hint="eastAsia"/>
          <w:sz w:val="28"/>
          <w:szCs w:val="28"/>
        </w:rPr>
        <w:t>ppm</w:t>
      </w:r>
      <w:r>
        <w:rPr>
          <w:rFonts w:ascii="宋体" w:hAnsi="宋体" w:cs="宋体" w:hint="eastAsia"/>
          <w:sz w:val="28"/>
          <w:szCs w:val="28"/>
        </w:rPr>
        <w:t>（百万分之一）甚至</w:t>
      </w:r>
      <w:r>
        <w:rPr>
          <w:rFonts w:ascii="宋体" w:hAnsi="宋体" w:cs="宋体" w:hint="eastAsia"/>
          <w:sz w:val="28"/>
          <w:szCs w:val="28"/>
        </w:rPr>
        <w:t>ppb</w:t>
      </w:r>
      <w:r>
        <w:rPr>
          <w:rFonts w:ascii="宋体" w:hAnsi="宋体" w:cs="宋体" w:hint="eastAsia"/>
          <w:sz w:val="28"/>
          <w:szCs w:val="28"/>
        </w:rPr>
        <w:t>（十亿分之一）级别，其累计的温室效应也不容忽视。例如，井口装置或管阀门处的微小泄漏，其浓度远低于安全报警阈值（可能仅为几十到几百</w:t>
      </w:r>
      <w:r>
        <w:rPr>
          <w:rFonts w:ascii="宋体" w:hAnsi="宋体" w:cs="宋体" w:hint="eastAsia"/>
          <w:sz w:val="28"/>
          <w:szCs w:val="28"/>
        </w:rPr>
        <w:t>ppm</w:t>
      </w:r>
      <w:r>
        <w:rPr>
          <w:rFonts w:ascii="宋体" w:hAnsi="宋体" w:cs="宋体" w:hint="eastAsia"/>
          <w:sz w:val="28"/>
          <w:szCs w:val="28"/>
        </w:rPr>
        <w:t>），不会触发安全报警，但长期累积的排放量却可能非常巨大。</w:t>
      </w:r>
    </w:p>
    <w:p w14:paraId="1133C795"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若《规范》中关于甲烷监测的指标过多地引用或参照安全标准的</w:t>
      </w:r>
      <w:r>
        <w:rPr>
          <w:rFonts w:ascii="宋体" w:hAnsi="宋体" w:cs="宋体" w:hint="eastAsia"/>
          <w:sz w:val="28"/>
          <w:szCs w:val="28"/>
        </w:rPr>
        <w:t>LEL</w:t>
      </w:r>
      <w:r>
        <w:rPr>
          <w:rFonts w:ascii="宋体" w:hAnsi="宋体" w:cs="宋体" w:hint="eastAsia"/>
          <w:sz w:val="28"/>
          <w:szCs w:val="28"/>
        </w:rPr>
        <w:t>浓度值，将导致精度严重不足。油气开采企业可能仅配备了用于安全报警的低精度传感器（量程大、分辨率低，通常只在高浓度时才有反应），而无法满足</w:t>
      </w:r>
      <w:r>
        <w:rPr>
          <w:rFonts w:ascii="宋体" w:hAnsi="宋体" w:cs="宋体" w:hint="eastAsia"/>
          <w:sz w:val="28"/>
          <w:szCs w:val="28"/>
        </w:rPr>
        <w:t>MRV</w:t>
      </w:r>
      <w:r>
        <w:rPr>
          <w:rFonts w:ascii="宋体" w:hAnsi="宋体" w:cs="宋体" w:hint="eastAsia"/>
          <w:sz w:val="28"/>
          <w:szCs w:val="28"/>
        </w:rPr>
        <w:t>（监测、报告与核查）体系要求的低浓度、高精度连续监测需求。现有资料也指出，“</w:t>
      </w:r>
      <w:r>
        <w:rPr>
          <w:rFonts w:ascii="宋体" w:hAnsi="宋体" w:cs="宋体" w:hint="eastAsia"/>
          <w:sz w:val="28"/>
          <w:szCs w:val="28"/>
        </w:rPr>
        <w:t>甲烷的检测</w:t>
      </w:r>
      <w:r>
        <w:rPr>
          <w:rFonts w:ascii="宋体" w:hAnsi="宋体" w:cs="宋体" w:hint="eastAsia"/>
          <w:sz w:val="28"/>
          <w:szCs w:val="28"/>
        </w:rPr>
        <w:t>具有</w:t>
      </w:r>
      <w:r>
        <w:rPr>
          <w:rFonts w:ascii="宋体" w:hAnsi="宋体" w:cs="宋体" w:hint="eastAsia"/>
          <w:sz w:val="28"/>
          <w:szCs w:val="28"/>
        </w:rPr>
        <w:t>高度不确定性且存在误差</w:t>
      </w:r>
      <w:r>
        <w:rPr>
          <w:rFonts w:ascii="宋体" w:hAnsi="宋体" w:cs="宋体" w:hint="eastAsia"/>
          <w:sz w:val="28"/>
          <w:szCs w:val="28"/>
        </w:rPr>
        <w:t>...</w:t>
      </w:r>
      <w:r>
        <w:rPr>
          <w:rFonts w:ascii="宋体" w:hAnsi="宋体" w:cs="宋体" w:hint="eastAsia"/>
          <w:sz w:val="28"/>
          <w:szCs w:val="28"/>
        </w:rPr>
        <w:t>直接套用</w:t>
      </w:r>
      <w:r>
        <w:rPr>
          <w:rFonts w:ascii="宋体" w:hAnsi="宋体" w:cs="宋体" w:hint="eastAsia"/>
          <w:sz w:val="28"/>
          <w:szCs w:val="28"/>
        </w:rPr>
        <w:t>[</w:t>
      </w:r>
      <w:r>
        <w:rPr>
          <w:rFonts w:ascii="宋体" w:hAnsi="宋体" w:cs="宋体" w:hint="eastAsia"/>
          <w:sz w:val="28"/>
          <w:szCs w:val="28"/>
        </w:rPr>
        <w:t>某些标准</w:t>
      </w:r>
      <w:r>
        <w:rPr>
          <w:rFonts w:ascii="宋体" w:hAnsi="宋体" w:cs="宋体" w:hint="eastAsia"/>
          <w:sz w:val="28"/>
          <w:szCs w:val="28"/>
        </w:rPr>
        <w:t>]</w:t>
      </w:r>
      <w:r>
        <w:rPr>
          <w:rFonts w:ascii="宋体" w:hAnsi="宋体" w:cs="宋体" w:hint="eastAsia"/>
          <w:sz w:val="28"/>
          <w:szCs w:val="28"/>
        </w:rPr>
        <w:t>会导致核算结果与实际情况相差较大”。因此，将安全监测指标与碳排放计量指标混用，是本规范在修订中必须避免的关键问题。</w:t>
      </w:r>
    </w:p>
    <w:p w14:paraId="129FB7E7"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3.2</w:t>
      </w:r>
      <w:r>
        <w:rPr>
          <w:rFonts w:ascii="宋体" w:hAnsi="宋体" w:cs="宋体" w:hint="eastAsia"/>
          <w:b/>
          <w:bCs/>
          <w:sz w:val="28"/>
          <w:szCs w:val="28"/>
        </w:rPr>
        <w:t>排放因子法与实测数据获取渠道的指标错配问题</w:t>
      </w:r>
    </w:p>
    <w:p w14:paraId="0F20EC34"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《规范》在计算法下，对获取“活动数据”的计量器具（如流量计、电能表）提出了较高的配备率要求（</w:t>
      </w:r>
      <w:r>
        <w:rPr>
          <w:rFonts w:ascii="宋体" w:hAnsi="宋体" w:cs="宋体" w:hint="eastAsia"/>
          <w:sz w:val="28"/>
          <w:szCs w:val="28"/>
        </w:rPr>
        <w:t>100%</w:t>
      </w:r>
      <w:r>
        <w:rPr>
          <w:rFonts w:ascii="宋体" w:hAnsi="宋体" w:cs="宋体" w:hint="eastAsia"/>
          <w:sz w:val="28"/>
          <w:szCs w:val="28"/>
        </w:rPr>
        <w:t>），但对“排放因子”的获取方式规定较宽泛，允许使用“缺省排放因子”或通过“量热仪、元素分析仪实测形成”。</w:t>
      </w:r>
    </w:p>
    <w:p w14:paraId="1A8784E0"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这种宽泛规定在实际操作中可能带来问题。一方面，国内外的能源计量基础存在差异。例</w:t>
      </w:r>
      <w:r>
        <w:rPr>
          <w:rFonts w:ascii="宋体" w:hAnsi="宋体" w:cs="宋体" w:hint="eastAsia"/>
          <w:sz w:val="28"/>
          <w:szCs w:val="28"/>
        </w:rPr>
        <w:t>如，在天然气计量领域，国外主要国家广泛使用涡轮、腰轮流量计，而我国孔板流量计的使用率高达</w:t>
      </w:r>
      <w:r>
        <w:rPr>
          <w:rFonts w:ascii="宋体" w:hAnsi="宋体" w:cs="宋体" w:hint="eastAsia"/>
          <w:sz w:val="28"/>
          <w:szCs w:val="28"/>
        </w:rPr>
        <w:t>90%</w:t>
      </w:r>
      <w:r>
        <w:rPr>
          <w:rFonts w:ascii="宋体" w:hAnsi="宋体" w:cs="宋体" w:hint="eastAsia"/>
          <w:sz w:val="28"/>
          <w:szCs w:val="28"/>
        </w:rPr>
        <w:t>，尽管技术成熟，但在“测量气体偏差”等特定方面与国外先进技术仍存在差异。这种技术路线的差别意味着即便企业配备了高精度的流量计，如果未根据我国天然气的具体组分（含碳量）和热值特性进行校准，单纯采用固定的缺省排放因子，依然会产生较大的系统误差。</w:t>
      </w:r>
    </w:p>
    <w:p w14:paraId="2ADC52BE"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另一方面，高位与低位发热值的选择是排放因子计算中的核心争议指标。搜索结果显示，国内燃料燃烧排放普遍采用燃料的低位发热值，而国际上的《温室气体规程》则要求采用高位发热值。这种基础</w:t>
      </w:r>
      <w:r>
        <w:rPr>
          <w:rFonts w:ascii="宋体" w:hAnsi="宋体" w:cs="宋体" w:hint="eastAsia"/>
          <w:sz w:val="28"/>
          <w:szCs w:val="28"/>
        </w:rPr>
        <w:t>核算参数的不一致，会导致同样的燃料消耗量计算出完全不同的碳排放结果。若《规范》未明确指定排放因子计算中必须采用的发热值标准（如明确要求采用国标规定的具体发热值测定方法），将造成企业间数据不可比，甚至在与国际贸易或碳核查对接时产生障碍。</w:t>
      </w:r>
    </w:p>
    <w:p w14:paraId="671E46C0"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3.3</w:t>
      </w:r>
      <w:r>
        <w:rPr>
          <w:rFonts w:ascii="宋体" w:hAnsi="宋体" w:cs="宋体" w:hint="eastAsia"/>
          <w:b/>
          <w:bCs/>
          <w:sz w:val="28"/>
          <w:szCs w:val="28"/>
        </w:rPr>
        <w:t>计量器具精度与现场检测条件的适应性指标问题</w:t>
      </w:r>
    </w:p>
    <w:p w14:paraId="690C233D"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关于计量器具的准确度，提到了一些国际原油和天然气贸易计量的高标准，如原油贸易交接计量系统自动关联标准确保±</w:t>
      </w:r>
      <w:r>
        <w:rPr>
          <w:rFonts w:ascii="宋体" w:hAnsi="宋体" w:cs="宋体" w:hint="eastAsia"/>
          <w:sz w:val="28"/>
          <w:szCs w:val="28"/>
        </w:rPr>
        <w:t>0.5%</w:t>
      </w:r>
      <w:r>
        <w:rPr>
          <w:rFonts w:ascii="宋体" w:hAnsi="宋体" w:cs="宋体" w:hint="eastAsia"/>
          <w:sz w:val="28"/>
          <w:szCs w:val="28"/>
        </w:rPr>
        <w:t>精度，液位、温度、密度误差要求分别控制在±</w:t>
      </w:r>
      <w:r>
        <w:rPr>
          <w:rFonts w:ascii="宋体" w:hAnsi="宋体" w:cs="宋体" w:hint="eastAsia"/>
          <w:sz w:val="28"/>
          <w:szCs w:val="28"/>
        </w:rPr>
        <w:t>1mm</w:t>
      </w:r>
      <w:r>
        <w:rPr>
          <w:rFonts w:ascii="宋体" w:hAnsi="宋体" w:cs="宋体" w:hint="eastAsia"/>
          <w:sz w:val="28"/>
          <w:szCs w:val="28"/>
        </w:rPr>
        <w:t>、±</w:t>
      </w:r>
      <w:r>
        <w:rPr>
          <w:rFonts w:ascii="宋体" w:hAnsi="宋体" w:cs="宋体" w:hint="eastAsia"/>
          <w:sz w:val="28"/>
          <w:szCs w:val="28"/>
        </w:rPr>
        <w:t>0.1</w:t>
      </w:r>
      <w:r>
        <w:rPr>
          <w:rFonts w:ascii="宋体" w:hAnsi="宋体" w:cs="宋体" w:hint="eastAsia"/>
          <w:sz w:val="28"/>
          <w:szCs w:val="28"/>
        </w:rPr>
        <w:t>℃、±</w:t>
      </w:r>
      <w:r>
        <w:rPr>
          <w:rFonts w:ascii="宋体" w:hAnsi="宋体" w:cs="宋体" w:hint="eastAsia"/>
          <w:sz w:val="28"/>
          <w:szCs w:val="28"/>
        </w:rPr>
        <w:t>0.5kg/m</w:t>
      </w:r>
      <w:r>
        <w:rPr>
          <w:rFonts w:ascii="宋体" w:hAnsi="宋体" w:cs="宋体" w:hint="eastAsia"/>
          <w:sz w:val="28"/>
          <w:szCs w:val="28"/>
        </w:rPr>
        <w:t>³。然而，这些高标准是建立在稳定、</w:t>
      </w:r>
      <w:r>
        <w:rPr>
          <w:rFonts w:ascii="宋体" w:hAnsi="宋体" w:cs="宋体" w:hint="eastAsia"/>
          <w:sz w:val="28"/>
          <w:szCs w:val="28"/>
        </w:rPr>
        <w:t>可控的实验室环境或贸易交接站点之上的。</w:t>
      </w:r>
    </w:p>
    <w:p w14:paraId="70A6567B"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对于油气开采过程中的碳排放计量，现场条件极其复杂。搜索结果中提到的工业温室气体检测仪安装规范指出，探头需距地面</w:t>
      </w:r>
      <w:r>
        <w:rPr>
          <w:rFonts w:ascii="宋体" w:hAnsi="宋体" w:cs="宋体" w:hint="eastAsia"/>
          <w:sz w:val="28"/>
          <w:szCs w:val="28"/>
        </w:rPr>
        <w:t>(0.8-1.5)m</w:t>
      </w:r>
      <w:r>
        <w:rPr>
          <w:rFonts w:ascii="宋体" w:hAnsi="宋体" w:cs="宋体" w:hint="eastAsia"/>
          <w:sz w:val="28"/>
          <w:szCs w:val="28"/>
        </w:rPr>
        <w:t>，避开风口、拐角，采样管铺设长度受限等。在实际的油气田中，可能存在大量的无组织排放源（如露天分离器、储罐），这些点位往往无法满足标准实验室级的安装条件（如受限于防爆要求无法供电、无法伴热导致采样管冷凝积水等）。</w:t>
      </w:r>
    </w:p>
    <w:p w14:paraId="31354125"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如果《规范》直接套用室内或贸易交接的高精度要求，而不提供针对恶劣现场环境的“修正指标”或“替代方案”将导致标准无法落地。例如，要求</w:t>
      </w:r>
      <w:r>
        <w:rPr>
          <w:rFonts w:ascii="宋体" w:hAnsi="宋体" w:cs="宋体" w:hint="eastAsia"/>
          <w:sz w:val="28"/>
          <w:szCs w:val="28"/>
        </w:rPr>
        <w:t>在无人值守的偏远井口安装维护要求极高的红外气体分析仪，可能因缺乏校准维护而导致数据失真。反之，如果标准仅规定了理论上的准确度等级，而忽略了采样代表性（如探头位置不当导致监测不到泄漏气团）这一关键指标，那么即便仪表精度再高，最终的数据依然无效。</w:t>
      </w:r>
    </w:p>
    <w:p w14:paraId="43004292"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4.</w:t>
      </w:r>
      <w:r>
        <w:rPr>
          <w:rFonts w:ascii="宋体" w:hAnsi="宋体" w:cs="宋体" w:hint="eastAsia"/>
          <w:b/>
          <w:bCs/>
          <w:sz w:val="28"/>
          <w:szCs w:val="28"/>
        </w:rPr>
        <w:t>关键争议点与修改内容</w:t>
      </w:r>
    </w:p>
    <w:p w14:paraId="66F8C169"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4.1</w:t>
      </w:r>
      <w:r>
        <w:rPr>
          <w:rFonts w:ascii="宋体" w:hAnsi="宋体" w:cs="宋体" w:hint="eastAsia"/>
          <w:b/>
          <w:bCs/>
          <w:sz w:val="28"/>
          <w:szCs w:val="28"/>
        </w:rPr>
        <w:t>计量边界划分的争议：逸散排放的界定与归属</w:t>
      </w:r>
    </w:p>
    <w:p w14:paraId="584745EC"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争议点：油气开采行业的排放边界中，最大难点在于“逸散排放”的认定。尤其是对于“工艺放空”（如试油试气、紧急放空）和“设备泄漏”（如密封点泄漏），两者在《规范》中虽有提及，但未明确给出基于排放速率</w:t>
      </w:r>
      <w:r>
        <w:rPr>
          <w:rFonts w:ascii="宋体" w:hAnsi="宋体" w:cs="宋体" w:hint="eastAsia"/>
          <w:sz w:val="28"/>
          <w:szCs w:val="28"/>
        </w:rPr>
        <w:t>或浓度的量化判定标准。此外，对于长输管道环节，是仅计量场站内设备的排放，还是将管道沿线的微小泄漏也纳入，目前存在不同理解。</w:t>
      </w:r>
    </w:p>
    <w:p w14:paraId="1684748B"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修改的内容：</w:t>
      </w:r>
    </w:p>
    <w:p w14:paraId="62BB1B9D"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）引入量化判定阈值：建议参考国际通行做法（如</w:t>
      </w:r>
      <w:r>
        <w:rPr>
          <w:rFonts w:ascii="宋体" w:hAnsi="宋体" w:cs="宋体" w:hint="eastAsia"/>
          <w:sz w:val="28"/>
          <w:szCs w:val="28"/>
        </w:rPr>
        <w:t>OGMP2.0</w:t>
      </w:r>
      <w:r>
        <w:rPr>
          <w:rFonts w:ascii="宋体" w:hAnsi="宋体" w:cs="宋体" w:hint="eastAsia"/>
          <w:sz w:val="28"/>
          <w:szCs w:val="28"/>
        </w:rPr>
        <w:t>框架），在规范中明确“无组织逸散排放”与“可控排放源”的界限。例如，建议补充规定：“对于单点排放速率低于</w:t>
      </w:r>
      <w:r>
        <w:rPr>
          <w:rFonts w:ascii="宋体" w:hAnsi="宋体" w:cs="宋体" w:hint="eastAsia"/>
          <w:sz w:val="28"/>
          <w:szCs w:val="28"/>
        </w:rPr>
        <w:t>X kg/h</w:t>
      </w:r>
      <w:r>
        <w:rPr>
          <w:rFonts w:ascii="宋体" w:hAnsi="宋体" w:cs="宋体" w:hint="eastAsia"/>
          <w:sz w:val="28"/>
          <w:szCs w:val="28"/>
        </w:rPr>
        <w:t>或浓度低于</w:t>
      </w:r>
      <w:r>
        <w:rPr>
          <w:rFonts w:ascii="宋体" w:hAnsi="宋体" w:cs="宋体" w:hint="eastAsia"/>
          <w:sz w:val="28"/>
          <w:szCs w:val="28"/>
        </w:rPr>
        <w:t>Y ppm</w:t>
      </w:r>
      <w:r>
        <w:rPr>
          <w:rFonts w:ascii="宋体" w:hAnsi="宋体" w:cs="宋体" w:hint="eastAsia"/>
          <w:sz w:val="28"/>
          <w:szCs w:val="28"/>
        </w:rPr>
        <w:t>的持续微量泄漏，可结合方法论说明，采用工程估算值，而非强制要求连续在线监测。”</w:t>
      </w:r>
    </w:p>
    <w:p w14:paraId="339040A6"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）明确设备归属边界：针对长输储运，建议在附录或说明中细化边界，明确区分“管道输送企业”与“站</w:t>
      </w:r>
      <w:r>
        <w:rPr>
          <w:rFonts w:ascii="宋体" w:hAnsi="宋体" w:cs="宋体" w:hint="eastAsia"/>
          <w:sz w:val="28"/>
          <w:szCs w:val="28"/>
        </w:rPr>
        <w:t>场运营企业”的责任边界。对于管道沿线的逸散排放，建议规定以每公里平均泄漏率作为总体核算指标，而非强制要求沿线每点配备计量器具，这样更符合经济性和可操作性。</w:t>
      </w:r>
    </w:p>
    <w:p w14:paraId="1E3FEFB3"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3</w:t>
      </w:r>
      <w:r>
        <w:rPr>
          <w:rFonts w:ascii="宋体" w:hAnsi="宋体" w:cs="宋体" w:hint="eastAsia"/>
          <w:sz w:val="28"/>
          <w:szCs w:val="28"/>
        </w:rPr>
        <w:t>）区分燃烧与非燃烧逸散：对于火炬燃烧，建议强制配备气体流量计和热值监测仪，以支撑“燃烧效率”的计算（这是评价火炬减排效果的关键），因为仅仅统计燃料消耗量无法准确反映实际的</w:t>
      </w:r>
      <w:r>
        <w:rPr>
          <w:rFonts w:ascii="宋体" w:hAnsi="宋体" w:cs="宋体" w:hint="eastAsia"/>
          <w:sz w:val="28"/>
          <w:szCs w:val="28"/>
        </w:rPr>
        <w:t>CH</w:t>
      </w:r>
      <w:r>
        <w:rPr>
          <w:rFonts w:ascii="宋体" w:hAnsi="宋体" w:cs="宋体" w:hint="eastAsia"/>
          <w:sz w:val="28"/>
          <w:szCs w:val="28"/>
          <w:vertAlign w:val="subscript"/>
        </w:rPr>
        <w:t>4</w:t>
      </w:r>
      <w:r>
        <w:rPr>
          <w:rFonts w:ascii="宋体" w:hAnsi="宋体" w:cs="宋体" w:hint="eastAsia"/>
          <w:sz w:val="28"/>
          <w:szCs w:val="28"/>
        </w:rPr>
        <w:t>不完全燃烧排放。</w:t>
      </w:r>
    </w:p>
    <w:p w14:paraId="51D4EEC2"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4.2</w:t>
      </w:r>
      <w:r>
        <w:rPr>
          <w:rFonts w:ascii="宋体" w:hAnsi="宋体" w:cs="宋体" w:hint="eastAsia"/>
          <w:b/>
          <w:bCs/>
          <w:sz w:val="28"/>
          <w:szCs w:val="28"/>
        </w:rPr>
        <w:t>计量器具配备标准的适用性：差异化配置与“数字化”替代</w:t>
      </w:r>
    </w:p>
    <w:p w14:paraId="0297C31C"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争议点：目前的配备率要求（主要源流</w:t>
      </w:r>
      <w:r>
        <w:rPr>
          <w:rFonts w:ascii="宋体" w:hAnsi="宋体" w:cs="宋体" w:hint="eastAsia"/>
          <w:sz w:val="28"/>
          <w:szCs w:val="28"/>
        </w:rPr>
        <w:t>100%</w:t>
      </w:r>
      <w:r>
        <w:rPr>
          <w:rFonts w:ascii="宋体" w:hAnsi="宋体" w:cs="宋体" w:hint="eastAsia"/>
          <w:sz w:val="28"/>
          <w:szCs w:val="28"/>
        </w:rPr>
        <w:t>，次要源流</w:t>
      </w:r>
      <w:r>
        <w:rPr>
          <w:rFonts w:ascii="宋体" w:hAnsi="宋体" w:cs="宋体" w:hint="eastAsia"/>
          <w:sz w:val="28"/>
          <w:szCs w:val="28"/>
        </w:rPr>
        <w:t>100%</w:t>
      </w:r>
      <w:r>
        <w:rPr>
          <w:rFonts w:ascii="宋体" w:hAnsi="宋体" w:cs="宋体" w:hint="eastAsia"/>
          <w:sz w:val="28"/>
          <w:szCs w:val="28"/>
        </w:rPr>
        <w:t>，微量源流</w:t>
      </w:r>
      <w:r>
        <w:rPr>
          <w:rFonts w:ascii="宋体" w:hAnsi="宋体" w:cs="宋体" w:hint="eastAsia"/>
          <w:sz w:val="28"/>
          <w:szCs w:val="28"/>
        </w:rPr>
        <w:t>60%</w:t>
      </w:r>
      <w:r>
        <w:rPr>
          <w:rFonts w:ascii="宋体" w:hAnsi="宋体" w:cs="宋体" w:hint="eastAsia"/>
          <w:sz w:val="28"/>
          <w:szCs w:val="28"/>
        </w:rPr>
        <w:t>）是基于“计量器具”的定义，主要指物理仪表。然而，对于部分“微量源流”或极其分散的排放源（如分布广泛的阀门、法兰），传统的物理仪表成本过高且维护困难。此外，对于海上平台、极端环境地区，常规仪表的安装和检定面临巨大挑战。</w:t>
      </w:r>
    </w:p>
    <w:p w14:paraId="7485A08B"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修改的内容：</w:t>
      </w:r>
    </w:p>
    <w:p w14:paraId="019A9766"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）引入“间接计量”与“数字化监测”指标：建议在配备率要求中，增加对“替代方法的认定”。对于暂不具备安装在线监测仪表条件的微量源流，允许企业采用“物料平衡法”、“反演模型法”或“无人机</w:t>
      </w:r>
      <w:r>
        <w:rPr>
          <w:rFonts w:ascii="宋体" w:hAnsi="宋体" w:cs="宋体" w:hint="eastAsia"/>
          <w:sz w:val="28"/>
          <w:szCs w:val="28"/>
        </w:rPr>
        <w:t>/</w:t>
      </w:r>
      <w:r>
        <w:rPr>
          <w:rFonts w:ascii="宋体" w:hAnsi="宋体" w:cs="宋体" w:hint="eastAsia"/>
          <w:sz w:val="28"/>
          <w:szCs w:val="28"/>
        </w:rPr>
        <w:t>卫星遥感巡检技</w:t>
      </w:r>
      <w:r>
        <w:rPr>
          <w:rFonts w:ascii="宋体" w:hAnsi="宋体" w:cs="宋体" w:hint="eastAsia"/>
          <w:sz w:val="28"/>
          <w:szCs w:val="28"/>
        </w:rPr>
        <w:t>术”等数字化手段进行推算，并将这些手段的“运行频次”和“精度验证”指标纳入管理规范。例如，规定使用无人机红外巡检作为泄漏检测手段的，需每季度全覆盖一次，并对发现的泄漏点进行分级修复。</w:t>
      </w:r>
    </w:p>
    <w:p w14:paraId="33C7A8E7"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）制定特殊环境下的豁免与替代条款：针对海上油气田、沙漠无人区等环境，建议增加条款说明：“对于难以实施现场定期检定</w:t>
      </w:r>
      <w:r>
        <w:rPr>
          <w:rFonts w:ascii="宋体" w:hAnsi="宋体" w:cs="宋体" w:hint="eastAsia"/>
          <w:sz w:val="28"/>
          <w:szCs w:val="28"/>
        </w:rPr>
        <w:t>/</w:t>
      </w:r>
      <w:r>
        <w:rPr>
          <w:rFonts w:ascii="宋体" w:hAnsi="宋体" w:cs="宋体" w:hint="eastAsia"/>
          <w:sz w:val="28"/>
          <w:szCs w:val="28"/>
        </w:rPr>
        <w:t>校准的计量器具，企业应采用比选法（如使用符合国家标准的耐候性、高稳定性仪表）或实施远程在线校准技术，并建立相应的比对验证记录。”</w:t>
      </w:r>
    </w:p>
    <w:p w14:paraId="76FEC634"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3</w:t>
      </w:r>
      <w:r>
        <w:rPr>
          <w:rFonts w:ascii="宋体" w:hAnsi="宋体" w:cs="宋体" w:hint="eastAsia"/>
          <w:sz w:val="28"/>
          <w:szCs w:val="28"/>
        </w:rPr>
        <w:t>）细化甲烷监测的仪表选型指标：针对甲烷，应明确区分“安全监测用”和“排放计量用”仪表。建议在资料性附录中，推荐使用针对</w:t>
      </w:r>
      <w:r>
        <w:rPr>
          <w:rFonts w:ascii="宋体" w:hAnsi="宋体" w:cs="宋体" w:hint="eastAsia"/>
          <w:sz w:val="28"/>
          <w:szCs w:val="28"/>
        </w:rPr>
        <w:t>ppm</w:t>
      </w:r>
      <w:r>
        <w:rPr>
          <w:rFonts w:ascii="宋体" w:hAnsi="宋体" w:cs="宋体" w:hint="eastAsia"/>
          <w:sz w:val="28"/>
          <w:szCs w:val="28"/>
        </w:rPr>
        <w:t>级浓度敏感的</w:t>
      </w:r>
      <w:r>
        <w:rPr>
          <w:rFonts w:ascii="宋体" w:hAnsi="宋体" w:cs="宋体" w:hint="eastAsia"/>
          <w:sz w:val="28"/>
          <w:szCs w:val="28"/>
        </w:rPr>
        <w:t>TDLAS</w:t>
      </w:r>
      <w:r>
        <w:rPr>
          <w:rFonts w:ascii="宋体" w:hAnsi="宋体" w:cs="宋体" w:hint="eastAsia"/>
          <w:sz w:val="28"/>
          <w:szCs w:val="28"/>
        </w:rPr>
        <w:t>（可调谐二极管激光吸收光谱）技术或</w:t>
      </w:r>
      <w:r>
        <w:rPr>
          <w:rFonts w:ascii="宋体" w:hAnsi="宋体" w:cs="宋体" w:hint="eastAsia"/>
          <w:sz w:val="28"/>
          <w:szCs w:val="28"/>
        </w:rPr>
        <w:t>OPA</w:t>
      </w:r>
      <w:r>
        <w:rPr>
          <w:rFonts w:ascii="宋体" w:hAnsi="宋体" w:cs="宋体" w:hint="eastAsia"/>
          <w:sz w:val="28"/>
          <w:szCs w:val="28"/>
        </w:rPr>
        <w:t>（开放光程）技术，并规定对其最低检测限（</w:t>
      </w:r>
      <w:r>
        <w:rPr>
          <w:rFonts w:ascii="宋体" w:hAnsi="宋体" w:cs="宋体" w:hint="eastAsia"/>
          <w:sz w:val="28"/>
          <w:szCs w:val="28"/>
        </w:rPr>
        <w:t>MDL</w:t>
      </w:r>
      <w:r>
        <w:rPr>
          <w:rFonts w:ascii="宋体" w:hAnsi="宋体" w:cs="宋体" w:hint="eastAsia"/>
          <w:sz w:val="28"/>
          <w:szCs w:val="28"/>
        </w:rPr>
        <w:t>）和响应时间（</w:t>
      </w:r>
      <w:r>
        <w:rPr>
          <w:rFonts w:ascii="宋体" w:hAnsi="宋体" w:cs="宋体" w:hint="eastAsia"/>
          <w:sz w:val="28"/>
          <w:szCs w:val="28"/>
        </w:rPr>
        <w:t>T90</w:t>
      </w:r>
      <w:r>
        <w:rPr>
          <w:rFonts w:ascii="宋体" w:hAnsi="宋体" w:cs="宋体" w:hint="eastAsia"/>
          <w:sz w:val="28"/>
          <w:szCs w:val="28"/>
        </w:rPr>
        <w:t>）的要求，强制要求配备量程适合低浓度监测的传感器，而非单纯引用高浓度</w:t>
      </w:r>
      <w:r>
        <w:rPr>
          <w:rFonts w:ascii="宋体" w:hAnsi="宋体" w:cs="宋体" w:hint="eastAsia"/>
          <w:sz w:val="28"/>
          <w:szCs w:val="28"/>
        </w:rPr>
        <w:t>LEL</w:t>
      </w:r>
      <w:r>
        <w:rPr>
          <w:rFonts w:ascii="宋体" w:hAnsi="宋体" w:cs="宋体" w:hint="eastAsia"/>
          <w:sz w:val="28"/>
          <w:szCs w:val="28"/>
        </w:rPr>
        <w:t>标准。</w:t>
      </w:r>
    </w:p>
    <w:p w14:paraId="6485B521"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4.3</w:t>
      </w:r>
      <w:r>
        <w:rPr>
          <w:rFonts w:ascii="宋体" w:hAnsi="宋体" w:cs="宋体" w:hint="eastAsia"/>
          <w:b/>
          <w:bCs/>
          <w:sz w:val="28"/>
          <w:szCs w:val="28"/>
        </w:rPr>
        <w:t>排放因子与计算方法的不足：实测因子与动态更新</w:t>
      </w:r>
    </w:p>
    <w:p w14:paraId="7C8DFE99"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争议点：《规范》允许使用缺省排放因子，但搜索结果指出，国内外的能源结构和能耗水平差异巨大，且“排放因子未及时更新，不能反映</w:t>
      </w:r>
      <w:r>
        <w:rPr>
          <w:rFonts w:ascii="宋体" w:hAnsi="宋体" w:cs="宋体" w:hint="eastAsia"/>
          <w:sz w:val="28"/>
          <w:szCs w:val="28"/>
        </w:rPr>
        <w:t>...</w:t>
      </w:r>
      <w:r>
        <w:rPr>
          <w:rFonts w:ascii="宋体" w:hAnsi="宋体" w:cs="宋体" w:hint="eastAsia"/>
          <w:sz w:val="28"/>
          <w:szCs w:val="28"/>
        </w:rPr>
        <w:t>重大变化”。此外，对于复杂的工艺过程（如原油稳定、脱硫脱碳），通用的缺省因子往往无法准确反映特定工艺的碳排放差异。</w:t>
      </w:r>
    </w:p>
    <w:p w14:paraId="66EA2FC0"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修改建议：</w:t>
      </w:r>
    </w:p>
    <w:p w14:paraId="50E52B8E"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）鼓励并强制部分因子实测：建议修改</w:t>
      </w:r>
      <w:r>
        <w:rPr>
          <w:rFonts w:ascii="宋体" w:hAnsi="宋体" w:cs="宋体" w:hint="eastAsia"/>
          <w:sz w:val="28"/>
          <w:szCs w:val="28"/>
        </w:rPr>
        <w:t>5.3</w:t>
      </w:r>
      <w:r>
        <w:rPr>
          <w:rFonts w:ascii="宋体" w:hAnsi="宋体" w:cs="宋体" w:hint="eastAsia"/>
          <w:sz w:val="28"/>
          <w:szCs w:val="28"/>
        </w:rPr>
        <w:t>节内容，将“宜配备”改为“对年排放量超过一定阈值（如</w:t>
      </w:r>
      <w:r>
        <w:rPr>
          <w:rFonts w:ascii="宋体" w:hAnsi="宋体" w:cs="宋体" w:hint="eastAsia"/>
          <w:sz w:val="28"/>
          <w:szCs w:val="28"/>
        </w:rPr>
        <w:t>5000</w:t>
      </w:r>
      <w:r>
        <w:rPr>
          <w:rFonts w:ascii="宋体" w:hAnsi="宋体" w:cs="宋体" w:hint="eastAsia"/>
          <w:sz w:val="28"/>
          <w:szCs w:val="28"/>
        </w:rPr>
        <w:t>吨</w:t>
      </w:r>
      <w:r>
        <w:rPr>
          <w:rFonts w:ascii="宋体" w:hAnsi="宋体" w:cs="宋体" w:hint="eastAsia"/>
          <w:sz w:val="28"/>
          <w:szCs w:val="28"/>
        </w:rPr>
        <w:t>CO</w:t>
      </w:r>
      <w:r>
        <w:rPr>
          <w:rFonts w:ascii="宋体" w:hAnsi="宋体" w:cs="宋体" w:hint="eastAsia"/>
          <w:sz w:val="28"/>
          <w:szCs w:val="28"/>
          <w:vertAlign w:val="subscript"/>
        </w:rPr>
        <w:t>2</w:t>
      </w:r>
      <w:r>
        <w:rPr>
          <w:rFonts w:ascii="宋体" w:hAnsi="宋体" w:cs="宋体" w:hint="eastAsia"/>
          <w:sz w:val="28"/>
          <w:szCs w:val="28"/>
        </w:rPr>
        <w:t>e</w:t>
      </w:r>
      <w:r>
        <w:rPr>
          <w:rFonts w:ascii="宋体" w:hAnsi="宋体" w:cs="宋体" w:hint="eastAsia"/>
          <w:sz w:val="28"/>
          <w:szCs w:val="28"/>
        </w:rPr>
        <w:t>）的主要工艺装置，应配备用于获取实测排放因子的计量器具（如烟气成分分析仪、燃料元素分析仪）”。对于无法实测的，必须采用国家权威机构发布的最新版区域或行业指南值，严格限制直接使用</w:t>
      </w:r>
      <w:r>
        <w:rPr>
          <w:rFonts w:ascii="宋体" w:hAnsi="宋体" w:cs="宋体" w:hint="eastAsia"/>
          <w:sz w:val="28"/>
          <w:szCs w:val="28"/>
        </w:rPr>
        <w:t>IPCC</w:t>
      </w:r>
      <w:r>
        <w:rPr>
          <w:rFonts w:ascii="宋体" w:hAnsi="宋体" w:cs="宋体" w:hint="eastAsia"/>
          <w:sz w:val="28"/>
          <w:szCs w:val="28"/>
        </w:rPr>
        <w:t>缺省值。</w:t>
      </w:r>
    </w:p>
    <w:p w14:paraId="613DEF59"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）明确高位</w:t>
      </w:r>
      <w:r>
        <w:rPr>
          <w:rFonts w:ascii="宋体" w:hAnsi="宋体" w:cs="宋体" w:hint="eastAsia"/>
          <w:sz w:val="28"/>
          <w:szCs w:val="28"/>
        </w:rPr>
        <w:t>/</w:t>
      </w:r>
      <w:r>
        <w:rPr>
          <w:rFonts w:ascii="宋体" w:hAnsi="宋体" w:cs="宋体" w:hint="eastAsia"/>
          <w:sz w:val="28"/>
          <w:szCs w:val="28"/>
        </w:rPr>
        <w:t>低位发热值及组分分析要求：在编制说明或正文引用标准中，</w:t>
      </w:r>
      <w:r>
        <w:rPr>
          <w:rFonts w:ascii="宋体" w:hAnsi="宋体" w:cs="宋体" w:hint="eastAsia"/>
          <w:sz w:val="28"/>
          <w:szCs w:val="28"/>
        </w:rPr>
        <w:t>明确引用</w:t>
      </w:r>
      <w:r>
        <w:rPr>
          <w:rFonts w:ascii="宋体" w:hAnsi="宋体" w:cs="宋体" w:hint="eastAsia"/>
          <w:sz w:val="28"/>
          <w:szCs w:val="28"/>
        </w:rPr>
        <w:t>GB/T11062</w:t>
      </w:r>
      <w:r>
        <w:rPr>
          <w:rFonts w:ascii="宋体" w:hAnsi="宋体" w:cs="宋体" w:hint="eastAsia"/>
          <w:sz w:val="28"/>
          <w:szCs w:val="28"/>
        </w:rPr>
        <w:t>《天然气发热量、密度、相对密度和沃泊指数的计算方法》等标准，强制要求在计算化石燃料燃烧排放时，必须依据实测的组分或热值（低位或高位需统一，建议与国家温室气体清单编制方法保持一致，通常采用低位发热值）计算排放因子，避免因单位换算导致的系统误差。</w:t>
      </w:r>
    </w:p>
    <w:p w14:paraId="2E6A2A73"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3</w:t>
      </w:r>
      <w:r>
        <w:rPr>
          <w:rFonts w:ascii="宋体" w:hAnsi="宋体" w:cs="宋体" w:hint="eastAsia"/>
          <w:sz w:val="28"/>
          <w:szCs w:val="28"/>
        </w:rPr>
        <w:t>）建立动态更新机制：建议在规范中要求企业建立“排放因子更新台账”，每</w:t>
      </w:r>
      <w:r>
        <w:rPr>
          <w:rFonts w:ascii="宋体" w:hAnsi="宋体" w:cs="宋体" w:hint="eastAsia"/>
          <w:sz w:val="28"/>
          <w:szCs w:val="28"/>
        </w:rPr>
        <w:t>3</w:t>
      </w:r>
      <w:r>
        <w:rPr>
          <w:rFonts w:ascii="宋体" w:hAnsi="宋体" w:cs="宋体" w:hint="eastAsia"/>
          <w:sz w:val="28"/>
          <w:szCs w:val="28"/>
        </w:rPr>
        <w:t>年或</w:t>
      </w:r>
      <w:r>
        <w:rPr>
          <w:rFonts w:ascii="宋体" w:hAnsi="宋体" w:cs="宋体" w:hint="eastAsia"/>
          <w:sz w:val="28"/>
          <w:szCs w:val="28"/>
        </w:rPr>
        <w:t>5</w:t>
      </w:r>
      <w:r>
        <w:rPr>
          <w:rFonts w:ascii="宋体" w:hAnsi="宋体" w:cs="宋体" w:hint="eastAsia"/>
          <w:sz w:val="28"/>
          <w:szCs w:val="28"/>
        </w:rPr>
        <w:t>年进行一次燃料组分的实测核查或依据最新发布的官方指南进行调整，确保排放因子数据的时效性，防止因数据陈旧而导致的减排潜力误判。</w:t>
      </w:r>
    </w:p>
    <w:p w14:paraId="0DE6CC57"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5.</w:t>
      </w:r>
      <w:r>
        <w:rPr>
          <w:rFonts w:ascii="宋体" w:hAnsi="宋体" w:cs="宋体" w:hint="eastAsia"/>
          <w:b/>
          <w:bCs/>
          <w:sz w:val="28"/>
          <w:szCs w:val="28"/>
        </w:rPr>
        <w:t>国际经验借鉴</w:t>
      </w:r>
    </w:p>
    <w:p w14:paraId="259E5E05"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在完善我国《企业温</w:t>
      </w:r>
      <w:r>
        <w:rPr>
          <w:rFonts w:ascii="宋体" w:hAnsi="宋体" w:cs="宋体" w:hint="eastAsia"/>
          <w:sz w:val="28"/>
          <w:szCs w:val="28"/>
        </w:rPr>
        <w:t>室气体排放计量器具配备与管理规范油气开采》的过程中，深入剖析国际先进的油气开采温室气体计量标准与经验，对于提升我国标准的科学性、前瞻性和国际互认度具有重要意义。</w:t>
      </w:r>
    </w:p>
    <w:p w14:paraId="563E08B9"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5.1</w:t>
      </w:r>
      <w:r>
        <w:rPr>
          <w:rFonts w:ascii="宋体" w:hAnsi="宋体" w:cs="宋体" w:hint="eastAsia"/>
          <w:b/>
          <w:bCs/>
          <w:sz w:val="28"/>
          <w:szCs w:val="28"/>
        </w:rPr>
        <w:t>美国</w:t>
      </w:r>
      <w:r>
        <w:rPr>
          <w:rFonts w:ascii="宋体" w:hAnsi="宋体" w:cs="宋体" w:hint="eastAsia"/>
          <w:b/>
          <w:bCs/>
          <w:sz w:val="28"/>
          <w:szCs w:val="28"/>
        </w:rPr>
        <w:t>EPA</w:t>
      </w:r>
      <w:r>
        <w:rPr>
          <w:rFonts w:ascii="宋体" w:hAnsi="宋体" w:cs="宋体" w:hint="eastAsia"/>
          <w:b/>
          <w:bCs/>
          <w:sz w:val="28"/>
          <w:szCs w:val="28"/>
        </w:rPr>
        <w:t>的监管体系与指标设计</w:t>
      </w:r>
    </w:p>
    <w:p w14:paraId="17E15748"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美国环境保护署（</w:t>
      </w:r>
      <w:r>
        <w:rPr>
          <w:rFonts w:ascii="宋体" w:hAnsi="宋体" w:cs="宋体" w:hint="eastAsia"/>
          <w:sz w:val="28"/>
          <w:szCs w:val="28"/>
        </w:rPr>
        <w:t>EPA</w:t>
      </w:r>
      <w:r>
        <w:rPr>
          <w:rFonts w:ascii="宋体" w:hAnsi="宋体" w:cs="宋体" w:hint="eastAsia"/>
          <w:sz w:val="28"/>
          <w:szCs w:val="28"/>
        </w:rPr>
        <w:t>）针对石油天然气行业建立了极为严密的排放监管体系，其核心依据是《新源性能标准》（</w:t>
      </w:r>
      <w:r>
        <w:rPr>
          <w:rFonts w:ascii="宋体" w:hAnsi="宋体" w:cs="宋体" w:hint="eastAsia"/>
          <w:sz w:val="28"/>
          <w:szCs w:val="28"/>
        </w:rPr>
        <w:t>NSPS</w:t>
      </w:r>
      <w:r>
        <w:rPr>
          <w:rFonts w:ascii="宋体" w:hAnsi="宋体" w:cs="宋体" w:hint="eastAsia"/>
          <w:sz w:val="28"/>
          <w:szCs w:val="28"/>
        </w:rPr>
        <w:t>）和《有害空气污染物排放标准》（</w:t>
      </w:r>
      <w:r>
        <w:rPr>
          <w:rFonts w:ascii="宋体" w:hAnsi="宋体" w:cs="宋体" w:hint="eastAsia"/>
          <w:sz w:val="28"/>
          <w:szCs w:val="28"/>
        </w:rPr>
        <w:t>NESHAP</w:t>
      </w:r>
      <w:r>
        <w:rPr>
          <w:rFonts w:ascii="宋体" w:hAnsi="宋体" w:cs="宋体" w:hint="eastAsia"/>
          <w:sz w:val="28"/>
          <w:szCs w:val="28"/>
        </w:rPr>
        <w:t>）。</w:t>
      </w:r>
    </w:p>
    <w:p w14:paraId="4E50634E"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全覆盖的排放源分类：</w:t>
      </w:r>
      <w:r>
        <w:rPr>
          <w:rFonts w:ascii="宋体" w:hAnsi="宋体" w:cs="宋体" w:hint="eastAsia"/>
          <w:sz w:val="28"/>
          <w:szCs w:val="28"/>
        </w:rPr>
        <w:t>EPA</w:t>
      </w:r>
      <w:r>
        <w:rPr>
          <w:rFonts w:ascii="宋体" w:hAnsi="宋体" w:cs="宋体" w:hint="eastAsia"/>
          <w:sz w:val="28"/>
          <w:szCs w:val="28"/>
        </w:rPr>
        <w:t>标准不仅涵盖了常规的燃烧排放，还极其细致地规定了非常规排放源，如“启动、停机、检修等非正常工况下的排放”、“压缩机、阀门、法兰</w:t>
      </w:r>
      <w:r>
        <w:rPr>
          <w:rFonts w:ascii="宋体" w:hAnsi="宋体" w:cs="宋体" w:hint="eastAsia"/>
          <w:sz w:val="28"/>
          <w:szCs w:val="28"/>
        </w:rPr>
        <w:t>等设备的逸散排放”以及“储罐蒸发损失”等。特别是对</w:t>
      </w:r>
      <w:r>
        <w:rPr>
          <w:rFonts w:ascii="宋体" w:hAnsi="宋体" w:cs="宋体" w:hint="eastAsia"/>
          <w:sz w:val="28"/>
          <w:szCs w:val="28"/>
        </w:rPr>
        <w:t>VOCs</w:t>
      </w:r>
      <w:r>
        <w:rPr>
          <w:rFonts w:ascii="宋体" w:hAnsi="宋体" w:cs="宋体" w:hint="eastAsia"/>
          <w:sz w:val="28"/>
          <w:szCs w:val="28"/>
        </w:rPr>
        <w:t>（挥发性有机物）和甲烷的协同控制提出了明确要求，例如针对工艺排气，一般要求</w:t>
      </w:r>
      <w:r>
        <w:rPr>
          <w:rFonts w:ascii="宋体" w:hAnsi="宋体" w:cs="宋体" w:hint="eastAsia"/>
          <w:sz w:val="28"/>
          <w:szCs w:val="28"/>
        </w:rPr>
        <w:t>TOC</w:t>
      </w:r>
      <w:r>
        <w:rPr>
          <w:rFonts w:ascii="宋体" w:hAnsi="宋体" w:cs="宋体" w:hint="eastAsia"/>
          <w:sz w:val="28"/>
          <w:szCs w:val="28"/>
        </w:rPr>
        <w:t>（总有机化合物）削减率不低于</w:t>
      </w:r>
      <w:r>
        <w:rPr>
          <w:rFonts w:ascii="宋体" w:hAnsi="宋体" w:cs="宋体" w:hint="eastAsia"/>
          <w:sz w:val="28"/>
          <w:szCs w:val="28"/>
        </w:rPr>
        <w:t>98%</w:t>
      </w:r>
      <w:r>
        <w:rPr>
          <w:rFonts w:ascii="宋体" w:hAnsi="宋体" w:cs="宋体" w:hint="eastAsia"/>
          <w:sz w:val="28"/>
          <w:szCs w:val="28"/>
        </w:rPr>
        <w:t>。这种“颗粒度”极细的排放源分类标准，为计量器具的精准布点提供了明确指引。</w:t>
      </w:r>
    </w:p>
    <w:p w14:paraId="21E86C7F"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基于设备的管控指标：不同于笼统的浓度限值，</w:t>
      </w:r>
      <w:r>
        <w:rPr>
          <w:rFonts w:ascii="宋体" w:hAnsi="宋体" w:cs="宋体" w:hint="eastAsia"/>
          <w:sz w:val="28"/>
          <w:szCs w:val="28"/>
        </w:rPr>
        <w:t>EPA</w:t>
      </w:r>
      <w:r>
        <w:rPr>
          <w:rFonts w:ascii="宋体" w:hAnsi="宋体" w:cs="宋体" w:hint="eastAsia"/>
          <w:sz w:val="28"/>
          <w:szCs w:val="28"/>
        </w:rPr>
        <w:t>常采用“设备级别”（</w:t>
      </w:r>
      <w:r>
        <w:rPr>
          <w:rFonts w:ascii="宋体" w:hAnsi="宋体" w:cs="宋体" w:hint="eastAsia"/>
          <w:sz w:val="28"/>
          <w:szCs w:val="28"/>
        </w:rPr>
        <w:t>Equipment-Based</w:t>
      </w:r>
      <w:r>
        <w:rPr>
          <w:rFonts w:ascii="宋体" w:hAnsi="宋体" w:cs="宋体" w:hint="eastAsia"/>
          <w:sz w:val="28"/>
          <w:szCs w:val="28"/>
        </w:rPr>
        <w:t>）的管控指标。例如，对气动控制器，根据其泵送气体的量，设定了每台设备每日的甲烷排放限值（如</w:t>
      </w:r>
      <w:r>
        <w:rPr>
          <w:rFonts w:ascii="宋体" w:hAnsi="宋体" w:cs="宋体" w:hint="eastAsia"/>
          <w:sz w:val="28"/>
          <w:szCs w:val="28"/>
        </w:rPr>
        <w:t>Bcf/</w:t>
      </w:r>
      <w:r>
        <w:rPr>
          <w:rFonts w:ascii="宋体" w:hAnsi="宋体" w:cs="宋体" w:hint="eastAsia"/>
          <w:sz w:val="28"/>
          <w:szCs w:val="28"/>
        </w:rPr>
        <w:t>天）。这种指标设计迫使企业必须关注每一台具体设备的计量和监测，从而倒</w:t>
      </w:r>
      <w:r>
        <w:rPr>
          <w:rFonts w:ascii="宋体" w:hAnsi="宋体" w:cs="宋体" w:hint="eastAsia"/>
          <w:sz w:val="28"/>
          <w:szCs w:val="28"/>
        </w:rPr>
        <w:t>逼高精度、低泄漏计量器具的广泛应用。</w:t>
      </w:r>
    </w:p>
    <w:p w14:paraId="6D0F0F40"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严格的</w:t>
      </w:r>
      <w:r>
        <w:rPr>
          <w:rFonts w:ascii="宋体" w:hAnsi="宋体" w:cs="宋体" w:hint="eastAsia"/>
          <w:sz w:val="28"/>
          <w:szCs w:val="28"/>
        </w:rPr>
        <w:t>LDAR</w:t>
      </w:r>
      <w:r>
        <w:rPr>
          <w:rFonts w:ascii="宋体" w:hAnsi="宋体" w:cs="宋体" w:hint="eastAsia"/>
          <w:sz w:val="28"/>
          <w:szCs w:val="28"/>
        </w:rPr>
        <w:t>（泄漏检测与修复）程序：</w:t>
      </w:r>
      <w:r>
        <w:rPr>
          <w:rFonts w:ascii="宋体" w:hAnsi="宋体" w:cs="宋体" w:hint="eastAsia"/>
          <w:sz w:val="28"/>
          <w:szCs w:val="28"/>
        </w:rPr>
        <w:t>EPA</w:t>
      </w:r>
      <w:r>
        <w:rPr>
          <w:rFonts w:ascii="宋体" w:hAnsi="宋体" w:cs="宋体" w:hint="eastAsia"/>
          <w:sz w:val="28"/>
          <w:szCs w:val="28"/>
        </w:rPr>
        <w:t>及其各州（如加州）强制要求实施</w:t>
      </w:r>
      <w:r>
        <w:rPr>
          <w:rFonts w:ascii="宋体" w:hAnsi="宋体" w:cs="宋体" w:hint="eastAsia"/>
          <w:sz w:val="28"/>
          <w:szCs w:val="28"/>
        </w:rPr>
        <w:t>LDAR</w:t>
      </w:r>
      <w:r>
        <w:rPr>
          <w:rFonts w:ascii="宋体" w:hAnsi="宋体" w:cs="宋体" w:hint="eastAsia"/>
          <w:sz w:val="28"/>
          <w:szCs w:val="28"/>
        </w:rPr>
        <w:t>程序，规定了检测频率（如每季度</w:t>
      </w:r>
      <w:r>
        <w:rPr>
          <w:rFonts w:ascii="宋体" w:hAnsi="宋体" w:cs="宋体" w:hint="eastAsia"/>
          <w:sz w:val="28"/>
          <w:szCs w:val="28"/>
        </w:rPr>
        <w:t>/</w:t>
      </w:r>
      <w:r>
        <w:rPr>
          <w:rFonts w:ascii="宋体" w:hAnsi="宋体" w:cs="宋体" w:hint="eastAsia"/>
          <w:sz w:val="28"/>
          <w:szCs w:val="28"/>
        </w:rPr>
        <w:t>半年）、检测方法（如</w:t>
      </w:r>
      <w:r>
        <w:rPr>
          <w:rFonts w:ascii="宋体" w:hAnsi="宋体" w:cs="宋体" w:hint="eastAsia"/>
          <w:sz w:val="28"/>
          <w:szCs w:val="28"/>
        </w:rPr>
        <w:t>Method21</w:t>
      </w:r>
      <w:r>
        <w:rPr>
          <w:rFonts w:ascii="宋体" w:hAnsi="宋体" w:cs="宋体" w:hint="eastAsia"/>
          <w:sz w:val="28"/>
          <w:szCs w:val="28"/>
        </w:rPr>
        <w:t>光学气体成像</w:t>
      </w:r>
      <w:r>
        <w:rPr>
          <w:rFonts w:ascii="宋体" w:hAnsi="宋体" w:cs="宋体" w:hint="eastAsia"/>
          <w:sz w:val="28"/>
          <w:szCs w:val="28"/>
        </w:rPr>
        <w:t>OGI</w:t>
      </w:r>
      <w:r>
        <w:rPr>
          <w:rFonts w:ascii="宋体" w:hAnsi="宋体" w:cs="宋体" w:hint="eastAsia"/>
          <w:sz w:val="28"/>
          <w:szCs w:val="28"/>
        </w:rPr>
        <w:t>）、修复时限等。这实际上建立了一套针对“无组织排放”的动态监测与计量标准，弥补了传统固定污染源监测的盲区。</w:t>
      </w:r>
    </w:p>
    <w:p w14:paraId="15EACF89"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5.2 ISO14064</w:t>
      </w:r>
      <w:r>
        <w:rPr>
          <w:rFonts w:ascii="宋体" w:hAnsi="宋体" w:cs="宋体" w:hint="eastAsia"/>
          <w:b/>
          <w:bCs/>
          <w:sz w:val="28"/>
          <w:szCs w:val="28"/>
        </w:rPr>
        <w:t>与</w:t>
      </w:r>
      <w:r>
        <w:rPr>
          <w:rFonts w:ascii="宋体" w:hAnsi="宋体" w:cs="宋体" w:hint="eastAsia"/>
          <w:b/>
          <w:bCs/>
          <w:sz w:val="28"/>
          <w:szCs w:val="28"/>
        </w:rPr>
        <w:t>OGMP2.0</w:t>
      </w:r>
      <w:r>
        <w:rPr>
          <w:rFonts w:ascii="宋体" w:hAnsi="宋体" w:cs="宋体" w:hint="eastAsia"/>
          <w:b/>
          <w:bCs/>
          <w:sz w:val="28"/>
          <w:szCs w:val="28"/>
        </w:rPr>
        <w:t>框架的层级化要求</w:t>
      </w:r>
    </w:p>
    <w:p w14:paraId="78A1DFCC"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国际标准化组织发布的</w:t>
      </w:r>
      <w:r>
        <w:rPr>
          <w:rFonts w:ascii="宋体" w:hAnsi="宋体" w:cs="宋体" w:hint="eastAsia"/>
          <w:sz w:val="28"/>
          <w:szCs w:val="28"/>
        </w:rPr>
        <w:t>ISO14064</w:t>
      </w:r>
      <w:r>
        <w:rPr>
          <w:rFonts w:ascii="宋体" w:hAnsi="宋体" w:cs="宋体" w:hint="eastAsia"/>
          <w:sz w:val="28"/>
          <w:szCs w:val="28"/>
        </w:rPr>
        <w:t>系列标准以及油气行业气候倡议组织（</w:t>
      </w:r>
      <w:r>
        <w:rPr>
          <w:rFonts w:ascii="宋体" w:hAnsi="宋体" w:cs="宋体" w:hint="eastAsia"/>
          <w:sz w:val="28"/>
          <w:szCs w:val="28"/>
        </w:rPr>
        <w:t>OGCI</w:t>
      </w:r>
      <w:r>
        <w:rPr>
          <w:rFonts w:ascii="宋体" w:hAnsi="宋体" w:cs="宋体" w:hint="eastAsia"/>
          <w:sz w:val="28"/>
          <w:szCs w:val="28"/>
        </w:rPr>
        <w:t>）推出的</w:t>
      </w:r>
      <w:r>
        <w:rPr>
          <w:rFonts w:ascii="宋体" w:hAnsi="宋体" w:cs="宋体" w:hint="eastAsia"/>
          <w:sz w:val="28"/>
          <w:szCs w:val="28"/>
        </w:rPr>
        <w:t>OGMP2.0</w:t>
      </w:r>
      <w:r>
        <w:rPr>
          <w:rFonts w:ascii="宋体" w:hAnsi="宋体" w:cs="宋体" w:hint="eastAsia"/>
          <w:sz w:val="28"/>
          <w:szCs w:val="28"/>
        </w:rPr>
        <w:t>框架，代表了国际通用的最佳实践。</w:t>
      </w:r>
    </w:p>
    <w:p w14:paraId="45FC5863"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层级化</w:t>
      </w:r>
      <w:r>
        <w:rPr>
          <w:rFonts w:ascii="宋体" w:hAnsi="宋体" w:cs="宋体" w:hint="eastAsia"/>
          <w:sz w:val="28"/>
          <w:szCs w:val="28"/>
        </w:rPr>
        <w:t>监测（</w:t>
      </w:r>
      <w:r>
        <w:rPr>
          <w:rFonts w:ascii="宋体" w:hAnsi="宋体" w:cs="宋体" w:hint="eastAsia"/>
          <w:sz w:val="28"/>
          <w:szCs w:val="28"/>
        </w:rPr>
        <w:t>TLM</w:t>
      </w:r>
      <w:r>
        <w:rPr>
          <w:rFonts w:ascii="宋体" w:hAnsi="宋体" w:cs="宋体" w:hint="eastAsia"/>
          <w:sz w:val="28"/>
          <w:szCs w:val="28"/>
        </w:rPr>
        <w:t>）理念：</w:t>
      </w:r>
      <w:r>
        <w:rPr>
          <w:rFonts w:ascii="宋体" w:hAnsi="宋体" w:cs="宋体" w:hint="eastAsia"/>
          <w:sz w:val="28"/>
          <w:szCs w:val="28"/>
        </w:rPr>
        <w:t>OGMP2.0</w:t>
      </w:r>
      <w:r>
        <w:rPr>
          <w:rFonts w:ascii="宋体" w:hAnsi="宋体" w:cs="宋体" w:hint="eastAsia"/>
          <w:sz w:val="28"/>
          <w:szCs w:val="28"/>
        </w:rPr>
        <w:t>框架极具创新性地提出了“</w:t>
      </w:r>
      <w:r>
        <w:rPr>
          <w:rFonts w:ascii="宋体" w:hAnsi="宋体" w:cs="宋体" w:hint="eastAsia"/>
          <w:sz w:val="28"/>
          <w:szCs w:val="28"/>
        </w:rPr>
        <w:t>5</w:t>
      </w:r>
      <w:r>
        <w:rPr>
          <w:rFonts w:ascii="宋体" w:hAnsi="宋体" w:cs="宋体" w:hint="eastAsia"/>
          <w:sz w:val="28"/>
          <w:szCs w:val="28"/>
        </w:rPr>
        <w:t>级”监测层级，从低到高依次为：排放因子法（</w:t>
      </w:r>
      <w:r>
        <w:rPr>
          <w:rFonts w:ascii="宋体" w:hAnsi="宋体" w:cs="宋体" w:hint="eastAsia"/>
          <w:sz w:val="28"/>
          <w:szCs w:val="28"/>
        </w:rPr>
        <w:t>1</w:t>
      </w: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级）到设备级连续监测（</w:t>
      </w:r>
      <w:r>
        <w:rPr>
          <w:rFonts w:ascii="宋体" w:hAnsi="宋体" w:cs="宋体" w:hint="eastAsia"/>
          <w:sz w:val="28"/>
          <w:szCs w:val="28"/>
        </w:rPr>
        <w:t>3</w:t>
      </w:r>
      <w:r>
        <w:rPr>
          <w:rFonts w:ascii="宋体" w:hAnsi="宋体" w:cs="宋体" w:hint="eastAsia"/>
          <w:sz w:val="28"/>
          <w:szCs w:val="28"/>
        </w:rPr>
        <w:t>、</w:t>
      </w:r>
      <w:r>
        <w:rPr>
          <w:rFonts w:ascii="宋体" w:hAnsi="宋体" w:cs="宋体" w:hint="eastAsia"/>
          <w:sz w:val="28"/>
          <w:szCs w:val="28"/>
        </w:rPr>
        <w:t>4</w:t>
      </w:r>
      <w:r>
        <w:rPr>
          <w:rFonts w:ascii="宋体" w:hAnsi="宋体" w:cs="宋体" w:hint="eastAsia"/>
          <w:sz w:val="28"/>
          <w:szCs w:val="28"/>
        </w:rPr>
        <w:t>级）和站点级连续监测（</w:t>
      </w:r>
      <w:r>
        <w:rPr>
          <w:rFonts w:ascii="宋体" w:hAnsi="宋体" w:cs="宋体" w:hint="eastAsia"/>
          <w:sz w:val="28"/>
          <w:szCs w:val="28"/>
        </w:rPr>
        <w:t>5</w:t>
      </w:r>
      <w:r>
        <w:rPr>
          <w:rFonts w:ascii="宋体" w:hAnsi="宋体" w:cs="宋体" w:hint="eastAsia"/>
          <w:sz w:val="28"/>
          <w:szCs w:val="28"/>
        </w:rPr>
        <w:t>级）。这种层级化理念非常值得借鉴。我国《规范》目前的配备率要求（主要</w:t>
      </w:r>
      <w:r>
        <w:rPr>
          <w:rFonts w:ascii="宋体" w:hAnsi="宋体" w:cs="宋体" w:hint="eastAsia"/>
          <w:sz w:val="28"/>
          <w:szCs w:val="28"/>
        </w:rPr>
        <w:t>/</w:t>
      </w:r>
      <w:r>
        <w:rPr>
          <w:rFonts w:ascii="宋体" w:hAnsi="宋体" w:cs="宋体" w:hint="eastAsia"/>
          <w:sz w:val="28"/>
          <w:szCs w:val="28"/>
        </w:rPr>
        <w:t>次要</w:t>
      </w:r>
      <w:r>
        <w:rPr>
          <w:rFonts w:ascii="宋体" w:hAnsi="宋体" w:cs="宋体" w:hint="eastAsia"/>
          <w:sz w:val="28"/>
          <w:szCs w:val="28"/>
        </w:rPr>
        <w:t>/</w:t>
      </w:r>
      <w:r>
        <w:rPr>
          <w:rFonts w:ascii="宋体" w:hAnsi="宋体" w:cs="宋体" w:hint="eastAsia"/>
          <w:sz w:val="28"/>
          <w:szCs w:val="28"/>
        </w:rPr>
        <w:t>微量源流）与之有异曲同工之妙，但《规范》未能进一步将“监测层级”与“计量器具精度等级”和“数据质量要求（</w:t>
      </w:r>
      <w:r>
        <w:rPr>
          <w:rFonts w:ascii="宋体" w:hAnsi="宋体" w:cs="宋体" w:hint="eastAsia"/>
          <w:sz w:val="28"/>
          <w:szCs w:val="28"/>
        </w:rPr>
        <w:t>TAR</w:t>
      </w:r>
      <w:r>
        <w:rPr>
          <w:rFonts w:ascii="宋体" w:hAnsi="宋体" w:cs="宋体" w:hint="eastAsia"/>
          <w:sz w:val="28"/>
          <w:szCs w:val="28"/>
        </w:rPr>
        <w:t>）”进行精确挂钩。建议参考</w:t>
      </w:r>
      <w:r>
        <w:rPr>
          <w:rFonts w:ascii="宋体" w:hAnsi="宋体" w:cs="宋体" w:hint="eastAsia"/>
          <w:sz w:val="28"/>
          <w:szCs w:val="28"/>
        </w:rPr>
        <w:t>OGMP2.0</w:t>
      </w:r>
      <w:r>
        <w:rPr>
          <w:rFonts w:ascii="宋体" w:hAnsi="宋体" w:cs="宋体" w:hint="eastAsia"/>
          <w:sz w:val="28"/>
          <w:szCs w:val="28"/>
        </w:rPr>
        <w:t>，引导企业从低阶向高阶监测能力进阶，例如，对头部企业或有条件的企业，鼓励其对于“主要碳源流”不仅配备流量计，更要争取达到</w:t>
      </w:r>
      <w:r>
        <w:rPr>
          <w:rFonts w:ascii="宋体" w:hAnsi="宋体" w:cs="宋体" w:hint="eastAsia"/>
          <w:sz w:val="28"/>
          <w:szCs w:val="28"/>
        </w:rPr>
        <w:t>4-5</w:t>
      </w:r>
      <w:r>
        <w:rPr>
          <w:rFonts w:ascii="宋体" w:hAnsi="宋体" w:cs="宋体" w:hint="eastAsia"/>
          <w:sz w:val="28"/>
          <w:szCs w:val="28"/>
        </w:rPr>
        <w:t>级的连续监测水平，以获取国际认可的高质量排放数据。</w:t>
      </w:r>
    </w:p>
    <w:p w14:paraId="5198A2E7"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不确定度量化管理：</w:t>
      </w:r>
      <w:r>
        <w:rPr>
          <w:rFonts w:ascii="宋体" w:hAnsi="宋体" w:cs="宋体" w:hint="eastAsia"/>
          <w:sz w:val="28"/>
          <w:szCs w:val="28"/>
        </w:rPr>
        <w:t>ISO14064-1</w:t>
      </w:r>
      <w:r>
        <w:rPr>
          <w:rFonts w:ascii="宋体" w:hAnsi="宋体" w:cs="宋体" w:hint="eastAsia"/>
          <w:sz w:val="28"/>
          <w:szCs w:val="28"/>
        </w:rPr>
        <w:t>明确要求对温室气体排放量进行不确定度评估，并提出了</w:t>
      </w:r>
      <w:r>
        <w:rPr>
          <w:rFonts w:ascii="宋体" w:hAnsi="宋体" w:cs="宋体" w:hint="eastAsia"/>
          <w:sz w:val="28"/>
          <w:szCs w:val="28"/>
        </w:rPr>
        <w:t>95%</w:t>
      </w:r>
      <w:r>
        <w:rPr>
          <w:rFonts w:ascii="宋体" w:hAnsi="宋体" w:cs="宋体" w:hint="eastAsia"/>
          <w:sz w:val="28"/>
          <w:szCs w:val="28"/>
        </w:rPr>
        <w:t>置信度下的不确定度目标范围。国际先进企业通常将这一要求嵌入到计量器具选型中，要求测量系统的不确定度必须满足整体数据质量目标（如≤</w:t>
      </w:r>
      <w:r>
        <w:rPr>
          <w:rFonts w:ascii="宋体" w:hAnsi="宋体" w:cs="宋体" w:hint="eastAsia"/>
          <w:sz w:val="28"/>
          <w:szCs w:val="28"/>
        </w:rPr>
        <w:t>5%</w:t>
      </w:r>
      <w:r>
        <w:rPr>
          <w:rFonts w:ascii="宋体" w:hAnsi="宋体" w:cs="宋体" w:hint="eastAsia"/>
          <w:sz w:val="28"/>
          <w:szCs w:val="28"/>
        </w:rPr>
        <w:t>或更低）。相比之下，我国《规范》虽然提到了“碳计量器具准确度等级”，但未明确要求企业进行整体数据质量的不确定度合成评估。建议引入“排放总量合成相对不确定度”作为评估计量器具配备方案有效性的综合指标，参考表</w:t>
      </w:r>
      <w:r>
        <w:rPr>
          <w:rFonts w:ascii="宋体" w:hAnsi="宋体" w:cs="宋体" w:hint="eastAsia"/>
          <w:sz w:val="28"/>
          <w:szCs w:val="28"/>
        </w:rPr>
        <w:t>4</w:t>
      </w:r>
      <w:r>
        <w:rPr>
          <w:rFonts w:ascii="宋体" w:hAnsi="宋体" w:cs="宋体" w:hint="eastAsia"/>
          <w:sz w:val="28"/>
          <w:szCs w:val="28"/>
        </w:rPr>
        <w:t>（征求意见稿中的数据）确保计</w:t>
      </w:r>
      <w:r>
        <w:rPr>
          <w:rFonts w:ascii="宋体" w:hAnsi="宋体" w:cs="宋体" w:hint="eastAsia"/>
          <w:sz w:val="28"/>
          <w:szCs w:val="28"/>
        </w:rPr>
        <w:t>量体系的科学性。</w:t>
      </w:r>
    </w:p>
    <w:p w14:paraId="6DA3043E"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5.3</w:t>
      </w:r>
      <w:r>
        <w:rPr>
          <w:rFonts w:ascii="宋体" w:hAnsi="宋体" w:cs="宋体" w:hint="eastAsia"/>
          <w:b/>
          <w:bCs/>
          <w:sz w:val="28"/>
          <w:szCs w:val="28"/>
        </w:rPr>
        <w:t>欧盟</w:t>
      </w:r>
      <w:r>
        <w:rPr>
          <w:rFonts w:ascii="宋体" w:hAnsi="宋体" w:cs="宋体" w:hint="eastAsia"/>
          <w:b/>
          <w:bCs/>
          <w:sz w:val="28"/>
          <w:szCs w:val="28"/>
        </w:rPr>
        <w:t>MRV</w:t>
      </w:r>
      <w:r>
        <w:rPr>
          <w:rFonts w:ascii="宋体" w:hAnsi="宋体" w:cs="宋体" w:hint="eastAsia"/>
          <w:b/>
          <w:bCs/>
          <w:sz w:val="28"/>
          <w:szCs w:val="28"/>
        </w:rPr>
        <w:t>法规的量化透明度要求</w:t>
      </w:r>
    </w:p>
    <w:p w14:paraId="0EDD2877"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欧盟的《监测、报告与核查条例》（</w:t>
      </w:r>
      <w:r>
        <w:rPr>
          <w:rFonts w:ascii="宋体" w:hAnsi="宋体" w:cs="宋体" w:hint="eastAsia"/>
          <w:sz w:val="28"/>
          <w:szCs w:val="28"/>
        </w:rPr>
        <w:t>MRVRegulation</w:t>
      </w:r>
      <w:r>
        <w:rPr>
          <w:rFonts w:ascii="宋体" w:hAnsi="宋体" w:cs="宋体" w:hint="eastAsia"/>
          <w:sz w:val="28"/>
          <w:szCs w:val="28"/>
        </w:rPr>
        <w:t>）对数据来源的透明度和可追溯性有着近乎苛刻的要求。</w:t>
      </w:r>
    </w:p>
    <w:p w14:paraId="684FB9E7"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单一数据源的最高优先级：欧盟</w:t>
      </w:r>
      <w:r>
        <w:rPr>
          <w:rFonts w:ascii="宋体" w:hAnsi="宋体" w:cs="宋体" w:hint="eastAsia"/>
          <w:sz w:val="28"/>
          <w:szCs w:val="28"/>
        </w:rPr>
        <w:t>MRV</w:t>
      </w:r>
      <w:r>
        <w:rPr>
          <w:rFonts w:ascii="宋体" w:hAnsi="宋体" w:cs="宋体" w:hint="eastAsia"/>
          <w:sz w:val="28"/>
          <w:szCs w:val="28"/>
        </w:rPr>
        <w:t>强调，在可能的情况下，应优先使用连续监测系统（</w:t>
      </w:r>
      <w:r>
        <w:rPr>
          <w:rFonts w:ascii="宋体" w:hAnsi="宋体" w:cs="宋体" w:hint="eastAsia"/>
          <w:sz w:val="28"/>
          <w:szCs w:val="28"/>
        </w:rPr>
        <w:t>CEMS</w:t>
      </w:r>
      <w:r>
        <w:rPr>
          <w:rFonts w:ascii="宋体" w:hAnsi="宋体" w:cs="宋体" w:hint="eastAsia"/>
          <w:sz w:val="28"/>
          <w:szCs w:val="28"/>
        </w:rPr>
        <w:t>）获得的实测数据，只有在无条件的情况下才使用计算法。这实际上对计量器具的安装和运行提出了“必须作为首选方案”的导向，而非我国《规范》中的“宜配备”。</w:t>
      </w:r>
    </w:p>
    <w:p w14:paraId="2B3C997D"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详细的数据管理计划（</w:t>
      </w:r>
      <w:r>
        <w:rPr>
          <w:rFonts w:ascii="宋体" w:hAnsi="宋体" w:cs="宋体" w:hint="eastAsia"/>
          <w:sz w:val="28"/>
          <w:szCs w:val="28"/>
        </w:rPr>
        <w:t>DMP</w:t>
      </w:r>
      <w:r>
        <w:rPr>
          <w:rFonts w:ascii="宋体" w:hAnsi="宋体" w:cs="宋体" w:hint="eastAsia"/>
          <w:sz w:val="28"/>
          <w:szCs w:val="28"/>
        </w:rPr>
        <w:t>）：欧盟要求每家受控企业必须编写并提交详细的数据管理计划，其中必须详细列出所有用于</w:t>
      </w:r>
      <w:r>
        <w:rPr>
          <w:rFonts w:ascii="宋体" w:hAnsi="宋体" w:cs="宋体" w:hint="eastAsia"/>
          <w:sz w:val="28"/>
          <w:szCs w:val="28"/>
        </w:rPr>
        <w:t>监测的计量器具信息（位置、型号、校准周期、不确定度等）及其维护计划。这一机制将《规范》中的“管理要求”前置化、具体化，且与碳排放数据的核定直接挂钩，大大提高了标准的执行力和约束力。</w:t>
      </w:r>
    </w:p>
    <w:p w14:paraId="1ECDD424" w14:textId="77777777" w:rsidR="00200C0E" w:rsidRDefault="002049BD">
      <w:pPr>
        <w:pStyle w:val="a4"/>
        <w:tabs>
          <w:tab w:val="left" w:pos="0"/>
        </w:tabs>
        <w:ind w:firstLine="562"/>
        <w:jc w:val="left"/>
        <w:rPr>
          <w:rFonts w:ascii="宋体" w:hAnsi="宋体" w:cs="宋体"/>
          <w:b/>
          <w:bCs/>
          <w:sz w:val="28"/>
          <w:szCs w:val="28"/>
        </w:rPr>
      </w:pPr>
      <w:r>
        <w:rPr>
          <w:rFonts w:ascii="宋体" w:hAnsi="宋体" w:cs="宋体" w:hint="eastAsia"/>
          <w:b/>
          <w:bCs/>
          <w:sz w:val="28"/>
          <w:szCs w:val="28"/>
        </w:rPr>
        <w:t>5.4</w:t>
      </w:r>
      <w:r>
        <w:rPr>
          <w:rFonts w:ascii="宋体" w:hAnsi="宋体" w:cs="宋体" w:hint="eastAsia"/>
          <w:b/>
          <w:bCs/>
          <w:sz w:val="28"/>
          <w:szCs w:val="28"/>
        </w:rPr>
        <w:t>借鉴启示</w:t>
      </w:r>
    </w:p>
    <w:p w14:paraId="1EE70159"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综合上述国际经验，对《规范》的修改提出以下启示：</w:t>
      </w:r>
    </w:p>
    <w:p w14:paraId="56E65C16"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）指标精细化：从“设施级”向“设备级”指标延伸，特别是对压缩机、阀门等逸散源，设定基于单位气体处理量的排放强度指标。</w:t>
      </w:r>
    </w:p>
    <w:p w14:paraId="02561123"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）方法论分级化：明确引入“监测层级”概念，建立贯穿计量器具配备——数据获取——不确定度评估的闭环管理体系，鼓励高精度监测技术的应用。</w:t>
      </w:r>
    </w:p>
    <w:p w14:paraId="29C75DDE"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3</w:t>
      </w:r>
      <w:r>
        <w:rPr>
          <w:rFonts w:ascii="宋体" w:hAnsi="宋体" w:cs="宋体" w:hint="eastAsia"/>
          <w:sz w:val="28"/>
          <w:szCs w:val="28"/>
        </w:rPr>
        <w:t>）管理动态化：将“数据管理计划”和“不确定性评估”作为企业碳计量管理的常态化要求，确保计量器具的配备与运行始终处于受控且持续的优化状态，以适应国际碳市场对数据质量的高标准要求。</w:t>
      </w:r>
    </w:p>
    <w:p w14:paraId="5018109E" w14:textId="77777777" w:rsidR="00200C0E" w:rsidRDefault="002049BD">
      <w:pPr>
        <w:pStyle w:val="a4"/>
        <w:tabs>
          <w:tab w:val="left" w:pos="0"/>
        </w:tabs>
        <w:ind w:firstLine="560"/>
        <w:jc w:val="left"/>
        <w:rPr>
          <w:rFonts w:ascii="宋体" w:hAnsi="宋体" w:cs="宋体"/>
          <w:sz w:val="28"/>
          <w:szCs w:val="28"/>
        </w:rPr>
      </w:pPr>
      <w:r>
        <w:rPr>
          <w:rFonts w:ascii="宋体" w:hAnsi="宋体" w:cs="宋体" w:hint="eastAsia"/>
          <w:sz w:val="28"/>
          <w:szCs w:val="28"/>
        </w:rPr>
        <w:t>关于国际经验中涉及的具体技术细节（如不同国家的最新排放限值数值、具体型号监测设备的性能参数等，及</w:t>
      </w:r>
      <w:r>
        <w:rPr>
          <w:rFonts w:ascii="宋体" w:hAnsi="宋体" w:cs="宋体" w:hint="eastAsia"/>
          <w:sz w:val="28"/>
          <w:szCs w:val="28"/>
        </w:rPr>
        <w:t>OGMP2.0</w:t>
      </w:r>
      <w:r>
        <w:rPr>
          <w:rFonts w:ascii="宋体" w:hAnsi="宋体" w:cs="宋体" w:hint="eastAsia"/>
          <w:sz w:val="28"/>
          <w:szCs w:val="28"/>
        </w:rPr>
        <w:t>框架的完整条款），信息有限，以上分析主要基于通用的国际规则框架和所检索到的部分关键指标（如</w:t>
      </w:r>
      <w:r>
        <w:rPr>
          <w:rFonts w:ascii="宋体" w:hAnsi="宋体" w:cs="宋体" w:hint="eastAsia"/>
          <w:sz w:val="28"/>
          <w:szCs w:val="28"/>
        </w:rPr>
        <w:t>EPA</w:t>
      </w:r>
      <w:r>
        <w:rPr>
          <w:rFonts w:ascii="宋体" w:hAnsi="宋体" w:cs="宋体" w:hint="eastAsia"/>
          <w:sz w:val="28"/>
          <w:szCs w:val="28"/>
        </w:rPr>
        <w:t>的削减率要求、</w:t>
      </w:r>
      <w:r>
        <w:rPr>
          <w:rFonts w:ascii="宋体" w:hAnsi="宋体" w:cs="宋体" w:hint="eastAsia"/>
          <w:sz w:val="28"/>
          <w:szCs w:val="28"/>
        </w:rPr>
        <w:t>ISO</w:t>
      </w:r>
      <w:r>
        <w:rPr>
          <w:rFonts w:ascii="宋体" w:hAnsi="宋体" w:cs="宋体" w:hint="eastAsia"/>
          <w:sz w:val="28"/>
          <w:szCs w:val="28"/>
        </w:rPr>
        <w:t>标准的不确定度要求）进行归纳和推断，未进行不合理的细节补充。</w:t>
      </w:r>
    </w:p>
    <w:sectPr w:rsidR="00200C0E">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1BC84" w14:textId="77777777" w:rsidR="00000000" w:rsidRDefault="002049BD">
      <w:r>
        <w:separator/>
      </w:r>
    </w:p>
  </w:endnote>
  <w:endnote w:type="continuationSeparator" w:id="0">
    <w:p w14:paraId="59BEDD10" w14:textId="77777777" w:rsidR="00000000" w:rsidRDefault="0020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170401"/>
    </w:sdtPr>
    <w:sdtEndPr/>
    <w:sdtContent>
      <w:p w14:paraId="3D4CDEE6" w14:textId="5D2A6D6F" w:rsidR="00200C0E" w:rsidRDefault="002049BD">
        <w:pPr>
          <w:pStyle w:val="a3"/>
          <w:jc w:val="center"/>
        </w:pPr>
        <w:r>
          <w:fldChar w:fldCharType="begin"/>
        </w:r>
        <w:r>
          <w:instrText>PAGE   \* MERGEFORMAT</w:instrText>
        </w:r>
        <w:r>
          <w:fldChar w:fldCharType="separate"/>
        </w:r>
        <w:r w:rsidRPr="002049BD">
          <w:rPr>
            <w:noProof/>
            <w:lang w:val="zh-CN"/>
          </w:rPr>
          <w:t>4</w:t>
        </w:r>
        <w:r>
          <w:fldChar w:fldCharType="end"/>
        </w:r>
      </w:p>
    </w:sdtContent>
  </w:sdt>
  <w:p w14:paraId="1A989D45" w14:textId="77777777" w:rsidR="00200C0E" w:rsidRDefault="00200C0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5D3A1" w14:textId="77777777" w:rsidR="00000000" w:rsidRDefault="002049BD">
      <w:r>
        <w:separator/>
      </w:r>
    </w:p>
  </w:footnote>
  <w:footnote w:type="continuationSeparator" w:id="0">
    <w:p w14:paraId="271D0363" w14:textId="77777777" w:rsidR="00000000" w:rsidRDefault="00204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45D00"/>
    <w:multiLevelType w:val="multilevel"/>
    <w:tmpl w:val="67545D0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C0E"/>
    <w:rsid w:val="00200C0E"/>
    <w:rsid w:val="002049BD"/>
    <w:rsid w:val="00AE3B2D"/>
    <w:rsid w:val="00BC07DA"/>
    <w:rsid w:val="04E83902"/>
    <w:rsid w:val="05D14246"/>
    <w:rsid w:val="17C51D8C"/>
    <w:rsid w:val="1B592015"/>
    <w:rsid w:val="2AC82230"/>
    <w:rsid w:val="2C7F0EB4"/>
    <w:rsid w:val="348F25F3"/>
    <w:rsid w:val="36114978"/>
    <w:rsid w:val="49BE07B0"/>
    <w:rsid w:val="500879D8"/>
    <w:rsid w:val="50E1468C"/>
    <w:rsid w:val="5A8B3539"/>
    <w:rsid w:val="7B097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491CA"/>
  <w15:docId w15:val="{9A571722-2847-4B44-AD01-45B8FC59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List Paragraph"/>
    <w:basedOn w:val="a"/>
    <w:uiPriority w:val="34"/>
    <w:qFormat/>
    <w:pPr>
      <w:ind w:firstLineChars="200" w:firstLine="420"/>
    </w:pPr>
  </w:style>
  <w:style w:type="paragraph" w:customStyle="1" w:styleId="a5">
    <w:name w:val="封面标准文稿类别"/>
    <w:qFormat/>
    <w:pPr>
      <w:spacing w:before="440" w:line="400" w:lineRule="exact"/>
      <w:jc w:val="center"/>
    </w:pPr>
    <w:rPr>
      <w:rFonts w:ascii="宋体"/>
      <w:sz w:val="24"/>
    </w:rPr>
  </w:style>
  <w:style w:type="paragraph" w:customStyle="1" w:styleId="TableParagraph">
    <w:name w:val="Table Paragraph"/>
    <w:basedOn w:val="a"/>
    <w:uiPriority w:val="1"/>
    <w:qFormat/>
  </w:style>
  <w:style w:type="paragraph" w:styleId="a6">
    <w:name w:val="header"/>
    <w:basedOn w:val="a"/>
    <w:link w:val="a7"/>
    <w:rsid w:val="00AE3B2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AE3B2D"/>
    <w:rPr>
      <w:rFonts w:ascii="Calibri"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Pages>
  <Words>1635</Words>
  <Characters>9325</Characters>
  <Application>Microsoft Office Word</Application>
  <DocSecurity>0</DocSecurity>
  <Lines>77</Lines>
  <Paragraphs>21</Paragraphs>
  <ScaleCrop>false</ScaleCrop>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熊兆洪</cp:lastModifiedBy>
  <cp:revision>2</cp:revision>
  <dcterms:created xsi:type="dcterms:W3CDTF">2024-10-09T11:33:00Z</dcterms:created>
  <dcterms:modified xsi:type="dcterms:W3CDTF">2026-08-31T07:55:00Z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C4B18DE8DADF403496A7E0F502198D50</vt:lpwstr>
  </property>
</Properties>
</file>