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744A3">
      <w:pPr>
        <w:bidi w:val="0"/>
        <w:outlineLvl w:val="9"/>
        <w:rPr>
          <w:rFonts w:hint="default" w:ascii="Times New Roman" w:hAnsi="Times New Roman" w:cs="Times New Roman"/>
          <w:b/>
          <w:bCs/>
          <w:spacing w:val="1"/>
        </w:rPr>
      </w:pPr>
      <w:bookmarkStart w:id="2" w:name="_GoBack"/>
      <w:bookmarkEnd w:id="2"/>
    </w:p>
    <w:p w14:paraId="68818909">
      <w:pPr>
        <w:bidi w:val="0"/>
        <w:outlineLvl w:val="9"/>
        <w:rPr>
          <w:rFonts w:hint="default" w:ascii="Times New Roman" w:hAnsi="Times New Roman" w:cs="Times New Roman"/>
          <w:b/>
          <w:bCs/>
          <w:spacing w:val="1"/>
        </w:rPr>
      </w:pPr>
    </w:p>
    <w:p w14:paraId="4AD95A9E">
      <w:pPr>
        <w:bidi w:val="0"/>
        <w:outlineLvl w:val="9"/>
        <w:rPr>
          <w:rFonts w:hint="default" w:ascii="Times New Roman" w:hAnsi="Times New Roman" w:cs="Times New Roman"/>
          <w:b/>
          <w:bCs/>
          <w:spacing w:val="1"/>
        </w:rPr>
      </w:pPr>
    </w:p>
    <w:p w14:paraId="533383E5">
      <w:pPr>
        <w:bidi w:val="0"/>
        <w:outlineLvl w:val="9"/>
        <w:rPr>
          <w:rFonts w:hint="default" w:ascii="Times New Roman" w:hAnsi="Times New Roman" w:cs="Times New Roman"/>
          <w:b/>
          <w:bCs/>
          <w:spacing w:val="1"/>
        </w:rPr>
      </w:pPr>
    </w:p>
    <w:p w14:paraId="74A19664">
      <w:pPr>
        <w:bidi w:val="0"/>
        <w:outlineLvl w:val="9"/>
        <w:rPr>
          <w:rFonts w:hint="default" w:ascii="Times New Roman" w:hAnsi="Times New Roman" w:cs="Times New Roman"/>
          <w:b/>
          <w:bCs/>
          <w:spacing w:val="1"/>
        </w:rPr>
      </w:pPr>
    </w:p>
    <w:p w14:paraId="06A21996">
      <w:pPr>
        <w:bidi w:val="0"/>
        <w:outlineLvl w:val="9"/>
        <w:rPr>
          <w:rFonts w:hint="default" w:ascii="Times New Roman" w:hAnsi="Times New Roman" w:cs="Times New Roman"/>
          <w:b/>
          <w:bCs/>
          <w:spacing w:val="1"/>
        </w:rPr>
      </w:pPr>
    </w:p>
    <w:p w14:paraId="77327614">
      <w:pPr>
        <w:bidi w:val="0"/>
        <w:outlineLvl w:val="9"/>
        <w:rPr>
          <w:rFonts w:hint="default" w:ascii="Times New Roman" w:hAnsi="Times New Roman" w:cs="Times New Roman"/>
          <w:b/>
          <w:bCs/>
          <w:spacing w:val="1"/>
        </w:rPr>
      </w:pPr>
    </w:p>
    <w:p w14:paraId="7F76BCE2">
      <w:pPr>
        <w:bidi w:val="0"/>
        <w:outlineLvl w:val="9"/>
        <w:rPr>
          <w:rFonts w:hint="default" w:ascii="Times New Roman" w:hAnsi="Times New Roman" w:cs="Times New Roman"/>
          <w:b/>
          <w:bCs/>
          <w:spacing w:val="1"/>
        </w:rPr>
      </w:pPr>
    </w:p>
    <w:p w14:paraId="537FF787">
      <w:pPr>
        <w:bidi w:val="0"/>
        <w:outlineLvl w:val="9"/>
        <w:rPr>
          <w:rFonts w:hint="default" w:ascii="Times New Roman" w:hAnsi="Times New Roman" w:cs="Times New Roman"/>
          <w:b/>
          <w:bCs/>
          <w:spacing w:val="1"/>
        </w:rPr>
      </w:pPr>
    </w:p>
    <w:p w14:paraId="35FFF695">
      <w:pPr>
        <w:bidi w:val="0"/>
        <w:outlineLvl w:val="9"/>
        <w:rPr>
          <w:rFonts w:hint="default" w:ascii="Times New Roman" w:hAnsi="Times New Roman" w:cs="Times New Roman"/>
          <w:b/>
          <w:bCs/>
          <w:spacing w:val="1"/>
        </w:rPr>
      </w:pPr>
    </w:p>
    <w:p w14:paraId="2EE5CED1">
      <w:pPr>
        <w:bidi w:val="0"/>
        <w:outlineLvl w:val="9"/>
        <w:rPr>
          <w:rFonts w:hint="default" w:ascii="Times New Roman" w:hAnsi="Times New Roman" w:cs="Times New Roman"/>
          <w:b/>
          <w:bCs/>
          <w:spacing w:val="1"/>
        </w:rPr>
      </w:pPr>
    </w:p>
    <w:p w14:paraId="6B65762E">
      <w:pPr>
        <w:bidi w:val="0"/>
        <w:outlineLvl w:val="9"/>
        <w:rPr>
          <w:rFonts w:hint="default" w:ascii="Times New Roman" w:hAnsi="Times New Roman" w:cs="Times New Roman"/>
          <w:b/>
          <w:bCs/>
          <w:spacing w:val="1"/>
        </w:rPr>
      </w:pPr>
    </w:p>
    <w:p w14:paraId="24424FD9">
      <w:pPr>
        <w:bidi w:val="0"/>
        <w:outlineLvl w:val="9"/>
        <w:rPr>
          <w:rFonts w:hint="default" w:ascii="Times New Roman" w:hAnsi="Times New Roman" w:cs="Times New Roman"/>
          <w:b/>
          <w:bCs/>
          <w:spacing w:val="1"/>
        </w:rPr>
      </w:pPr>
    </w:p>
    <w:p w14:paraId="0D1A5DE5">
      <w:pPr>
        <w:bidi w:val="0"/>
        <w:outlineLvl w:val="9"/>
        <w:rPr>
          <w:rFonts w:hint="default" w:ascii="Times New Roman" w:hAnsi="Times New Roman" w:cs="Times New Roman"/>
          <w:b/>
          <w:bCs/>
          <w:spacing w:val="1"/>
        </w:rPr>
      </w:pPr>
    </w:p>
    <w:p w14:paraId="5E328FDD">
      <w:pPr>
        <w:bidi w:val="0"/>
        <w:outlineLvl w:val="9"/>
        <w:rPr>
          <w:rFonts w:hint="default" w:ascii="Times New Roman" w:hAnsi="Times New Roman" w:cs="Times New Roman"/>
          <w:b/>
          <w:bCs/>
          <w:spacing w:val="1"/>
        </w:rPr>
      </w:pPr>
    </w:p>
    <w:p w14:paraId="31530870">
      <w:pPr>
        <w:bidi w:val="0"/>
        <w:outlineLvl w:val="9"/>
        <w:rPr>
          <w:rFonts w:hint="default" w:ascii="Times New Roman" w:hAnsi="Times New Roman" w:cs="Times New Roman"/>
          <w:b/>
          <w:bCs/>
          <w:spacing w:val="1"/>
        </w:rPr>
      </w:pPr>
    </w:p>
    <w:p w14:paraId="1FDA0E3E">
      <w:pPr>
        <w:bidi w:val="0"/>
        <w:jc w:val="center"/>
        <w:outlineLvl w:val="9"/>
        <w:rPr>
          <w:rFonts w:hint="eastAsia" w:ascii="黑体" w:hAnsi="黑体" w:eastAsia="黑体" w:cs="黑体"/>
          <w:b w:val="0"/>
          <w:bCs w:val="0"/>
          <w:spacing w:val="1"/>
          <w:sz w:val="52"/>
          <w:szCs w:val="52"/>
        </w:rPr>
      </w:pPr>
      <w:r>
        <w:rPr>
          <w:rFonts w:hint="eastAsia" w:ascii="黑体" w:hAnsi="黑体" w:eastAsia="黑体" w:cs="黑体"/>
          <w:b w:val="0"/>
          <w:bCs w:val="0"/>
          <w:spacing w:val="1"/>
          <w:sz w:val="52"/>
          <w:szCs w:val="52"/>
        </w:rPr>
        <w:t>水基钻井液</w:t>
      </w:r>
      <w:r>
        <w:rPr>
          <w:rFonts w:hint="eastAsia" w:ascii="黑体" w:hAnsi="黑体" w:eastAsia="黑体" w:cs="黑体"/>
          <w:b w:val="0"/>
          <w:bCs w:val="0"/>
          <w:spacing w:val="1"/>
          <w:sz w:val="52"/>
          <w:szCs w:val="52"/>
          <w:lang w:eastAsia="zh-CN"/>
        </w:rPr>
        <w:t>CODcr</w:t>
      </w:r>
      <w:r>
        <w:rPr>
          <w:rFonts w:hint="eastAsia" w:ascii="黑体" w:hAnsi="黑体" w:eastAsia="黑体" w:cs="黑体"/>
          <w:b w:val="0"/>
          <w:bCs w:val="0"/>
          <w:spacing w:val="1"/>
          <w:sz w:val="52"/>
          <w:szCs w:val="52"/>
        </w:rPr>
        <w:t>在线检测方法</w:t>
      </w:r>
    </w:p>
    <w:p w14:paraId="65D5BE1A">
      <w:pPr>
        <w:bidi w:val="0"/>
        <w:jc w:val="center"/>
        <w:outlineLvl w:val="9"/>
        <w:rPr>
          <w:rFonts w:hint="eastAsia" w:ascii="黑体" w:hAnsi="黑体" w:eastAsia="黑体" w:cs="黑体"/>
          <w:b w:val="0"/>
          <w:bCs w:val="0"/>
          <w:spacing w:val="1"/>
          <w:sz w:val="52"/>
          <w:szCs w:val="52"/>
          <w:lang w:eastAsia="zh-CN"/>
        </w:rPr>
      </w:pPr>
      <w:r>
        <w:rPr>
          <w:rFonts w:hint="eastAsia" w:ascii="黑体" w:hAnsi="黑体" w:eastAsia="黑体" w:cs="黑体"/>
          <w:b w:val="0"/>
          <w:bCs w:val="0"/>
          <w:spacing w:val="1"/>
          <w:sz w:val="52"/>
          <w:szCs w:val="52"/>
          <w:lang w:eastAsia="zh-CN"/>
        </w:rPr>
        <w:t>（编制说明）</w:t>
      </w:r>
    </w:p>
    <w:p w14:paraId="0BE8FFC8">
      <w:pPr>
        <w:bidi w:val="0"/>
        <w:outlineLvl w:val="9"/>
        <w:rPr>
          <w:rFonts w:hint="default" w:ascii="Times New Roman" w:hAnsi="Times New Roman" w:cs="Times New Roman"/>
          <w:b/>
          <w:bCs/>
          <w:spacing w:val="1"/>
        </w:rPr>
      </w:pPr>
    </w:p>
    <w:p w14:paraId="3F72C65A">
      <w:pPr>
        <w:bidi w:val="0"/>
        <w:outlineLvl w:val="9"/>
        <w:rPr>
          <w:rFonts w:hint="default" w:ascii="Times New Roman" w:hAnsi="Times New Roman" w:cs="Times New Roman"/>
          <w:b/>
          <w:bCs/>
          <w:spacing w:val="1"/>
        </w:rPr>
      </w:pPr>
    </w:p>
    <w:p w14:paraId="2994DB29">
      <w:pPr>
        <w:bidi w:val="0"/>
        <w:outlineLvl w:val="9"/>
        <w:rPr>
          <w:rFonts w:hint="default" w:ascii="Times New Roman" w:hAnsi="Times New Roman" w:cs="Times New Roman"/>
          <w:b/>
          <w:bCs/>
          <w:spacing w:val="1"/>
        </w:rPr>
      </w:pPr>
    </w:p>
    <w:p w14:paraId="733A0EE6">
      <w:pPr>
        <w:bidi w:val="0"/>
        <w:outlineLvl w:val="9"/>
        <w:rPr>
          <w:rFonts w:hint="default" w:ascii="Times New Roman" w:hAnsi="Times New Roman" w:cs="Times New Roman"/>
          <w:b/>
          <w:bCs/>
          <w:spacing w:val="1"/>
        </w:rPr>
      </w:pPr>
    </w:p>
    <w:p w14:paraId="6138F9EB">
      <w:pPr>
        <w:bidi w:val="0"/>
        <w:outlineLvl w:val="9"/>
        <w:rPr>
          <w:rFonts w:hint="default" w:ascii="Times New Roman" w:hAnsi="Times New Roman" w:cs="Times New Roman"/>
          <w:b/>
          <w:bCs/>
          <w:spacing w:val="1"/>
        </w:rPr>
      </w:pPr>
    </w:p>
    <w:p w14:paraId="111E5EEF">
      <w:pPr>
        <w:bidi w:val="0"/>
        <w:outlineLvl w:val="9"/>
        <w:rPr>
          <w:rFonts w:hint="default" w:ascii="Times New Roman" w:hAnsi="Times New Roman" w:cs="Times New Roman"/>
          <w:b/>
          <w:bCs/>
          <w:spacing w:val="1"/>
        </w:rPr>
      </w:pPr>
    </w:p>
    <w:p w14:paraId="308F3FFB">
      <w:pPr>
        <w:bidi w:val="0"/>
        <w:outlineLvl w:val="9"/>
        <w:rPr>
          <w:rFonts w:hint="default" w:ascii="Times New Roman" w:hAnsi="Times New Roman" w:cs="Times New Roman"/>
          <w:b/>
          <w:bCs/>
          <w:spacing w:val="1"/>
        </w:rPr>
      </w:pPr>
    </w:p>
    <w:p w14:paraId="42674C27">
      <w:pPr>
        <w:bidi w:val="0"/>
        <w:outlineLvl w:val="9"/>
        <w:rPr>
          <w:rFonts w:hint="default" w:ascii="Times New Roman" w:hAnsi="Times New Roman" w:cs="Times New Roman"/>
          <w:b/>
          <w:bCs/>
          <w:spacing w:val="1"/>
        </w:rPr>
      </w:pPr>
    </w:p>
    <w:p w14:paraId="44DF6F24">
      <w:pPr>
        <w:bidi w:val="0"/>
        <w:outlineLvl w:val="9"/>
        <w:rPr>
          <w:rFonts w:hint="default" w:ascii="Times New Roman" w:hAnsi="Times New Roman" w:cs="Times New Roman"/>
          <w:b/>
          <w:bCs/>
          <w:spacing w:val="1"/>
        </w:rPr>
      </w:pPr>
    </w:p>
    <w:p w14:paraId="11FB9108">
      <w:pPr>
        <w:bidi w:val="0"/>
        <w:outlineLvl w:val="9"/>
        <w:rPr>
          <w:rFonts w:hint="default" w:ascii="Times New Roman" w:hAnsi="Times New Roman" w:cs="Times New Roman"/>
          <w:b/>
          <w:bCs/>
          <w:spacing w:val="1"/>
        </w:rPr>
      </w:pPr>
    </w:p>
    <w:p w14:paraId="21C1F06A">
      <w:pPr>
        <w:bidi w:val="0"/>
        <w:outlineLvl w:val="9"/>
        <w:rPr>
          <w:rFonts w:hint="default" w:ascii="Times New Roman" w:hAnsi="Times New Roman" w:cs="Times New Roman"/>
          <w:b/>
          <w:bCs/>
          <w:spacing w:val="1"/>
        </w:rPr>
      </w:pPr>
    </w:p>
    <w:p w14:paraId="5A8B6D40">
      <w:pPr>
        <w:bidi w:val="0"/>
        <w:outlineLvl w:val="9"/>
        <w:rPr>
          <w:rFonts w:hint="default" w:ascii="Times New Roman" w:hAnsi="Times New Roman" w:cs="Times New Roman"/>
          <w:b/>
          <w:bCs/>
          <w:spacing w:val="1"/>
        </w:rPr>
      </w:pPr>
    </w:p>
    <w:p w14:paraId="6309854D">
      <w:pPr>
        <w:bidi w:val="0"/>
        <w:outlineLvl w:val="9"/>
        <w:rPr>
          <w:rFonts w:hint="default" w:ascii="Times New Roman" w:hAnsi="Times New Roman" w:cs="Times New Roman"/>
          <w:b/>
          <w:bCs/>
          <w:spacing w:val="1"/>
        </w:rPr>
      </w:pPr>
    </w:p>
    <w:p w14:paraId="71B0C702">
      <w:pPr>
        <w:bidi w:val="0"/>
        <w:outlineLvl w:val="9"/>
        <w:rPr>
          <w:rFonts w:hint="default" w:ascii="Times New Roman" w:hAnsi="Times New Roman" w:cs="Times New Roman"/>
          <w:b/>
          <w:bCs/>
          <w:spacing w:val="1"/>
        </w:rPr>
      </w:pPr>
    </w:p>
    <w:p w14:paraId="06B35042">
      <w:pPr>
        <w:bidi w:val="0"/>
        <w:outlineLvl w:val="9"/>
        <w:rPr>
          <w:rFonts w:hint="default" w:ascii="Times New Roman" w:hAnsi="Times New Roman" w:cs="Times New Roman"/>
          <w:b/>
          <w:bCs/>
          <w:spacing w:val="1"/>
        </w:rPr>
      </w:pPr>
    </w:p>
    <w:p w14:paraId="4C14D718">
      <w:pPr>
        <w:bidi w:val="0"/>
        <w:outlineLvl w:val="9"/>
        <w:rPr>
          <w:rFonts w:hint="default" w:ascii="Times New Roman" w:hAnsi="Times New Roman" w:cs="Times New Roman"/>
          <w:b/>
          <w:bCs/>
          <w:spacing w:val="1"/>
        </w:rPr>
      </w:pPr>
    </w:p>
    <w:p w14:paraId="08D3B133">
      <w:pPr>
        <w:bidi w:val="0"/>
        <w:outlineLvl w:val="9"/>
        <w:rPr>
          <w:rFonts w:hint="default" w:ascii="Times New Roman" w:hAnsi="Times New Roman" w:cs="Times New Roman"/>
          <w:b/>
          <w:bCs/>
          <w:spacing w:val="1"/>
        </w:rPr>
      </w:pPr>
    </w:p>
    <w:p w14:paraId="5041801F">
      <w:pPr>
        <w:bidi w:val="0"/>
        <w:outlineLvl w:val="9"/>
        <w:rPr>
          <w:rFonts w:hint="default" w:ascii="Times New Roman" w:hAnsi="Times New Roman" w:cs="Times New Roman"/>
          <w:b/>
          <w:bCs/>
          <w:spacing w:val="1"/>
        </w:rPr>
      </w:pPr>
    </w:p>
    <w:p w14:paraId="3C5A50F1">
      <w:pPr>
        <w:bidi w:val="0"/>
        <w:outlineLvl w:val="9"/>
        <w:rPr>
          <w:rFonts w:hint="default" w:ascii="Times New Roman" w:hAnsi="Times New Roman" w:cs="Times New Roman"/>
          <w:b/>
          <w:bCs/>
          <w:spacing w:val="1"/>
        </w:rPr>
      </w:pPr>
    </w:p>
    <w:p w14:paraId="4E3A4820">
      <w:pPr>
        <w:bidi w:val="0"/>
        <w:outlineLvl w:val="9"/>
        <w:rPr>
          <w:rFonts w:hint="default" w:ascii="Times New Roman" w:hAnsi="Times New Roman" w:cs="Times New Roman"/>
          <w:b/>
          <w:bCs/>
          <w:spacing w:val="1"/>
        </w:rPr>
      </w:pPr>
    </w:p>
    <w:p w14:paraId="6B8107B0">
      <w:pPr>
        <w:bidi w:val="0"/>
        <w:outlineLvl w:val="9"/>
        <w:rPr>
          <w:rFonts w:hint="default" w:ascii="Times New Roman" w:hAnsi="Times New Roman" w:cs="Times New Roman"/>
          <w:b/>
          <w:bCs/>
          <w:spacing w:val="1"/>
        </w:rPr>
      </w:pPr>
    </w:p>
    <w:p w14:paraId="4E3957BD">
      <w:pPr>
        <w:bidi w:val="0"/>
        <w:outlineLvl w:val="9"/>
        <w:rPr>
          <w:rFonts w:hint="default" w:ascii="Times New Roman" w:hAnsi="Times New Roman" w:cs="Times New Roman"/>
          <w:b/>
          <w:bCs/>
          <w:spacing w:val="1"/>
        </w:rPr>
      </w:pPr>
    </w:p>
    <w:p w14:paraId="5BC2838B">
      <w:pPr>
        <w:bidi w:val="0"/>
        <w:outlineLvl w:val="9"/>
        <w:rPr>
          <w:rFonts w:hint="default" w:ascii="Times New Roman" w:hAnsi="Times New Roman" w:cs="Times New Roman"/>
          <w:b/>
          <w:bCs/>
          <w:spacing w:val="1"/>
        </w:rPr>
      </w:pPr>
    </w:p>
    <w:p w14:paraId="49B97555">
      <w:pPr>
        <w:bidi w:val="0"/>
        <w:outlineLvl w:val="9"/>
        <w:rPr>
          <w:rFonts w:hint="default" w:ascii="Times New Roman" w:hAnsi="Times New Roman" w:cs="Times New Roman"/>
          <w:b/>
          <w:bCs/>
          <w:spacing w:val="1"/>
        </w:rPr>
      </w:pPr>
    </w:p>
    <w:p w14:paraId="32784BC9">
      <w:pPr>
        <w:bidi w:val="0"/>
        <w:outlineLvl w:val="9"/>
        <w:rPr>
          <w:rFonts w:hint="default" w:ascii="Times New Roman" w:hAnsi="Times New Roman" w:cs="Times New Roman"/>
          <w:b/>
          <w:bCs/>
          <w:spacing w:val="1"/>
        </w:rPr>
      </w:pPr>
    </w:p>
    <w:p w14:paraId="2ACE8388">
      <w:pPr>
        <w:bidi w:val="0"/>
        <w:outlineLvl w:val="9"/>
        <w:rPr>
          <w:rFonts w:hint="default" w:ascii="Times New Roman" w:hAnsi="Times New Roman" w:cs="Times New Roman"/>
          <w:b/>
          <w:bCs/>
          <w:spacing w:val="1"/>
        </w:rPr>
      </w:pPr>
    </w:p>
    <w:p w14:paraId="1F6B5D7B">
      <w:pPr>
        <w:bidi w:val="0"/>
        <w:outlineLvl w:val="9"/>
        <w:rPr>
          <w:rFonts w:hint="default" w:ascii="Times New Roman" w:hAnsi="Times New Roman" w:cs="Times New Roman"/>
          <w:b/>
          <w:bCs/>
          <w:spacing w:val="1"/>
        </w:rPr>
      </w:pPr>
    </w:p>
    <w:p w14:paraId="74911DA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9"/>
        <w:rPr>
          <w:rFonts w:hint="default" w:ascii="Times New Roman" w:hAnsi="Times New Roman" w:eastAsia="宋体" w:cs="Times New Roman"/>
          <w:b/>
          <w:bCs/>
          <w:spacing w:val="1"/>
          <w:sz w:val="32"/>
          <w:szCs w:val="32"/>
          <w:lang w:eastAsia="zh-CN"/>
        </w:rPr>
      </w:pPr>
    </w:p>
    <w:p w14:paraId="1FF2802B">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9"/>
        <w:rPr>
          <w:rFonts w:hint="default" w:ascii="Times New Roman" w:hAnsi="Times New Roman" w:eastAsia="宋体" w:cs="Times New Roman"/>
          <w:b/>
          <w:bCs/>
          <w:spacing w:val="1"/>
          <w:sz w:val="32"/>
          <w:szCs w:val="32"/>
          <w:lang w:eastAsia="zh-CN"/>
        </w:rPr>
      </w:pPr>
      <w:r>
        <w:rPr>
          <w:rFonts w:hint="default" w:ascii="Times New Roman" w:hAnsi="Times New Roman" w:eastAsia="宋体" w:cs="Times New Roman"/>
          <w:b/>
          <w:bCs/>
          <w:spacing w:val="1"/>
          <w:sz w:val="32"/>
          <w:szCs w:val="32"/>
          <w:lang w:eastAsia="zh-CN"/>
        </w:rPr>
        <w:t>编制组</w:t>
      </w:r>
    </w:p>
    <w:p w14:paraId="352A6A0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9"/>
        <w:rPr>
          <w:rFonts w:hint="default" w:ascii="Times New Roman" w:hAnsi="Times New Roman" w:eastAsia="宋体" w:cs="Times New Roman"/>
          <w:b/>
          <w:bCs/>
          <w:spacing w:val="1"/>
          <w:sz w:val="32"/>
          <w:szCs w:val="32"/>
          <w:lang w:val="en-US" w:eastAsia="zh-CN"/>
        </w:rPr>
      </w:pPr>
      <w:r>
        <w:rPr>
          <w:rFonts w:hint="default" w:ascii="Times New Roman" w:hAnsi="Times New Roman" w:eastAsia="宋体" w:cs="Times New Roman"/>
          <w:b/>
          <w:bCs/>
          <w:spacing w:val="1"/>
          <w:sz w:val="32"/>
          <w:szCs w:val="32"/>
          <w:lang w:val="en-US" w:eastAsia="zh-CN"/>
        </w:rPr>
        <w:t>2026年</w:t>
      </w:r>
      <w:r>
        <w:rPr>
          <w:rFonts w:hint="eastAsia" w:ascii="Times New Roman" w:hAnsi="Times New Roman" w:eastAsia="宋体" w:cs="Times New Roman"/>
          <w:b/>
          <w:bCs/>
          <w:spacing w:val="1"/>
          <w:sz w:val="32"/>
          <w:szCs w:val="32"/>
          <w:lang w:val="en-US" w:eastAsia="zh-CN"/>
        </w:rPr>
        <w:t>4</w:t>
      </w:r>
      <w:r>
        <w:rPr>
          <w:rFonts w:hint="default" w:ascii="Times New Roman" w:hAnsi="Times New Roman" w:eastAsia="宋体" w:cs="Times New Roman"/>
          <w:b/>
          <w:bCs/>
          <w:spacing w:val="1"/>
          <w:sz w:val="32"/>
          <w:szCs w:val="32"/>
          <w:lang w:val="en-US" w:eastAsia="zh-CN"/>
        </w:rPr>
        <w:t>月</w:t>
      </w:r>
    </w:p>
    <w:p w14:paraId="1BD23B1D">
      <w:pPr>
        <w:bidi w:val="0"/>
        <w:outlineLvl w:val="9"/>
        <w:rPr>
          <w:rFonts w:hint="default" w:ascii="Times New Roman" w:hAnsi="Times New Roman" w:cs="Times New Roman"/>
          <w:b/>
          <w:bCs/>
          <w:spacing w:val="1"/>
        </w:rPr>
      </w:pPr>
    </w:p>
    <w:p w14:paraId="7F3A95BE">
      <w:pPr>
        <w:bidi w:val="0"/>
        <w:outlineLvl w:val="9"/>
        <w:rPr>
          <w:rFonts w:hint="default" w:ascii="Times New Roman" w:hAnsi="Times New Roman" w:cs="Times New Roman"/>
          <w:b/>
          <w:bCs/>
          <w:spacing w:val="1"/>
        </w:rPr>
      </w:pPr>
    </w:p>
    <w:sdt>
      <w:sdtPr>
        <w:rPr>
          <w:rFonts w:hint="eastAsia" w:ascii="黑体" w:hAnsi="黑体" w:eastAsia="黑体" w:cs="黑体"/>
          <w:b w:val="0"/>
          <w:bCs w:val="0"/>
          <w:snapToGrid w:val="0"/>
          <w:color w:val="000000"/>
          <w:kern w:val="0"/>
          <w:sz w:val="36"/>
          <w:szCs w:val="36"/>
          <w:lang w:val="en-US" w:eastAsia="en-US" w:bidi="ar-SA"/>
        </w:rPr>
        <w:id w:val="147469591"/>
        <w15:color w:val="DBDBDB"/>
        <w:docPartObj>
          <w:docPartGallery w:val="Table of Contents"/>
          <w:docPartUnique/>
        </w:docPartObj>
      </w:sdtPr>
      <w:sdtEndPr>
        <w:rPr>
          <w:rFonts w:hint="default" w:ascii="Times New Roman" w:hAnsi="Times New Roman" w:eastAsia="Arial" w:cs="Times New Roman"/>
          <w:b w:val="0"/>
          <w:bCs/>
          <w:snapToGrid w:val="0"/>
          <w:color w:val="000000"/>
          <w:spacing w:val="1"/>
          <w:kern w:val="0"/>
          <w:sz w:val="21"/>
          <w:szCs w:val="21"/>
          <w:lang w:val="en-US" w:eastAsia="en-US" w:bidi="ar-SA"/>
        </w:rPr>
      </w:sdtEndPr>
      <w:sdtContent>
        <w:p w14:paraId="15150992">
          <w:pPr>
            <w:keepNext w:val="0"/>
            <w:keepLines w:val="0"/>
            <w:pageBreakBefore w:val="0"/>
            <w:widowControl/>
            <w:kinsoku w:val="0"/>
            <w:wordWrap/>
            <w:overflowPunct/>
            <w:topLinePunct w:val="0"/>
            <w:autoSpaceDE w:val="0"/>
            <w:autoSpaceDN w:val="0"/>
            <w:bidi w:val="0"/>
            <w:adjustRightInd w:val="0"/>
            <w:snapToGrid w:val="0"/>
            <w:spacing w:before="0" w:beforeLines="0" w:after="0" w:afterLines="0" w:line="360" w:lineRule="auto"/>
            <w:ind w:left="0" w:leftChars="0" w:right="0" w:rightChars="0" w:firstLine="0" w:firstLineChars="0"/>
            <w:jc w:val="center"/>
            <w:textAlignment w:val="baseline"/>
            <w:rPr>
              <w:rFonts w:hint="eastAsia" w:ascii="黑体" w:hAnsi="黑体" w:eastAsia="黑体" w:cs="黑体"/>
              <w:b w:val="0"/>
              <w:bCs w:val="0"/>
              <w:sz w:val="36"/>
              <w:szCs w:val="36"/>
            </w:rPr>
          </w:pPr>
          <w:r>
            <w:rPr>
              <w:rFonts w:hint="eastAsia" w:ascii="黑体" w:hAnsi="黑体" w:eastAsia="黑体" w:cs="黑体"/>
              <w:b w:val="0"/>
              <w:bCs w:val="0"/>
              <w:sz w:val="36"/>
              <w:szCs w:val="36"/>
            </w:rPr>
            <w:t>目</w:t>
          </w:r>
          <w:r>
            <w:rPr>
              <w:rFonts w:hint="eastAsia" w:ascii="黑体" w:hAnsi="黑体" w:eastAsia="黑体" w:cs="黑体"/>
              <w:b w:val="0"/>
              <w:bCs w:val="0"/>
              <w:sz w:val="36"/>
              <w:szCs w:val="36"/>
              <w:lang w:val="en-US" w:eastAsia="zh-CN"/>
            </w:rPr>
            <w:t xml:space="preserve"> </w:t>
          </w:r>
          <w:r>
            <w:rPr>
              <w:rFonts w:hint="eastAsia" w:ascii="黑体" w:hAnsi="黑体" w:eastAsia="黑体" w:cs="黑体"/>
              <w:b w:val="0"/>
              <w:bCs w:val="0"/>
              <w:sz w:val="36"/>
              <w:szCs w:val="36"/>
            </w:rPr>
            <w:t>录</w:t>
          </w:r>
        </w:p>
        <w:p w14:paraId="414D6319">
          <w:pPr>
            <w:keepNext w:val="0"/>
            <w:keepLines w:val="0"/>
            <w:pageBreakBefore w:val="0"/>
            <w:widowControl/>
            <w:kinsoku w:val="0"/>
            <w:wordWrap/>
            <w:overflowPunct/>
            <w:topLinePunct w:val="0"/>
            <w:autoSpaceDE w:val="0"/>
            <w:autoSpaceDN w:val="0"/>
            <w:bidi w:val="0"/>
            <w:adjustRightInd w:val="0"/>
            <w:snapToGrid w:val="0"/>
            <w:spacing w:before="0" w:beforeLines="0" w:after="0" w:afterLines="0" w:line="360" w:lineRule="auto"/>
            <w:ind w:left="0" w:leftChars="0" w:right="0" w:rightChars="0" w:firstLine="0" w:firstLineChars="0"/>
            <w:jc w:val="center"/>
            <w:textAlignment w:val="baseline"/>
            <w:rPr>
              <w:rFonts w:hint="eastAsia" w:ascii="黑体" w:hAnsi="黑体" w:eastAsia="黑体" w:cs="黑体"/>
              <w:b w:val="0"/>
              <w:bCs w:val="0"/>
              <w:sz w:val="30"/>
              <w:szCs w:val="30"/>
            </w:rPr>
          </w:pPr>
        </w:p>
        <w:p w14:paraId="04609BCF">
          <w:pPr>
            <w:pStyle w:val="10"/>
            <w:keepNext w:val="0"/>
            <w:keepLines w:val="0"/>
            <w:pageBreakBefore w:val="0"/>
            <w:widowControl/>
            <w:tabs>
              <w:tab w:val="right" w:leader="dot" w:pos="862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30"/>
              <w:szCs w:val="30"/>
            </w:rPr>
          </w:pPr>
          <w:r>
            <w:rPr>
              <w:rFonts w:hint="default" w:ascii="Times New Roman" w:hAnsi="Times New Roman" w:eastAsia="仿宋" w:cs="Times New Roman"/>
              <w:b/>
              <w:bCs/>
              <w:snapToGrid w:val="0"/>
              <w:color w:val="000000"/>
              <w:spacing w:val="1"/>
              <w:kern w:val="0"/>
              <w:sz w:val="30"/>
              <w:szCs w:val="30"/>
              <w:lang w:val="en-US" w:eastAsia="en-US" w:bidi="ar-SA"/>
            </w:rPr>
            <w:fldChar w:fldCharType="begin"/>
          </w:r>
          <w:r>
            <w:rPr>
              <w:rFonts w:hint="default" w:ascii="Times New Roman" w:hAnsi="Times New Roman" w:eastAsia="仿宋" w:cs="Times New Roman"/>
              <w:b/>
              <w:bCs/>
              <w:snapToGrid w:val="0"/>
              <w:color w:val="000000"/>
              <w:spacing w:val="1"/>
              <w:kern w:val="0"/>
              <w:sz w:val="30"/>
              <w:szCs w:val="30"/>
              <w:lang w:val="en-US" w:eastAsia="en-US" w:bidi="ar-SA"/>
            </w:rPr>
            <w:instrText xml:space="preserve">TOC \o "1-2" \h \u </w:instrText>
          </w:r>
          <w:r>
            <w:rPr>
              <w:rFonts w:hint="default" w:ascii="Times New Roman" w:hAnsi="Times New Roman" w:eastAsia="仿宋" w:cs="Times New Roman"/>
              <w:b/>
              <w:bCs/>
              <w:snapToGrid w:val="0"/>
              <w:color w:val="000000"/>
              <w:spacing w:val="1"/>
              <w:kern w:val="0"/>
              <w:sz w:val="30"/>
              <w:szCs w:val="30"/>
              <w:lang w:val="en-US" w:eastAsia="en-US" w:bidi="ar-SA"/>
            </w:rPr>
            <w:fldChar w:fldCharType="separate"/>
          </w:r>
          <w:r>
            <w:rPr>
              <w:rFonts w:hint="default" w:ascii="Times New Roman" w:hAnsi="Times New Roman" w:eastAsia="仿宋" w:cs="Times New Roman"/>
              <w:bCs/>
              <w:snapToGrid w:val="0"/>
              <w:color w:val="000000"/>
              <w:spacing w:val="1"/>
              <w:kern w:val="0"/>
              <w:sz w:val="30"/>
              <w:szCs w:val="30"/>
              <w:lang w:val="en-US" w:eastAsia="en-US" w:bidi="ar-SA"/>
            </w:rPr>
            <w:fldChar w:fldCharType="begin"/>
          </w:r>
          <w:r>
            <w:rPr>
              <w:rFonts w:hint="default" w:ascii="Times New Roman" w:hAnsi="Times New Roman" w:eastAsia="仿宋" w:cs="Times New Roman"/>
              <w:bCs/>
              <w:snapToGrid w:val="0"/>
              <w:spacing w:val="1"/>
              <w:kern w:val="0"/>
              <w:sz w:val="30"/>
              <w:szCs w:val="30"/>
              <w:lang w:val="en-US" w:eastAsia="en-US" w:bidi="ar-SA"/>
            </w:rPr>
            <w:instrText xml:space="preserve"> HYPERLINK \l _Toc27234 </w:instrText>
          </w:r>
          <w:r>
            <w:rPr>
              <w:rFonts w:hint="default" w:ascii="Times New Roman" w:hAnsi="Times New Roman" w:eastAsia="仿宋" w:cs="Times New Roman"/>
              <w:bCs/>
              <w:snapToGrid w:val="0"/>
              <w:spacing w:val="1"/>
              <w:kern w:val="0"/>
              <w:sz w:val="30"/>
              <w:szCs w:val="30"/>
              <w:lang w:val="en-US" w:eastAsia="en-US" w:bidi="ar-SA"/>
            </w:rPr>
            <w:fldChar w:fldCharType="separate"/>
          </w:r>
          <w:r>
            <w:rPr>
              <w:rFonts w:hint="default" w:ascii="Times New Roman" w:hAnsi="Times New Roman" w:eastAsia="仿宋" w:cs="Times New Roman"/>
              <w:bCs/>
              <w:spacing w:val="1"/>
              <w:sz w:val="30"/>
              <w:szCs w:val="30"/>
            </w:rPr>
            <w:t>一</w:t>
          </w:r>
          <w:r>
            <w:rPr>
              <w:rFonts w:hint="default" w:ascii="Times New Roman" w:hAnsi="Times New Roman" w:eastAsia="仿宋" w:cs="Times New Roman"/>
              <w:spacing w:val="-48"/>
              <w:sz w:val="30"/>
              <w:szCs w:val="30"/>
            </w:rPr>
            <w:t xml:space="preserve"> </w:t>
          </w:r>
          <w:r>
            <w:rPr>
              <w:rFonts w:hint="default" w:ascii="Times New Roman" w:hAnsi="Times New Roman" w:eastAsia="仿宋" w:cs="Times New Roman"/>
              <w:bCs/>
              <w:spacing w:val="1"/>
              <w:sz w:val="30"/>
              <w:szCs w:val="30"/>
            </w:rPr>
            <w:t>、</w:t>
          </w:r>
          <w:r>
            <w:rPr>
              <w:rFonts w:hint="default" w:ascii="Times New Roman" w:hAnsi="Times New Roman" w:eastAsia="仿宋" w:cs="Times New Roman"/>
              <w:bCs/>
              <w:spacing w:val="1"/>
              <w:sz w:val="30"/>
              <w:szCs w:val="30"/>
              <w:lang w:eastAsia="zh-CN"/>
            </w:rPr>
            <w:t>工作简况</w:t>
          </w:r>
          <w:r>
            <w:rPr>
              <w:rFonts w:hint="default" w:ascii="Times New Roman" w:hAnsi="Times New Roman" w:eastAsia="仿宋" w:cs="Times New Roman"/>
              <w:sz w:val="30"/>
              <w:szCs w:val="30"/>
            </w:rPr>
            <w:tab/>
          </w:r>
          <w:r>
            <w:rPr>
              <w:rFonts w:hint="default" w:ascii="Times New Roman" w:hAnsi="Times New Roman" w:eastAsia="仿宋" w:cs="Times New Roman"/>
              <w:sz w:val="30"/>
              <w:szCs w:val="30"/>
            </w:rPr>
            <w:fldChar w:fldCharType="begin"/>
          </w:r>
          <w:r>
            <w:rPr>
              <w:rFonts w:hint="default" w:ascii="Times New Roman" w:hAnsi="Times New Roman" w:eastAsia="仿宋" w:cs="Times New Roman"/>
              <w:sz w:val="30"/>
              <w:szCs w:val="30"/>
            </w:rPr>
            <w:instrText xml:space="preserve"> PAGEREF _Toc27234 \h </w:instrText>
          </w:r>
          <w:r>
            <w:rPr>
              <w:rFonts w:hint="default" w:ascii="Times New Roman" w:hAnsi="Times New Roman" w:eastAsia="仿宋" w:cs="Times New Roman"/>
              <w:sz w:val="30"/>
              <w:szCs w:val="30"/>
            </w:rPr>
            <w:fldChar w:fldCharType="separate"/>
          </w:r>
          <w:r>
            <w:rPr>
              <w:rFonts w:hint="default" w:ascii="Times New Roman" w:hAnsi="Times New Roman" w:eastAsia="仿宋" w:cs="Times New Roman"/>
              <w:sz w:val="30"/>
              <w:szCs w:val="30"/>
            </w:rPr>
            <w:t>3</w:t>
          </w:r>
          <w:r>
            <w:rPr>
              <w:rFonts w:hint="default" w:ascii="Times New Roman" w:hAnsi="Times New Roman" w:eastAsia="仿宋" w:cs="Times New Roman"/>
              <w:sz w:val="30"/>
              <w:szCs w:val="30"/>
            </w:rPr>
            <w:fldChar w:fldCharType="end"/>
          </w:r>
          <w:r>
            <w:rPr>
              <w:rFonts w:hint="default" w:ascii="Times New Roman" w:hAnsi="Times New Roman" w:eastAsia="仿宋" w:cs="Times New Roman"/>
              <w:bCs/>
              <w:snapToGrid w:val="0"/>
              <w:color w:val="000000"/>
              <w:spacing w:val="1"/>
              <w:kern w:val="0"/>
              <w:sz w:val="30"/>
              <w:szCs w:val="30"/>
              <w:lang w:val="en-US" w:eastAsia="en-US" w:bidi="ar-SA"/>
            </w:rPr>
            <w:fldChar w:fldCharType="end"/>
          </w:r>
        </w:p>
        <w:p w14:paraId="1364F001">
          <w:pPr>
            <w:pStyle w:val="10"/>
            <w:keepNext w:val="0"/>
            <w:keepLines w:val="0"/>
            <w:pageBreakBefore w:val="0"/>
            <w:widowControl/>
            <w:tabs>
              <w:tab w:val="right" w:leader="dot" w:pos="862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30"/>
              <w:szCs w:val="30"/>
            </w:rPr>
          </w:pPr>
          <w:r>
            <w:rPr>
              <w:rFonts w:hint="default" w:ascii="Times New Roman" w:hAnsi="Times New Roman" w:eastAsia="仿宋" w:cs="Times New Roman"/>
              <w:bCs/>
              <w:snapToGrid w:val="0"/>
              <w:color w:val="000000"/>
              <w:spacing w:val="1"/>
              <w:kern w:val="0"/>
              <w:sz w:val="30"/>
              <w:szCs w:val="30"/>
              <w:lang w:val="en-US" w:eastAsia="en-US" w:bidi="ar-SA"/>
            </w:rPr>
            <w:fldChar w:fldCharType="begin"/>
          </w:r>
          <w:r>
            <w:rPr>
              <w:rFonts w:hint="default" w:ascii="Times New Roman" w:hAnsi="Times New Roman" w:eastAsia="仿宋" w:cs="Times New Roman"/>
              <w:bCs/>
              <w:snapToGrid w:val="0"/>
              <w:spacing w:val="1"/>
              <w:kern w:val="0"/>
              <w:sz w:val="30"/>
              <w:szCs w:val="30"/>
              <w:lang w:val="en-US" w:eastAsia="en-US" w:bidi="ar-SA"/>
            </w:rPr>
            <w:instrText xml:space="preserve"> HYPERLINK \l _Toc29592 </w:instrText>
          </w:r>
          <w:r>
            <w:rPr>
              <w:rFonts w:hint="default" w:ascii="Times New Roman" w:hAnsi="Times New Roman" w:eastAsia="仿宋" w:cs="Times New Roman"/>
              <w:bCs/>
              <w:snapToGrid w:val="0"/>
              <w:spacing w:val="1"/>
              <w:kern w:val="0"/>
              <w:sz w:val="30"/>
              <w:szCs w:val="30"/>
              <w:lang w:val="en-US" w:eastAsia="en-US" w:bidi="ar-SA"/>
            </w:rPr>
            <w:fldChar w:fldCharType="separate"/>
          </w:r>
          <w:r>
            <w:rPr>
              <w:rFonts w:hint="default" w:ascii="Times New Roman" w:hAnsi="Times New Roman" w:eastAsia="仿宋" w:cs="Times New Roman"/>
              <w:bCs/>
              <w:spacing w:val="1"/>
              <w:sz w:val="30"/>
              <w:szCs w:val="30"/>
            </w:rPr>
            <w:t>二 、</w:t>
          </w:r>
          <w:r>
            <w:rPr>
              <w:rFonts w:hint="default" w:ascii="Times New Roman" w:hAnsi="Times New Roman" w:eastAsia="仿宋" w:cs="Times New Roman"/>
              <w:bCs/>
              <w:spacing w:val="1"/>
              <w:sz w:val="30"/>
              <w:szCs w:val="30"/>
              <w:lang w:eastAsia="zh-CN"/>
            </w:rPr>
            <w:t>编制</w:t>
          </w:r>
          <w:r>
            <w:rPr>
              <w:rFonts w:hint="default" w:ascii="Times New Roman" w:hAnsi="Times New Roman" w:eastAsia="仿宋" w:cs="Times New Roman"/>
              <w:bCs/>
              <w:spacing w:val="1"/>
              <w:sz w:val="30"/>
              <w:szCs w:val="30"/>
            </w:rPr>
            <w:t>目的与意义</w:t>
          </w:r>
          <w:r>
            <w:rPr>
              <w:rFonts w:hint="default" w:ascii="Times New Roman" w:hAnsi="Times New Roman" w:eastAsia="仿宋" w:cs="Times New Roman"/>
              <w:sz w:val="30"/>
              <w:szCs w:val="30"/>
            </w:rPr>
            <w:tab/>
          </w:r>
          <w:r>
            <w:rPr>
              <w:rFonts w:hint="default" w:ascii="Times New Roman" w:hAnsi="Times New Roman" w:eastAsia="仿宋" w:cs="Times New Roman"/>
              <w:sz w:val="30"/>
              <w:szCs w:val="30"/>
            </w:rPr>
            <w:fldChar w:fldCharType="begin"/>
          </w:r>
          <w:r>
            <w:rPr>
              <w:rFonts w:hint="default" w:ascii="Times New Roman" w:hAnsi="Times New Roman" w:eastAsia="仿宋" w:cs="Times New Roman"/>
              <w:sz w:val="30"/>
              <w:szCs w:val="30"/>
            </w:rPr>
            <w:instrText xml:space="preserve"> PAGEREF _Toc29592 \h </w:instrText>
          </w:r>
          <w:r>
            <w:rPr>
              <w:rFonts w:hint="default" w:ascii="Times New Roman" w:hAnsi="Times New Roman" w:eastAsia="仿宋" w:cs="Times New Roman"/>
              <w:sz w:val="30"/>
              <w:szCs w:val="30"/>
            </w:rPr>
            <w:fldChar w:fldCharType="separate"/>
          </w:r>
          <w:r>
            <w:rPr>
              <w:rFonts w:hint="default" w:ascii="Times New Roman" w:hAnsi="Times New Roman" w:eastAsia="仿宋" w:cs="Times New Roman"/>
              <w:sz w:val="30"/>
              <w:szCs w:val="30"/>
            </w:rPr>
            <w:t>3</w:t>
          </w:r>
          <w:r>
            <w:rPr>
              <w:rFonts w:hint="default" w:ascii="Times New Roman" w:hAnsi="Times New Roman" w:eastAsia="仿宋" w:cs="Times New Roman"/>
              <w:sz w:val="30"/>
              <w:szCs w:val="30"/>
            </w:rPr>
            <w:fldChar w:fldCharType="end"/>
          </w:r>
          <w:r>
            <w:rPr>
              <w:rFonts w:hint="default" w:ascii="Times New Roman" w:hAnsi="Times New Roman" w:eastAsia="仿宋" w:cs="Times New Roman"/>
              <w:bCs/>
              <w:snapToGrid w:val="0"/>
              <w:color w:val="000000"/>
              <w:spacing w:val="1"/>
              <w:kern w:val="0"/>
              <w:sz w:val="30"/>
              <w:szCs w:val="30"/>
              <w:lang w:val="en-US" w:eastAsia="en-US" w:bidi="ar-SA"/>
            </w:rPr>
            <w:fldChar w:fldCharType="end"/>
          </w:r>
        </w:p>
        <w:p w14:paraId="64B9695E">
          <w:pPr>
            <w:pStyle w:val="10"/>
            <w:keepNext w:val="0"/>
            <w:keepLines w:val="0"/>
            <w:pageBreakBefore w:val="0"/>
            <w:widowControl/>
            <w:tabs>
              <w:tab w:val="right" w:leader="dot" w:pos="862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30"/>
              <w:szCs w:val="30"/>
            </w:rPr>
          </w:pPr>
          <w:r>
            <w:rPr>
              <w:rFonts w:hint="default" w:ascii="Times New Roman" w:hAnsi="Times New Roman" w:eastAsia="仿宋" w:cs="Times New Roman"/>
              <w:bCs/>
              <w:snapToGrid w:val="0"/>
              <w:color w:val="000000"/>
              <w:spacing w:val="1"/>
              <w:kern w:val="0"/>
              <w:sz w:val="30"/>
              <w:szCs w:val="30"/>
              <w:lang w:val="en-US" w:eastAsia="en-US" w:bidi="ar-SA"/>
            </w:rPr>
            <w:fldChar w:fldCharType="begin"/>
          </w:r>
          <w:r>
            <w:rPr>
              <w:rFonts w:hint="default" w:ascii="Times New Roman" w:hAnsi="Times New Roman" w:eastAsia="仿宋" w:cs="Times New Roman"/>
              <w:bCs/>
              <w:snapToGrid w:val="0"/>
              <w:spacing w:val="1"/>
              <w:kern w:val="0"/>
              <w:sz w:val="30"/>
              <w:szCs w:val="30"/>
              <w:lang w:val="en-US" w:eastAsia="en-US" w:bidi="ar-SA"/>
            </w:rPr>
            <w:instrText xml:space="preserve"> HYPERLINK \l _Toc19130 </w:instrText>
          </w:r>
          <w:r>
            <w:rPr>
              <w:rFonts w:hint="default" w:ascii="Times New Roman" w:hAnsi="Times New Roman" w:eastAsia="仿宋" w:cs="Times New Roman"/>
              <w:bCs/>
              <w:snapToGrid w:val="0"/>
              <w:spacing w:val="1"/>
              <w:kern w:val="0"/>
              <w:sz w:val="30"/>
              <w:szCs w:val="30"/>
              <w:lang w:val="en-US" w:eastAsia="en-US" w:bidi="ar-SA"/>
            </w:rPr>
            <w:fldChar w:fldCharType="separate"/>
          </w:r>
          <w:r>
            <w:rPr>
              <w:rFonts w:hint="default" w:ascii="Times New Roman" w:hAnsi="Times New Roman" w:eastAsia="仿宋" w:cs="Times New Roman"/>
              <w:bCs/>
              <w:spacing w:val="1"/>
              <w:sz w:val="30"/>
              <w:szCs w:val="30"/>
            </w:rPr>
            <w:t>三、编制原则</w:t>
          </w:r>
          <w:r>
            <w:rPr>
              <w:rFonts w:hint="default" w:ascii="Times New Roman" w:hAnsi="Times New Roman" w:eastAsia="仿宋" w:cs="Times New Roman"/>
              <w:sz w:val="30"/>
              <w:szCs w:val="30"/>
            </w:rPr>
            <w:tab/>
          </w:r>
          <w:r>
            <w:rPr>
              <w:rFonts w:hint="default" w:ascii="Times New Roman" w:hAnsi="Times New Roman" w:eastAsia="仿宋" w:cs="Times New Roman"/>
              <w:sz w:val="30"/>
              <w:szCs w:val="30"/>
            </w:rPr>
            <w:fldChar w:fldCharType="begin"/>
          </w:r>
          <w:r>
            <w:rPr>
              <w:rFonts w:hint="default" w:ascii="Times New Roman" w:hAnsi="Times New Roman" w:eastAsia="仿宋" w:cs="Times New Roman"/>
              <w:sz w:val="30"/>
              <w:szCs w:val="30"/>
            </w:rPr>
            <w:instrText xml:space="preserve"> PAGEREF _Toc19130 \h </w:instrText>
          </w:r>
          <w:r>
            <w:rPr>
              <w:rFonts w:hint="default" w:ascii="Times New Roman" w:hAnsi="Times New Roman" w:eastAsia="仿宋" w:cs="Times New Roman"/>
              <w:sz w:val="30"/>
              <w:szCs w:val="30"/>
            </w:rPr>
            <w:fldChar w:fldCharType="separate"/>
          </w:r>
          <w:r>
            <w:rPr>
              <w:rFonts w:hint="default" w:ascii="Times New Roman" w:hAnsi="Times New Roman" w:eastAsia="仿宋" w:cs="Times New Roman"/>
              <w:sz w:val="30"/>
              <w:szCs w:val="30"/>
            </w:rPr>
            <w:t>4</w:t>
          </w:r>
          <w:r>
            <w:rPr>
              <w:rFonts w:hint="default" w:ascii="Times New Roman" w:hAnsi="Times New Roman" w:eastAsia="仿宋" w:cs="Times New Roman"/>
              <w:sz w:val="30"/>
              <w:szCs w:val="30"/>
            </w:rPr>
            <w:fldChar w:fldCharType="end"/>
          </w:r>
          <w:r>
            <w:rPr>
              <w:rFonts w:hint="default" w:ascii="Times New Roman" w:hAnsi="Times New Roman" w:eastAsia="仿宋" w:cs="Times New Roman"/>
              <w:bCs/>
              <w:snapToGrid w:val="0"/>
              <w:color w:val="000000"/>
              <w:spacing w:val="1"/>
              <w:kern w:val="0"/>
              <w:sz w:val="30"/>
              <w:szCs w:val="30"/>
              <w:lang w:val="en-US" w:eastAsia="en-US" w:bidi="ar-SA"/>
            </w:rPr>
            <w:fldChar w:fldCharType="end"/>
          </w:r>
        </w:p>
        <w:p w14:paraId="57B70BEB">
          <w:pPr>
            <w:pStyle w:val="10"/>
            <w:keepNext w:val="0"/>
            <w:keepLines w:val="0"/>
            <w:pageBreakBefore w:val="0"/>
            <w:widowControl/>
            <w:tabs>
              <w:tab w:val="right" w:leader="dot" w:pos="862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30"/>
              <w:szCs w:val="30"/>
            </w:rPr>
          </w:pPr>
          <w:r>
            <w:rPr>
              <w:rFonts w:hint="default" w:ascii="Times New Roman" w:hAnsi="Times New Roman" w:eastAsia="仿宋" w:cs="Times New Roman"/>
              <w:bCs/>
              <w:snapToGrid w:val="0"/>
              <w:color w:val="000000"/>
              <w:spacing w:val="1"/>
              <w:kern w:val="0"/>
              <w:sz w:val="30"/>
              <w:szCs w:val="30"/>
              <w:lang w:val="en-US" w:eastAsia="en-US" w:bidi="ar-SA"/>
            </w:rPr>
            <w:fldChar w:fldCharType="begin"/>
          </w:r>
          <w:r>
            <w:rPr>
              <w:rFonts w:hint="default" w:ascii="Times New Roman" w:hAnsi="Times New Roman" w:eastAsia="仿宋" w:cs="Times New Roman"/>
              <w:bCs/>
              <w:snapToGrid w:val="0"/>
              <w:spacing w:val="1"/>
              <w:kern w:val="0"/>
              <w:sz w:val="30"/>
              <w:szCs w:val="30"/>
              <w:lang w:val="en-US" w:eastAsia="en-US" w:bidi="ar-SA"/>
            </w:rPr>
            <w:instrText xml:space="preserve"> HYPERLINK \l _Toc7284 </w:instrText>
          </w:r>
          <w:r>
            <w:rPr>
              <w:rFonts w:hint="default" w:ascii="Times New Roman" w:hAnsi="Times New Roman" w:eastAsia="仿宋" w:cs="Times New Roman"/>
              <w:bCs/>
              <w:snapToGrid w:val="0"/>
              <w:spacing w:val="1"/>
              <w:kern w:val="0"/>
              <w:sz w:val="30"/>
              <w:szCs w:val="30"/>
              <w:lang w:val="en-US" w:eastAsia="en-US" w:bidi="ar-SA"/>
            </w:rPr>
            <w:fldChar w:fldCharType="separate"/>
          </w:r>
          <w:r>
            <w:rPr>
              <w:rFonts w:hint="default" w:ascii="Times New Roman" w:hAnsi="Times New Roman" w:eastAsia="仿宋" w:cs="Times New Roman"/>
              <w:bCs/>
              <w:spacing w:val="1"/>
              <w:sz w:val="30"/>
              <w:szCs w:val="30"/>
              <w:lang w:eastAsia="zh-CN"/>
            </w:rPr>
            <w:t>四</w:t>
          </w:r>
          <w:r>
            <w:rPr>
              <w:rFonts w:hint="default" w:ascii="Times New Roman" w:hAnsi="Times New Roman" w:eastAsia="仿宋" w:cs="Times New Roman"/>
              <w:bCs/>
              <w:spacing w:val="1"/>
              <w:sz w:val="30"/>
              <w:szCs w:val="30"/>
            </w:rPr>
            <w:t>、主要技术内容说明</w:t>
          </w:r>
          <w:r>
            <w:rPr>
              <w:rFonts w:hint="default" w:ascii="Times New Roman" w:hAnsi="Times New Roman" w:eastAsia="仿宋" w:cs="Times New Roman"/>
              <w:sz w:val="30"/>
              <w:szCs w:val="30"/>
            </w:rPr>
            <w:tab/>
          </w:r>
          <w:r>
            <w:rPr>
              <w:rFonts w:hint="default" w:ascii="Times New Roman" w:hAnsi="Times New Roman" w:eastAsia="仿宋" w:cs="Times New Roman"/>
              <w:sz w:val="30"/>
              <w:szCs w:val="30"/>
            </w:rPr>
            <w:fldChar w:fldCharType="begin"/>
          </w:r>
          <w:r>
            <w:rPr>
              <w:rFonts w:hint="default" w:ascii="Times New Roman" w:hAnsi="Times New Roman" w:eastAsia="仿宋" w:cs="Times New Roman"/>
              <w:sz w:val="30"/>
              <w:szCs w:val="30"/>
            </w:rPr>
            <w:instrText xml:space="preserve"> PAGEREF _Toc7284 \h </w:instrText>
          </w:r>
          <w:r>
            <w:rPr>
              <w:rFonts w:hint="default" w:ascii="Times New Roman" w:hAnsi="Times New Roman" w:eastAsia="仿宋" w:cs="Times New Roman"/>
              <w:sz w:val="30"/>
              <w:szCs w:val="30"/>
            </w:rPr>
            <w:fldChar w:fldCharType="separate"/>
          </w:r>
          <w:r>
            <w:rPr>
              <w:rFonts w:hint="default" w:ascii="Times New Roman" w:hAnsi="Times New Roman" w:eastAsia="仿宋" w:cs="Times New Roman"/>
              <w:sz w:val="30"/>
              <w:szCs w:val="30"/>
            </w:rPr>
            <w:t>5</w:t>
          </w:r>
          <w:r>
            <w:rPr>
              <w:rFonts w:hint="default" w:ascii="Times New Roman" w:hAnsi="Times New Roman" w:eastAsia="仿宋" w:cs="Times New Roman"/>
              <w:sz w:val="30"/>
              <w:szCs w:val="30"/>
            </w:rPr>
            <w:fldChar w:fldCharType="end"/>
          </w:r>
          <w:r>
            <w:rPr>
              <w:rFonts w:hint="default" w:ascii="Times New Roman" w:hAnsi="Times New Roman" w:eastAsia="仿宋" w:cs="Times New Roman"/>
              <w:bCs/>
              <w:snapToGrid w:val="0"/>
              <w:color w:val="000000"/>
              <w:spacing w:val="1"/>
              <w:kern w:val="0"/>
              <w:sz w:val="30"/>
              <w:szCs w:val="30"/>
              <w:lang w:val="en-US" w:eastAsia="en-US" w:bidi="ar-SA"/>
            </w:rPr>
            <w:fldChar w:fldCharType="end"/>
          </w:r>
        </w:p>
        <w:p w14:paraId="0067A88B">
          <w:pPr>
            <w:pStyle w:val="10"/>
            <w:keepNext w:val="0"/>
            <w:keepLines w:val="0"/>
            <w:pageBreakBefore w:val="0"/>
            <w:widowControl/>
            <w:tabs>
              <w:tab w:val="right" w:leader="dot" w:pos="862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30"/>
              <w:szCs w:val="30"/>
            </w:rPr>
          </w:pPr>
          <w:r>
            <w:rPr>
              <w:rFonts w:hint="default" w:ascii="Times New Roman" w:hAnsi="Times New Roman" w:eastAsia="仿宋" w:cs="Times New Roman"/>
              <w:bCs/>
              <w:snapToGrid w:val="0"/>
              <w:color w:val="000000"/>
              <w:spacing w:val="1"/>
              <w:kern w:val="0"/>
              <w:sz w:val="30"/>
              <w:szCs w:val="30"/>
              <w:lang w:val="en-US" w:eastAsia="en-US" w:bidi="ar-SA"/>
            </w:rPr>
            <w:fldChar w:fldCharType="begin"/>
          </w:r>
          <w:r>
            <w:rPr>
              <w:rFonts w:hint="default" w:ascii="Times New Roman" w:hAnsi="Times New Roman" w:eastAsia="仿宋" w:cs="Times New Roman"/>
              <w:bCs/>
              <w:snapToGrid w:val="0"/>
              <w:spacing w:val="1"/>
              <w:kern w:val="0"/>
              <w:sz w:val="30"/>
              <w:szCs w:val="30"/>
              <w:lang w:val="en-US" w:eastAsia="en-US" w:bidi="ar-SA"/>
            </w:rPr>
            <w:instrText xml:space="preserve"> HYPERLINK \l _Toc21395 </w:instrText>
          </w:r>
          <w:r>
            <w:rPr>
              <w:rFonts w:hint="default" w:ascii="Times New Roman" w:hAnsi="Times New Roman" w:eastAsia="仿宋" w:cs="Times New Roman"/>
              <w:bCs/>
              <w:snapToGrid w:val="0"/>
              <w:spacing w:val="1"/>
              <w:kern w:val="0"/>
              <w:sz w:val="30"/>
              <w:szCs w:val="30"/>
              <w:lang w:val="en-US" w:eastAsia="en-US" w:bidi="ar-SA"/>
            </w:rPr>
            <w:fldChar w:fldCharType="separate"/>
          </w:r>
          <w:r>
            <w:rPr>
              <w:rFonts w:hint="default" w:ascii="Times New Roman" w:hAnsi="Times New Roman" w:eastAsia="仿宋" w:cs="Times New Roman"/>
              <w:sz w:val="30"/>
              <w:szCs w:val="30"/>
            </w:rPr>
            <w:t>五、本标准参考的主要依据</w:t>
          </w:r>
          <w:r>
            <w:rPr>
              <w:rFonts w:hint="default" w:ascii="Times New Roman" w:hAnsi="Times New Roman" w:eastAsia="仿宋" w:cs="Times New Roman"/>
              <w:sz w:val="30"/>
              <w:szCs w:val="30"/>
            </w:rPr>
            <w:tab/>
          </w:r>
          <w:r>
            <w:rPr>
              <w:rFonts w:hint="default" w:ascii="Times New Roman" w:hAnsi="Times New Roman" w:eastAsia="仿宋" w:cs="Times New Roman"/>
              <w:sz w:val="30"/>
              <w:szCs w:val="30"/>
            </w:rPr>
            <w:fldChar w:fldCharType="begin"/>
          </w:r>
          <w:r>
            <w:rPr>
              <w:rFonts w:hint="default" w:ascii="Times New Roman" w:hAnsi="Times New Roman" w:eastAsia="仿宋" w:cs="Times New Roman"/>
              <w:sz w:val="30"/>
              <w:szCs w:val="30"/>
            </w:rPr>
            <w:instrText xml:space="preserve"> PAGEREF _Toc21395 \h </w:instrText>
          </w:r>
          <w:r>
            <w:rPr>
              <w:rFonts w:hint="default" w:ascii="Times New Roman" w:hAnsi="Times New Roman" w:eastAsia="仿宋" w:cs="Times New Roman"/>
              <w:sz w:val="30"/>
              <w:szCs w:val="30"/>
            </w:rPr>
            <w:fldChar w:fldCharType="separate"/>
          </w:r>
          <w:r>
            <w:rPr>
              <w:rFonts w:hint="default" w:ascii="Times New Roman" w:hAnsi="Times New Roman" w:eastAsia="仿宋" w:cs="Times New Roman"/>
              <w:sz w:val="30"/>
              <w:szCs w:val="30"/>
            </w:rPr>
            <w:t>10</w:t>
          </w:r>
          <w:r>
            <w:rPr>
              <w:rFonts w:hint="default" w:ascii="Times New Roman" w:hAnsi="Times New Roman" w:eastAsia="仿宋" w:cs="Times New Roman"/>
              <w:sz w:val="30"/>
              <w:szCs w:val="30"/>
            </w:rPr>
            <w:fldChar w:fldCharType="end"/>
          </w:r>
          <w:r>
            <w:rPr>
              <w:rFonts w:hint="default" w:ascii="Times New Roman" w:hAnsi="Times New Roman" w:eastAsia="仿宋" w:cs="Times New Roman"/>
              <w:bCs/>
              <w:snapToGrid w:val="0"/>
              <w:color w:val="000000"/>
              <w:spacing w:val="1"/>
              <w:kern w:val="0"/>
              <w:sz w:val="30"/>
              <w:szCs w:val="30"/>
              <w:lang w:val="en-US" w:eastAsia="en-US" w:bidi="ar-SA"/>
            </w:rPr>
            <w:fldChar w:fldCharType="end"/>
          </w:r>
        </w:p>
        <w:p w14:paraId="03DC3D36">
          <w:pPr>
            <w:pStyle w:val="10"/>
            <w:keepNext w:val="0"/>
            <w:keepLines w:val="0"/>
            <w:pageBreakBefore w:val="0"/>
            <w:widowControl/>
            <w:tabs>
              <w:tab w:val="right" w:leader="dot" w:pos="862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30"/>
              <w:szCs w:val="30"/>
            </w:rPr>
          </w:pPr>
          <w:r>
            <w:rPr>
              <w:rFonts w:hint="default" w:ascii="Times New Roman" w:hAnsi="Times New Roman" w:eastAsia="仿宋" w:cs="Times New Roman"/>
              <w:bCs/>
              <w:snapToGrid w:val="0"/>
              <w:color w:val="000000"/>
              <w:spacing w:val="1"/>
              <w:kern w:val="0"/>
              <w:sz w:val="30"/>
              <w:szCs w:val="30"/>
              <w:lang w:val="en-US" w:eastAsia="en-US" w:bidi="ar-SA"/>
            </w:rPr>
            <w:fldChar w:fldCharType="begin"/>
          </w:r>
          <w:r>
            <w:rPr>
              <w:rFonts w:hint="default" w:ascii="Times New Roman" w:hAnsi="Times New Roman" w:eastAsia="仿宋" w:cs="Times New Roman"/>
              <w:bCs/>
              <w:snapToGrid w:val="0"/>
              <w:spacing w:val="1"/>
              <w:kern w:val="0"/>
              <w:sz w:val="30"/>
              <w:szCs w:val="30"/>
              <w:lang w:val="en-US" w:eastAsia="en-US" w:bidi="ar-SA"/>
            </w:rPr>
            <w:instrText xml:space="preserve"> HYPERLINK \l _Toc21565 </w:instrText>
          </w:r>
          <w:r>
            <w:rPr>
              <w:rFonts w:hint="default" w:ascii="Times New Roman" w:hAnsi="Times New Roman" w:eastAsia="仿宋" w:cs="Times New Roman"/>
              <w:bCs/>
              <w:snapToGrid w:val="0"/>
              <w:spacing w:val="1"/>
              <w:kern w:val="0"/>
              <w:sz w:val="30"/>
              <w:szCs w:val="30"/>
              <w:lang w:val="en-US" w:eastAsia="en-US" w:bidi="ar-SA"/>
            </w:rPr>
            <w:fldChar w:fldCharType="separate"/>
          </w:r>
          <w:r>
            <w:rPr>
              <w:rFonts w:hint="default" w:ascii="Times New Roman" w:hAnsi="Times New Roman" w:eastAsia="仿宋" w:cs="Times New Roman"/>
              <w:sz w:val="30"/>
              <w:szCs w:val="30"/>
            </w:rPr>
            <w:t>六、与有关的现行法律、法规和相应标准的关系</w:t>
          </w:r>
          <w:r>
            <w:rPr>
              <w:rFonts w:hint="default" w:ascii="Times New Roman" w:hAnsi="Times New Roman" w:eastAsia="仿宋" w:cs="Times New Roman"/>
              <w:sz w:val="30"/>
              <w:szCs w:val="30"/>
            </w:rPr>
            <w:tab/>
          </w:r>
          <w:r>
            <w:rPr>
              <w:rFonts w:hint="default" w:ascii="Times New Roman" w:hAnsi="Times New Roman" w:eastAsia="仿宋" w:cs="Times New Roman"/>
              <w:sz w:val="30"/>
              <w:szCs w:val="30"/>
            </w:rPr>
            <w:fldChar w:fldCharType="begin"/>
          </w:r>
          <w:r>
            <w:rPr>
              <w:rFonts w:hint="default" w:ascii="Times New Roman" w:hAnsi="Times New Roman" w:eastAsia="仿宋" w:cs="Times New Roman"/>
              <w:sz w:val="30"/>
              <w:szCs w:val="30"/>
            </w:rPr>
            <w:instrText xml:space="preserve"> PAGEREF _Toc21565 \h </w:instrText>
          </w:r>
          <w:r>
            <w:rPr>
              <w:rFonts w:hint="default" w:ascii="Times New Roman" w:hAnsi="Times New Roman" w:eastAsia="仿宋" w:cs="Times New Roman"/>
              <w:sz w:val="30"/>
              <w:szCs w:val="30"/>
            </w:rPr>
            <w:fldChar w:fldCharType="separate"/>
          </w:r>
          <w:r>
            <w:rPr>
              <w:rFonts w:hint="default" w:ascii="Times New Roman" w:hAnsi="Times New Roman" w:eastAsia="仿宋" w:cs="Times New Roman"/>
              <w:sz w:val="30"/>
              <w:szCs w:val="30"/>
            </w:rPr>
            <w:t>10</w:t>
          </w:r>
          <w:r>
            <w:rPr>
              <w:rFonts w:hint="default" w:ascii="Times New Roman" w:hAnsi="Times New Roman" w:eastAsia="仿宋" w:cs="Times New Roman"/>
              <w:sz w:val="30"/>
              <w:szCs w:val="30"/>
            </w:rPr>
            <w:fldChar w:fldCharType="end"/>
          </w:r>
          <w:r>
            <w:rPr>
              <w:rFonts w:hint="default" w:ascii="Times New Roman" w:hAnsi="Times New Roman" w:eastAsia="仿宋" w:cs="Times New Roman"/>
              <w:bCs/>
              <w:snapToGrid w:val="0"/>
              <w:color w:val="000000"/>
              <w:spacing w:val="1"/>
              <w:kern w:val="0"/>
              <w:sz w:val="30"/>
              <w:szCs w:val="30"/>
              <w:lang w:val="en-US" w:eastAsia="en-US" w:bidi="ar-SA"/>
            </w:rPr>
            <w:fldChar w:fldCharType="end"/>
          </w:r>
        </w:p>
        <w:p w14:paraId="78C6893D">
          <w:pPr>
            <w:pStyle w:val="10"/>
            <w:keepNext w:val="0"/>
            <w:keepLines w:val="0"/>
            <w:pageBreakBefore w:val="0"/>
            <w:widowControl/>
            <w:tabs>
              <w:tab w:val="right" w:leader="dot" w:pos="862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30"/>
              <w:szCs w:val="30"/>
            </w:rPr>
          </w:pPr>
          <w:r>
            <w:rPr>
              <w:rFonts w:hint="default" w:ascii="Times New Roman" w:hAnsi="Times New Roman" w:eastAsia="仿宋" w:cs="Times New Roman"/>
              <w:bCs/>
              <w:snapToGrid w:val="0"/>
              <w:color w:val="000000"/>
              <w:spacing w:val="1"/>
              <w:kern w:val="0"/>
              <w:sz w:val="30"/>
              <w:szCs w:val="30"/>
              <w:lang w:val="en-US" w:eastAsia="en-US" w:bidi="ar-SA"/>
            </w:rPr>
            <w:fldChar w:fldCharType="begin"/>
          </w:r>
          <w:r>
            <w:rPr>
              <w:rFonts w:hint="default" w:ascii="Times New Roman" w:hAnsi="Times New Roman" w:eastAsia="仿宋" w:cs="Times New Roman"/>
              <w:bCs/>
              <w:snapToGrid w:val="0"/>
              <w:spacing w:val="1"/>
              <w:kern w:val="0"/>
              <w:sz w:val="30"/>
              <w:szCs w:val="30"/>
              <w:lang w:val="en-US" w:eastAsia="en-US" w:bidi="ar-SA"/>
            </w:rPr>
            <w:instrText xml:space="preserve"> HYPERLINK \l _Toc8030 </w:instrText>
          </w:r>
          <w:r>
            <w:rPr>
              <w:rFonts w:hint="default" w:ascii="Times New Roman" w:hAnsi="Times New Roman" w:eastAsia="仿宋" w:cs="Times New Roman"/>
              <w:bCs/>
              <w:snapToGrid w:val="0"/>
              <w:spacing w:val="1"/>
              <w:kern w:val="0"/>
              <w:sz w:val="30"/>
              <w:szCs w:val="30"/>
              <w:lang w:val="en-US" w:eastAsia="en-US" w:bidi="ar-SA"/>
            </w:rPr>
            <w:fldChar w:fldCharType="separate"/>
          </w:r>
          <w:r>
            <w:rPr>
              <w:rFonts w:hint="default" w:ascii="Times New Roman" w:hAnsi="Times New Roman" w:eastAsia="仿宋" w:cs="Times New Roman"/>
              <w:sz w:val="30"/>
              <w:szCs w:val="30"/>
            </w:rPr>
            <w:t>七、重大分歧意见的处理经过和依据</w:t>
          </w:r>
          <w:r>
            <w:rPr>
              <w:rFonts w:hint="default" w:ascii="Times New Roman" w:hAnsi="Times New Roman" w:eastAsia="仿宋" w:cs="Times New Roman"/>
              <w:sz w:val="30"/>
              <w:szCs w:val="30"/>
            </w:rPr>
            <w:tab/>
          </w:r>
          <w:r>
            <w:rPr>
              <w:rFonts w:hint="default" w:ascii="Times New Roman" w:hAnsi="Times New Roman" w:eastAsia="仿宋" w:cs="Times New Roman"/>
              <w:sz w:val="30"/>
              <w:szCs w:val="30"/>
            </w:rPr>
            <w:fldChar w:fldCharType="begin"/>
          </w:r>
          <w:r>
            <w:rPr>
              <w:rFonts w:hint="default" w:ascii="Times New Roman" w:hAnsi="Times New Roman" w:eastAsia="仿宋" w:cs="Times New Roman"/>
              <w:sz w:val="30"/>
              <w:szCs w:val="30"/>
            </w:rPr>
            <w:instrText xml:space="preserve"> PAGEREF _Toc8030 \h </w:instrText>
          </w:r>
          <w:r>
            <w:rPr>
              <w:rFonts w:hint="default" w:ascii="Times New Roman" w:hAnsi="Times New Roman" w:eastAsia="仿宋" w:cs="Times New Roman"/>
              <w:sz w:val="30"/>
              <w:szCs w:val="30"/>
            </w:rPr>
            <w:fldChar w:fldCharType="separate"/>
          </w:r>
          <w:r>
            <w:rPr>
              <w:rFonts w:hint="default" w:ascii="Times New Roman" w:hAnsi="Times New Roman" w:eastAsia="仿宋" w:cs="Times New Roman"/>
              <w:sz w:val="30"/>
              <w:szCs w:val="30"/>
            </w:rPr>
            <w:t>10</w:t>
          </w:r>
          <w:r>
            <w:rPr>
              <w:rFonts w:hint="default" w:ascii="Times New Roman" w:hAnsi="Times New Roman" w:eastAsia="仿宋" w:cs="Times New Roman"/>
              <w:sz w:val="30"/>
              <w:szCs w:val="30"/>
            </w:rPr>
            <w:fldChar w:fldCharType="end"/>
          </w:r>
          <w:r>
            <w:rPr>
              <w:rFonts w:hint="default" w:ascii="Times New Roman" w:hAnsi="Times New Roman" w:eastAsia="仿宋" w:cs="Times New Roman"/>
              <w:bCs/>
              <w:snapToGrid w:val="0"/>
              <w:color w:val="000000"/>
              <w:spacing w:val="1"/>
              <w:kern w:val="0"/>
              <w:sz w:val="30"/>
              <w:szCs w:val="30"/>
              <w:lang w:val="en-US" w:eastAsia="en-US" w:bidi="ar-SA"/>
            </w:rPr>
            <w:fldChar w:fldCharType="end"/>
          </w:r>
        </w:p>
        <w:p w14:paraId="6696CB18">
          <w:pPr>
            <w:pStyle w:val="10"/>
            <w:keepNext w:val="0"/>
            <w:keepLines w:val="0"/>
            <w:pageBreakBefore w:val="0"/>
            <w:widowControl/>
            <w:tabs>
              <w:tab w:val="right" w:leader="dot" w:pos="862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30"/>
              <w:szCs w:val="30"/>
            </w:rPr>
          </w:pPr>
          <w:r>
            <w:rPr>
              <w:rFonts w:hint="default" w:ascii="Times New Roman" w:hAnsi="Times New Roman" w:eastAsia="仿宋" w:cs="Times New Roman"/>
              <w:bCs/>
              <w:snapToGrid w:val="0"/>
              <w:color w:val="000000"/>
              <w:spacing w:val="1"/>
              <w:kern w:val="0"/>
              <w:sz w:val="30"/>
              <w:szCs w:val="30"/>
              <w:lang w:val="en-US" w:eastAsia="en-US" w:bidi="ar-SA"/>
            </w:rPr>
            <w:fldChar w:fldCharType="begin"/>
          </w:r>
          <w:r>
            <w:rPr>
              <w:rFonts w:hint="default" w:ascii="Times New Roman" w:hAnsi="Times New Roman" w:eastAsia="仿宋" w:cs="Times New Roman"/>
              <w:bCs/>
              <w:snapToGrid w:val="0"/>
              <w:spacing w:val="1"/>
              <w:kern w:val="0"/>
              <w:sz w:val="30"/>
              <w:szCs w:val="30"/>
              <w:lang w:val="en-US" w:eastAsia="en-US" w:bidi="ar-SA"/>
            </w:rPr>
            <w:instrText xml:space="preserve"> HYPERLINK \l _Toc22801 </w:instrText>
          </w:r>
          <w:r>
            <w:rPr>
              <w:rFonts w:hint="default" w:ascii="Times New Roman" w:hAnsi="Times New Roman" w:eastAsia="仿宋" w:cs="Times New Roman"/>
              <w:bCs/>
              <w:snapToGrid w:val="0"/>
              <w:spacing w:val="1"/>
              <w:kern w:val="0"/>
              <w:sz w:val="30"/>
              <w:szCs w:val="30"/>
              <w:lang w:val="en-US" w:eastAsia="en-US" w:bidi="ar-SA"/>
            </w:rPr>
            <w:fldChar w:fldCharType="separate"/>
          </w:r>
          <w:r>
            <w:rPr>
              <w:rFonts w:hint="default" w:ascii="Times New Roman" w:hAnsi="Times New Roman" w:eastAsia="仿宋" w:cs="Times New Roman"/>
              <w:sz w:val="30"/>
              <w:szCs w:val="30"/>
            </w:rPr>
            <w:t>八、废止现行有关标准的建议</w:t>
          </w:r>
          <w:r>
            <w:rPr>
              <w:rFonts w:hint="default" w:ascii="Times New Roman" w:hAnsi="Times New Roman" w:eastAsia="仿宋" w:cs="Times New Roman"/>
              <w:sz w:val="30"/>
              <w:szCs w:val="30"/>
            </w:rPr>
            <w:tab/>
          </w:r>
          <w:r>
            <w:rPr>
              <w:rFonts w:hint="default" w:ascii="Times New Roman" w:hAnsi="Times New Roman" w:eastAsia="仿宋" w:cs="Times New Roman"/>
              <w:sz w:val="30"/>
              <w:szCs w:val="30"/>
            </w:rPr>
            <w:fldChar w:fldCharType="begin"/>
          </w:r>
          <w:r>
            <w:rPr>
              <w:rFonts w:hint="default" w:ascii="Times New Roman" w:hAnsi="Times New Roman" w:eastAsia="仿宋" w:cs="Times New Roman"/>
              <w:sz w:val="30"/>
              <w:szCs w:val="30"/>
            </w:rPr>
            <w:instrText xml:space="preserve"> PAGEREF _Toc22801 \h </w:instrText>
          </w:r>
          <w:r>
            <w:rPr>
              <w:rFonts w:hint="default" w:ascii="Times New Roman" w:hAnsi="Times New Roman" w:eastAsia="仿宋" w:cs="Times New Roman"/>
              <w:sz w:val="30"/>
              <w:szCs w:val="30"/>
            </w:rPr>
            <w:fldChar w:fldCharType="separate"/>
          </w:r>
          <w:r>
            <w:rPr>
              <w:rFonts w:hint="default" w:ascii="Times New Roman" w:hAnsi="Times New Roman" w:eastAsia="仿宋" w:cs="Times New Roman"/>
              <w:sz w:val="30"/>
              <w:szCs w:val="30"/>
            </w:rPr>
            <w:t>10</w:t>
          </w:r>
          <w:r>
            <w:rPr>
              <w:rFonts w:hint="default" w:ascii="Times New Roman" w:hAnsi="Times New Roman" w:eastAsia="仿宋" w:cs="Times New Roman"/>
              <w:sz w:val="30"/>
              <w:szCs w:val="30"/>
            </w:rPr>
            <w:fldChar w:fldCharType="end"/>
          </w:r>
          <w:r>
            <w:rPr>
              <w:rFonts w:hint="default" w:ascii="Times New Roman" w:hAnsi="Times New Roman" w:eastAsia="仿宋" w:cs="Times New Roman"/>
              <w:bCs/>
              <w:snapToGrid w:val="0"/>
              <w:color w:val="000000"/>
              <w:spacing w:val="1"/>
              <w:kern w:val="0"/>
              <w:sz w:val="30"/>
              <w:szCs w:val="30"/>
              <w:lang w:val="en-US" w:eastAsia="en-US" w:bidi="ar-SA"/>
            </w:rPr>
            <w:fldChar w:fldCharType="end"/>
          </w:r>
        </w:p>
        <w:p w14:paraId="116013EC">
          <w:pPr>
            <w:pStyle w:val="10"/>
            <w:keepNext w:val="0"/>
            <w:keepLines w:val="0"/>
            <w:pageBreakBefore w:val="0"/>
            <w:widowControl/>
            <w:tabs>
              <w:tab w:val="right" w:leader="dot" w:pos="862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30"/>
              <w:szCs w:val="30"/>
            </w:rPr>
          </w:pPr>
          <w:r>
            <w:rPr>
              <w:rFonts w:hint="default" w:ascii="Times New Roman" w:hAnsi="Times New Roman" w:eastAsia="仿宋" w:cs="Times New Roman"/>
              <w:bCs/>
              <w:snapToGrid w:val="0"/>
              <w:color w:val="000000"/>
              <w:spacing w:val="1"/>
              <w:kern w:val="0"/>
              <w:sz w:val="30"/>
              <w:szCs w:val="30"/>
              <w:lang w:val="en-US" w:eastAsia="en-US" w:bidi="ar-SA"/>
            </w:rPr>
            <w:fldChar w:fldCharType="begin"/>
          </w:r>
          <w:r>
            <w:rPr>
              <w:rFonts w:hint="default" w:ascii="Times New Roman" w:hAnsi="Times New Roman" w:eastAsia="仿宋" w:cs="Times New Roman"/>
              <w:bCs/>
              <w:snapToGrid w:val="0"/>
              <w:spacing w:val="1"/>
              <w:kern w:val="0"/>
              <w:sz w:val="30"/>
              <w:szCs w:val="30"/>
              <w:lang w:val="en-US" w:eastAsia="en-US" w:bidi="ar-SA"/>
            </w:rPr>
            <w:instrText xml:space="preserve"> HYPERLINK \l _Toc4964 </w:instrText>
          </w:r>
          <w:r>
            <w:rPr>
              <w:rFonts w:hint="default" w:ascii="Times New Roman" w:hAnsi="Times New Roman" w:eastAsia="仿宋" w:cs="Times New Roman"/>
              <w:bCs/>
              <w:snapToGrid w:val="0"/>
              <w:spacing w:val="1"/>
              <w:kern w:val="0"/>
              <w:sz w:val="30"/>
              <w:szCs w:val="30"/>
              <w:lang w:val="en-US" w:eastAsia="en-US" w:bidi="ar-SA"/>
            </w:rPr>
            <w:fldChar w:fldCharType="separate"/>
          </w:r>
          <w:r>
            <w:rPr>
              <w:rFonts w:hint="default" w:ascii="Times New Roman" w:hAnsi="Times New Roman" w:eastAsia="仿宋" w:cs="Times New Roman"/>
              <w:sz w:val="30"/>
              <w:szCs w:val="30"/>
            </w:rPr>
            <w:t>九、其他应予说明的事项</w:t>
          </w:r>
          <w:r>
            <w:rPr>
              <w:rFonts w:hint="default" w:ascii="Times New Roman" w:hAnsi="Times New Roman" w:eastAsia="仿宋" w:cs="Times New Roman"/>
              <w:sz w:val="30"/>
              <w:szCs w:val="30"/>
            </w:rPr>
            <w:tab/>
          </w:r>
          <w:r>
            <w:rPr>
              <w:rFonts w:hint="default" w:ascii="Times New Roman" w:hAnsi="Times New Roman" w:eastAsia="仿宋" w:cs="Times New Roman"/>
              <w:sz w:val="30"/>
              <w:szCs w:val="30"/>
            </w:rPr>
            <w:fldChar w:fldCharType="begin"/>
          </w:r>
          <w:r>
            <w:rPr>
              <w:rFonts w:hint="default" w:ascii="Times New Roman" w:hAnsi="Times New Roman" w:eastAsia="仿宋" w:cs="Times New Roman"/>
              <w:sz w:val="30"/>
              <w:szCs w:val="30"/>
            </w:rPr>
            <w:instrText xml:space="preserve"> PAGEREF _Toc4964 \h </w:instrText>
          </w:r>
          <w:r>
            <w:rPr>
              <w:rFonts w:hint="default" w:ascii="Times New Roman" w:hAnsi="Times New Roman" w:eastAsia="仿宋" w:cs="Times New Roman"/>
              <w:sz w:val="30"/>
              <w:szCs w:val="30"/>
            </w:rPr>
            <w:fldChar w:fldCharType="separate"/>
          </w:r>
          <w:r>
            <w:rPr>
              <w:rFonts w:hint="default" w:ascii="Times New Roman" w:hAnsi="Times New Roman" w:eastAsia="仿宋" w:cs="Times New Roman"/>
              <w:sz w:val="30"/>
              <w:szCs w:val="30"/>
            </w:rPr>
            <w:t>10</w:t>
          </w:r>
          <w:r>
            <w:rPr>
              <w:rFonts w:hint="default" w:ascii="Times New Roman" w:hAnsi="Times New Roman" w:eastAsia="仿宋" w:cs="Times New Roman"/>
              <w:sz w:val="30"/>
              <w:szCs w:val="30"/>
            </w:rPr>
            <w:fldChar w:fldCharType="end"/>
          </w:r>
          <w:r>
            <w:rPr>
              <w:rFonts w:hint="default" w:ascii="Times New Roman" w:hAnsi="Times New Roman" w:eastAsia="仿宋" w:cs="Times New Roman"/>
              <w:bCs/>
              <w:snapToGrid w:val="0"/>
              <w:color w:val="000000"/>
              <w:spacing w:val="1"/>
              <w:kern w:val="0"/>
              <w:sz w:val="30"/>
              <w:szCs w:val="30"/>
              <w:lang w:val="en-US" w:eastAsia="en-US" w:bidi="ar-SA"/>
            </w:rPr>
            <w:fldChar w:fldCharType="end"/>
          </w:r>
        </w:p>
        <w:p w14:paraId="179A5DE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9"/>
            <w:rPr>
              <w:rFonts w:hint="default" w:ascii="Times New Roman" w:hAnsi="Times New Roman" w:eastAsia="Arial" w:cs="Times New Roman"/>
              <w:bCs/>
              <w:snapToGrid w:val="0"/>
              <w:color w:val="000000"/>
              <w:spacing w:val="1"/>
              <w:kern w:val="0"/>
              <w:sz w:val="21"/>
              <w:szCs w:val="21"/>
              <w:lang w:val="en-US" w:eastAsia="en-US" w:bidi="ar-SA"/>
            </w:rPr>
          </w:pPr>
          <w:r>
            <w:rPr>
              <w:rFonts w:hint="default" w:ascii="Times New Roman" w:hAnsi="Times New Roman" w:eastAsia="仿宋" w:cs="Times New Roman"/>
              <w:bCs/>
              <w:snapToGrid w:val="0"/>
              <w:color w:val="000000"/>
              <w:spacing w:val="1"/>
              <w:kern w:val="0"/>
              <w:sz w:val="30"/>
              <w:szCs w:val="30"/>
              <w:lang w:val="en-US" w:eastAsia="en-US" w:bidi="ar-SA"/>
            </w:rPr>
            <w:fldChar w:fldCharType="end"/>
          </w:r>
        </w:p>
      </w:sdtContent>
    </w:sdt>
    <w:p w14:paraId="369FB267">
      <w:pPr>
        <w:bidi w:val="0"/>
        <w:outlineLvl w:val="9"/>
        <w:rPr>
          <w:rFonts w:hint="default" w:ascii="Times New Roman" w:hAnsi="Times New Roman" w:eastAsia="Arial" w:cs="Times New Roman"/>
          <w:bCs/>
          <w:snapToGrid w:val="0"/>
          <w:color w:val="000000"/>
          <w:spacing w:val="1"/>
          <w:kern w:val="0"/>
          <w:sz w:val="21"/>
          <w:szCs w:val="21"/>
          <w:lang w:val="en-US" w:eastAsia="en-US" w:bidi="ar-SA"/>
        </w:rPr>
      </w:pPr>
    </w:p>
    <w:p w14:paraId="026EAAAC">
      <w:pPr>
        <w:bidi w:val="0"/>
        <w:outlineLvl w:val="9"/>
        <w:rPr>
          <w:rFonts w:hint="default" w:ascii="Times New Roman" w:hAnsi="Times New Roman" w:cs="Times New Roman"/>
          <w:b/>
          <w:bCs/>
          <w:spacing w:val="1"/>
        </w:rPr>
      </w:pPr>
    </w:p>
    <w:p w14:paraId="5ADDBA5C">
      <w:pPr>
        <w:bidi w:val="0"/>
        <w:outlineLvl w:val="9"/>
        <w:rPr>
          <w:rFonts w:hint="default" w:ascii="Times New Roman" w:hAnsi="Times New Roman" w:cs="Times New Roman"/>
          <w:b/>
          <w:bCs/>
          <w:spacing w:val="1"/>
        </w:rPr>
      </w:pPr>
    </w:p>
    <w:p w14:paraId="61AF5D6F">
      <w:pPr>
        <w:bidi w:val="0"/>
        <w:outlineLvl w:val="9"/>
        <w:rPr>
          <w:rFonts w:hint="default" w:ascii="Times New Roman" w:hAnsi="Times New Roman" w:cs="Times New Roman"/>
          <w:b/>
          <w:bCs/>
          <w:spacing w:val="1"/>
        </w:rPr>
      </w:pPr>
    </w:p>
    <w:p w14:paraId="6A6C790D">
      <w:pPr>
        <w:bidi w:val="0"/>
        <w:outlineLvl w:val="9"/>
        <w:rPr>
          <w:rFonts w:hint="default" w:ascii="Times New Roman" w:hAnsi="Times New Roman" w:cs="Times New Roman"/>
          <w:b/>
          <w:bCs/>
          <w:spacing w:val="1"/>
        </w:rPr>
      </w:pPr>
    </w:p>
    <w:p w14:paraId="22808689">
      <w:pPr>
        <w:bidi w:val="0"/>
        <w:outlineLvl w:val="9"/>
        <w:rPr>
          <w:rFonts w:hint="default" w:ascii="Times New Roman" w:hAnsi="Times New Roman" w:cs="Times New Roman"/>
          <w:b/>
          <w:bCs/>
          <w:spacing w:val="1"/>
        </w:rPr>
      </w:pPr>
    </w:p>
    <w:p w14:paraId="3A2E0931">
      <w:pPr>
        <w:bidi w:val="0"/>
        <w:outlineLvl w:val="9"/>
        <w:rPr>
          <w:rFonts w:hint="default" w:ascii="Times New Roman" w:hAnsi="Times New Roman" w:cs="Times New Roman"/>
          <w:b/>
          <w:bCs/>
          <w:spacing w:val="1"/>
        </w:rPr>
      </w:pPr>
    </w:p>
    <w:p w14:paraId="73425D2B">
      <w:pPr>
        <w:bidi w:val="0"/>
        <w:outlineLvl w:val="9"/>
        <w:rPr>
          <w:rFonts w:hint="default" w:ascii="Times New Roman" w:hAnsi="Times New Roman" w:cs="Times New Roman"/>
          <w:b/>
          <w:bCs/>
          <w:spacing w:val="1"/>
        </w:rPr>
      </w:pPr>
    </w:p>
    <w:p w14:paraId="3DD03B6F">
      <w:pPr>
        <w:bidi w:val="0"/>
        <w:outlineLvl w:val="9"/>
        <w:rPr>
          <w:rFonts w:hint="default" w:ascii="Times New Roman" w:hAnsi="Times New Roman" w:cs="Times New Roman"/>
          <w:b/>
          <w:bCs/>
          <w:spacing w:val="1"/>
        </w:rPr>
      </w:pPr>
    </w:p>
    <w:p w14:paraId="794C838B">
      <w:pPr>
        <w:bidi w:val="0"/>
        <w:outlineLvl w:val="9"/>
        <w:rPr>
          <w:rFonts w:hint="default" w:ascii="Times New Roman" w:hAnsi="Times New Roman" w:cs="Times New Roman"/>
          <w:b/>
          <w:bCs/>
          <w:spacing w:val="1"/>
        </w:rPr>
      </w:pPr>
    </w:p>
    <w:p w14:paraId="29D5AA6C">
      <w:pPr>
        <w:bidi w:val="0"/>
        <w:outlineLvl w:val="9"/>
        <w:rPr>
          <w:rFonts w:hint="default" w:ascii="Times New Roman" w:hAnsi="Times New Roman" w:cs="Times New Roman"/>
          <w:b/>
          <w:bCs/>
          <w:spacing w:val="1"/>
        </w:rPr>
      </w:pPr>
    </w:p>
    <w:p w14:paraId="7C43F696">
      <w:pPr>
        <w:bidi w:val="0"/>
        <w:outlineLvl w:val="9"/>
        <w:rPr>
          <w:rFonts w:hint="default" w:ascii="Times New Roman" w:hAnsi="Times New Roman" w:cs="Times New Roman"/>
          <w:b/>
          <w:bCs/>
          <w:spacing w:val="1"/>
        </w:rPr>
      </w:pPr>
    </w:p>
    <w:p w14:paraId="39953C5C">
      <w:pPr>
        <w:bidi w:val="0"/>
        <w:outlineLvl w:val="9"/>
        <w:rPr>
          <w:rFonts w:hint="default" w:ascii="Times New Roman" w:hAnsi="Times New Roman" w:cs="Times New Roman"/>
          <w:b/>
          <w:bCs/>
          <w:spacing w:val="1"/>
        </w:rPr>
      </w:pPr>
    </w:p>
    <w:p w14:paraId="71FFCF98">
      <w:pPr>
        <w:bidi w:val="0"/>
        <w:outlineLvl w:val="9"/>
        <w:rPr>
          <w:rFonts w:hint="default" w:ascii="Times New Roman" w:hAnsi="Times New Roman" w:cs="Times New Roman"/>
          <w:b/>
          <w:bCs/>
          <w:spacing w:val="1"/>
        </w:rPr>
      </w:pPr>
    </w:p>
    <w:p w14:paraId="4E1EF80C">
      <w:pPr>
        <w:bidi w:val="0"/>
        <w:outlineLvl w:val="9"/>
        <w:rPr>
          <w:rFonts w:hint="default" w:ascii="Times New Roman" w:hAnsi="Times New Roman" w:cs="Times New Roman"/>
          <w:b/>
          <w:bCs/>
          <w:spacing w:val="1"/>
        </w:rPr>
      </w:pPr>
    </w:p>
    <w:p w14:paraId="6BB206FA">
      <w:pPr>
        <w:bidi w:val="0"/>
        <w:outlineLvl w:val="9"/>
        <w:rPr>
          <w:rFonts w:hint="default" w:ascii="Times New Roman" w:hAnsi="Times New Roman" w:cs="Times New Roman"/>
          <w:b/>
          <w:bCs/>
          <w:spacing w:val="1"/>
        </w:rPr>
      </w:pPr>
    </w:p>
    <w:p w14:paraId="43F44B95">
      <w:pPr>
        <w:bidi w:val="0"/>
        <w:outlineLvl w:val="9"/>
        <w:rPr>
          <w:rFonts w:hint="default" w:ascii="Times New Roman" w:hAnsi="Times New Roman" w:cs="Times New Roman"/>
          <w:b/>
          <w:bCs/>
          <w:spacing w:val="1"/>
        </w:rPr>
      </w:pPr>
    </w:p>
    <w:p w14:paraId="0458189D">
      <w:pPr>
        <w:bidi w:val="0"/>
        <w:outlineLvl w:val="9"/>
        <w:rPr>
          <w:rFonts w:hint="default" w:ascii="Times New Roman" w:hAnsi="Times New Roman" w:cs="Times New Roman"/>
          <w:b/>
          <w:bCs/>
          <w:spacing w:val="1"/>
        </w:rPr>
      </w:pPr>
    </w:p>
    <w:p w14:paraId="58394E2B">
      <w:pPr>
        <w:bidi w:val="0"/>
        <w:outlineLvl w:val="9"/>
        <w:rPr>
          <w:rFonts w:hint="default" w:ascii="Times New Roman" w:hAnsi="Times New Roman" w:cs="Times New Roman"/>
          <w:b/>
          <w:bCs/>
          <w:spacing w:val="1"/>
        </w:rPr>
      </w:pPr>
    </w:p>
    <w:p w14:paraId="4E2CEEE2">
      <w:pPr>
        <w:bidi w:val="0"/>
        <w:outlineLvl w:val="9"/>
        <w:rPr>
          <w:rFonts w:hint="default" w:ascii="Times New Roman" w:hAnsi="Times New Roman" w:cs="Times New Roman"/>
          <w:b/>
          <w:bCs/>
          <w:spacing w:val="1"/>
        </w:rPr>
      </w:pPr>
    </w:p>
    <w:p w14:paraId="37B47F53">
      <w:pPr>
        <w:bidi w:val="0"/>
        <w:outlineLvl w:val="9"/>
        <w:rPr>
          <w:rFonts w:hint="default" w:ascii="Times New Roman" w:hAnsi="Times New Roman" w:cs="Times New Roman"/>
          <w:b/>
          <w:bCs/>
          <w:spacing w:val="1"/>
        </w:rPr>
      </w:pPr>
    </w:p>
    <w:p w14:paraId="23BDDF46">
      <w:pPr>
        <w:bidi w:val="0"/>
        <w:outlineLvl w:val="9"/>
        <w:rPr>
          <w:rFonts w:hint="default" w:ascii="Times New Roman" w:hAnsi="Times New Roman" w:cs="Times New Roman"/>
          <w:b/>
          <w:bCs/>
          <w:spacing w:val="1"/>
        </w:rPr>
      </w:pPr>
    </w:p>
    <w:p w14:paraId="1441ACA8">
      <w:pPr>
        <w:bidi w:val="0"/>
        <w:outlineLvl w:val="9"/>
        <w:rPr>
          <w:rFonts w:hint="default" w:ascii="Times New Roman" w:hAnsi="Times New Roman" w:cs="Times New Roman"/>
          <w:b/>
          <w:bCs/>
          <w:spacing w:val="1"/>
        </w:rPr>
      </w:pPr>
    </w:p>
    <w:p w14:paraId="31B077AB">
      <w:pPr>
        <w:bidi w:val="0"/>
        <w:outlineLvl w:val="9"/>
        <w:rPr>
          <w:rFonts w:hint="default" w:ascii="Times New Roman" w:hAnsi="Times New Roman" w:cs="Times New Roman"/>
          <w:b/>
          <w:bCs/>
          <w:spacing w:val="1"/>
        </w:rPr>
      </w:pPr>
    </w:p>
    <w:p w14:paraId="64383061">
      <w:pPr>
        <w:bidi w:val="0"/>
        <w:outlineLvl w:val="9"/>
        <w:rPr>
          <w:rFonts w:hint="default" w:ascii="Times New Roman" w:hAnsi="Times New Roman" w:cs="Times New Roman"/>
          <w:b/>
          <w:bCs/>
          <w:spacing w:val="1"/>
        </w:rPr>
      </w:pPr>
    </w:p>
    <w:p w14:paraId="2559D467">
      <w:pPr>
        <w:bidi w:val="0"/>
        <w:outlineLvl w:val="9"/>
        <w:rPr>
          <w:rFonts w:hint="default" w:ascii="Times New Roman" w:hAnsi="Times New Roman" w:cs="Times New Roman"/>
          <w:b/>
          <w:bCs/>
          <w:spacing w:val="1"/>
        </w:rPr>
      </w:pPr>
    </w:p>
    <w:p w14:paraId="753EBCB3">
      <w:pPr>
        <w:bidi w:val="0"/>
        <w:outlineLvl w:val="9"/>
        <w:rPr>
          <w:rFonts w:hint="default" w:ascii="Times New Roman" w:hAnsi="Times New Roman" w:cs="Times New Roman"/>
          <w:b/>
          <w:bCs/>
          <w:spacing w:val="1"/>
        </w:rPr>
      </w:pPr>
    </w:p>
    <w:p w14:paraId="436B900B">
      <w:pPr>
        <w:bidi w:val="0"/>
        <w:outlineLvl w:val="9"/>
        <w:rPr>
          <w:rFonts w:hint="default" w:ascii="Times New Roman" w:hAnsi="Times New Roman" w:cs="Times New Roman"/>
          <w:b/>
          <w:bCs/>
          <w:spacing w:val="1"/>
        </w:rPr>
      </w:pPr>
    </w:p>
    <w:p w14:paraId="5E8579BA">
      <w:pPr>
        <w:bidi w:val="0"/>
        <w:outlineLvl w:val="9"/>
        <w:rPr>
          <w:rFonts w:hint="default" w:ascii="Times New Roman" w:hAnsi="Times New Roman" w:cs="Times New Roman"/>
          <w:b/>
          <w:bCs/>
          <w:spacing w:val="1"/>
        </w:rPr>
      </w:pPr>
    </w:p>
    <w:p w14:paraId="0908C36F">
      <w:pPr>
        <w:pStyle w:val="3"/>
        <w:bidi w:val="0"/>
        <w:outlineLvl w:val="1"/>
        <w:rPr>
          <w:rFonts w:hint="eastAsia" w:ascii="Times New Roman" w:hAnsi="Times New Roman" w:eastAsia="黑体" w:cs="Times New Roman"/>
          <w:b/>
          <w:bCs/>
          <w:spacing w:val="1"/>
          <w:lang w:eastAsia="zh-CN"/>
        </w:rPr>
      </w:pPr>
      <w:bookmarkStart w:id="0" w:name="_Toc27234"/>
      <w:r>
        <w:rPr>
          <w:rFonts w:hint="default" w:ascii="Times New Roman" w:hAnsi="Times New Roman" w:cs="Times New Roman"/>
          <w:b/>
          <w:bCs/>
          <w:spacing w:val="1"/>
        </w:rPr>
        <w:t>一</w:t>
      </w:r>
      <w:r>
        <w:rPr>
          <w:rFonts w:hint="default" w:ascii="Times New Roman" w:hAnsi="Times New Roman" w:cs="Times New Roman"/>
          <w:spacing w:val="-48"/>
        </w:rPr>
        <w:t xml:space="preserve"> </w:t>
      </w:r>
      <w:r>
        <w:rPr>
          <w:rFonts w:hint="default" w:ascii="Times New Roman" w:hAnsi="Times New Roman" w:cs="Times New Roman"/>
          <w:b/>
          <w:bCs/>
          <w:spacing w:val="1"/>
        </w:rPr>
        <w:t>、</w:t>
      </w:r>
      <w:r>
        <w:rPr>
          <w:rFonts w:hint="eastAsia" w:ascii="Times New Roman" w:hAnsi="Times New Roman" w:cs="Times New Roman"/>
          <w:b/>
          <w:bCs/>
          <w:spacing w:val="1"/>
          <w:lang w:eastAsia="zh-CN"/>
        </w:rPr>
        <w:t>工作简况</w:t>
      </w:r>
      <w:bookmarkEnd w:id="0"/>
    </w:p>
    <w:p w14:paraId="3B88620F">
      <w:pPr>
        <w:pStyle w:val="3"/>
        <w:spacing w:before="240" w:after="160" w:line="360" w:lineRule="auto"/>
      </w:pPr>
      <w:bookmarkStart w:id="1" w:name="_Toc29592"/>
      <w:r>
        <w:rPr>
          <w:rFonts w:ascii="Times New Roman" w:hAnsi="Times New Roman" w:eastAsia="宋体" w:cs="Times New Roman"/>
          <w:b/>
          <w:bCs/>
          <w:sz w:val="28"/>
          <w:szCs w:val="28"/>
        </w:rPr>
        <w:t>（一）任务来源</w:t>
      </w:r>
    </w:p>
    <w:p w14:paraId="770B4591">
      <w:pPr>
        <w:spacing w:after="120" w:line="360" w:lineRule="auto"/>
        <w:ind w:firstLine="480"/>
      </w:pPr>
      <w:r>
        <w:rPr>
          <w:rFonts w:ascii="Times New Roman" w:hAnsi="Times New Roman" w:eastAsia="宋体" w:cs="Times New Roman"/>
          <w:sz w:val="24"/>
          <w:szCs w:val="24"/>
        </w:rPr>
        <w:t>2024年，《中国计量协会关于下达2024年第二批团体标准计划项目的通知》（中计协函〔2024〕197号）明确立项开展《水基钻井液</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在线检测方法》团体标准编制。本标准由中国计量协会提出并归口，四川省生态环境科学研究院牵头，</w:t>
      </w:r>
      <w:r>
        <w:rPr>
          <w:rFonts w:hint="eastAsia" w:ascii="Times New Roman" w:hAnsi="Times New Roman" w:eastAsia="宋体" w:cs="Times New Roman"/>
          <w:sz w:val="24"/>
          <w:szCs w:val="24"/>
        </w:rPr>
        <w:t>中国测试技术研究院、西南石油大学</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中国石油集团工程技术研究院有限公司、中国地质大学（北京）、中国检验认证集团测试技术有限公司、四川大学、成都理工大学、成都艾立本科技有限公司。</w:t>
      </w:r>
      <w:r>
        <w:rPr>
          <w:rFonts w:ascii="Times New Roman" w:hAnsi="Times New Roman" w:eastAsia="宋体" w:cs="Times New Roman"/>
          <w:sz w:val="24"/>
          <w:szCs w:val="24"/>
        </w:rPr>
        <w:t>共同制定。标准旨在通过系统化</w:t>
      </w:r>
      <w:r>
        <w:rPr>
          <w:rFonts w:hint="eastAsia" w:ascii="Times New Roman" w:hAnsi="Times New Roman" w:eastAsia="宋体" w:cs="Times New Roman"/>
          <w:sz w:val="24"/>
          <w:szCs w:val="24"/>
          <w:lang w:eastAsia="zh-CN"/>
        </w:rPr>
        <w:t>研究，</w:t>
      </w:r>
      <w:r>
        <w:rPr>
          <w:rFonts w:ascii="Times New Roman" w:hAnsi="Times New Roman" w:eastAsia="宋体" w:cs="Times New Roman"/>
          <w:sz w:val="24"/>
          <w:szCs w:val="24"/>
        </w:rPr>
        <w:t>建立适配水基钻井液特殊基质特性的</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在线检测专项技术标准，为构建</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油气钻井工作液NQI关键技术体系</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提供标准化支撑。</w:t>
      </w:r>
    </w:p>
    <w:p w14:paraId="198C912B">
      <w:pPr>
        <w:pStyle w:val="3"/>
        <w:spacing w:before="240" w:after="160" w:line="360" w:lineRule="auto"/>
      </w:pPr>
      <w:r>
        <w:rPr>
          <w:rFonts w:ascii="Times New Roman" w:hAnsi="Times New Roman" w:eastAsia="宋体" w:cs="Times New Roman"/>
          <w:b/>
          <w:bCs/>
          <w:sz w:val="28"/>
          <w:szCs w:val="28"/>
        </w:rPr>
        <w:t>（二）起草工作组人员构成及其所做的工作</w:t>
      </w:r>
    </w:p>
    <w:p w14:paraId="2F27307B">
      <w:pPr>
        <w:spacing w:after="120" w:line="360" w:lineRule="auto"/>
        <w:ind w:firstLine="480"/>
      </w:pPr>
      <w:r>
        <w:rPr>
          <w:rFonts w:hint="eastAsia" w:ascii="Times New Roman" w:hAnsi="Times New Roman" w:eastAsia="宋体" w:cs="Times New Roman"/>
          <w:sz w:val="24"/>
          <w:szCs w:val="24"/>
          <w:lang w:eastAsia="zh-CN"/>
        </w:rPr>
        <w:t>标准立项</w:t>
      </w:r>
      <w:r>
        <w:rPr>
          <w:rFonts w:ascii="Times New Roman" w:hAnsi="Times New Roman" w:eastAsia="宋体" w:cs="Times New Roman"/>
          <w:sz w:val="24"/>
          <w:szCs w:val="24"/>
        </w:rPr>
        <w:t>批复后，四川省生态环境科学研究院牵头成立标准编制组，</w:t>
      </w:r>
      <w:r>
        <w:rPr>
          <w:rFonts w:hint="eastAsia" w:ascii="Times New Roman" w:hAnsi="Times New Roman" w:eastAsia="宋体" w:cs="Times New Roman"/>
          <w:sz w:val="24"/>
          <w:szCs w:val="24"/>
        </w:rPr>
        <w:t>中国测试技术研究院、西南石油大学</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中国石油集团工程技术研究院有限公司、中国地质大学（北京）、中国检验认证集团测试技术有限公司、四川大学、成都理工大学、成都艾立本科技有限公司</w:t>
      </w:r>
      <w:r>
        <w:rPr>
          <w:rFonts w:ascii="Times New Roman" w:hAnsi="Times New Roman" w:eastAsia="宋体" w:cs="Times New Roman"/>
          <w:sz w:val="24"/>
          <w:szCs w:val="24"/>
        </w:rPr>
        <w:t>参与制定工作。其中，四川省生态环境科学研究院负责标准编制的总体组织、技术路线确定、标准文本及编制说明的起草与统稿；中国测试技术研究院、西南石油大学</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中国石油集团工程技术研究院有限公司、中国地质大学（北京）、中国检验认证集团测试技术有限公司</w:t>
      </w:r>
      <w:r>
        <w:rPr>
          <w:rFonts w:ascii="Times New Roman" w:hAnsi="Times New Roman" w:eastAsia="宋体" w:cs="Times New Roman"/>
          <w:sz w:val="24"/>
          <w:szCs w:val="24"/>
        </w:rPr>
        <w:t>参与在线检测仪器设备研发、现场试验与方法验证</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四川大学、成都理工大学、成都艾立本科技有限公司</w:t>
      </w:r>
      <w:r>
        <w:rPr>
          <w:rFonts w:hint="eastAsia" w:ascii="Times New Roman" w:hAnsi="Times New Roman" w:eastAsia="宋体" w:cs="Times New Roman"/>
          <w:sz w:val="24"/>
          <w:szCs w:val="24"/>
          <w:lang w:eastAsia="zh-CN"/>
        </w:rPr>
        <w:t>开展</w:t>
      </w:r>
      <w:r>
        <w:rPr>
          <w:rFonts w:ascii="Times New Roman" w:hAnsi="Times New Roman" w:eastAsia="宋体" w:cs="Times New Roman"/>
          <w:sz w:val="24"/>
          <w:szCs w:val="24"/>
        </w:rPr>
        <w:t>关键技术参数确认等工作。</w:t>
      </w:r>
    </w:p>
    <w:p w14:paraId="085613D2">
      <w:pPr>
        <w:pStyle w:val="3"/>
        <w:spacing w:before="240" w:after="160" w:line="360" w:lineRule="auto"/>
      </w:pPr>
      <w:r>
        <w:rPr>
          <w:rFonts w:ascii="Times New Roman" w:hAnsi="Times New Roman" w:eastAsia="宋体" w:cs="Times New Roman"/>
          <w:b/>
          <w:bCs/>
          <w:sz w:val="28"/>
          <w:szCs w:val="28"/>
        </w:rPr>
        <w:t>（三）主要工作过程</w:t>
      </w:r>
    </w:p>
    <w:p w14:paraId="283D901A">
      <w:pPr>
        <w:spacing w:after="120" w:line="360" w:lineRule="auto"/>
        <w:ind w:firstLine="480"/>
      </w:pPr>
      <w:r>
        <w:rPr>
          <w:rFonts w:ascii="Times New Roman" w:hAnsi="Times New Roman" w:eastAsia="宋体" w:cs="Times New Roman"/>
          <w:sz w:val="24"/>
          <w:szCs w:val="24"/>
        </w:rPr>
        <w:t>2025年1月—2025年6月，标准</w:t>
      </w:r>
      <w:r>
        <w:rPr>
          <w:rFonts w:hint="eastAsia" w:ascii="Times New Roman" w:hAnsi="Times New Roman" w:eastAsia="宋体" w:cs="Times New Roman"/>
          <w:sz w:val="24"/>
          <w:szCs w:val="24"/>
          <w:lang w:eastAsia="zh-CN"/>
        </w:rPr>
        <w:t>调研</w:t>
      </w:r>
      <w:r>
        <w:rPr>
          <w:rFonts w:ascii="Times New Roman" w:hAnsi="Times New Roman" w:eastAsia="宋体" w:cs="Times New Roman"/>
          <w:sz w:val="24"/>
          <w:szCs w:val="24"/>
        </w:rPr>
        <w:t>阶段：确定工作思路，制定工作方案及分工情况，开展文献资料调研。</w:t>
      </w:r>
    </w:p>
    <w:p w14:paraId="55DD5469">
      <w:pPr>
        <w:spacing w:after="120" w:line="360" w:lineRule="auto"/>
        <w:ind w:firstLine="480"/>
      </w:pPr>
      <w:r>
        <w:rPr>
          <w:rFonts w:ascii="Times New Roman" w:hAnsi="Times New Roman" w:eastAsia="宋体" w:cs="Times New Roman"/>
          <w:sz w:val="24"/>
          <w:szCs w:val="24"/>
        </w:rPr>
        <w:t>2025年7月—2025年11月，完成水基钻井液</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在线检测仪器设备研发，开展仪器设备安装调试。</w:t>
      </w:r>
    </w:p>
    <w:p w14:paraId="26E24CFA">
      <w:pPr>
        <w:spacing w:after="120" w:line="360" w:lineRule="auto"/>
        <w:ind w:firstLine="480"/>
        <w:rPr>
          <w:rFonts w:ascii="Times New Roman" w:hAnsi="Times New Roman" w:eastAsia="宋体" w:cs="Times New Roman"/>
          <w:sz w:val="24"/>
          <w:szCs w:val="24"/>
        </w:rPr>
      </w:pPr>
      <w:r>
        <w:rPr>
          <w:rFonts w:ascii="Times New Roman" w:hAnsi="Times New Roman" w:eastAsia="宋体" w:cs="Times New Roman"/>
          <w:sz w:val="24"/>
          <w:szCs w:val="24"/>
        </w:rPr>
        <w:t>2025年12月—2026年</w:t>
      </w:r>
      <w:r>
        <w:rPr>
          <w:rFonts w:hint="eastAsia" w:ascii="Times New Roman" w:hAnsi="Times New Roman" w:eastAsia="宋体" w:cs="Times New Roman"/>
          <w:sz w:val="24"/>
          <w:szCs w:val="24"/>
          <w:lang w:val="en-US" w:eastAsia="zh-CN"/>
        </w:rPr>
        <w:t>4</w:t>
      </w:r>
      <w:r>
        <w:rPr>
          <w:rFonts w:ascii="Times New Roman" w:hAnsi="Times New Roman" w:eastAsia="宋体" w:cs="Times New Roman"/>
          <w:sz w:val="24"/>
          <w:szCs w:val="24"/>
        </w:rPr>
        <w:t>月，开展现场试验与方法验证，完成水基钻井液</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在线检测方法及关键参数测量验证，优化预处理参数、干扰消除策略及性能指标，形成标准征求意见稿及其编制说明。</w:t>
      </w:r>
    </w:p>
    <w:p w14:paraId="212B66CD">
      <w:pPr>
        <w:pStyle w:val="3"/>
        <w:bidi w:val="0"/>
        <w:outlineLvl w:val="1"/>
        <w:rPr>
          <w:rFonts w:hint="default" w:ascii="Times New Roman" w:hAnsi="Times New Roman" w:cs="Times New Roman"/>
          <w:b/>
          <w:bCs/>
          <w:spacing w:val="1"/>
        </w:rPr>
      </w:pPr>
      <w:r>
        <w:rPr>
          <w:rFonts w:hint="default" w:ascii="Times New Roman" w:hAnsi="Times New Roman" w:cs="Times New Roman"/>
          <w:b/>
          <w:bCs/>
          <w:spacing w:val="1"/>
        </w:rPr>
        <w:t>二、标准编制原则和确定标准主要内容的论据</w:t>
      </w:r>
    </w:p>
    <w:p w14:paraId="16A7936D">
      <w:pPr>
        <w:pStyle w:val="3"/>
        <w:spacing w:before="240" w:after="160" w:line="360" w:lineRule="auto"/>
      </w:pPr>
      <w:r>
        <w:rPr>
          <w:rFonts w:ascii="Times New Roman" w:hAnsi="Times New Roman" w:eastAsia="宋体" w:cs="Times New Roman"/>
          <w:b/>
          <w:bCs/>
          <w:sz w:val="28"/>
          <w:szCs w:val="28"/>
        </w:rPr>
        <w:t>（一）标准编制原则</w:t>
      </w:r>
    </w:p>
    <w:p w14:paraId="0E9573AE">
      <w:pPr>
        <w:spacing w:after="120" w:line="360" w:lineRule="auto"/>
        <w:ind w:firstLine="480"/>
      </w:pPr>
      <w:r>
        <w:rPr>
          <w:rFonts w:ascii="Times New Roman" w:hAnsi="Times New Roman" w:eastAsia="宋体" w:cs="Times New Roman"/>
          <w:sz w:val="24"/>
          <w:szCs w:val="24"/>
        </w:rPr>
        <w:t>1．结构规范性原则。本标准严格按照GB/T 1.1—2020《标准化工作导则 第1部分：标准化文件的结构和起草规则》以及GB/T 20001.4—2015《标准编写规则 第4部分：试验方法标准》的规定起草。</w:t>
      </w:r>
    </w:p>
    <w:p w14:paraId="65E4A93E">
      <w:pPr>
        <w:spacing w:after="120" w:line="360" w:lineRule="auto"/>
        <w:ind w:firstLine="480"/>
      </w:pPr>
      <w:r>
        <w:rPr>
          <w:rFonts w:ascii="Times New Roman" w:hAnsi="Times New Roman" w:eastAsia="宋体" w:cs="Times New Roman"/>
          <w:sz w:val="24"/>
          <w:szCs w:val="24"/>
        </w:rPr>
        <w:t>2．技术适配性原则。针对水基钻井液固相含量高、氯离子浓度高等基质特性</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优化样品预处理流程与干扰消除策略，确保方法适配钻井现场工况；技术指标基于现场试验数据确定，兼顾方法的先进性与实用性，与项目研发的在线检测设备性能参数完全匹配。</w:t>
      </w:r>
    </w:p>
    <w:p w14:paraId="7FBC794C">
      <w:pPr>
        <w:spacing w:after="120" w:line="360" w:lineRule="auto"/>
        <w:ind w:firstLine="480"/>
      </w:pPr>
      <w:r>
        <w:rPr>
          <w:rFonts w:ascii="Times New Roman" w:hAnsi="Times New Roman" w:eastAsia="宋体" w:cs="Times New Roman"/>
          <w:sz w:val="24"/>
          <w:szCs w:val="24"/>
        </w:rPr>
        <w:t>3．可操作性原则。明确试剂配制、样品预处理、仪器校准、检测操作等关键具体参数，配套氯离子简易粗判方法，避免模糊表述，便于现场运维人员执行</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性能指标与质量控制要求量化明确，便于检测结果的验证与考核。</w:t>
      </w:r>
    </w:p>
    <w:p w14:paraId="461A31B7">
      <w:pPr>
        <w:spacing w:after="120" w:line="360" w:lineRule="auto"/>
        <w:ind w:firstLine="480"/>
      </w:pPr>
      <w:r>
        <w:rPr>
          <w:rFonts w:ascii="Times New Roman" w:hAnsi="Times New Roman" w:eastAsia="宋体" w:cs="Times New Roman"/>
          <w:sz w:val="24"/>
          <w:szCs w:val="24"/>
        </w:rPr>
        <w:t>4．标准协调性原则。本标准与HJ 377《化学需氧量（</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）水质在线自动监测仪技术要求及检测方法》、HJ 828《水质 化学需氧量的测定 重铬酸盐法》、</w:t>
      </w:r>
      <w:r>
        <w:rPr>
          <w:rFonts w:hint="eastAsia" w:ascii="Times New Roman" w:hAnsi="Times New Roman" w:eastAsia="宋体" w:cs="Times New Roman"/>
          <w:sz w:val="24"/>
          <w:szCs w:val="24"/>
          <w:lang w:eastAsia="zh-CN"/>
        </w:rPr>
        <w:t>HJ 70</w:t>
      </w:r>
      <w:r>
        <w:rPr>
          <w:rFonts w:ascii="Times New Roman" w:hAnsi="Times New Roman" w:eastAsia="宋体" w:cs="Times New Roman"/>
          <w:sz w:val="24"/>
          <w:szCs w:val="24"/>
        </w:rPr>
        <w:t>《高氯废水 化学需氧量的测定 氯气校正法》、HJ 132《高氯废水 化学需氧量的测定 碘化钾碱性高锰酸钾法》等国家及行业标准保持技术衔接，确保方法的兼容性。</w:t>
      </w:r>
    </w:p>
    <w:p w14:paraId="0E873ED7">
      <w:pPr>
        <w:spacing w:after="120" w:line="360" w:lineRule="auto"/>
        <w:ind w:firstLine="480"/>
      </w:pPr>
      <w:r>
        <w:rPr>
          <w:rFonts w:ascii="Times New Roman" w:hAnsi="Times New Roman" w:eastAsia="宋体" w:cs="Times New Roman"/>
          <w:sz w:val="24"/>
          <w:szCs w:val="24"/>
        </w:rPr>
        <w:t>此外，本标准在编制过程中按照JJF 1071</w:t>
      </w:r>
      <w:r>
        <w:rPr>
          <w:rFonts w:hint="eastAsia" w:ascii="Times New Roman" w:hAnsi="Times New Roman" w:eastAsia="宋体" w:cs="Times New Roman"/>
          <w:sz w:val="24"/>
          <w:szCs w:val="24"/>
          <w:lang w:val="en-US" w:eastAsia="zh-CN"/>
        </w:rPr>
        <w:t>-</w:t>
      </w:r>
      <w:r>
        <w:rPr>
          <w:rFonts w:ascii="Times New Roman" w:hAnsi="Times New Roman" w:eastAsia="宋体" w:cs="Times New Roman"/>
          <w:sz w:val="24"/>
          <w:szCs w:val="24"/>
        </w:rPr>
        <w:t>2010《国家计量校准规范编写规则》和JJF 1059.1</w:t>
      </w:r>
      <w:r>
        <w:rPr>
          <w:rFonts w:hint="eastAsia" w:ascii="Times New Roman" w:hAnsi="Times New Roman" w:eastAsia="宋体" w:cs="Times New Roman"/>
          <w:sz w:val="24"/>
          <w:szCs w:val="24"/>
          <w:lang w:val="en-US" w:eastAsia="zh-CN"/>
        </w:rPr>
        <w:t>-</w:t>
      </w:r>
      <w:r>
        <w:rPr>
          <w:rFonts w:ascii="Times New Roman" w:hAnsi="Times New Roman" w:eastAsia="宋体" w:cs="Times New Roman"/>
          <w:sz w:val="24"/>
          <w:szCs w:val="24"/>
        </w:rPr>
        <w:t>2012《测量不确定度评定与表示》相关要求，进行了检出限、示值误差等测量。</w:t>
      </w:r>
    </w:p>
    <w:p w14:paraId="6989B004">
      <w:pPr>
        <w:pStyle w:val="3"/>
        <w:spacing w:before="240" w:after="160" w:line="360" w:lineRule="auto"/>
      </w:pPr>
      <w:r>
        <w:rPr>
          <w:rFonts w:ascii="Times New Roman" w:hAnsi="Times New Roman" w:eastAsia="宋体" w:cs="Times New Roman"/>
          <w:b/>
          <w:bCs/>
          <w:sz w:val="28"/>
          <w:szCs w:val="28"/>
        </w:rPr>
        <w:t>（二）确定标准主要内容的论据</w:t>
      </w:r>
    </w:p>
    <w:p w14:paraId="1F800465">
      <w:pPr>
        <w:spacing w:after="120" w:line="360" w:lineRule="auto"/>
        <w:ind w:firstLine="480"/>
        <w:rPr>
          <w:rFonts w:ascii="Times New Roman" w:hAnsi="Times New Roman" w:eastAsia="宋体" w:cs="Times New Roman"/>
          <w:b/>
          <w:bCs/>
          <w:sz w:val="24"/>
          <w:szCs w:val="24"/>
        </w:rPr>
      </w:pPr>
      <w:r>
        <w:rPr>
          <w:rFonts w:ascii="Times New Roman" w:hAnsi="Times New Roman" w:eastAsia="宋体" w:cs="Times New Roman"/>
          <w:b/>
          <w:bCs/>
          <w:sz w:val="24"/>
          <w:szCs w:val="24"/>
        </w:rPr>
        <w:t>1．适用范围与检测范围</w:t>
      </w:r>
    </w:p>
    <w:p w14:paraId="5ABAE538">
      <w:pPr>
        <w:spacing w:after="120" w:line="360" w:lineRule="auto"/>
        <w:ind w:firstLine="480"/>
      </w:pPr>
      <w:r>
        <w:rPr>
          <w:rFonts w:ascii="Times New Roman" w:hAnsi="Times New Roman" w:eastAsia="宋体" w:cs="Times New Roman"/>
          <w:sz w:val="24"/>
          <w:szCs w:val="24"/>
        </w:rPr>
        <w:t>本标准适用于石油天然气开采过程水基钻井液的化学需氧量（</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）在线自动检测，量程范围包含15 mg/L～2000 mg/L（ρ(Cl</w:t>
      </w:r>
      <w:r>
        <w:rPr>
          <w:rFonts w:hint="eastAsia" w:ascii="Times New Roman" w:hAnsi="Times New Roman" w:eastAsia="宋体" w:cs="Times New Roman"/>
          <w:sz w:val="24"/>
          <w:szCs w:val="24"/>
          <w:vertAlign w:val="superscript"/>
          <w:lang w:val="en-US" w:eastAsia="zh-CN"/>
        </w:rPr>
        <w:t>-</w:t>
      </w:r>
      <w:r>
        <w:rPr>
          <w:rFonts w:ascii="Times New Roman" w:hAnsi="Times New Roman" w:eastAsia="宋体" w:cs="Times New Roman"/>
          <w:sz w:val="24"/>
          <w:szCs w:val="24"/>
        </w:rPr>
        <w:t>)≤1000 mg/L），对于ρ(</w:t>
      </w:r>
      <w:r>
        <w:rPr>
          <w:rFonts w:hint="eastAsia" w:ascii="Times New Roman" w:hAnsi="Times New Roman" w:eastAsia="宋体" w:cs="Times New Roman"/>
          <w:sz w:val="24"/>
          <w:szCs w:val="24"/>
          <w:lang w:eastAsia="zh-CN"/>
        </w:rPr>
        <w:t>Cl</w:t>
      </w:r>
      <w:r>
        <w:rPr>
          <w:rFonts w:hint="eastAsia" w:ascii="Times New Roman" w:hAnsi="Times New Roman" w:eastAsia="宋体" w:cs="Times New Roman"/>
          <w:sz w:val="24"/>
          <w:szCs w:val="24"/>
          <w:vertAlign w:val="superscript"/>
          <w:lang w:eastAsia="zh-CN"/>
        </w:rPr>
        <w:t>-</w:t>
      </w:r>
      <w:r>
        <w:rPr>
          <w:rFonts w:ascii="Times New Roman" w:hAnsi="Times New Roman" w:eastAsia="宋体" w:cs="Times New Roman"/>
          <w:sz w:val="24"/>
          <w:szCs w:val="24"/>
        </w:rPr>
        <w:t>)＞1000 mg/L的水基钻井液，需经预处理后检测。结合项目研发仪器硬件能力，同时衔接HJ 377的要求，确定基本检测范围为15 mg/L～200 mg/L、扩展检测范围为200 mg/L～2000 mg/L，高浓度样品经稀释后检测，覆盖实际污染浓度范围。</w:t>
      </w:r>
    </w:p>
    <w:p w14:paraId="6659E82A">
      <w:pPr>
        <w:numPr>
          <w:ilvl w:val="0"/>
          <w:numId w:val="0"/>
        </w:numPr>
        <w:spacing w:after="120" w:line="360" w:lineRule="auto"/>
        <w:ind w:firstLine="480" w:firstLineChars="0"/>
        <w:rPr>
          <w:rFonts w:ascii="Times New Roman" w:hAnsi="Times New Roman" w:eastAsia="宋体" w:cs="Times New Roman"/>
          <w:b/>
          <w:bCs/>
          <w:sz w:val="24"/>
          <w:szCs w:val="24"/>
        </w:rPr>
      </w:pPr>
      <w:r>
        <w:rPr>
          <w:rFonts w:ascii="Times New Roman" w:hAnsi="Times New Roman" w:eastAsia="宋体" w:cs="Times New Roman"/>
          <w:b/>
          <w:bCs/>
          <w:snapToGrid w:val="0"/>
          <w:color w:val="000000"/>
          <w:kern w:val="0"/>
          <w:sz w:val="24"/>
          <w:szCs w:val="24"/>
          <w:lang w:val="en-US" w:eastAsia="en-US" w:bidi="ar-SA"/>
        </w:rPr>
        <w:t>2．</w:t>
      </w:r>
      <w:r>
        <w:rPr>
          <w:rFonts w:ascii="Times New Roman" w:hAnsi="Times New Roman" w:eastAsia="宋体" w:cs="Times New Roman"/>
          <w:b/>
          <w:bCs/>
          <w:sz w:val="24"/>
          <w:szCs w:val="24"/>
        </w:rPr>
        <w:t>方法原理</w:t>
      </w:r>
    </w:p>
    <w:p w14:paraId="6DDD887F">
      <w:pPr>
        <w:numPr>
          <w:ilvl w:val="0"/>
          <w:numId w:val="0"/>
        </w:numPr>
        <w:spacing w:after="120"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的测量原理为重铬酸钾高温消解法：水基钻井液样品经均质、过滤预处理后，在酸性条件下加入强氧化剂重铬酸钾消解溶液、催化剂硫酸银溶液等试剂混合，在高温条件下快速消解，重铬酸根离子被样品中的还原性物质还原为三价铬离子，颜色变化程度与样品中</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浓度呈定量关系，仪器通过分光光度法检测特定波长下（600 nm±20 nm）的吸光度变化，经校准曲线计算后换算成</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值。消解条件确定为消解温度165 ℃±2 ℃、消解时间15 min±1 min。</w:t>
      </w:r>
    </w:p>
    <w:p w14:paraId="3F86FCD2">
      <w:pPr>
        <w:numPr>
          <w:ilvl w:val="0"/>
          <w:numId w:val="0"/>
        </w:numPr>
        <w:spacing w:after="120" w:line="360" w:lineRule="auto"/>
        <w:ind w:firstLine="480" w:firstLineChars="0"/>
        <w:rPr>
          <w:rFonts w:hint="eastAsia" w:ascii="Times New Roman" w:hAnsi="Times New Roman" w:eastAsia="宋体" w:cs="Times New Roman"/>
          <w:sz w:val="24"/>
          <w:szCs w:val="24"/>
          <w:lang w:eastAsia="zh-CN"/>
        </w:rPr>
      </w:pPr>
      <w:r>
        <w:rPr>
          <w:rFonts w:hint="eastAsia" w:ascii="Times New Roman" w:hAnsi="Times New Roman" w:eastAsia="宋体" w:cs="Times New Roman"/>
          <w:b/>
          <w:bCs/>
          <w:snapToGrid w:val="0"/>
          <w:color w:val="000000"/>
          <w:kern w:val="0"/>
          <w:sz w:val="24"/>
          <w:szCs w:val="24"/>
          <w:lang w:val="en-US" w:eastAsia="zh-CN" w:bidi="ar-SA"/>
        </w:rPr>
        <w:t>3</w:t>
      </w:r>
      <w:r>
        <w:rPr>
          <w:rFonts w:ascii="Times New Roman" w:hAnsi="Times New Roman" w:eastAsia="宋体" w:cs="Times New Roman"/>
          <w:b/>
          <w:bCs/>
          <w:snapToGrid w:val="0"/>
          <w:color w:val="000000"/>
          <w:kern w:val="0"/>
          <w:sz w:val="24"/>
          <w:szCs w:val="24"/>
          <w:lang w:val="en-US" w:eastAsia="en-US" w:bidi="ar-SA"/>
        </w:rPr>
        <w:t>．</w:t>
      </w:r>
      <w:r>
        <w:rPr>
          <w:rFonts w:hint="eastAsia" w:ascii="Times New Roman" w:hAnsi="Times New Roman" w:eastAsia="宋体" w:cs="Times New Roman"/>
          <w:b/>
          <w:bCs/>
          <w:snapToGrid w:val="0"/>
          <w:color w:val="000000"/>
          <w:kern w:val="0"/>
          <w:sz w:val="24"/>
          <w:szCs w:val="24"/>
          <w:lang w:val="en-US" w:eastAsia="zh-CN" w:bidi="ar-SA"/>
        </w:rPr>
        <w:t>仪器设备</w:t>
      </w:r>
    </w:p>
    <w:p w14:paraId="44F52346">
      <w:pPr>
        <w:numPr>
          <w:ilvl w:val="0"/>
          <w:numId w:val="0"/>
        </w:numPr>
        <w:spacing w:after="120"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钻井液特征污染物在线检测仪主要由</w:t>
      </w:r>
      <w:r>
        <w:rPr>
          <w:rFonts w:hint="eastAsia" w:ascii="Times New Roman" w:hAnsi="Times New Roman" w:eastAsia="宋体" w:cs="Times New Roman"/>
          <w:sz w:val="24"/>
          <w:szCs w:val="24"/>
        </w:rPr>
        <w:t>预处理模块</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进样计量模块</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消解模块</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测试模块</w:t>
      </w:r>
      <w:r>
        <w:rPr>
          <w:rFonts w:hint="eastAsia" w:ascii="Times New Roman" w:hAnsi="Times New Roman" w:eastAsia="宋体" w:cs="Times New Roman"/>
          <w:sz w:val="24"/>
          <w:szCs w:val="24"/>
          <w:lang w:eastAsia="zh-CN"/>
        </w:rPr>
        <w:t>、控制模块组成：</w:t>
      </w:r>
      <w:r>
        <w:rPr>
          <w:rFonts w:hint="eastAsia" w:ascii="Times New Roman" w:hAnsi="Times New Roman" w:eastAsia="宋体" w:cs="Times New Roman"/>
          <w:sz w:val="24"/>
          <w:szCs w:val="24"/>
        </w:rPr>
        <w:t>预处理模块</w:t>
      </w:r>
      <w:r>
        <w:rPr>
          <w:rFonts w:hint="eastAsia" w:ascii="Times New Roman" w:hAnsi="Times New Roman" w:eastAsia="宋体" w:cs="Times New Roman"/>
          <w:sz w:val="24"/>
          <w:szCs w:val="24"/>
          <w:lang w:eastAsia="zh-CN"/>
        </w:rPr>
        <w:t>实现样品</w:t>
      </w:r>
      <w:r>
        <w:rPr>
          <w:rFonts w:hint="eastAsia" w:ascii="Times New Roman" w:hAnsi="Times New Roman" w:eastAsia="宋体" w:cs="Times New Roman"/>
          <w:sz w:val="24"/>
          <w:szCs w:val="24"/>
        </w:rPr>
        <w:t>均质化、过滤、反冲洗功能</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进样计量模块具备自动稀释功能，稀释比例可调</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消解模块使用重铬酸钾强氧化剂体系，将水样中的有机物和无机还原性物质氧化至要求程度</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测试模块通过控制单元完成对待测物质的自动在线分析，将吸光度信号转换成电信号输出</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控制模块实现进样、消解、排液等全流程自动化操作</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通信协议符合HJ 212要求。</w:t>
      </w:r>
    </w:p>
    <w:p w14:paraId="7F9C9799">
      <w:pPr>
        <w:numPr>
          <w:ilvl w:val="0"/>
          <w:numId w:val="0"/>
        </w:numPr>
        <w:spacing w:after="120" w:line="360" w:lineRule="auto"/>
        <w:ind w:left="0" w:leftChars="0" w:firstLine="480" w:firstLineChars="0"/>
        <w:rPr>
          <w:rFonts w:ascii="Times New Roman" w:hAnsi="Times New Roman" w:eastAsia="宋体" w:cs="Times New Roman"/>
          <w:b/>
          <w:bCs/>
          <w:sz w:val="24"/>
          <w:szCs w:val="24"/>
        </w:rPr>
      </w:pPr>
      <w:r>
        <w:rPr>
          <w:rFonts w:hint="eastAsia" w:ascii="Times New Roman" w:hAnsi="Times New Roman" w:eastAsia="宋体" w:cs="Times New Roman"/>
          <w:b/>
          <w:bCs/>
          <w:snapToGrid w:val="0"/>
          <w:color w:val="000000"/>
          <w:kern w:val="0"/>
          <w:sz w:val="24"/>
          <w:szCs w:val="24"/>
          <w:lang w:val="en-US" w:eastAsia="zh-CN" w:bidi="ar-SA"/>
        </w:rPr>
        <w:t>4</w:t>
      </w:r>
      <w:r>
        <w:rPr>
          <w:rFonts w:ascii="Times New Roman" w:hAnsi="Times New Roman" w:eastAsia="宋体" w:cs="Times New Roman"/>
          <w:b/>
          <w:bCs/>
          <w:snapToGrid w:val="0"/>
          <w:color w:val="000000"/>
          <w:kern w:val="0"/>
          <w:sz w:val="24"/>
          <w:szCs w:val="24"/>
          <w:lang w:val="en-US" w:eastAsia="en-US" w:bidi="ar-SA"/>
        </w:rPr>
        <w:t>．</w:t>
      </w:r>
      <w:r>
        <w:rPr>
          <w:rFonts w:ascii="Times New Roman" w:hAnsi="Times New Roman" w:eastAsia="宋体" w:cs="Times New Roman"/>
          <w:b/>
          <w:bCs/>
          <w:sz w:val="24"/>
          <w:szCs w:val="24"/>
        </w:rPr>
        <w:t>样品预处理方法及参数</w:t>
      </w:r>
    </w:p>
    <w:p w14:paraId="08533F73">
      <w:pPr>
        <w:numPr>
          <w:ilvl w:val="0"/>
          <w:numId w:val="0"/>
        </w:numPr>
        <w:spacing w:after="120" w:line="360" w:lineRule="auto"/>
        <w:ind w:firstLine="480" w:firstLineChars="200"/>
      </w:pPr>
      <w:r>
        <w:rPr>
          <w:rFonts w:ascii="Times New Roman" w:hAnsi="Times New Roman" w:eastAsia="宋体" w:cs="Times New Roman"/>
          <w:sz w:val="24"/>
          <w:szCs w:val="24"/>
        </w:rPr>
        <w:t>预处理的核心目标是消除基质干扰，去除固相颗粒、掩蔽氯离子、中和碱性，其方法及参数基于现有标准与现场试验数据确定。</w:t>
      </w:r>
    </w:p>
    <w:p w14:paraId="46C4175C">
      <w:pPr>
        <w:spacing w:after="120" w:line="360" w:lineRule="auto"/>
        <w:ind w:firstLine="480"/>
      </w:pPr>
      <w:r>
        <w:rPr>
          <w:rFonts w:ascii="Times New Roman" w:hAnsi="Times New Roman" w:eastAsia="宋体" w:cs="Times New Roman"/>
          <w:sz w:val="24"/>
          <w:szCs w:val="24"/>
        </w:rPr>
        <w:t>（1）浊度修正：水基钻井液因含有大量钻井岩屑等固相颗粒，易形成高浊度体系，而COD检测采用分光光度法，浊度会直接干扰吸光度信号读取，导致测定结果偏高或失真。因此采用以下两种方式针对性处理：一是参考HJ/T 399《水质 化学需氧量的测定 快速消解分光光度法》，对存在浊度干扰的样品，增设</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样品空白</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（不加消解液，仅加酸与掩蔽剂），通过空白试验扣除沉淀浊度对吸光度的贡献，修正COD计算结果；二是参考SY/T 7298《陆上石油天然气钻井环境保护技术规范》，钻井液固液分离可采用离心、压滤等方式，正式测定前先对样品进行均质化搅拌并过滤，除去大颗粒钻井岩屑等导致浊度较高的杂物，从源头降低浊度干扰。</w:t>
      </w:r>
    </w:p>
    <w:p w14:paraId="20D8F870">
      <w:pPr>
        <w:spacing w:after="120" w:line="360" w:lineRule="auto"/>
        <w:ind w:firstLine="480"/>
      </w:pPr>
      <w:r>
        <w:rPr>
          <w:rFonts w:ascii="Times New Roman" w:hAnsi="Times New Roman" w:eastAsia="宋体" w:cs="Times New Roman"/>
          <w:sz w:val="24"/>
          <w:szCs w:val="24"/>
        </w:rPr>
        <w:t>（2）高氯样品预处理：水基钻井液配制过程中常加入氯化钠（NaCl）、氯化钾（KCl）、氯化钙（CaCl</w:t>
      </w:r>
      <w:r>
        <w:rPr>
          <w:rFonts w:hint="eastAsia" w:ascii="Times New Roman" w:hAnsi="Times New Roman" w:eastAsia="宋体" w:cs="Times New Roman"/>
          <w:sz w:val="24"/>
          <w:szCs w:val="24"/>
          <w:vertAlign w:val="subscript"/>
          <w:lang w:val="en-US" w:eastAsia="zh-CN"/>
        </w:rPr>
        <w:t>2</w:t>
      </w:r>
      <w:r>
        <w:rPr>
          <w:rFonts w:ascii="Times New Roman" w:hAnsi="Times New Roman" w:eastAsia="宋体" w:cs="Times New Roman"/>
          <w:sz w:val="24"/>
          <w:szCs w:val="24"/>
        </w:rPr>
        <w:t>）等盐类助剂，导致氯离子含量较高。在COD检测的酸性消解体系中，氯离子会消耗银试剂（硫酸银催化剂），造成测定结果不准确。因此采用硝酸银滴定法（GB 11896）或简易粗判方法（见HJ 828附录A）估算氯离子含量后，按以下分级处理：</w:t>
      </w:r>
    </w:p>
    <w:p w14:paraId="0B7E5B58">
      <w:pPr>
        <w:spacing w:after="120" w:line="360" w:lineRule="auto"/>
        <w:ind w:firstLine="480"/>
      </w:pPr>
      <w:r>
        <w:rPr>
          <w:rFonts w:ascii="Times New Roman" w:hAnsi="Times New Roman" w:eastAsia="宋体" w:cs="Times New Roman"/>
          <w:sz w:val="24"/>
          <w:szCs w:val="24"/>
        </w:rPr>
        <w:t>低氯样品（ρ(</w:t>
      </w:r>
      <w:r>
        <w:rPr>
          <w:rFonts w:hint="eastAsia" w:ascii="Times New Roman" w:hAnsi="Times New Roman" w:eastAsia="宋体" w:cs="Times New Roman"/>
          <w:sz w:val="24"/>
          <w:szCs w:val="24"/>
          <w:lang w:eastAsia="zh-CN"/>
        </w:rPr>
        <w:t>Cl</w:t>
      </w:r>
      <w:r>
        <w:rPr>
          <w:rFonts w:hint="eastAsia" w:ascii="Times New Roman" w:hAnsi="Times New Roman" w:eastAsia="宋体" w:cs="Times New Roman"/>
          <w:sz w:val="24"/>
          <w:szCs w:val="24"/>
          <w:vertAlign w:val="superscript"/>
          <w:lang w:eastAsia="zh-CN"/>
        </w:rPr>
        <w:t>-</w:t>
      </w:r>
      <w:r>
        <w:rPr>
          <w:rFonts w:ascii="Times New Roman" w:hAnsi="Times New Roman" w:eastAsia="宋体" w:cs="Times New Roman"/>
          <w:sz w:val="24"/>
          <w:szCs w:val="24"/>
        </w:rPr>
        <w:t>)≤1000 mg/L）：直接加入硫酸汞掩蔽剂即可。依据HJ 828《水质 化学需氧量的测定 重铬酸盐法》，氯化物浓度小于1000 mg/L的样品中加入的硫酸汞与氯离子质量比≥20∶1时可完全络合氯离子。</w:t>
      </w:r>
    </w:p>
    <w:p w14:paraId="4BC95AA3">
      <w:pPr>
        <w:spacing w:after="120" w:line="360" w:lineRule="auto"/>
        <w:ind w:firstLine="480"/>
      </w:pPr>
      <w:r>
        <w:rPr>
          <w:rFonts w:ascii="Times New Roman" w:hAnsi="Times New Roman" w:eastAsia="宋体" w:cs="Times New Roman"/>
          <w:sz w:val="24"/>
          <w:szCs w:val="24"/>
        </w:rPr>
        <w:t>中氯样品（1000 mg/L＜ρ(</w:t>
      </w:r>
      <w:r>
        <w:rPr>
          <w:rFonts w:hint="eastAsia" w:ascii="Times New Roman" w:hAnsi="Times New Roman" w:eastAsia="宋体" w:cs="Times New Roman"/>
          <w:sz w:val="24"/>
          <w:szCs w:val="24"/>
          <w:lang w:eastAsia="zh-CN"/>
        </w:rPr>
        <w:t>Cl</w:t>
      </w:r>
      <w:r>
        <w:rPr>
          <w:rFonts w:hint="eastAsia" w:ascii="Times New Roman" w:hAnsi="Times New Roman" w:eastAsia="宋体" w:cs="Times New Roman"/>
          <w:sz w:val="24"/>
          <w:szCs w:val="24"/>
          <w:vertAlign w:val="superscript"/>
          <w:lang w:eastAsia="zh-CN"/>
        </w:rPr>
        <w:t>-</w:t>
      </w:r>
      <w:r>
        <w:rPr>
          <w:rFonts w:ascii="Times New Roman" w:hAnsi="Times New Roman" w:eastAsia="宋体" w:cs="Times New Roman"/>
          <w:sz w:val="24"/>
          <w:szCs w:val="24"/>
        </w:rPr>
        <w:t>)≤20000 mg/L）：HJ 828不适用于含氯化物浓度大于1000 mg/L的废水，可选择两种预处理方式：一是用无还原性蒸馏水稀释至ρ(</w:t>
      </w:r>
      <w:r>
        <w:rPr>
          <w:rFonts w:hint="eastAsia" w:ascii="Times New Roman" w:hAnsi="Times New Roman" w:eastAsia="宋体" w:cs="Times New Roman"/>
          <w:sz w:val="24"/>
          <w:szCs w:val="24"/>
          <w:lang w:eastAsia="zh-CN"/>
        </w:rPr>
        <w:t>Cl</w:t>
      </w:r>
      <w:r>
        <w:rPr>
          <w:rFonts w:hint="eastAsia" w:ascii="Times New Roman" w:hAnsi="Times New Roman" w:eastAsia="宋体" w:cs="Times New Roman"/>
          <w:sz w:val="24"/>
          <w:szCs w:val="24"/>
          <w:vertAlign w:val="superscript"/>
          <w:lang w:eastAsia="zh-CN"/>
        </w:rPr>
        <w:t>-</w:t>
      </w:r>
      <w:r>
        <w:rPr>
          <w:rFonts w:ascii="Times New Roman" w:hAnsi="Times New Roman" w:eastAsia="宋体" w:cs="Times New Roman"/>
          <w:sz w:val="24"/>
          <w:szCs w:val="24"/>
        </w:rPr>
        <w:t>)≤1000 mg/L后测定，参考HJ/T 399—2007要求，稀释倍数不宜过高，避免导致COD浓度低于方法定量下限，本标准规定稀释倍数控制在20倍以内，然后加入硫酸汞掩蔽剂；二是不稀释样品，采用氯气校正法（</w:t>
      </w:r>
      <w:r>
        <w:rPr>
          <w:rFonts w:hint="eastAsia" w:ascii="Times New Roman" w:hAnsi="Times New Roman" w:eastAsia="宋体" w:cs="Times New Roman"/>
          <w:sz w:val="24"/>
          <w:szCs w:val="24"/>
          <w:lang w:eastAsia="zh-CN"/>
        </w:rPr>
        <w:t>HJ 70</w:t>
      </w:r>
      <w:r>
        <w:rPr>
          <w:rFonts w:ascii="Times New Roman" w:hAnsi="Times New Roman" w:eastAsia="宋体" w:cs="Times New Roman"/>
          <w:sz w:val="24"/>
          <w:szCs w:val="24"/>
        </w:rPr>
        <w:t>），通过差值法计算真实COD值，该方法适用于氯离子浓度≤20000 mg/L的高氯废水。</w:t>
      </w:r>
    </w:p>
    <w:p w14:paraId="4C1D4152">
      <w:pPr>
        <w:spacing w:after="120" w:line="360" w:lineRule="auto"/>
        <w:ind w:firstLine="480"/>
      </w:pPr>
      <w:r>
        <w:rPr>
          <w:rFonts w:ascii="Times New Roman" w:hAnsi="Times New Roman" w:eastAsia="宋体" w:cs="Times New Roman"/>
          <w:sz w:val="24"/>
          <w:szCs w:val="24"/>
        </w:rPr>
        <w:t>高氯样品（ρ(</w:t>
      </w:r>
      <w:r>
        <w:rPr>
          <w:rFonts w:hint="eastAsia" w:ascii="Times New Roman" w:hAnsi="Times New Roman" w:eastAsia="宋体" w:cs="Times New Roman"/>
          <w:sz w:val="24"/>
          <w:szCs w:val="24"/>
          <w:lang w:eastAsia="zh-CN"/>
        </w:rPr>
        <w:t>Cl</w:t>
      </w:r>
      <w:r>
        <w:rPr>
          <w:rFonts w:hint="eastAsia" w:ascii="Times New Roman" w:hAnsi="Times New Roman" w:eastAsia="宋体" w:cs="Times New Roman"/>
          <w:sz w:val="24"/>
          <w:szCs w:val="24"/>
          <w:vertAlign w:val="superscript"/>
          <w:lang w:eastAsia="zh-CN"/>
        </w:rPr>
        <w:t>-</w:t>
      </w:r>
      <w:r>
        <w:rPr>
          <w:rFonts w:ascii="Times New Roman" w:hAnsi="Times New Roman" w:eastAsia="宋体" w:cs="Times New Roman"/>
          <w:sz w:val="24"/>
          <w:szCs w:val="24"/>
        </w:rPr>
        <w:t>)＞20000 mg/L）：</w:t>
      </w:r>
      <w:r>
        <w:rPr>
          <w:rFonts w:hint="eastAsia" w:ascii="Times New Roman" w:hAnsi="Times New Roman" w:eastAsia="宋体" w:cs="Times New Roman"/>
          <w:sz w:val="24"/>
          <w:szCs w:val="24"/>
          <w:lang w:eastAsia="zh-CN"/>
        </w:rPr>
        <w:t>HJ 70</w:t>
      </w:r>
      <w:r>
        <w:rPr>
          <w:rFonts w:ascii="Times New Roman" w:hAnsi="Times New Roman" w:eastAsia="宋体" w:cs="Times New Roman"/>
          <w:sz w:val="24"/>
          <w:szCs w:val="24"/>
        </w:rPr>
        <w:t>只适用于氯离子含量小于20000 mg/L的废水，可选择两种预处理方式：一是优先稀释至ρ(</w:t>
      </w:r>
      <w:r>
        <w:rPr>
          <w:rFonts w:hint="eastAsia" w:ascii="Times New Roman" w:hAnsi="Times New Roman" w:eastAsia="宋体" w:cs="Times New Roman"/>
          <w:sz w:val="24"/>
          <w:szCs w:val="24"/>
          <w:lang w:eastAsia="zh-CN"/>
        </w:rPr>
        <w:t>Cl</w:t>
      </w:r>
      <w:r>
        <w:rPr>
          <w:rFonts w:hint="eastAsia" w:ascii="Times New Roman" w:hAnsi="Times New Roman" w:eastAsia="宋体" w:cs="Times New Roman"/>
          <w:sz w:val="24"/>
          <w:szCs w:val="24"/>
          <w:vertAlign w:val="superscript"/>
          <w:lang w:eastAsia="zh-CN"/>
        </w:rPr>
        <w:t>-</w:t>
      </w:r>
      <w:r>
        <w:rPr>
          <w:rFonts w:ascii="Times New Roman" w:hAnsi="Times New Roman" w:eastAsia="宋体" w:cs="Times New Roman"/>
          <w:sz w:val="24"/>
          <w:szCs w:val="24"/>
        </w:rPr>
        <w:t>)≤20000 mg/L（稀释倍数控制在20倍以内），再采用氯气校正法（</w:t>
      </w:r>
      <w:r>
        <w:rPr>
          <w:rFonts w:hint="eastAsia" w:ascii="Times New Roman" w:hAnsi="Times New Roman" w:eastAsia="宋体" w:cs="Times New Roman"/>
          <w:sz w:val="24"/>
          <w:szCs w:val="24"/>
          <w:lang w:eastAsia="zh-CN"/>
        </w:rPr>
        <w:t>HJ 70</w:t>
      </w:r>
      <w:r>
        <w:rPr>
          <w:rFonts w:ascii="Times New Roman" w:hAnsi="Times New Roman" w:eastAsia="宋体" w:cs="Times New Roman"/>
          <w:sz w:val="24"/>
          <w:szCs w:val="24"/>
        </w:rPr>
        <w:t>）处理；二是不稀释样品，直接采用碘化钾碱性高锰酸钾法（HJ 132）进行校正测定，该方法专为氯离子含量高达几万至十几万毫克每升的油气田废水设计，适配高氯基质特性。</w:t>
      </w:r>
    </w:p>
    <w:p w14:paraId="0C1100F5">
      <w:pPr>
        <w:spacing w:after="120" w:line="360" w:lineRule="auto"/>
        <w:ind w:firstLine="480"/>
      </w:pPr>
      <w:r>
        <w:rPr>
          <w:rFonts w:ascii="Times New Roman" w:hAnsi="Times New Roman" w:eastAsia="宋体" w:cs="Times New Roman"/>
          <w:sz w:val="24"/>
          <w:szCs w:val="24"/>
        </w:rPr>
        <w:t>（3）酸化预处理：水基钻井液为调节稳定性，常添加碳酸钠（Na</w:t>
      </w:r>
      <w:r>
        <w:rPr>
          <w:rFonts w:hint="eastAsia" w:ascii="Times New Roman" w:hAnsi="Times New Roman" w:eastAsia="宋体" w:cs="Times New Roman"/>
          <w:sz w:val="24"/>
          <w:szCs w:val="24"/>
          <w:vertAlign w:val="subscript"/>
          <w:lang w:val="en-US" w:eastAsia="zh-CN"/>
        </w:rPr>
        <w:t>2</w:t>
      </w:r>
      <w:r>
        <w:rPr>
          <w:rFonts w:ascii="Times New Roman" w:hAnsi="Times New Roman" w:eastAsia="宋体" w:cs="Times New Roman"/>
          <w:sz w:val="24"/>
          <w:szCs w:val="24"/>
        </w:rPr>
        <w:t>CO</w:t>
      </w:r>
      <w:r>
        <w:rPr>
          <w:rFonts w:hint="eastAsia" w:ascii="Times New Roman" w:hAnsi="Times New Roman" w:eastAsia="宋体" w:cs="Times New Roman"/>
          <w:sz w:val="24"/>
          <w:szCs w:val="24"/>
          <w:vertAlign w:val="subscript"/>
          <w:lang w:val="en-US" w:eastAsia="zh-CN"/>
        </w:rPr>
        <w:t>3</w:t>
      </w:r>
      <w:r>
        <w:rPr>
          <w:rFonts w:ascii="Times New Roman" w:hAnsi="Times New Roman" w:eastAsia="宋体" w:cs="Times New Roman"/>
          <w:sz w:val="24"/>
          <w:szCs w:val="24"/>
        </w:rPr>
        <w:t>）、氢氧化钠（NaOH）等碱性助剂，导致样品碱性较高。在COD检测体系中，OH</w:t>
      </w:r>
      <w:r>
        <w:rPr>
          <w:rFonts w:hint="eastAsia" w:ascii="Times New Roman" w:hAnsi="Times New Roman" w:eastAsia="宋体" w:cs="Times New Roman"/>
          <w:sz w:val="24"/>
          <w:szCs w:val="24"/>
          <w:vertAlign w:val="superscript"/>
          <w:lang w:val="en-US" w:eastAsia="zh-CN"/>
        </w:rPr>
        <w:t>-</w:t>
      </w:r>
      <w:r>
        <w:rPr>
          <w:rFonts w:ascii="Times New Roman" w:hAnsi="Times New Roman" w:eastAsia="宋体" w:cs="Times New Roman"/>
          <w:sz w:val="24"/>
          <w:szCs w:val="24"/>
        </w:rPr>
        <w:t>会消耗消解所需的硫酸，降低体系酸度，影响重铬酸钾氧化效率，导致测定结果偏低。因此正式测定前向样品中加入稀硫酸，调节pH至5±0.2</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充分中和OH</w:t>
      </w:r>
      <w:r>
        <w:rPr>
          <w:rFonts w:hint="eastAsia" w:ascii="Times New Roman" w:hAnsi="Times New Roman" w:eastAsia="宋体" w:cs="Times New Roman"/>
          <w:sz w:val="24"/>
          <w:szCs w:val="24"/>
          <w:vertAlign w:val="superscript"/>
          <w:lang w:val="en-US" w:eastAsia="zh-CN"/>
        </w:rPr>
        <w:t>-</w:t>
      </w:r>
      <w:r>
        <w:rPr>
          <w:rFonts w:ascii="Times New Roman" w:hAnsi="Times New Roman" w:eastAsia="宋体" w:cs="Times New Roman"/>
          <w:sz w:val="24"/>
          <w:szCs w:val="24"/>
        </w:rPr>
        <w:t>，并使CO</w:t>
      </w:r>
      <w:r>
        <w:rPr>
          <w:rFonts w:hint="eastAsia" w:ascii="Times New Roman" w:hAnsi="Times New Roman" w:eastAsia="宋体" w:cs="Times New Roman"/>
          <w:sz w:val="24"/>
          <w:szCs w:val="24"/>
          <w:vertAlign w:val="subscript"/>
          <w:lang w:val="en-US" w:eastAsia="zh-CN"/>
        </w:rPr>
        <w:t>3</w:t>
      </w:r>
      <w:r>
        <w:rPr>
          <w:rFonts w:hint="eastAsia" w:ascii="Times New Roman" w:hAnsi="Times New Roman" w:eastAsia="宋体" w:cs="Times New Roman"/>
          <w:sz w:val="24"/>
          <w:szCs w:val="24"/>
          <w:vertAlign w:val="superscript"/>
          <w:lang w:val="en-US" w:eastAsia="zh-CN"/>
        </w:rPr>
        <w:t>2-</w:t>
      </w:r>
      <w:r>
        <w:rPr>
          <w:rFonts w:ascii="Times New Roman" w:hAnsi="Times New Roman" w:eastAsia="宋体" w:cs="Times New Roman"/>
          <w:sz w:val="24"/>
          <w:szCs w:val="24"/>
        </w:rPr>
        <w:t>、HCO</w:t>
      </w:r>
      <w:r>
        <w:rPr>
          <w:rFonts w:hint="eastAsia" w:ascii="Times New Roman" w:hAnsi="Times New Roman" w:eastAsia="宋体" w:cs="Times New Roman"/>
          <w:sz w:val="24"/>
          <w:szCs w:val="24"/>
          <w:vertAlign w:val="subscript"/>
          <w:lang w:val="en-US" w:eastAsia="zh-CN"/>
        </w:rPr>
        <w:t>3</w:t>
      </w:r>
      <w:r>
        <w:rPr>
          <w:rFonts w:hint="eastAsia" w:ascii="Times New Roman" w:hAnsi="Times New Roman" w:eastAsia="宋体" w:cs="Times New Roman"/>
          <w:sz w:val="24"/>
          <w:szCs w:val="24"/>
          <w:vertAlign w:val="superscript"/>
          <w:lang w:val="en-US" w:eastAsia="zh-CN"/>
        </w:rPr>
        <w:t>-</w:t>
      </w:r>
      <w:r>
        <w:rPr>
          <w:rFonts w:ascii="Times New Roman" w:hAnsi="Times New Roman" w:eastAsia="宋体" w:cs="Times New Roman"/>
          <w:sz w:val="24"/>
          <w:szCs w:val="24"/>
        </w:rPr>
        <w:t>完全分解为CO</w:t>
      </w:r>
      <w:r>
        <w:rPr>
          <w:rFonts w:hint="eastAsia" w:ascii="Times New Roman" w:hAnsi="Times New Roman" w:eastAsia="宋体" w:cs="Times New Roman"/>
          <w:sz w:val="24"/>
          <w:szCs w:val="24"/>
          <w:vertAlign w:val="subscript"/>
          <w:lang w:val="en-US" w:eastAsia="zh-CN"/>
        </w:rPr>
        <w:t>2</w:t>
      </w:r>
      <w:r>
        <w:rPr>
          <w:rFonts w:ascii="Times New Roman" w:hAnsi="Times New Roman" w:eastAsia="宋体" w:cs="Times New Roman"/>
          <w:sz w:val="24"/>
          <w:szCs w:val="24"/>
        </w:rPr>
        <w:t>逸出；为避免CO</w:t>
      </w:r>
      <w:r>
        <w:rPr>
          <w:rFonts w:hint="eastAsia" w:ascii="Times New Roman" w:hAnsi="Times New Roman" w:eastAsia="宋体" w:cs="Times New Roman"/>
          <w:sz w:val="24"/>
          <w:szCs w:val="24"/>
          <w:vertAlign w:val="subscript"/>
          <w:lang w:val="en-US" w:eastAsia="zh-CN"/>
        </w:rPr>
        <w:t>2</w:t>
      </w:r>
      <w:r>
        <w:rPr>
          <w:rFonts w:ascii="Times New Roman" w:hAnsi="Times New Roman" w:eastAsia="宋体" w:cs="Times New Roman"/>
          <w:sz w:val="24"/>
          <w:szCs w:val="24"/>
        </w:rPr>
        <w:t>等气泡干扰测定，酸化后静置5 min，待气泡完全消失后再进行后续检测。</w:t>
      </w:r>
    </w:p>
    <w:p w14:paraId="7648CA50">
      <w:pPr>
        <w:spacing w:after="120" w:line="360" w:lineRule="auto"/>
        <w:ind w:firstLine="480"/>
      </w:pPr>
      <w:r>
        <w:rPr>
          <w:rFonts w:ascii="Times New Roman" w:hAnsi="Times New Roman" w:eastAsia="宋体" w:cs="Times New Roman"/>
          <w:sz w:val="24"/>
          <w:szCs w:val="24"/>
        </w:rPr>
        <w:t>（4）反冲洗处理：水基钻井液基质复杂，含固相颗粒、残留化学助剂等，单次样品预处理后，过滤系统、管路内壁易附着残留物质，长期积累会导致管路堵塞、交叉污染，影响下一次检测准确性与仪器连续运行稳定性。因此单次样品预处理完成后，启动自动反冲洗功能，冲洗过滤系统及管路。</w:t>
      </w:r>
    </w:p>
    <w:p w14:paraId="743D8C13">
      <w:pPr>
        <w:spacing w:after="120" w:line="360" w:lineRule="auto"/>
        <w:ind w:firstLine="480"/>
        <w:rPr>
          <w:rFonts w:ascii="Times New Roman" w:hAnsi="Times New Roman" w:eastAsia="宋体" w:cs="Times New Roman"/>
          <w:b/>
          <w:bCs/>
          <w:sz w:val="24"/>
          <w:szCs w:val="24"/>
        </w:rPr>
      </w:pPr>
      <w:r>
        <w:rPr>
          <w:rFonts w:hint="eastAsia" w:ascii="Times New Roman" w:hAnsi="Times New Roman" w:eastAsia="宋体" w:cs="Times New Roman"/>
          <w:b/>
          <w:bCs/>
          <w:sz w:val="24"/>
          <w:szCs w:val="24"/>
          <w:lang w:val="en-US" w:eastAsia="zh-CN"/>
        </w:rPr>
        <w:t>5</w:t>
      </w:r>
      <w:r>
        <w:rPr>
          <w:rFonts w:ascii="Times New Roman" w:hAnsi="Times New Roman" w:eastAsia="宋体" w:cs="Times New Roman"/>
          <w:b/>
          <w:bCs/>
          <w:sz w:val="24"/>
          <w:szCs w:val="24"/>
        </w:rPr>
        <w:t>．性能指标</w:t>
      </w:r>
      <w:r>
        <w:rPr>
          <w:rFonts w:hint="eastAsia" w:ascii="Times New Roman" w:hAnsi="Times New Roman" w:eastAsia="宋体" w:cs="Times New Roman"/>
          <w:b/>
          <w:bCs/>
          <w:sz w:val="24"/>
          <w:szCs w:val="24"/>
          <w:lang w:eastAsia="zh-CN"/>
        </w:rPr>
        <w:t>的</w:t>
      </w:r>
      <w:r>
        <w:rPr>
          <w:rFonts w:ascii="Times New Roman" w:hAnsi="Times New Roman" w:eastAsia="宋体" w:cs="Times New Roman"/>
          <w:b/>
          <w:bCs/>
          <w:sz w:val="24"/>
          <w:szCs w:val="24"/>
        </w:rPr>
        <w:t>确定</w:t>
      </w:r>
    </w:p>
    <w:p w14:paraId="5B2DC7BF">
      <w:pPr>
        <w:spacing w:after="120" w:line="360" w:lineRule="auto"/>
        <w:ind w:firstLine="480"/>
      </w:pPr>
      <w:r>
        <w:rPr>
          <w:rFonts w:ascii="Times New Roman" w:hAnsi="Times New Roman" w:eastAsia="宋体" w:cs="Times New Roman"/>
          <w:sz w:val="24"/>
          <w:szCs w:val="24"/>
        </w:rPr>
        <w:t>核心性能指标通过在线检测仪器的检测结果以及现行相关标准确定。在基本检测范围（15 mg/L～200 mg/L）内，规定示值误差（</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≤40 mg/L：±10%；40 mg/L＜</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≤100 mg/L：±8%；100 mg/L＜</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≤160 mg/L：±5%）、定量下限（≤15 mg/L，示值误差≤±30%）、重复性（≤5%）、24 h低浓度漂移（≤±5 mg/L）、24 h高浓度漂移（≤5%）、记忆效应（≤±5 mg/L）、电压影响（≤±5%）、氯离子影响（≤±10%，ρ(</w:t>
      </w:r>
      <w:r>
        <w:rPr>
          <w:rFonts w:hint="eastAsia" w:ascii="Times New Roman" w:hAnsi="Times New Roman" w:eastAsia="宋体" w:cs="Times New Roman"/>
          <w:sz w:val="24"/>
          <w:szCs w:val="24"/>
          <w:lang w:eastAsia="zh-CN"/>
        </w:rPr>
        <w:t>Cl-</w:t>
      </w:r>
      <w:r>
        <w:rPr>
          <w:rFonts w:ascii="Times New Roman" w:hAnsi="Times New Roman" w:eastAsia="宋体" w:cs="Times New Roman"/>
          <w:sz w:val="24"/>
          <w:szCs w:val="24"/>
        </w:rPr>
        <w:t>)=1000 mg/L）、环境温度影响（≤±5%）、实际样品比对（</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＜50 mg/L：≤±5 mg/L；</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≥50 mg/L：≤±10%）、最小维护周期（≥168 h）、有效数据率（≥90%）、一致性（≥90%）等指标；在扩展检测范围（200 mg/L～2000 mg/L）内，规定示值误差≤±3%、重复性≤5%、24 h高浓度漂移≤3%。各项指标的仪器实测值、标准性能要求及制定依据见表1。</w:t>
      </w:r>
    </w:p>
    <w:p w14:paraId="0EDBD24F">
      <w:pPr>
        <w:spacing w:before="160" w:after="80"/>
        <w:jc w:val="center"/>
        <w:rPr>
          <w:rFonts w:hint="eastAsia" w:ascii="黑体" w:hAnsi="黑体" w:eastAsia="黑体" w:cs="黑体"/>
        </w:rPr>
      </w:pPr>
      <w:r>
        <w:rPr>
          <w:rFonts w:hint="eastAsia" w:ascii="黑体" w:hAnsi="黑体" w:eastAsia="黑体" w:cs="黑体"/>
          <w:b/>
          <w:bCs/>
          <w:sz w:val="21"/>
          <w:szCs w:val="21"/>
        </w:rPr>
        <w:t>表1 性能指标制定依据</w:t>
      </w:r>
    </w:p>
    <w:tbl>
      <w:tblPr>
        <w:tblStyle w:val="11"/>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500"/>
        <w:gridCol w:w="2600"/>
        <w:gridCol w:w="2200"/>
        <w:gridCol w:w="2700"/>
      </w:tblGrid>
      <w:tr w14:paraId="763E0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500" w:type="dxa"/>
            <w:tcBorders>
              <w:top w:val="single" w:color="000000" w:sz="4" w:space="0"/>
              <w:left w:val="single" w:color="000000" w:sz="4" w:space="0"/>
              <w:bottom w:val="single" w:color="000000" w:sz="4" w:space="0"/>
              <w:right w:val="single" w:color="000000" w:sz="4" w:space="0"/>
              <w:tl2br w:val="nil"/>
            </w:tcBorders>
            <w:shd w:val="clear" w:color="auto" w:fill="FFFFFF"/>
            <w:tcMar>
              <w:top w:w="80" w:type="dxa"/>
              <w:left w:w="100" w:type="dxa"/>
              <w:bottom w:w="80" w:type="dxa"/>
              <w:right w:w="100" w:type="dxa"/>
            </w:tcMar>
            <w:vAlign w:val="center"/>
          </w:tcPr>
          <w:p w14:paraId="14BA72A3">
            <w:pPr>
              <w:spacing w:after="0" w:line="300" w:lineRule="auto"/>
              <w:jc w:val="center"/>
              <w:rPr>
                <w:b/>
                <w:bCs/>
              </w:rPr>
            </w:pPr>
            <w:r>
              <w:rPr>
                <w:rFonts w:ascii="Times New Roman" w:hAnsi="Times New Roman" w:eastAsia="宋体" w:cs="Times New Roman"/>
                <w:b/>
                <w:bCs/>
                <w:sz w:val="20"/>
                <w:szCs w:val="20"/>
              </w:rPr>
              <w:t>指标名称</w:t>
            </w:r>
          </w:p>
        </w:tc>
        <w:tc>
          <w:tcPr>
            <w:tcW w:w="26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5A2AD67F">
            <w:pPr>
              <w:spacing w:after="0" w:line="300" w:lineRule="auto"/>
              <w:jc w:val="center"/>
              <w:rPr>
                <w:b/>
                <w:bCs/>
              </w:rPr>
            </w:pPr>
            <w:r>
              <w:rPr>
                <w:rFonts w:ascii="Times New Roman" w:hAnsi="Times New Roman" w:eastAsia="宋体" w:cs="Times New Roman"/>
                <w:b/>
                <w:bCs/>
                <w:sz w:val="20"/>
                <w:szCs w:val="20"/>
              </w:rPr>
              <w:t>仪器实测值</w:t>
            </w:r>
          </w:p>
        </w:tc>
        <w:tc>
          <w:tcPr>
            <w:tcW w:w="22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07F4D3BB">
            <w:pPr>
              <w:spacing w:after="0" w:line="300" w:lineRule="auto"/>
              <w:jc w:val="center"/>
              <w:rPr>
                <w:b/>
                <w:bCs/>
              </w:rPr>
            </w:pPr>
            <w:r>
              <w:rPr>
                <w:rFonts w:ascii="Times New Roman" w:hAnsi="Times New Roman" w:eastAsia="宋体" w:cs="Times New Roman"/>
                <w:b/>
                <w:bCs/>
                <w:sz w:val="20"/>
                <w:szCs w:val="20"/>
              </w:rPr>
              <w:t>标准性能要求</w:t>
            </w:r>
          </w:p>
        </w:tc>
        <w:tc>
          <w:tcPr>
            <w:tcW w:w="27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1B9C31EF">
            <w:pPr>
              <w:spacing w:after="0" w:line="300" w:lineRule="auto"/>
              <w:jc w:val="center"/>
              <w:rPr>
                <w:b/>
                <w:bCs/>
              </w:rPr>
            </w:pPr>
            <w:r>
              <w:rPr>
                <w:rFonts w:ascii="Times New Roman" w:hAnsi="Times New Roman" w:eastAsia="宋体" w:cs="Times New Roman"/>
                <w:b/>
                <w:bCs/>
                <w:sz w:val="20"/>
                <w:szCs w:val="20"/>
              </w:rPr>
              <w:t>制定依据</w:t>
            </w:r>
          </w:p>
        </w:tc>
      </w:tr>
      <w:tr w14:paraId="6B6D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418C5A76">
            <w:pPr>
              <w:spacing w:after="0" w:line="300" w:lineRule="auto"/>
              <w:jc w:val="center"/>
              <w:rPr>
                <w:b w:val="0"/>
              </w:rPr>
            </w:pPr>
            <w:r>
              <w:rPr>
                <w:rFonts w:ascii="Times New Roman" w:hAnsi="Times New Roman" w:eastAsia="宋体" w:cs="Times New Roman"/>
                <w:b w:val="0"/>
                <w:sz w:val="20"/>
                <w:szCs w:val="20"/>
              </w:rPr>
              <w:t>示值误差</w:t>
            </w:r>
          </w:p>
        </w:tc>
        <w:tc>
          <w:tcPr>
            <w:tcW w:w="26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6D688349">
            <w:pPr>
              <w:spacing w:after="0" w:line="300" w:lineRule="auto"/>
              <w:jc w:val="center"/>
              <w:rPr>
                <w:b w:val="0"/>
              </w:rPr>
            </w:pPr>
            <w:r>
              <w:rPr>
                <w:rFonts w:ascii="Times New Roman" w:hAnsi="Times New Roman" w:eastAsia="宋体" w:cs="Times New Roman"/>
                <w:b w:val="0"/>
                <w:sz w:val="20"/>
                <w:szCs w:val="20"/>
              </w:rPr>
              <w:t>20%量程：-0.1%、-0.3%、-0.4%；50%量程：-0.03%、0.1%、-0.2%；80%量程：0.1%、0.5%、-0.2%</w:t>
            </w:r>
          </w:p>
        </w:tc>
        <w:tc>
          <w:tcPr>
            <w:tcW w:w="22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71D847F2">
            <w:pPr>
              <w:spacing w:after="0" w:line="300" w:lineRule="auto"/>
              <w:jc w:val="center"/>
              <w:rPr>
                <w:b w:val="0"/>
              </w:rPr>
            </w:pPr>
            <w:r>
              <w:rPr>
                <w:rFonts w:ascii="Times New Roman" w:hAnsi="Times New Roman" w:eastAsia="宋体" w:cs="Times New Roman"/>
                <w:b w:val="0"/>
                <w:sz w:val="20"/>
                <w:szCs w:val="20"/>
              </w:rPr>
              <w:t>20%量程：±10%；50%量程：±8%；80%量程：±5%</w:t>
            </w:r>
          </w:p>
        </w:tc>
        <w:tc>
          <w:tcPr>
            <w:tcW w:w="27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3893D40C">
            <w:pPr>
              <w:spacing w:after="0" w:line="300" w:lineRule="auto"/>
              <w:jc w:val="center"/>
              <w:rPr>
                <w:b w:val="0"/>
              </w:rPr>
            </w:pPr>
            <w:r>
              <w:rPr>
                <w:rFonts w:ascii="Times New Roman" w:hAnsi="Times New Roman" w:eastAsia="宋体" w:cs="Times New Roman"/>
                <w:b w:val="0"/>
                <w:sz w:val="20"/>
                <w:szCs w:val="20"/>
              </w:rPr>
              <w:t>实测分量程相对误差均较小，说明仪器精度充足；钻井现场样品基质复杂，设定较宽松范围（低浓度误差容忍度更高），可适应现场干扰。同时衔接HJ 377的要求</w:t>
            </w:r>
          </w:p>
        </w:tc>
      </w:tr>
      <w:tr w14:paraId="3248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309C23F0">
            <w:pPr>
              <w:spacing w:after="0" w:line="300" w:lineRule="auto"/>
              <w:jc w:val="center"/>
              <w:rPr>
                <w:b w:val="0"/>
              </w:rPr>
            </w:pPr>
            <w:r>
              <w:rPr>
                <w:rFonts w:ascii="Times New Roman" w:hAnsi="Times New Roman" w:eastAsia="宋体" w:cs="Times New Roman"/>
                <w:b w:val="0"/>
                <w:sz w:val="20"/>
                <w:szCs w:val="20"/>
              </w:rPr>
              <w:t>定量下限</w:t>
            </w:r>
          </w:p>
        </w:tc>
        <w:tc>
          <w:tcPr>
            <w:tcW w:w="26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2A8BB55B">
            <w:pPr>
              <w:spacing w:after="0" w:line="300" w:lineRule="auto"/>
              <w:jc w:val="center"/>
              <w:rPr>
                <w:b w:val="0"/>
              </w:rPr>
            </w:pPr>
            <w:r>
              <w:rPr>
                <w:rFonts w:ascii="Times New Roman" w:hAnsi="Times New Roman" w:eastAsia="宋体" w:cs="Times New Roman"/>
                <w:b w:val="0"/>
                <w:sz w:val="20"/>
                <w:szCs w:val="20"/>
              </w:rPr>
              <w:t>0.9 mg/L、1.3 mg/L、0.8 mg/L</w:t>
            </w:r>
          </w:p>
        </w:tc>
        <w:tc>
          <w:tcPr>
            <w:tcW w:w="22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41227223">
            <w:pPr>
              <w:spacing w:after="0" w:line="300" w:lineRule="auto"/>
              <w:jc w:val="center"/>
              <w:rPr>
                <w:b w:val="0"/>
              </w:rPr>
            </w:pPr>
            <w:r>
              <w:rPr>
                <w:rFonts w:ascii="Times New Roman" w:hAnsi="Times New Roman" w:eastAsia="宋体" w:cs="Times New Roman"/>
                <w:b w:val="0"/>
                <w:sz w:val="20"/>
                <w:szCs w:val="20"/>
              </w:rPr>
              <w:t>≤15 mg/L</w:t>
            </w:r>
          </w:p>
        </w:tc>
        <w:tc>
          <w:tcPr>
            <w:tcW w:w="27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61462408">
            <w:pPr>
              <w:spacing w:after="0" w:line="300" w:lineRule="auto"/>
              <w:jc w:val="center"/>
              <w:rPr>
                <w:b w:val="0"/>
              </w:rPr>
            </w:pPr>
            <w:r>
              <w:rPr>
                <w:rFonts w:ascii="Times New Roman" w:hAnsi="Times New Roman" w:eastAsia="宋体" w:cs="Times New Roman"/>
                <w:b w:val="0"/>
                <w:sz w:val="20"/>
                <w:szCs w:val="20"/>
              </w:rPr>
              <w:t>实测定量下限较低，考虑钻井液实际出水浓度，同时衔接HJ 377的要求</w:t>
            </w:r>
          </w:p>
        </w:tc>
      </w:tr>
      <w:tr w14:paraId="110A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0B6D950E">
            <w:pPr>
              <w:spacing w:after="0" w:line="300" w:lineRule="auto"/>
              <w:jc w:val="center"/>
              <w:rPr>
                <w:b w:val="0"/>
              </w:rPr>
            </w:pPr>
            <w:r>
              <w:rPr>
                <w:rFonts w:ascii="Times New Roman" w:hAnsi="Times New Roman" w:eastAsia="宋体" w:cs="Times New Roman"/>
                <w:b w:val="0"/>
                <w:sz w:val="20"/>
                <w:szCs w:val="20"/>
              </w:rPr>
              <w:t>24 h低浓度漂移</w:t>
            </w:r>
          </w:p>
        </w:tc>
        <w:tc>
          <w:tcPr>
            <w:tcW w:w="26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549E6987">
            <w:pPr>
              <w:spacing w:after="0" w:line="300" w:lineRule="auto"/>
              <w:jc w:val="center"/>
              <w:rPr>
                <w:b w:val="0"/>
              </w:rPr>
            </w:pPr>
            <w:r>
              <w:rPr>
                <w:rFonts w:ascii="Times New Roman" w:hAnsi="Times New Roman" w:eastAsia="宋体" w:cs="Times New Roman"/>
                <w:b w:val="0"/>
                <w:sz w:val="20"/>
                <w:szCs w:val="20"/>
              </w:rPr>
              <w:t>0.3 mg/L、0.2 mg/L、-0.2 mg/L</w:t>
            </w:r>
          </w:p>
        </w:tc>
        <w:tc>
          <w:tcPr>
            <w:tcW w:w="22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63E50098">
            <w:pPr>
              <w:spacing w:after="0" w:line="300" w:lineRule="auto"/>
              <w:jc w:val="center"/>
              <w:rPr>
                <w:b w:val="0"/>
              </w:rPr>
            </w:pPr>
            <w:r>
              <w:rPr>
                <w:rFonts w:ascii="Times New Roman" w:hAnsi="Times New Roman" w:eastAsia="宋体" w:cs="Times New Roman"/>
                <w:b w:val="0"/>
                <w:sz w:val="20"/>
                <w:szCs w:val="20"/>
              </w:rPr>
              <w:t>≤±5 mg/L</w:t>
            </w:r>
          </w:p>
        </w:tc>
        <w:tc>
          <w:tcPr>
            <w:tcW w:w="27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225AB68B">
            <w:pPr>
              <w:spacing w:after="0" w:line="300" w:lineRule="auto"/>
              <w:jc w:val="center"/>
              <w:rPr>
                <w:b w:val="0"/>
              </w:rPr>
            </w:pPr>
            <w:r>
              <w:rPr>
                <w:rFonts w:ascii="Times New Roman" w:hAnsi="Times New Roman" w:eastAsia="宋体" w:cs="Times New Roman"/>
                <w:b w:val="0"/>
                <w:sz w:val="20"/>
                <w:szCs w:val="20"/>
              </w:rPr>
              <w:t>实测漂移较小，钻井现场仪器7×24 h不间断运行，需覆盖昼夜温度波动、电压波动等环境影响，较宽的范围可确保无需频繁校准。同时衔接HJ 377的要求</w:t>
            </w:r>
          </w:p>
        </w:tc>
      </w:tr>
      <w:tr w14:paraId="6F3F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7C732E9B">
            <w:pPr>
              <w:spacing w:after="0" w:line="300" w:lineRule="auto"/>
              <w:jc w:val="center"/>
              <w:rPr>
                <w:b w:val="0"/>
              </w:rPr>
            </w:pPr>
            <w:r>
              <w:rPr>
                <w:rFonts w:ascii="Times New Roman" w:hAnsi="Times New Roman" w:eastAsia="宋体" w:cs="Times New Roman"/>
                <w:b w:val="0"/>
                <w:sz w:val="20"/>
                <w:szCs w:val="20"/>
              </w:rPr>
              <w:t>24 h高浓度漂移</w:t>
            </w:r>
          </w:p>
        </w:tc>
        <w:tc>
          <w:tcPr>
            <w:tcW w:w="26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020EF4E6">
            <w:pPr>
              <w:spacing w:after="0" w:line="300" w:lineRule="auto"/>
              <w:jc w:val="center"/>
              <w:rPr>
                <w:b w:val="0"/>
              </w:rPr>
            </w:pPr>
            <w:r>
              <w:rPr>
                <w:rFonts w:ascii="Times New Roman" w:hAnsi="Times New Roman" w:eastAsia="宋体" w:cs="Times New Roman"/>
                <w:b w:val="0"/>
                <w:sz w:val="20"/>
                <w:szCs w:val="20"/>
              </w:rPr>
              <w:t>0.4%、0.4%、0.3%</w:t>
            </w:r>
          </w:p>
        </w:tc>
        <w:tc>
          <w:tcPr>
            <w:tcW w:w="22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072975AD">
            <w:pPr>
              <w:spacing w:after="0" w:line="300" w:lineRule="auto"/>
              <w:jc w:val="center"/>
              <w:rPr>
                <w:b w:val="0"/>
              </w:rPr>
            </w:pPr>
            <w:r>
              <w:rPr>
                <w:rFonts w:ascii="Times New Roman" w:hAnsi="Times New Roman" w:eastAsia="宋体" w:cs="Times New Roman"/>
                <w:b w:val="0"/>
                <w:sz w:val="20"/>
                <w:szCs w:val="20"/>
              </w:rPr>
              <w:t>≤5%</w:t>
            </w:r>
          </w:p>
        </w:tc>
        <w:tc>
          <w:tcPr>
            <w:tcW w:w="27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62856365">
            <w:pPr>
              <w:spacing w:after="0" w:line="300" w:lineRule="auto"/>
              <w:jc w:val="center"/>
              <w:rPr>
                <w:b w:val="0"/>
              </w:rPr>
            </w:pPr>
            <w:r>
              <w:rPr>
                <w:rFonts w:ascii="Times New Roman" w:hAnsi="Times New Roman" w:eastAsia="宋体" w:cs="Times New Roman"/>
                <w:b w:val="0"/>
                <w:sz w:val="20"/>
                <w:szCs w:val="20"/>
              </w:rPr>
              <w:t>同上</w:t>
            </w:r>
          </w:p>
        </w:tc>
      </w:tr>
      <w:tr w14:paraId="540B4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19281ED1">
            <w:pPr>
              <w:spacing w:after="0" w:line="300" w:lineRule="auto"/>
              <w:jc w:val="center"/>
              <w:rPr>
                <w:b w:val="0"/>
              </w:rPr>
            </w:pPr>
            <w:r>
              <w:rPr>
                <w:rFonts w:ascii="Times New Roman" w:hAnsi="Times New Roman" w:eastAsia="宋体" w:cs="Times New Roman"/>
                <w:b w:val="0"/>
                <w:sz w:val="20"/>
                <w:szCs w:val="20"/>
              </w:rPr>
              <w:t>记忆效应</w:t>
            </w:r>
          </w:p>
        </w:tc>
        <w:tc>
          <w:tcPr>
            <w:tcW w:w="26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7A9ADF79">
            <w:pPr>
              <w:spacing w:after="0" w:line="300" w:lineRule="auto"/>
              <w:jc w:val="center"/>
              <w:rPr>
                <w:b w:val="0"/>
              </w:rPr>
            </w:pPr>
            <w:r>
              <w:rPr>
                <w:rFonts w:ascii="Times New Roman" w:hAnsi="Times New Roman" w:eastAsia="宋体" w:cs="Times New Roman"/>
                <w:b w:val="0"/>
                <w:sz w:val="20"/>
                <w:szCs w:val="20"/>
              </w:rPr>
              <w:t>80%→20%：＜0.01 mg/L、-0.4 mg/L、-1.4 mg/L；20%→80%：0.3 mg/L、-0.4 mg/L、-0.4 mg/L</w:t>
            </w:r>
          </w:p>
        </w:tc>
        <w:tc>
          <w:tcPr>
            <w:tcW w:w="22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2D26BD34">
            <w:pPr>
              <w:spacing w:after="0" w:line="300" w:lineRule="auto"/>
              <w:jc w:val="center"/>
              <w:rPr>
                <w:b w:val="0"/>
              </w:rPr>
            </w:pPr>
            <w:r>
              <w:rPr>
                <w:rFonts w:ascii="Times New Roman" w:hAnsi="Times New Roman" w:eastAsia="宋体" w:cs="Times New Roman"/>
                <w:b w:val="0"/>
                <w:sz w:val="20"/>
                <w:szCs w:val="20"/>
              </w:rPr>
              <w:t>80%→20%：±5 mg/L；20%→80%：±5 mg/L</w:t>
            </w:r>
          </w:p>
        </w:tc>
        <w:tc>
          <w:tcPr>
            <w:tcW w:w="27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68D3105C">
            <w:pPr>
              <w:spacing w:after="0" w:line="300" w:lineRule="auto"/>
              <w:jc w:val="center"/>
              <w:rPr>
                <w:b w:val="0"/>
              </w:rPr>
            </w:pPr>
            <w:r>
              <w:rPr>
                <w:rFonts w:ascii="Times New Roman" w:hAnsi="Times New Roman" w:eastAsia="宋体" w:cs="Times New Roman"/>
                <w:b w:val="0"/>
                <w:sz w:val="20"/>
                <w:szCs w:val="20"/>
              </w:rPr>
              <w:t>实测残留误差较小，考虑钻井液基质复杂，实际残留较多，同时衔接HJ 377的要求</w:t>
            </w:r>
          </w:p>
        </w:tc>
      </w:tr>
      <w:tr w14:paraId="1DE4E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485198B2">
            <w:pPr>
              <w:spacing w:after="0" w:line="300" w:lineRule="auto"/>
              <w:jc w:val="center"/>
              <w:rPr>
                <w:b w:val="0"/>
              </w:rPr>
            </w:pPr>
            <w:r>
              <w:rPr>
                <w:rFonts w:ascii="Times New Roman" w:hAnsi="Times New Roman" w:eastAsia="宋体" w:cs="Times New Roman"/>
                <w:b w:val="0"/>
                <w:sz w:val="20"/>
                <w:szCs w:val="20"/>
              </w:rPr>
              <w:t>电压影响</w:t>
            </w:r>
          </w:p>
        </w:tc>
        <w:tc>
          <w:tcPr>
            <w:tcW w:w="26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59F047A5">
            <w:pPr>
              <w:spacing w:after="0" w:line="300" w:lineRule="auto"/>
              <w:jc w:val="center"/>
              <w:rPr>
                <w:b w:val="0"/>
              </w:rPr>
            </w:pPr>
            <w:r>
              <w:rPr>
                <w:rFonts w:ascii="Times New Roman" w:hAnsi="Times New Roman" w:eastAsia="宋体" w:cs="Times New Roman"/>
                <w:b w:val="0"/>
                <w:sz w:val="20"/>
                <w:szCs w:val="20"/>
              </w:rPr>
              <w:t>-0.04%、-0.3%、0.5%</w:t>
            </w:r>
          </w:p>
        </w:tc>
        <w:tc>
          <w:tcPr>
            <w:tcW w:w="22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621CF72C">
            <w:pPr>
              <w:spacing w:after="0" w:line="300" w:lineRule="auto"/>
              <w:jc w:val="center"/>
              <w:rPr>
                <w:b w:val="0"/>
              </w:rPr>
            </w:pPr>
            <w:r>
              <w:rPr>
                <w:rFonts w:ascii="Times New Roman" w:hAnsi="Times New Roman" w:eastAsia="宋体" w:cs="Times New Roman"/>
                <w:b w:val="0"/>
                <w:sz w:val="20"/>
                <w:szCs w:val="20"/>
              </w:rPr>
              <w:t>≤±5%</w:t>
            </w:r>
          </w:p>
        </w:tc>
        <w:tc>
          <w:tcPr>
            <w:tcW w:w="27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779019D7">
            <w:pPr>
              <w:spacing w:after="0" w:line="300" w:lineRule="auto"/>
              <w:jc w:val="center"/>
              <w:rPr>
                <w:b w:val="0"/>
              </w:rPr>
            </w:pPr>
            <w:r>
              <w:rPr>
                <w:rFonts w:ascii="Times New Roman" w:hAnsi="Times New Roman" w:eastAsia="宋体" w:cs="Times New Roman"/>
                <w:b w:val="0"/>
                <w:sz w:val="20"/>
                <w:szCs w:val="20"/>
              </w:rPr>
              <w:t>实测影响较小，考虑钻井现场供电波动场景，放宽一定范围，同时衔接HJ 377的要求</w:t>
            </w:r>
          </w:p>
        </w:tc>
      </w:tr>
      <w:tr w14:paraId="43D93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2C89F397">
            <w:pPr>
              <w:spacing w:after="0" w:line="300" w:lineRule="auto"/>
              <w:jc w:val="center"/>
              <w:rPr>
                <w:b w:val="0"/>
              </w:rPr>
            </w:pPr>
            <w:r>
              <w:rPr>
                <w:rFonts w:ascii="Times New Roman" w:hAnsi="Times New Roman" w:eastAsia="宋体" w:cs="Times New Roman"/>
                <w:b w:val="0"/>
                <w:sz w:val="20"/>
                <w:szCs w:val="20"/>
              </w:rPr>
              <w:t>氯离子影响</w:t>
            </w:r>
          </w:p>
        </w:tc>
        <w:tc>
          <w:tcPr>
            <w:tcW w:w="26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3E04D385">
            <w:pPr>
              <w:spacing w:after="0" w:line="300" w:lineRule="auto"/>
              <w:jc w:val="center"/>
              <w:rPr>
                <w:b w:val="0"/>
              </w:rPr>
            </w:pPr>
            <w:r>
              <w:rPr>
                <w:rFonts w:ascii="Times New Roman" w:hAnsi="Times New Roman" w:eastAsia="宋体" w:cs="Times New Roman"/>
                <w:b w:val="0"/>
                <w:sz w:val="20"/>
                <w:szCs w:val="20"/>
              </w:rPr>
              <w:t>-0.8%、0.5%、0.7%</w:t>
            </w:r>
          </w:p>
        </w:tc>
        <w:tc>
          <w:tcPr>
            <w:tcW w:w="22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396DB455">
            <w:pPr>
              <w:spacing w:after="0" w:line="300" w:lineRule="auto"/>
              <w:jc w:val="center"/>
              <w:rPr>
                <w:b w:val="0"/>
              </w:rPr>
            </w:pPr>
            <w:r>
              <w:rPr>
                <w:rFonts w:ascii="Times New Roman" w:hAnsi="Times New Roman" w:eastAsia="宋体" w:cs="Times New Roman"/>
                <w:b w:val="0"/>
                <w:sz w:val="20"/>
                <w:szCs w:val="20"/>
              </w:rPr>
              <w:t>≤±10%</w:t>
            </w:r>
          </w:p>
        </w:tc>
        <w:tc>
          <w:tcPr>
            <w:tcW w:w="27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5221D809">
            <w:pPr>
              <w:spacing w:after="0" w:line="300" w:lineRule="auto"/>
              <w:jc w:val="center"/>
              <w:rPr>
                <w:b w:val="0"/>
              </w:rPr>
            </w:pPr>
            <w:r>
              <w:rPr>
                <w:rFonts w:ascii="Times New Roman" w:hAnsi="Times New Roman" w:eastAsia="宋体" w:cs="Times New Roman"/>
                <w:b w:val="0"/>
                <w:sz w:val="20"/>
                <w:szCs w:val="20"/>
              </w:rPr>
              <w:t>实测氯离子干扰较小，说明氯离子掩蔽效果，考虑钻井液氯离子含量变化范围大，放宽一定范围，同时衔接HJ 377的要求</w:t>
            </w:r>
          </w:p>
        </w:tc>
      </w:tr>
      <w:tr w14:paraId="19666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0874C190">
            <w:pPr>
              <w:spacing w:after="0" w:line="300" w:lineRule="auto"/>
              <w:jc w:val="center"/>
              <w:rPr>
                <w:b w:val="0"/>
              </w:rPr>
            </w:pPr>
            <w:r>
              <w:rPr>
                <w:rFonts w:ascii="Times New Roman" w:hAnsi="Times New Roman" w:eastAsia="宋体" w:cs="Times New Roman"/>
                <w:b w:val="0"/>
                <w:sz w:val="20"/>
                <w:szCs w:val="20"/>
              </w:rPr>
              <w:t>环境温度影响</w:t>
            </w:r>
          </w:p>
        </w:tc>
        <w:tc>
          <w:tcPr>
            <w:tcW w:w="26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2F50A00E">
            <w:pPr>
              <w:spacing w:after="0" w:line="300" w:lineRule="auto"/>
              <w:jc w:val="center"/>
              <w:rPr>
                <w:b w:val="0"/>
              </w:rPr>
            </w:pPr>
            <w:r>
              <w:rPr>
                <w:rFonts w:ascii="Times New Roman" w:hAnsi="Times New Roman" w:eastAsia="宋体" w:cs="Times New Roman"/>
                <w:b w:val="0"/>
                <w:sz w:val="20"/>
                <w:szCs w:val="20"/>
              </w:rPr>
              <w:t>-0.4%、0.6%、-0.1%</w:t>
            </w:r>
          </w:p>
        </w:tc>
        <w:tc>
          <w:tcPr>
            <w:tcW w:w="22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3E0BCBA7">
            <w:pPr>
              <w:spacing w:after="0" w:line="300" w:lineRule="auto"/>
              <w:jc w:val="center"/>
              <w:rPr>
                <w:b w:val="0"/>
              </w:rPr>
            </w:pPr>
            <w:r>
              <w:rPr>
                <w:rFonts w:ascii="Times New Roman" w:hAnsi="Times New Roman" w:eastAsia="宋体" w:cs="Times New Roman"/>
                <w:b w:val="0"/>
                <w:sz w:val="20"/>
                <w:szCs w:val="20"/>
              </w:rPr>
              <w:t>≤±5%</w:t>
            </w:r>
          </w:p>
        </w:tc>
        <w:tc>
          <w:tcPr>
            <w:tcW w:w="27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0F3BBD2F">
            <w:pPr>
              <w:spacing w:after="0" w:line="300" w:lineRule="auto"/>
              <w:jc w:val="center"/>
              <w:rPr>
                <w:b w:val="0"/>
              </w:rPr>
            </w:pPr>
            <w:r>
              <w:rPr>
                <w:rFonts w:ascii="Times New Roman" w:hAnsi="Times New Roman" w:eastAsia="宋体" w:cs="Times New Roman"/>
                <w:b w:val="0"/>
                <w:sz w:val="20"/>
                <w:szCs w:val="20"/>
              </w:rPr>
              <w:t>实测19 ℃～25 ℃的温差影响较小，考虑实际钻井作业情况温度变化大，放宽一定范围，同时衔接HJ 377的要求</w:t>
            </w:r>
          </w:p>
        </w:tc>
      </w:tr>
      <w:tr w14:paraId="79610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46EEBA64">
            <w:pPr>
              <w:spacing w:after="0" w:line="300" w:lineRule="auto"/>
              <w:jc w:val="center"/>
              <w:rPr>
                <w:b w:val="0"/>
              </w:rPr>
            </w:pPr>
            <w:r>
              <w:rPr>
                <w:rFonts w:ascii="Times New Roman" w:hAnsi="Times New Roman" w:eastAsia="宋体" w:cs="Times New Roman"/>
                <w:b w:val="0"/>
                <w:sz w:val="20"/>
                <w:szCs w:val="20"/>
              </w:rPr>
              <w:t>实际试样比对</w:t>
            </w:r>
          </w:p>
        </w:tc>
        <w:tc>
          <w:tcPr>
            <w:tcW w:w="26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00358580">
            <w:pPr>
              <w:spacing w:after="0" w:line="300" w:lineRule="auto"/>
              <w:jc w:val="center"/>
              <w:rPr>
                <w:b w:val="0"/>
              </w:rPr>
            </w:pPr>
            <w:r>
              <w:rPr>
                <w:rFonts w:ascii="Times New Roman" w:hAnsi="Times New Roman" w:eastAsia="宋体" w:cs="Times New Roman"/>
                <w:b w:val="0"/>
                <w:sz w:val="20"/>
                <w:szCs w:val="20"/>
              </w:rPr>
              <w:t>低浓度：1.4～4.5 mg/L；高浓度：2.5%～7.3%</w:t>
            </w:r>
          </w:p>
        </w:tc>
        <w:tc>
          <w:tcPr>
            <w:tcW w:w="22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307C05BC">
            <w:pPr>
              <w:spacing w:after="0" w:line="300" w:lineRule="auto"/>
              <w:jc w:val="center"/>
              <w:rPr>
                <w:b w:val="0"/>
              </w:rPr>
            </w:pPr>
            <w:r>
              <w:rPr>
                <w:rFonts w:hint="eastAsia" w:ascii="Times New Roman" w:hAnsi="Times New Roman" w:eastAsia="宋体" w:cs="Times New Roman"/>
                <w:b w:val="0"/>
                <w:sz w:val="20"/>
                <w:szCs w:val="20"/>
                <w:lang w:eastAsia="zh-CN"/>
              </w:rPr>
              <w:t>CODcr</w:t>
            </w:r>
            <w:r>
              <w:rPr>
                <w:rFonts w:ascii="Times New Roman" w:hAnsi="Times New Roman" w:eastAsia="宋体" w:cs="Times New Roman"/>
                <w:b w:val="0"/>
                <w:sz w:val="20"/>
                <w:szCs w:val="20"/>
              </w:rPr>
              <w:t>＜50 mg/L：≤±5 mg/L；</w:t>
            </w:r>
            <w:r>
              <w:rPr>
                <w:rFonts w:hint="eastAsia" w:ascii="Times New Roman" w:hAnsi="Times New Roman" w:eastAsia="宋体" w:cs="Times New Roman"/>
                <w:b w:val="0"/>
                <w:sz w:val="20"/>
                <w:szCs w:val="20"/>
                <w:lang w:eastAsia="zh-CN"/>
              </w:rPr>
              <w:t>CODcr</w:t>
            </w:r>
            <w:r>
              <w:rPr>
                <w:rFonts w:ascii="Times New Roman" w:hAnsi="Times New Roman" w:eastAsia="宋体" w:cs="Times New Roman"/>
                <w:b w:val="0"/>
                <w:sz w:val="20"/>
                <w:szCs w:val="20"/>
              </w:rPr>
              <w:t>≥50 mg/L：≤10%</w:t>
            </w:r>
          </w:p>
        </w:tc>
        <w:tc>
          <w:tcPr>
            <w:tcW w:w="27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2BADCCC0">
            <w:pPr>
              <w:spacing w:after="0" w:line="300" w:lineRule="auto"/>
              <w:jc w:val="center"/>
              <w:rPr>
                <w:b w:val="0"/>
              </w:rPr>
            </w:pPr>
            <w:r>
              <w:rPr>
                <w:rFonts w:ascii="Times New Roman" w:hAnsi="Times New Roman" w:eastAsia="宋体" w:cs="Times New Roman"/>
                <w:b w:val="0"/>
                <w:sz w:val="20"/>
                <w:szCs w:val="20"/>
              </w:rPr>
              <w:t>考虑实际钻井液COD波动大，放宽一定范围，同时衔接HJ 377的要求</w:t>
            </w:r>
          </w:p>
        </w:tc>
      </w:tr>
      <w:tr w14:paraId="0889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0EDFA3CE">
            <w:pPr>
              <w:spacing w:after="0" w:line="300" w:lineRule="auto"/>
              <w:jc w:val="center"/>
              <w:rPr>
                <w:b w:val="0"/>
              </w:rPr>
            </w:pPr>
            <w:r>
              <w:rPr>
                <w:rFonts w:ascii="Times New Roman" w:hAnsi="Times New Roman" w:eastAsia="宋体" w:cs="Times New Roman"/>
                <w:b w:val="0"/>
                <w:sz w:val="20"/>
                <w:szCs w:val="20"/>
              </w:rPr>
              <w:t>最小维护周期</w:t>
            </w:r>
          </w:p>
        </w:tc>
        <w:tc>
          <w:tcPr>
            <w:tcW w:w="26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6921525F">
            <w:pPr>
              <w:spacing w:after="0" w:line="300" w:lineRule="auto"/>
              <w:jc w:val="center"/>
              <w:rPr>
                <w:b w:val="0"/>
              </w:rPr>
            </w:pPr>
            <w:r>
              <w:rPr>
                <w:rFonts w:ascii="Times New Roman" w:hAnsi="Times New Roman" w:eastAsia="宋体" w:cs="Times New Roman"/>
                <w:b w:val="0"/>
                <w:sz w:val="20"/>
                <w:szCs w:val="20"/>
              </w:rPr>
              <w:t>＞168 h、＞168 h、＞168 h</w:t>
            </w:r>
          </w:p>
        </w:tc>
        <w:tc>
          <w:tcPr>
            <w:tcW w:w="22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78686EAC">
            <w:pPr>
              <w:spacing w:after="0" w:line="300" w:lineRule="auto"/>
              <w:jc w:val="center"/>
              <w:rPr>
                <w:b w:val="0"/>
              </w:rPr>
            </w:pPr>
            <w:r>
              <w:rPr>
                <w:rFonts w:ascii="Times New Roman" w:hAnsi="Times New Roman" w:eastAsia="宋体" w:cs="Times New Roman"/>
                <w:b w:val="0"/>
                <w:sz w:val="20"/>
                <w:szCs w:val="20"/>
              </w:rPr>
              <w:t>≥168 h/次</w:t>
            </w:r>
          </w:p>
        </w:tc>
        <w:tc>
          <w:tcPr>
            <w:tcW w:w="27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5FFC82D0">
            <w:pPr>
              <w:spacing w:after="0" w:line="300" w:lineRule="auto"/>
              <w:jc w:val="center"/>
              <w:rPr>
                <w:b w:val="0"/>
              </w:rPr>
            </w:pPr>
            <w:r>
              <w:rPr>
                <w:rFonts w:ascii="Times New Roman" w:hAnsi="Times New Roman" w:eastAsia="宋体" w:cs="Times New Roman"/>
                <w:b w:val="0"/>
                <w:sz w:val="20"/>
                <w:szCs w:val="20"/>
              </w:rPr>
              <w:t>最小维护周期可达720 h，但实际7天维护1次较容易满足，同时衔接HJ 377的要求</w:t>
            </w:r>
          </w:p>
        </w:tc>
      </w:tr>
      <w:tr w14:paraId="4037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2F716A83">
            <w:pPr>
              <w:spacing w:after="0" w:line="300" w:lineRule="auto"/>
              <w:jc w:val="center"/>
              <w:rPr>
                <w:b w:val="0"/>
              </w:rPr>
            </w:pPr>
            <w:r>
              <w:rPr>
                <w:rFonts w:ascii="Times New Roman" w:hAnsi="Times New Roman" w:eastAsia="宋体" w:cs="Times New Roman"/>
                <w:b w:val="0"/>
                <w:sz w:val="20"/>
                <w:szCs w:val="20"/>
              </w:rPr>
              <w:t>有效数据率</w:t>
            </w:r>
          </w:p>
        </w:tc>
        <w:tc>
          <w:tcPr>
            <w:tcW w:w="26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20351181">
            <w:pPr>
              <w:spacing w:after="0" w:line="300" w:lineRule="auto"/>
              <w:jc w:val="center"/>
              <w:rPr>
                <w:b w:val="0"/>
              </w:rPr>
            </w:pPr>
            <w:r>
              <w:rPr>
                <w:rFonts w:ascii="Times New Roman" w:hAnsi="Times New Roman" w:eastAsia="宋体" w:cs="Times New Roman"/>
                <w:b w:val="0"/>
                <w:sz w:val="20"/>
                <w:szCs w:val="20"/>
              </w:rPr>
              <w:t>96.5%、96.5%、96.5%</w:t>
            </w:r>
          </w:p>
        </w:tc>
        <w:tc>
          <w:tcPr>
            <w:tcW w:w="22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6366EB2B">
            <w:pPr>
              <w:spacing w:after="0" w:line="300" w:lineRule="auto"/>
              <w:jc w:val="center"/>
              <w:rPr>
                <w:b w:val="0"/>
              </w:rPr>
            </w:pPr>
            <w:r>
              <w:rPr>
                <w:rFonts w:ascii="Times New Roman" w:hAnsi="Times New Roman" w:eastAsia="宋体" w:cs="Times New Roman"/>
                <w:b w:val="0"/>
                <w:sz w:val="20"/>
                <w:szCs w:val="20"/>
              </w:rPr>
              <w:t>≥90%</w:t>
            </w:r>
          </w:p>
        </w:tc>
        <w:tc>
          <w:tcPr>
            <w:tcW w:w="27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2B0C1B64">
            <w:pPr>
              <w:spacing w:after="0" w:line="300" w:lineRule="auto"/>
              <w:jc w:val="center"/>
              <w:rPr>
                <w:b w:val="0"/>
              </w:rPr>
            </w:pPr>
            <w:r>
              <w:rPr>
                <w:rFonts w:ascii="Times New Roman" w:hAnsi="Times New Roman" w:eastAsia="宋体" w:cs="Times New Roman"/>
                <w:b w:val="0"/>
                <w:sz w:val="20"/>
                <w:szCs w:val="20"/>
              </w:rPr>
              <w:t>720 h连续运行有效率较高，考虑钻井液基质复杂，放宽一定范围，同时衔接HJ 377的要求</w:t>
            </w:r>
          </w:p>
        </w:tc>
      </w:tr>
      <w:tr w14:paraId="568A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7979939A">
            <w:pPr>
              <w:spacing w:after="0" w:line="300" w:lineRule="auto"/>
              <w:jc w:val="center"/>
              <w:rPr>
                <w:b w:val="0"/>
              </w:rPr>
            </w:pPr>
            <w:r>
              <w:rPr>
                <w:rFonts w:ascii="Times New Roman" w:hAnsi="Times New Roman" w:eastAsia="宋体" w:cs="Times New Roman"/>
                <w:b w:val="0"/>
                <w:sz w:val="20"/>
                <w:szCs w:val="20"/>
              </w:rPr>
              <w:t>一致性</w:t>
            </w:r>
          </w:p>
        </w:tc>
        <w:tc>
          <w:tcPr>
            <w:tcW w:w="26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5457488B">
            <w:pPr>
              <w:spacing w:after="0" w:line="300" w:lineRule="auto"/>
              <w:jc w:val="center"/>
              <w:rPr>
                <w:b w:val="0"/>
              </w:rPr>
            </w:pPr>
            <w:r>
              <w:rPr>
                <w:rFonts w:ascii="Times New Roman" w:hAnsi="Times New Roman" w:eastAsia="宋体" w:cs="Times New Roman"/>
                <w:b w:val="0"/>
                <w:sz w:val="20"/>
                <w:szCs w:val="20"/>
              </w:rPr>
              <w:t>99.2%、99.2%、99.2%</w:t>
            </w:r>
          </w:p>
        </w:tc>
        <w:tc>
          <w:tcPr>
            <w:tcW w:w="22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52B540C5">
            <w:pPr>
              <w:spacing w:after="0" w:line="300" w:lineRule="auto"/>
              <w:jc w:val="center"/>
              <w:rPr>
                <w:b w:val="0"/>
              </w:rPr>
            </w:pPr>
            <w:r>
              <w:rPr>
                <w:rFonts w:ascii="Times New Roman" w:hAnsi="Times New Roman" w:eastAsia="宋体" w:cs="Times New Roman"/>
                <w:b w:val="0"/>
                <w:sz w:val="20"/>
                <w:szCs w:val="20"/>
              </w:rPr>
              <w:t>≥90%</w:t>
            </w:r>
          </w:p>
        </w:tc>
        <w:tc>
          <w:tcPr>
            <w:tcW w:w="27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35B16DD5">
            <w:pPr>
              <w:spacing w:after="0" w:line="300" w:lineRule="auto"/>
              <w:jc w:val="center"/>
              <w:rPr>
                <w:b w:val="0"/>
              </w:rPr>
            </w:pPr>
            <w:r>
              <w:rPr>
                <w:rFonts w:ascii="Times New Roman" w:hAnsi="Times New Roman" w:eastAsia="宋体" w:cs="Times New Roman"/>
                <w:b w:val="0"/>
                <w:sz w:val="20"/>
                <w:szCs w:val="20"/>
              </w:rPr>
              <w:t>3台仪器一致性优异，考虑实际生产厂家水平差异，放宽一定范围，同时衔接HJ 377的要求</w:t>
            </w:r>
          </w:p>
        </w:tc>
      </w:tr>
    </w:tbl>
    <w:p w14:paraId="2D220519">
      <w:pPr>
        <w:spacing w:after="120"/>
      </w:pPr>
    </w:p>
    <w:p w14:paraId="1DEA8BB1">
      <w:pPr>
        <w:numPr>
          <w:ilvl w:val="0"/>
          <w:numId w:val="1"/>
        </w:numPr>
        <w:spacing w:after="120" w:line="360" w:lineRule="auto"/>
        <w:ind w:left="480" w:leftChars="0"/>
        <w:rPr>
          <w:rFonts w:ascii="Times New Roman" w:hAnsi="Times New Roman" w:eastAsia="宋体" w:cs="Times New Roman"/>
          <w:b/>
          <w:bCs/>
          <w:sz w:val="24"/>
          <w:szCs w:val="24"/>
        </w:rPr>
      </w:pPr>
      <w:r>
        <w:rPr>
          <w:rFonts w:ascii="Times New Roman" w:hAnsi="Times New Roman" w:eastAsia="宋体" w:cs="Times New Roman"/>
          <w:b/>
          <w:bCs/>
          <w:sz w:val="24"/>
          <w:szCs w:val="24"/>
        </w:rPr>
        <w:t>质量控制</w:t>
      </w:r>
    </w:p>
    <w:p w14:paraId="03B57835">
      <w:pPr>
        <w:numPr>
          <w:ilvl w:val="0"/>
          <w:numId w:val="0"/>
        </w:numPr>
        <w:spacing w:after="120" w:line="360" w:lineRule="auto"/>
        <w:ind w:firstLine="480" w:firstLineChars="200"/>
      </w:pPr>
      <w:r>
        <w:rPr>
          <w:rFonts w:ascii="Times New Roman" w:hAnsi="Times New Roman" w:eastAsia="宋体" w:cs="Times New Roman"/>
          <w:sz w:val="24"/>
          <w:szCs w:val="24"/>
        </w:rPr>
        <w:t>建立全流程质控体系，包括：试剂质量控制（所有试剂为分析纯及以上级别，实验用水为无还原性蒸馏水，标准溶液配制后标注日期、有效期，更换试剂后需重新校准仪器，校准曲线相关系数R≥0.99）；仪器质量控制（开机后做空白试验，空白吸光度≤0.005 Abs，每运行一个周期进行1次零点校准和量程校准，每月进行1次全性能指标核查）；检测过程质量控制（检测同步做空白试验，空白值≤5 mg/L，每24 h选取1个浓度的标准溶液进行核查，示值误差≤±10%，每7 d进行1次加标回收率试验，回收率控制在80%～120%，每3个月开展1次实际样品比对试验，与HJ 828方法比对，相对误差≤±10%）；数据质量控制（有效数据率≥90%，连续3次无效数据时立即排查故障），保障检测数据可靠。</w:t>
      </w:r>
    </w:p>
    <w:p w14:paraId="50823773">
      <w:pPr>
        <w:pStyle w:val="3"/>
        <w:bidi w:val="0"/>
        <w:outlineLvl w:val="1"/>
        <w:rPr>
          <w:rFonts w:hint="default" w:ascii="Times New Roman" w:hAnsi="Times New Roman" w:cs="Times New Roman"/>
          <w:b/>
          <w:bCs/>
          <w:spacing w:val="1"/>
        </w:rPr>
      </w:pPr>
      <w:r>
        <w:rPr>
          <w:rFonts w:hint="default" w:ascii="Times New Roman" w:hAnsi="Times New Roman" w:cs="Times New Roman"/>
          <w:b/>
          <w:bCs/>
          <w:spacing w:val="1"/>
        </w:rPr>
        <w:t>三、主要试验分析</w:t>
      </w:r>
      <w:r>
        <w:rPr>
          <w:rFonts w:hint="eastAsia" w:ascii="Times New Roman" w:hAnsi="Times New Roman" w:cs="Times New Roman"/>
          <w:b/>
          <w:bCs/>
          <w:spacing w:val="1"/>
          <w:lang w:eastAsia="zh-CN"/>
        </w:rPr>
        <w:t>及</w:t>
      </w:r>
      <w:r>
        <w:rPr>
          <w:rFonts w:hint="default" w:ascii="Times New Roman" w:hAnsi="Times New Roman" w:cs="Times New Roman"/>
          <w:b/>
          <w:bCs/>
          <w:spacing w:val="1"/>
        </w:rPr>
        <w:t>技术经济论证</w:t>
      </w:r>
    </w:p>
    <w:p w14:paraId="65265EB0">
      <w:pPr>
        <w:pStyle w:val="3"/>
        <w:spacing w:before="240" w:after="160" w:line="360" w:lineRule="auto"/>
      </w:pPr>
      <w:r>
        <w:rPr>
          <w:rFonts w:ascii="Times New Roman" w:hAnsi="Times New Roman" w:eastAsia="宋体" w:cs="Times New Roman"/>
          <w:b/>
          <w:bCs/>
          <w:sz w:val="28"/>
          <w:szCs w:val="28"/>
        </w:rPr>
        <w:t>（一）主要试验分析</w:t>
      </w:r>
    </w:p>
    <w:p w14:paraId="7006B7AD">
      <w:pPr>
        <w:spacing w:after="120" w:line="360" w:lineRule="auto"/>
        <w:ind w:firstLine="480"/>
      </w:pPr>
      <w:r>
        <w:rPr>
          <w:rFonts w:ascii="Times New Roman" w:hAnsi="Times New Roman" w:eastAsia="宋体" w:cs="Times New Roman"/>
          <w:sz w:val="24"/>
          <w:szCs w:val="24"/>
        </w:rPr>
        <w:t>2025年12月</w:t>
      </w:r>
      <w:r>
        <w:rPr>
          <w:rFonts w:hint="eastAsia" w:ascii="Times New Roman" w:hAnsi="Times New Roman" w:eastAsia="宋体" w:cs="Times New Roman"/>
          <w:sz w:val="24"/>
          <w:szCs w:val="24"/>
          <w:lang w:val="en-US" w:eastAsia="zh-CN"/>
        </w:rPr>
        <w:t>-</w:t>
      </w:r>
      <w:r>
        <w:rPr>
          <w:rFonts w:ascii="Times New Roman" w:hAnsi="Times New Roman" w:eastAsia="宋体" w:cs="Times New Roman"/>
          <w:sz w:val="24"/>
          <w:szCs w:val="24"/>
        </w:rPr>
        <w:t>2026年</w:t>
      </w:r>
      <w:r>
        <w:rPr>
          <w:rFonts w:hint="eastAsia" w:ascii="Times New Roman" w:hAnsi="Times New Roman" w:eastAsia="宋体" w:cs="Times New Roman"/>
          <w:sz w:val="24"/>
          <w:szCs w:val="24"/>
          <w:lang w:val="en-US" w:eastAsia="zh-CN"/>
        </w:rPr>
        <w:t>4</w:t>
      </w:r>
      <w:r>
        <w:rPr>
          <w:rFonts w:ascii="Times New Roman" w:hAnsi="Times New Roman" w:eastAsia="宋体" w:cs="Times New Roman"/>
          <w:sz w:val="24"/>
          <w:szCs w:val="24"/>
        </w:rPr>
        <w:t>月，编制组开展现场试验与方法验证，完成水基钻井液</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在线检测方法及关键参数测量验证。验证结果（</w:t>
      </w:r>
      <w:r>
        <w:rPr>
          <w:rFonts w:hint="eastAsia" w:ascii="Times New Roman" w:hAnsi="Times New Roman" w:eastAsia="宋体" w:cs="Times New Roman"/>
          <w:sz w:val="24"/>
          <w:szCs w:val="24"/>
          <w:lang w:eastAsia="zh-CN"/>
        </w:rPr>
        <w:t>详</w:t>
      </w:r>
      <w:r>
        <w:rPr>
          <w:rFonts w:ascii="Times New Roman" w:hAnsi="Times New Roman" w:eastAsia="宋体" w:cs="Times New Roman"/>
          <w:sz w:val="24"/>
          <w:szCs w:val="24"/>
        </w:rPr>
        <w:t>见表1）表明：示值误差方面，20%、50%、80%量程的实测相对误差分别为-0.1%～-0.4%、-0.03%～-0.2%、-0.2%～0.5%，远优于本标准规定的相应限值；实测定量下限为0.8 mg/L～1.3 mg/L，优于≤15 mg/L的要求；24 h低浓度漂移为-0.2 mg/L～0.3 mg/L，24 h高浓度漂移为0.3%～0.4%；记忆效应实测值为-1.4 mg/L～0.3 mg/L；电压影响、氯离子影响、环境温度影响的实测值分别为-0.3%～0.5%、-0.8%～0.7%、-0.4%～0.6%；实际试样比对中，低浓度水样绝对误差为1.4 mg/L～4.5 mg/L，高浓度水样相对误差为2.5%～7.3%；仪器最小维护周期可达720 h，720 h连续运行的有效数据率为96.5%，3台仪器一致性为99.2%。上述验证结果表明，本标准确定的各项性能指标科学合理、可达可控，预留了必要的工程</w:t>
      </w:r>
      <w:r>
        <w:rPr>
          <w:rFonts w:hint="eastAsia" w:ascii="Times New Roman" w:hAnsi="Times New Roman" w:eastAsia="宋体" w:cs="Times New Roman"/>
          <w:sz w:val="24"/>
          <w:szCs w:val="24"/>
          <w:lang w:eastAsia="zh-CN"/>
        </w:rPr>
        <w:t>余量</w:t>
      </w:r>
      <w:r>
        <w:rPr>
          <w:rFonts w:ascii="Times New Roman" w:hAnsi="Times New Roman" w:eastAsia="宋体" w:cs="Times New Roman"/>
          <w:sz w:val="24"/>
          <w:szCs w:val="24"/>
        </w:rPr>
        <w:t>，与项目研发的在线检测仪器设备性能相匹配。</w:t>
      </w:r>
    </w:p>
    <w:p w14:paraId="1290815F">
      <w:pPr>
        <w:pStyle w:val="3"/>
        <w:spacing w:before="240" w:after="160" w:line="360" w:lineRule="auto"/>
      </w:pPr>
      <w:r>
        <w:rPr>
          <w:rFonts w:ascii="Times New Roman" w:hAnsi="Times New Roman" w:eastAsia="宋体" w:cs="Times New Roman"/>
          <w:b/>
          <w:bCs/>
          <w:sz w:val="28"/>
          <w:szCs w:val="28"/>
        </w:rPr>
        <w:t>（二）技术经济论证</w:t>
      </w:r>
    </w:p>
    <w:p w14:paraId="4DC19EC3">
      <w:pPr>
        <w:spacing w:after="120" w:line="360" w:lineRule="auto"/>
        <w:ind w:firstLine="480"/>
      </w:pPr>
      <w:r>
        <w:rPr>
          <w:rFonts w:ascii="Times New Roman" w:hAnsi="Times New Roman" w:eastAsia="宋体" w:cs="Times New Roman"/>
          <w:sz w:val="24"/>
          <w:szCs w:val="24"/>
        </w:rPr>
        <w:t>石油天然气是经济社会发展的核心能源，保障油气安全供给是国家重大战略需求。为落实“确保原油稳产2亿吨安全红线、2035年天然气产量倍增至2600～3000亿方”的战略部署，2022年中石油、中石化、中海油及延长油田新钻井数量超2.31万口，占全球新钻井总量的39.3%；2023年我国天然气产量达2353亿立方米，连续7年增产超100亿立方米。随着油气开采规模快速扩大，钻井液及废弃钻井泥浆、岩屑等污染物带来的生态环境风险日益突出。水基钻井液中含有Cr、As、Cd等重金属、复合盐、聚合物及苯并芘、石油烃等有机污染物，其使用和废弃过程可能污染地下水、地表水及土壤。</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作为表征有机污染程度的核心指标，其实时监测是判断钻井液使用寿命、优化废弃处置方式、防控环境风险的关键前提。</w:t>
      </w:r>
    </w:p>
    <w:p w14:paraId="6CDABB95">
      <w:pPr>
        <w:spacing w:after="120" w:line="360" w:lineRule="auto"/>
        <w:ind w:firstLine="480"/>
      </w:pPr>
      <w:r>
        <w:rPr>
          <w:rFonts w:ascii="Times New Roman" w:hAnsi="Times New Roman" w:eastAsia="宋体" w:cs="Times New Roman"/>
          <w:sz w:val="24"/>
          <w:szCs w:val="24"/>
        </w:rPr>
        <w:t>目前国内针对钻井液中</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等特征污染物的在线检测技术装备十分鲜见，监测方法标准规范仍属空白。现有水质</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在线检测标准（如HJ 377）未适配钻井液固相含量高、氯离子浓度高等复杂的基质特性，导致检测数据准确性不足、量值溯源不统一，已成为油气开采行业绿色高质量发展的重要制约因素。本标准通过统一水基钻井液</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在线检测的技术要求、操作流程与质量控制标准，技术上可行、操作上便利，能够为在线检测技术装备的规范化应用提供支撑。</w:t>
      </w:r>
    </w:p>
    <w:p w14:paraId="2E56B617">
      <w:pPr>
        <w:pStyle w:val="3"/>
        <w:spacing w:before="240" w:after="160" w:line="360" w:lineRule="auto"/>
      </w:pPr>
      <w:r>
        <w:rPr>
          <w:rFonts w:ascii="Times New Roman" w:hAnsi="Times New Roman" w:eastAsia="宋体" w:cs="Times New Roman"/>
          <w:b/>
          <w:bCs/>
          <w:sz w:val="28"/>
          <w:szCs w:val="28"/>
        </w:rPr>
        <w:t>（三）预期的经济效果</w:t>
      </w:r>
    </w:p>
    <w:p w14:paraId="7D4BC26A">
      <w:pPr>
        <w:spacing w:after="120" w:line="360" w:lineRule="auto"/>
        <w:ind w:firstLine="480"/>
      </w:pPr>
      <w:r>
        <w:rPr>
          <w:rFonts w:ascii="Times New Roman" w:hAnsi="Times New Roman" w:eastAsia="宋体" w:cs="Times New Roman"/>
          <w:sz w:val="24"/>
          <w:szCs w:val="24"/>
        </w:rPr>
        <w:t>本标准的制定可填补水基钻井液</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在线检测方法标准的空白，为四川省钻井液特征污染物在线检测提供依据，为钻井液环境污染风险防控、废弃钻井废物安全处置提供标准化支撑，助力推广在线检测技术装备，推动全国油气钻井作业规范化发展，保障作业人员健康与生态环境安全，具有良好的经济效益、社会效益和环境效益。</w:t>
      </w:r>
    </w:p>
    <w:p w14:paraId="2ACFA35D">
      <w:pPr>
        <w:pStyle w:val="3"/>
        <w:bidi w:val="0"/>
        <w:outlineLvl w:val="1"/>
        <w:rPr>
          <w:rFonts w:hint="default" w:ascii="Times New Roman" w:hAnsi="Times New Roman" w:cs="Times New Roman"/>
          <w:b/>
          <w:bCs/>
          <w:spacing w:val="1"/>
        </w:rPr>
      </w:pPr>
      <w:r>
        <w:rPr>
          <w:rFonts w:hint="default" w:ascii="Times New Roman" w:hAnsi="Times New Roman" w:cs="Times New Roman"/>
          <w:b/>
          <w:bCs/>
          <w:spacing w:val="1"/>
        </w:rPr>
        <w:t>四、采用国际标准和国外先进标准的程度及与国内外同类标准水平的对比情况</w:t>
      </w:r>
    </w:p>
    <w:p w14:paraId="6C877AF9">
      <w:pPr>
        <w:spacing w:after="120" w:line="360" w:lineRule="auto"/>
        <w:ind w:firstLine="480"/>
      </w:pPr>
      <w:r>
        <w:rPr>
          <w:rFonts w:ascii="Times New Roman" w:hAnsi="Times New Roman" w:eastAsia="宋体" w:cs="Times New Roman"/>
          <w:sz w:val="24"/>
          <w:szCs w:val="24"/>
        </w:rPr>
        <w:t>经编制组调研，未查见专门针对水基钻井液</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在线检测的国际标准和国外先进标准，故本标准未采用国际标准。</w:t>
      </w:r>
    </w:p>
    <w:p w14:paraId="00E458DC">
      <w:pPr>
        <w:spacing w:after="120" w:line="360" w:lineRule="auto"/>
        <w:ind w:firstLine="480"/>
      </w:pPr>
      <w:r>
        <w:rPr>
          <w:rFonts w:ascii="Times New Roman" w:hAnsi="Times New Roman" w:eastAsia="宋体" w:cs="Times New Roman"/>
          <w:sz w:val="24"/>
          <w:szCs w:val="24"/>
        </w:rPr>
        <w:t>国内已发布实施的与</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测量相关的标准规范及其适用范围见表2。</w:t>
      </w:r>
    </w:p>
    <w:p w14:paraId="4B6552BF">
      <w:pPr>
        <w:spacing w:before="160" w:after="80"/>
        <w:jc w:val="center"/>
      </w:pPr>
      <w:r>
        <w:rPr>
          <w:rFonts w:ascii="Times New Roman" w:hAnsi="Times New Roman" w:eastAsia="宋体" w:cs="Times New Roman"/>
          <w:b/>
          <w:bCs/>
          <w:sz w:val="21"/>
          <w:szCs w:val="21"/>
        </w:rPr>
        <w:t>表2 已发布实施的与</w:t>
      </w:r>
      <w:r>
        <w:rPr>
          <w:rFonts w:hint="eastAsia" w:ascii="Times New Roman" w:hAnsi="Times New Roman" w:eastAsia="宋体" w:cs="Times New Roman"/>
          <w:b/>
          <w:bCs/>
          <w:sz w:val="21"/>
          <w:szCs w:val="21"/>
          <w:lang w:eastAsia="zh-CN"/>
        </w:rPr>
        <w:t>CODcr</w:t>
      </w:r>
      <w:r>
        <w:rPr>
          <w:rFonts w:ascii="Times New Roman" w:hAnsi="Times New Roman" w:eastAsia="宋体" w:cs="Times New Roman"/>
          <w:b/>
          <w:bCs/>
          <w:sz w:val="21"/>
          <w:szCs w:val="21"/>
        </w:rPr>
        <w:t>测量相关标准规范</w:t>
      </w:r>
    </w:p>
    <w:tbl>
      <w:tblPr>
        <w:tblStyle w:val="11"/>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686"/>
        <w:gridCol w:w="2852"/>
        <w:gridCol w:w="2746"/>
        <w:gridCol w:w="1716"/>
      </w:tblGrid>
      <w:tr w14:paraId="20DE9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700" w:type="dxa"/>
            <w:tcBorders>
              <w:top w:val="single" w:color="000000" w:sz="4" w:space="0"/>
              <w:left w:val="single" w:color="000000" w:sz="4" w:space="0"/>
              <w:bottom w:val="single" w:color="000000" w:sz="4" w:space="0"/>
              <w:right w:val="single" w:color="000000" w:sz="4" w:space="0"/>
              <w:tl2br w:val="nil"/>
            </w:tcBorders>
            <w:shd w:val="clear" w:color="auto" w:fill="FFFFFF"/>
            <w:tcMar>
              <w:top w:w="80" w:type="dxa"/>
              <w:left w:w="100" w:type="dxa"/>
              <w:bottom w:w="80" w:type="dxa"/>
              <w:right w:w="100" w:type="dxa"/>
            </w:tcMar>
            <w:vAlign w:val="center"/>
          </w:tcPr>
          <w:p w14:paraId="376EC4C3">
            <w:pPr>
              <w:spacing w:after="0" w:line="300" w:lineRule="auto"/>
              <w:jc w:val="center"/>
              <w:rPr>
                <w:b/>
                <w:bCs/>
              </w:rPr>
            </w:pPr>
            <w:r>
              <w:rPr>
                <w:rFonts w:ascii="Times New Roman" w:hAnsi="Times New Roman" w:eastAsia="宋体" w:cs="Times New Roman"/>
                <w:b/>
                <w:bCs/>
                <w:sz w:val="20"/>
                <w:szCs w:val="20"/>
              </w:rPr>
              <w:t>规程/规范代号</w:t>
            </w:r>
          </w:p>
        </w:tc>
        <w:tc>
          <w:tcPr>
            <w:tcW w:w="29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2D5DA340">
            <w:pPr>
              <w:spacing w:after="0" w:line="300" w:lineRule="auto"/>
              <w:jc w:val="center"/>
              <w:rPr>
                <w:b/>
                <w:bCs/>
              </w:rPr>
            </w:pPr>
            <w:r>
              <w:rPr>
                <w:rFonts w:ascii="Times New Roman" w:hAnsi="Times New Roman" w:eastAsia="宋体" w:cs="Times New Roman"/>
                <w:b/>
                <w:bCs/>
                <w:sz w:val="20"/>
                <w:szCs w:val="20"/>
              </w:rPr>
              <w:t>规程/规范名称</w:t>
            </w:r>
          </w:p>
        </w:tc>
        <w:tc>
          <w:tcPr>
            <w:tcW w:w="28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5CF62429">
            <w:pPr>
              <w:spacing w:after="0" w:line="300" w:lineRule="auto"/>
              <w:jc w:val="center"/>
              <w:rPr>
                <w:b/>
                <w:bCs/>
              </w:rPr>
            </w:pPr>
            <w:r>
              <w:rPr>
                <w:rFonts w:ascii="Times New Roman" w:hAnsi="Times New Roman" w:eastAsia="宋体" w:cs="Times New Roman"/>
                <w:b/>
                <w:bCs/>
                <w:sz w:val="20"/>
                <w:szCs w:val="20"/>
              </w:rPr>
              <w:t>适用范围</w:t>
            </w:r>
          </w:p>
        </w:tc>
        <w:tc>
          <w:tcPr>
            <w:tcW w:w="16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301A45DB">
            <w:pPr>
              <w:spacing w:after="0" w:line="300" w:lineRule="auto"/>
              <w:jc w:val="center"/>
              <w:rPr>
                <w:b/>
                <w:bCs/>
              </w:rPr>
            </w:pPr>
            <w:r>
              <w:rPr>
                <w:rFonts w:ascii="Times New Roman" w:hAnsi="Times New Roman" w:eastAsia="宋体" w:cs="Times New Roman"/>
                <w:b/>
                <w:bCs/>
                <w:sz w:val="20"/>
                <w:szCs w:val="20"/>
              </w:rPr>
              <w:t>仪器原理</w:t>
            </w:r>
          </w:p>
        </w:tc>
      </w:tr>
      <w:tr w14:paraId="19B5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3642B764">
            <w:pPr>
              <w:spacing w:after="0" w:line="300" w:lineRule="auto"/>
              <w:jc w:val="center"/>
              <w:rPr>
                <w:b w:val="0"/>
              </w:rPr>
            </w:pPr>
            <w:r>
              <w:rPr>
                <w:rFonts w:ascii="Times New Roman" w:hAnsi="Times New Roman" w:eastAsia="宋体" w:cs="Times New Roman"/>
                <w:b w:val="0"/>
                <w:sz w:val="20"/>
                <w:szCs w:val="20"/>
              </w:rPr>
              <w:t>HJ 377—2019</w:t>
            </w:r>
          </w:p>
        </w:tc>
        <w:tc>
          <w:tcPr>
            <w:tcW w:w="29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7E00E3C7">
            <w:pPr>
              <w:spacing w:after="0" w:line="300" w:lineRule="auto"/>
              <w:jc w:val="center"/>
              <w:rPr>
                <w:b w:val="0"/>
              </w:rPr>
            </w:pPr>
            <w:r>
              <w:rPr>
                <w:rFonts w:ascii="Times New Roman" w:hAnsi="Times New Roman" w:eastAsia="宋体" w:cs="Times New Roman"/>
                <w:b w:val="0"/>
                <w:sz w:val="20"/>
                <w:szCs w:val="20"/>
              </w:rPr>
              <w:t>化学需氧量（</w:t>
            </w:r>
            <w:r>
              <w:rPr>
                <w:rFonts w:hint="eastAsia" w:ascii="Times New Roman" w:hAnsi="Times New Roman" w:eastAsia="宋体" w:cs="Times New Roman"/>
                <w:b w:val="0"/>
                <w:sz w:val="20"/>
                <w:szCs w:val="20"/>
                <w:lang w:eastAsia="zh-CN"/>
              </w:rPr>
              <w:t>CODcr</w:t>
            </w:r>
            <w:r>
              <w:rPr>
                <w:rFonts w:ascii="Times New Roman" w:hAnsi="Times New Roman" w:eastAsia="宋体" w:cs="Times New Roman"/>
                <w:b w:val="0"/>
                <w:sz w:val="20"/>
                <w:szCs w:val="20"/>
              </w:rPr>
              <w:t>）水质在线自动监测仪技术要求及检测方法</w:t>
            </w:r>
          </w:p>
        </w:tc>
        <w:tc>
          <w:tcPr>
            <w:tcW w:w="28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15F89AB6">
            <w:pPr>
              <w:spacing w:after="0" w:line="300" w:lineRule="auto"/>
              <w:jc w:val="center"/>
              <w:rPr>
                <w:b w:val="0"/>
              </w:rPr>
            </w:pPr>
            <w:r>
              <w:rPr>
                <w:rFonts w:ascii="Times New Roman" w:hAnsi="Times New Roman" w:eastAsia="宋体" w:cs="Times New Roman"/>
                <w:b w:val="0"/>
                <w:sz w:val="20"/>
                <w:szCs w:val="20"/>
              </w:rPr>
              <w:t>地表水、生活污水和工业废水的</w:t>
            </w:r>
            <w:r>
              <w:rPr>
                <w:rFonts w:hint="eastAsia" w:ascii="Times New Roman" w:hAnsi="Times New Roman" w:eastAsia="宋体" w:cs="Times New Roman"/>
                <w:b w:val="0"/>
                <w:sz w:val="20"/>
                <w:szCs w:val="20"/>
                <w:lang w:eastAsia="zh-CN"/>
              </w:rPr>
              <w:t>CODcr</w:t>
            </w:r>
            <w:r>
              <w:rPr>
                <w:rFonts w:ascii="Times New Roman" w:hAnsi="Times New Roman" w:eastAsia="宋体" w:cs="Times New Roman"/>
                <w:b w:val="0"/>
                <w:sz w:val="20"/>
                <w:szCs w:val="20"/>
              </w:rPr>
              <w:t>水质在线自动监测仪的指导生产设计、应用选型和性能检验</w:t>
            </w:r>
          </w:p>
        </w:tc>
        <w:tc>
          <w:tcPr>
            <w:tcW w:w="16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4E20A869">
            <w:pPr>
              <w:spacing w:after="0" w:line="300" w:lineRule="auto"/>
              <w:jc w:val="center"/>
              <w:rPr>
                <w:b w:val="0"/>
              </w:rPr>
            </w:pPr>
            <w:r>
              <w:rPr>
                <w:rFonts w:ascii="Times New Roman" w:hAnsi="Times New Roman" w:eastAsia="宋体" w:cs="Times New Roman"/>
                <w:b w:val="0"/>
                <w:sz w:val="20"/>
                <w:szCs w:val="20"/>
              </w:rPr>
              <w:t>重铬酸钾氧化-分光光度法等</w:t>
            </w:r>
          </w:p>
        </w:tc>
      </w:tr>
      <w:tr w14:paraId="6554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5A8F63E0">
            <w:pPr>
              <w:spacing w:after="0" w:line="300" w:lineRule="auto"/>
              <w:jc w:val="center"/>
              <w:rPr>
                <w:b w:val="0"/>
              </w:rPr>
            </w:pPr>
            <w:r>
              <w:rPr>
                <w:rFonts w:ascii="Times New Roman" w:hAnsi="Times New Roman" w:eastAsia="宋体" w:cs="Times New Roman"/>
                <w:b w:val="0"/>
                <w:sz w:val="20"/>
                <w:szCs w:val="20"/>
              </w:rPr>
              <w:t>HJ 828—2017</w:t>
            </w:r>
          </w:p>
        </w:tc>
        <w:tc>
          <w:tcPr>
            <w:tcW w:w="29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06DCBA85">
            <w:pPr>
              <w:spacing w:after="0" w:line="300" w:lineRule="auto"/>
              <w:jc w:val="center"/>
              <w:rPr>
                <w:b w:val="0"/>
              </w:rPr>
            </w:pPr>
            <w:r>
              <w:rPr>
                <w:rFonts w:ascii="Times New Roman" w:hAnsi="Times New Roman" w:eastAsia="宋体" w:cs="Times New Roman"/>
                <w:b w:val="0"/>
                <w:sz w:val="20"/>
                <w:szCs w:val="20"/>
              </w:rPr>
              <w:t>水质 化学需氧量的测定 重铬酸盐法</w:t>
            </w:r>
          </w:p>
        </w:tc>
        <w:tc>
          <w:tcPr>
            <w:tcW w:w="28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412CC046">
            <w:pPr>
              <w:spacing w:after="0" w:line="300" w:lineRule="auto"/>
              <w:jc w:val="center"/>
              <w:rPr>
                <w:b w:val="0"/>
              </w:rPr>
            </w:pPr>
            <w:r>
              <w:rPr>
                <w:rFonts w:ascii="Times New Roman" w:hAnsi="Times New Roman" w:eastAsia="宋体" w:cs="Times New Roman"/>
                <w:b w:val="0"/>
                <w:sz w:val="20"/>
                <w:szCs w:val="20"/>
              </w:rPr>
              <w:t>地表水、地下水、生活污水和工业废水的化学需氧量测定</w:t>
            </w:r>
          </w:p>
        </w:tc>
        <w:tc>
          <w:tcPr>
            <w:tcW w:w="16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1725EF02">
            <w:pPr>
              <w:spacing w:after="0" w:line="300" w:lineRule="auto"/>
              <w:jc w:val="center"/>
              <w:rPr>
                <w:b w:val="0"/>
              </w:rPr>
            </w:pPr>
            <w:r>
              <w:rPr>
                <w:rFonts w:ascii="Times New Roman" w:hAnsi="Times New Roman" w:eastAsia="宋体" w:cs="Times New Roman"/>
                <w:b w:val="0"/>
                <w:sz w:val="20"/>
                <w:szCs w:val="20"/>
              </w:rPr>
              <w:t>重铬酸钾高温回流氧化-滴定法</w:t>
            </w:r>
          </w:p>
        </w:tc>
      </w:tr>
      <w:tr w14:paraId="437C0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1D687036">
            <w:pPr>
              <w:spacing w:after="0" w:line="300" w:lineRule="auto"/>
              <w:jc w:val="center"/>
              <w:rPr>
                <w:b w:val="0"/>
              </w:rPr>
            </w:pPr>
            <w:r>
              <w:rPr>
                <w:rFonts w:ascii="Times New Roman" w:hAnsi="Times New Roman" w:eastAsia="宋体" w:cs="Times New Roman"/>
                <w:b w:val="0"/>
                <w:sz w:val="20"/>
                <w:szCs w:val="20"/>
              </w:rPr>
              <w:t>HJ/T 132—2003</w:t>
            </w:r>
          </w:p>
        </w:tc>
        <w:tc>
          <w:tcPr>
            <w:tcW w:w="29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2257FFA6">
            <w:pPr>
              <w:spacing w:after="0" w:line="300" w:lineRule="auto"/>
              <w:jc w:val="center"/>
              <w:rPr>
                <w:b w:val="0"/>
              </w:rPr>
            </w:pPr>
            <w:r>
              <w:rPr>
                <w:rFonts w:ascii="Times New Roman" w:hAnsi="Times New Roman" w:eastAsia="宋体" w:cs="Times New Roman"/>
                <w:b w:val="0"/>
                <w:sz w:val="20"/>
                <w:szCs w:val="20"/>
              </w:rPr>
              <w:t>高氯废水 化学需氧量的测定 碘化钾碱性高锰酸钾法</w:t>
            </w:r>
          </w:p>
        </w:tc>
        <w:tc>
          <w:tcPr>
            <w:tcW w:w="28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5A0DE259">
            <w:pPr>
              <w:spacing w:after="0" w:line="300" w:lineRule="auto"/>
              <w:jc w:val="center"/>
              <w:rPr>
                <w:b w:val="0"/>
              </w:rPr>
            </w:pPr>
            <w:r>
              <w:rPr>
                <w:rFonts w:ascii="Times New Roman" w:hAnsi="Times New Roman" w:eastAsia="宋体" w:cs="Times New Roman"/>
                <w:b w:val="0"/>
                <w:sz w:val="20"/>
                <w:szCs w:val="20"/>
              </w:rPr>
              <w:t>油气田和炼化企业高氯废水（氯离子含量高达几万至十几万mg/L）的化学需氧量测定</w:t>
            </w:r>
          </w:p>
        </w:tc>
        <w:tc>
          <w:tcPr>
            <w:tcW w:w="16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2B2B40A0">
            <w:pPr>
              <w:spacing w:after="0" w:line="300" w:lineRule="auto"/>
              <w:jc w:val="center"/>
              <w:rPr>
                <w:b w:val="0"/>
              </w:rPr>
            </w:pPr>
            <w:r>
              <w:rPr>
                <w:rFonts w:ascii="Times New Roman" w:hAnsi="Times New Roman" w:eastAsia="宋体" w:cs="Times New Roman"/>
                <w:b w:val="0"/>
                <w:sz w:val="20"/>
                <w:szCs w:val="20"/>
              </w:rPr>
              <w:t>碱性条件下高锰酸钾氧化-碘化钾还原-滴定法</w:t>
            </w:r>
          </w:p>
        </w:tc>
      </w:tr>
      <w:tr w14:paraId="666D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2078B5E8">
            <w:pPr>
              <w:spacing w:after="0" w:line="300" w:lineRule="auto"/>
              <w:jc w:val="center"/>
              <w:rPr>
                <w:rFonts w:hint="default" w:eastAsia="宋体"/>
                <w:b w:val="0"/>
                <w:lang w:val="en-US" w:eastAsia="zh-CN"/>
              </w:rPr>
            </w:pPr>
            <w:r>
              <w:rPr>
                <w:rFonts w:hint="eastAsia" w:ascii="Times New Roman" w:hAnsi="Times New Roman" w:eastAsia="宋体" w:cs="Times New Roman"/>
                <w:b w:val="0"/>
                <w:sz w:val="20"/>
                <w:szCs w:val="20"/>
                <w:lang w:eastAsia="zh-CN"/>
              </w:rPr>
              <w:t>HJ 70</w:t>
            </w:r>
            <w:r>
              <w:rPr>
                <w:rFonts w:ascii="Times New Roman" w:hAnsi="Times New Roman" w:eastAsia="宋体" w:cs="Times New Roman"/>
                <w:b w:val="0"/>
                <w:sz w:val="20"/>
                <w:szCs w:val="20"/>
              </w:rPr>
              <w:t>—20</w:t>
            </w:r>
            <w:r>
              <w:rPr>
                <w:rFonts w:hint="eastAsia" w:ascii="Times New Roman" w:hAnsi="Times New Roman" w:eastAsia="宋体" w:cs="Times New Roman"/>
                <w:b w:val="0"/>
                <w:sz w:val="20"/>
                <w:szCs w:val="20"/>
                <w:lang w:val="en-US" w:eastAsia="zh-CN"/>
              </w:rPr>
              <w:t>25</w:t>
            </w:r>
          </w:p>
        </w:tc>
        <w:tc>
          <w:tcPr>
            <w:tcW w:w="29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50D544F7">
            <w:pPr>
              <w:spacing w:after="0" w:line="300" w:lineRule="auto"/>
              <w:jc w:val="center"/>
              <w:rPr>
                <w:b w:val="0"/>
              </w:rPr>
            </w:pPr>
            <w:r>
              <w:rPr>
                <w:rFonts w:hint="eastAsia"/>
                <w:b w:val="0"/>
              </w:rPr>
              <w:t>水质 化学需氧量的测定 氯气校正法</w:t>
            </w:r>
          </w:p>
        </w:tc>
        <w:tc>
          <w:tcPr>
            <w:tcW w:w="28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143110E0">
            <w:pPr>
              <w:spacing w:after="0" w:line="300" w:lineRule="auto"/>
              <w:jc w:val="center"/>
              <w:rPr>
                <w:b w:val="0"/>
              </w:rPr>
            </w:pPr>
            <w:r>
              <w:rPr>
                <w:rFonts w:ascii="Times New Roman" w:hAnsi="Times New Roman" w:eastAsia="宋体" w:cs="Times New Roman"/>
                <w:b w:val="0"/>
                <w:sz w:val="20"/>
                <w:szCs w:val="20"/>
              </w:rPr>
              <w:t>油田、沿海炼油厂、油库、氯碱厂、废水深海排放等废水中COD的测定</w:t>
            </w:r>
          </w:p>
        </w:tc>
        <w:tc>
          <w:tcPr>
            <w:tcW w:w="16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0D92EC91">
            <w:pPr>
              <w:spacing w:after="0" w:line="300" w:lineRule="auto"/>
              <w:jc w:val="center"/>
              <w:rPr>
                <w:b w:val="0"/>
              </w:rPr>
            </w:pPr>
            <w:r>
              <w:rPr>
                <w:rFonts w:ascii="Times New Roman" w:hAnsi="Times New Roman" w:eastAsia="宋体" w:cs="Times New Roman"/>
                <w:b w:val="0"/>
                <w:sz w:val="20"/>
                <w:szCs w:val="20"/>
              </w:rPr>
              <w:t>重铬酸钾氧化-氯气导出校正-滴定法</w:t>
            </w:r>
          </w:p>
        </w:tc>
      </w:tr>
      <w:tr w14:paraId="7E3D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5FBDF9E9">
            <w:pPr>
              <w:spacing w:after="0" w:line="300" w:lineRule="auto"/>
              <w:jc w:val="center"/>
              <w:rPr>
                <w:b w:val="0"/>
              </w:rPr>
            </w:pPr>
            <w:r>
              <w:rPr>
                <w:rFonts w:ascii="Times New Roman" w:hAnsi="Times New Roman" w:eastAsia="宋体" w:cs="Times New Roman"/>
                <w:b w:val="0"/>
                <w:sz w:val="20"/>
                <w:szCs w:val="20"/>
              </w:rPr>
              <w:t>HJ/T 399—2007</w:t>
            </w:r>
          </w:p>
        </w:tc>
        <w:tc>
          <w:tcPr>
            <w:tcW w:w="29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4B18921D">
            <w:pPr>
              <w:spacing w:after="0" w:line="300" w:lineRule="auto"/>
              <w:jc w:val="center"/>
              <w:rPr>
                <w:b w:val="0"/>
              </w:rPr>
            </w:pPr>
            <w:r>
              <w:rPr>
                <w:rFonts w:ascii="Times New Roman" w:hAnsi="Times New Roman" w:eastAsia="宋体" w:cs="Times New Roman"/>
                <w:b w:val="0"/>
                <w:sz w:val="20"/>
                <w:szCs w:val="20"/>
              </w:rPr>
              <w:t>水质 化学需氧量的测定 快速消解分光光度法</w:t>
            </w:r>
          </w:p>
        </w:tc>
        <w:tc>
          <w:tcPr>
            <w:tcW w:w="28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4C3D6621">
            <w:pPr>
              <w:spacing w:after="0" w:line="300" w:lineRule="auto"/>
              <w:jc w:val="center"/>
              <w:rPr>
                <w:b w:val="0"/>
              </w:rPr>
            </w:pPr>
            <w:r>
              <w:rPr>
                <w:rFonts w:ascii="Times New Roman" w:hAnsi="Times New Roman" w:eastAsia="宋体" w:cs="Times New Roman"/>
                <w:b w:val="0"/>
                <w:sz w:val="20"/>
                <w:szCs w:val="20"/>
              </w:rPr>
              <w:t>地表水、地下水、生活污水和工业废水的化学需氧量快速测定</w:t>
            </w:r>
          </w:p>
        </w:tc>
        <w:tc>
          <w:tcPr>
            <w:tcW w:w="16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4F38A27B">
            <w:pPr>
              <w:spacing w:after="0" w:line="300" w:lineRule="auto"/>
              <w:jc w:val="center"/>
              <w:rPr>
                <w:b w:val="0"/>
              </w:rPr>
            </w:pPr>
            <w:r>
              <w:rPr>
                <w:rFonts w:ascii="Times New Roman" w:hAnsi="Times New Roman" w:eastAsia="宋体" w:cs="Times New Roman"/>
                <w:b w:val="0"/>
                <w:sz w:val="20"/>
                <w:szCs w:val="20"/>
              </w:rPr>
              <w:t>重铬酸钾快速消解-分光光度法</w:t>
            </w:r>
          </w:p>
        </w:tc>
      </w:tr>
      <w:tr w14:paraId="2C85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134CCAF8">
            <w:pPr>
              <w:spacing w:after="0" w:line="300" w:lineRule="auto"/>
              <w:jc w:val="center"/>
              <w:rPr>
                <w:b w:val="0"/>
              </w:rPr>
            </w:pPr>
            <w:r>
              <w:rPr>
                <w:rFonts w:ascii="Times New Roman" w:hAnsi="Times New Roman" w:eastAsia="宋体" w:cs="Times New Roman"/>
                <w:b w:val="0"/>
                <w:sz w:val="20"/>
                <w:szCs w:val="20"/>
              </w:rPr>
              <w:t>DB13/T 5353—2021</w:t>
            </w:r>
          </w:p>
        </w:tc>
        <w:tc>
          <w:tcPr>
            <w:tcW w:w="29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0C2F99FC">
            <w:pPr>
              <w:spacing w:after="0" w:line="300" w:lineRule="auto"/>
              <w:jc w:val="center"/>
              <w:rPr>
                <w:b w:val="0"/>
              </w:rPr>
            </w:pPr>
            <w:r>
              <w:rPr>
                <w:rFonts w:ascii="Times New Roman" w:hAnsi="Times New Roman" w:eastAsia="宋体" w:cs="Times New Roman"/>
                <w:b w:val="0"/>
                <w:sz w:val="20"/>
                <w:szCs w:val="20"/>
              </w:rPr>
              <w:t>油气井水基钻井液环保性能要求</w:t>
            </w:r>
          </w:p>
        </w:tc>
        <w:tc>
          <w:tcPr>
            <w:tcW w:w="28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7F9BE6C7">
            <w:pPr>
              <w:spacing w:after="0" w:line="300" w:lineRule="auto"/>
              <w:jc w:val="center"/>
              <w:rPr>
                <w:b w:val="0"/>
              </w:rPr>
            </w:pPr>
            <w:r>
              <w:rPr>
                <w:rFonts w:ascii="Times New Roman" w:hAnsi="Times New Roman" w:eastAsia="宋体" w:cs="Times New Roman"/>
                <w:b w:val="0"/>
                <w:sz w:val="20"/>
                <w:szCs w:val="20"/>
              </w:rPr>
              <w:t>河北省油气井水基钻井液环保性能评价</w:t>
            </w:r>
          </w:p>
        </w:tc>
        <w:tc>
          <w:tcPr>
            <w:tcW w:w="160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00" w:type="dxa"/>
              <w:bottom w:w="80" w:type="dxa"/>
              <w:right w:w="100" w:type="dxa"/>
            </w:tcMar>
            <w:vAlign w:val="center"/>
          </w:tcPr>
          <w:p w14:paraId="209B3DB0">
            <w:pPr>
              <w:spacing w:after="0" w:line="300" w:lineRule="auto"/>
              <w:jc w:val="center"/>
              <w:rPr>
                <w:b w:val="0"/>
              </w:rPr>
            </w:pPr>
            <w:r>
              <w:rPr>
                <w:rFonts w:ascii="Times New Roman" w:hAnsi="Times New Roman" w:eastAsia="宋体" w:cs="Times New Roman"/>
                <w:b w:val="0"/>
                <w:sz w:val="20"/>
                <w:szCs w:val="20"/>
              </w:rPr>
              <w:t>参考HJ系列标准检测</w:t>
            </w:r>
            <w:r>
              <w:rPr>
                <w:rFonts w:hint="eastAsia" w:ascii="Times New Roman" w:hAnsi="Times New Roman" w:eastAsia="宋体" w:cs="Times New Roman"/>
                <w:b w:val="0"/>
                <w:sz w:val="20"/>
                <w:szCs w:val="20"/>
                <w:lang w:eastAsia="zh-CN"/>
              </w:rPr>
              <w:t>CODcr</w:t>
            </w:r>
            <w:r>
              <w:rPr>
                <w:rFonts w:ascii="Times New Roman" w:hAnsi="Times New Roman" w:eastAsia="宋体" w:cs="Times New Roman"/>
                <w:b w:val="0"/>
                <w:sz w:val="20"/>
                <w:szCs w:val="20"/>
              </w:rPr>
              <w:t>，明确BOD/</w:t>
            </w:r>
            <w:r>
              <w:rPr>
                <w:rFonts w:hint="eastAsia" w:ascii="Times New Roman" w:hAnsi="Times New Roman" w:eastAsia="宋体" w:cs="Times New Roman"/>
                <w:b w:val="0"/>
                <w:sz w:val="20"/>
                <w:szCs w:val="20"/>
                <w:lang w:eastAsia="zh-CN"/>
              </w:rPr>
              <w:t>CODcr</w:t>
            </w:r>
            <w:r>
              <w:rPr>
                <w:rFonts w:ascii="Times New Roman" w:hAnsi="Times New Roman" w:eastAsia="宋体" w:cs="Times New Roman"/>
                <w:b w:val="0"/>
                <w:sz w:val="20"/>
                <w:szCs w:val="20"/>
              </w:rPr>
              <w:t>≥0.05</w:t>
            </w:r>
          </w:p>
        </w:tc>
      </w:tr>
    </w:tbl>
    <w:p w14:paraId="3079905F">
      <w:pPr>
        <w:spacing w:after="120"/>
      </w:pPr>
    </w:p>
    <w:p w14:paraId="07159F74">
      <w:pPr>
        <w:spacing w:after="120" w:line="360" w:lineRule="auto"/>
        <w:ind w:firstLine="480"/>
      </w:pPr>
      <w:r>
        <w:rPr>
          <w:rFonts w:ascii="Times New Roman" w:hAnsi="Times New Roman" w:eastAsia="宋体" w:cs="Times New Roman"/>
          <w:sz w:val="24"/>
          <w:szCs w:val="24"/>
        </w:rPr>
        <w:t>由表2可见，现有标准主要面向地表水、生活污水、工业废水及高氯废水的</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测定，尚未覆盖石油天然气开采过程水基钻井液的</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在线自动检测场景。本标准在满足HJ 377通用技术要求的基础上，针对水基钻井液固相含量高、氯离子浓度高、碱性强等特殊基质特性，补充规定了均质、过滤、反冲洗等预处理模块要求，以及浊度修正、高氯样品分级预处理、酸化预处理等干扰消除措施，并适配钻井现场恶劣工况提出了防堵塞、抗振动、耐腐蚀等要求，与国内同类标准相比针对性更强，填补了该领域标准空白，总体技术水平与国内现行相关标准相协调。</w:t>
      </w:r>
    </w:p>
    <w:p w14:paraId="636F698A">
      <w:pPr>
        <w:pStyle w:val="3"/>
        <w:bidi w:val="0"/>
        <w:outlineLvl w:val="1"/>
        <w:rPr>
          <w:rFonts w:hint="default" w:ascii="Times New Roman" w:hAnsi="Times New Roman" w:cs="Times New Roman"/>
          <w:b/>
          <w:bCs/>
          <w:spacing w:val="1"/>
        </w:rPr>
      </w:pPr>
      <w:r>
        <w:rPr>
          <w:rFonts w:hint="default" w:ascii="Times New Roman" w:hAnsi="Times New Roman" w:cs="Times New Roman"/>
          <w:b/>
          <w:bCs/>
          <w:spacing w:val="1"/>
        </w:rPr>
        <w:t>五、与有关的现行法律、法规和强制性国家标准的关系</w:t>
      </w:r>
    </w:p>
    <w:p w14:paraId="26F8CBA1">
      <w:pPr>
        <w:spacing w:after="120" w:line="360" w:lineRule="auto"/>
        <w:ind w:firstLine="480"/>
      </w:pPr>
      <w:r>
        <w:rPr>
          <w:rFonts w:ascii="Times New Roman" w:hAnsi="Times New Roman" w:eastAsia="宋体" w:cs="Times New Roman"/>
          <w:sz w:val="24"/>
          <w:szCs w:val="24"/>
        </w:rPr>
        <w:t>本标准内容符合国家现行法律、法规要求，并与参照采用的相关标准、管理办法有一定的对应关系。本标准规范性引用的GB 4793.1《测量、控制和试验室用电气设备的安全要求 第1部分：通用要求》、GB 11896《水质 氯化物的测定 硝酸银滴定法》等均为现行有效的国家标准，本标准与现行法律、法规和强制性国家标准不存在冲突。</w:t>
      </w:r>
    </w:p>
    <w:p w14:paraId="6638A07F">
      <w:pPr>
        <w:pStyle w:val="3"/>
        <w:bidi w:val="0"/>
        <w:outlineLvl w:val="1"/>
        <w:rPr>
          <w:rFonts w:hint="default" w:ascii="Times New Roman" w:hAnsi="Times New Roman" w:cs="Times New Roman"/>
          <w:b/>
          <w:bCs/>
          <w:spacing w:val="1"/>
        </w:rPr>
      </w:pPr>
      <w:r>
        <w:rPr>
          <w:rFonts w:hint="default" w:ascii="Times New Roman" w:hAnsi="Times New Roman" w:cs="Times New Roman"/>
          <w:b/>
          <w:bCs/>
          <w:spacing w:val="1"/>
        </w:rPr>
        <w:t>六、重大分歧意见的处理经过和依据</w:t>
      </w:r>
    </w:p>
    <w:p w14:paraId="5B4C32F2">
      <w:pPr>
        <w:spacing w:after="120" w:line="360" w:lineRule="auto"/>
        <w:ind w:firstLine="480"/>
      </w:pPr>
      <w:r>
        <w:rPr>
          <w:rFonts w:ascii="Times New Roman" w:hAnsi="Times New Roman" w:eastAsia="宋体" w:cs="Times New Roman"/>
          <w:sz w:val="24"/>
          <w:szCs w:val="24"/>
        </w:rPr>
        <w:t>本标准的制定过程中未出现重大的分歧意见。</w:t>
      </w:r>
    </w:p>
    <w:p w14:paraId="041F0019">
      <w:pPr>
        <w:pStyle w:val="3"/>
        <w:bidi w:val="0"/>
        <w:outlineLvl w:val="1"/>
        <w:rPr>
          <w:rFonts w:hint="default" w:ascii="Times New Roman" w:hAnsi="Times New Roman" w:cs="Times New Roman"/>
          <w:b/>
          <w:bCs/>
          <w:spacing w:val="1"/>
        </w:rPr>
      </w:pPr>
      <w:r>
        <w:rPr>
          <w:rFonts w:hint="default" w:ascii="Times New Roman" w:hAnsi="Times New Roman" w:cs="Times New Roman"/>
          <w:b/>
          <w:bCs/>
          <w:spacing w:val="1"/>
        </w:rPr>
        <w:t>七、废止现行有关团体标准的建议</w:t>
      </w:r>
    </w:p>
    <w:p w14:paraId="48D74A2D">
      <w:pPr>
        <w:spacing w:after="120" w:line="360" w:lineRule="auto"/>
        <w:ind w:firstLine="480"/>
      </w:pPr>
      <w:r>
        <w:rPr>
          <w:rFonts w:ascii="Times New Roman" w:hAnsi="Times New Roman" w:eastAsia="宋体" w:cs="Times New Roman"/>
          <w:sz w:val="24"/>
          <w:szCs w:val="24"/>
        </w:rPr>
        <w:t>本标准为首次制定和发布，无废止现行有关团体标准的建议。</w:t>
      </w:r>
    </w:p>
    <w:p w14:paraId="4A44C893">
      <w:pPr>
        <w:pStyle w:val="3"/>
        <w:bidi w:val="0"/>
        <w:outlineLvl w:val="1"/>
        <w:rPr>
          <w:rFonts w:hint="default" w:ascii="Times New Roman" w:hAnsi="Times New Roman" w:cs="Times New Roman"/>
          <w:b/>
          <w:bCs/>
          <w:spacing w:val="1"/>
        </w:rPr>
      </w:pPr>
      <w:r>
        <w:rPr>
          <w:rFonts w:hint="default" w:ascii="Times New Roman" w:hAnsi="Times New Roman" w:cs="Times New Roman"/>
          <w:b/>
          <w:bCs/>
          <w:spacing w:val="1"/>
        </w:rPr>
        <w:t>八、披露标准涉及的专利信息</w:t>
      </w:r>
    </w:p>
    <w:p w14:paraId="150E2538">
      <w:pPr>
        <w:spacing w:after="120" w:line="360" w:lineRule="auto"/>
        <w:ind w:firstLine="480"/>
      </w:pPr>
      <w:r>
        <w:rPr>
          <w:rFonts w:ascii="Times New Roman" w:hAnsi="Times New Roman" w:eastAsia="宋体" w:cs="Times New Roman"/>
          <w:sz w:val="24"/>
          <w:szCs w:val="24"/>
        </w:rPr>
        <w:t>本标准前言已按照GB/T 1.1—2020的要求声明</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请注意本文件的某些内容可能涉及专利。本文件的发布机构不承担识别专利的责任。</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截至本编制说明形成时，编制组未收到本标准涉及专利的披露信息。</w:t>
      </w:r>
    </w:p>
    <w:p w14:paraId="19B34B1F">
      <w:pPr>
        <w:pStyle w:val="3"/>
        <w:bidi w:val="0"/>
        <w:outlineLvl w:val="1"/>
        <w:rPr>
          <w:rFonts w:hint="default" w:ascii="Times New Roman" w:hAnsi="Times New Roman" w:cs="Times New Roman"/>
          <w:b/>
          <w:bCs/>
          <w:spacing w:val="1"/>
        </w:rPr>
      </w:pPr>
      <w:r>
        <w:rPr>
          <w:rFonts w:hint="default" w:ascii="Times New Roman" w:hAnsi="Times New Roman" w:cs="Times New Roman"/>
          <w:b/>
          <w:bCs/>
          <w:spacing w:val="1"/>
        </w:rPr>
        <w:t>九、制修订经费筹集和使用情况</w:t>
      </w:r>
    </w:p>
    <w:p w14:paraId="501AA93B">
      <w:pPr>
        <w:spacing w:after="120" w:line="360" w:lineRule="auto"/>
        <w:ind w:firstLine="480"/>
      </w:pPr>
      <w:r>
        <w:rPr>
          <w:rFonts w:ascii="Times New Roman" w:hAnsi="Times New Roman" w:eastAsia="宋体" w:cs="Times New Roman"/>
          <w:sz w:val="24"/>
          <w:szCs w:val="24"/>
        </w:rPr>
        <w:t>本标准编制工作依托</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油气钻井工作液NQI关键技术体系</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相关科研项目开展</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经费随项目统筹安排，主要用于文献资料调研、水基钻井液</w:t>
      </w:r>
      <w:r>
        <w:rPr>
          <w:rFonts w:hint="eastAsia" w:ascii="Times New Roman" w:hAnsi="Times New Roman" w:eastAsia="宋体" w:cs="Times New Roman"/>
          <w:sz w:val="24"/>
          <w:szCs w:val="24"/>
          <w:lang w:eastAsia="zh-CN"/>
        </w:rPr>
        <w:t>CODcr</w:t>
      </w:r>
      <w:r>
        <w:rPr>
          <w:rFonts w:ascii="Times New Roman" w:hAnsi="Times New Roman" w:eastAsia="宋体" w:cs="Times New Roman"/>
          <w:sz w:val="24"/>
          <w:szCs w:val="24"/>
        </w:rPr>
        <w:t>在线检测仪器设备研发与安装调试、现场试验与方法验证等标准编制相关工作。</w:t>
      </w:r>
    </w:p>
    <w:p w14:paraId="060337BB">
      <w:pPr>
        <w:pStyle w:val="3"/>
        <w:bidi w:val="0"/>
        <w:outlineLvl w:val="1"/>
        <w:rPr>
          <w:rFonts w:hint="default" w:ascii="Times New Roman" w:hAnsi="Times New Roman" w:cs="Times New Roman"/>
          <w:b/>
          <w:bCs/>
          <w:spacing w:val="1"/>
        </w:rPr>
      </w:pPr>
      <w:r>
        <w:rPr>
          <w:rFonts w:hint="default" w:ascii="Times New Roman" w:hAnsi="Times New Roman" w:cs="Times New Roman"/>
          <w:b/>
          <w:bCs/>
          <w:spacing w:val="1"/>
        </w:rPr>
        <w:t>十、其他应予说明的事项</w:t>
      </w:r>
    </w:p>
    <w:p w14:paraId="5D24AE28">
      <w:pPr>
        <w:spacing w:after="120" w:line="360" w:lineRule="auto"/>
        <w:ind w:firstLine="480"/>
      </w:pPr>
      <w:r>
        <w:rPr>
          <w:rFonts w:ascii="Times New Roman" w:hAnsi="Times New Roman" w:eastAsia="宋体" w:cs="Times New Roman"/>
          <w:sz w:val="24"/>
          <w:szCs w:val="24"/>
        </w:rPr>
        <w:t>无。</w:t>
      </w:r>
    </w:p>
    <w:p w14:paraId="47C311D3">
      <w:pPr>
        <w:spacing w:after="120" w:line="360" w:lineRule="auto"/>
        <w:ind w:firstLine="480"/>
        <w:rPr>
          <w:rFonts w:ascii="Times New Roman" w:hAnsi="Times New Roman" w:eastAsia="宋体" w:cs="Times New Roman"/>
          <w:sz w:val="24"/>
          <w:szCs w:val="24"/>
        </w:rPr>
      </w:pPr>
    </w:p>
    <w:p w14:paraId="45ACAD2A">
      <w:pPr>
        <w:spacing w:after="120" w:line="360" w:lineRule="auto"/>
        <w:ind w:firstLine="480"/>
        <w:rPr>
          <w:rFonts w:ascii="Times New Roman" w:hAnsi="Times New Roman" w:eastAsia="宋体" w:cs="Times New Roman"/>
          <w:sz w:val="24"/>
          <w:szCs w:val="24"/>
        </w:rPr>
      </w:pPr>
    </w:p>
    <w:p w14:paraId="795FD4E7">
      <w:pPr>
        <w:spacing w:after="120" w:line="360" w:lineRule="auto"/>
        <w:ind w:firstLine="480"/>
        <w:rPr>
          <w:rFonts w:ascii="Times New Roman" w:hAnsi="Times New Roman" w:eastAsia="宋体" w:cs="Times New Roman"/>
          <w:sz w:val="24"/>
          <w:szCs w:val="24"/>
        </w:rPr>
      </w:pPr>
    </w:p>
    <w:p w14:paraId="562BC105">
      <w:pPr>
        <w:spacing w:after="120" w:line="360" w:lineRule="auto"/>
        <w:ind w:firstLine="480"/>
        <w:rPr>
          <w:rFonts w:ascii="Times New Roman" w:hAnsi="Times New Roman" w:eastAsia="宋体" w:cs="Times New Roman"/>
          <w:sz w:val="24"/>
          <w:szCs w:val="24"/>
        </w:rPr>
      </w:pPr>
    </w:p>
    <w:p w14:paraId="00A36116">
      <w:pPr>
        <w:spacing w:after="120" w:line="360" w:lineRule="auto"/>
        <w:ind w:firstLine="480"/>
        <w:rPr>
          <w:rFonts w:ascii="Times New Roman" w:hAnsi="Times New Roman" w:eastAsia="宋体" w:cs="Times New Roman"/>
          <w:sz w:val="24"/>
          <w:szCs w:val="24"/>
        </w:rPr>
      </w:pPr>
    </w:p>
    <w:p w14:paraId="3FC0D9CC">
      <w:pPr>
        <w:spacing w:after="120" w:line="360" w:lineRule="auto"/>
        <w:ind w:firstLine="480"/>
        <w:rPr>
          <w:rFonts w:ascii="Times New Roman" w:hAnsi="Times New Roman" w:eastAsia="宋体" w:cs="Times New Roman"/>
          <w:sz w:val="24"/>
          <w:szCs w:val="24"/>
        </w:rPr>
      </w:pPr>
    </w:p>
    <w:p w14:paraId="55C86762">
      <w:pPr>
        <w:spacing w:after="120" w:line="360" w:lineRule="auto"/>
        <w:ind w:firstLine="480"/>
        <w:rPr>
          <w:rFonts w:ascii="Times New Roman" w:hAnsi="Times New Roman" w:eastAsia="宋体" w:cs="Times New Roman"/>
          <w:sz w:val="24"/>
          <w:szCs w:val="24"/>
        </w:rPr>
      </w:pPr>
    </w:p>
    <w:bookmarkEnd w:id="1"/>
    <w:p w14:paraId="4E8ED822">
      <w:pPr>
        <w:pStyle w:val="7"/>
        <w:bidi w:val="0"/>
        <w:ind w:left="0" w:leftChars="0" w:firstLine="0" w:firstLineChars="0"/>
        <w:rPr>
          <w:rFonts w:hint="default" w:ascii="Times New Roman" w:hAnsi="Times New Roman" w:cs="Times New Roman"/>
          <w:spacing w:val="2"/>
          <w:sz w:val="24"/>
          <w:szCs w:val="24"/>
          <w:lang w:val="en-US" w:eastAsia="zh-CN"/>
        </w:rPr>
      </w:pPr>
    </w:p>
    <w:sectPr>
      <w:footerReference r:id="rId5" w:type="default"/>
      <w:pgSz w:w="11910" w:h="16840"/>
      <w:pgMar w:top="1304" w:right="1665" w:bottom="1519" w:left="1625" w:header="0" w:footer="140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D3014">
    <w:pPr>
      <w:spacing w:line="169" w:lineRule="auto"/>
      <w:ind w:left="4105"/>
      <w:rPr>
        <w:rFonts w:ascii="Times New Roman" w:hAnsi="Times New Roman" w:eastAsia="Times New Roman" w:cs="Times New Roman"/>
        <w:sz w:val="13"/>
        <w:szCs w:val="13"/>
      </w:rPr>
    </w:pPr>
    <w:r>
      <w:rPr>
        <w:sz w:val="13"/>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F0B327">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8F0B327">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3AC5BA"/>
    <w:multiLevelType w:val="singleLevel"/>
    <w:tmpl w:val="BB3AC5BA"/>
    <w:lvl w:ilvl="0" w:tentative="0">
      <w:start w:val="6"/>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1A64C4"/>
    <w:rsid w:val="005D4603"/>
    <w:rsid w:val="00D76D97"/>
    <w:rsid w:val="022A0825"/>
    <w:rsid w:val="03CE0C73"/>
    <w:rsid w:val="04700DA8"/>
    <w:rsid w:val="05834B0B"/>
    <w:rsid w:val="07867756"/>
    <w:rsid w:val="0791635C"/>
    <w:rsid w:val="07E0545D"/>
    <w:rsid w:val="07F10B47"/>
    <w:rsid w:val="07FB6543"/>
    <w:rsid w:val="08467F67"/>
    <w:rsid w:val="08C8006A"/>
    <w:rsid w:val="09300B06"/>
    <w:rsid w:val="09641372"/>
    <w:rsid w:val="09F016FB"/>
    <w:rsid w:val="09FD6804"/>
    <w:rsid w:val="0A223AFB"/>
    <w:rsid w:val="0A8E1ADF"/>
    <w:rsid w:val="0AEF6651"/>
    <w:rsid w:val="0B0D436E"/>
    <w:rsid w:val="0B1D330C"/>
    <w:rsid w:val="0B263D78"/>
    <w:rsid w:val="0C7B02EA"/>
    <w:rsid w:val="0C8E6F63"/>
    <w:rsid w:val="0ECA5559"/>
    <w:rsid w:val="0F19203C"/>
    <w:rsid w:val="0F405AEF"/>
    <w:rsid w:val="0F51040B"/>
    <w:rsid w:val="0F7B6853"/>
    <w:rsid w:val="0FA543E9"/>
    <w:rsid w:val="11A227BD"/>
    <w:rsid w:val="11EC57E6"/>
    <w:rsid w:val="120D599B"/>
    <w:rsid w:val="12565E8B"/>
    <w:rsid w:val="13A043AC"/>
    <w:rsid w:val="13BA2040"/>
    <w:rsid w:val="14072C6F"/>
    <w:rsid w:val="1448772B"/>
    <w:rsid w:val="14940774"/>
    <w:rsid w:val="159650EC"/>
    <w:rsid w:val="18BF4675"/>
    <w:rsid w:val="19A76BC3"/>
    <w:rsid w:val="19D56793"/>
    <w:rsid w:val="1A5A4BD2"/>
    <w:rsid w:val="1BA86B96"/>
    <w:rsid w:val="1C533032"/>
    <w:rsid w:val="1CA21F4A"/>
    <w:rsid w:val="1CC940F8"/>
    <w:rsid w:val="1D0B18C6"/>
    <w:rsid w:val="1F4D55DB"/>
    <w:rsid w:val="1FAE25D2"/>
    <w:rsid w:val="212C5BFF"/>
    <w:rsid w:val="21957C48"/>
    <w:rsid w:val="21D52CE5"/>
    <w:rsid w:val="225A0462"/>
    <w:rsid w:val="23735D67"/>
    <w:rsid w:val="237A0EA4"/>
    <w:rsid w:val="238B3BF2"/>
    <w:rsid w:val="24417C8A"/>
    <w:rsid w:val="24B8030A"/>
    <w:rsid w:val="2524556B"/>
    <w:rsid w:val="25494FD2"/>
    <w:rsid w:val="25B10D75"/>
    <w:rsid w:val="262748B3"/>
    <w:rsid w:val="26D905D7"/>
    <w:rsid w:val="27225ADA"/>
    <w:rsid w:val="2778350A"/>
    <w:rsid w:val="283F7312"/>
    <w:rsid w:val="28506079"/>
    <w:rsid w:val="29F74B4B"/>
    <w:rsid w:val="2B9D4174"/>
    <w:rsid w:val="2D636E4D"/>
    <w:rsid w:val="2DC41CF0"/>
    <w:rsid w:val="2E393895"/>
    <w:rsid w:val="2E9A4AF0"/>
    <w:rsid w:val="316B2774"/>
    <w:rsid w:val="327E4D2E"/>
    <w:rsid w:val="32B9249D"/>
    <w:rsid w:val="32EB4132"/>
    <w:rsid w:val="343B69CB"/>
    <w:rsid w:val="34931DC5"/>
    <w:rsid w:val="34DF325D"/>
    <w:rsid w:val="34F8521C"/>
    <w:rsid w:val="35505F08"/>
    <w:rsid w:val="358946C5"/>
    <w:rsid w:val="35B35B18"/>
    <w:rsid w:val="367D2EC8"/>
    <w:rsid w:val="368C13C8"/>
    <w:rsid w:val="369C2236"/>
    <w:rsid w:val="375810A4"/>
    <w:rsid w:val="37A367C3"/>
    <w:rsid w:val="390243F6"/>
    <w:rsid w:val="3A241712"/>
    <w:rsid w:val="3A60099C"/>
    <w:rsid w:val="3AA60379"/>
    <w:rsid w:val="3B183024"/>
    <w:rsid w:val="3B6E0E96"/>
    <w:rsid w:val="3BA853EA"/>
    <w:rsid w:val="3BA945C4"/>
    <w:rsid w:val="3C4F1165"/>
    <w:rsid w:val="3C530294"/>
    <w:rsid w:val="3CAA7DFA"/>
    <w:rsid w:val="3CB9732D"/>
    <w:rsid w:val="3CF2238C"/>
    <w:rsid w:val="3D0715A3"/>
    <w:rsid w:val="3D1C4922"/>
    <w:rsid w:val="3DDA6CB7"/>
    <w:rsid w:val="3EC314F9"/>
    <w:rsid w:val="4081166C"/>
    <w:rsid w:val="412D3C5B"/>
    <w:rsid w:val="415B7C64"/>
    <w:rsid w:val="41BF2514"/>
    <w:rsid w:val="44071E88"/>
    <w:rsid w:val="441C5EDA"/>
    <w:rsid w:val="446B7CF4"/>
    <w:rsid w:val="4504461A"/>
    <w:rsid w:val="45A57A04"/>
    <w:rsid w:val="4616484C"/>
    <w:rsid w:val="46AC6D17"/>
    <w:rsid w:val="46B24606"/>
    <w:rsid w:val="48F33E66"/>
    <w:rsid w:val="498E7403"/>
    <w:rsid w:val="4A080708"/>
    <w:rsid w:val="4AD91111"/>
    <w:rsid w:val="4B1B446B"/>
    <w:rsid w:val="4B790B25"/>
    <w:rsid w:val="4C2A3BAE"/>
    <w:rsid w:val="4D0C5A1C"/>
    <w:rsid w:val="4D0F1DAD"/>
    <w:rsid w:val="4D231C41"/>
    <w:rsid w:val="4D2515D1"/>
    <w:rsid w:val="4DED20EF"/>
    <w:rsid w:val="4DFB18C0"/>
    <w:rsid w:val="4ECF5DEB"/>
    <w:rsid w:val="4F2251C0"/>
    <w:rsid w:val="4F58699D"/>
    <w:rsid w:val="4FEB1CF7"/>
    <w:rsid w:val="50137E07"/>
    <w:rsid w:val="507E0568"/>
    <w:rsid w:val="50954FE9"/>
    <w:rsid w:val="50F60053"/>
    <w:rsid w:val="516C5A20"/>
    <w:rsid w:val="5288688A"/>
    <w:rsid w:val="53130849"/>
    <w:rsid w:val="534259E0"/>
    <w:rsid w:val="542D76E9"/>
    <w:rsid w:val="54A54403"/>
    <w:rsid w:val="54FE754D"/>
    <w:rsid w:val="551B2419"/>
    <w:rsid w:val="55525CA4"/>
    <w:rsid w:val="56C21103"/>
    <w:rsid w:val="574014E1"/>
    <w:rsid w:val="5777740D"/>
    <w:rsid w:val="58BF0649"/>
    <w:rsid w:val="58F81E4C"/>
    <w:rsid w:val="5A02006D"/>
    <w:rsid w:val="5AB96734"/>
    <w:rsid w:val="5B33135D"/>
    <w:rsid w:val="5BA069F2"/>
    <w:rsid w:val="5C1D5881"/>
    <w:rsid w:val="5E75720F"/>
    <w:rsid w:val="602B22B9"/>
    <w:rsid w:val="60537B99"/>
    <w:rsid w:val="622639C9"/>
    <w:rsid w:val="63335157"/>
    <w:rsid w:val="640D3429"/>
    <w:rsid w:val="641F624F"/>
    <w:rsid w:val="64F10F87"/>
    <w:rsid w:val="66196791"/>
    <w:rsid w:val="666D7E19"/>
    <w:rsid w:val="66AB0941"/>
    <w:rsid w:val="67C52578"/>
    <w:rsid w:val="68550B65"/>
    <w:rsid w:val="686B482C"/>
    <w:rsid w:val="68FC2516"/>
    <w:rsid w:val="69364AF2"/>
    <w:rsid w:val="697A255A"/>
    <w:rsid w:val="69A40916"/>
    <w:rsid w:val="69DD525E"/>
    <w:rsid w:val="6A8D2838"/>
    <w:rsid w:val="6AB80B33"/>
    <w:rsid w:val="6C195B1B"/>
    <w:rsid w:val="6CA36342"/>
    <w:rsid w:val="6CE46C6E"/>
    <w:rsid w:val="6CEF40D9"/>
    <w:rsid w:val="6D9024E7"/>
    <w:rsid w:val="6DB95BB8"/>
    <w:rsid w:val="6DF066B5"/>
    <w:rsid w:val="6E565636"/>
    <w:rsid w:val="6E8A0FBB"/>
    <w:rsid w:val="6EDB6C10"/>
    <w:rsid w:val="6F6B79F3"/>
    <w:rsid w:val="71036320"/>
    <w:rsid w:val="71396098"/>
    <w:rsid w:val="7161057A"/>
    <w:rsid w:val="71E12B57"/>
    <w:rsid w:val="724B7A30"/>
    <w:rsid w:val="72A1635F"/>
    <w:rsid w:val="7399224D"/>
    <w:rsid w:val="75664046"/>
    <w:rsid w:val="757D16FB"/>
    <w:rsid w:val="75B50E95"/>
    <w:rsid w:val="75E85477"/>
    <w:rsid w:val="7639513E"/>
    <w:rsid w:val="776336C2"/>
    <w:rsid w:val="77A1615D"/>
    <w:rsid w:val="791F1447"/>
    <w:rsid w:val="79F74BBD"/>
    <w:rsid w:val="7A410F49"/>
    <w:rsid w:val="7ABB0CFB"/>
    <w:rsid w:val="7BA75F55"/>
    <w:rsid w:val="7C532F85"/>
    <w:rsid w:val="7CBC7AC4"/>
    <w:rsid w:val="7E070E4D"/>
    <w:rsid w:val="7E553215"/>
    <w:rsid w:val="7E8B30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next w:val="1"/>
    <w:qFormat/>
    <w:uiPriority w:val="0"/>
    <w:rPr>
      <w:rFonts w:asciiTheme="minorHAnsi" w:hAnsiTheme="minorHAnsi" w:eastAsiaTheme="minorEastAsia" w:cstheme="minorBidi"/>
      <w:color w:val="2E74B5"/>
      <w:sz w:val="32"/>
      <w:szCs w:val="32"/>
    </w:rPr>
  </w:style>
  <w:style w:type="paragraph" w:styleId="3">
    <w:name w:val="heading 2"/>
    <w:basedOn w:val="1"/>
    <w:next w:val="1"/>
    <w:unhideWhenUsed/>
    <w:qFormat/>
    <w:uiPriority w:val="0"/>
    <w:pPr>
      <w:keepNext/>
      <w:keepLines/>
      <w:spacing w:before="260" w:beforeLines="0" w:after="260" w:afterLines="0" w:line="413" w:lineRule="auto"/>
      <w:outlineLvl w:val="1"/>
    </w:pPr>
    <w:rPr>
      <w:rFonts w:ascii="Arial" w:hAnsi="Arial" w:eastAsia="黑体"/>
      <w:b/>
      <w:sz w:val="28"/>
    </w:rPr>
  </w:style>
  <w:style w:type="paragraph" w:styleId="4">
    <w:name w:val="heading 3"/>
    <w:basedOn w:val="1"/>
    <w:next w:val="1"/>
    <w:unhideWhenUsed/>
    <w:qFormat/>
    <w:uiPriority w:val="0"/>
    <w:pPr>
      <w:spacing w:before="0" w:beforeAutospacing="1" w:after="0" w:afterAutospacing="1"/>
      <w:jc w:val="left"/>
      <w:outlineLvl w:val="2"/>
    </w:pPr>
    <w:rPr>
      <w:rFonts w:hint="eastAsia" w:ascii="宋体" w:hAnsi="宋体" w:eastAsia="宋体" w:cs="宋体"/>
      <w:b/>
      <w:bCs/>
      <w:sz w:val="24"/>
      <w:szCs w:val="27"/>
      <w:lang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6">
    <w:name w:val="caption"/>
    <w:basedOn w:val="1"/>
    <w:next w:val="1"/>
    <w:unhideWhenUsed/>
    <w:qFormat/>
    <w:uiPriority w:val="0"/>
    <w:pPr>
      <w:jc w:val="center"/>
    </w:pPr>
    <w:rPr>
      <w:rFonts w:eastAsia="黑体"/>
      <w:sz w:val="20"/>
      <w:lang w:eastAsia="zh-CN"/>
    </w:rPr>
  </w:style>
  <w:style w:type="paragraph" w:styleId="7">
    <w:name w:val="Body Text"/>
    <w:basedOn w:val="1"/>
    <w:qFormat/>
    <w:uiPriority w:val="0"/>
    <w:pPr>
      <w:spacing w:line="360" w:lineRule="auto"/>
      <w:ind w:firstLine="446" w:firstLineChars="200"/>
    </w:pPr>
    <w:rPr>
      <w:rFonts w:ascii="Times New Roman" w:hAnsi="Times New Roman" w:eastAsia="宋体" w:cs="Times New Roman"/>
      <w:sz w:val="24"/>
      <w:szCs w:val="24"/>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2"/>
    <w:basedOn w:val="1"/>
    <w:next w:val="1"/>
    <w:qFormat/>
    <w:uiPriority w:val="0"/>
    <w:pPr>
      <w:ind w:left="420" w:leftChars="200"/>
    </w:pPr>
  </w:style>
  <w:style w:type="character" w:styleId="13">
    <w:name w:val="Strong"/>
    <w:basedOn w:val="12"/>
    <w:qFormat/>
    <w:uiPriority w:val="0"/>
    <w:rPr>
      <w:b/>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22"/>
      <w:szCs w:val="22"/>
      <w:lang w:val="en-US" w:eastAsia="en-US" w:bidi="ar-SA"/>
    </w:rPr>
  </w:style>
  <w:style w:type="paragraph" w:customStyle="1" w:styleId="16">
    <w:name w:val="表头"/>
    <w:basedOn w:val="1"/>
    <w:qFormat/>
    <w:uiPriority w:val="0"/>
    <w:pPr>
      <w:spacing w:line="240" w:lineRule="auto"/>
      <w:jc w:val="center"/>
    </w:pPr>
    <w:rPr>
      <w:rFonts w:ascii="宋体" w:hAnsi="宋体" w:eastAsia="宋体" w:cs="宋体"/>
      <w:b/>
      <w:bCs/>
      <w:sz w:val="21"/>
      <w:szCs w:val="24"/>
      <w:lang w:eastAsia="zh-CN" w:bidi="ar"/>
    </w:rPr>
  </w:style>
  <w:style w:type="paragraph" w:customStyle="1" w:styleId="17">
    <w:name w:val="表内容"/>
    <w:basedOn w:val="1"/>
    <w:qFormat/>
    <w:uiPriority w:val="0"/>
    <w:pPr>
      <w:spacing w:line="360" w:lineRule="auto"/>
      <w:jc w:val="center"/>
    </w:pPr>
    <w:rPr>
      <w:rFonts w:ascii="Times New Roman" w:hAnsi="Times New Roman" w:eastAsia="宋体" w:cs="宋体"/>
      <w:bCs/>
      <w:szCs w:val="24"/>
      <w:lang w:eastAsia="zh-CN" w:bidi="ar"/>
    </w:rPr>
  </w:style>
  <w:style w:type="paragraph" w:customStyle="1" w:styleId="18">
    <w:name w:val="目次、标准名称标题"/>
    <w:basedOn w:val="1"/>
    <w:next w:val="19"/>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9">
    <w:name w:val="段"/>
    <w:qFormat/>
    <w:uiPriority w:val="0"/>
    <w:pPr>
      <w:tabs>
        <w:tab w:val="center" w:pos="4201"/>
        <w:tab w:val="right" w:leader="dot" w:pos="9298"/>
      </w:tabs>
      <w:autoSpaceDE w:val="0"/>
      <w:autoSpaceDN w:val="0"/>
      <w:ind w:firstLine="420" w:firstLineChars="200"/>
      <w:jc w:val="both"/>
    </w:pPr>
    <w:rPr>
      <w:rFonts w:ascii="Times New Roman" w:hAnsi="Times New Roman" w:eastAsia="宋体" w:cs="Times New Roman"/>
      <w:sz w:val="21"/>
      <w:lang w:val="en-US" w:eastAsia="zh-CN" w:bidi="ar-SA"/>
    </w:rPr>
  </w:style>
  <w:style w:type="paragraph" w:customStyle="1" w:styleId="20">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21">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3641</Words>
  <Characters>4275</Characters>
  <TotalTime>1</TotalTime>
  <ScaleCrop>false</ScaleCrop>
  <LinksUpToDate>false</LinksUpToDate>
  <CharactersWithSpaces>4386</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2026-03-24T17:33:00Z</dcterms:created>
  <dc:creator>admin</dc:creator>
  <cp:lastModifiedBy>埖椒痳吥痳</cp:lastModifiedBy>
  <cp:lastPrinted>2026-03-26T06:44:00Z</cp:lastPrinted>
  <dcterms:modified xsi:type="dcterms:W3CDTF">2026-09-12T23:47:45Z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2026-03-24T17:33:57Z</vt:filetime>
  </property>
  <property fmtid="{D5CDD505-2E9C-101B-9397-08002B2CF9AE}" pid="4" name="UsrData">
    <vt:lpwstr>69c25a7ad3e451001fec2e86wl</vt:lpwstr>
  </property>
  <property fmtid="{D5CDD505-2E9C-101B-9397-08002B2CF9AE}" pid="5" name="KSOTemplateDocerSaveRecord">
    <vt:lpwstr>eyJoZGlkIjoiMTU5Y2UxZmNiMzQwZmJlYzVlNTU5NjljOGFjOTI1ZDAiLCJ1c2VySWQiOiIzMjgxMzQ0NzQifQ==</vt:lpwstr>
  </property>
  <property fmtid="{D5CDD505-2E9C-101B-9397-08002B2CF9AE}" pid="6" name="KSOProductBuildVer">
    <vt:lpwstr>2052-12.1.0.28043</vt:lpwstr>
  </property>
  <property fmtid="{D5CDD505-2E9C-101B-9397-08002B2CF9AE}" pid="7" name="ICV">
    <vt:lpwstr>784DE9D2676948D8BBA61B0A6AB5933D_13</vt:lpwstr>
  </property>
</Properties>
</file>