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BF06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93C61D2">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C816AF0">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1</w:t>
            </w:r>
            <w:r>
              <w:rPr>
                <w:rFonts w:hint="eastAsia" w:ascii="黑体" w:hAnsi="黑体" w:eastAsia="黑体"/>
                <w:sz w:val="21"/>
                <w:szCs w:val="21"/>
                <w:lang w:val="en-US" w:eastAsia="zh-CN"/>
              </w:rPr>
              <w:t>3.020.40</w:t>
            </w:r>
            <w:r>
              <w:rPr>
                <w:rFonts w:ascii="黑体" w:hAnsi="黑体" w:eastAsia="黑体"/>
                <w:sz w:val="21"/>
                <w:szCs w:val="21"/>
              </w:rPr>
              <w:fldChar w:fldCharType="end"/>
            </w:r>
            <w:bookmarkEnd w:id="0"/>
          </w:p>
        </w:tc>
      </w:tr>
      <w:tr w14:paraId="6C05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FB7BDDC">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185CE6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6FB4B56">
                  <w:pPr>
                    <w:pStyle w:val="53"/>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CMA</w:t>
                  </w:r>
                  <w:r>
                    <w:fldChar w:fldCharType="end"/>
                  </w:r>
                  <w:bookmarkEnd w:id="1"/>
                </w:p>
              </w:tc>
            </w:tr>
          </w:tbl>
          <w:p w14:paraId="454B1231">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E 13</w:t>
            </w:r>
            <w:r>
              <w:rPr>
                <w:rFonts w:ascii="黑体" w:hAnsi="黑体" w:eastAsia="黑体"/>
                <w:sz w:val="21"/>
                <w:szCs w:val="21"/>
              </w:rPr>
              <w:fldChar w:fldCharType="end"/>
            </w:r>
            <w:bookmarkEnd w:id="2"/>
          </w:p>
        </w:tc>
      </w:tr>
    </w:tbl>
    <w:p w14:paraId="30337453">
      <w:pPr>
        <w:pStyle w:val="54"/>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中国计量协会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41025FE8">
      <w:pPr>
        <w:pStyle w:val="199"/>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CMA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rPr>
          <w:rFonts w:hint="eastAsia"/>
        </w:rPr>
        <w:t>SY</w:t>
      </w:r>
      <w:r>
        <w:rPr>
          <w:rFonts w:hint="eastAsia"/>
          <w:lang w:val="en-US" w:eastAsia="zh-CN"/>
        </w:rPr>
        <w:t>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202</w:t>
      </w:r>
      <w:r>
        <w:rPr>
          <w:rFonts w:hint="eastAsia"/>
        </w:rPr>
        <w:t>6</w:t>
      </w:r>
      <w:r>
        <w:fldChar w:fldCharType="end"/>
      </w:r>
      <w:bookmarkEnd w:id="7"/>
    </w:p>
    <w:p w14:paraId="13261343">
      <w:pPr>
        <w:pStyle w:val="200"/>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36BDABDC">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576EB71">
      <w:pPr>
        <w:pStyle w:val="54"/>
        <w:framePr w:w="9639" w:h="6976" w:hRule="exact" w:hSpace="0" w:vSpace="0" w:wrap="around" w:hAnchor="page" w:y="6408"/>
        <w:jc w:val="center"/>
        <w:rPr>
          <w:rFonts w:ascii="黑体" w:hAnsi="黑体" w:eastAsia="黑体"/>
          <w:b w:val="0"/>
          <w:bCs w:val="0"/>
          <w:w w:val="100"/>
        </w:rPr>
      </w:pPr>
    </w:p>
    <w:p w14:paraId="5E3323B1">
      <w:pPr>
        <w:pStyle w:val="201"/>
        <w:framePr w:h="6974" w:hRule="exact" w:wrap="around" w:x="1419" w:anchorLock="1"/>
      </w:pPr>
      <w:bookmarkStart w:id="106" w:name="_GoBack"/>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水基钻井液 CODcr在线检测方法</w:t>
      </w:r>
      <w:r>
        <w:fldChar w:fldCharType="end"/>
      </w:r>
      <w:bookmarkEnd w:id="9"/>
      <w:bookmarkEnd w:id="106"/>
    </w:p>
    <w:p w14:paraId="6AED2EBD">
      <w:pPr>
        <w:framePr w:w="9639" w:h="6974" w:hRule="exact" w:wrap="around" w:vAnchor="page" w:hAnchor="page" w:x="1419" w:y="6408" w:anchorLock="1"/>
        <w:ind w:left="-1418"/>
      </w:pPr>
    </w:p>
    <w:p w14:paraId="28270904">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On-line Detection Method for CODcr of Water-based Drilling Fluid</w:t>
      </w:r>
      <w:r>
        <w:rPr>
          <w:rFonts w:eastAsia="黑体"/>
          <w:szCs w:val="28"/>
        </w:rPr>
        <w:fldChar w:fldCharType="end"/>
      </w:r>
      <w:bookmarkEnd w:id="10"/>
    </w:p>
    <w:p w14:paraId="7C9197C5">
      <w:pPr>
        <w:framePr w:w="9639" w:h="6974" w:hRule="exact" w:wrap="around" w:vAnchor="page" w:hAnchor="page" w:x="1419" w:y="6408" w:anchorLock="1"/>
        <w:spacing w:line="760" w:lineRule="exact"/>
        <w:ind w:left="-1418"/>
      </w:pPr>
    </w:p>
    <w:p w14:paraId="78785F0B">
      <w:pPr>
        <w:pStyle w:val="129"/>
        <w:framePr w:w="9639" w:h="6974" w:hRule="exact" w:wrap="around" w:vAnchor="page" w:hAnchor="page" w:x="1419" w:y="6408" w:anchorLock="1"/>
        <w:textAlignment w:val="bottom"/>
        <w:rPr>
          <w:rFonts w:eastAsia="黑体"/>
          <w:szCs w:val="28"/>
        </w:rPr>
      </w:pPr>
    </w:p>
    <w:p w14:paraId="3CE31A37">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6F717523">
      <w:pPr>
        <w:pStyle w:val="12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6EA7B2A7">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327DA316">
      <w:pPr>
        <w:pStyle w:val="197"/>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202</w:t>
      </w:r>
      <w:r>
        <w:rPr>
          <w:rFonts w:hint="eastAsia" w:ascii="黑体"/>
        </w:rPr>
        <w:t>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18E6448F">
      <w:pPr>
        <w:pStyle w:val="198"/>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202</w:t>
      </w:r>
      <w:r>
        <w:rPr>
          <w:rFonts w:hint="eastAsia" w:ascii="黑体"/>
        </w:rPr>
        <w:t>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54E0D2F4">
      <w:pPr>
        <w:pStyle w:val="155"/>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w:t>
      </w:r>
      <w:r>
        <w:rPr>
          <w:rFonts w:hAnsi="黑体"/>
          <w:w w:val="100"/>
          <w:sz w:val="28"/>
        </w:rPr>
        <w:t xml:space="preserve"> 国 计 量 协 会</w:t>
      </w:r>
      <w:r>
        <w:rPr>
          <w:rFonts w:hAnsi="黑体"/>
          <w:w w:val="100"/>
          <w:sz w:val="28"/>
        </w:rPr>
        <w:fldChar w:fldCharType="end"/>
      </w:r>
      <w:bookmarkEnd w:id="20"/>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5009AC89">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E2CF211">
      <w:pPr>
        <w:pStyle w:val="95"/>
        <w:spacing w:after="360"/>
      </w:pPr>
      <w:bookmarkStart w:id="21" w:name="BookMark1"/>
      <w:bookmarkStart w:id="22" w:name="_Toc133940595"/>
      <w:r>
        <w:rPr>
          <w:rFonts w:hint="eastAsia"/>
          <w:spacing w:val="320"/>
        </w:rPr>
        <w:t>目</w:t>
      </w:r>
      <w:r>
        <w:rPr>
          <w:rFonts w:hint="eastAsia"/>
        </w:rPr>
        <w:t>次</w:t>
      </w:r>
    </w:p>
    <w:p w14:paraId="5B943C0E">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TOC \o "1-1" \h \t "标准文件_一级条标题,2,标准文件_附录一级条标题,2,"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_Toc21925 </w:instrText>
      </w:r>
      <w:r>
        <w:rPr>
          <w:rFonts w:hint="default" w:ascii="Times New Roman" w:hAnsi="Times New Roman" w:cs="Times New Roman"/>
          <w:sz w:val="21"/>
          <w:szCs w:val="21"/>
        </w:rPr>
        <w:fldChar w:fldCharType="separate"/>
      </w:r>
      <w:r>
        <w:rPr>
          <w:rFonts w:hint="default" w:ascii="Times New Roman" w:hAnsi="Times New Roman" w:cs="Times New Roman"/>
          <w:spacing w:val="320"/>
          <w:sz w:val="21"/>
          <w:szCs w:val="21"/>
        </w:rPr>
        <w:t>前</w:t>
      </w:r>
      <w:r>
        <w:rPr>
          <w:rFonts w:hint="default" w:ascii="Times New Roman" w:hAnsi="Times New Roman" w:cs="Times New Roman"/>
          <w:sz w:val="21"/>
          <w:szCs w:val="21"/>
        </w:rPr>
        <w:t>言</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_Toc21925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III</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4D178BC4">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_Toc15018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rPr>
        <w:t xml:space="preserve">1 </w:t>
      </w:r>
      <w:r>
        <w:rPr>
          <w:rFonts w:hint="default" w:ascii="Times New Roman" w:hAnsi="Times New Roman" w:cs="Times New Roman"/>
          <w:sz w:val="21"/>
          <w:szCs w:val="21"/>
        </w:rPr>
        <w:t>范围</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_Toc15018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08BA4A1">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_Toc12321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rPr>
        <w:t xml:space="preserve">2 </w:t>
      </w:r>
      <w:r>
        <w:rPr>
          <w:rFonts w:hint="default" w:ascii="Times New Roman" w:hAnsi="Times New Roman" w:cs="Times New Roman"/>
          <w:sz w:val="21"/>
          <w:szCs w:val="21"/>
        </w:rPr>
        <w:t>规范性引用文件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_Toc12321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826DFAE">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_Toc10083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rPr>
        <w:t xml:space="preserve">3 </w:t>
      </w:r>
      <w:r>
        <w:rPr>
          <w:rFonts w:hint="default" w:ascii="Times New Roman" w:hAnsi="Times New Roman" w:cs="Times New Roman"/>
          <w:sz w:val="21"/>
          <w:szCs w:val="21"/>
        </w:rPr>
        <w:t>术语和定义</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_Toc10083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67B51E9">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_Toc16475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rPr>
        <w:t xml:space="preserve">4 </w:t>
      </w:r>
      <w:r>
        <w:rPr>
          <w:rFonts w:hint="default" w:ascii="Times New Roman" w:hAnsi="Times New Roman" w:cs="Times New Roman"/>
          <w:sz w:val="21"/>
          <w:szCs w:val="21"/>
        </w:rPr>
        <w:t>方法</w:t>
      </w:r>
      <w:r>
        <w:rPr>
          <w:rFonts w:hint="default" w:ascii="Times New Roman" w:hAnsi="Times New Roman" w:cs="Times New Roman"/>
          <w:sz w:val="21"/>
          <w:szCs w:val="21"/>
          <w:lang w:eastAsia="zh-CN"/>
        </w:rPr>
        <w:t>原理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_Toc16475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2D4FE244">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_Toc10278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rPr>
        <w:t xml:space="preserve">5 </w:t>
      </w:r>
      <w:r>
        <w:rPr>
          <w:rFonts w:hint="default" w:ascii="Times New Roman" w:hAnsi="Times New Roman" w:cs="Times New Roman"/>
          <w:sz w:val="21"/>
          <w:szCs w:val="21"/>
          <w:lang w:eastAsia="zh-CN"/>
        </w:rPr>
        <w:t>仪器设备</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_Toc10278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F7F958A">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_Toc3037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hint="default" w:ascii="Times New Roman" w:hAnsi="Times New Roman" w:cs="Times New Roman"/>
          <w:sz w:val="21"/>
          <w:szCs w:val="21"/>
          <w:lang w:val="en-US" w:eastAsia="zh-CN"/>
        </w:rPr>
        <w:t>仪器组成</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_Toc3037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0E29A86A">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_Toc13796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5.2 </w:t>
      </w:r>
      <w:r>
        <w:rPr>
          <w:rFonts w:hint="default" w:ascii="Times New Roman" w:hAnsi="Times New Roman" w:cs="Times New Roman"/>
          <w:sz w:val="21"/>
          <w:szCs w:val="21"/>
          <w:lang w:val="en-US" w:eastAsia="zh-CN"/>
        </w:rPr>
        <w:t>使用环境条件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_Toc13796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4CDA0752">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_Toc1275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 </w:t>
      </w:r>
      <w:r>
        <w:rPr>
          <w:rFonts w:hint="default" w:ascii="Times New Roman" w:hAnsi="Times New Roman" w:cs="Times New Roman"/>
          <w:sz w:val="21"/>
          <w:szCs w:val="21"/>
          <w:lang w:val="en-US" w:eastAsia="zh-CN"/>
        </w:rPr>
        <w:t>水样条件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_Toc1275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C0446C5">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_Toc2589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 </w:t>
      </w:r>
      <w:r>
        <w:rPr>
          <w:rFonts w:hint="default" w:ascii="Times New Roman" w:hAnsi="Times New Roman" w:cs="Times New Roman"/>
          <w:sz w:val="21"/>
          <w:szCs w:val="21"/>
          <w:lang w:val="en-US" w:eastAsia="zh-CN"/>
        </w:rPr>
        <w:t>消解条件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_Toc2589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39BF2B7">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_Toc21939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rPr>
        <w:t xml:space="preserve">6 </w:t>
      </w:r>
      <w:r>
        <w:rPr>
          <w:rFonts w:hint="default" w:ascii="Times New Roman" w:hAnsi="Times New Roman" w:cs="Times New Roman"/>
          <w:sz w:val="21"/>
          <w:szCs w:val="21"/>
        </w:rPr>
        <w:t>试剂或材料</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_Toc21939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2AB8E3B4">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_Toc2927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default" w:ascii="Times New Roman" w:hAnsi="Times New Roman" w:cs="Times New Roman"/>
          <w:sz w:val="21"/>
          <w:szCs w:val="21"/>
          <w:lang w:val="en-US" w:eastAsia="zh-CN"/>
        </w:rPr>
        <w:t>化学需氧量（CODCr）标准贮备液</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_Toc2927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D252E7A">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_Toc25716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default" w:ascii="Times New Roman" w:hAnsi="Times New Roman" w:cs="Times New Roman"/>
          <w:sz w:val="21"/>
          <w:szCs w:val="21"/>
          <w:lang w:val="en-US" w:eastAsia="zh-CN"/>
        </w:rPr>
        <w:t>氧化剂溶液</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_Toc25716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60EA971C">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_Toc24492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hint="default" w:ascii="Times New Roman" w:hAnsi="Times New Roman" w:cs="Times New Roman"/>
          <w:sz w:val="21"/>
          <w:szCs w:val="21"/>
          <w:lang w:val="en-US" w:eastAsia="zh-CN"/>
        </w:rPr>
        <w:t>催化剂溶液</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_Toc24492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288FA55E">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_Toc15456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6.4 </w:t>
      </w:r>
      <w:r>
        <w:rPr>
          <w:rFonts w:hint="default" w:ascii="Times New Roman" w:hAnsi="Times New Roman" w:cs="Times New Roman"/>
          <w:sz w:val="21"/>
          <w:szCs w:val="21"/>
          <w:lang w:val="en-US" w:eastAsia="zh-CN"/>
        </w:rPr>
        <w:t>掩蔽剂</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_Toc15456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5C6A647">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_Toc22429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6.5 </w:t>
      </w:r>
      <w:r>
        <w:rPr>
          <w:rFonts w:hint="default" w:ascii="Times New Roman" w:hAnsi="Times New Roman" w:cs="Times New Roman"/>
          <w:sz w:val="21"/>
          <w:szCs w:val="21"/>
          <w:lang w:val="en-US" w:eastAsia="zh-CN"/>
        </w:rPr>
        <w:t>氯化钠（NaCl）</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_Toc22429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0756B6EE">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_Toc23687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rPr>
        <w:t xml:space="preserve">7 </w:t>
      </w:r>
      <w:r>
        <w:rPr>
          <w:rFonts w:hint="default" w:ascii="Times New Roman" w:hAnsi="Times New Roman" w:cs="Times New Roman"/>
          <w:sz w:val="21"/>
          <w:szCs w:val="21"/>
          <w:lang w:eastAsia="zh-CN"/>
        </w:rPr>
        <w:t>样品预处理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_Toc23687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BC49C2D">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_Toc18906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default" w:ascii="Times New Roman" w:hAnsi="Times New Roman" w:cs="Times New Roman"/>
          <w:sz w:val="21"/>
          <w:szCs w:val="21"/>
          <w:lang w:val="en-US" w:eastAsia="zh-CN"/>
        </w:rPr>
        <w:t>浊度修正</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_Toc18906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D322514">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_Toc19930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7.2 </w:t>
      </w:r>
      <w:r>
        <w:rPr>
          <w:rFonts w:hint="default" w:ascii="Times New Roman" w:hAnsi="Times New Roman" w:cs="Times New Roman"/>
          <w:sz w:val="21"/>
          <w:szCs w:val="21"/>
          <w:lang w:val="en-US" w:eastAsia="zh-CN"/>
        </w:rPr>
        <w:t>高氯样品预处理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_Toc19930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7</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33CA7528">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_Toc23903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7.3 </w:t>
      </w:r>
      <w:r>
        <w:rPr>
          <w:rFonts w:hint="default" w:ascii="Times New Roman" w:hAnsi="Times New Roman" w:cs="Times New Roman"/>
          <w:sz w:val="21"/>
          <w:szCs w:val="21"/>
          <w:lang w:val="en-US" w:eastAsia="zh-CN"/>
        </w:rPr>
        <w:t>酸化预处理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_Toc23903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49F9EEF9">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_Toc7666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7.4 </w:t>
      </w:r>
      <w:r>
        <w:rPr>
          <w:rFonts w:hint="default" w:ascii="Times New Roman" w:hAnsi="Times New Roman" w:cs="Times New Roman"/>
          <w:sz w:val="21"/>
          <w:szCs w:val="21"/>
          <w:lang w:val="en-US" w:eastAsia="zh-CN"/>
        </w:rPr>
        <w:t>反冲洗处理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_Toc7666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37F3056">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_Toc2499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lang w:eastAsia="zh-CN"/>
        </w:rPr>
        <w:t xml:space="preserve">8 </w:t>
      </w:r>
      <w:r>
        <w:rPr>
          <w:rFonts w:hint="default" w:ascii="Times New Roman" w:hAnsi="Times New Roman" w:cs="Times New Roman"/>
          <w:sz w:val="21"/>
          <w:szCs w:val="21"/>
          <w:lang w:eastAsia="zh-CN"/>
        </w:rPr>
        <w:t>检测方法与操作</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_Toc2499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735D10E1">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_Toc3297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8.1 </w:t>
      </w:r>
      <w:r>
        <w:rPr>
          <w:rFonts w:hint="default" w:ascii="Times New Roman" w:hAnsi="Times New Roman" w:cs="Times New Roman"/>
          <w:sz w:val="21"/>
          <w:szCs w:val="21"/>
          <w:lang w:val="en-US" w:eastAsia="zh-CN"/>
        </w:rPr>
        <w:t>仪器预热</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_Toc3297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63031EA7">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_Toc578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8.2 </w:t>
      </w:r>
      <w:r>
        <w:rPr>
          <w:rFonts w:hint="default" w:ascii="Times New Roman" w:hAnsi="Times New Roman" w:cs="Times New Roman"/>
          <w:sz w:val="21"/>
          <w:szCs w:val="21"/>
          <w:lang w:val="en-US" w:eastAsia="zh-CN"/>
        </w:rPr>
        <w:t>仪器校准</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_Toc578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FF89DA7">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_Toc28319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8.3 </w:t>
      </w:r>
      <w:r>
        <w:rPr>
          <w:rFonts w:hint="default" w:ascii="Times New Roman" w:hAnsi="Times New Roman" w:cs="Times New Roman"/>
          <w:sz w:val="21"/>
          <w:szCs w:val="21"/>
          <w:lang w:val="en-US" w:eastAsia="zh-CN"/>
        </w:rPr>
        <w:t>样品检测</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_Toc28319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0387FEF8">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_Toc10743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lang w:eastAsia="zh-CN"/>
        </w:rPr>
        <w:t xml:space="preserve">9 </w:t>
      </w:r>
      <w:r>
        <w:rPr>
          <w:rFonts w:hint="default" w:ascii="Times New Roman" w:hAnsi="Times New Roman" w:cs="Times New Roman"/>
          <w:sz w:val="21"/>
          <w:szCs w:val="21"/>
          <w:lang w:eastAsia="zh-CN"/>
        </w:rPr>
        <w:t>性能指标</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_Toc10743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0675E9E">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_Toc1239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9.1 </w:t>
      </w:r>
      <w:r>
        <w:rPr>
          <w:rFonts w:hint="default" w:ascii="Times New Roman" w:hAnsi="Times New Roman" w:cs="Times New Roman"/>
          <w:sz w:val="21"/>
          <w:szCs w:val="21"/>
          <w:lang w:val="en-US" w:eastAsia="zh-CN"/>
        </w:rPr>
        <w:t>基本检测范围的性能指标</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_Toc1239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8</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722FF081">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_Toc25330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9.2 </w:t>
      </w:r>
      <w:r>
        <w:rPr>
          <w:rFonts w:hint="default" w:ascii="Times New Roman" w:hAnsi="Times New Roman" w:cs="Times New Roman"/>
          <w:sz w:val="21"/>
          <w:szCs w:val="21"/>
          <w:lang w:val="en-US" w:eastAsia="zh-CN"/>
        </w:rPr>
        <w:t>扩展检测范围的性能指标</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_Toc25330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9</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51E96751">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_Toc31772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9.3 </w:t>
      </w:r>
      <w:r>
        <w:rPr>
          <w:rFonts w:hint="default" w:ascii="Times New Roman" w:hAnsi="Times New Roman" w:cs="Times New Roman"/>
          <w:sz w:val="21"/>
          <w:szCs w:val="21"/>
          <w:lang w:val="en-US" w:eastAsia="zh-CN"/>
        </w:rPr>
        <w:t>基本检测范围的检测方法</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_Toc31772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9</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3DE380EA">
      <w:pPr>
        <w:pStyle w:val="20"/>
        <w:keepNext w:val="0"/>
        <w:keepLines w:val="0"/>
        <w:pageBreakBefore w:val="0"/>
        <w:widowControl w:val="0"/>
        <w:tabs>
          <w:tab w:val="right" w:leader="dot" w:pos="935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_Toc22301 </w:instrText>
      </w:r>
      <w:r>
        <w:rPr>
          <w:rFonts w:hint="default" w:ascii="Times New Roman" w:hAnsi="Times New Roman" w:cs="Times New Roman"/>
          <w:sz w:val="21"/>
          <w:szCs w:val="21"/>
        </w:rPr>
        <w:fldChar w:fldCharType="separate"/>
      </w:r>
      <w:r>
        <w:rPr>
          <w:rFonts w:hint="default" w:ascii="Times New Roman" w:hAnsi="Times New Roman" w:eastAsia="黑体" w:cs="Times New Roman"/>
          <w:i w:val="0"/>
          <w:sz w:val="21"/>
          <w:szCs w:val="21"/>
          <w:lang w:eastAsia="zh-CN"/>
        </w:rPr>
        <w:t xml:space="preserve">10 </w:t>
      </w:r>
      <w:r>
        <w:rPr>
          <w:rFonts w:hint="default" w:ascii="Times New Roman" w:hAnsi="Times New Roman" w:cs="Times New Roman"/>
          <w:sz w:val="21"/>
          <w:szCs w:val="21"/>
          <w:lang w:eastAsia="zh-CN"/>
        </w:rPr>
        <w:t>操作维护与质量控制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_Toc22301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6CA9FEF0">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_Toc20433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10.1 </w:t>
      </w:r>
      <w:r>
        <w:rPr>
          <w:rFonts w:hint="default" w:ascii="Times New Roman" w:hAnsi="Times New Roman" w:cs="Times New Roman"/>
          <w:sz w:val="21"/>
          <w:szCs w:val="21"/>
          <w:lang w:val="en-US" w:eastAsia="zh-CN"/>
        </w:rPr>
        <w:t>操作说明书</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_Toc20433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EA6A29B">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_Toc4349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10.2 </w:t>
      </w:r>
      <w:r>
        <w:rPr>
          <w:rFonts w:hint="default" w:ascii="Times New Roman" w:hAnsi="Times New Roman" w:cs="Times New Roman"/>
          <w:sz w:val="21"/>
          <w:szCs w:val="21"/>
          <w:lang w:val="en-US" w:eastAsia="zh-CN"/>
        </w:rPr>
        <w:t>本数据存储与传输</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_Toc4349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3364452F">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_Toc12875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 </w:t>
      </w:r>
      <w:r>
        <w:rPr>
          <w:rFonts w:hint="default" w:ascii="Times New Roman" w:hAnsi="Times New Roman" w:cs="Times New Roman"/>
          <w:sz w:val="21"/>
          <w:szCs w:val="21"/>
          <w:lang w:val="en-US" w:eastAsia="zh-CN"/>
        </w:rPr>
        <w:t>试剂质量控制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_Toc12875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138BEE5B">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_Toc11228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10.4 </w:t>
      </w:r>
      <w:r>
        <w:rPr>
          <w:rFonts w:hint="default" w:ascii="Times New Roman" w:hAnsi="Times New Roman" w:cs="Times New Roman"/>
          <w:sz w:val="21"/>
          <w:szCs w:val="21"/>
          <w:lang w:val="en-US" w:eastAsia="zh-CN"/>
        </w:rPr>
        <w:t>仪器质量控制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_Toc11228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397EA21B">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_Toc17134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10.5 </w:t>
      </w:r>
      <w:r>
        <w:rPr>
          <w:rFonts w:hint="default" w:ascii="Times New Roman" w:hAnsi="Times New Roman" w:cs="Times New Roman"/>
          <w:sz w:val="21"/>
          <w:szCs w:val="21"/>
          <w:lang w:val="en-US" w:eastAsia="zh-CN"/>
        </w:rPr>
        <w:t>检测过程质量控制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_Toc17134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20C2FED3">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_Toc24026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10.6 </w:t>
      </w:r>
      <w:r>
        <w:rPr>
          <w:rFonts w:hint="default" w:ascii="Times New Roman" w:hAnsi="Times New Roman" w:cs="Times New Roman"/>
          <w:sz w:val="21"/>
          <w:szCs w:val="21"/>
          <w:lang w:val="en-US" w:eastAsia="zh-CN"/>
        </w:rPr>
        <w:t>数据质量控制</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_Toc24026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2D4CCF18">
      <w:pPr>
        <w:pStyle w:val="25"/>
        <w:keepNext w:val="0"/>
        <w:keepLines w:val="0"/>
        <w:pageBreakBefore w:val="0"/>
        <w:widowControl w:val="0"/>
        <w:tabs>
          <w:tab w:val="right" w:leader="dot" w:pos="9354"/>
          <w:tab w:val="clear" w:pos="9344"/>
        </w:tabs>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\l _Toc27227 </w:instrText>
      </w:r>
      <w:r>
        <w:rPr>
          <w:rFonts w:hint="default" w:ascii="Times New Roman" w:hAnsi="Times New Roman" w:cs="Times New Roman"/>
          <w:sz w:val="21"/>
          <w:szCs w:val="21"/>
        </w:rPr>
        <w:fldChar w:fldCharType="separate"/>
      </w:r>
      <w:r>
        <w:rPr>
          <w:rFonts w:hint="default" w:ascii="Times New Roman" w:hAnsi="Times New Roman" w:eastAsia="黑体" w:cs="Times New Roman"/>
          <w:bCs w:val="0"/>
          <w:i w:val="0"/>
          <w:iCs w:val="0"/>
          <w:caps w:val="0"/>
          <w:smallCaps w:val="0"/>
          <w:strike w:val="0"/>
          <w:dstrike w:val="0"/>
          <w:vanish w:val="0"/>
          <w:spacing w:val="0"/>
          <w:kern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10.7 </w:t>
      </w:r>
      <w:r>
        <w:rPr>
          <w:rFonts w:hint="default" w:ascii="Times New Roman" w:hAnsi="Times New Roman" w:cs="Times New Roman"/>
          <w:sz w:val="21"/>
          <w:szCs w:val="21"/>
          <w:lang w:val="en-US" w:eastAsia="zh-CN"/>
        </w:rPr>
        <w:t>日常维护</w:t>
      </w:r>
      <w:r>
        <w:rPr>
          <w:rFonts w:hint="default" w:ascii="Times New Roman" w:hAnsi="Times New Roman" w:cs="Times New Roman"/>
          <w:sz w:val="21"/>
          <w:szCs w:val="21"/>
        </w:rPr>
        <w:tab/>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PAGEREF _Toc27227 \h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13</w:t>
      </w:r>
      <w:r>
        <w:rPr>
          <w:rFonts w:hint="default" w:ascii="Times New Roman" w:hAnsi="Times New Roman" w:cs="Times New Roman"/>
          <w:sz w:val="21"/>
          <w:szCs w:val="21"/>
        </w:rPr>
        <w:fldChar w:fldCharType="end"/>
      </w:r>
      <w:r>
        <w:rPr>
          <w:rFonts w:hint="default" w:ascii="Times New Roman" w:hAnsi="Times New Roman" w:cs="Times New Roman"/>
          <w:sz w:val="21"/>
          <w:szCs w:val="21"/>
        </w:rPr>
        <w:fldChar w:fldCharType="end"/>
      </w:r>
    </w:p>
    <w:p w14:paraId="4971E986">
      <w:pPr>
        <w:pStyle w:val="95"/>
        <w:keepNext w:val="0"/>
        <w:keepLines w:val="0"/>
        <w:pageBreakBefore w:val="0"/>
        <w:widowControl w:val="0"/>
        <w:kinsoku/>
        <w:wordWrap/>
        <w:overflowPunct/>
        <w:topLinePunct w:val="0"/>
        <w:autoSpaceDE/>
        <w:autoSpaceDN/>
        <w:bidi w:val="0"/>
        <w:adjustRightInd w:val="0"/>
        <w:snapToGrid/>
        <w:spacing w:after="360" w:line="360" w:lineRule="auto"/>
        <w:textAlignment w:val="auto"/>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rPr>
          <w:rFonts w:hint="default" w:ascii="Times New Roman" w:hAnsi="Times New Roman" w:cs="Times New Roman"/>
          <w:sz w:val="21"/>
          <w:szCs w:val="21"/>
        </w:rPr>
        <w:fldChar w:fldCharType="end"/>
      </w:r>
    </w:p>
    <w:bookmarkEnd w:id="21"/>
    <w:p w14:paraId="321897B7">
      <w:pPr>
        <w:pStyle w:val="93"/>
        <w:numPr>
          <w:ilvl w:val="0"/>
          <w:numId w:val="0"/>
        </w:numPr>
        <w:spacing w:before="900" w:after="360"/>
        <w:ind w:left="425"/>
      </w:pPr>
      <w:bookmarkStart w:id="23" w:name="_Toc21925"/>
      <w:bookmarkStart w:id="24" w:name="BookMark2"/>
      <w:r>
        <w:rPr>
          <w:spacing w:val="320"/>
        </w:rPr>
        <w:t>前</w:t>
      </w:r>
      <w:r>
        <w:t>言</w:t>
      </w:r>
      <w:bookmarkEnd w:id="22"/>
      <w:bookmarkEnd w:id="23"/>
    </w:p>
    <w:p w14:paraId="6D98F0EE">
      <w:pPr>
        <w:pStyle w:val="252"/>
      </w:pPr>
      <w:r>
        <w:rPr>
          <w:rFonts w:hint="eastAsia"/>
        </w:rPr>
        <w:t>本文件按照</w:t>
      </w:r>
      <w:r>
        <w:t>GB/T1.1-2020《标准化工作导则第1部分：标准化文件的结构和起草规则》</w:t>
      </w:r>
      <w:r>
        <w:rPr>
          <w:rFonts w:hint="eastAsia"/>
        </w:rPr>
        <w:t>的规定起草</w:t>
      </w:r>
      <w:r>
        <w:t>。</w:t>
      </w:r>
    </w:p>
    <w:p w14:paraId="498DB54D">
      <w:pPr>
        <w:pStyle w:val="252"/>
        <w:ind w:firstLine="412"/>
        <w:rPr>
          <w:rFonts w:hint="eastAsia"/>
        </w:rPr>
      </w:pPr>
      <w:r>
        <w:rPr>
          <w:rFonts w:hint="eastAsia"/>
          <w:spacing w:val="-2"/>
        </w:rPr>
        <w:t>请注意本文件的某些内容可能涉及专利。本文件的发布机构不承担识别专利的责任。</w:t>
      </w:r>
    </w:p>
    <w:p w14:paraId="09872BE6">
      <w:pPr>
        <w:pStyle w:val="252"/>
      </w:pPr>
      <w:r>
        <w:rPr>
          <w:rFonts w:hint="eastAsia"/>
        </w:rPr>
        <w:t>本文件</w:t>
      </w:r>
      <w:r>
        <w:t>由</w:t>
      </w:r>
      <w:r>
        <w:rPr>
          <w:rFonts w:hint="eastAsia"/>
          <w:lang w:eastAsia="zh-CN"/>
        </w:rPr>
        <w:t>中国计量协会</w:t>
      </w:r>
      <w:r>
        <w:t>提出</w:t>
      </w:r>
      <w:r>
        <w:rPr>
          <w:rFonts w:hint="eastAsia"/>
        </w:rPr>
        <w:t>、</w:t>
      </w:r>
      <w:r>
        <w:t>归口</w:t>
      </w:r>
      <w:r>
        <w:rPr>
          <w:rFonts w:hint="eastAsia"/>
        </w:rPr>
        <w:t>、解释并组织实施</w:t>
      </w:r>
      <w:r>
        <w:t>。</w:t>
      </w:r>
    </w:p>
    <w:p w14:paraId="3ED82D1F">
      <w:pPr>
        <w:pStyle w:val="252"/>
        <w:ind w:firstLine="412"/>
        <w:rPr>
          <w:rFonts w:hint="eastAsia"/>
          <w:spacing w:val="-2"/>
        </w:rPr>
      </w:pPr>
      <w:r>
        <w:rPr>
          <w:rFonts w:hint="eastAsia"/>
          <w:spacing w:val="-2"/>
        </w:rPr>
        <w:t>本文件由</w:t>
      </w:r>
      <w:r>
        <w:rPr>
          <w:rFonts w:hint="eastAsia"/>
          <w:lang w:eastAsia="zh-CN"/>
        </w:rPr>
        <w:t>中国计量协会</w:t>
      </w:r>
      <w:r>
        <w:rPr>
          <w:rFonts w:hint="eastAsia"/>
          <w:spacing w:val="-2"/>
        </w:rPr>
        <w:t>于202X年X月X日批准。</w:t>
      </w:r>
    </w:p>
    <w:p w14:paraId="4C06CA54">
      <w:pPr>
        <w:pStyle w:val="252"/>
        <w:ind w:firstLine="412"/>
        <w:rPr>
          <w:rFonts w:hint="eastAsia"/>
          <w:spacing w:val="-2"/>
          <w:lang w:eastAsia="zh-CN"/>
        </w:rPr>
      </w:pPr>
      <w:r>
        <w:rPr>
          <w:rFonts w:hint="eastAsia"/>
          <w:spacing w:val="-2"/>
        </w:rPr>
        <w:t>本文件</w:t>
      </w:r>
      <w:r>
        <w:rPr>
          <w:spacing w:val="-2"/>
        </w:rPr>
        <w:t>起草单位：四川省生态环境科学研究院、</w:t>
      </w:r>
      <w:r>
        <w:rPr>
          <w:rFonts w:hint="eastAsia"/>
          <w:spacing w:val="-2"/>
        </w:rPr>
        <w:t>中国测试技术研究院</w:t>
      </w:r>
      <w:r>
        <w:rPr>
          <w:rFonts w:hint="eastAsia"/>
          <w:spacing w:val="-2"/>
          <w:lang w:eastAsia="zh-CN"/>
        </w:rPr>
        <w:t>、西南石油大学，中国石油集</w:t>
      </w:r>
    </w:p>
    <w:p w14:paraId="53C82686">
      <w:pPr>
        <w:pStyle w:val="252"/>
        <w:ind w:left="420" w:leftChars="200" w:firstLine="0" w:firstLineChars="0"/>
        <w:rPr>
          <w:spacing w:val="-2"/>
        </w:rPr>
      </w:pPr>
      <w:r>
        <w:rPr>
          <w:rFonts w:hint="eastAsia"/>
          <w:spacing w:val="-2"/>
          <w:lang w:eastAsia="zh-CN"/>
        </w:rPr>
        <w:t>团工程技术研究院有限公司、中国地质大学（北京）、中国检验认证集团测试技术有限公司、四川大学、成都理工大学、成都艾立本科技有限公司。</w:t>
      </w:r>
    </w:p>
    <w:p w14:paraId="777460CB">
      <w:pPr>
        <w:pStyle w:val="252"/>
        <w:ind w:firstLine="412"/>
      </w:pPr>
      <w:r>
        <w:rPr>
          <w:rFonts w:hint="eastAsia"/>
          <w:spacing w:val="-2"/>
        </w:rPr>
        <w:t>本文件</w:t>
      </w:r>
      <w:r>
        <w:rPr>
          <w:spacing w:val="-2"/>
        </w:rPr>
        <w:t>主要起草人</w:t>
      </w:r>
      <w:r>
        <w:rPr>
          <w:rFonts w:hint="eastAsia"/>
          <w:spacing w:val="-2"/>
        </w:rPr>
        <w:t>员</w:t>
      </w:r>
      <w:r>
        <w:rPr>
          <w:spacing w:val="-2"/>
        </w:rPr>
        <w:t>：</w:t>
      </w:r>
    </w:p>
    <w:p w14:paraId="46D022F5">
      <w:pPr>
        <w:pStyle w:val="60"/>
        <w:ind w:firstLine="420"/>
        <w:rPr>
          <w:rFonts w:hint="eastAsia" w:eastAsia="宋体"/>
          <w:lang w:eastAsia="zh-CN"/>
        </w:rPr>
        <w:sectPr>
          <w:pgSz w:w="11906" w:h="16838"/>
          <w:pgMar w:top="1928" w:right="1134" w:bottom="1134" w:left="1134" w:header="1418" w:footer="1134" w:gutter="284"/>
          <w:pgNumType w:fmt="upperRoman"/>
          <w:cols w:space="425" w:num="1"/>
          <w:formProt w:val="0"/>
          <w:docGrid w:linePitch="312" w:charSpace="0"/>
        </w:sectPr>
      </w:pPr>
      <w:r>
        <w:rPr>
          <w:rFonts w:hint="eastAsia"/>
        </w:rPr>
        <w:t>本文件为首次制定和发布</w:t>
      </w:r>
      <w:r>
        <w:rPr>
          <w:rFonts w:hint="eastAsia"/>
          <w:lang w:eastAsia="zh-CN"/>
        </w:rPr>
        <w:t>。</w:t>
      </w:r>
    </w:p>
    <w:bookmarkEnd w:id="24"/>
    <w:p w14:paraId="363B7B04">
      <w:pPr>
        <w:spacing w:line="20" w:lineRule="exact"/>
        <w:jc w:val="both"/>
        <w:rPr>
          <w:rFonts w:ascii="黑体" w:hAnsi="黑体" w:eastAsia="黑体"/>
          <w:sz w:val="32"/>
          <w:szCs w:val="32"/>
        </w:rPr>
      </w:pPr>
      <w:bookmarkStart w:id="25" w:name="BookMark4"/>
    </w:p>
    <w:sdt>
      <w:sdtPr>
        <w:tag w:val="NEW_STAND_NAME"/>
        <w:id w:val="595910757"/>
        <w:lock w:val="sdtLocked"/>
        <w:placeholder>
          <w:docPart w:val="C1ADB6D256DE44448A115F09195C9D55"/>
        </w:placeholder>
      </w:sdtPr>
      <w:sdtContent>
        <w:p w14:paraId="50ED1A98">
          <w:pPr>
            <w:pStyle w:val="254"/>
            <w:spacing w:line="400" w:lineRule="exact"/>
            <w:rPr>
              <w:rFonts w:hint="eastAsia"/>
            </w:rPr>
          </w:pPr>
          <w:bookmarkStart w:id="26" w:name="_Toc9372"/>
          <w:bookmarkStart w:id="27" w:name="_Toc25882"/>
          <w:bookmarkStart w:id="28" w:name="_Toc1496"/>
          <w:bookmarkStart w:id="29" w:name="_Toc16121"/>
          <w:bookmarkStart w:id="30" w:name="NEW_STAND_NAME"/>
          <w:r>
            <w:rPr>
              <w:rFonts w:hint="eastAsia"/>
            </w:rPr>
            <w:t>水基钻井液</w:t>
          </w:r>
          <w:r>
            <w:rPr>
              <w:rFonts w:hint="eastAsia"/>
              <w:lang w:eastAsia="zh-CN"/>
            </w:rPr>
            <w:t>COD</w:t>
          </w:r>
          <w:r>
            <w:rPr>
              <w:rFonts w:hint="eastAsia"/>
              <w:vertAlign w:val="subscript"/>
              <w:lang w:eastAsia="zh-CN"/>
            </w:rPr>
            <w:t>Cr</w:t>
          </w:r>
          <w:r>
            <w:rPr>
              <w:rFonts w:hint="eastAsia"/>
            </w:rPr>
            <w:t>在线检测方法</w:t>
          </w:r>
          <w:bookmarkEnd w:id="26"/>
          <w:bookmarkEnd w:id="27"/>
          <w:bookmarkEnd w:id="28"/>
          <w:bookmarkEnd w:id="29"/>
        </w:p>
        <w:p w14:paraId="22EB1C4D">
          <w:pPr>
            <w:pStyle w:val="181"/>
            <w:spacing w:before="240" w:beforeLines="100" w:after="528" w:afterLines="220"/>
          </w:pPr>
        </w:p>
      </w:sdtContent>
    </w:sdt>
    <w:bookmarkEnd w:id="30"/>
    <w:p w14:paraId="30A980E7">
      <w:pPr>
        <w:pStyle w:val="108"/>
        <w:spacing w:before="240" w:after="240"/>
      </w:pPr>
      <w:bookmarkStart w:id="31" w:name="_Toc26986530"/>
      <w:bookmarkStart w:id="32" w:name="_Toc24884218"/>
      <w:bookmarkStart w:id="33" w:name="_Toc26986771"/>
      <w:bookmarkStart w:id="34" w:name="_Toc97192964"/>
      <w:bookmarkStart w:id="35" w:name="_Toc133692271"/>
      <w:bookmarkStart w:id="36" w:name="_Toc133697510"/>
      <w:bookmarkStart w:id="37" w:name="_Toc133693505"/>
      <w:bookmarkStart w:id="38" w:name="_Toc17233333"/>
      <w:bookmarkStart w:id="39" w:name="_Toc15018"/>
      <w:bookmarkStart w:id="40" w:name="_Toc26718930"/>
      <w:bookmarkStart w:id="41" w:name="_Toc26648465"/>
      <w:bookmarkStart w:id="42" w:name="_Toc17233325"/>
      <w:bookmarkStart w:id="43" w:name="_Toc24884211"/>
      <w:bookmarkStart w:id="44" w:name="_Toc133940596"/>
      <w:r>
        <w:rPr>
          <w:rFonts w:hint="eastAsia"/>
        </w:rPr>
        <w:t>范围</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4D44AD8F">
      <w:pPr>
        <w:pStyle w:val="60"/>
        <w:ind w:firstLine="420"/>
        <w:rPr>
          <w:rFonts w:hint="eastAsia"/>
        </w:rPr>
      </w:pPr>
      <w:bookmarkStart w:id="45" w:name="_Toc17233334"/>
      <w:bookmarkStart w:id="46" w:name="_Toc24884219"/>
      <w:bookmarkStart w:id="47" w:name="_Toc24884212"/>
      <w:bookmarkStart w:id="48" w:name="_Toc26648466"/>
      <w:bookmarkStart w:id="49" w:name="_Toc17233326"/>
      <w:r>
        <w:rPr>
          <w:rFonts w:hint="eastAsia"/>
        </w:rPr>
        <w:t>本文件描述了水基钻井液的化学需氧量（CODCr）在线自动检测方法及原理，规定了检测条件、预处理、仪器设备、干扰消除、数据处理、检出限、重复性、精密度、线性范围的要求。</w:t>
      </w:r>
    </w:p>
    <w:p w14:paraId="6A92CC37">
      <w:pPr>
        <w:pStyle w:val="60"/>
        <w:ind w:firstLine="420"/>
        <w:rPr>
          <w:rFonts w:hAnsi="宋体"/>
        </w:rPr>
      </w:pPr>
      <w:r>
        <w:rPr>
          <w:rFonts w:hint="eastAsia"/>
        </w:rPr>
        <w:t>本文件适用于水基钻井液的化学需氧量（CODCr）在线自动检测，化学需氧量（CODCr）的量程范围应包含15mg/L～2000mg/L（ρ(Cl-)≤1000mg/L），对于ρ(Cl⁻)＞1000mg/L的水基钻井液，需经预处理后检测。</w:t>
      </w:r>
    </w:p>
    <w:p w14:paraId="5D96B6F1">
      <w:pPr>
        <w:pStyle w:val="108"/>
        <w:spacing w:before="240" w:after="240"/>
      </w:pPr>
      <w:bookmarkStart w:id="50" w:name="_Toc133692272"/>
      <w:bookmarkStart w:id="51" w:name="_Toc26986531"/>
      <w:bookmarkStart w:id="52" w:name="_Toc133940597"/>
      <w:bookmarkStart w:id="53" w:name="_Toc26718931"/>
      <w:bookmarkStart w:id="54" w:name="_Toc133693506"/>
      <w:bookmarkStart w:id="55" w:name="_Toc12321"/>
      <w:bookmarkStart w:id="56" w:name="_Toc133697511"/>
      <w:bookmarkStart w:id="57" w:name="_Toc26986772"/>
      <w:bookmarkStart w:id="58" w:name="_Toc97192965"/>
      <w:r>
        <w:rPr>
          <w:rFonts w:hint="eastAsia"/>
        </w:rPr>
        <w:t>规范性引用文件</w:t>
      </w:r>
      <w:bookmarkEnd w:id="45"/>
      <w:bookmarkEnd w:id="46"/>
      <w:bookmarkEnd w:id="47"/>
      <w:bookmarkEnd w:id="48"/>
      <w:bookmarkEnd w:id="49"/>
      <w:bookmarkEnd w:id="50"/>
      <w:bookmarkEnd w:id="51"/>
      <w:bookmarkEnd w:id="52"/>
      <w:bookmarkEnd w:id="53"/>
      <w:bookmarkEnd w:id="54"/>
      <w:bookmarkEnd w:id="55"/>
      <w:bookmarkEnd w:id="56"/>
      <w:bookmarkEnd w:id="57"/>
      <w:bookmarkEnd w:id="58"/>
    </w:p>
    <w:sdt>
      <w:sdtPr>
        <w:rPr>
          <w:rFonts w:hint="eastAsia"/>
        </w:rPr>
        <w:id w:val="715848253"/>
        <w:placeholder>
          <w:docPart w:val="B7201308D17C4E07BF5FB762598EE32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9F53275">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E9DBCD2">
      <w:pPr>
        <w:pStyle w:val="60"/>
        <w:ind w:firstLine="420"/>
      </w:pPr>
      <w:r>
        <w:rPr>
          <w:rFonts w:hint="eastAsia"/>
        </w:rPr>
        <w:t>本文件引用下列文件：</w:t>
      </w:r>
    </w:p>
    <w:p w14:paraId="61278204">
      <w:pPr>
        <w:pStyle w:val="252"/>
        <w:rPr>
          <w:rFonts w:hint="eastAsia" w:hAnsi="宋体" w:eastAsia="宋体"/>
          <w:highlight w:val="none"/>
          <w:lang w:val="en-US" w:eastAsia="zh-CN"/>
        </w:rPr>
      </w:pPr>
      <w:r>
        <w:rPr>
          <w:rFonts w:hint="eastAsia" w:hAnsi="宋体"/>
          <w:highlight w:val="none"/>
        </w:rPr>
        <w:t>GB/T 9969</w:t>
      </w:r>
      <w:r>
        <w:rPr>
          <w:rFonts w:hint="eastAsia" w:hAnsi="宋体"/>
          <w:highlight w:val="none"/>
          <w:lang w:val="en-US" w:eastAsia="zh-CN"/>
        </w:rPr>
        <w:t xml:space="preserve"> 工业产品使用说明书 总则</w:t>
      </w:r>
    </w:p>
    <w:p w14:paraId="120CD601">
      <w:pPr>
        <w:pStyle w:val="252"/>
        <w:rPr>
          <w:rFonts w:hint="eastAsia" w:hAnsi="宋体"/>
          <w:highlight w:val="none"/>
        </w:rPr>
      </w:pPr>
      <w:r>
        <w:rPr>
          <w:rFonts w:hint="eastAsia" w:hAnsi="宋体"/>
          <w:highlight w:val="none"/>
        </w:rPr>
        <w:t>GB</w:t>
      </w:r>
      <w:r>
        <w:rPr>
          <w:rFonts w:hint="eastAsia" w:hAnsi="宋体"/>
          <w:highlight w:val="none"/>
          <w:lang w:val="en-US" w:eastAsia="zh-CN"/>
        </w:rPr>
        <w:t xml:space="preserve"> </w:t>
      </w:r>
      <w:r>
        <w:rPr>
          <w:rFonts w:hint="eastAsia" w:hAnsi="宋体"/>
          <w:highlight w:val="none"/>
        </w:rPr>
        <w:t>11896</w:t>
      </w:r>
      <w:r>
        <w:rPr>
          <w:rFonts w:hint="eastAsia" w:hAnsi="宋体"/>
          <w:highlight w:val="none"/>
          <w:lang w:val="en-US" w:eastAsia="zh-CN"/>
        </w:rPr>
        <w:t xml:space="preserve"> </w:t>
      </w:r>
      <w:r>
        <w:rPr>
          <w:rFonts w:hint="eastAsia" w:hAnsi="宋体"/>
          <w:highlight w:val="none"/>
        </w:rPr>
        <w:t>水质氯化物的测定硝酸银滴定法</w:t>
      </w:r>
    </w:p>
    <w:p w14:paraId="543BEC5A">
      <w:pPr>
        <w:pStyle w:val="60"/>
        <w:ind w:firstLine="420"/>
        <w:rPr>
          <w:rFonts w:hint="eastAsia"/>
          <w:lang w:val="en-US" w:eastAsia="zh-CN"/>
        </w:rPr>
      </w:pPr>
      <w:r>
        <w:rPr>
          <w:rFonts w:hint="eastAsia" w:ascii="Times New Roman"/>
        </w:rPr>
        <w:t>GB/T 16783.1</w:t>
      </w:r>
      <w:r>
        <w:rPr>
          <w:rFonts w:hint="eastAsia"/>
          <w:lang w:val="en-US" w:eastAsia="zh-CN"/>
        </w:rPr>
        <w:t xml:space="preserve"> </w:t>
      </w:r>
      <w:r>
        <w:rPr>
          <w:rFonts w:hint="eastAsia"/>
        </w:rPr>
        <w:t>石油天然气工业 钻井液 现场测试 第1部分：水基钻井液</w:t>
      </w:r>
    </w:p>
    <w:p w14:paraId="4752041F">
      <w:pPr>
        <w:pStyle w:val="252"/>
        <w:rPr>
          <w:rFonts w:hint="eastAsia" w:eastAsia="宋体"/>
          <w:lang w:val="en-US" w:eastAsia="zh-CN"/>
        </w:rPr>
      </w:pPr>
      <w:r>
        <w:rPr>
          <w:rFonts w:hint="eastAsia" w:ascii="Times New Roman"/>
        </w:rPr>
        <w:t>GB/T 27417</w:t>
      </w:r>
      <w:r>
        <w:rPr>
          <w:rFonts w:hint="eastAsia"/>
          <w:lang w:val="en-US" w:eastAsia="zh-CN"/>
        </w:rPr>
        <w:t xml:space="preserve"> </w:t>
      </w:r>
      <w:r>
        <w:rPr>
          <w:rFonts w:hint="eastAsia"/>
        </w:rPr>
        <w:t>合格评定 化学分析方法确认和验证指南</w:t>
      </w:r>
    </w:p>
    <w:p w14:paraId="2469DA36">
      <w:pPr>
        <w:pStyle w:val="252"/>
        <w:rPr>
          <w:rFonts w:hint="eastAsia" w:hAnsi="宋体"/>
          <w:highlight w:val="none"/>
        </w:rPr>
      </w:pPr>
      <w:r>
        <w:rPr>
          <w:rFonts w:hint="eastAsia" w:hAnsi="宋体"/>
          <w:highlight w:val="none"/>
        </w:rPr>
        <w:t>HJ</w:t>
      </w:r>
      <w:r>
        <w:rPr>
          <w:rFonts w:hint="eastAsia" w:hAnsi="宋体"/>
          <w:highlight w:val="none"/>
          <w:lang w:val="en-US" w:eastAsia="zh-CN"/>
        </w:rPr>
        <w:t xml:space="preserve"> </w:t>
      </w:r>
      <w:r>
        <w:rPr>
          <w:rFonts w:hint="eastAsia" w:hAnsi="宋体"/>
          <w:highlight w:val="none"/>
        </w:rPr>
        <w:t>70</w:t>
      </w:r>
      <w:r>
        <w:rPr>
          <w:rFonts w:hint="eastAsia" w:hAnsi="宋体"/>
          <w:highlight w:val="none"/>
          <w:lang w:val="en-US" w:eastAsia="zh-CN"/>
        </w:rPr>
        <w:t xml:space="preserve"> </w:t>
      </w:r>
      <w:r>
        <w:rPr>
          <w:rFonts w:hint="eastAsia" w:hAnsi="宋体"/>
          <w:highlight w:val="none"/>
        </w:rPr>
        <w:t>水质 化学需氧量的测定 氯气校正法</w:t>
      </w:r>
    </w:p>
    <w:p w14:paraId="143740CE">
      <w:pPr>
        <w:pStyle w:val="252"/>
        <w:rPr>
          <w:rFonts w:hint="eastAsia" w:hAnsi="宋体"/>
          <w:highlight w:val="none"/>
        </w:rPr>
      </w:pPr>
      <w:r>
        <w:rPr>
          <w:rFonts w:hint="eastAsia" w:hAnsi="宋体"/>
          <w:highlight w:val="none"/>
        </w:rPr>
        <w:t>HJ</w:t>
      </w:r>
      <w:r>
        <w:rPr>
          <w:rFonts w:hint="eastAsia" w:hAnsi="宋体"/>
          <w:highlight w:val="none"/>
          <w:lang w:val="en-US" w:eastAsia="zh-CN"/>
        </w:rPr>
        <w:t xml:space="preserve"> </w:t>
      </w:r>
      <w:r>
        <w:rPr>
          <w:rFonts w:hint="eastAsia" w:hAnsi="宋体"/>
          <w:highlight w:val="none"/>
        </w:rPr>
        <w:t>212</w:t>
      </w:r>
      <w:r>
        <w:rPr>
          <w:rFonts w:hint="eastAsia" w:hAnsi="宋体"/>
          <w:highlight w:val="none"/>
          <w:lang w:val="en-US" w:eastAsia="zh-CN"/>
        </w:rPr>
        <w:t xml:space="preserve"> </w:t>
      </w:r>
      <w:r>
        <w:rPr>
          <w:rFonts w:hint="eastAsia" w:hAnsi="宋体"/>
          <w:highlight w:val="none"/>
        </w:rPr>
        <w:t>污染物在线监控(监测)系统数据传输标准</w:t>
      </w:r>
    </w:p>
    <w:p w14:paraId="5158F3B8">
      <w:pPr>
        <w:pStyle w:val="252"/>
        <w:rPr>
          <w:rFonts w:hint="eastAsia" w:hAnsi="宋体"/>
          <w:highlight w:val="none"/>
        </w:rPr>
      </w:pPr>
      <w:r>
        <w:rPr>
          <w:rFonts w:hint="eastAsia" w:hAnsi="宋体"/>
          <w:highlight w:val="none"/>
        </w:rPr>
        <w:t>HJ</w:t>
      </w:r>
      <w:r>
        <w:rPr>
          <w:rFonts w:hint="eastAsia" w:hAnsi="宋体"/>
          <w:highlight w:val="none"/>
          <w:lang w:val="en-US" w:eastAsia="zh-CN"/>
        </w:rPr>
        <w:t xml:space="preserve"> </w:t>
      </w:r>
      <w:r>
        <w:rPr>
          <w:rFonts w:hint="eastAsia" w:hAnsi="宋体"/>
          <w:highlight w:val="none"/>
        </w:rPr>
        <w:t>377</w:t>
      </w:r>
      <w:r>
        <w:rPr>
          <w:rFonts w:hint="eastAsia" w:hAnsi="宋体"/>
          <w:highlight w:val="none"/>
          <w:lang w:val="en-US" w:eastAsia="zh-CN"/>
        </w:rPr>
        <w:t xml:space="preserve"> </w:t>
      </w:r>
      <w:r>
        <w:rPr>
          <w:rFonts w:hint="eastAsia" w:hAnsi="宋体"/>
          <w:highlight w:val="none"/>
        </w:rPr>
        <w:t>化学需氧量（</w:t>
      </w:r>
      <w:r>
        <w:rPr>
          <w:rFonts w:hint="eastAsia" w:hAnsi="宋体"/>
          <w:highlight w:val="none"/>
          <w:lang w:eastAsia="zh-CN"/>
        </w:rPr>
        <w:t>COD</w:t>
      </w:r>
      <w:r>
        <w:rPr>
          <w:rFonts w:hint="eastAsia" w:hAnsi="宋体"/>
          <w:highlight w:val="none"/>
          <w:vertAlign w:val="subscript"/>
          <w:lang w:eastAsia="zh-CN"/>
        </w:rPr>
        <w:t>Cr</w:t>
      </w:r>
      <w:r>
        <w:rPr>
          <w:rFonts w:hint="eastAsia" w:hAnsi="宋体"/>
          <w:highlight w:val="none"/>
        </w:rPr>
        <w:t>）水质在线自动监测仪技术要求及检测方法</w:t>
      </w:r>
    </w:p>
    <w:p w14:paraId="71F1B03B">
      <w:pPr>
        <w:pStyle w:val="252"/>
        <w:rPr>
          <w:rFonts w:hint="eastAsia" w:hAnsi="宋体"/>
          <w:highlight w:val="none"/>
        </w:rPr>
      </w:pPr>
      <w:r>
        <w:rPr>
          <w:rFonts w:hint="eastAsia" w:hAnsi="宋体"/>
          <w:highlight w:val="none"/>
        </w:rPr>
        <w:t>HJ</w:t>
      </w:r>
      <w:r>
        <w:rPr>
          <w:rFonts w:hint="eastAsia" w:hAnsi="宋体"/>
          <w:highlight w:val="none"/>
          <w:lang w:val="en-US" w:eastAsia="zh-CN"/>
        </w:rPr>
        <w:t xml:space="preserve"> </w:t>
      </w:r>
      <w:r>
        <w:rPr>
          <w:rFonts w:hint="eastAsia" w:hAnsi="宋体"/>
          <w:highlight w:val="none"/>
        </w:rPr>
        <w:t>828</w:t>
      </w:r>
      <w:r>
        <w:rPr>
          <w:rFonts w:hint="eastAsia" w:hAnsi="宋体"/>
          <w:highlight w:val="none"/>
          <w:lang w:val="en-US" w:eastAsia="zh-CN"/>
        </w:rPr>
        <w:t xml:space="preserve"> </w:t>
      </w:r>
      <w:r>
        <w:rPr>
          <w:rFonts w:hint="eastAsia" w:hAnsi="宋体"/>
          <w:highlight w:val="none"/>
        </w:rPr>
        <w:t>水质化学需氧量的测定重铬酸盐法</w:t>
      </w:r>
    </w:p>
    <w:p w14:paraId="0AA8BED5">
      <w:pPr>
        <w:pStyle w:val="108"/>
        <w:spacing w:before="240" w:after="240"/>
        <w:rPr>
          <w:b/>
        </w:rPr>
      </w:pPr>
      <w:bookmarkStart w:id="59" w:name="_Toc10083"/>
      <w:r>
        <w:rPr>
          <w:rFonts w:hint="eastAsia"/>
        </w:rPr>
        <w:t>术语和定义</w:t>
      </w:r>
      <w:bookmarkEnd w:id="59"/>
    </w:p>
    <w:p w14:paraId="0BC4A490">
      <w:pPr>
        <w:pStyle w:val="252"/>
        <w:rPr>
          <w:rFonts w:hint="eastAsia" w:ascii="Times New Roman"/>
        </w:rPr>
      </w:pPr>
      <w:bookmarkStart w:id="60" w:name="_Toc26986532"/>
      <w:bookmarkEnd w:id="60"/>
      <w:r>
        <w:rPr>
          <w:rFonts w:hint="eastAsia" w:ascii="Times New Roman"/>
        </w:rPr>
        <w:t>GB/T 16783.1和GB/T 27417界定的术语和定义适用于本文件</w:t>
      </w:r>
      <w:r>
        <w:rPr>
          <w:rFonts w:hint="eastAsia"/>
          <w:lang w:eastAsia="zh-CN"/>
        </w:rPr>
        <w:t>，</w:t>
      </w:r>
      <w:r>
        <w:rPr>
          <w:rFonts w:ascii="Times New Roman"/>
        </w:rPr>
        <w:t>下列术语和定义适用于</w:t>
      </w:r>
      <w:r>
        <w:rPr>
          <w:rFonts w:hint="eastAsia" w:ascii="Times New Roman"/>
        </w:rPr>
        <w:t>本文件</w:t>
      </w:r>
      <w:r>
        <w:rPr>
          <w:rFonts w:ascii="Times New Roman"/>
        </w:rPr>
        <w:t>。</w:t>
      </w:r>
    </w:p>
    <w:p w14:paraId="5A4EFC44">
      <w:pPr>
        <w:pStyle w:val="253"/>
        <w:numPr>
          <w:ilvl w:val="0"/>
          <w:numId w:val="0"/>
        </w:numPr>
        <w:spacing w:before="0" w:beforeLines="0" w:after="0" w:afterLines="0"/>
        <w:ind w:left="420" w:hanging="420" w:hangingChars="200"/>
        <w:jc w:val="both"/>
        <w:rPr>
          <w:rFonts w:hint="eastAsia" w:ascii="Times New Roman"/>
        </w:rPr>
      </w:pPr>
      <w:r>
        <w:rPr>
          <w:rFonts w:hint="eastAsia"/>
        </w:rPr>
        <w:t>3.</w:t>
      </w:r>
      <w:r>
        <w:rPr>
          <w:rFonts w:hint="eastAsia"/>
          <w:lang w:val="en-US" w:eastAsia="zh-CN"/>
        </w:rPr>
        <w:t>1</w:t>
      </w:r>
      <w:r>
        <w:rPr>
          <w:rFonts w:ascii="Times New Roman"/>
        </w:rPr>
        <w:br w:type="textWrapping"/>
      </w:r>
      <w:r>
        <w:rPr>
          <w:rFonts w:hint="eastAsia" w:ascii="Times New Roman"/>
        </w:rPr>
        <w:t>基本检测范围</w:t>
      </w:r>
      <w:r>
        <w:rPr>
          <w:rFonts w:hint="eastAsia" w:hAnsi="Times New Roman" w:cs="Times New Roman"/>
          <w:lang w:val="en-US" w:eastAsia="zh-CN"/>
        </w:rPr>
        <w:t>basic test range</w:t>
      </w:r>
    </w:p>
    <w:p w14:paraId="00D5501C">
      <w:pPr>
        <w:pStyle w:val="252"/>
        <w:rPr>
          <w:rFonts w:hint="eastAsia" w:ascii="Times New Roman" w:hAnsi="Times New Roman" w:eastAsia="宋体" w:cs="Times New Roman"/>
          <w:szCs w:val="20"/>
          <w:lang w:eastAsia="zh-CN"/>
        </w:rPr>
      </w:pPr>
      <w:r>
        <w:rPr>
          <w:rFonts w:hint="eastAsia" w:hAnsi="宋体" w:eastAsia="宋体" w:cs="Times New Roman"/>
          <w:lang w:eastAsia="zh-CN"/>
        </w:rPr>
        <w:t>可基本满足水基钻井液常规</w:t>
      </w:r>
      <w:r>
        <w:rPr>
          <w:rFonts w:hint="eastAsia" w:hAnsi="宋体" w:cs="Times New Roman"/>
          <w:lang w:eastAsia="zh-CN"/>
        </w:rPr>
        <w:t>COD</w:t>
      </w:r>
      <w:r>
        <w:rPr>
          <w:rFonts w:hint="eastAsia" w:hAnsi="宋体" w:cs="Times New Roman"/>
          <w:vertAlign w:val="subscript"/>
          <w:lang w:eastAsia="zh-CN"/>
        </w:rPr>
        <w:t>Cr</w:t>
      </w:r>
      <w:r>
        <w:rPr>
          <w:rFonts w:hint="eastAsia" w:hAnsi="宋体" w:eastAsia="宋体" w:cs="Times New Roman"/>
          <w:lang w:eastAsia="zh-CN"/>
        </w:rPr>
        <w:t>监测需求的仪器测量范围，本文件中为15mg/L</w:t>
      </w:r>
      <w:r>
        <w:rPr>
          <w:rFonts w:hint="eastAsia"/>
          <w:lang w:eastAsia="zh-CN"/>
        </w:rPr>
        <w:t>~</w:t>
      </w:r>
      <w:r>
        <w:rPr>
          <w:rFonts w:hint="eastAsia" w:hAnsi="宋体" w:eastAsia="宋体" w:cs="Times New Roman"/>
          <w:lang w:eastAsia="zh-CN"/>
        </w:rPr>
        <w:t>200mg/L。</w:t>
      </w:r>
    </w:p>
    <w:p w14:paraId="2E33C54A">
      <w:pPr>
        <w:pStyle w:val="253"/>
        <w:numPr>
          <w:ilvl w:val="0"/>
          <w:numId w:val="0"/>
        </w:numPr>
        <w:spacing w:before="0" w:beforeLines="0" w:after="0" w:afterLines="0"/>
        <w:ind w:left="420" w:hanging="420" w:hangingChars="200"/>
        <w:jc w:val="both"/>
        <w:rPr>
          <w:rFonts w:hint="eastAsia" w:hAnsi="Times New Roman" w:cs="Times New Roman"/>
        </w:rPr>
      </w:pPr>
      <w:r>
        <w:rPr>
          <w:rFonts w:hint="eastAsia" w:hAnsi="Times New Roman" w:cs="Times New Roman"/>
        </w:rPr>
        <w:t>3.</w:t>
      </w:r>
      <w:r>
        <w:rPr>
          <w:rFonts w:hint="eastAsia" w:cs="Times New Roman"/>
          <w:lang w:val="en-US" w:eastAsia="zh-CN"/>
        </w:rPr>
        <w:t>2</w:t>
      </w:r>
      <w:r>
        <w:rPr>
          <w:rFonts w:hint="eastAsia" w:hAnsi="Times New Roman" w:cs="Times New Roman"/>
        </w:rPr>
        <w:br w:type="textWrapping"/>
      </w:r>
      <w:r>
        <w:rPr>
          <w:rFonts w:hint="eastAsia" w:hAnsi="Times New Roman" w:cs="Times New Roman"/>
        </w:rPr>
        <w:t>扩展检测范围extended</w:t>
      </w:r>
      <w:r>
        <w:rPr>
          <w:rFonts w:hint="eastAsia" w:hAnsi="Times New Roman" w:cs="Times New Roman"/>
          <w:lang w:val="en-US" w:eastAsia="zh-CN"/>
        </w:rPr>
        <w:t xml:space="preserve"> </w:t>
      </w:r>
      <w:r>
        <w:rPr>
          <w:rFonts w:hint="eastAsia" w:hAnsi="Times New Roman" w:cs="Times New Roman"/>
        </w:rPr>
        <w:t>test</w:t>
      </w:r>
      <w:r>
        <w:rPr>
          <w:rFonts w:hint="eastAsia" w:hAnsi="Times New Roman" w:cs="Times New Roman"/>
          <w:lang w:val="en-US" w:eastAsia="zh-CN"/>
        </w:rPr>
        <w:t xml:space="preserve"> </w:t>
      </w:r>
      <w:r>
        <w:rPr>
          <w:rFonts w:hint="eastAsia" w:hAnsi="Times New Roman" w:cs="Times New Roman"/>
        </w:rPr>
        <w:t>range</w:t>
      </w:r>
    </w:p>
    <w:p w14:paraId="2F771CCA">
      <w:pPr>
        <w:pStyle w:val="252"/>
        <w:bidi w:val="0"/>
        <w:rPr>
          <w:rFonts w:hint="eastAsia"/>
        </w:rPr>
      </w:pPr>
      <w:r>
        <w:rPr>
          <w:rFonts w:hint="eastAsia"/>
          <w:lang w:eastAsia="zh-CN"/>
        </w:rPr>
        <w:t>在基本检测范围基础上，通过物理手段（稀释、量程切换）扩大的测量范围，本文件中为200mg/L~</w:t>
      </w:r>
      <w:r>
        <w:rPr>
          <w:rFonts w:hint="eastAsia"/>
          <w:lang w:val="en-US" w:eastAsia="zh-CN"/>
        </w:rPr>
        <w:t>2</w:t>
      </w:r>
      <w:r>
        <w:rPr>
          <w:rFonts w:hint="eastAsia"/>
          <w:lang w:eastAsia="zh-CN"/>
        </w:rPr>
        <w:t>000mg/L，适用于高浓度水基钻井液原液检测。</w:t>
      </w:r>
    </w:p>
    <w:p w14:paraId="017E59D4">
      <w:pPr>
        <w:pStyle w:val="253"/>
        <w:numPr>
          <w:ilvl w:val="0"/>
          <w:numId w:val="0"/>
        </w:numPr>
        <w:spacing w:before="0" w:beforeLines="0" w:after="0" w:afterLines="0"/>
        <w:ind w:left="420" w:hanging="420" w:hangingChars="200"/>
        <w:jc w:val="both"/>
        <w:rPr>
          <w:rFonts w:hint="eastAsia" w:hAnsi="Times New Roman" w:cs="Times New Roman"/>
          <w:lang w:val="en-US" w:eastAsia="zh-CN"/>
        </w:rPr>
      </w:pPr>
      <w:r>
        <w:rPr>
          <w:rFonts w:hint="eastAsia" w:hAnsi="Times New Roman" w:cs="Times New Roman"/>
          <w:lang w:val="en-US" w:eastAsia="zh-CN"/>
        </w:rPr>
        <w:t>3.</w:t>
      </w:r>
      <w:r>
        <w:rPr>
          <w:rFonts w:hint="eastAsia" w:cs="Times New Roman"/>
          <w:lang w:val="en-US" w:eastAsia="zh-CN"/>
        </w:rPr>
        <w:t>3</w:t>
      </w:r>
    </w:p>
    <w:p w14:paraId="67CBE208">
      <w:pPr>
        <w:pStyle w:val="253"/>
        <w:numPr>
          <w:ilvl w:val="0"/>
          <w:numId w:val="0"/>
        </w:numPr>
        <w:spacing w:before="0" w:beforeLines="0" w:after="0" w:afterLines="0"/>
        <w:ind w:left="420" w:leftChars="200" w:firstLine="0" w:firstLineChars="0"/>
        <w:jc w:val="both"/>
        <w:rPr>
          <w:rFonts w:hint="eastAsia" w:ascii="Times New Roman"/>
          <w:lang w:val="en-US" w:eastAsia="zh-CN"/>
        </w:rPr>
      </w:pPr>
      <w:r>
        <w:rPr>
          <w:rFonts w:hint="eastAsia" w:ascii="Times New Roman" w:hAnsi="Times New Roman" w:cs="Times New Roman"/>
          <w:lang w:val="en-US" w:eastAsia="zh-CN"/>
        </w:rPr>
        <w:t>电压影响试验</w:t>
      </w:r>
      <w:r>
        <w:rPr>
          <w:rFonts w:hint="eastAsia" w:hAnsi="Times New Roman" w:cs="Times New Roman"/>
          <w:lang w:val="en-US" w:eastAsia="zh-CN"/>
        </w:rPr>
        <w:t>interference of voltage</w:t>
      </w:r>
    </w:p>
    <w:p w14:paraId="45C4B77A">
      <w:pPr>
        <w:pStyle w:val="252"/>
        <w:bidi w:val="0"/>
        <w:rPr>
          <w:rFonts w:hint="eastAsia" w:ascii="Times New Roman"/>
          <w:lang w:val="en-US" w:eastAsia="zh-CN"/>
        </w:rPr>
      </w:pPr>
      <w:r>
        <w:rPr>
          <w:rFonts w:hint="eastAsia" w:hAnsi="Times New Roman" w:eastAsia="宋体" w:cs="Times New Roman"/>
          <w:lang w:val="en-US" w:eastAsia="zh-CN"/>
        </w:rPr>
        <w:t>指仪器在不同供电电压下测量同一标准溶液，其测定值与标准供电电压下（220V）的测定值之间的偏差。</w:t>
      </w:r>
    </w:p>
    <w:p w14:paraId="475B584D">
      <w:pPr>
        <w:pStyle w:val="253"/>
        <w:numPr>
          <w:ilvl w:val="0"/>
          <w:numId w:val="0"/>
        </w:numPr>
        <w:spacing w:before="0" w:beforeLines="0" w:after="0" w:afterLines="0"/>
        <w:ind w:left="420" w:hanging="420" w:hangingChars="200"/>
        <w:jc w:val="both"/>
        <w:rPr>
          <w:rFonts w:hint="eastAsia" w:hAnsi="Times New Roman" w:cs="Times New Roman"/>
          <w:lang w:val="en-US" w:eastAsia="zh-CN"/>
        </w:rPr>
      </w:pPr>
      <w:r>
        <w:rPr>
          <w:rFonts w:hint="eastAsia" w:hAnsi="Times New Roman" w:cs="Times New Roman"/>
          <w:lang w:val="en-US" w:eastAsia="zh-CN"/>
        </w:rPr>
        <w:t>3.</w:t>
      </w:r>
      <w:r>
        <w:rPr>
          <w:rFonts w:hint="eastAsia" w:cs="Times New Roman"/>
          <w:lang w:val="en-US" w:eastAsia="zh-CN"/>
        </w:rPr>
        <w:t>4</w:t>
      </w:r>
    </w:p>
    <w:p w14:paraId="53772F42">
      <w:pPr>
        <w:pStyle w:val="253"/>
        <w:numPr>
          <w:ilvl w:val="0"/>
          <w:numId w:val="0"/>
        </w:numPr>
        <w:spacing w:before="0" w:beforeLines="0" w:after="0" w:afterLines="0"/>
        <w:ind w:left="420" w:leftChars="200" w:firstLine="0" w:firstLineChars="0"/>
        <w:jc w:val="both"/>
        <w:rPr>
          <w:rFonts w:hint="eastAsia" w:ascii="Times New Roman"/>
          <w:lang w:val="en-US" w:eastAsia="zh-CN"/>
        </w:rPr>
      </w:pPr>
      <w:r>
        <w:rPr>
          <w:rFonts w:hint="eastAsia" w:ascii="Times New Roman" w:hAnsi="Times New Roman" w:cs="Times New Roman"/>
          <w:lang w:val="en-US" w:eastAsia="zh-CN"/>
        </w:rPr>
        <w:t>氯离子影响试验</w:t>
      </w:r>
      <w:r>
        <w:rPr>
          <w:rFonts w:hint="eastAsia" w:hAnsi="Times New Roman" w:cs="Times New Roman"/>
          <w:lang w:val="en-US" w:eastAsia="zh-CN"/>
        </w:rPr>
        <w:t>interference of chloridion</w:t>
      </w:r>
    </w:p>
    <w:p w14:paraId="62AC8BB1">
      <w:pPr>
        <w:pStyle w:val="252"/>
        <w:bidi w:val="0"/>
        <w:rPr>
          <w:rFonts w:hint="eastAsia" w:ascii="Times New Roman"/>
          <w:lang w:val="en-US" w:eastAsia="zh-CN"/>
        </w:rPr>
      </w:pPr>
      <w:r>
        <w:rPr>
          <w:rFonts w:hint="eastAsia" w:hAnsi="Times New Roman" w:eastAsia="宋体" w:cs="Times New Roman"/>
          <w:lang w:val="en-US" w:eastAsia="zh-CN"/>
        </w:rPr>
        <w:t>指仪器在测定含有氯离子的标准溶液时，其测定值与测定不含有氯离子的标准溶液的测定值之间的偏差。</w:t>
      </w:r>
    </w:p>
    <w:p w14:paraId="7F6E80BC">
      <w:pPr>
        <w:pStyle w:val="253"/>
        <w:numPr>
          <w:ilvl w:val="0"/>
          <w:numId w:val="0"/>
        </w:numPr>
        <w:spacing w:before="0" w:beforeLines="0" w:after="0" w:afterLines="0"/>
        <w:ind w:left="420" w:hanging="420" w:hangingChars="200"/>
        <w:jc w:val="both"/>
        <w:rPr>
          <w:rFonts w:hint="eastAsia" w:hAnsi="Times New Roman" w:cs="Times New Roman"/>
          <w:lang w:val="en-US" w:eastAsia="zh-CN"/>
        </w:rPr>
      </w:pPr>
      <w:r>
        <w:rPr>
          <w:rFonts w:hint="eastAsia" w:hAnsi="Times New Roman" w:cs="Times New Roman"/>
          <w:lang w:val="en-US" w:eastAsia="zh-CN"/>
        </w:rPr>
        <w:t>3.</w:t>
      </w:r>
      <w:r>
        <w:rPr>
          <w:rFonts w:hint="eastAsia" w:cs="Times New Roman"/>
          <w:lang w:val="en-US" w:eastAsia="zh-CN"/>
        </w:rPr>
        <w:t>5</w:t>
      </w:r>
    </w:p>
    <w:p w14:paraId="059E74F9">
      <w:pPr>
        <w:pStyle w:val="253"/>
        <w:numPr>
          <w:ilvl w:val="0"/>
          <w:numId w:val="0"/>
        </w:numPr>
        <w:spacing w:before="0" w:beforeLines="0" w:after="0" w:afterLines="0"/>
        <w:ind w:left="420" w:leftChars="200" w:firstLine="0" w:firstLineChars="0"/>
        <w:jc w:val="both"/>
        <w:rPr>
          <w:rFonts w:hint="eastAsia" w:ascii="Times New Roman"/>
          <w:lang w:val="en-US" w:eastAsia="zh-CN"/>
        </w:rPr>
      </w:pPr>
      <w:r>
        <w:rPr>
          <w:rFonts w:hint="eastAsia" w:ascii="Times New Roman" w:hAnsi="Times New Roman" w:cs="Times New Roman"/>
          <w:lang w:val="en-US" w:eastAsia="zh-CN"/>
        </w:rPr>
        <w:t>环境温度影响试验</w:t>
      </w:r>
      <w:r>
        <w:rPr>
          <w:rFonts w:hint="eastAsia" w:hAnsi="Times New Roman" w:cs="Times New Roman"/>
          <w:lang w:val="en-US" w:eastAsia="zh-CN"/>
        </w:rPr>
        <w:t>interference of environmental temperature</w:t>
      </w:r>
    </w:p>
    <w:p w14:paraId="1173AECE">
      <w:pPr>
        <w:pStyle w:val="252"/>
        <w:bidi w:val="0"/>
        <w:rPr>
          <w:rFonts w:hint="eastAsia" w:ascii="Times New Roman"/>
          <w:lang w:val="en-US" w:eastAsia="zh-CN"/>
        </w:rPr>
      </w:pPr>
      <w:r>
        <w:rPr>
          <w:rFonts w:hint="eastAsia" w:hAnsi="Times New Roman" w:eastAsia="宋体" w:cs="Times New Roman"/>
          <w:lang w:val="en-US" w:eastAsia="zh-CN"/>
        </w:rPr>
        <w:t>指仪器在不同的环境温度下测量同一标准溶液，其测定值与20℃下的测定值之间的偏差。</w:t>
      </w:r>
    </w:p>
    <w:p w14:paraId="71E4BAD6">
      <w:pPr>
        <w:pStyle w:val="253"/>
        <w:numPr>
          <w:ilvl w:val="0"/>
          <w:numId w:val="0"/>
        </w:numPr>
        <w:spacing w:before="0" w:beforeLines="0" w:after="0" w:afterLines="0"/>
        <w:ind w:left="420" w:hanging="420" w:hangingChars="200"/>
        <w:jc w:val="both"/>
        <w:rPr>
          <w:rFonts w:hint="eastAsia" w:hAnsi="Times New Roman" w:cs="Times New Roman"/>
          <w:lang w:val="en-US" w:eastAsia="zh-CN"/>
        </w:rPr>
      </w:pPr>
      <w:r>
        <w:rPr>
          <w:rFonts w:hint="eastAsia" w:hAnsi="Times New Roman" w:cs="Times New Roman"/>
          <w:lang w:val="en-US" w:eastAsia="zh-CN"/>
        </w:rPr>
        <w:t>3.</w:t>
      </w:r>
      <w:r>
        <w:rPr>
          <w:rFonts w:hint="eastAsia" w:cs="Times New Roman"/>
          <w:lang w:val="en-US" w:eastAsia="zh-CN"/>
        </w:rPr>
        <w:t>6</w:t>
      </w:r>
    </w:p>
    <w:p w14:paraId="15A9FB4F">
      <w:pPr>
        <w:pStyle w:val="253"/>
        <w:numPr>
          <w:ilvl w:val="0"/>
          <w:numId w:val="0"/>
        </w:numPr>
        <w:spacing w:before="0" w:beforeLines="0" w:after="0" w:afterLines="0"/>
        <w:ind w:left="420" w:leftChars="200" w:firstLine="0" w:firstLineChars="0"/>
        <w:jc w:val="both"/>
        <w:rPr>
          <w:rFonts w:hint="eastAsia" w:ascii="Times New Roman"/>
          <w:lang w:val="en-US" w:eastAsia="zh-CN"/>
        </w:rPr>
      </w:pPr>
      <w:r>
        <w:rPr>
          <w:rFonts w:hint="eastAsia" w:ascii="Times New Roman" w:hAnsi="Times New Roman" w:cs="Times New Roman"/>
          <w:lang w:val="en-US" w:eastAsia="zh-CN"/>
        </w:rPr>
        <w:t>最小维护周期</w:t>
      </w:r>
      <w:r>
        <w:rPr>
          <w:rFonts w:hint="eastAsia" w:hAnsi="Times New Roman" w:cs="Times New Roman"/>
          <w:lang w:val="en-US" w:eastAsia="zh-CN"/>
        </w:rPr>
        <w:t>minimum period between maintenance operations</w:t>
      </w:r>
    </w:p>
    <w:p w14:paraId="362617CE">
      <w:pPr>
        <w:pStyle w:val="252"/>
        <w:bidi w:val="0"/>
        <w:rPr>
          <w:rFonts w:hint="eastAsia" w:ascii="Times New Roman"/>
          <w:lang w:val="en-US" w:eastAsia="zh-CN"/>
        </w:rPr>
      </w:pPr>
      <w:r>
        <w:rPr>
          <w:rFonts w:hint="eastAsia" w:hAnsi="Times New Roman" w:eastAsia="宋体" w:cs="Times New Roman"/>
          <w:lang w:val="en-US" w:eastAsia="zh-CN"/>
        </w:rPr>
        <w:t>在检测过程中不对仪器进行任何形式的人工维护（包括更换试剂、校准仪器等），直到仪器不能保持正常测定状态或性能指标不满足相关要求的总运行时间（小时）。</w:t>
      </w:r>
    </w:p>
    <w:p w14:paraId="5FE04568">
      <w:pPr>
        <w:pStyle w:val="108"/>
        <w:spacing w:before="240" w:after="240"/>
      </w:pPr>
      <w:bookmarkStart w:id="61" w:name="_Toc16475"/>
      <w:r>
        <w:rPr>
          <w:rFonts w:hint="eastAsia"/>
        </w:rPr>
        <w:t>方法</w:t>
      </w:r>
      <w:r>
        <w:rPr>
          <w:rFonts w:hint="eastAsia"/>
          <w:lang w:eastAsia="zh-CN"/>
        </w:rPr>
        <w:t>原理</w:t>
      </w:r>
      <w:bookmarkEnd w:id="61"/>
    </w:p>
    <w:p w14:paraId="0ECD2107">
      <w:pPr>
        <w:pStyle w:val="60"/>
        <w:ind w:firstLine="420"/>
      </w:pPr>
      <w:r>
        <w:rPr>
          <w:rFonts w:hint="eastAsia"/>
        </w:rPr>
        <w:t>水基钻井液样品经均质、过滤预处理后，样品在酸性条件下，加入强氧化剂重铬酸钾消解溶液、催化剂硫酸银溶液等试剂混和，在高温的条件下快速消解，重铬酸根离子被样品中的还原性物质还原为三价铬离子，颜色会发生变化，颜色变化程度与样品中COD</w:t>
      </w:r>
      <w:r>
        <w:rPr>
          <w:rFonts w:hint="eastAsia"/>
          <w:vertAlign w:val="subscript"/>
        </w:rPr>
        <w:t>Cr</w:t>
      </w:r>
      <w:r>
        <w:rPr>
          <w:rFonts w:hint="eastAsia"/>
        </w:rPr>
        <w:t>浓度呈定量关系，仪器通过分光光度法检测特定波长下（600nm±20nm）的吸光度变化，经校准曲线计算后把这种变化换算成COD</w:t>
      </w:r>
      <w:r>
        <w:rPr>
          <w:rFonts w:hint="eastAsia"/>
          <w:vertAlign w:val="subscript"/>
        </w:rPr>
        <w:t>Cr</w:t>
      </w:r>
      <w:r>
        <w:rPr>
          <w:rFonts w:hint="eastAsia"/>
        </w:rPr>
        <w:t>值</w:t>
      </w:r>
      <w:r>
        <w:t>。</w:t>
      </w:r>
    </w:p>
    <w:p w14:paraId="5B375C4A">
      <w:pPr>
        <w:pStyle w:val="108"/>
        <w:spacing w:before="240" w:after="240"/>
      </w:pPr>
      <w:bookmarkStart w:id="62" w:name="_Toc10278"/>
      <w:r>
        <w:rPr>
          <w:rFonts w:hint="eastAsia"/>
          <w:lang w:eastAsia="zh-CN"/>
        </w:rPr>
        <w:t>仪器设备</w:t>
      </w:r>
      <w:bookmarkEnd w:id="62"/>
    </w:p>
    <w:p w14:paraId="6F41E0EF">
      <w:pPr>
        <w:pStyle w:val="109"/>
        <w:spacing w:before="120" w:after="120"/>
        <w:rPr>
          <w:rFonts w:hint="eastAsia"/>
          <w:lang w:val="en-US" w:eastAsia="zh-CN"/>
        </w:rPr>
      </w:pPr>
      <w:bookmarkStart w:id="63" w:name="_Toc3037"/>
      <w:r>
        <w:rPr>
          <w:rFonts w:hint="eastAsia"/>
          <w:lang w:val="en-US" w:eastAsia="zh-CN"/>
        </w:rPr>
        <w:t>仪器组成</w:t>
      </w:r>
      <w:bookmarkEnd w:id="63"/>
    </w:p>
    <w:p w14:paraId="47757EEA">
      <w:pPr>
        <w:pStyle w:val="252"/>
        <w:bidi w:val="0"/>
        <w:rPr>
          <w:rFonts w:hAnsi="宋体"/>
        </w:rPr>
      </w:pPr>
      <w:r>
        <w:rPr>
          <w:rFonts w:hint="eastAsia" w:hAnsi="宋体"/>
        </w:rPr>
        <w:t>水基钻井液</w:t>
      </w:r>
      <w:r>
        <w:rPr>
          <w:rFonts w:hint="eastAsia" w:hAnsi="宋体"/>
          <w:lang w:eastAsia="zh-CN"/>
        </w:rPr>
        <w:t>COD</w:t>
      </w:r>
      <w:r>
        <w:rPr>
          <w:rFonts w:hint="eastAsia" w:hAnsi="宋体"/>
          <w:vertAlign w:val="subscript"/>
          <w:lang w:eastAsia="zh-CN"/>
        </w:rPr>
        <w:t>Cr</w:t>
      </w:r>
      <w:r>
        <w:rPr>
          <w:rFonts w:hint="eastAsia" w:hAnsi="宋体"/>
        </w:rPr>
        <w:t>在线</w:t>
      </w:r>
      <w:r>
        <w:rPr>
          <w:rFonts w:hint="eastAsia" w:hAnsi="宋体" w:cs="Times New Roman"/>
          <w:highlight w:val="none"/>
        </w:rPr>
        <w:t>检测</w:t>
      </w:r>
      <w:r>
        <w:rPr>
          <w:rFonts w:hint="eastAsia" w:hAnsi="宋体"/>
        </w:rPr>
        <w:t>仪器</w:t>
      </w:r>
      <w:r>
        <w:rPr>
          <w:rFonts w:hint="eastAsia" w:hAnsi="宋体"/>
          <w:lang w:eastAsia="zh-CN"/>
        </w:rPr>
        <w:t>设备的</w:t>
      </w:r>
      <w:r>
        <w:rPr>
          <w:rFonts w:hint="eastAsia" w:hAnsi="宋体"/>
        </w:rPr>
        <w:t>基本组成单元如图1所示，主要包含以下单元：</w:t>
      </w:r>
    </w:p>
    <w:p w14:paraId="2A1E8425">
      <w:pPr>
        <w:pStyle w:val="258"/>
        <w:numPr>
          <w:ilvl w:val="0"/>
          <w:numId w:val="0"/>
        </w:numPr>
        <w:tabs>
          <w:tab w:val="clear" w:pos="0"/>
        </w:tabs>
        <w:ind w:leftChars="0" w:firstLine="420" w:firstLineChars="200"/>
        <w:jc w:val="both"/>
        <w:rPr>
          <w:rFonts w:hint="eastAsia" w:hAnsi="宋体" w:eastAsia="宋体"/>
          <w:lang w:eastAsia="zh-CN"/>
        </w:rPr>
      </w:pPr>
      <w:r>
        <w:rPr>
          <w:rFonts w:hint="eastAsia" w:hAnsi="宋体" w:eastAsia="宋体"/>
          <w:lang w:eastAsia="zh-CN"/>
        </w:rPr>
        <w:drawing>
          <wp:inline distT="0" distB="0" distL="114300" distR="114300">
            <wp:extent cx="5083810" cy="2104390"/>
            <wp:effectExtent l="0" t="0" r="0" b="0"/>
            <wp:docPr id="7" name="ECB019B1-382A-4266-B25C-5B523AA43C14-7"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CB019B1-382A-4266-B25C-5B523AA43C14-7" descr="wps"/>
                    <pic:cNvPicPr>
                      <a:picLocks noChangeAspect="1"/>
                    </pic:cNvPicPr>
                  </pic:nvPicPr>
                  <pic:blipFill>
                    <a:blip r:embed="rId15"/>
                    <a:stretch>
                      <a:fillRect/>
                    </a:stretch>
                  </pic:blipFill>
                  <pic:spPr>
                    <a:xfrm>
                      <a:off x="0" y="0"/>
                      <a:ext cx="5083810" cy="2104390"/>
                    </a:xfrm>
                    <a:prstGeom prst="rect">
                      <a:avLst/>
                    </a:prstGeom>
                    <a:noFill/>
                    <a:ln>
                      <a:noFill/>
                    </a:ln>
                  </pic:spPr>
                </pic:pic>
              </a:graphicData>
            </a:graphic>
          </wp:inline>
        </w:drawing>
      </w:r>
    </w:p>
    <w:p w14:paraId="3F2538AE">
      <w:pPr>
        <w:pStyle w:val="259"/>
        <w:bidi w:val="0"/>
      </w:pPr>
      <w:r>
        <w:rPr>
          <w:rFonts w:hint="eastAsia" w:ascii="Times New Roman" w:hAnsi="Times New Roman" w:cs="Times New Roman"/>
          <w:color w:val="000000"/>
          <w:kern w:val="0"/>
          <w:sz w:val="20"/>
          <w:szCs w:val="20"/>
          <w:lang w:val="en-US" w:eastAsia="zh-CN" w:bidi="ar"/>
        </w:rPr>
        <w:t>水基钻井液</w:t>
      </w:r>
      <w:r>
        <w:rPr>
          <w:rFonts w:hint="default" w:ascii="Times New Roman" w:hAnsi="Times New Roman" w:cs="Times New Roman"/>
          <w:color w:val="000000"/>
          <w:kern w:val="0"/>
          <w:sz w:val="20"/>
          <w:szCs w:val="20"/>
          <w:lang w:val="en-US" w:eastAsia="zh-CN" w:bidi="ar"/>
        </w:rPr>
        <w:t>COD</w:t>
      </w:r>
      <w:r>
        <w:rPr>
          <w:rFonts w:hint="default" w:ascii="Times New Roman" w:hAnsi="Times New Roman" w:cs="Times New Roman"/>
          <w:color w:val="000000"/>
          <w:kern w:val="0"/>
          <w:sz w:val="20"/>
          <w:szCs w:val="20"/>
          <w:vertAlign w:val="subscript"/>
          <w:lang w:val="en-US" w:eastAsia="zh-CN" w:bidi="ar"/>
        </w:rPr>
        <w:t>Cr</w:t>
      </w:r>
      <w:r>
        <w:rPr>
          <w:rFonts w:hint="eastAsia" w:ascii="黑体" w:hAnsi="宋体" w:eastAsia="黑体" w:cs="黑体"/>
          <w:color w:val="000000"/>
          <w:kern w:val="0"/>
          <w:sz w:val="20"/>
          <w:szCs w:val="20"/>
          <w:lang w:val="en-US" w:eastAsia="zh-CN" w:bidi="ar"/>
        </w:rPr>
        <w:t>在线自动监测仪的基本结构组成图</w:t>
      </w:r>
    </w:p>
    <w:p w14:paraId="6DC68D34">
      <w:pPr>
        <w:pStyle w:val="252"/>
        <w:bidi w:val="0"/>
        <w:rPr>
          <w:rFonts w:hint="eastAsia" w:hAnsi="宋体" w:cs="Times New Roman"/>
          <w:highlight w:val="none"/>
          <w:lang w:val="en-US" w:eastAsia="zh-CN"/>
        </w:rPr>
      </w:pPr>
      <w:r>
        <w:rPr>
          <w:rFonts w:hint="eastAsia" w:hAnsi="宋体" w:cs="Times New Roman"/>
          <w:highlight w:val="none"/>
          <w:lang w:val="en-US" w:eastAsia="zh-CN"/>
        </w:rPr>
        <w:t>预处理模块：适配水基钻井液含固相颗粒、易堵塞的特性，包含均质化、过滤、反冲洗功能。均质化采用快速搅拌方式，转速可调，能将钻井液中固相颗粒均匀分散，避免颗粒沉积；过滤采用可拆卸式过滤网配合滤膜，将样品中固相颗粒过滤；自动反冲洗周期可设置，有效防止过滤网、管路堵塞。</w:t>
      </w:r>
    </w:p>
    <w:p w14:paraId="5B853AC4">
      <w:pPr>
        <w:pStyle w:val="252"/>
        <w:bidi w:val="0"/>
        <w:rPr>
          <w:rFonts w:hint="eastAsia" w:hAnsi="宋体" w:cs="Times New Roman"/>
          <w:highlight w:val="none"/>
        </w:rPr>
      </w:pPr>
      <w:r>
        <w:rPr>
          <w:rFonts w:hint="eastAsia" w:hAnsi="宋体" w:cs="Times New Roman"/>
          <w:highlight w:val="none"/>
          <w:lang w:val="en-US" w:eastAsia="zh-CN"/>
        </w:rPr>
        <w:t>进样计量模块：包括试样、标准溶液、试剂等导入部分（含试样水样通道和标准溶液通道）及计量部分。试剂采用负压吸入方式，配备光电感应计量系统，实现样品、试剂、掩蔽剂的精确定量；具备自动稀释功能，稀释比例可调。</w:t>
      </w:r>
    </w:p>
    <w:p w14:paraId="4B2E1F7A">
      <w:pPr>
        <w:pStyle w:val="252"/>
        <w:bidi w:val="0"/>
        <w:rPr>
          <w:rFonts w:hint="eastAsia" w:hAnsi="宋体" w:cs="Times New Roman"/>
          <w:highlight w:val="none"/>
          <w:lang w:val="en-US" w:eastAsia="zh-CN"/>
        </w:rPr>
      </w:pPr>
      <w:r>
        <w:rPr>
          <w:rFonts w:hint="eastAsia" w:hAnsi="宋体" w:cs="Times New Roman"/>
          <w:highlight w:val="none"/>
          <w:lang w:val="en-US" w:eastAsia="zh-CN"/>
        </w:rPr>
        <w:t>消解模块：采用高温密闭消解方式，使用重铬酸钾强氧化剂体系，将水样中的有机物和无机还原性物质氧化至要求程度；消解温度、时间可精准控制。</w:t>
      </w:r>
    </w:p>
    <w:p w14:paraId="05DE3A5C">
      <w:pPr>
        <w:pStyle w:val="252"/>
        <w:bidi w:val="0"/>
        <w:rPr>
          <w:rFonts w:hint="default" w:hAnsi="宋体" w:cs="Times New Roman"/>
          <w:highlight w:val="none"/>
          <w:lang w:val="en-US" w:eastAsia="zh-CN"/>
        </w:rPr>
      </w:pPr>
      <w:r>
        <w:rPr>
          <w:rFonts w:hint="eastAsia" w:hAnsi="宋体" w:cs="Times New Roman"/>
          <w:highlight w:val="none"/>
          <w:lang w:val="en-US" w:eastAsia="zh-CN"/>
        </w:rPr>
        <w:t>测试模块：由反应模块和检测模块组成，通过控制单元完成对待测物质的自动在线分析，将吸光度信号转换成电信号输出。</w:t>
      </w:r>
    </w:p>
    <w:p w14:paraId="48D4EB8D">
      <w:pPr>
        <w:pStyle w:val="252"/>
        <w:bidi w:val="0"/>
        <w:rPr>
          <w:rFonts w:hint="eastAsia" w:hAnsi="宋体" w:cs="Times New Roman"/>
          <w:highlight w:val="none"/>
          <w:lang w:val="en-US" w:eastAsia="zh-CN"/>
        </w:rPr>
      </w:pPr>
      <w:r>
        <w:rPr>
          <w:rFonts w:hint="eastAsia" w:hAnsi="宋体" w:cs="Times New Roman"/>
          <w:highlight w:val="none"/>
          <w:lang w:val="en-US" w:eastAsia="zh-CN"/>
        </w:rPr>
        <w:t>控制模块：包括系统控制硬件和软件，实现进样、消解、排液等全流程自动化操作；具备数据采集、处理、显示、存储、安全管理、数据和运行日志查询输出等功能，同时支持留样输出、触发采样等功能，通信协议符合HJ 212要求。</w:t>
      </w:r>
    </w:p>
    <w:p w14:paraId="563DD827">
      <w:pPr>
        <w:pStyle w:val="109"/>
        <w:spacing w:before="120" w:after="120"/>
        <w:rPr>
          <w:rFonts w:hint="eastAsia"/>
          <w:lang w:val="en-US" w:eastAsia="zh-CN"/>
        </w:rPr>
      </w:pPr>
      <w:bookmarkStart w:id="64" w:name="_Toc13796"/>
      <w:r>
        <w:rPr>
          <w:rFonts w:hint="eastAsia"/>
          <w:lang w:val="en-US" w:eastAsia="zh-CN"/>
        </w:rPr>
        <w:t>使用环境条件</w:t>
      </w:r>
      <w:bookmarkEnd w:id="64"/>
    </w:p>
    <w:p w14:paraId="7CCD3138">
      <w:pPr>
        <w:pStyle w:val="252"/>
        <w:bidi w:val="0"/>
        <w:rPr>
          <w:rFonts w:hint="eastAsia" w:hAnsi="宋体" w:cs="Times New Roman"/>
          <w:highlight w:val="none"/>
          <w:lang w:val="en-US" w:eastAsia="zh-CN"/>
        </w:rPr>
      </w:pPr>
      <w:r>
        <w:rPr>
          <w:rFonts w:hint="eastAsia" w:hAnsi="宋体" w:cs="Times New Roman"/>
          <w:highlight w:val="none"/>
          <w:lang w:val="en-US" w:eastAsia="zh-CN"/>
        </w:rPr>
        <w:t>环境温度：5℃～45℃；</w:t>
      </w:r>
    </w:p>
    <w:p w14:paraId="6ECC005E">
      <w:pPr>
        <w:pStyle w:val="252"/>
        <w:bidi w:val="0"/>
        <w:rPr>
          <w:rFonts w:hint="eastAsia" w:hAnsi="宋体" w:cs="Times New Roman"/>
          <w:highlight w:val="none"/>
          <w:lang w:val="en-US" w:eastAsia="zh-CN"/>
        </w:rPr>
      </w:pPr>
      <w:r>
        <w:rPr>
          <w:rFonts w:hint="eastAsia" w:hAnsi="宋体" w:cs="Times New Roman"/>
          <w:highlight w:val="none"/>
          <w:lang w:val="en-US" w:eastAsia="zh-CN"/>
        </w:rPr>
        <w:t>相对湿度：≤90%RH；</w:t>
      </w:r>
    </w:p>
    <w:p w14:paraId="7AE65B9C">
      <w:pPr>
        <w:pStyle w:val="252"/>
        <w:bidi w:val="0"/>
        <w:rPr>
          <w:rFonts w:hint="eastAsia" w:hAnsi="宋体" w:cs="Times New Roman"/>
          <w:highlight w:val="none"/>
          <w:lang w:val="en-US" w:eastAsia="zh-CN"/>
        </w:rPr>
      </w:pPr>
      <w:r>
        <w:rPr>
          <w:rFonts w:hint="eastAsia" w:hAnsi="宋体" w:cs="Times New Roman"/>
          <w:highlight w:val="none"/>
          <w:lang w:val="en-US" w:eastAsia="zh-CN"/>
        </w:rPr>
        <w:t>电源电压：（220±22）VAC；</w:t>
      </w:r>
    </w:p>
    <w:p w14:paraId="33B79705">
      <w:pPr>
        <w:pStyle w:val="252"/>
        <w:bidi w:val="0"/>
        <w:rPr>
          <w:rFonts w:hint="eastAsia" w:hAnsi="宋体" w:cs="Times New Roman"/>
          <w:highlight w:val="none"/>
          <w:lang w:val="en-US" w:eastAsia="zh-CN"/>
        </w:rPr>
      </w:pPr>
      <w:r>
        <w:rPr>
          <w:rFonts w:hint="eastAsia" w:hAnsi="宋体" w:cs="Times New Roman"/>
          <w:highlight w:val="none"/>
          <w:lang w:val="en-US" w:eastAsia="zh-CN"/>
        </w:rPr>
        <w:t>电源频率：50Hz±0.5Hz；</w:t>
      </w:r>
    </w:p>
    <w:p w14:paraId="2E099246">
      <w:pPr>
        <w:pStyle w:val="252"/>
        <w:bidi w:val="0"/>
        <w:rPr>
          <w:rFonts w:hint="eastAsia" w:hAnsi="宋体" w:cs="Times New Roman"/>
          <w:highlight w:val="none"/>
          <w:lang w:val="en-US" w:eastAsia="zh-CN"/>
        </w:rPr>
      </w:pPr>
      <w:r>
        <w:rPr>
          <w:rFonts w:hint="eastAsia" w:hAnsi="宋体" w:cs="Times New Roman"/>
          <w:highlight w:val="none"/>
          <w:lang w:val="en-US" w:eastAsia="zh-CN"/>
        </w:rPr>
        <w:t>水样温度：0℃～50℃。</w:t>
      </w:r>
    </w:p>
    <w:p w14:paraId="16FF6CF0">
      <w:pPr>
        <w:pStyle w:val="109"/>
        <w:spacing w:before="120" w:after="120"/>
        <w:rPr>
          <w:rFonts w:hint="eastAsia"/>
          <w:lang w:val="en-US" w:eastAsia="zh-CN"/>
        </w:rPr>
      </w:pPr>
      <w:bookmarkStart w:id="65" w:name="_Toc1275"/>
      <w:r>
        <w:rPr>
          <w:rFonts w:hint="eastAsia"/>
          <w:lang w:val="en-US" w:eastAsia="zh-CN"/>
        </w:rPr>
        <w:t>水样条件</w:t>
      </w:r>
      <w:bookmarkEnd w:id="65"/>
    </w:p>
    <w:p w14:paraId="193BCADB">
      <w:pPr>
        <w:pStyle w:val="252"/>
        <w:bidi w:val="0"/>
        <w:rPr>
          <w:rFonts w:hint="eastAsia" w:hAnsi="宋体" w:cs="Times New Roman"/>
          <w:highlight w:val="none"/>
          <w:lang w:val="en-US" w:eastAsia="zh-CN"/>
        </w:rPr>
      </w:pPr>
      <w:r>
        <w:rPr>
          <w:rFonts w:hint="eastAsia" w:hAnsi="宋体" w:cs="Times New Roman"/>
          <w:highlight w:val="none"/>
          <w:lang w:val="en-US" w:eastAsia="zh-CN"/>
        </w:rPr>
        <w:t>样品温度：≤50℃，温度过高时需经冷却装置降温；</w:t>
      </w:r>
    </w:p>
    <w:p w14:paraId="3540F79E">
      <w:pPr>
        <w:pStyle w:val="252"/>
        <w:bidi w:val="0"/>
        <w:rPr>
          <w:rFonts w:hint="eastAsia" w:hAnsi="宋体" w:cs="Times New Roman"/>
          <w:highlight w:val="none"/>
          <w:lang w:val="en-US" w:eastAsia="zh-CN"/>
        </w:rPr>
      </w:pPr>
      <w:r>
        <w:rPr>
          <w:rFonts w:hint="eastAsia" w:hAnsi="宋体" w:cs="Times New Roman"/>
          <w:highlight w:val="none"/>
          <w:lang w:val="en-US" w:eastAsia="zh-CN"/>
        </w:rPr>
        <w:t>样品固相含量：≤5%，超出时需经预处理稀释后检测；</w:t>
      </w:r>
    </w:p>
    <w:p w14:paraId="31344049">
      <w:pPr>
        <w:pStyle w:val="252"/>
        <w:bidi w:val="0"/>
        <w:rPr>
          <w:rFonts w:hint="eastAsia" w:hAnsi="宋体" w:cs="Times New Roman"/>
          <w:highlight w:val="none"/>
          <w:lang w:val="en-US" w:eastAsia="zh-CN"/>
        </w:rPr>
      </w:pPr>
      <w:r>
        <w:rPr>
          <w:rFonts w:hint="eastAsia" w:hAnsi="宋体" w:cs="Times New Roman"/>
          <w:highlight w:val="none"/>
          <w:lang w:val="en-US" w:eastAsia="zh-CN"/>
        </w:rPr>
        <w:t>样品pH值：≤8，高碱性样品需经酸化预处理后检测。</w:t>
      </w:r>
    </w:p>
    <w:p w14:paraId="3ECB42E9">
      <w:pPr>
        <w:pStyle w:val="109"/>
        <w:spacing w:before="120" w:after="120"/>
        <w:rPr>
          <w:rFonts w:hint="eastAsia"/>
          <w:lang w:val="en-US" w:eastAsia="zh-CN"/>
        </w:rPr>
      </w:pPr>
      <w:bookmarkStart w:id="66" w:name="_Toc2589"/>
      <w:r>
        <w:rPr>
          <w:rFonts w:hint="eastAsia"/>
          <w:lang w:val="en-US" w:eastAsia="zh-CN"/>
        </w:rPr>
        <w:t>消解条件</w:t>
      </w:r>
      <w:bookmarkEnd w:id="66"/>
    </w:p>
    <w:p w14:paraId="060F6887">
      <w:pPr>
        <w:pStyle w:val="252"/>
        <w:bidi w:val="0"/>
        <w:rPr>
          <w:rFonts w:hint="eastAsia" w:hAnsi="宋体" w:cs="Times New Roman"/>
          <w:highlight w:val="none"/>
          <w:lang w:val="en-US" w:eastAsia="zh-CN"/>
        </w:rPr>
      </w:pPr>
      <w:r>
        <w:rPr>
          <w:rFonts w:hint="eastAsia" w:hAnsi="宋体" w:cs="Times New Roman"/>
          <w:highlight w:val="none"/>
          <w:lang w:val="en-US" w:eastAsia="zh-CN"/>
        </w:rPr>
        <w:t>消解温度：165℃±2℃；</w:t>
      </w:r>
    </w:p>
    <w:p w14:paraId="097EE7F2">
      <w:pPr>
        <w:pStyle w:val="252"/>
        <w:bidi w:val="0"/>
        <w:rPr>
          <w:rFonts w:hint="eastAsia" w:hAnsi="宋体" w:cs="Times New Roman"/>
          <w:highlight w:val="none"/>
          <w:lang w:val="en-US" w:eastAsia="zh-CN"/>
        </w:rPr>
      </w:pPr>
      <w:r>
        <w:rPr>
          <w:rFonts w:hint="eastAsia" w:hAnsi="宋体" w:cs="Times New Roman"/>
          <w:highlight w:val="none"/>
          <w:lang w:val="en-US" w:eastAsia="zh-CN"/>
        </w:rPr>
        <w:t>消解时间：15min±1min；</w:t>
      </w:r>
    </w:p>
    <w:p w14:paraId="55EC2722">
      <w:pPr>
        <w:pStyle w:val="108"/>
        <w:spacing w:before="240" w:after="240"/>
        <w:rPr>
          <w:b/>
        </w:rPr>
      </w:pPr>
      <w:bookmarkStart w:id="67" w:name="_Toc21939"/>
      <w:r>
        <w:rPr>
          <w:rFonts w:hint="eastAsia"/>
        </w:rPr>
        <w:t>试剂或材料</w:t>
      </w:r>
      <w:bookmarkEnd w:id="67"/>
    </w:p>
    <w:p w14:paraId="3C7751EC">
      <w:pPr>
        <w:pStyle w:val="258"/>
        <w:numPr>
          <w:ilvl w:val="1"/>
          <w:numId w:val="0"/>
        </w:numPr>
        <w:ind w:leftChars="0"/>
        <w:jc w:val="both"/>
        <w:rPr>
          <w:rFonts w:hint="eastAsia" w:ascii="黑体" w:hAnsi="Times New Roman" w:eastAsia="黑体" w:cs="Times New Roman"/>
          <w:sz w:val="21"/>
          <w:szCs w:val="20"/>
          <w:lang w:val="en-US" w:eastAsia="zh-CN" w:bidi="ar-SA"/>
        </w:rPr>
      </w:pPr>
      <w:r>
        <w:rPr>
          <w:rFonts w:hint="eastAsia" w:ascii="黑体" w:hAnsi="Times New Roman" w:eastAsia="黑体" w:cs="Times New Roman"/>
          <w:sz w:val="21"/>
          <w:szCs w:val="20"/>
          <w:lang w:val="en-US" w:eastAsia="zh-CN" w:bidi="ar-SA"/>
        </w:rPr>
        <w:t>6.1 实验用水</w:t>
      </w:r>
    </w:p>
    <w:p w14:paraId="6D89433D">
      <w:pPr>
        <w:pStyle w:val="258"/>
        <w:numPr>
          <w:ilvl w:val="1"/>
          <w:numId w:val="0"/>
        </w:numPr>
        <w:ind w:leftChars="0" w:firstLine="420" w:firstLineChars="200"/>
        <w:jc w:val="both"/>
        <w:rPr>
          <w:rFonts w:hint="eastAsia"/>
          <w:lang w:val="en-US" w:eastAsia="zh-CN"/>
        </w:rPr>
      </w:pPr>
      <w:r>
        <w:rPr>
          <w:rFonts w:hint="eastAsia"/>
          <w:lang w:val="en-US" w:eastAsia="zh-CN"/>
        </w:rPr>
        <w:t>按HJ 828方法获得不含还原性物质的蒸馏水。</w:t>
      </w:r>
    </w:p>
    <w:p w14:paraId="595C5012">
      <w:pPr>
        <w:pStyle w:val="109"/>
        <w:spacing w:before="120" w:after="120"/>
        <w:rPr>
          <w:rFonts w:hint="eastAsia"/>
          <w:lang w:val="en-US" w:eastAsia="zh-CN"/>
        </w:rPr>
      </w:pPr>
      <w:bookmarkStart w:id="68" w:name="_Toc2927"/>
      <w:r>
        <w:rPr>
          <w:rFonts w:hint="eastAsia"/>
          <w:lang w:val="en-US" w:eastAsia="zh-CN"/>
        </w:rPr>
        <w:t>化学需氧量（CODCr）标准贮备液</w:t>
      </w:r>
      <w:bookmarkEnd w:id="68"/>
    </w:p>
    <w:p w14:paraId="25FB11B7">
      <w:pPr>
        <w:pStyle w:val="252"/>
        <w:bidi w:val="0"/>
        <w:rPr>
          <w:rFonts w:hint="eastAsia" w:hAnsi="宋体" w:cs="Times New Roman"/>
          <w:highlight w:val="none"/>
          <w:lang w:val="en-US" w:eastAsia="zh-CN"/>
        </w:rPr>
      </w:pPr>
      <w:r>
        <w:rPr>
          <w:rFonts w:hint="eastAsia" w:hAnsi="宋体" w:cs="Times New Roman"/>
          <w:highlight w:val="none"/>
          <w:lang w:val="en-US" w:eastAsia="zh-CN"/>
        </w:rPr>
        <w:t>化学需氧量（CODCr）标准贮备液（ρ=2000.0mg/L）：称取在120℃下干燥2h并冷却至恒重后的邻苯二甲酸氢钾（KHC</w:t>
      </w:r>
      <w:r>
        <w:rPr>
          <w:rFonts w:hint="eastAsia" w:hAnsi="宋体" w:cs="Times New Roman"/>
          <w:highlight w:val="none"/>
          <w:vertAlign w:val="subscript"/>
          <w:lang w:val="en-US" w:eastAsia="zh-CN"/>
        </w:rPr>
        <w:t>8</w:t>
      </w:r>
      <w:r>
        <w:rPr>
          <w:rFonts w:hint="eastAsia" w:hAnsi="宋体" w:cs="Times New Roman"/>
          <w:highlight w:val="none"/>
          <w:lang w:val="en-US" w:eastAsia="zh-CN"/>
        </w:rPr>
        <w:t>H</w:t>
      </w:r>
      <w:r>
        <w:rPr>
          <w:rFonts w:hint="eastAsia" w:hAnsi="宋体" w:cs="Times New Roman"/>
          <w:highlight w:val="none"/>
          <w:vertAlign w:val="subscript"/>
          <w:lang w:val="en-US" w:eastAsia="zh-CN"/>
        </w:rPr>
        <w:t>4</w:t>
      </w:r>
      <w:r>
        <w:rPr>
          <w:rFonts w:hint="eastAsia" w:hAnsi="宋体" w:cs="Times New Roman"/>
          <w:highlight w:val="none"/>
          <w:lang w:val="en-US" w:eastAsia="zh-CN"/>
        </w:rPr>
        <w:t>O</w:t>
      </w:r>
      <w:r>
        <w:rPr>
          <w:rFonts w:hint="eastAsia" w:hAnsi="宋体" w:cs="Times New Roman"/>
          <w:highlight w:val="none"/>
          <w:vertAlign w:val="subscript"/>
          <w:lang w:val="en-US" w:eastAsia="zh-CN"/>
        </w:rPr>
        <w:t>4</w:t>
      </w:r>
      <w:r>
        <w:rPr>
          <w:rFonts w:hint="eastAsia" w:hAnsi="宋体" w:cs="Times New Roman"/>
          <w:highlight w:val="none"/>
          <w:lang w:val="en-US" w:eastAsia="zh-CN"/>
        </w:rPr>
        <w:t>，优级纯）1.7004g，溶于适量水中，移入1000ml容量瓶中，加蒸馏水稀释至标线。此溶液在2℃～5℃下贮存，可稳定保存一个月。</w:t>
      </w:r>
    </w:p>
    <w:p w14:paraId="74F1D7C0">
      <w:pPr>
        <w:pStyle w:val="252"/>
        <w:bidi w:val="0"/>
        <w:rPr>
          <w:rFonts w:hint="eastAsia" w:hAnsi="宋体" w:cs="Times New Roman"/>
          <w:highlight w:val="none"/>
          <w:lang w:val="en-US" w:eastAsia="zh-CN"/>
        </w:rPr>
      </w:pPr>
      <w:r>
        <w:rPr>
          <w:rFonts w:hint="eastAsia" w:hAnsi="宋体" w:cs="Times New Roman"/>
          <w:highlight w:val="none"/>
          <w:lang w:val="en-US" w:eastAsia="zh-CN"/>
        </w:rPr>
        <w:t>其他低浓度化学需氧量（COD</w:t>
      </w:r>
      <w:r>
        <w:rPr>
          <w:rFonts w:hint="eastAsia" w:hAnsi="宋体" w:cs="Times New Roman"/>
          <w:highlight w:val="none"/>
          <w:vertAlign w:val="subscript"/>
          <w:lang w:val="en-US" w:eastAsia="zh-CN"/>
        </w:rPr>
        <w:t>Cr</w:t>
      </w:r>
      <w:r>
        <w:rPr>
          <w:rFonts w:hint="eastAsia" w:hAnsi="宋体" w:cs="Times New Roman"/>
          <w:highlight w:val="none"/>
          <w:lang w:val="en-US" w:eastAsia="zh-CN"/>
        </w:rPr>
        <w:t>）标准溶液由化学需氧量（COD</w:t>
      </w:r>
      <w:r>
        <w:rPr>
          <w:rFonts w:hint="eastAsia" w:hAnsi="宋体" w:cs="Times New Roman"/>
          <w:highlight w:val="none"/>
          <w:vertAlign w:val="subscript"/>
          <w:lang w:val="en-US" w:eastAsia="zh-CN"/>
        </w:rPr>
        <w:t>Cr</w:t>
      </w:r>
      <w:r>
        <w:rPr>
          <w:rFonts w:hint="eastAsia" w:hAnsi="宋体" w:cs="Times New Roman"/>
          <w:highlight w:val="none"/>
          <w:lang w:val="en-US" w:eastAsia="zh-CN"/>
        </w:rPr>
        <w:t>）标准贮备液经逐级稀释后获得。</w:t>
      </w:r>
    </w:p>
    <w:p w14:paraId="20389C70">
      <w:pPr>
        <w:pStyle w:val="109"/>
        <w:spacing w:before="120" w:after="120"/>
        <w:rPr>
          <w:rFonts w:hint="eastAsia"/>
          <w:lang w:val="en-US" w:eastAsia="zh-CN"/>
        </w:rPr>
      </w:pPr>
      <w:bookmarkStart w:id="69" w:name="_Toc25716"/>
      <w:r>
        <w:rPr>
          <w:rFonts w:hint="eastAsia"/>
          <w:lang w:val="en-US" w:eastAsia="zh-CN"/>
        </w:rPr>
        <w:t>氧化剂溶液</w:t>
      </w:r>
      <w:bookmarkEnd w:id="69"/>
    </w:p>
    <w:p w14:paraId="6FDE60AE">
      <w:pPr>
        <w:pStyle w:val="252"/>
        <w:bidi w:val="0"/>
        <w:rPr>
          <w:rFonts w:hint="eastAsia" w:hAnsi="宋体" w:cs="Times New Roman"/>
          <w:highlight w:val="none"/>
          <w:lang w:val="en-US" w:eastAsia="zh-CN"/>
        </w:rPr>
      </w:pPr>
      <w:r>
        <w:rPr>
          <w:rFonts w:hint="eastAsia" w:hAnsi="宋体" w:cs="Times New Roman"/>
          <w:highlight w:val="none"/>
          <w:lang w:val="en-US" w:eastAsia="zh-CN"/>
        </w:rPr>
        <w:t>700ml的蒸馏水中搅拌加入100ml的浓硫酸（95-98%），待溶液冷却到50℃以下，往溶液中投入50g重铬酸钾，搅拌至全部溶解后，移入1000ml容量瓶中，加蒸馏水稀释至标线。</w:t>
      </w:r>
    </w:p>
    <w:p w14:paraId="59600048">
      <w:pPr>
        <w:pStyle w:val="252"/>
        <w:bidi w:val="0"/>
        <w:rPr>
          <w:rFonts w:hint="eastAsia" w:hAnsi="宋体" w:cs="Times New Roman"/>
          <w:highlight w:val="none"/>
          <w:lang w:val="en-US" w:eastAsia="zh-CN"/>
        </w:rPr>
      </w:pPr>
      <w:r>
        <w:rPr>
          <w:rFonts w:hint="eastAsia" w:hAnsi="宋体" w:cs="Times New Roman"/>
          <w:highlight w:val="none"/>
          <w:lang w:val="en-US" w:eastAsia="zh-CN"/>
        </w:rPr>
        <w:t>实际使用中，可根据水样COD上限值高低，酌情据比例增减重铬酸钾用量，同时据比例增减COD标准溶液浓度。</w:t>
      </w:r>
    </w:p>
    <w:p w14:paraId="58D6CA4C">
      <w:pPr>
        <w:pStyle w:val="109"/>
        <w:spacing w:before="120" w:after="120"/>
        <w:rPr>
          <w:rFonts w:hint="eastAsia"/>
          <w:lang w:val="en-US" w:eastAsia="zh-CN"/>
        </w:rPr>
      </w:pPr>
      <w:bookmarkStart w:id="70" w:name="_Toc24492"/>
      <w:r>
        <w:rPr>
          <w:rFonts w:hint="eastAsia"/>
          <w:lang w:val="en-US" w:eastAsia="zh-CN"/>
        </w:rPr>
        <w:t>催化剂溶液</w:t>
      </w:r>
      <w:bookmarkEnd w:id="70"/>
    </w:p>
    <w:p w14:paraId="53AB26F1">
      <w:pPr>
        <w:pStyle w:val="252"/>
        <w:bidi w:val="0"/>
        <w:rPr>
          <w:rFonts w:hint="default" w:hAnsi="宋体" w:cs="Times New Roman"/>
          <w:highlight w:val="none"/>
          <w:lang w:val="en-US" w:eastAsia="zh-CN"/>
        </w:rPr>
      </w:pPr>
      <w:r>
        <w:rPr>
          <w:rFonts w:hint="default" w:hAnsi="宋体" w:cs="Times New Roman"/>
          <w:highlight w:val="none"/>
          <w:lang w:val="en-US" w:eastAsia="zh-CN"/>
        </w:rPr>
        <w:t xml:space="preserve">1000 </w:t>
      </w:r>
      <w:r>
        <w:rPr>
          <w:rFonts w:hint="eastAsia" w:hAnsi="宋体" w:cs="Times New Roman"/>
          <w:highlight w:val="none"/>
          <w:lang w:val="en-US" w:eastAsia="zh-CN"/>
        </w:rPr>
        <w:t>ml</w:t>
      </w:r>
      <w:r>
        <w:rPr>
          <w:rFonts w:hint="default" w:hAnsi="宋体" w:cs="Times New Roman"/>
          <w:highlight w:val="none"/>
          <w:lang w:val="en-US" w:eastAsia="zh-CN"/>
        </w:rPr>
        <w:t>的</w:t>
      </w:r>
      <w:r>
        <w:rPr>
          <w:rFonts w:hint="eastAsia" w:hAnsi="宋体" w:cs="Times New Roman"/>
          <w:highlight w:val="none"/>
          <w:lang w:val="en-US" w:eastAsia="zh-CN"/>
        </w:rPr>
        <w:t>浓硫酸（95-98%）中搅拌加入</w:t>
      </w:r>
      <w:r>
        <w:rPr>
          <w:rFonts w:hint="default" w:hAnsi="宋体" w:cs="Times New Roman"/>
          <w:highlight w:val="none"/>
          <w:lang w:val="en-US" w:eastAsia="zh-CN"/>
        </w:rPr>
        <w:t xml:space="preserve"> 10 </w:t>
      </w:r>
      <w:r>
        <w:rPr>
          <w:rFonts w:hint="eastAsia" w:hAnsi="宋体" w:cs="Times New Roman"/>
          <w:highlight w:val="none"/>
          <w:lang w:val="en-US" w:eastAsia="zh-CN"/>
        </w:rPr>
        <w:t>g</w:t>
      </w:r>
      <w:r>
        <w:rPr>
          <w:rFonts w:hint="default" w:hAnsi="宋体" w:cs="Times New Roman"/>
          <w:highlight w:val="none"/>
          <w:lang w:val="en-US" w:eastAsia="zh-CN"/>
        </w:rPr>
        <w:t>的</w:t>
      </w:r>
      <w:r>
        <w:rPr>
          <w:rFonts w:hint="eastAsia" w:hAnsi="宋体" w:cs="Times New Roman"/>
          <w:highlight w:val="none"/>
          <w:lang w:val="en-US" w:eastAsia="zh-CN"/>
        </w:rPr>
        <w:t>硫酸银</w:t>
      </w:r>
      <w:r>
        <w:rPr>
          <w:rFonts w:hint="default" w:hAnsi="宋体" w:cs="Times New Roman"/>
          <w:highlight w:val="none"/>
          <w:lang w:val="en-US" w:eastAsia="zh-CN"/>
        </w:rPr>
        <w:t>，待完全溶解后，装瓶待用。</w:t>
      </w:r>
    </w:p>
    <w:p w14:paraId="0577EEC2">
      <w:pPr>
        <w:pStyle w:val="109"/>
        <w:spacing w:before="120" w:after="120"/>
        <w:rPr>
          <w:rFonts w:hint="eastAsia"/>
          <w:lang w:val="en-US" w:eastAsia="zh-CN"/>
        </w:rPr>
      </w:pPr>
      <w:bookmarkStart w:id="71" w:name="_Toc15456"/>
      <w:r>
        <w:rPr>
          <w:rFonts w:hint="eastAsia"/>
          <w:lang w:val="en-US" w:eastAsia="zh-CN"/>
        </w:rPr>
        <w:t>掩蔽剂</w:t>
      </w:r>
      <w:bookmarkEnd w:id="71"/>
    </w:p>
    <w:p w14:paraId="5EA5B385">
      <w:pPr>
        <w:pStyle w:val="252"/>
        <w:bidi w:val="0"/>
        <w:rPr>
          <w:rFonts w:hint="eastAsia"/>
          <w:lang w:val="en-US" w:eastAsia="zh-CN"/>
        </w:rPr>
      </w:pPr>
      <w:r>
        <w:rPr>
          <w:rFonts w:hint="eastAsia"/>
          <w:lang w:val="en-US" w:eastAsia="zh-CN"/>
        </w:rPr>
        <w:t>700</w:t>
      </w:r>
      <w:r>
        <w:rPr>
          <w:rFonts w:hint="eastAsia" w:hAnsi="宋体" w:cs="Times New Roman"/>
          <w:highlight w:val="none"/>
          <w:lang w:val="en-US" w:eastAsia="zh-CN"/>
        </w:rPr>
        <w:t>ml</w:t>
      </w:r>
      <w:r>
        <w:rPr>
          <w:rFonts w:hint="eastAsia"/>
          <w:lang w:val="en-US" w:eastAsia="zh-CN"/>
        </w:rPr>
        <w:t>的蒸馏水中搅拌加入100</w:t>
      </w:r>
      <w:r>
        <w:rPr>
          <w:rFonts w:hint="eastAsia" w:hAnsi="宋体" w:cs="Times New Roman"/>
          <w:highlight w:val="none"/>
          <w:lang w:val="en-US" w:eastAsia="zh-CN"/>
        </w:rPr>
        <w:t>ml</w:t>
      </w:r>
      <w:r>
        <w:rPr>
          <w:rFonts w:hint="eastAsia"/>
          <w:lang w:val="en-US" w:eastAsia="zh-CN"/>
        </w:rPr>
        <w:t>的浓硫酸（95-98%），待溶液冷却到50</w:t>
      </w:r>
      <w:r>
        <w:rPr>
          <w:rFonts w:hint="eastAsia" w:hAnsi="宋体" w:cs="Times New Roman"/>
          <w:highlight w:val="none"/>
          <w:lang w:val="en-US" w:eastAsia="zh-CN"/>
        </w:rPr>
        <w:t>℃</w:t>
      </w:r>
      <w:r>
        <w:rPr>
          <w:rFonts w:hint="eastAsia"/>
          <w:lang w:val="en-US" w:eastAsia="zh-CN"/>
        </w:rPr>
        <w:t>以下，往溶液中投入50g硫酸汞，搅拌至全部溶解后，</w:t>
      </w:r>
      <w:r>
        <w:rPr>
          <w:rFonts w:hint="eastAsia" w:hAnsi="宋体" w:cs="Times New Roman"/>
          <w:highlight w:val="none"/>
          <w:lang w:val="en-US" w:eastAsia="zh-CN"/>
        </w:rPr>
        <w:t>移入1000ml容量瓶中，加蒸馏水稀释至标线，</w:t>
      </w:r>
      <w:r>
        <w:rPr>
          <w:rFonts w:hint="eastAsia"/>
          <w:lang w:val="en-US" w:eastAsia="zh-CN"/>
        </w:rPr>
        <w:t>静置1～3天。</w:t>
      </w:r>
    </w:p>
    <w:p w14:paraId="0336C7C8">
      <w:pPr>
        <w:pStyle w:val="109"/>
        <w:spacing w:before="120" w:after="120"/>
        <w:rPr>
          <w:rFonts w:hint="eastAsia"/>
          <w:lang w:val="en-US" w:eastAsia="zh-CN"/>
        </w:rPr>
      </w:pPr>
      <w:bookmarkStart w:id="72" w:name="_Toc22429"/>
      <w:r>
        <w:rPr>
          <w:rFonts w:hint="eastAsia"/>
          <w:lang w:val="en-US" w:eastAsia="zh-CN"/>
        </w:rPr>
        <w:t>氯化钠（NaCl）</w:t>
      </w:r>
      <w:bookmarkEnd w:id="72"/>
    </w:p>
    <w:p w14:paraId="70B64112">
      <w:pPr>
        <w:pStyle w:val="252"/>
        <w:bidi w:val="0"/>
        <w:rPr>
          <w:rFonts w:hint="eastAsia" w:hAnsi="宋体" w:cs="Times New Roman"/>
          <w:highlight w:val="none"/>
          <w:lang w:val="en-US" w:eastAsia="zh-CN"/>
        </w:rPr>
      </w:pPr>
      <w:r>
        <w:rPr>
          <w:rFonts w:hint="eastAsia" w:hAnsi="宋体" w:cs="Times New Roman"/>
          <w:highlight w:val="none"/>
          <w:lang w:val="en-US" w:eastAsia="zh-CN"/>
        </w:rPr>
        <w:t>将氯化钠（分析纯）置于瓷坩埚内，在500℃～600℃下灼烧40min～50min，在干燥器中冷却备用。</w:t>
      </w:r>
    </w:p>
    <w:p w14:paraId="70EA9F93">
      <w:pPr>
        <w:pStyle w:val="108"/>
        <w:spacing w:before="240" w:after="240"/>
        <w:rPr>
          <w:b/>
        </w:rPr>
      </w:pPr>
      <w:bookmarkStart w:id="73" w:name="_Toc133693510"/>
      <w:bookmarkStart w:id="74" w:name="_Toc23687"/>
      <w:bookmarkStart w:id="75" w:name="_Toc133940605"/>
      <w:bookmarkStart w:id="76" w:name="_Toc133697515"/>
      <w:bookmarkStart w:id="77" w:name="_Toc131629322"/>
      <w:r>
        <w:rPr>
          <w:rFonts w:hint="eastAsia"/>
          <w:lang w:eastAsia="zh-CN"/>
        </w:rPr>
        <w:t>样品预处理</w:t>
      </w:r>
      <w:bookmarkEnd w:id="73"/>
      <w:bookmarkEnd w:id="74"/>
      <w:bookmarkEnd w:id="75"/>
      <w:bookmarkEnd w:id="76"/>
      <w:bookmarkEnd w:id="77"/>
    </w:p>
    <w:p w14:paraId="59D0C11E">
      <w:pPr>
        <w:pStyle w:val="109"/>
        <w:spacing w:before="120" w:after="120"/>
        <w:rPr>
          <w:rFonts w:hint="eastAsia"/>
          <w:lang w:val="en-US" w:eastAsia="zh-CN"/>
        </w:rPr>
      </w:pPr>
      <w:bookmarkStart w:id="78" w:name="_Toc18906"/>
      <w:bookmarkStart w:id="79" w:name="_Toc133940606"/>
      <w:r>
        <w:rPr>
          <w:rFonts w:hint="eastAsia"/>
          <w:lang w:val="en-US" w:eastAsia="zh-CN"/>
        </w:rPr>
        <w:t>浊度修正</w:t>
      </w:r>
      <w:bookmarkEnd w:id="78"/>
    </w:p>
    <w:p w14:paraId="1238CE48">
      <w:pPr>
        <w:pStyle w:val="252"/>
        <w:bidi w:val="0"/>
        <w:rPr>
          <w:rFonts w:hint="eastAsia" w:hAnsi="宋体" w:cs="Times New Roman"/>
          <w:lang w:val="en-US" w:eastAsia="zh-CN"/>
        </w:rPr>
      </w:pPr>
      <w:r>
        <w:rPr>
          <w:rFonts w:hint="eastAsia"/>
          <w:lang w:val="en-US" w:eastAsia="zh-CN"/>
        </w:rPr>
        <w:t>对存在浊度干扰的样品，有以下两种处理方式：增加“样品空白”（不加消解液，仅加酸与掩蔽剂），扣除沉淀浊度对吸光度的贡献，修正COD计算结果；或</w:t>
      </w:r>
      <w:r>
        <w:rPr>
          <w:rFonts w:hint="eastAsia" w:hAnsi="宋体" w:cs="Times New Roman"/>
          <w:highlight w:val="none"/>
          <w:lang w:val="en-US" w:eastAsia="zh-CN"/>
        </w:rPr>
        <w:t>将水基钻井液样品进行均质化搅拌，经过滤除去大颗粒的钻井岩屑等杂物。</w:t>
      </w:r>
    </w:p>
    <w:p w14:paraId="6D39E86E">
      <w:pPr>
        <w:pStyle w:val="109"/>
        <w:spacing w:before="120" w:after="120"/>
        <w:rPr>
          <w:rFonts w:hint="eastAsia"/>
          <w:lang w:val="en-US" w:eastAsia="zh-CN"/>
        </w:rPr>
      </w:pPr>
      <w:bookmarkStart w:id="80" w:name="_Toc19930"/>
      <w:r>
        <w:rPr>
          <w:rFonts w:hint="eastAsia"/>
          <w:lang w:val="en-US" w:eastAsia="zh-CN"/>
        </w:rPr>
        <w:t>高氯样品预处理</w:t>
      </w:r>
      <w:bookmarkEnd w:id="80"/>
    </w:p>
    <w:p w14:paraId="1CDB4677">
      <w:pPr>
        <w:pStyle w:val="252"/>
        <w:bidi w:val="0"/>
        <w:rPr>
          <w:rFonts w:hint="eastAsia" w:hAnsi="宋体" w:cs="Times New Roman"/>
          <w:highlight w:val="none"/>
          <w:lang w:val="en-US" w:eastAsia="zh-CN"/>
        </w:rPr>
      </w:pPr>
      <w:r>
        <w:rPr>
          <w:rFonts w:hint="eastAsia" w:hAnsi="宋体" w:cs="Times New Roman"/>
          <w:highlight w:val="none"/>
          <w:lang w:val="en-US" w:eastAsia="zh-CN"/>
        </w:rPr>
        <w:t>采用硝酸银滴定法（GB 11896）或简易粗判方法（见HJ 828附录A）估算氯离子含量，按以下分级处理：</w:t>
      </w:r>
    </w:p>
    <w:p w14:paraId="3066C302">
      <w:pPr>
        <w:pStyle w:val="252"/>
        <w:bidi w:val="0"/>
        <w:rPr>
          <w:rFonts w:hint="eastAsia" w:hAnsi="宋体" w:cs="Times New Roman"/>
          <w:highlight w:val="none"/>
          <w:lang w:val="en-US" w:eastAsia="zh-CN"/>
        </w:rPr>
      </w:pPr>
      <w:r>
        <w:rPr>
          <w:rFonts w:hint="eastAsia" w:hAnsi="宋体" w:cs="Times New Roman"/>
          <w:highlight w:val="none"/>
          <w:lang w:val="en-US" w:eastAsia="zh-CN"/>
        </w:rPr>
        <w:t>低氯样品（ρ(Cl</w:t>
      </w:r>
      <w:r>
        <w:rPr>
          <w:rFonts w:hint="eastAsia" w:hAnsi="宋体" w:cs="Times New Roman"/>
          <w:highlight w:val="none"/>
          <w:vertAlign w:val="superscript"/>
          <w:lang w:val="en-US" w:eastAsia="zh-CN"/>
        </w:rPr>
        <w:t>-</w:t>
      </w:r>
      <w:r>
        <w:rPr>
          <w:rFonts w:hint="eastAsia" w:hAnsi="宋体" w:cs="Times New Roman"/>
          <w:highlight w:val="none"/>
          <w:lang w:val="en-US" w:eastAsia="zh-CN"/>
        </w:rPr>
        <w:t>)≤1000mg/L）：加入硫酸汞掩蔽剂，硫酸汞与氯离子质量比≥20:1；</w:t>
      </w:r>
    </w:p>
    <w:p w14:paraId="13095EA9">
      <w:pPr>
        <w:pStyle w:val="252"/>
        <w:bidi w:val="0"/>
        <w:rPr>
          <w:rFonts w:hint="eastAsia" w:hAnsi="宋体" w:cs="Times New Roman"/>
          <w:highlight w:val="none"/>
          <w:lang w:val="en-US" w:eastAsia="zh-CN"/>
        </w:rPr>
      </w:pPr>
      <w:r>
        <w:rPr>
          <w:rFonts w:hint="eastAsia" w:hAnsi="宋体" w:cs="Times New Roman"/>
          <w:highlight w:val="none"/>
          <w:lang w:val="en-US" w:eastAsia="zh-CN"/>
        </w:rPr>
        <w:t>中氯样品（1000mg/L＜ρ(Cl</w:t>
      </w:r>
      <w:r>
        <w:rPr>
          <w:rFonts w:hint="eastAsia" w:hAnsi="宋体" w:cs="Times New Roman"/>
          <w:highlight w:val="none"/>
          <w:vertAlign w:val="superscript"/>
          <w:lang w:val="en-US" w:eastAsia="zh-CN"/>
        </w:rPr>
        <w:t>-</w:t>
      </w:r>
      <w:r>
        <w:rPr>
          <w:rFonts w:hint="eastAsia" w:hAnsi="宋体" w:cs="Times New Roman"/>
          <w:highlight w:val="none"/>
          <w:lang w:val="en-US" w:eastAsia="zh-CN"/>
        </w:rPr>
        <w:t>)≤20000mg/L）：用无还原性蒸馏水稀释至ρ(Cl</w:t>
      </w:r>
      <w:r>
        <w:rPr>
          <w:rFonts w:hint="eastAsia" w:hAnsi="宋体" w:cs="Times New Roman"/>
          <w:highlight w:val="none"/>
          <w:vertAlign w:val="superscript"/>
          <w:lang w:val="en-US" w:eastAsia="zh-CN"/>
        </w:rPr>
        <w:t>-</w:t>
      </w:r>
      <w:r>
        <w:rPr>
          <w:rFonts w:hint="eastAsia" w:hAnsi="宋体" w:cs="Times New Roman"/>
          <w:highlight w:val="none"/>
          <w:lang w:val="en-US" w:eastAsia="zh-CN"/>
        </w:rPr>
        <w:t>)≤1000mg/L，稀释倍数控制在20倍以内，再加入硫酸汞掩蔽剂；或不稀释样品，采用氯气校正法（HJ 70），准备氢氧化钠溶液吸收氯气，用硫代硫酸钠标定。</w:t>
      </w:r>
    </w:p>
    <w:p w14:paraId="0C1AAE11">
      <w:pPr>
        <w:pStyle w:val="252"/>
        <w:bidi w:val="0"/>
        <w:rPr>
          <w:rFonts w:hint="eastAsia" w:hAnsi="宋体" w:cs="Times New Roman"/>
          <w:highlight w:val="none"/>
          <w:lang w:val="en-US" w:eastAsia="zh-CN"/>
        </w:rPr>
      </w:pPr>
      <w:r>
        <w:rPr>
          <w:rFonts w:hint="eastAsia" w:hAnsi="宋体" w:cs="Times New Roman"/>
          <w:highlight w:val="none"/>
          <w:lang w:val="en-US" w:eastAsia="zh-CN"/>
        </w:rPr>
        <w:t>高氯样品（ρ(Cl</w:t>
      </w:r>
      <w:r>
        <w:rPr>
          <w:rFonts w:hint="eastAsia" w:hAnsi="宋体" w:cs="Times New Roman"/>
          <w:highlight w:val="none"/>
          <w:vertAlign w:val="superscript"/>
          <w:lang w:val="en-US" w:eastAsia="zh-CN"/>
        </w:rPr>
        <w:t>-</w:t>
      </w:r>
      <w:r>
        <w:rPr>
          <w:rFonts w:hint="eastAsia" w:hAnsi="宋体" w:cs="Times New Roman"/>
          <w:highlight w:val="none"/>
          <w:lang w:val="en-US" w:eastAsia="zh-CN"/>
        </w:rPr>
        <w:t>)＞20000mg/L）：优先稀释至ρ(Cl</w:t>
      </w:r>
      <w:r>
        <w:rPr>
          <w:rFonts w:hint="eastAsia" w:hAnsi="宋体" w:cs="Times New Roman"/>
          <w:highlight w:val="none"/>
          <w:vertAlign w:val="superscript"/>
          <w:lang w:val="en-US" w:eastAsia="zh-CN"/>
        </w:rPr>
        <w:t>-</w:t>
      </w:r>
      <w:r>
        <w:rPr>
          <w:rFonts w:hint="eastAsia" w:hAnsi="宋体" w:cs="Times New Roman"/>
          <w:highlight w:val="none"/>
          <w:lang w:val="en-US" w:eastAsia="zh-CN"/>
        </w:rPr>
        <w:t>)≤20000mg/L（稀释倍数控制在 20 倍以内），再采用氯气校正法（HJ/T 70）；或不稀释样品，采用碘化钾碱性高锰酸钾法（HJ 132）进行校正测定。</w:t>
      </w:r>
    </w:p>
    <w:p w14:paraId="0D9BA5E3">
      <w:pPr>
        <w:pStyle w:val="109"/>
        <w:spacing w:before="120" w:after="120"/>
        <w:rPr>
          <w:rFonts w:hint="eastAsia"/>
          <w:lang w:val="en-US" w:eastAsia="zh-CN"/>
        </w:rPr>
      </w:pPr>
      <w:bookmarkStart w:id="81" w:name="_Toc23903"/>
      <w:r>
        <w:rPr>
          <w:rFonts w:hint="eastAsia"/>
          <w:lang w:val="en-US" w:eastAsia="zh-CN"/>
        </w:rPr>
        <w:t>酸化预处理</w:t>
      </w:r>
      <w:bookmarkEnd w:id="81"/>
    </w:p>
    <w:p w14:paraId="7046696A">
      <w:pPr>
        <w:pStyle w:val="252"/>
        <w:bidi w:val="0"/>
        <w:rPr>
          <w:rFonts w:hint="eastAsia" w:hAnsi="宋体" w:cs="Times New Roman"/>
          <w:lang w:val="en-US" w:eastAsia="zh-CN"/>
        </w:rPr>
      </w:pPr>
      <w:r>
        <w:rPr>
          <w:rFonts w:hint="eastAsia" w:hAnsi="宋体" w:cs="Times New Roman"/>
          <w:lang w:val="en-US" w:eastAsia="zh-CN"/>
        </w:rPr>
        <w:t>向高碱性钻井液样品中加入稀硫酸，调节pH至</w:t>
      </w:r>
      <w:r>
        <w:rPr>
          <w:rFonts w:hint="eastAsia" w:cs="Times New Roman"/>
          <w:lang w:val="en-US" w:eastAsia="zh-CN"/>
        </w:rPr>
        <w:t>5±0.2</w:t>
      </w:r>
      <w:r>
        <w:rPr>
          <w:rFonts w:hint="eastAsia" w:hAnsi="宋体" w:cs="Times New Roman"/>
          <w:lang w:val="en-US" w:eastAsia="zh-CN"/>
        </w:rPr>
        <w:t>，酸化后静置5min，待气泡完全消失后再进行后续检测。</w:t>
      </w:r>
    </w:p>
    <w:p w14:paraId="14BE4471">
      <w:pPr>
        <w:pStyle w:val="109"/>
        <w:spacing w:before="120" w:after="120"/>
        <w:rPr>
          <w:rFonts w:hint="eastAsia"/>
          <w:lang w:val="en-US" w:eastAsia="zh-CN"/>
        </w:rPr>
      </w:pPr>
      <w:bookmarkStart w:id="82" w:name="_Toc7666"/>
      <w:r>
        <w:rPr>
          <w:rFonts w:hint="eastAsia"/>
          <w:lang w:val="en-US" w:eastAsia="zh-CN"/>
        </w:rPr>
        <w:t>反冲洗处理</w:t>
      </w:r>
      <w:bookmarkEnd w:id="82"/>
    </w:p>
    <w:p w14:paraId="580B4E92">
      <w:pPr>
        <w:pStyle w:val="252"/>
        <w:bidi w:val="0"/>
        <w:rPr>
          <w:rFonts w:hint="eastAsia" w:hAnsi="宋体" w:cs="Times New Roman"/>
          <w:lang w:val="en-US" w:eastAsia="zh-CN"/>
        </w:rPr>
      </w:pPr>
      <w:r>
        <w:rPr>
          <w:rFonts w:hint="eastAsia" w:hAnsi="宋体" w:cs="Times New Roman"/>
          <w:lang w:val="en-US" w:eastAsia="zh-CN"/>
        </w:rPr>
        <w:t>单次样品预处理完成后，启动自动反冲洗功能，冲洗过滤</w:t>
      </w:r>
      <w:r>
        <w:rPr>
          <w:rFonts w:hint="eastAsia" w:cs="Times New Roman"/>
          <w:lang w:val="en-US" w:eastAsia="zh-CN"/>
        </w:rPr>
        <w:t>系统及</w:t>
      </w:r>
      <w:r>
        <w:rPr>
          <w:rFonts w:hint="eastAsia" w:hAnsi="宋体" w:cs="Times New Roman"/>
          <w:lang w:val="en-US" w:eastAsia="zh-CN"/>
        </w:rPr>
        <w:t>管路。</w:t>
      </w:r>
    </w:p>
    <w:bookmarkEnd w:id="79"/>
    <w:p w14:paraId="7DCECEA7">
      <w:pPr>
        <w:pStyle w:val="108"/>
        <w:spacing w:before="240" w:after="240"/>
        <w:rPr>
          <w:rFonts w:hint="eastAsia"/>
          <w:lang w:eastAsia="zh-CN"/>
        </w:rPr>
      </w:pPr>
      <w:bookmarkStart w:id="83" w:name="_Toc14221"/>
      <w:bookmarkStart w:id="84" w:name="_Toc2499"/>
      <w:bookmarkStart w:id="85" w:name="_Toc133940623"/>
      <w:bookmarkStart w:id="86" w:name="_Toc133693512"/>
      <w:bookmarkStart w:id="87" w:name="_Toc131629336"/>
      <w:bookmarkStart w:id="88" w:name="_Toc133697517"/>
      <w:r>
        <w:rPr>
          <w:rFonts w:hint="eastAsia"/>
          <w:lang w:eastAsia="zh-CN"/>
        </w:rPr>
        <w:t>检测方法与操作</w:t>
      </w:r>
      <w:bookmarkEnd w:id="83"/>
      <w:bookmarkEnd w:id="84"/>
    </w:p>
    <w:p w14:paraId="20730438">
      <w:pPr>
        <w:pStyle w:val="109"/>
        <w:spacing w:before="120" w:after="120"/>
        <w:rPr>
          <w:rFonts w:hint="eastAsia"/>
          <w:lang w:val="en-US" w:eastAsia="zh-CN"/>
        </w:rPr>
      </w:pPr>
      <w:bookmarkStart w:id="89" w:name="_Toc3297"/>
      <w:r>
        <w:rPr>
          <w:rFonts w:hint="eastAsia"/>
          <w:lang w:val="en-US" w:eastAsia="zh-CN"/>
        </w:rPr>
        <w:t>仪器预热</w:t>
      </w:r>
      <w:bookmarkEnd w:id="89"/>
    </w:p>
    <w:p w14:paraId="17978D35">
      <w:pPr>
        <w:pStyle w:val="252"/>
        <w:bidi w:val="0"/>
        <w:rPr>
          <w:rFonts w:hint="eastAsia" w:hAnsi="宋体" w:cs="Times New Roman"/>
          <w:lang w:val="en-US" w:eastAsia="zh-CN"/>
        </w:rPr>
      </w:pPr>
      <w:r>
        <w:rPr>
          <w:rFonts w:hint="eastAsia" w:hAnsi="宋体" w:cs="Times New Roman"/>
          <w:lang w:val="en-US" w:eastAsia="zh-CN"/>
        </w:rPr>
        <w:t>检查仪器各部件，调整仪器至正常工作状态。</w:t>
      </w:r>
    </w:p>
    <w:p w14:paraId="1A5A923B">
      <w:pPr>
        <w:pStyle w:val="252"/>
        <w:bidi w:val="0"/>
        <w:rPr>
          <w:rFonts w:hint="eastAsia" w:hAnsi="宋体" w:cs="Times New Roman"/>
          <w:lang w:val="en-US" w:eastAsia="zh-CN"/>
        </w:rPr>
      </w:pPr>
      <w:r>
        <w:rPr>
          <w:rFonts w:hint="eastAsia" w:hAnsi="宋体" w:cs="Times New Roman"/>
          <w:lang w:val="en-US" w:eastAsia="zh-CN"/>
        </w:rPr>
        <w:t>检查仪器各个试剂，并保证足量且符合质量要求。</w:t>
      </w:r>
    </w:p>
    <w:p w14:paraId="157CBA8B">
      <w:pPr>
        <w:pStyle w:val="252"/>
        <w:bidi w:val="0"/>
        <w:rPr>
          <w:rFonts w:hint="eastAsia" w:hAnsi="宋体" w:cs="Times New Roman"/>
          <w:lang w:val="en-US" w:eastAsia="zh-CN"/>
        </w:rPr>
      </w:pPr>
      <w:r>
        <w:rPr>
          <w:rFonts w:hint="eastAsia" w:hAnsi="宋体" w:cs="Times New Roman"/>
          <w:lang w:val="en-US" w:eastAsia="zh-CN"/>
        </w:rPr>
        <w:t>连接电源后，按照仪器制造商提供的操作说明书中规定的预热时间进行预热运行，以使各部分功能稳定。</w:t>
      </w:r>
    </w:p>
    <w:p w14:paraId="32A78062">
      <w:pPr>
        <w:pStyle w:val="109"/>
        <w:spacing w:before="120" w:after="120"/>
        <w:rPr>
          <w:rFonts w:hint="eastAsia"/>
          <w:lang w:val="en-US" w:eastAsia="zh-CN"/>
        </w:rPr>
      </w:pPr>
      <w:bookmarkStart w:id="90" w:name="_Toc578"/>
      <w:r>
        <w:rPr>
          <w:rFonts w:hint="eastAsia"/>
          <w:lang w:val="en-US" w:eastAsia="zh-CN"/>
        </w:rPr>
        <w:t>仪器校准</w:t>
      </w:r>
      <w:bookmarkEnd w:id="90"/>
    </w:p>
    <w:p w14:paraId="6F25EE54">
      <w:pPr>
        <w:pStyle w:val="252"/>
        <w:bidi w:val="0"/>
        <w:rPr>
          <w:rFonts w:hint="eastAsia" w:hAnsi="宋体" w:cs="Times New Roman"/>
          <w:lang w:val="en-US" w:eastAsia="zh-CN"/>
        </w:rPr>
      </w:pPr>
      <w:r>
        <w:rPr>
          <w:rFonts w:hint="eastAsia" w:hAnsi="宋体" w:cs="Times New Roman"/>
          <w:lang w:val="en-US" w:eastAsia="zh-CN"/>
        </w:rPr>
        <w:t>仪器首次使用、更换试剂、维修后或运行一个周期（最小连续运行时间）后，需进行零点校准和量程校准。</w:t>
      </w:r>
    </w:p>
    <w:p w14:paraId="588499E6">
      <w:pPr>
        <w:pStyle w:val="252"/>
        <w:bidi w:val="0"/>
        <w:rPr>
          <w:rFonts w:hint="eastAsia" w:hAnsi="宋体" w:cs="Times New Roman"/>
          <w:lang w:val="en-US" w:eastAsia="zh-CN"/>
        </w:rPr>
      </w:pPr>
      <w:r>
        <w:rPr>
          <w:rFonts w:hint="eastAsia" w:hAnsi="宋体" w:cs="Times New Roman"/>
          <w:lang w:val="en-US" w:eastAsia="zh-CN"/>
        </w:rPr>
        <w:t>按照仪器制造商提供的操作说明书中规定的校正方法，用化学需氧量（COD</w:t>
      </w:r>
      <w:r>
        <w:rPr>
          <w:rFonts w:hint="eastAsia" w:hAnsi="宋体" w:cs="Times New Roman"/>
          <w:vertAlign w:val="subscript"/>
          <w:lang w:val="en-US" w:eastAsia="zh-CN"/>
        </w:rPr>
        <w:t>Cr</w:t>
      </w:r>
      <w:r>
        <w:rPr>
          <w:rFonts w:hint="eastAsia" w:hAnsi="宋体" w:cs="Times New Roman"/>
          <w:lang w:val="en-US" w:eastAsia="zh-CN"/>
        </w:rPr>
        <w:t>）标准贮备液配制仪器规定浓度的标准溶液进行校正。</w:t>
      </w:r>
    </w:p>
    <w:p w14:paraId="15980BD9">
      <w:pPr>
        <w:pStyle w:val="109"/>
        <w:spacing w:before="120" w:after="120"/>
        <w:rPr>
          <w:rFonts w:hint="eastAsia"/>
          <w:lang w:val="en-US" w:eastAsia="zh-CN"/>
        </w:rPr>
      </w:pPr>
      <w:bookmarkStart w:id="91" w:name="_Toc28319"/>
      <w:r>
        <w:rPr>
          <w:rFonts w:hint="eastAsia"/>
          <w:lang w:val="en-US" w:eastAsia="zh-CN"/>
        </w:rPr>
        <w:t>样品检测</w:t>
      </w:r>
      <w:bookmarkEnd w:id="91"/>
    </w:p>
    <w:p w14:paraId="79FFD4D0">
      <w:pPr>
        <w:pStyle w:val="252"/>
        <w:bidi w:val="0"/>
        <w:rPr>
          <w:rFonts w:hint="eastAsia" w:hAnsi="宋体" w:cs="Times New Roman"/>
          <w:lang w:val="en-US" w:eastAsia="zh-CN"/>
        </w:rPr>
      </w:pPr>
      <w:r>
        <w:rPr>
          <w:rFonts w:hint="eastAsia" w:hAnsi="宋体" w:cs="Times New Roman"/>
          <w:lang w:val="en-US" w:eastAsia="zh-CN"/>
        </w:rPr>
        <w:t>进样计量模块抽取预处理后的样品、重铬酸钾消解液、硫酸银催化剂，按预设比例混合；</w:t>
      </w:r>
    </w:p>
    <w:p w14:paraId="04697F6E">
      <w:pPr>
        <w:pStyle w:val="252"/>
        <w:bidi w:val="0"/>
        <w:rPr>
          <w:rFonts w:hint="eastAsia" w:hAnsi="宋体" w:cs="Times New Roman"/>
          <w:lang w:val="en-US" w:eastAsia="zh-CN"/>
        </w:rPr>
      </w:pPr>
      <w:r>
        <w:rPr>
          <w:rFonts w:hint="eastAsia" w:hAnsi="宋体" w:cs="Times New Roman"/>
          <w:lang w:val="en-US" w:eastAsia="zh-CN"/>
        </w:rPr>
        <w:t>混合液导入消解模块，在165℃±2℃下密闭消解15min±1min，消解完成后自动冷却至室温；</w:t>
      </w:r>
    </w:p>
    <w:p w14:paraId="738ED9F8">
      <w:pPr>
        <w:pStyle w:val="252"/>
        <w:bidi w:val="0"/>
        <w:rPr>
          <w:rFonts w:hint="eastAsia" w:hAnsi="宋体" w:cs="Times New Roman"/>
          <w:lang w:val="en-US" w:eastAsia="zh-CN"/>
        </w:rPr>
      </w:pPr>
      <w:r>
        <w:rPr>
          <w:rFonts w:hint="eastAsia" w:hAnsi="宋体" w:cs="Times New Roman"/>
          <w:lang w:val="en-US" w:eastAsia="zh-CN"/>
        </w:rPr>
        <w:t>冷却后的溶液导入测试模块，检测600nm±20nm处吸光度，自动扣除氯离子、浊度等对吸光度的干扰，经校准曲线计算并输出COD</w:t>
      </w:r>
      <w:r>
        <w:rPr>
          <w:rFonts w:hint="eastAsia" w:hAnsi="宋体" w:cs="Times New Roman"/>
          <w:vertAlign w:val="subscript"/>
          <w:lang w:val="en-US" w:eastAsia="zh-CN"/>
        </w:rPr>
        <w:t>Cr</w:t>
      </w:r>
      <w:r>
        <w:rPr>
          <w:rFonts w:hint="eastAsia" w:hAnsi="宋体" w:cs="Times New Roman"/>
          <w:lang w:val="en-US" w:eastAsia="zh-CN"/>
        </w:rPr>
        <w:t>浓度值；</w:t>
      </w:r>
    </w:p>
    <w:p w14:paraId="7CB024C3">
      <w:pPr>
        <w:pStyle w:val="252"/>
        <w:bidi w:val="0"/>
        <w:rPr>
          <w:rFonts w:hint="eastAsia" w:hAnsi="宋体" w:cs="Times New Roman"/>
          <w:lang w:val="en-US" w:eastAsia="zh-CN"/>
        </w:rPr>
      </w:pPr>
      <w:r>
        <w:rPr>
          <w:rFonts w:hint="eastAsia" w:hAnsi="宋体" w:cs="Times New Roman"/>
          <w:lang w:val="en-US" w:eastAsia="zh-CN"/>
        </w:rPr>
        <w:t>检测完成后，仪器自动排出分析废液至废液收集罐，清洗进样通道、消解池、检测池，准备下一次检测。</w:t>
      </w:r>
    </w:p>
    <w:p w14:paraId="29055266">
      <w:pPr>
        <w:pStyle w:val="108"/>
        <w:spacing w:before="240" w:after="240"/>
        <w:rPr>
          <w:rFonts w:hint="eastAsia"/>
          <w:lang w:eastAsia="zh-CN"/>
        </w:rPr>
      </w:pPr>
      <w:bookmarkStart w:id="92" w:name="_Toc18024"/>
      <w:bookmarkStart w:id="93" w:name="_Toc10743"/>
      <w:r>
        <w:rPr>
          <w:rFonts w:hint="eastAsia"/>
          <w:lang w:eastAsia="zh-CN"/>
        </w:rPr>
        <w:t>性能指标</w:t>
      </w:r>
      <w:bookmarkEnd w:id="92"/>
      <w:bookmarkEnd w:id="93"/>
    </w:p>
    <w:p w14:paraId="64E91B8E">
      <w:pPr>
        <w:pStyle w:val="109"/>
        <w:spacing w:before="120" w:after="120"/>
        <w:rPr>
          <w:rFonts w:hint="eastAsia"/>
          <w:lang w:val="en-US" w:eastAsia="zh-CN"/>
        </w:rPr>
      </w:pPr>
      <w:bookmarkStart w:id="94" w:name="_Toc1239"/>
      <w:r>
        <w:rPr>
          <w:rFonts w:hint="eastAsia"/>
          <w:lang w:val="en-US" w:eastAsia="zh-CN"/>
        </w:rPr>
        <w:t>基本检测范围的性能指标</w:t>
      </w:r>
      <w:bookmarkEnd w:id="94"/>
    </w:p>
    <w:p w14:paraId="1A3E8756">
      <w:pPr>
        <w:pStyle w:val="252"/>
        <w:bidi w:val="0"/>
        <w:rPr>
          <w:rFonts w:hint="eastAsia" w:hAnsi="宋体" w:cs="Times New Roman"/>
          <w:lang w:val="en-US" w:eastAsia="zh-CN"/>
        </w:rPr>
      </w:pPr>
      <w:r>
        <w:rPr>
          <w:rFonts w:hint="eastAsia" w:hAnsi="宋体" w:cs="Times New Roman"/>
          <w:lang w:val="en-US" w:eastAsia="zh-CN"/>
        </w:rPr>
        <w:t>在化学需氧量（COD</w:t>
      </w:r>
      <w:r>
        <w:rPr>
          <w:rFonts w:hint="eastAsia" w:hAnsi="宋体" w:cs="Times New Roman"/>
          <w:vertAlign w:val="subscript"/>
          <w:lang w:val="en-US" w:eastAsia="zh-CN"/>
        </w:rPr>
        <w:t>Cr</w:t>
      </w:r>
      <w:r>
        <w:rPr>
          <w:rFonts w:hint="eastAsia" w:hAnsi="宋体" w:cs="Times New Roman"/>
          <w:lang w:val="en-US" w:eastAsia="zh-CN"/>
        </w:rPr>
        <w:t>）浓度值为15mg/L～200mg/L的基本检测范围内，按照本标准规定的方法进行试验，化学需氧量（COD</w:t>
      </w:r>
      <w:r>
        <w:rPr>
          <w:rFonts w:hint="eastAsia" w:hAnsi="宋体" w:cs="Times New Roman"/>
          <w:vertAlign w:val="subscript"/>
          <w:lang w:val="en-US" w:eastAsia="zh-CN"/>
        </w:rPr>
        <w:t>Cr</w:t>
      </w:r>
      <w:r>
        <w:rPr>
          <w:rFonts w:hint="eastAsia" w:hAnsi="宋体" w:cs="Times New Roman"/>
          <w:lang w:val="en-US" w:eastAsia="zh-CN"/>
        </w:rPr>
        <w:t>）水质在线自动监测仪性能必须满足表1的要求。</w:t>
      </w:r>
    </w:p>
    <w:p w14:paraId="1C143F37">
      <w:pPr>
        <w:pStyle w:val="261"/>
        <w:bidi w:val="0"/>
        <w:rPr>
          <w:rFonts w:hint="eastAsia"/>
        </w:rPr>
      </w:pPr>
      <w:r>
        <w:rPr>
          <w:rFonts w:hint="eastAsia"/>
        </w:rPr>
        <w:t>化学需氧量(</w:t>
      </w:r>
      <w:r>
        <w:rPr>
          <w:rFonts w:hint="eastAsia"/>
          <w:lang w:eastAsia="zh-CN"/>
        </w:rPr>
        <w:t>COD</w:t>
      </w:r>
      <w:r>
        <w:rPr>
          <w:rFonts w:hint="eastAsia"/>
          <w:vertAlign w:val="subscript"/>
          <w:lang w:eastAsia="zh-CN"/>
        </w:rPr>
        <w:t>Cr</w:t>
      </w:r>
      <w:r>
        <w:rPr>
          <w:rFonts w:hint="eastAsia"/>
        </w:rPr>
        <w:t>)水质在线自动监测仪基本检测范围性能指标</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16C4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785" w:type="dxa"/>
            <w:noWrap w:val="0"/>
            <w:vAlign w:val="center"/>
          </w:tcPr>
          <w:p w14:paraId="29AC129B">
            <w:pPr>
              <w:pStyle w:val="262"/>
              <w:bidi w:val="0"/>
              <w:jc w:val="center"/>
              <w:rPr>
                <w:rFonts w:hint="eastAsia"/>
              </w:rPr>
            </w:pPr>
            <w:r>
              <w:t>指标名称</w:t>
            </w:r>
          </w:p>
        </w:tc>
        <w:tc>
          <w:tcPr>
            <w:tcW w:w="4785" w:type="dxa"/>
            <w:noWrap w:val="0"/>
            <w:vAlign w:val="center"/>
          </w:tcPr>
          <w:p w14:paraId="771AEBBF">
            <w:pPr>
              <w:pStyle w:val="262"/>
              <w:bidi w:val="0"/>
              <w:jc w:val="center"/>
              <w:rPr>
                <w:rFonts w:hint="eastAsia"/>
              </w:rPr>
            </w:pPr>
            <w:r>
              <w:t>性能要求</w:t>
            </w:r>
          </w:p>
        </w:tc>
      </w:tr>
      <w:tr w14:paraId="1E91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40EA7073">
            <w:pPr>
              <w:pStyle w:val="263"/>
              <w:bidi w:val="0"/>
              <w:jc w:val="center"/>
              <w:rPr>
                <w:rFonts w:hint="eastAsia"/>
              </w:rPr>
            </w:pPr>
            <w:r>
              <w:t>示值误差</w:t>
            </w:r>
          </w:p>
        </w:tc>
        <w:tc>
          <w:tcPr>
            <w:tcW w:w="4785" w:type="dxa"/>
            <w:noWrap w:val="0"/>
            <w:vAlign w:val="center"/>
          </w:tcPr>
          <w:p w14:paraId="5C77DD68">
            <w:pPr>
              <w:pStyle w:val="263"/>
              <w:bidi w:val="0"/>
              <w:jc w:val="center"/>
            </w:pPr>
            <w:r>
              <w:rPr>
                <w:rFonts w:hint="eastAsia"/>
                <w:lang w:eastAsia="zh-CN"/>
              </w:rPr>
              <w:t>COD</w:t>
            </w:r>
            <w:r>
              <w:rPr>
                <w:rFonts w:hint="eastAsia"/>
                <w:vertAlign w:val="subscript"/>
                <w:lang w:eastAsia="zh-CN"/>
              </w:rPr>
              <w:t>Cr</w:t>
            </w:r>
            <w:r>
              <w:rPr>
                <w:rFonts w:hint="eastAsia"/>
              </w:rPr>
              <w:t>≤</w:t>
            </w:r>
            <w:r>
              <w:rPr>
                <w:rFonts w:hint="eastAsia"/>
                <w:lang w:val="en-US" w:eastAsia="zh-CN"/>
              </w:rPr>
              <w:t>4</w:t>
            </w:r>
            <w:r>
              <w:t>0mg/L：±10%；</w:t>
            </w:r>
          </w:p>
          <w:p w14:paraId="5EC684E0">
            <w:pPr>
              <w:pStyle w:val="263"/>
              <w:bidi w:val="0"/>
              <w:jc w:val="center"/>
            </w:pPr>
            <w:r>
              <w:rPr>
                <w:rFonts w:hint="eastAsia"/>
                <w:lang w:val="en-US" w:eastAsia="zh-CN"/>
              </w:rPr>
              <w:t>40</w:t>
            </w:r>
            <w:r>
              <w:t>mg/L</w:t>
            </w:r>
            <w:r>
              <w:rPr>
                <w:rFonts w:hint="eastAsia"/>
              </w:rPr>
              <w:t>＜</w:t>
            </w:r>
            <w:r>
              <w:rPr>
                <w:rFonts w:hint="eastAsia"/>
                <w:lang w:eastAsia="zh-CN"/>
              </w:rPr>
              <w:t>COD</w:t>
            </w:r>
            <w:r>
              <w:rPr>
                <w:rFonts w:hint="eastAsia"/>
                <w:vertAlign w:val="subscript"/>
                <w:lang w:eastAsia="zh-CN"/>
              </w:rPr>
              <w:t>Cr</w:t>
            </w:r>
            <w:r>
              <w:rPr>
                <w:rFonts w:hint="eastAsia"/>
              </w:rPr>
              <w:t>≤</w:t>
            </w:r>
            <w:r>
              <w:t>1</w:t>
            </w:r>
            <w:r>
              <w:rPr>
                <w:rFonts w:hint="eastAsia"/>
                <w:lang w:val="en-US" w:eastAsia="zh-CN"/>
              </w:rPr>
              <w:t>0</w:t>
            </w:r>
            <w:r>
              <w:t>0mg/L：±8%；</w:t>
            </w:r>
          </w:p>
          <w:p w14:paraId="20D7078B">
            <w:pPr>
              <w:pStyle w:val="263"/>
              <w:bidi w:val="0"/>
              <w:jc w:val="center"/>
              <w:rPr>
                <w:rFonts w:hint="eastAsia"/>
              </w:rPr>
            </w:pPr>
            <w:r>
              <w:t>1</w:t>
            </w:r>
            <w:r>
              <w:rPr>
                <w:rFonts w:hint="eastAsia"/>
                <w:lang w:val="en-US" w:eastAsia="zh-CN"/>
              </w:rPr>
              <w:t>0</w:t>
            </w:r>
            <w:r>
              <w:t>0mg/L</w:t>
            </w:r>
            <w:r>
              <w:rPr>
                <w:rFonts w:hint="eastAsia"/>
              </w:rPr>
              <w:t>＜</w:t>
            </w:r>
            <w:r>
              <w:rPr>
                <w:rFonts w:hint="eastAsia"/>
                <w:lang w:eastAsia="zh-CN"/>
              </w:rPr>
              <w:t>COD</w:t>
            </w:r>
            <w:r>
              <w:rPr>
                <w:rFonts w:hint="eastAsia"/>
                <w:vertAlign w:val="subscript"/>
                <w:lang w:eastAsia="zh-CN"/>
              </w:rPr>
              <w:t>Cr</w:t>
            </w:r>
            <w:r>
              <w:rPr>
                <w:rFonts w:hint="eastAsia"/>
              </w:rPr>
              <w:t>≤</w:t>
            </w:r>
            <w:r>
              <w:rPr>
                <w:rFonts w:hint="eastAsia"/>
                <w:lang w:val="en-US" w:eastAsia="zh-CN"/>
              </w:rPr>
              <w:t>16</w:t>
            </w:r>
            <w:r>
              <w:t>0mg/L：±5%</w:t>
            </w:r>
          </w:p>
        </w:tc>
      </w:tr>
      <w:tr w14:paraId="2343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035A89C8">
            <w:pPr>
              <w:pStyle w:val="263"/>
              <w:bidi w:val="0"/>
              <w:jc w:val="center"/>
              <w:rPr>
                <w:rFonts w:hint="eastAsia"/>
              </w:rPr>
            </w:pPr>
            <w:r>
              <w:rPr>
                <w:rFonts w:hint="eastAsia"/>
              </w:rPr>
              <w:t>定量下限</w:t>
            </w:r>
          </w:p>
        </w:tc>
        <w:tc>
          <w:tcPr>
            <w:tcW w:w="4785" w:type="dxa"/>
            <w:noWrap w:val="0"/>
            <w:vAlign w:val="center"/>
          </w:tcPr>
          <w:p w14:paraId="6E5B7975">
            <w:pPr>
              <w:pStyle w:val="263"/>
              <w:bidi w:val="0"/>
              <w:jc w:val="center"/>
              <w:rPr>
                <w:rFonts w:hint="eastAsia"/>
              </w:rPr>
            </w:pPr>
            <w:r>
              <w:rPr>
                <w:rFonts w:hint="eastAsia"/>
              </w:rPr>
              <w:t>≤15mg/L（示值误差≤±30%）</w:t>
            </w:r>
          </w:p>
        </w:tc>
      </w:tr>
      <w:tr w14:paraId="61CA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39FBF3EE">
            <w:pPr>
              <w:pStyle w:val="263"/>
              <w:bidi w:val="0"/>
              <w:jc w:val="center"/>
              <w:rPr>
                <w:rFonts w:hint="eastAsia"/>
              </w:rPr>
            </w:pPr>
            <w:r>
              <w:rPr>
                <w:rFonts w:hint="eastAsia"/>
              </w:rPr>
              <w:t>重复性</w:t>
            </w:r>
          </w:p>
        </w:tc>
        <w:tc>
          <w:tcPr>
            <w:tcW w:w="4785" w:type="dxa"/>
            <w:noWrap w:val="0"/>
            <w:vAlign w:val="center"/>
          </w:tcPr>
          <w:p w14:paraId="07130662">
            <w:pPr>
              <w:pStyle w:val="263"/>
              <w:bidi w:val="0"/>
              <w:jc w:val="center"/>
              <w:rPr>
                <w:rFonts w:hint="eastAsia"/>
              </w:rPr>
            </w:pPr>
            <w:r>
              <w:rPr>
                <w:rFonts w:hint="eastAsia"/>
              </w:rPr>
              <w:t>≤5%（相对标准偏差）</w:t>
            </w:r>
          </w:p>
        </w:tc>
      </w:tr>
      <w:tr w14:paraId="5B02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23C3EA46">
            <w:pPr>
              <w:pStyle w:val="263"/>
              <w:bidi w:val="0"/>
              <w:jc w:val="center"/>
              <w:rPr>
                <w:rFonts w:hint="eastAsia"/>
              </w:rPr>
            </w:pPr>
            <w:r>
              <w:rPr>
                <w:rFonts w:hint="eastAsia"/>
              </w:rPr>
              <w:t>24h低浓度漂移</w:t>
            </w:r>
          </w:p>
        </w:tc>
        <w:tc>
          <w:tcPr>
            <w:tcW w:w="4785" w:type="dxa"/>
            <w:noWrap w:val="0"/>
            <w:vAlign w:val="center"/>
          </w:tcPr>
          <w:p w14:paraId="679A9623">
            <w:pPr>
              <w:pStyle w:val="263"/>
              <w:bidi w:val="0"/>
              <w:jc w:val="center"/>
              <w:rPr>
                <w:rFonts w:hint="eastAsia"/>
              </w:rPr>
            </w:pPr>
            <w:r>
              <w:rPr>
                <w:rFonts w:hint="eastAsia"/>
              </w:rPr>
              <w:t>≤±5mg/L</w:t>
            </w:r>
          </w:p>
        </w:tc>
      </w:tr>
      <w:tr w14:paraId="19AB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1F6CBA7E">
            <w:pPr>
              <w:pStyle w:val="263"/>
              <w:bidi w:val="0"/>
              <w:jc w:val="center"/>
              <w:rPr>
                <w:rFonts w:hint="eastAsia"/>
              </w:rPr>
            </w:pPr>
            <w:r>
              <w:rPr>
                <w:rFonts w:hint="eastAsia"/>
              </w:rPr>
              <w:t>24h高浓度漂移</w:t>
            </w:r>
          </w:p>
        </w:tc>
        <w:tc>
          <w:tcPr>
            <w:tcW w:w="4785" w:type="dxa"/>
            <w:noWrap w:val="0"/>
            <w:vAlign w:val="center"/>
          </w:tcPr>
          <w:p w14:paraId="0B245773">
            <w:pPr>
              <w:pStyle w:val="263"/>
              <w:bidi w:val="0"/>
              <w:jc w:val="center"/>
              <w:rPr>
                <w:rFonts w:hint="eastAsia"/>
              </w:rPr>
            </w:pPr>
            <w:r>
              <w:rPr>
                <w:rFonts w:hint="eastAsia"/>
              </w:rPr>
              <w:t>≤5%</w:t>
            </w:r>
          </w:p>
        </w:tc>
      </w:tr>
      <w:tr w14:paraId="4781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2B576273">
            <w:pPr>
              <w:pStyle w:val="263"/>
              <w:bidi w:val="0"/>
              <w:jc w:val="center"/>
              <w:rPr>
                <w:rFonts w:hint="eastAsia"/>
              </w:rPr>
            </w:pPr>
            <w:r>
              <w:rPr>
                <w:rFonts w:hint="eastAsia"/>
              </w:rPr>
              <w:t>记忆效应</w:t>
            </w:r>
          </w:p>
        </w:tc>
        <w:tc>
          <w:tcPr>
            <w:tcW w:w="4785" w:type="dxa"/>
            <w:noWrap w:val="0"/>
            <w:vAlign w:val="center"/>
          </w:tcPr>
          <w:p w14:paraId="50F3CEC2">
            <w:pPr>
              <w:pStyle w:val="263"/>
              <w:bidi w:val="0"/>
              <w:jc w:val="center"/>
              <w:rPr>
                <w:rFonts w:hint="eastAsia"/>
              </w:rPr>
            </w:pPr>
            <w:r>
              <w:rPr>
                <w:rFonts w:hint="eastAsia"/>
              </w:rPr>
              <w:t>≤±5mg/L</w:t>
            </w:r>
          </w:p>
        </w:tc>
      </w:tr>
      <w:tr w14:paraId="42CB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6A22CBB5">
            <w:pPr>
              <w:pStyle w:val="263"/>
              <w:bidi w:val="0"/>
              <w:jc w:val="center"/>
              <w:rPr>
                <w:rFonts w:hint="eastAsia"/>
              </w:rPr>
            </w:pPr>
            <w:r>
              <w:rPr>
                <w:rFonts w:hint="eastAsia"/>
              </w:rPr>
              <w:t>电压影响</w:t>
            </w:r>
          </w:p>
        </w:tc>
        <w:tc>
          <w:tcPr>
            <w:tcW w:w="4785" w:type="dxa"/>
            <w:noWrap w:val="0"/>
            <w:vAlign w:val="center"/>
          </w:tcPr>
          <w:p w14:paraId="588F1D24">
            <w:pPr>
              <w:pStyle w:val="263"/>
              <w:bidi w:val="0"/>
              <w:jc w:val="center"/>
              <w:rPr>
                <w:rFonts w:hint="eastAsia"/>
              </w:rPr>
            </w:pPr>
            <w:r>
              <w:rPr>
                <w:rFonts w:hint="eastAsia"/>
              </w:rPr>
              <w:t>≤±5%</w:t>
            </w:r>
          </w:p>
        </w:tc>
      </w:tr>
      <w:tr w14:paraId="2FCF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85" w:type="dxa"/>
            <w:noWrap w:val="0"/>
            <w:vAlign w:val="center"/>
          </w:tcPr>
          <w:p w14:paraId="426707DF">
            <w:pPr>
              <w:pStyle w:val="263"/>
              <w:bidi w:val="0"/>
              <w:jc w:val="center"/>
              <w:rPr>
                <w:rFonts w:hint="eastAsia"/>
              </w:rPr>
            </w:pPr>
            <w:r>
              <w:rPr>
                <w:rFonts w:hint="eastAsia"/>
              </w:rPr>
              <w:t>氯离子影响</w:t>
            </w:r>
          </w:p>
        </w:tc>
        <w:tc>
          <w:tcPr>
            <w:tcW w:w="4785" w:type="dxa"/>
            <w:noWrap w:val="0"/>
            <w:vAlign w:val="center"/>
          </w:tcPr>
          <w:p w14:paraId="000B1B9A">
            <w:pPr>
              <w:pStyle w:val="263"/>
              <w:bidi w:val="0"/>
              <w:jc w:val="center"/>
              <w:rPr>
                <w:rFonts w:hint="eastAsia"/>
              </w:rPr>
            </w:pPr>
            <w:r>
              <w:rPr>
                <w:rFonts w:hint="eastAsia"/>
              </w:rPr>
              <w:t>≤±10%（ρ(Cl</w:t>
            </w:r>
            <w:r>
              <w:rPr>
                <w:rFonts w:hint="eastAsia" w:hAnsi="宋体" w:cs="Times New Roman"/>
                <w:highlight w:val="none"/>
                <w:vertAlign w:val="superscript"/>
                <w:lang w:val="en-US" w:eastAsia="zh-CN"/>
              </w:rPr>
              <w:t>-</w:t>
            </w:r>
            <w:r>
              <w:rPr>
                <w:rFonts w:hint="eastAsia"/>
              </w:rPr>
              <w:t>)=</w:t>
            </w:r>
            <w:r>
              <w:rPr>
                <w:rFonts w:hint="eastAsia"/>
                <w:lang w:val="en-US" w:eastAsia="zh-CN"/>
              </w:rPr>
              <w:t>1</w:t>
            </w:r>
            <w:r>
              <w:rPr>
                <w:rFonts w:hint="eastAsia"/>
              </w:rPr>
              <w:t>000mg/L）</w:t>
            </w:r>
          </w:p>
        </w:tc>
      </w:tr>
      <w:tr w14:paraId="3C0B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15942C76">
            <w:pPr>
              <w:pStyle w:val="263"/>
              <w:bidi w:val="0"/>
              <w:jc w:val="center"/>
              <w:rPr>
                <w:rFonts w:hint="eastAsia"/>
              </w:rPr>
            </w:pPr>
            <w:r>
              <w:rPr>
                <w:rFonts w:hint="eastAsia"/>
              </w:rPr>
              <w:t>环境温度影响</w:t>
            </w:r>
          </w:p>
        </w:tc>
        <w:tc>
          <w:tcPr>
            <w:tcW w:w="4785" w:type="dxa"/>
            <w:noWrap w:val="0"/>
            <w:vAlign w:val="center"/>
          </w:tcPr>
          <w:p w14:paraId="61289E35">
            <w:pPr>
              <w:pStyle w:val="263"/>
              <w:bidi w:val="0"/>
              <w:jc w:val="center"/>
              <w:rPr>
                <w:rFonts w:hint="eastAsia"/>
              </w:rPr>
            </w:pPr>
            <w:r>
              <w:rPr>
                <w:rFonts w:hint="eastAsia"/>
              </w:rPr>
              <w:t>≤±5%</w:t>
            </w:r>
          </w:p>
        </w:tc>
      </w:tr>
      <w:tr w14:paraId="14A5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0F0D1BBF">
            <w:pPr>
              <w:pStyle w:val="263"/>
              <w:bidi w:val="0"/>
              <w:jc w:val="center"/>
              <w:rPr>
                <w:rFonts w:hint="eastAsia"/>
              </w:rPr>
            </w:pPr>
            <w:r>
              <w:rPr>
                <w:rFonts w:hint="eastAsia"/>
              </w:rPr>
              <w:t>实际样品比对</w:t>
            </w:r>
          </w:p>
        </w:tc>
        <w:tc>
          <w:tcPr>
            <w:tcW w:w="4785" w:type="dxa"/>
            <w:noWrap w:val="0"/>
            <w:vAlign w:val="center"/>
          </w:tcPr>
          <w:p w14:paraId="03A4CA32">
            <w:pPr>
              <w:pStyle w:val="263"/>
              <w:bidi w:val="0"/>
              <w:jc w:val="center"/>
              <w:rPr>
                <w:rFonts w:hint="eastAsia"/>
              </w:rPr>
            </w:pPr>
            <w:r>
              <w:rPr>
                <w:rFonts w:hint="eastAsia"/>
                <w:lang w:eastAsia="zh-CN"/>
              </w:rPr>
              <w:t>COD</w:t>
            </w:r>
            <w:r>
              <w:rPr>
                <w:rFonts w:hint="eastAsia"/>
                <w:vertAlign w:val="subscript"/>
                <w:lang w:eastAsia="zh-CN"/>
              </w:rPr>
              <w:t>Cr</w:t>
            </w:r>
            <w:r>
              <w:rPr>
                <w:rFonts w:hint="eastAsia"/>
              </w:rPr>
              <w:t>＜50mg/L：≤±5mg/L；</w:t>
            </w:r>
          </w:p>
          <w:p w14:paraId="2D24908E">
            <w:pPr>
              <w:pStyle w:val="263"/>
              <w:bidi w:val="0"/>
              <w:jc w:val="center"/>
              <w:rPr>
                <w:rFonts w:hint="eastAsia"/>
              </w:rPr>
            </w:pPr>
            <w:r>
              <w:rPr>
                <w:rFonts w:hint="eastAsia"/>
                <w:lang w:eastAsia="zh-CN"/>
              </w:rPr>
              <w:t>COD</w:t>
            </w:r>
            <w:r>
              <w:rPr>
                <w:rFonts w:hint="eastAsia"/>
                <w:vertAlign w:val="subscript"/>
                <w:lang w:eastAsia="zh-CN"/>
              </w:rPr>
              <w:t>Cr</w:t>
            </w:r>
            <w:r>
              <w:rPr>
                <w:rFonts w:hint="eastAsia"/>
              </w:rPr>
              <w:t>≥50mg/L：≤±10%</w:t>
            </w:r>
          </w:p>
        </w:tc>
      </w:tr>
      <w:tr w14:paraId="29E4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758B08EF">
            <w:pPr>
              <w:pStyle w:val="263"/>
              <w:bidi w:val="0"/>
              <w:jc w:val="center"/>
              <w:rPr>
                <w:rFonts w:hint="eastAsia"/>
              </w:rPr>
            </w:pPr>
            <w:r>
              <w:rPr>
                <w:rFonts w:hint="eastAsia"/>
              </w:rPr>
              <w:t>最小维护周期</w:t>
            </w:r>
          </w:p>
        </w:tc>
        <w:tc>
          <w:tcPr>
            <w:tcW w:w="4785" w:type="dxa"/>
            <w:noWrap w:val="0"/>
            <w:vAlign w:val="center"/>
          </w:tcPr>
          <w:p w14:paraId="289989F4">
            <w:pPr>
              <w:pStyle w:val="263"/>
              <w:bidi w:val="0"/>
              <w:jc w:val="center"/>
              <w:rPr>
                <w:rFonts w:hint="eastAsia"/>
              </w:rPr>
            </w:pPr>
            <w:r>
              <w:rPr>
                <w:rFonts w:hint="eastAsia"/>
              </w:rPr>
              <w:t>≥168h</w:t>
            </w:r>
          </w:p>
        </w:tc>
      </w:tr>
      <w:tr w14:paraId="47B7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08DD4EA5">
            <w:pPr>
              <w:pStyle w:val="263"/>
              <w:bidi w:val="0"/>
              <w:jc w:val="center"/>
              <w:rPr>
                <w:rFonts w:hint="eastAsia"/>
              </w:rPr>
            </w:pPr>
            <w:r>
              <w:rPr>
                <w:rFonts w:hint="eastAsia"/>
              </w:rPr>
              <w:t>有效数据率</w:t>
            </w:r>
          </w:p>
        </w:tc>
        <w:tc>
          <w:tcPr>
            <w:tcW w:w="4785" w:type="dxa"/>
            <w:noWrap w:val="0"/>
            <w:vAlign w:val="center"/>
          </w:tcPr>
          <w:p w14:paraId="62954B0F">
            <w:pPr>
              <w:pStyle w:val="263"/>
              <w:bidi w:val="0"/>
              <w:jc w:val="center"/>
              <w:rPr>
                <w:rFonts w:hint="eastAsia"/>
              </w:rPr>
            </w:pPr>
            <w:r>
              <w:rPr>
                <w:rFonts w:hint="eastAsia"/>
              </w:rPr>
              <w:t>≥90%</w:t>
            </w:r>
          </w:p>
        </w:tc>
      </w:tr>
      <w:tr w14:paraId="5443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center"/>
          </w:tcPr>
          <w:p w14:paraId="7CCB343A">
            <w:pPr>
              <w:pStyle w:val="263"/>
              <w:bidi w:val="0"/>
              <w:jc w:val="center"/>
              <w:rPr>
                <w:rFonts w:hint="eastAsia"/>
              </w:rPr>
            </w:pPr>
            <w:r>
              <w:rPr>
                <w:rFonts w:hint="eastAsia"/>
              </w:rPr>
              <w:t>一致性</w:t>
            </w:r>
          </w:p>
        </w:tc>
        <w:tc>
          <w:tcPr>
            <w:tcW w:w="4785" w:type="dxa"/>
            <w:noWrap w:val="0"/>
            <w:vAlign w:val="center"/>
          </w:tcPr>
          <w:p w14:paraId="5A12DCD9">
            <w:pPr>
              <w:pStyle w:val="263"/>
              <w:bidi w:val="0"/>
              <w:jc w:val="center"/>
              <w:rPr>
                <w:rFonts w:hint="eastAsia"/>
              </w:rPr>
            </w:pPr>
            <w:r>
              <w:rPr>
                <w:rFonts w:hint="eastAsia"/>
              </w:rPr>
              <w:t>≥90%</w:t>
            </w:r>
          </w:p>
        </w:tc>
      </w:tr>
    </w:tbl>
    <w:p w14:paraId="0775E0F8">
      <w:pPr>
        <w:pStyle w:val="108"/>
        <w:numPr>
          <w:ilvl w:val="1"/>
          <w:numId w:val="0"/>
        </w:numPr>
        <w:spacing w:before="240" w:after="240"/>
        <w:ind w:leftChars="0"/>
        <w:rPr>
          <w:b/>
        </w:rPr>
      </w:pPr>
    </w:p>
    <w:p w14:paraId="76ED6563">
      <w:pPr>
        <w:pStyle w:val="109"/>
        <w:spacing w:before="120" w:after="120"/>
        <w:rPr>
          <w:rFonts w:hint="eastAsia"/>
          <w:lang w:val="en-US" w:eastAsia="zh-CN"/>
        </w:rPr>
      </w:pPr>
      <w:bookmarkStart w:id="95" w:name="_Toc25330"/>
      <w:r>
        <w:rPr>
          <w:rFonts w:hint="eastAsia"/>
          <w:lang w:val="en-US" w:eastAsia="zh-CN"/>
        </w:rPr>
        <w:t>扩展检测范围的性能指标</w:t>
      </w:r>
      <w:bookmarkEnd w:id="95"/>
    </w:p>
    <w:p w14:paraId="05A49D23">
      <w:pPr>
        <w:pStyle w:val="252"/>
        <w:bidi w:val="0"/>
        <w:rPr>
          <w:rFonts w:hint="eastAsia"/>
          <w:lang w:val="en-US" w:eastAsia="zh-CN"/>
        </w:rPr>
      </w:pPr>
      <w:r>
        <w:rPr>
          <w:rFonts w:hint="eastAsia"/>
          <w:lang w:val="en-US" w:eastAsia="zh-CN"/>
        </w:rPr>
        <w:t>在满足表1的标准下，在化学需氧量（CODCr）浓度值为200mg/L～2000mg/L的扩展检测范围内，按照本标准规定的方法进行试验时，化学需氧量(CODCr)水质在线自动监测仪性能必须满足表2的要求。</w:t>
      </w:r>
    </w:p>
    <w:p w14:paraId="257824F0">
      <w:pPr>
        <w:pStyle w:val="261"/>
        <w:bidi w:val="0"/>
        <w:rPr>
          <w:rFonts w:hint="eastAsia"/>
        </w:rPr>
      </w:pPr>
      <w:r>
        <w:rPr>
          <w:rFonts w:hint="eastAsia"/>
        </w:rPr>
        <w:t>化学需氧量(</w:t>
      </w:r>
      <w:r>
        <w:rPr>
          <w:rFonts w:hint="eastAsia"/>
          <w:lang w:eastAsia="zh-CN"/>
        </w:rPr>
        <w:t>COD</w:t>
      </w:r>
      <w:r>
        <w:rPr>
          <w:rFonts w:hint="eastAsia"/>
          <w:vertAlign w:val="subscript"/>
          <w:lang w:eastAsia="zh-CN"/>
        </w:rPr>
        <w:t>Cr</w:t>
      </w:r>
      <w:r>
        <w:rPr>
          <w:rFonts w:hint="eastAsia"/>
        </w:rPr>
        <w:t>)水质在线自动监测仪</w:t>
      </w:r>
      <w:r>
        <w:rPr>
          <w:rFonts w:hint="eastAsia"/>
          <w:lang w:val="en-US" w:eastAsia="zh-CN"/>
        </w:rPr>
        <w:t>扩展</w:t>
      </w:r>
      <w:r>
        <w:rPr>
          <w:rFonts w:hint="eastAsia"/>
        </w:rPr>
        <w:t>检测范围性能指标</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2BBAFE00">
        <w:tblPrEx>
          <w:tblCellMar>
            <w:top w:w="0" w:type="dxa"/>
            <w:left w:w="108" w:type="dxa"/>
            <w:bottom w:w="0" w:type="dxa"/>
            <w:right w:w="108" w:type="dxa"/>
          </w:tblCellMar>
        </w:tblPrEx>
        <w:tc>
          <w:tcPr>
            <w:tcW w:w="4785" w:type="dxa"/>
            <w:noWrap w:val="0"/>
            <w:vAlign w:val="top"/>
          </w:tcPr>
          <w:p w14:paraId="6B4DA815">
            <w:pPr>
              <w:pStyle w:val="262"/>
              <w:bidi w:val="0"/>
              <w:rPr>
                <w:rFonts w:hint="eastAsia"/>
                <w:lang w:val="en-US" w:eastAsia="zh-CN"/>
              </w:rPr>
            </w:pPr>
            <w:r>
              <w:t>指标名称</w:t>
            </w:r>
          </w:p>
        </w:tc>
        <w:tc>
          <w:tcPr>
            <w:tcW w:w="4785" w:type="dxa"/>
            <w:noWrap w:val="0"/>
            <w:vAlign w:val="top"/>
          </w:tcPr>
          <w:p w14:paraId="1AA30071">
            <w:pPr>
              <w:pStyle w:val="262"/>
              <w:bidi w:val="0"/>
              <w:rPr>
                <w:rFonts w:hint="eastAsia"/>
                <w:lang w:val="en-US" w:eastAsia="zh-CN"/>
              </w:rPr>
            </w:pPr>
            <w:r>
              <w:t>性能要求</w:t>
            </w:r>
          </w:p>
        </w:tc>
      </w:tr>
      <w:tr w14:paraId="74F1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051EB584">
            <w:pPr>
              <w:pStyle w:val="263"/>
              <w:bidi w:val="0"/>
              <w:rPr>
                <w:rFonts w:hint="eastAsia"/>
              </w:rPr>
            </w:pPr>
            <w:r>
              <w:rPr>
                <w:rFonts w:hint="eastAsia"/>
              </w:rPr>
              <w:t>示值误差</w:t>
            </w:r>
          </w:p>
        </w:tc>
        <w:tc>
          <w:tcPr>
            <w:tcW w:w="4785" w:type="dxa"/>
            <w:noWrap w:val="0"/>
            <w:vAlign w:val="top"/>
          </w:tcPr>
          <w:p w14:paraId="3BA296E7">
            <w:pPr>
              <w:pStyle w:val="263"/>
              <w:bidi w:val="0"/>
              <w:rPr>
                <w:rFonts w:hint="eastAsia"/>
              </w:rPr>
            </w:pPr>
            <w:r>
              <w:rPr>
                <w:rFonts w:hint="eastAsia"/>
              </w:rPr>
              <w:t>≤±3%</w:t>
            </w:r>
          </w:p>
        </w:tc>
      </w:tr>
      <w:tr w14:paraId="6AB6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3148BCD9">
            <w:pPr>
              <w:pStyle w:val="263"/>
              <w:bidi w:val="0"/>
              <w:rPr>
                <w:rFonts w:hint="eastAsia"/>
              </w:rPr>
            </w:pPr>
            <w:r>
              <w:rPr>
                <w:rFonts w:hint="eastAsia"/>
              </w:rPr>
              <w:t>重复性</w:t>
            </w:r>
          </w:p>
        </w:tc>
        <w:tc>
          <w:tcPr>
            <w:tcW w:w="4785" w:type="dxa"/>
            <w:noWrap w:val="0"/>
            <w:vAlign w:val="top"/>
          </w:tcPr>
          <w:p w14:paraId="400A00F4">
            <w:pPr>
              <w:pStyle w:val="263"/>
              <w:bidi w:val="0"/>
              <w:rPr>
                <w:rFonts w:hint="eastAsia"/>
              </w:rPr>
            </w:pPr>
            <w:r>
              <w:rPr>
                <w:rFonts w:hint="eastAsia"/>
              </w:rPr>
              <w:t>≤5%</w:t>
            </w:r>
          </w:p>
        </w:tc>
      </w:tr>
      <w:tr w14:paraId="3BC991AD">
        <w:tblPrEx>
          <w:tblCellMar>
            <w:top w:w="0" w:type="dxa"/>
            <w:left w:w="108" w:type="dxa"/>
            <w:bottom w:w="0" w:type="dxa"/>
            <w:right w:w="108" w:type="dxa"/>
          </w:tblCellMar>
        </w:tblPrEx>
        <w:tc>
          <w:tcPr>
            <w:tcW w:w="4785" w:type="dxa"/>
            <w:noWrap w:val="0"/>
            <w:vAlign w:val="top"/>
          </w:tcPr>
          <w:p w14:paraId="7478FC06">
            <w:pPr>
              <w:pStyle w:val="263"/>
              <w:bidi w:val="0"/>
              <w:rPr>
                <w:rFonts w:hint="eastAsia"/>
              </w:rPr>
            </w:pPr>
            <w:r>
              <w:rPr>
                <w:rFonts w:hint="eastAsia"/>
              </w:rPr>
              <w:t>24h高浓度漂移</w:t>
            </w:r>
          </w:p>
        </w:tc>
        <w:tc>
          <w:tcPr>
            <w:tcW w:w="4785" w:type="dxa"/>
            <w:noWrap w:val="0"/>
            <w:vAlign w:val="top"/>
          </w:tcPr>
          <w:p w14:paraId="244DA162">
            <w:pPr>
              <w:pStyle w:val="263"/>
              <w:bidi w:val="0"/>
              <w:rPr>
                <w:rFonts w:hint="eastAsia"/>
              </w:rPr>
            </w:pPr>
            <w:r>
              <w:rPr>
                <w:rFonts w:hint="eastAsia"/>
              </w:rPr>
              <w:t>≤3%</w:t>
            </w:r>
          </w:p>
        </w:tc>
      </w:tr>
    </w:tbl>
    <w:p w14:paraId="4974AC78">
      <w:pPr>
        <w:pStyle w:val="258"/>
        <w:numPr>
          <w:ilvl w:val="0"/>
          <w:numId w:val="0"/>
        </w:numPr>
        <w:ind w:leftChars="0"/>
        <w:jc w:val="both"/>
        <w:rPr>
          <w:rFonts w:hint="eastAsia"/>
        </w:rPr>
      </w:pPr>
    </w:p>
    <w:p w14:paraId="5ED19F9D">
      <w:pPr>
        <w:pStyle w:val="258"/>
        <w:numPr>
          <w:ilvl w:val="1"/>
          <w:numId w:val="0"/>
        </w:numPr>
        <w:ind w:leftChars="0" w:firstLine="420" w:firstLineChars="200"/>
        <w:jc w:val="both"/>
        <w:rPr>
          <w:rFonts w:hint="eastAsia"/>
        </w:rPr>
      </w:pPr>
      <w:r>
        <w:rPr>
          <w:rFonts w:hint="eastAsia"/>
        </w:rPr>
        <w:t>水基钻井液</w:t>
      </w:r>
      <w:r>
        <w:rPr>
          <w:rFonts w:hint="eastAsia"/>
          <w:lang w:eastAsia="zh-CN"/>
        </w:rPr>
        <w:t>COD</w:t>
      </w:r>
      <w:r>
        <w:rPr>
          <w:rFonts w:hint="eastAsia"/>
          <w:vertAlign w:val="subscript"/>
          <w:lang w:eastAsia="zh-CN"/>
        </w:rPr>
        <w:t>Cr</w:t>
      </w:r>
      <w:r>
        <w:rPr>
          <w:rFonts w:hint="eastAsia"/>
        </w:rPr>
        <w:t>在线检测仪器应满足HJ</w:t>
      </w:r>
      <w:r>
        <w:rPr>
          <w:rFonts w:hint="eastAsia"/>
          <w:lang w:val="en-US" w:eastAsia="zh-CN"/>
        </w:rPr>
        <w:t xml:space="preserve"> </w:t>
      </w:r>
      <w:r>
        <w:rPr>
          <w:rFonts w:hint="eastAsia"/>
        </w:rPr>
        <w:t>377的通用技术要求，同时适配钻井现场恶劣工况，具备防堵塞、抗振动、耐腐蚀特性；仪器所有显示界面</w:t>
      </w:r>
      <w:r>
        <w:rPr>
          <w:rFonts w:hint="eastAsia"/>
          <w:lang w:val="en-US" w:eastAsia="zh-CN"/>
        </w:rPr>
        <w:t>字符</w:t>
      </w:r>
      <w:r>
        <w:rPr>
          <w:rFonts w:hint="eastAsia"/>
        </w:rPr>
        <w:t>清晰，支持手动/自动操作切换，具备数据存储、远程传输、异常报警功能</w:t>
      </w:r>
      <w:r>
        <w:rPr>
          <w:rFonts w:hint="eastAsia"/>
          <w:lang w:eastAsia="zh-CN"/>
        </w:rPr>
        <w:t>。</w:t>
      </w:r>
    </w:p>
    <w:p w14:paraId="590EC1D3">
      <w:pPr>
        <w:pStyle w:val="109"/>
        <w:spacing w:before="120" w:after="120"/>
        <w:rPr>
          <w:rFonts w:hint="eastAsia"/>
          <w:lang w:val="en-US" w:eastAsia="zh-CN"/>
        </w:rPr>
      </w:pPr>
      <w:bookmarkStart w:id="96" w:name="_Toc31772"/>
      <w:r>
        <w:rPr>
          <w:rFonts w:hint="eastAsia"/>
          <w:lang w:val="en-US" w:eastAsia="zh-CN"/>
        </w:rPr>
        <w:t>基本检测范围的检测方法</w:t>
      </w:r>
      <w:bookmarkEnd w:id="96"/>
    </w:p>
    <w:p w14:paraId="3C1F8DCD">
      <w:pPr>
        <w:pStyle w:val="264"/>
        <w:numPr>
          <w:ilvl w:val="2"/>
          <w:numId w:val="0"/>
        </w:numPr>
        <w:bidi w:val="0"/>
        <w:ind w:leftChars="0"/>
        <w:rPr>
          <w:rFonts w:hint="eastAsia" w:ascii="黑体" w:hAnsi="黑体" w:eastAsia="黑体" w:cs="黑体"/>
          <w:spacing w:val="11"/>
          <w:sz w:val="20"/>
          <w:szCs w:val="20"/>
          <w:lang w:val="en-US" w:eastAsia="zh-CN"/>
        </w:rPr>
      </w:pPr>
      <w:r>
        <w:rPr>
          <w:rFonts w:hint="eastAsia" w:hAnsi="黑体" w:cs="黑体"/>
          <w:spacing w:val="11"/>
          <w:sz w:val="20"/>
          <w:szCs w:val="20"/>
          <w:lang w:val="en-US" w:eastAsia="zh-CN"/>
        </w:rPr>
        <w:t xml:space="preserve">9.3.1 </w:t>
      </w:r>
      <w:r>
        <w:rPr>
          <w:rFonts w:hint="eastAsia" w:ascii="黑体" w:hAnsi="黑体" w:eastAsia="黑体" w:cs="黑体"/>
          <w:spacing w:val="11"/>
          <w:sz w:val="20"/>
          <w:szCs w:val="20"/>
          <w:lang w:val="en-US" w:eastAsia="zh-CN"/>
        </w:rPr>
        <w:t>示值误差</w:t>
      </w:r>
    </w:p>
    <w:p w14:paraId="7C5B1712">
      <w:pPr>
        <w:pStyle w:val="252"/>
        <w:bidi w:val="0"/>
      </w:pPr>
      <w:r>
        <w:rPr>
          <w:rFonts w:hint="eastAsia"/>
          <w:lang w:val="en-US" w:eastAsia="zh-CN"/>
        </w:rPr>
        <w:t>仪器</w:t>
      </w:r>
      <w:r>
        <w:t>正常运行期间，分别测定化学需氧量（COD</w:t>
      </w:r>
      <w:r>
        <w:rPr>
          <w:vertAlign w:val="subscript"/>
        </w:rPr>
        <w:t>Cr</w:t>
      </w:r>
      <w:r>
        <w:t>）浓度值约为40mg/L、100mg/L、160mg/L的三种标准溶液，每种溶液连续测定n（n=6）次，n（n=6）次测定值的平均值相对于标准溶液的质量浓度值的相对误差。按公式（1）计算各次示值误差Re。</w:t>
      </w:r>
    </w:p>
    <w:p w14:paraId="4F1E50CA">
      <w:pPr>
        <w:spacing w:before="198" w:line="543" w:lineRule="exact"/>
        <w:ind w:left="0" w:leftChars="0" w:firstLine="0" w:firstLineChars="0"/>
        <w:jc w:val="right"/>
        <w:rPr>
          <w:rFonts w:hint="default" w:hAnsi="Cambria Math" w:eastAsia="宋体"/>
          <w:i w:val="0"/>
          <w:sz w:val="21"/>
          <w:lang w:val="en-US" w:eastAsia="zh-CN"/>
        </w:rPr>
      </w:pPr>
      <w:r>
        <w:rPr>
          <w:position w:val="-11"/>
        </w:rPr>
        <w:drawing>
          <wp:inline distT="0" distB="0" distL="0" distR="0">
            <wp:extent cx="3379470" cy="344805"/>
            <wp:effectExtent l="0" t="0" r="11430" b="1714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6"/>
                    <a:stretch>
                      <a:fillRect/>
                    </a:stretch>
                  </pic:blipFill>
                  <pic:spPr>
                    <a:xfrm>
                      <a:off x="0" y="0"/>
                      <a:ext cx="3379612" cy="345071"/>
                    </a:xfrm>
                    <a:prstGeom prst="rect">
                      <a:avLst/>
                    </a:prstGeom>
                  </pic:spPr>
                </pic:pic>
              </a:graphicData>
            </a:graphic>
          </wp:inline>
        </w:drawing>
      </w:r>
    </w:p>
    <w:p w14:paraId="1380870A">
      <w:pPr>
        <w:pStyle w:val="252"/>
        <w:bidi w:val="0"/>
        <w:rPr>
          <w:rFonts w:hint="eastAsia" w:hAnsi="宋体" w:cs="Times New Roman"/>
          <w:lang w:val="en-US" w:eastAsia="zh-CN"/>
        </w:rPr>
      </w:pPr>
      <w:r>
        <w:rPr>
          <w:rFonts w:hint="eastAsia" w:hAnsi="宋体" w:cs="Times New Roman"/>
          <w:lang w:val="en-US" w:eastAsia="zh-CN"/>
        </w:rPr>
        <w:t>式中：Re——示值误差，%；</w:t>
      </w:r>
    </w:p>
    <w:p w14:paraId="3BAE6791">
      <w:pPr>
        <w:pStyle w:val="252"/>
        <w:bidi w:val="0"/>
        <w:rPr>
          <w:rFonts w:hint="eastAsia" w:hAnsi="宋体" w:cs="Times New Roman"/>
          <w:lang w:val="en-US" w:eastAsia="zh-CN"/>
        </w:rPr>
      </w:pPr>
      <w:r>
        <w:rPr>
          <w:rFonts w:hint="eastAsia" w:hAnsi="宋体" w:cs="Times New Roman"/>
          <w:lang w:val="en-US" w:eastAsia="zh-CN"/>
        </w:rPr>
        <w:sym w:font="Symbol" w:char="0060"/>
      </w:r>
      <w:r>
        <w:rPr>
          <w:rFonts w:hint="eastAsia" w:hAnsi="宋体" w:cs="Times New Roman"/>
          <w:lang w:val="en-US" w:eastAsia="zh-CN"/>
        </w:rPr>
        <w:t>x——每个浓度n次测量平均值，mg/L；</w:t>
      </w:r>
    </w:p>
    <w:p w14:paraId="7E7EB85E">
      <w:pPr>
        <w:pStyle w:val="252"/>
        <w:bidi w:val="0"/>
        <w:ind w:left="0" w:leftChars="0" w:firstLine="420" w:firstLineChars="200"/>
        <w:rPr>
          <w:rFonts w:hint="eastAsia" w:hAnsi="宋体" w:cs="Times New Roman"/>
          <w:lang w:val="en-US" w:eastAsia="zh-CN"/>
        </w:rPr>
      </w:pPr>
      <w:r>
        <w:rPr>
          <w:rFonts w:hint="eastAsia" w:hAnsi="宋体" w:cs="Times New Roman"/>
          <w:lang w:val="en-US" w:eastAsia="zh-CN"/>
        </w:rPr>
        <w:t>p——化学需氧量（COD</w:t>
      </w:r>
      <w:r>
        <w:rPr>
          <w:rFonts w:hint="eastAsia"/>
          <w:vertAlign w:val="subscript"/>
          <w:lang w:val="en-US" w:eastAsia="zh-CN"/>
        </w:rPr>
        <w:t>Cr</w:t>
      </w:r>
      <w:r>
        <w:rPr>
          <w:rFonts w:hint="eastAsia" w:hAnsi="宋体" w:cs="Times New Roman"/>
          <w:lang w:val="en-US" w:eastAsia="zh-CN"/>
        </w:rPr>
        <w:t>）标准溶液的质量浓度值，mg/L。</w:t>
      </w:r>
    </w:p>
    <w:p w14:paraId="4C43D8A3">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9.3.2 定量下限</w:t>
      </w:r>
    </w:p>
    <w:p w14:paraId="117691CB">
      <w:pPr>
        <w:pStyle w:val="252"/>
        <w:bidi w:val="0"/>
      </w:pPr>
      <w:r>
        <w:t>仪器正常运行期间，连续测定化学需氧量（COD</w:t>
      </w:r>
      <w:r>
        <w:rPr>
          <w:rFonts w:hint="eastAsia"/>
          <w:vertAlign w:val="subscript"/>
          <w:lang w:val="en-US" w:eastAsia="zh-CN"/>
        </w:rPr>
        <w:t>Cr</w:t>
      </w:r>
      <w:r>
        <w:t>）浓度值约为15mg/L的标准溶液n（n=7）次，按照公式（1）计算n（n=7）次测定值的示值误差Re，按照公式（2）计算n（n=7）次测定值的标准偏差S，按照公式（3）计算仪器的定量下限LOQ。</w:t>
      </w:r>
    </w:p>
    <w:p w14:paraId="58361EE5">
      <w:pPr>
        <w:pStyle w:val="265"/>
        <w:bidi w:val="0"/>
      </w:pPr>
      <w:r>
        <w:drawing>
          <wp:inline distT="0" distB="0" distL="0" distR="0">
            <wp:extent cx="3427730" cy="473075"/>
            <wp:effectExtent l="0" t="0" r="1270" b="3175"/>
            <wp:docPr id="10" name="IM 14"/>
            <wp:cNvGraphicFramePr/>
            <a:graphic xmlns:a="http://schemas.openxmlformats.org/drawingml/2006/main">
              <a:graphicData uri="http://schemas.openxmlformats.org/drawingml/2006/picture">
                <pic:pic xmlns:pic="http://schemas.openxmlformats.org/drawingml/2006/picture">
                  <pic:nvPicPr>
                    <pic:cNvPr id="10" name="IM 14"/>
                    <pic:cNvPicPr/>
                  </pic:nvPicPr>
                  <pic:blipFill>
                    <a:blip r:embed="rId17"/>
                    <a:stretch>
                      <a:fillRect/>
                    </a:stretch>
                  </pic:blipFill>
                  <pic:spPr>
                    <a:xfrm>
                      <a:off x="0" y="0"/>
                      <a:ext cx="3427730" cy="473075"/>
                    </a:xfrm>
                    <a:prstGeom prst="rect">
                      <a:avLst/>
                    </a:prstGeom>
                    <a:noFill/>
                    <a:ln>
                      <a:noFill/>
                    </a:ln>
                  </pic:spPr>
                </pic:pic>
              </a:graphicData>
            </a:graphic>
          </wp:inline>
        </w:drawing>
      </w:r>
    </w:p>
    <w:p w14:paraId="3EB14B3D">
      <w:pPr>
        <w:pStyle w:val="14"/>
        <w:spacing w:before="65" w:line="335" w:lineRule="exact"/>
        <w:ind w:right="21" w:firstLine="3360" w:firstLineChars="1600"/>
        <w:jc w:val="both"/>
        <w:rPr>
          <w:rFonts w:ascii="宋体" w:hAnsi="宋体" w:eastAsia="宋体" w:cs="宋体"/>
          <w:sz w:val="20"/>
          <w:szCs w:val="20"/>
        </w:rPr>
      </w:pPr>
      <w:r>
        <w:rPr>
          <w:rFonts w:ascii="Times New Roman" w:hAnsi="Times New Roman" w:eastAsia="Times New Roman" w:cs="Times New Roman"/>
          <w:i/>
          <w:iCs/>
          <w:position w:val="7"/>
        </w:rPr>
        <w:t>LOQ</w:t>
      </w:r>
      <w:r>
        <w:rPr>
          <w:spacing w:val="2"/>
          <w:position w:val="7"/>
        </w:rPr>
        <w:t>=</w:t>
      </w:r>
      <w:r>
        <w:rPr>
          <w:rFonts w:ascii="Times New Roman" w:hAnsi="Times New Roman" w:eastAsia="Times New Roman" w:cs="Times New Roman"/>
          <w:spacing w:val="2"/>
          <w:position w:val="7"/>
        </w:rPr>
        <w:t>10</w:t>
      </w:r>
      <w:r>
        <w:rPr>
          <w:spacing w:val="2"/>
          <w:position w:val="7"/>
        </w:rPr>
        <w:t>×</w:t>
      </w:r>
      <w:r>
        <w:rPr>
          <w:rFonts w:ascii="Times New Roman" w:hAnsi="Times New Roman" w:eastAsia="Times New Roman" w:cs="Times New Roman"/>
          <w:i/>
          <w:iCs/>
          <w:spacing w:val="2"/>
          <w:position w:val="7"/>
        </w:rPr>
        <w:t>S</w:t>
      </w:r>
      <w:r>
        <w:rPr>
          <w:rFonts w:hint="eastAsia" w:ascii="Times New Roman" w:hAnsi="Times New Roman" w:eastAsia="宋体" w:cs="Times New Roman"/>
          <w:i/>
          <w:iCs/>
          <w:spacing w:val="2"/>
          <w:position w:val="7"/>
          <w:lang w:val="en-US" w:eastAsia="zh-CN"/>
        </w:rPr>
        <w:t xml:space="preserve">                                 </w:t>
      </w:r>
      <w:r>
        <w:rPr>
          <w:rFonts w:hint="eastAsia" w:ascii="Times New Roman" w:hAnsi="Times New Roman" w:eastAsia="宋体" w:cs="Times New Roman"/>
          <w:i w:val="0"/>
          <w:iCs w:val="0"/>
          <w:spacing w:val="2"/>
          <w:position w:val="7"/>
          <w:lang w:val="en-US" w:eastAsia="zh-CN"/>
        </w:rPr>
        <w:t>（3）</w:t>
      </w:r>
    </w:p>
    <w:p w14:paraId="2D2382E5">
      <w:pPr>
        <w:pStyle w:val="252"/>
        <w:bidi w:val="0"/>
      </w:pPr>
      <w:r>
        <w:t>式中：S——n次测定值的标准偏差，mg/L；</w:t>
      </w:r>
    </w:p>
    <w:p w14:paraId="34FCE13B">
      <w:pPr>
        <w:pStyle w:val="252"/>
        <w:bidi w:val="0"/>
      </w:pPr>
      <w:r>
        <w:t>n——测量次数；</w:t>
      </w:r>
    </w:p>
    <w:p w14:paraId="602D0B4F">
      <w:pPr>
        <w:pStyle w:val="252"/>
        <w:bidi w:val="0"/>
      </w:pPr>
      <w:r>
        <w:t>x</w:t>
      </w:r>
      <w:r>
        <w:rPr>
          <w:vertAlign w:val="subscript"/>
        </w:rPr>
        <w:t>i</w:t>
      </w:r>
      <w:r>
        <w:t>——第i次测定值，mg/L；</w:t>
      </w:r>
    </w:p>
    <w:p w14:paraId="0A70681D">
      <w:pPr>
        <w:pStyle w:val="252"/>
        <w:bidi w:val="0"/>
      </w:pPr>
      <w:r>
        <w:rPr/>
        <w:sym w:font="Symbol" w:char="0060"/>
      </w:r>
      <w:r>
        <w:t>x——标准溶液测量值的平均值，mg/L。</w:t>
      </w:r>
    </w:p>
    <w:p w14:paraId="4DB5F229">
      <w:pPr>
        <w:pStyle w:val="252"/>
        <w:bidi w:val="0"/>
      </w:pPr>
      <w:r>
        <w:t>LOQ——定量下限，mg/L。</w:t>
      </w:r>
    </w:p>
    <w:p w14:paraId="0FBD631B">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9.3.3 重复性</w:t>
      </w:r>
    </w:p>
    <w:p w14:paraId="3B2E3AB8">
      <w:pPr>
        <w:pStyle w:val="252"/>
        <w:bidi w:val="0"/>
        <w:rPr>
          <w:rFonts w:ascii="宋体" w:hAnsi="宋体" w:eastAsia="宋体" w:cs="宋体"/>
          <w:szCs w:val="20"/>
        </w:rPr>
      </w:pPr>
      <w:r>
        <w:t>仪器正常运行期间，分别测定化学需氧量（COD</w:t>
      </w:r>
      <w:r>
        <w:rPr>
          <w:rFonts w:hint="eastAsia"/>
          <w:vertAlign w:val="subscript"/>
          <w:lang w:val="en-US" w:eastAsia="zh-CN"/>
        </w:rPr>
        <w:t>Cr</w:t>
      </w:r>
      <w:r>
        <w:t>）浓度值约为40mg/L、160mg/L的标准溶液，每种标准溶液连续测定n（n=6）次，按公式（4）计算每种浓度的n（n=6）次测定值的相对标准偏差Sr，取两次相对标准偏差最大值作为仪器重复性的检测结果。</w:t>
      </w:r>
    </w:p>
    <w:p w14:paraId="11098A60">
      <w:pPr>
        <w:spacing w:before="113" w:line="954" w:lineRule="exact"/>
        <w:ind w:right="129"/>
        <w:jc w:val="right"/>
      </w:pPr>
      <w:r>
        <w:rPr>
          <w:position w:val="-19"/>
        </w:rPr>
        <w:drawing>
          <wp:inline distT="0" distB="0" distL="0" distR="0">
            <wp:extent cx="3473450" cy="605155"/>
            <wp:effectExtent l="0" t="0" r="12700" b="4445"/>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8"/>
                    <a:stretch>
                      <a:fillRect/>
                    </a:stretch>
                  </pic:blipFill>
                  <pic:spPr>
                    <a:xfrm>
                      <a:off x="0" y="0"/>
                      <a:ext cx="3473577" cy="605677"/>
                    </a:xfrm>
                    <a:prstGeom prst="rect">
                      <a:avLst/>
                    </a:prstGeom>
                  </pic:spPr>
                </pic:pic>
              </a:graphicData>
            </a:graphic>
          </wp:inline>
        </w:drawing>
      </w:r>
    </w:p>
    <w:p w14:paraId="7E661427">
      <w:pPr>
        <w:pStyle w:val="252"/>
        <w:bidi w:val="0"/>
        <w:rPr>
          <w:rFonts w:cs="Times New Roman"/>
        </w:rPr>
      </w:pPr>
      <w:r>
        <w:rPr>
          <w:rFonts w:cs="Times New Roman"/>
        </w:rPr>
        <w:t>式中：Sr——重复性，%；</w:t>
      </w:r>
    </w:p>
    <w:p w14:paraId="53EE62CC">
      <w:pPr>
        <w:pStyle w:val="252"/>
        <w:bidi w:val="0"/>
        <w:rPr>
          <w:rFonts w:cs="Times New Roman"/>
        </w:rPr>
      </w:pPr>
      <w:r>
        <w:rPr>
          <w:rFonts w:cs="Times New Roman"/>
        </w:rPr>
        <w:t>x——n次测量平均值，mg/L；</w:t>
      </w:r>
    </w:p>
    <w:p w14:paraId="5988736D">
      <w:pPr>
        <w:pStyle w:val="252"/>
        <w:bidi w:val="0"/>
        <w:rPr>
          <w:rFonts w:cs="Times New Roman"/>
        </w:rPr>
      </w:pPr>
      <w:r>
        <w:rPr>
          <w:rFonts w:cs="Times New Roman"/>
        </w:rPr>
        <w:t>x</w:t>
      </w:r>
      <w:r>
        <w:rPr>
          <w:rFonts w:cs="Times New Roman"/>
          <w:vertAlign w:val="subscript"/>
        </w:rPr>
        <w:t>i</w:t>
      </w:r>
      <w:r>
        <w:rPr>
          <w:rFonts w:cs="Times New Roman"/>
        </w:rPr>
        <w:t>——第i次测量值，mg/L；</w:t>
      </w:r>
    </w:p>
    <w:p w14:paraId="5CBFDAC3">
      <w:pPr>
        <w:pStyle w:val="252"/>
        <w:bidi w:val="0"/>
        <w:rPr>
          <w:rFonts w:cs="Times New Roman"/>
        </w:rPr>
      </w:pPr>
      <w:r>
        <w:rPr>
          <w:rFonts w:cs="Times New Roman"/>
        </w:rPr>
        <w:t>n——测定次数。</w:t>
      </w:r>
    </w:p>
    <w:p w14:paraId="71A97904">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9.3.4 24h低浓度漂移</w:t>
      </w:r>
    </w:p>
    <w:p w14:paraId="56013106">
      <w:pPr>
        <w:pStyle w:val="252"/>
        <w:bidi w:val="0"/>
      </w:pPr>
      <w:r>
        <w:t>仪器正常运行期间，测定化学需氧量（COD</w:t>
      </w:r>
      <w:r>
        <w:rPr>
          <w:rFonts w:hint="eastAsia"/>
          <w:vertAlign w:val="subscript"/>
          <w:lang w:val="en-US" w:eastAsia="zh-CN"/>
        </w:rPr>
        <w:t>Cr</w:t>
      </w:r>
      <w:r>
        <w:t>）浓度值约为30mg/L的标准溶液，1h测试一次，连续测定24h。采用该时间内的初期值（最初的3次测定值的平均值）Z</w:t>
      </w:r>
      <w:r>
        <w:rPr>
          <w:vertAlign w:val="subscript"/>
        </w:rPr>
        <w:t>0</w:t>
      </w:r>
      <w:r>
        <w:t>，计算Zi与Z</w:t>
      </w:r>
      <w:r>
        <w:rPr>
          <w:vertAlign w:val="subscript"/>
        </w:rPr>
        <w:t>0</w:t>
      </w:r>
      <w:r>
        <w:t>的偏差，取最大偏差为24h低浓度漂移的检测结果。计算方式见公式（5）。</w:t>
      </w:r>
    </w:p>
    <w:p w14:paraId="1016BC92">
      <w:pPr>
        <w:spacing w:before="64" w:line="333" w:lineRule="exact"/>
        <w:ind w:right="21" w:firstLine="3600" w:firstLineChars="1500"/>
        <w:jc w:val="both"/>
        <w:rPr>
          <w:rFonts w:ascii="宋体" w:hAnsi="宋体" w:eastAsia="宋体" w:cs="宋体"/>
          <w:sz w:val="20"/>
          <w:szCs w:val="20"/>
        </w:rPr>
      </w:pPr>
      <w:r>
        <w:rPr>
          <w:rFonts w:ascii="Times New Roman" w:hAnsi="Times New Roman" w:eastAsia="Times New Roman" w:cs="Times New Roman"/>
          <w:i/>
          <w:iCs/>
          <w:position w:val="6"/>
          <w:sz w:val="24"/>
          <w:szCs w:val="24"/>
        </w:rPr>
        <w:t>ZD</w:t>
      </w:r>
      <w:r>
        <w:rPr>
          <w:rFonts w:ascii="Times New Roman" w:hAnsi="Times New Roman" w:eastAsia="Times New Roman" w:cs="Times New Roman"/>
          <w:spacing w:val="6"/>
          <w:position w:val="6"/>
          <w:sz w:val="24"/>
          <w:szCs w:val="24"/>
        </w:rPr>
        <w:t>=</w:t>
      </w:r>
      <w:r>
        <w:rPr>
          <w:rFonts w:ascii="Times New Roman" w:hAnsi="Times New Roman" w:eastAsia="Times New Roman" w:cs="Times New Roman"/>
          <w:i/>
          <w:iCs/>
          <w:position w:val="6"/>
          <w:sz w:val="24"/>
          <w:szCs w:val="24"/>
        </w:rPr>
        <w:t>Z</w:t>
      </w:r>
      <w:r>
        <w:rPr>
          <w:rFonts w:ascii="Times New Roman" w:hAnsi="Times New Roman" w:eastAsia="Times New Roman" w:cs="Times New Roman"/>
          <w:position w:val="-1"/>
          <w:sz w:val="14"/>
          <w:szCs w:val="14"/>
        </w:rPr>
        <w:t>i</w:t>
      </w:r>
      <w:r>
        <w:rPr>
          <w:rFonts w:ascii="Times New Roman" w:hAnsi="Times New Roman" w:eastAsia="Times New Roman" w:cs="Times New Roman"/>
          <w:spacing w:val="6"/>
          <w:position w:val="6"/>
          <w:sz w:val="24"/>
          <w:szCs w:val="24"/>
        </w:rPr>
        <w:t>-</w:t>
      </w:r>
      <w:r>
        <w:rPr>
          <w:rFonts w:ascii="Times New Roman" w:hAnsi="Times New Roman" w:eastAsia="Times New Roman" w:cs="Times New Roman"/>
          <w:i/>
          <w:iCs/>
          <w:spacing w:val="6"/>
          <w:position w:val="6"/>
          <w:sz w:val="24"/>
          <w:szCs w:val="24"/>
        </w:rPr>
        <w:t>Z</w:t>
      </w:r>
      <w:r>
        <w:rPr>
          <w:rFonts w:ascii="Times New Roman" w:hAnsi="Times New Roman" w:eastAsia="Times New Roman" w:cs="Times New Roman"/>
          <w:spacing w:val="6"/>
          <w:position w:val="-1"/>
          <w:sz w:val="14"/>
          <w:szCs w:val="14"/>
        </w:rPr>
        <w:t>0</w:t>
      </w:r>
      <w:r>
        <w:rPr>
          <w:rFonts w:hint="eastAsia" w:ascii="Times New Roman" w:hAnsi="Times New Roman" w:eastAsia="宋体" w:cs="Times New Roman"/>
          <w:spacing w:val="6"/>
          <w:position w:val="-1"/>
          <w:sz w:val="14"/>
          <w:szCs w:val="14"/>
          <w:lang w:val="en-US" w:eastAsia="zh-CN"/>
        </w:rPr>
        <w:t xml:space="preserve">                                         </w:t>
      </w:r>
      <w:r>
        <w:rPr>
          <w:rFonts w:ascii="宋体" w:hAnsi="宋体" w:eastAsia="宋体" w:cs="宋体"/>
          <w:spacing w:val="6"/>
          <w:position w:val="6"/>
          <w:sz w:val="20"/>
          <w:szCs w:val="20"/>
        </w:rPr>
        <w:t>（</w:t>
      </w:r>
      <w:r>
        <w:rPr>
          <w:rFonts w:ascii="Times New Roman" w:hAnsi="Times New Roman" w:eastAsia="Times New Roman" w:cs="Times New Roman"/>
          <w:spacing w:val="6"/>
          <w:position w:val="6"/>
          <w:sz w:val="20"/>
          <w:szCs w:val="20"/>
        </w:rPr>
        <w:t>5</w:t>
      </w:r>
      <w:r>
        <w:rPr>
          <w:rFonts w:ascii="宋体" w:hAnsi="宋体" w:eastAsia="宋体" w:cs="宋体"/>
          <w:spacing w:val="6"/>
          <w:position w:val="6"/>
          <w:sz w:val="20"/>
          <w:szCs w:val="20"/>
        </w:rPr>
        <w:t>）</w:t>
      </w:r>
    </w:p>
    <w:p w14:paraId="7C476E38">
      <w:pPr>
        <w:pStyle w:val="252"/>
        <w:bidi w:val="0"/>
      </w:pPr>
      <w:r>
        <w:t>式中：ZD——24h低浓度漂移，mg/L；</w:t>
      </w:r>
    </w:p>
    <w:p w14:paraId="03EDB7DB">
      <w:pPr>
        <w:pStyle w:val="252"/>
        <w:bidi w:val="0"/>
      </w:pPr>
      <w:r>
        <w:t>Z</w:t>
      </w:r>
      <w:r>
        <w:rPr>
          <w:rFonts w:hint="eastAsia"/>
          <w:vertAlign w:val="subscript"/>
          <w:lang w:val="en-US" w:eastAsia="zh-CN"/>
        </w:rPr>
        <w:t>i</w:t>
      </w:r>
      <w:r>
        <w:t>——第i次测量值，mg/L；</w:t>
      </w:r>
    </w:p>
    <w:p w14:paraId="075429CF">
      <w:pPr>
        <w:pStyle w:val="252"/>
        <w:bidi w:val="0"/>
      </w:pPr>
      <w:r>
        <w:t>Z</w:t>
      </w:r>
      <w:r>
        <w:rPr>
          <w:vertAlign w:val="subscript"/>
        </w:rPr>
        <w:t>0</w:t>
      </w:r>
      <w:r>
        <w:t>——最初3次测定值的平均值，mg/L。</w:t>
      </w:r>
    </w:p>
    <w:p w14:paraId="63BBB805">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9.3.5 24h高浓度漂移</w:t>
      </w:r>
    </w:p>
    <w:p w14:paraId="5EEED687">
      <w:pPr>
        <w:pStyle w:val="252"/>
        <w:bidi w:val="0"/>
        <w:rPr>
          <w:rFonts w:ascii="宋体" w:hAnsi="宋体" w:eastAsia="宋体" w:cs="宋体"/>
          <w:szCs w:val="20"/>
        </w:rPr>
      </w:pPr>
      <w:r>
        <w:t>仪器正常运行期间，测定化学需氧量（COD</w:t>
      </w:r>
      <w:r>
        <w:rPr>
          <w:rFonts w:hint="eastAsia"/>
          <w:vertAlign w:val="subscript"/>
          <w:lang w:val="en-US" w:eastAsia="zh-CN"/>
        </w:rPr>
        <w:t>Cr</w:t>
      </w:r>
      <w:r>
        <w:t>）浓度值约为160mg/L的标准溶液，1h测试一次，连续测定24h。采用该时间内的初期值（最初的3次测定值的平均值）R</w:t>
      </w:r>
      <w:r>
        <w:rPr>
          <w:vertAlign w:val="subscript"/>
        </w:rPr>
        <w:t>0</w:t>
      </w:r>
      <w:r>
        <w:t>，计算Ri与R</w:t>
      </w:r>
      <w:r>
        <w:rPr>
          <w:vertAlign w:val="subscript"/>
        </w:rPr>
        <w:t>0</w:t>
      </w:r>
      <w:r>
        <w:t>偏差绝对值的平均值相对于检测范围上限值的百分率为24h高浓度漂移RD。计算方法见公式（6）。</w:t>
      </w:r>
    </w:p>
    <w:p w14:paraId="77B6BF93">
      <w:pPr>
        <w:spacing w:before="3" w:line="814" w:lineRule="exact"/>
        <w:ind w:left="2555"/>
      </w:pPr>
      <w:r>
        <w:rPr>
          <w:position w:val="-16"/>
        </w:rPr>
        <w:drawing>
          <wp:inline distT="0" distB="0" distL="0" distR="0">
            <wp:extent cx="3587115" cy="516890"/>
            <wp:effectExtent l="0" t="0" r="13335" b="1651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9"/>
                    <a:stretch>
                      <a:fillRect/>
                    </a:stretch>
                  </pic:blipFill>
                  <pic:spPr>
                    <a:xfrm>
                      <a:off x="0" y="0"/>
                      <a:ext cx="3587244" cy="516980"/>
                    </a:xfrm>
                    <a:prstGeom prst="rect">
                      <a:avLst/>
                    </a:prstGeom>
                  </pic:spPr>
                </pic:pic>
              </a:graphicData>
            </a:graphic>
          </wp:inline>
        </w:drawing>
      </w:r>
    </w:p>
    <w:p w14:paraId="73196FDC">
      <w:pPr>
        <w:pStyle w:val="252"/>
        <w:bidi w:val="0"/>
        <w:rPr>
          <w:rFonts w:cs="Times New Roman"/>
        </w:rPr>
      </w:pPr>
      <w:r>
        <w:rPr>
          <w:rFonts w:cs="Times New Roman"/>
        </w:rPr>
        <w:t>式中：RD——24h高浓度漂移，%；</w:t>
      </w:r>
    </w:p>
    <w:p w14:paraId="78ABB58B">
      <w:pPr>
        <w:pStyle w:val="252"/>
        <w:bidi w:val="0"/>
        <w:rPr>
          <w:rFonts w:cs="Times New Roman"/>
        </w:rPr>
      </w:pPr>
      <w:r>
        <w:rPr>
          <w:rFonts w:cs="Times New Roman"/>
        </w:rPr>
        <w:t>R</w:t>
      </w:r>
      <w:r>
        <w:rPr>
          <w:rFonts w:cs="Times New Roman"/>
          <w:vertAlign w:val="subscript"/>
        </w:rPr>
        <w:t>i</w:t>
      </w:r>
      <w:r>
        <w:rPr>
          <w:rFonts w:cs="Times New Roman"/>
        </w:rPr>
        <w:t>——第i次测量值，mg/L；</w:t>
      </w:r>
    </w:p>
    <w:p w14:paraId="49788D92">
      <w:pPr>
        <w:pStyle w:val="252"/>
        <w:bidi w:val="0"/>
        <w:rPr>
          <w:rFonts w:cs="Times New Roman"/>
        </w:rPr>
      </w:pPr>
      <w:r>
        <w:rPr>
          <w:rFonts w:cs="Times New Roman"/>
        </w:rPr>
        <w:t>R</w:t>
      </w:r>
      <w:r>
        <w:rPr>
          <w:rFonts w:cs="Times New Roman"/>
          <w:vertAlign w:val="subscript"/>
        </w:rPr>
        <w:t>0</w:t>
      </w:r>
      <w:r>
        <w:rPr>
          <w:rFonts w:cs="Times New Roman"/>
        </w:rPr>
        <w:t>——最初3次测量值的平均值，mg/L；</w:t>
      </w:r>
    </w:p>
    <w:p w14:paraId="3AD1F462">
      <w:pPr>
        <w:pStyle w:val="252"/>
        <w:bidi w:val="0"/>
        <w:rPr>
          <w:rFonts w:cs="Times New Roman"/>
        </w:rPr>
      </w:pPr>
      <w:r>
        <w:rPr>
          <w:rFonts w:cs="Times New Roman"/>
        </w:rPr>
        <w:t>R——检测范围上限值，mg/L；</w:t>
      </w:r>
    </w:p>
    <w:p w14:paraId="0B170E9D">
      <w:pPr>
        <w:pStyle w:val="252"/>
        <w:bidi w:val="0"/>
        <w:rPr>
          <w:b/>
        </w:rPr>
      </w:pPr>
      <w:r>
        <w:rPr>
          <w:rFonts w:cs="Times New Roman"/>
        </w:rPr>
        <w:t>n——测定次数。</w:t>
      </w:r>
    </w:p>
    <w:p w14:paraId="06B9A036">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9.3.6 记忆效应</w:t>
      </w:r>
    </w:p>
    <w:p w14:paraId="5D1355BE">
      <w:pPr>
        <w:pStyle w:val="252"/>
        <w:bidi w:val="0"/>
        <w:rPr>
          <w:rFonts w:cs="Times New Roman"/>
        </w:rPr>
      </w:pPr>
      <w:r>
        <w:rPr>
          <w:rFonts w:cs="Times New Roman"/>
        </w:rPr>
        <w:t>仪器正常运行期间，仪器连续测量3次化学需氧量（COD</w:t>
      </w:r>
      <w:r>
        <w:rPr>
          <w:rFonts w:hint="eastAsia"/>
          <w:vertAlign w:val="subscript"/>
          <w:lang w:val="en-US" w:eastAsia="zh-CN"/>
        </w:rPr>
        <w:t>Cr</w:t>
      </w:r>
      <w:r>
        <w:rPr>
          <w:rFonts w:cs="Times New Roman"/>
        </w:rPr>
        <w:t>）浓度值约为160mg/L的标准溶液后（测定结果不作考核），再依次测量浓度值约为40mg/L和160mg/L的标准溶液各7次，分别计算两个浓度的标准溶液第1次测量值与后6次测量平均值的差值为记忆效应T，计算方法见公式（7），其中绝对值作为记忆效应的判定值。</w:t>
      </w:r>
    </w:p>
    <w:p w14:paraId="6A7EE3A6">
      <w:pPr>
        <w:spacing w:before="176" w:line="535" w:lineRule="exact"/>
        <w:ind w:left="2439"/>
      </w:pPr>
      <w:r>
        <w:rPr>
          <w:position w:val="-11"/>
        </w:rPr>
        <w:drawing>
          <wp:inline distT="0" distB="0" distL="0" distR="0">
            <wp:extent cx="3660140" cy="339090"/>
            <wp:effectExtent l="0" t="0" r="16510" b="381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0"/>
                    <a:stretch>
                      <a:fillRect/>
                    </a:stretch>
                  </pic:blipFill>
                  <pic:spPr>
                    <a:xfrm>
                      <a:off x="0" y="0"/>
                      <a:ext cx="3660727" cy="339677"/>
                    </a:xfrm>
                    <a:prstGeom prst="rect">
                      <a:avLst/>
                    </a:prstGeom>
                  </pic:spPr>
                </pic:pic>
              </a:graphicData>
            </a:graphic>
          </wp:inline>
        </w:drawing>
      </w:r>
    </w:p>
    <w:p w14:paraId="15B0424C">
      <w:pPr>
        <w:pStyle w:val="252"/>
        <w:bidi w:val="0"/>
        <w:rPr>
          <w:rFonts w:cs="Times New Roman"/>
        </w:rPr>
      </w:pPr>
      <w:r>
        <w:rPr>
          <w:rFonts w:cs="Times New Roman"/>
        </w:rPr>
        <w:t>式中：T——记忆效应，mg/L；</w:t>
      </w:r>
    </w:p>
    <w:p w14:paraId="5EC08E8A">
      <w:pPr>
        <w:pStyle w:val="252"/>
        <w:bidi w:val="0"/>
        <w:rPr>
          <w:rFonts w:hint="eastAsia" w:cs="Times New Roman"/>
        </w:rPr>
      </w:pPr>
      <w:r>
        <w:rPr>
          <w:rFonts w:cs="Times New Roman"/>
        </w:rPr>
        <w:t>x</w:t>
      </w:r>
      <w:r>
        <w:rPr>
          <w:rFonts w:cs="Times New Roman"/>
          <w:vertAlign w:val="subscript"/>
        </w:rPr>
        <w:t>i</w:t>
      </w:r>
      <w:r>
        <w:rPr>
          <w:rFonts w:cs="Times New Roman"/>
        </w:rPr>
        <w:t>——第i次测量值，mg/L。</w:t>
      </w:r>
    </w:p>
    <w:p w14:paraId="0BC478BF">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9.3.7 电压影响</w:t>
      </w:r>
    </w:p>
    <w:p w14:paraId="3C2DA439">
      <w:pPr>
        <w:pStyle w:val="252"/>
        <w:bidi w:val="0"/>
        <w:rPr>
          <w:rFonts w:cs="Times New Roman"/>
        </w:rPr>
      </w:pPr>
      <w:r>
        <w:rPr>
          <w:rFonts w:cs="Times New Roman"/>
        </w:rPr>
        <w:t>仪器正常运行期间，采用化学需氧量（COD</w:t>
      </w:r>
      <w:r>
        <w:rPr>
          <w:rFonts w:cs="Times New Roman"/>
          <w:vertAlign w:val="subscript"/>
        </w:rPr>
        <w:t>Cr</w:t>
      </w:r>
      <w:r>
        <w:rPr>
          <w:rFonts w:cs="Times New Roman"/>
        </w:rPr>
        <w:t>）浓度约为160mg/L的标准溶液，仪器在初始电压220V条件下测试3次；调节电压至242V，测定同一标准溶液3次；再次调节电压至198V，测定同一标准溶液3次，以220V条件下3次测量值平均值为Vs，按照公式（8）分别计算242V和198V条件下3次测量值的平均值Vi相对于Vs的相对误差ΔV，其中绝对值较大者作为电压影响试验的判定值。</w:t>
      </w:r>
    </w:p>
    <w:p w14:paraId="595FFC61">
      <w:pPr>
        <w:spacing w:before="1" w:line="590" w:lineRule="exact"/>
        <w:ind w:left="3186"/>
      </w:pPr>
      <w:r>
        <w:rPr>
          <w:position w:val="-12"/>
        </w:rPr>
        <w:drawing>
          <wp:inline distT="0" distB="0" distL="0" distR="0">
            <wp:extent cx="3186430" cy="374650"/>
            <wp:effectExtent l="0" t="0" r="13970" b="635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1"/>
                    <a:stretch>
                      <a:fillRect/>
                    </a:stretch>
                  </pic:blipFill>
                  <pic:spPr>
                    <a:xfrm>
                      <a:off x="0" y="0"/>
                      <a:ext cx="3186742" cy="375017"/>
                    </a:xfrm>
                    <a:prstGeom prst="rect">
                      <a:avLst/>
                    </a:prstGeom>
                  </pic:spPr>
                </pic:pic>
              </a:graphicData>
            </a:graphic>
          </wp:inline>
        </w:drawing>
      </w:r>
    </w:p>
    <w:p w14:paraId="63789B43">
      <w:pPr>
        <w:pStyle w:val="252"/>
        <w:bidi w:val="0"/>
        <w:rPr>
          <w:rFonts w:cs="Times New Roman"/>
        </w:rPr>
      </w:pPr>
      <w:r>
        <w:rPr>
          <w:rFonts w:cs="Times New Roman"/>
        </w:rPr>
        <w:t>式中：ΔV——电压影响，%；</w:t>
      </w:r>
    </w:p>
    <w:p w14:paraId="54BF4F80">
      <w:pPr>
        <w:pStyle w:val="252"/>
        <w:bidi w:val="0"/>
        <w:rPr>
          <w:rFonts w:cs="Times New Roman"/>
        </w:rPr>
      </w:pPr>
      <w:r>
        <w:rPr>
          <w:rFonts w:cs="Times New Roman"/>
        </w:rPr>
        <w:t>V</w:t>
      </w:r>
      <w:r>
        <w:rPr>
          <w:rFonts w:cs="Times New Roman"/>
          <w:vertAlign w:val="subscript"/>
        </w:rPr>
        <w:t>i</w:t>
      </w:r>
      <w:r>
        <w:rPr>
          <w:rFonts w:cs="Times New Roman"/>
        </w:rPr>
        <w:t>——某电压条件下3次测量值的平均值，mg/L；</w:t>
      </w:r>
    </w:p>
    <w:p w14:paraId="6C10F157">
      <w:pPr>
        <w:pStyle w:val="252"/>
        <w:bidi w:val="0"/>
        <w:rPr>
          <w:rFonts w:cs="Times New Roman"/>
        </w:rPr>
      </w:pPr>
      <w:r>
        <w:rPr>
          <w:rFonts w:cs="Times New Roman"/>
        </w:rPr>
        <w:t>V</w:t>
      </w:r>
      <w:r>
        <w:rPr>
          <w:rFonts w:hint="eastAsia" w:cs="Times New Roman"/>
          <w:vertAlign w:val="subscript"/>
          <w:lang w:val="en-US" w:eastAsia="zh-CN"/>
        </w:rPr>
        <w:t>s</w:t>
      </w:r>
      <w:r>
        <w:rPr>
          <w:rFonts w:cs="Times New Roman"/>
        </w:rPr>
        <w:t>——220V下3次测量的平均值，mg/L。</w:t>
      </w:r>
    </w:p>
    <w:p w14:paraId="2C9E8199">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9.3.8 氯离子影响</w:t>
      </w:r>
    </w:p>
    <w:p w14:paraId="120000F7">
      <w:pPr>
        <w:pStyle w:val="252"/>
        <w:bidi w:val="0"/>
        <w:rPr>
          <w:rFonts w:cs="Times New Roman"/>
        </w:rPr>
      </w:pPr>
      <w:r>
        <w:rPr>
          <w:rFonts w:cs="Times New Roman"/>
        </w:rPr>
        <w:t>仪器正常运行期间，采用不含氯离子的化学需氧量（COD</w:t>
      </w:r>
      <w:r>
        <w:rPr>
          <w:rFonts w:hint="eastAsia"/>
          <w:vertAlign w:val="subscript"/>
          <w:lang w:val="en-US" w:eastAsia="zh-CN"/>
        </w:rPr>
        <w:t>Cr</w:t>
      </w:r>
      <w:r>
        <w:rPr>
          <w:rFonts w:cs="Times New Roman"/>
        </w:rPr>
        <w:t>）浓度约为40mg/L、100mg/L和160mg/L的标准溶液，以及含有氯离子的(ρ(Cl-)=2000mg/L）化学需氧量（COD</w:t>
      </w:r>
      <w:r>
        <w:rPr>
          <w:rFonts w:cs="Times New Roman"/>
          <w:vertAlign w:val="subscript"/>
        </w:rPr>
        <w:t>Cr</w:t>
      </w:r>
      <w:r>
        <w:rPr>
          <w:rFonts w:cs="Times New Roman"/>
        </w:rPr>
        <w:t>）浓度约为40mg/L、100mg/L和160mg/L的标准溶液。在每个浓度水平下，先测定不含氯离子的标准溶液3次，以该3个数据的平均值为基准值Ds，再测定含有氯离子的标准溶液3次，以该3个数据的平均值为D</w:t>
      </w:r>
      <w:r>
        <w:rPr>
          <w:rFonts w:cs="Times New Roman"/>
          <w:vertAlign w:val="subscript"/>
        </w:rPr>
        <w:t>i</w:t>
      </w:r>
      <w:r>
        <w:rPr>
          <w:rFonts w:cs="Times New Roman"/>
        </w:rPr>
        <w:t>，按照公式（9）分别计算不同浓度水平下的氯离子影响ΔD，取其中绝对值最大值作为氯离子影响试验的判定值。</w:t>
      </w:r>
    </w:p>
    <w:p w14:paraId="52D40C88">
      <w:pPr>
        <w:spacing w:line="542" w:lineRule="exact"/>
        <w:ind w:left="3058"/>
        <w:rPr>
          <w:rFonts w:hint="default" w:eastAsia="宋体"/>
          <w:lang w:val="en-US" w:eastAsia="zh-CN"/>
        </w:rPr>
      </w:pPr>
      <m:oMath>
        <m:r>
          <m:rPr>
            <m:nor/>
            <m:sty m:val="p"/>
          </m:rPr>
          <w:rPr>
            <w:rFonts w:hint="default" w:ascii="Times New Roman" w:hAnsi="Times New Roman" w:cs="Times New Roman"/>
            <w:b w:val="0"/>
            <w:i w:val="0"/>
            <w:sz w:val="21"/>
          </w:rPr>
          <m:t>Δ</m:t>
        </m:r>
        <m:r>
          <m:rPr>
            <m:nor/>
          </m:rPr>
          <w:rPr>
            <w:rFonts w:hint="default" w:ascii="Times New Roman" w:hAnsi="Times New Roman" w:cs="Times New Roman"/>
            <w:i/>
            <w:sz w:val="21"/>
          </w:rPr>
          <m:t>D</m:t>
        </m:r>
        <m:r>
          <m:rPr>
            <m:nor/>
            <m:sty m:val="p"/>
          </m:rPr>
          <w:rPr>
            <w:rFonts w:hint="default" w:ascii="Times New Roman" w:hAnsi="Times New Roman" w:cs="Times New Roman"/>
            <w:b w:val="0"/>
            <w:i w:val="0"/>
            <w:sz w:val="21"/>
          </w:rPr>
          <m:t>=</m:t>
        </m:r>
        <m:f>
          <m:fPr>
            <m:ctrlPr>
              <w:rPr>
                <w:rFonts w:hint="default" w:ascii="Cambria Math" w:hAnsi="Cambria Math" w:cs="Times New Roman"/>
                <w:i/>
                <w:sz w:val="21"/>
              </w:rPr>
            </m:ctrlPr>
          </m:fPr>
          <m:num>
            <m:sSub>
              <m:sSubPr>
                <m:ctrlPr>
                  <w:rPr>
                    <w:rFonts w:hint="default" w:ascii="Cambria Math" w:hAnsi="Cambria Math" w:cs="Times New Roman"/>
                    <w:sz w:val="21"/>
                  </w:rPr>
                </m:ctrlPr>
              </m:sSubPr>
              <m:e>
                <m:r>
                  <m:rPr>
                    <m:nor/>
                  </m:rPr>
                  <w:rPr>
                    <w:rFonts w:hint="default" w:ascii="Times New Roman" w:hAnsi="Times New Roman" w:cs="Times New Roman"/>
                    <w:i/>
                    <w:sz w:val="21"/>
                  </w:rPr>
                  <m:t>D</m:t>
                </m:r>
                <m:ctrlPr>
                  <w:rPr>
                    <w:rFonts w:hint="default" w:ascii="Cambria Math" w:hAnsi="Cambria Math" w:cs="Times New Roman"/>
                    <w:sz w:val="21"/>
                  </w:rPr>
                </m:ctrlPr>
              </m:e>
              <m:sub>
                <m:r>
                  <m:rPr>
                    <m:nor/>
                    <m:sty m:val="p"/>
                  </m:rPr>
                  <w:rPr>
                    <w:rFonts w:hint="default" w:ascii="Times New Roman" w:hAnsi="Times New Roman" w:cs="Times New Roman"/>
                    <w:b w:val="0"/>
                    <w:i w:val="0"/>
                    <w:sz w:val="21"/>
                  </w:rPr>
                  <m:t>1</m:t>
                </m:r>
                <m:ctrlPr>
                  <w:rPr>
                    <w:rFonts w:hint="default" w:ascii="Cambria Math" w:hAnsi="Cambria Math" w:cs="Times New Roman"/>
                    <w:sz w:val="21"/>
                  </w:rPr>
                </m:ctrlPr>
              </m:sub>
            </m:sSub>
            <m:r>
              <m:rPr>
                <m:nor/>
                <m:sty m:val="p"/>
              </m:rPr>
              <w:rPr>
                <w:rFonts w:hint="default" w:ascii="Times New Roman" w:hAnsi="Times New Roman" w:cs="Times New Roman"/>
                <w:b w:val="0"/>
                <w:i w:val="0"/>
                <w:sz w:val="21"/>
              </w:rPr>
              <m:t>−</m:t>
            </m:r>
            <m:sSub>
              <m:sSubPr>
                <m:ctrlPr>
                  <w:rPr>
                    <w:rFonts w:hint="default" w:ascii="Cambria Math" w:hAnsi="Cambria Math" w:cs="Times New Roman"/>
                    <w:sz w:val="21"/>
                  </w:rPr>
                </m:ctrlPr>
              </m:sSubPr>
              <m:e>
                <m:r>
                  <m:rPr>
                    <m:nor/>
                  </m:rPr>
                  <w:rPr>
                    <w:rFonts w:hint="default" w:ascii="Times New Roman" w:hAnsi="Times New Roman" w:cs="Times New Roman"/>
                    <w:i/>
                    <w:sz w:val="21"/>
                  </w:rPr>
                  <m:t>D</m:t>
                </m:r>
                <m:ctrlPr>
                  <w:rPr>
                    <w:rFonts w:hint="default" w:ascii="Cambria Math" w:hAnsi="Cambria Math" w:cs="Times New Roman"/>
                    <w:sz w:val="21"/>
                  </w:rPr>
                </m:ctrlPr>
              </m:e>
              <m:sub>
                <m:r>
                  <m:rPr>
                    <m:nor/>
                  </m:rPr>
                  <w:rPr>
                    <w:rFonts w:hint="default" w:ascii="Times New Roman" w:hAnsi="Times New Roman" w:cs="Times New Roman"/>
                    <w:i/>
                    <w:sz w:val="21"/>
                  </w:rPr>
                  <m:t>s</m:t>
                </m:r>
                <m:ctrlPr>
                  <w:rPr>
                    <w:rFonts w:hint="default" w:ascii="Cambria Math" w:hAnsi="Cambria Math" w:cs="Times New Roman"/>
                    <w:sz w:val="21"/>
                  </w:rPr>
                </m:ctrlPr>
              </m:sub>
            </m:sSub>
            <m:ctrlPr>
              <w:rPr>
                <w:rFonts w:hint="default" w:ascii="Cambria Math" w:hAnsi="Cambria Math" w:cs="Times New Roman"/>
                <w:sz w:val="21"/>
              </w:rPr>
            </m:ctrlPr>
          </m:num>
          <m:den>
            <m:sSub>
              <m:sSubPr>
                <m:ctrlPr>
                  <w:rPr>
                    <w:rFonts w:hint="default" w:ascii="Cambria Math" w:hAnsi="Cambria Math" w:cs="Times New Roman"/>
                    <w:sz w:val="21"/>
                  </w:rPr>
                </m:ctrlPr>
              </m:sSubPr>
              <m:e>
                <m:r>
                  <m:rPr>
                    <m:nor/>
                  </m:rPr>
                  <w:rPr>
                    <w:rFonts w:hint="default" w:ascii="Times New Roman" w:hAnsi="Times New Roman" w:cs="Times New Roman"/>
                    <w:i/>
                    <w:sz w:val="21"/>
                  </w:rPr>
                  <m:t>D</m:t>
                </m:r>
                <m:ctrlPr>
                  <w:rPr>
                    <w:rFonts w:hint="default" w:ascii="Cambria Math" w:hAnsi="Cambria Math" w:cs="Times New Roman"/>
                    <w:sz w:val="21"/>
                  </w:rPr>
                </m:ctrlPr>
              </m:e>
              <m:sub>
                <m:r>
                  <m:rPr>
                    <m:nor/>
                  </m:rPr>
                  <w:rPr>
                    <w:rFonts w:hint="default" w:ascii="Times New Roman" w:hAnsi="Times New Roman" w:cs="Times New Roman"/>
                    <w:i/>
                    <w:sz w:val="21"/>
                  </w:rPr>
                  <m:t>s</m:t>
                </m:r>
                <m:ctrlPr>
                  <w:rPr>
                    <w:rFonts w:hint="default" w:ascii="Cambria Math" w:hAnsi="Cambria Math" w:cs="Times New Roman"/>
                    <w:sz w:val="21"/>
                  </w:rPr>
                </m:ctrlPr>
              </m:sub>
            </m:sSub>
            <m:ctrlPr>
              <w:rPr>
                <w:rFonts w:hint="default" w:ascii="Cambria Math" w:hAnsi="Cambria Math" w:cs="Times New Roman"/>
                <w:sz w:val="21"/>
              </w:rPr>
            </m:ctrlPr>
          </m:den>
        </m:f>
        <m:r>
          <m:rPr>
            <m:nor/>
            <m:sty m:val="p"/>
          </m:rPr>
          <w:rPr>
            <w:rFonts w:hint="default" w:ascii="Times New Roman" w:hAnsi="Times New Roman" w:cs="Times New Roman"/>
            <w:b w:val="0"/>
            <w:i w:val="0"/>
            <w:sz w:val="21"/>
          </w:rPr>
          <m:t>×100%</m:t>
        </m:r>
      </m:oMath>
      <w:r>
        <w:rPr>
          <w:rFonts w:hint="eastAsia" w:hAnsi="Times New Roman" w:cs="Times New Roman"/>
          <w:i w:val="0"/>
          <w:sz w:val="21"/>
          <w:lang w:val="en-US" w:eastAsia="zh-CN"/>
        </w:rPr>
        <w:t xml:space="preserve">                                （9）</w:t>
      </w:r>
    </w:p>
    <w:p w14:paraId="0C34FC74">
      <w:pPr>
        <w:pStyle w:val="252"/>
        <w:bidi w:val="0"/>
        <w:rPr>
          <w:rFonts w:cs="Times New Roman"/>
        </w:rPr>
      </w:pPr>
      <w:r>
        <w:rPr>
          <w:rFonts w:cs="Times New Roman"/>
        </w:rPr>
        <w:t>式中：ΔD——氯离子影响，%；</w:t>
      </w:r>
    </w:p>
    <w:p w14:paraId="18817389">
      <w:pPr>
        <w:pStyle w:val="252"/>
        <w:bidi w:val="0"/>
        <w:rPr>
          <w:rFonts w:cs="Times New Roman"/>
        </w:rPr>
      </w:pPr>
      <w:r>
        <w:rPr>
          <w:rFonts w:cs="Times New Roman"/>
        </w:rPr>
        <w:t>D</w:t>
      </w:r>
      <w:r>
        <w:rPr>
          <w:rFonts w:cs="Times New Roman"/>
          <w:vertAlign w:val="subscript"/>
        </w:rPr>
        <w:t>i</w:t>
      </w:r>
      <w:r>
        <w:rPr>
          <w:rFonts w:cs="Times New Roman"/>
        </w:rPr>
        <w:t>——含有氯离子标准溶液3次测定值平均值，mg/L；</w:t>
      </w:r>
    </w:p>
    <w:p w14:paraId="534A6E97">
      <w:pPr>
        <w:pStyle w:val="252"/>
        <w:bidi w:val="0"/>
        <w:rPr>
          <w:rFonts w:hint="eastAsia" w:cs="Times New Roman"/>
        </w:rPr>
      </w:pPr>
      <w:r>
        <w:rPr>
          <w:rFonts w:cs="Times New Roman"/>
        </w:rPr>
        <w:t>Ds——不含氯离子标准溶液测定值，mg/L。</w:t>
      </w:r>
    </w:p>
    <w:p w14:paraId="65DBE016">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9.3.9 环境温度影响</w:t>
      </w:r>
    </w:p>
    <w:p w14:paraId="78FCF7D3">
      <w:pPr>
        <w:pStyle w:val="252"/>
        <w:bidi w:val="0"/>
        <w:rPr>
          <w:rFonts w:ascii="宋体" w:hAnsi="宋体" w:eastAsia="宋体" w:cs="宋体"/>
          <w:sz w:val="20"/>
          <w:szCs w:val="20"/>
        </w:rPr>
      </w:pPr>
      <w:r>
        <w:rPr>
          <w:rFonts w:cs="Times New Roman"/>
        </w:rPr>
        <w:t>仪器正常运行期间，采用化学需氧量（COD</w:t>
      </w:r>
      <w:r>
        <w:rPr>
          <w:rFonts w:cs="Times New Roman"/>
          <w:vertAlign w:val="subscript"/>
        </w:rPr>
        <w:t>Cr</w:t>
      </w:r>
      <w:r>
        <w:rPr>
          <w:rFonts w:cs="Times New Roman"/>
        </w:rPr>
        <w:t>）浓度约为160mg/L的标准溶液，按照20℃→5℃→20℃→40℃→20℃顺序，每次变换温度后，所有仪器试剂稳定5小时后，连续测试3次。以20℃条件下9个测量值的平均值为Cs，按照公式（10）分别计算5℃和40℃条件下3次测定值的平均值Ci相对于Cs的相对误差ΔTt，其中绝对值较大者作为环境温度影响试验的判定值。</w:t>
      </w:r>
    </w:p>
    <w:p w14:paraId="023C3640">
      <w:pPr>
        <w:spacing w:before="192" w:line="551" w:lineRule="exact"/>
        <w:ind w:left="3182"/>
      </w:pPr>
      <w:r>
        <w:rPr>
          <w:position w:val="-11"/>
        </w:rPr>
        <w:drawing>
          <wp:inline distT="0" distB="0" distL="0" distR="0">
            <wp:extent cx="3188970" cy="349885"/>
            <wp:effectExtent l="0" t="0" r="11430" b="12065"/>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2"/>
                    <a:stretch>
                      <a:fillRect/>
                    </a:stretch>
                  </pic:blipFill>
                  <pic:spPr>
                    <a:xfrm>
                      <a:off x="0" y="0"/>
                      <a:ext cx="3189205" cy="350073"/>
                    </a:xfrm>
                    <a:prstGeom prst="rect">
                      <a:avLst/>
                    </a:prstGeom>
                  </pic:spPr>
                </pic:pic>
              </a:graphicData>
            </a:graphic>
          </wp:inline>
        </w:drawing>
      </w:r>
    </w:p>
    <w:p w14:paraId="19FCAAA9">
      <w:pPr>
        <w:pStyle w:val="252"/>
        <w:bidi w:val="0"/>
        <w:rPr>
          <w:rFonts w:cs="Times New Roman"/>
        </w:rPr>
      </w:pPr>
      <w:r>
        <w:rPr>
          <w:rFonts w:cs="Times New Roman"/>
        </w:rPr>
        <w:t>式中：ΔTt——环境温度影响，%；</w:t>
      </w:r>
    </w:p>
    <w:p w14:paraId="359EE4B9">
      <w:pPr>
        <w:pStyle w:val="252"/>
        <w:bidi w:val="0"/>
        <w:rPr>
          <w:rFonts w:cs="Times New Roman"/>
        </w:rPr>
      </w:pPr>
      <w:r>
        <w:rPr>
          <w:rFonts w:cs="Times New Roman"/>
        </w:rPr>
        <w:t>Ci——t为5℃或者40℃时3次测定值平均值，mg/L；</w:t>
      </w:r>
    </w:p>
    <w:p w14:paraId="0F2BCD36">
      <w:pPr>
        <w:pStyle w:val="252"/>
        <w:bidi w:val="0"/>
        <w:rPr>
          <w:rFonts w:cs="Times New Roman"/>
        </w:rPr>
      </w:pPr>
      <w:r>
        <w:rPr>
          <w:rFonts w:cs="Times New Roman"/>
        </w:rPr>
        <w:t>Cs——20℃条件下9次测量的平均值，mg/L。</w:t>
      </w:r>
    </w:p>
    <w:p w14:paraId="5DE344E7">
      <w:pPr>
        <w:pStyle w:val="60"/>
        <w:rPr>
          <w:b/>
        </w:rPr>
      </w:pPr>
    </w:p>
    <w:p w14:paraId="16C70B94">
      <w:pPr>
        <w:pStyle w:val="252"/>
        <w:bidi w:val="0"/>
        <w:rPr>
          <w:rFonts w:hint="eastAsia" w:cs="Times New Roman"/>
          <w:lang w:eastAsia="zh-CN"/>
        </w:rPr>
      </w:pPr>
      <w:r>
        <w:rPr>
          <w:rFonts w:cs="Times New Roman"/>
        </w:rPr>
        <w:t>仪器正常运行期间，选择五种不同类型的实际水样，五种水样的化学需氧量（COD</w:t>
      </w:r>
      <w:r>
        <w:rPr>
          <w:rFonts w:cs="Times New Roman"/>
          <w:vertAlign w:val="subscript"/>
        </w:rPr>
        <w:t>Cr</w:t>
      </w:r>
      <w:r>
        <w:rPr>
          <w:rFonts w:cs="Times New Roman"/>
        </w:rPr>
        <w:t>）浓度基本平均分布在基本检测范围内。采用化学需氧量（COD</w:t>
      </w:r>
      <w:r>
        <w:rPr>
          <w:rFonts w:cs="Times New Roman"/>
          <w:vertAlign w:val="subscript"/>
        </w:rPr>
        <w:t>Cr</w:t>
      </w:r>
      <w:r>
        <w:rPr>
          <w:rFonts w:cs="Times New Roman"/>
        </w:rPr>
        <w:t>）水质在线自动监测仪连续测量该水样n（n≥10）次，每次测量值记为Xi，采用实验室标准分析方法HJ828或HJ/T70（高氯废水）对该水样分析n’（n’≥3）次，n’次测量值的平均值记为B。</w:t>
      </w:r>
    </w:p>
    <w:p w14:paraId="66557AD5">
      <w:pPr>
        <w:pStyle w:val="252"/>
        <w:bidi w:val="0"/>
        <w:rPr>
          <w:rFonts w:cs="Times New Roman"/>
        </w:rPr>
      </w:pPr>
      <w:r>
        <w:rPr>
          <w:rFonts w:cs="Times New Roman"/>
        </w:rPr>
        <w:t>当化学需氧量（COD</w:t>
      </w:r>
      <w:r>
        <w:rPr>
          <w:rFonts w:cs="Times New Roman"/>
          <w:vertAlign w:val="subscript"/>
        </w:rPr>
        <w:t>Cr</w:t>
      </w:r>
      <w:r>
        <w:rPr>
          <w:rFonts w:cs="Times New Roman"/>
        </w:rPr>
        <w:t>）≥50mg/L时，计算每种水样相对误差绝对值的平均值（</w:t>
      </w:r>
      <w:r>
        <w:rPr>
          <w:rFonts w:cs="Times New Roman"/>
        </w:rPr>
        <w:sym w:font="Symbol" w:char="0060"/>
      </w:r>
      <w:r>
        <w:rPr>
          <w:rFonts w:cs="Times New Roman"/>
        </w:rPr>
        <w:t>A），计算方法见公式（11）。</w:t>
      </w:r>
    </w:p>
    <w:p w14:paraId="1A682E2E">
      <w:pPr>
        <w:spacing w:line="771" w:lineRule="exact"/>
        <w:ind w:left="3157"/>
      </w:pPr>
      <w:r>
        <w:rPr>
          <w:position w:val="-15"/>
        </w:rPr>
        <w:drawing>
          <wp:inline distT="0" distB="0" distL="0" distR="0">
            <wp:extent cx="3204845" cy="489585"/>
            <wp:effectExtent l="0" t="0" r="14605" b="5715"/>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3"/>
                    <a:stretch>
                      <a:fillRect/>
                    </a:stretch>
                  </pic:blipFill>
                  <pic:spPr>
                    <a:xfrm>
                      <a:off x="0" y="0"/>
                      <a:ext cx="3205350" cy="489848"/>
                    </a:xfrm>
                    <a:prstGeom prst="rect">
                      <a:avLst/>
                    </a:prstGeom>
                  </pic:spPr>
                </pic:pic>
              </a:graphicData>
            </a:graphic>
          </wp:inline>
        </w:drawing>
      </w:r>
    </w:p>
    <w:p w14:paraId="3C3EA294">
      <w:pPr>
        <w:pStyle w:val="252"/>
        <w:bidi w:val="0"/>
        <w:rPr>
          <w:rFonts w:cs="Times New Roman"/>
        </w:rPr>
      </w:pPr>
      <w:r>
        <w:rPr>
          <w:rFonts w:cs="Times New Roman"/>
        </w:rPr>
        <w:t>当水样浓度为化学需氧量（COD</w:t>
      </w:r>
      <w:r>
        <w:rPr>
          <w:rFonts w:cs="Times New Roman"/>
          <w:vertAlign w:val="subscript"/>
        </w:rPr>
        <w:t>Cr</w:t>
      </w:r>
      <w:r>
        <w:rPr>
          <w:rFonts w:cs="Times New Roman"/>
        </w:rPr>
        <w:t>）＜50mg/L时，计算水样相对误差绝对值的平均值（a），计算方法见公式（12）。</w:t>
      </w:r>
    </w:p>
    <w:p w14:paraId="6BBA53D7">
      <w:pPr>
        <w:pStyle w:val="60"/>
        <w:rPr>
          <w:b/>
        </w:rPr>
      </w:pPr>
    </w:p>
    <w:p w14:paraId="53AC1CFB">
      <w:pPr>
        <w:pStyle w:val="60"/>
        <w:jc w:val="center"/>
        <w:rPr>
          <w:b/>
        </w:rPr>
      </w:pPr>
      <w:r>
        <w:rPr>
          <w:rFonts w:hint="eastAsia"/>
          <w:b/>
          <w:lang w:val="en-US" w:eastAsia="zh-CN"/>
        </w:rPr>
        <w:t xml:space="preserve">                  </w:t>
      </w:r>
      <w:r>
        <w:rPr>
          <w:b/>
        </w:rPr>
        <w:drawing>
          <wp:inline distT="0" distB="0" distL="0" distR="0">
            <wp:extent cx="887730" cy="508000"/>
            <wp:effectExtent l="0" t="0" r="7620" b="635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4"/>
                    <a:stretch>
                      <a:fillRect/>
                    </a:stretch>
                  </pic:blipFill>
                  <pic:spPr>
                    <a:xfrm>
                      <a:off x="0" y="0"/>
                      <a:ext cx="888072" cy="508062"/>
                    </a:xfrm>
                    <a:prstGeom prst="rect">
                      <a:avLst/>
                    </a:prstGeom>
                  </pic:spPr>
                </pic:pic>
              </a:graphicData>
            </a:graphic>
          </wp:inline>
        </w:drawing>
      </w:r>
      <w:r>
        <w:rPr>
          <w:rFonts w:hint="eastAsia"/>
          <w:b/>
          <w:lang w:val="en-US" w:eastAsia="zh-CN"/>
        </w:rPr>
        <w:t xml:space="preserve">                              </w:t>
      </w:r>
      <w:r>
        <w:rPr>
          <w:b w:val="0"/>
          <w:bCs/>
        </w:rPr>
        <w:t>（12）</w:t>
      </w:r>
    </w:p>
    <w:p w14:paraId="4820CD94">
      <w:pPr>
        <w:pStyle w:val="252"/>
        <w:bidi w:val="0"/>
        <w:rPr>
          <w:rFonts w:cs="Times New Roman"/>
        </w:rPr>
      </w:pPr>
      <w:r>
        <w:rPr>
          <w:rFonts w:cs="Times New Roman"/>
        </w:rPr>
        <w:t>式中：</w:t>
      </w:r>
      <w:r>
        <w:rPr>
          <w:rFonts w:cs="Times New Roman"/>
        </w:rPr>
        <w:sym w:font="Symbol" w:char="0060"/>
      </w:r>
      <w:r>
        <w:rPr>
          <w:rFonts w:cs="Times New Roman"/>
        </w:rPr>
        <w:t>A——水样相对误差绝对值的平均值，%；</w:t>
      </w:r>
    </w:p>
    <w:p w14:paraId="7D0F643E">
      <w:pPr>
        <w:pStyle w:val="252"/>
        <w:bidi w:val="0"/>
        <w:rPr>
          <w:rFonts w:cs="Times New Roman"/>
        </w:rPr>
      </w:pPr>
      <w:r>
        <w:rPr>
          <w:rFonts w:cs="Times New Roman"/>
        </w:rPr>
        <w:sym w:font="Symbol" w:char="0060"/>
      </w:r>
      <w:r>
        <w:rPr>
          <w:rFonts w:cs="Times New Roman"/>
        </w:rPr>
        <w:t>a——水样绝对误差绝对值的平均值，mg/L；</w:t>
      </w:r>
    </w:p>
    <w:p w14:paraId="442CCECE">
      <w:pPr>
        <w:pStyle w:val="252"/>
        <w:bidi w:val="0"/>
        <w:rPr>
          <w:rFonts w:cs="Times New Roman"/>
        </w:rPr>
      </w:pPr>
      <w:r>
        <w:rPr>
          <w:rFonts w:cs="Times New Roman"/>
        </w:rPr>
        <w:t>Xi——化学需氧量（COD</w:t>
      </w:r>
      <w:r>
        <w:rPr>
          <w:rFonts w:cs="Times New Roman"/>
          <w:vertAlign w:val="subscript"/>
        </w:rPr>
        <w:t>Cr</w:t>
      </w:r>
      <w:r>
        <w:rPr>
          <w:rFonts w:cs="Times New Roman"/>
        </w:rPr>
        <w:t>）水质在线自动监测仪测定水样第i次的测量值，mg/L；B——手工方法测定水样的平均值，mg/L；</w:t>
      </w:r>
    </w:p>
    <w:p w14:paraId="78E18431">
      <w:pPr>
        <w:pStyle w:val="252"/>
        <w:bidi w:val="0"/>
        <w:rPr>
          <w:rFonts w:cs="Times New Roman"/>
        </w:rPr>
      </w:pPr>
      <w:r>
        <w:rPr>
          <w:rFonts w:cs="Times New Roman"/>
        </w:rPr>
        <w:t>n——化学需氧量（COD</w:t>
      </w:r>
      <w:r>
        <w:rPr>
          <w:rFonts w:cs="Times New Roman"/>
          <w:vertAlign w:val="subscript"/>
        </w:rPr>
        <w:t>Cr</w:t>
      </w:r>
      <w:r>
        <w:rPr>
          <w:rFonts w:cs="Times New Roman"/>
        </w:rPr>
        <w:t>）水质在线自动监测仪测量水样次数；</w:t>
      </w:r>
    </w:p>
    <w:p w14:paraId="69A7808C">
      <w:pPr>
        <w:pStyle w:val="252"/>
        <w:bidi w:val="0"/>
        <w:rPr>
          <w:rFonts w:hint="eastAsia" w:cs="Times New Roman"/>
        </w:rPr>
      </w:pPr>
      <w:r>
        <w:rPr>
          <w:rFonts w:cs="Times New Roman"/>
        </w:rPr>
        <w:t>i——化学需氧量（COD</w:t>
      </w:r>
      <w:r>
        <w:rPr>
          <w:rFonts w:cs="Times New Roman"/>
          <w:vertAlign w:val="subscript"/>
        </w:rPr>
        <w:t>Cr</w:t>
      </w:r>
      <w:r>
        <w:rPr>
          <w:rFonts w:cs="Times New Roman"/>
        </w:rPr>
        <w:t>）水质在线自动监测仪第i次测量水样。</w:t>
      </w:r>
    </w:p>
    <w:p w14:paraId="7D2D2A20">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9.3.10 最小维护周期</w:t>
      </w:r>
    </w:p>
    <w:p w14:paraId="0869810E">
      <w:pPr>
        <w:pStyle w:val="252"/>
        <w:bidi w:val="0"/>
        <w:rPr>
          <w:rFonts w:cs="Times New Roman"/>
        </w:rPr>
      </w:pPr>
      <w:r>
        <w:rPr>
          <w:rFonts w:cs="Times New Roman"/>
        </w:rPr>
        <w:t>在整个仪器检测周期中，任何两次对仪器的维护（包括倾倒废液、添加试剂、更换量程及其他维修维护）间隔应≥168h。</w:t>
      </w:r>
    </w:p>
    <w:p w14:paraId="1208BC64">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9.3.11 有效数据率</w:t>
      </w:r>
    </w:p>
    <w:p w14:paraId="581923EA">
      <w:pPr>
        <w:pStyle w:val="252"/>
        <w:bidi w:val="0"/>
        <w:rPr>
          <w:rFonts w:cs="Times New Roman"/>
        </w:rPr>
      </w:pPr>
      <w:r>
        <w:rPr>
          <w:rFonts w:cs="Times New Roman"/>
        </w:rPr>
        <w:t>在整个仪器检测周期中，有效的数据为：</w:t>
      </w:r>
    </w:p>
    <w:p w14:paraId="29FB8C08">
      <w:pPr>
        <w:pStyle w:val="252"/>
        <w:bidi w:val="0"/>
        <w:rPr>
          <w:rFonts w:cs="Times New Roman"/>
        </w:rPr>
      </w:pPr>
      <w:r>
        <w:rPr>
          <w:rFonts w:cs="Times New Roman"/>
        </w:rPr>
        <w:t>a)当仪器在进行本标准中规定的项目检测（不包含环境温度干扰）时，运行测量的显示值满足本标准表1中各项指标（不包括有效数据率指标）的要求；</w:t>
      </w:r>
    </w:p>
    <w:p w14:paraId="6943D89C">
      <w:pPr>
        <w:pStyle w:val="252"/>
        <w:bidi w:val="0"/>
        <w:rPr>
          <w:rFonts w:cs="Times New Roman"/>
        </w:rPr>
      </w:pPr>
      <w:r>
        <w:rPr>
          <w:rFonts w:cs="Times New Roman"/>
        </w:rPr>
        <w:t>b)当仪器在进行本标准中规定的项目检测之外时，仪器应测定某特定浓度标准溶液，测量值应满足示值误差位于±10%范围内的要求。</w:t>
      </w:r>
    </w:p>
    <w:p w14:paraId="46FCABB4">
      <w:pPr>
        <w:pStyle w:val="252"/>
        <w:bidi w:val="0"/>
        <w:rPr>
          <w:rFonts w:ascii="宋体" w:hAnsi="宋体" w:eastAsia="宋体" w:cs="宋体"/>
          <w:sz w:val="20"/>
          <w:szCs w:val="20"/>
        </w:rPr>
      </w:pPr>
      <w:r>
        <w:rPr>
          <w:rFonts w:cs="Times New Roman"/>
        </w:rPr>
        <w:t>不满足上述两条或缺失数据为无效值。实际有效数据（不包含环境温度干扰）的数目相对于检测周期内应得到的所有数据（不包含环境温度干扰）的数目的百分比，即为有效数据率，计算方法见公式（13）。</w:t>
      </w:r>
    </w:p>
    <w:p w14:paraId="72E980EA">
      <w:pPr>
        <w:spacing w:line="240" w:lineRule="auto"/>
        <w:ind w:right="0"/>
        <w:jc w:val="right"/>
        <w:rPr>
          <w:rFonts w:ascii="宋体" w:hAnsi="宋体" w:eastAsia="宋体" w:cs="宋体"/>
          <w:sz w:val="20"/>
          <w:szCs w:val="20"/>
        </w:rPr>
      </w:pPr>
      <w:r>
        <w:rPr>
          <w:rFonts w:ascii="Times New Roman" w:hAnsi="Times New Roman" w:eastAsia="Times New Roman" w:cs="Times New Roman"/>
          <w:i/>
          <w:iCs/>
          <w:spacing w:val="4"/>
          <w:sz w:val="23"/>
          <w:szCs w:val="23"/>
        </w:rPr>
        <w:t>D</w:t>
      </w:r>
      <w:r>
        <w:rPr>
          <w:position w:val="-24"/>
          <w:sz w:val="23"/>
          <w:szCs w:val="23"/>
        </w:rPr>
        <w:drawing>
          <wp:inline distT="0" distB="0" distL="0" distR="0">
            <wp:extent cx="750570" cy="344805"/>
            <wp:effectExtent l="0" t="0" r="11430" b="17145"/>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5"/>
                    <a:stretch>
                      <a:fillRect/>
                    </a:stretch>
                  </pic:blipFill>
                  <pic:spPr>
                    <a:xfrm>
                      <a:off x="0" y="0"/>
                      <a:ext cx="750884" cy="345406"/>
                    </a:xfrm>
                    <a:prstGeom prst="rect">
                      <a:avLst/>
                    </a:prstGeom>
                  </pic:spPr>
                </pic:pic>
              </a:graphicData>
            </a:graphic>
          </wp:inline>
        </w:drawing>
      </w:r>
      <w:r>
        <w:rPr>
          <w:rFonts w:hint="eastAsia"/>
          <w:position w:val="-24"/>
          <w:sz w:val="23"/>
          <w:szCs w:val="23"/>
          <w:lang w:val="en-US" w:eastAsia="zh-CN"/>
        </w:rPr>
        <w:t xml:space="preserve">                         </w:t>
      </w:r>
      <w:r>
        <w:rPr>
          <w:rFonts w:ascii="宋体" w:hAnsi="宋体" w:eastAsia="宋体" w:cs="宋体"/>
          <w:spacing w:val="4"/>
          <w:position w:val="1"/>
          <w:sz w:val="20"/>
          <w:szCs w:val="20"/>
        </w:rPr>
        <w:t>（</w:t>
      </w:r>
      <w:r>
        <w:rPr>
          <w:rFonts w:ascii="Times New Roman" w:hAnsi="Times New Roman" w:eastAsia="Times New Roman" w:cs="Times New Roman"/>
          <w:spacing w:val="4"/>
          <w:position w:val="1"/>
          <w:sz w:val="20"/>
          <w:szCs w:val="20"/>
        </w:rPr>
        <w:t>13</w:t>
      </w:r>
      <w:r>
        <w:rPr>
          <w:rFonts w:ascii="宋体" w:hAnsi="宋体" w:eastAsia="宋体" w:cs="宋体"/>
          <w:spacing w:val="4"/>
          <w:position w:val="1"/>
          <w:sz w:val="20"/>
          <w:szCs w:val="20"/>
        </w:rPr>
        <w:t>）</w:t>
      </w:r>
    </w:p>
    <w:p w14:paraId="258534D1">
      <w:pPr>
        <w:pStyle w:val="252"/>
        <w:bidi w:val="0"/>
        <w:rPr>
          <w:rFonts w:cs="Times New Roman"/>
        </w:rPr>
      </w:pPr>
    </w:p>
    <w:p w14:paraId="4DA4B29A">
      <w:pPr>
        <w:pStyle w:val="252"/>
        <w:bidi w:val="0"/>
        <w:rPr>
          <w:rFonts w:cs="Times New Roman"/>
        </w:rPr>
      </w:pPr>
      <w:r>
        <w:rPr>
          <w:rFonts w:cs="Times New Roman"/>
        </w:rPr>
        <w:t>式中：D——有效数据率，%；</w:t>
      </w:r>
    </w:p>
    <w:p w14:paraId="79581020">
      <w:pPr>
        <w:pStyle w:val="252"/>
        <w:bidi w:val="0"/>
        <w:rPr>
          <w:rFonts w:cs="Times New Roman"/>
        </w:rPr>
      </w:pPr>
      <w:r>
        <w:rPr>
          <w:rFonts w:cs="Times New Roman"/>
        </w:rPr>
        <w:t>De——有效数据量；</w:t>
      </w:r>
    </w:p>
    <w:p w14:paraId="5C50185D">
      <w:pPr>
        <w:pStyle w:val="252"/>
        <w:bidi w:val="0"/>
        <w:rPr>
          <w:rFonts w:cs="Times New Roman"/>
        </w:rPr>
      </w:pPr>
      <w:r>
        <w:rPr>
          <w:rFonts w:cs="Times New Roman"/>
        </w:rPr>
        <w:t>Dt——所有数据量。</w:t>
      </w:r>
    </w:p>
    <w:p w14:paraId="0683408C">
      <w:pPr>
        <w:pStyle w:val="264"/>
        <w:numPr>
          <w:ilvl w:val="2"/>
          <w:numId w:val="0"/>
        </w:numPr>
        <w:bidi w:val="0"/>
        <w:ind w:leftChars="0"/>
        <w:rPr>
          <w:rFonts w:hint="eastAsia" w:hAnsi="黑体" w:cs="黑体"/>
          <w:spacing w:val="11"/>
          <w:sz w:val="20"/>
          <w:szCs w:val="20"/>
          <w:lang w:val="en-US" w:eastAsia="zh-CN"/>
        </w:rPr>
      </w:pPr>
      <w:r>
        <w:rPr>
          <w:rFonts w:hint="eastAsia" w:hAnsi="黑体" w:cs="黑体"/>
          <w:spacing w:val="11"/>
          <w:sz w:val="20"/>
          <w:szCs w:val="20"/>
          <w:lang w:val="en-US" w:eastAsia="zh-CN"/>
        </w:rPr>
        <w:t>9.3.12 一致性</w:t>
      </w:r>
    </w:p>
    <w:p w14:paraId="63793B9C">
      <w:pPr>
        <w:pStyle w:val="252"/>
        <w:bidi w:val="0"/>
        <w:rPr>
          <w:rFonts w:cs="Times New Roman"/>
        </w:rPr>
      </w:pPr>
      <w:r>
        <w:rPr>
          <w:rFonts w:cs="Times New Roman"/>
        </w:rPr>
        <w:t>仪器正常运行期间，抽取至少三台仪器，1h测试一次，获得168组数据Ci,j（其中i是仪器编号，j是水样编号），按照公式（14）计算第j时段浓度数据的相对标准偏差Sj，再按照公式（15）计算数据的一致性S。</w:t>
      </w:r>
    </w:p>
    <w:p w14:paraId="61026163">
      <w:pPr>
        <w:pStyle w:val="252"/>
        <w:bidi w:val="0"/>
        <w:rPr>
          <w:rFonts w:cs="Times New Roman"/>
        </w:rPr>
      </w:pPr>
      <w:r>
        <w:rPr>
          <w:rFonts w:cs="Times New Roman"/>
        </w:rPr>
        <w:t>当Sj＞10%时，视为S＜90%。</w:t>
      </w:r>
    </w:p>
    <w:p w14:paraId="792F6528">
      <w:pPr>
        <w:pStyle w:val="60"/>
        <w:rPr>
          <w:b/>
        </w:rPr>
      </w:pPr>
    </w:p>
    <w:p w14:paraId="2257E6C8">
      <w:pPr>
        <w:pStyle w:val="60"/>
        <w:jc w:val="right"/>
        <w:rPr>
          <w:position w:val="-25"/>
        </w:rPr>
      </w:pPr>
      <w:r>
        <w:rPr>
          <w:position w:val="-25"/>
        </w:rPr>
        <w:drawing>
          <wp:inline distT="0" distB="0" distL="0" distR="0">
            <wp:extent cx="3752215" cy="791210"/>
            <wp:effectExtent l="0" t="0" r="635" b="889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6"/>
                    <a:stretch>
                      <a:fillRect/>
                    </a:stretch>
                  </pic:blipFill>
                  <pic:spPr>
                    <a:xfrm>
                      <a:off x="0" y="0"/>
                      <a:ext cx="3752355" cy="791438"/>
                    </a:xfrm>
                    <a:prstGeom prst="rect">
                      <a:avLst/>
                    </a:prstGeom>
                  </pic:spPr>
                </pic:pic>
              </a:graphicData>
            </a:graphic>
          </wp:inline>
        </w:drawing>
      </w:r>
    </w:p>
    <w:p w14:paraId="212AA9CD">
      <w:pPr>
        <w:pStyle w:val="60"/>
        <w:jc w:val="right"/>
        <w:rPr>
          <w:position w:val="-25"/>
        </w:rPr>
      </w:pPr>
      <w:r>
        <w:rPr>
          <w:position w:val="-25"/>
        </w:rPr>
        <w:drawing>
          <wp:inline distT="0" distB="0" distL="0" distR="0">
            <wp:extent cx="3477895" cy="789305"/>
            <wp:effectExtent l="0" t="0" r="8255" b="10795"/>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7"/>
                    <a:stretch>
                      <a:fillRect/>
                    </a:stretch>
                  </pic:blipFill>
                  <pic:spPr>
                    <a:xfrm>
                      <a:off x="0" y="0"/>
                      <a:ext cx="3477917" cy="789737"/>
                    </a:xfrm>
                    <a:prstGeom prst="rect">
                      <a:avLst/>
                    </a:prstGeom>
                  </pic:spPr>
                </pic:pic>
              </a:graphicData>
            </a:graphic>
          </wp:inline>
        </w:drawing>
      </w:r>
    </w:p>
    <w:p w14:paraId="112407FE">
      <w:pPr>
        <w:pStyle w:val="60"/>
        <w:rPr>
          <w:position w:val="-25"/>
        </w:rPr>
      </w:pPr>
    </w:p>
    <w:p w14:paraId="4BC64D45">
      <w:pPr>
        <w:pStyle w:val="252"/>
        <w:bidi w:val="0"/>
        <w:rPr>
          <w:rFonts w:cs="Times New Roman"/>
        </w:rPr>
      </w:pPr>
      <w:r>
        <w:rPr>
          <w:rFonts w:cs="Times New Roman"/>
        </w:rPr>
        <w:t>式中：n——仪器的总台数，n≥3；</w:t>
      </w:r>
    </w:p>
    <w:p w14:paraId="44BC5DAF">
      <w:pPr>
        <w:pStyle w:val="252"/>
        <w:bidi w:val="0"/>
        <w:rPr>
          <w:rFonts w:cs="Times New Roman"/>
        </w:rPr>
      </w:pPr>
      <w:r>
        <w:rPr>
          <w:rFonts w:cs="Times New Roman"/>
        </w:rPr>
        <w:t>m——水样编号总数；</w:t>
      </w:r>
    </w:p>
    <w:p w14:paraId="4CD0B71F">
      <w:pPr>
        <w:pStyle w:val="252"/>
        <w:bidi w:val="0"/>
        <w:rPr>
          <w:rFonts w:cs="Times New Roman"/>
        </w:rPr>
      </w:pPr>
      <w:r>
        <w:rPr>
          <w:rFonts w:cs="Times New Roman"/>
        </w:rPr>
        <w:t>Ci,j——第i台仪器j水样数据Ci,j，其中i=1，2，3，…,n，j=1，2，3，…,m；</w:t>
      </w:r>
    </w:p>
    <w:p w14:paraId="0205027B">
      <w:pPr>
        <w:pStyle w:val="252"/>
        <w:bidi w:val="0"/>
        <w:rPr>
          <w:rFonts w:cs="Times New Roman"/>
        </w:rPr>
      </w:pPr>
      <w:r>
        <w:rPr>
          <w:rFonts w:cs="Times New Roman"/>
        </w:rPr>
        <w:t>Sj——第j时段数据的相对标准偏差，%；</w:t>
      </w:r>
    </w:p>
    <w:p w14:paraId="0B5A4880">
      <w:pPr>
        <w:pStyle w:val="252"/>
        <w:bidi w:val="0"/>
        <w:rPr>
          <w:rFonts w:cs="Times New Roman"/>
        </w:rPr>
      </w:pPr>
      <w:r>
        <w:rPr>
          <w:rFonts w:cs="Times New Roman"/>
        </w:rPr>
        <w:t>S——一致性，%。</w:t>
      </w:r>
    </w:p>
    <w:p w14:paraId="696819CF">
      <w:pPr>
        <w:pStyle w:val="60"/>
        <w:rPr>
          <w:b/>
        </w:rPr>
      </w:pPr>
    </w:p>
    <w:p w14:paraId="373B17A4">
      <w:pPr>
        <w:pStyle w:val="108"/>
        <w:spacing w:before="240" w:after="240"/>
        <w:rPr>
          <w:rFonts w:hint="eastAsia"/>
          <w:lang w:eastAsia="zh-CN"/>
        </w:rPr>
      </w:pPr>
      <w:bookmarkStart w:id="97" w:name="_Toc22301"/>
      <w:r>
        <w:rPr>
          <w:rFonts w:hint="eastAsia"/>
          <w:lang w:eastAsia="zh-CN"/>
        </w:rPr>
        <w:t>操作维护与质量控制</w:t>
      </w:r>
      <w:bookmarkEnd w:id="97"/>
    </w:p>
    <w:p w14:paraId="44A5FA54">
      <w:pPr>
        <w:pStyle w:val="109"/>
        <w:spacing w:before="120" w:after="120"/>
        <w:rPr>
          <w:rFonts w:hint="eastAsia"/>
          <w:lang w:val="en-US" w:eastAsia="zh-CN"/>
        </w:rPr>
      </w:pPr>
      <w:bookmarkStart w:id="98" w:name="_Toc20433"/>
      <w:r>
        <w:rPr>
          <w:rFonts w:hint="eastAsia"/>
          <w:lang w:val="en-US" w:eastAsia="zh-CN"/>
        </w:rPr>
        <w:t>操作说明书</w:t>
      </w:r>
      <w:bookmarkEnd w:id="98"/>
    </w:p>
    <w:p w14:paraId="185E75DF">
      <w:pPr>
        <w:pStyle w:val="252"/>
        <w:bidi w:val="0"/>
        <w:rPr>
          <w:rFonts w:hint="eastAsia" w:ascii="宋体" w:hAnsi="宋体" w:eastAsia="宋体" w:cs="宋体"/>
          <w:sz w:val="24"/>
          <w:szCs w:val="24"/>
        </w:rPr>
      </w:pPr>
      <w:r>
        <w:rPr>
          <w:rFonts w:hint="eastAsia" w:hAnsi="宋体" w:cs="Times New Roman"/>
          <w:lang w:val="en-US" w:eastAsia="zh-CN"/>
        </w:rPr>
        <w:t>仪器的操作说明书应符合GB/T 9969，至少包括以下内容：现场安装条件及方法、仪器操作方法、部件及试剂标识、校正液的配制方法、试剂使用方法、常见故障处理、废液处置方法、日常维护说明及其他注意事项等。</w:t>
      </w:r>
    </w:p>
    <w:p w14:paraId="15FA002E">
      <w:pPr>
        <w:pStyle w:val="109"/>
        <w:spacing w:before="120" w:after="120"/>
        <w:rPr>
          <w:rFonts w:hint="eastAsia"/>
          <w:lang w:val="en-US" w:eastAsia="zh-CN"/>
        </w:rPr>
      </w:pPr>
      <w:bookmarkStart w:id="99" w:name="_Toc4349"/>
      <w:r>
        <w:rPr>
          <w:rFonts w:hint="eastAsia"/>
          <w:lang w:val="en-US" w:eastAsia="zh-CN"/>
        </w:rPr>
        <w:t>本数据存储与传输</w:t>
      </w:r>
      <w:bookmarkEnd w:id="99"/>
    </w:p>
    <w:p w14:paraId="552A233A">
      <w:pPr>
        <w:pStyle w:val="252"/>
        <w:bidi w:val="0"/>
        <w:rPr>
          <w:rFonts w:hint="eastAsia" w:cs="宋体"/>
          <w:sz w:val="24"/>
          <w:szCs w:val="24"/>
          <w:lang w:eastAsia="zh-CN"/>
        </w:rPr>
      </w:pPr>
      <w:r>
        <w:rPr>
          <w:rFonts w:hint="eastAsia" w:hAnsi="宋体" w:cs="Times New Roman"/>
          <w:lang w:val="en-US" w:eastAsia="zh-CN"/>
        </w:rPr>
        <w:t>仪器自动存储至少12个月的原始检测数据、运行日志、校准记录。</w:t>
      </w:r>
    </w:p>
    <w:p w14:paraId="45ECC4C3">
      <w:pPr>
        <w:pStyle w:val="109"/>
        <w:spacing w:before="120" w:after="120"/>
        <w:rPr>
          <w:rFonts w:hint="eastAsia"/>
          <w:lang w:val="en-US" w:eastAsia="zh-CN"/>
        </w:rPr>
      </w:pPr>
      <w:bookmarkStart w:id="100" w:name="_Toc12875"/>
      <w:r>
        <w:rPr>
          <w:rFonts w:hint="eastAsia"/>
          <w:lang w:val="en-US" w:eastAsia="zh-CN"/>
        </w:rPr>
        <w:t>试剂质量控制</w:t>
      </w:r>
      <w:bookmarkEnd w:id="100"/>
    </w:p>
    <w:p w14:paraId="2BAD4DC5">
      <w:pPr>
        <w:pStyle w:val="252"/>
        <w:bidi w:val="0"/>
        <w:rPr>
          <w:rFonts w:hint="eastAsia" w:hAnsi="宋体" w:cs="Times New Roman"/>
          <w:lang w:val="en-US" w:eastAsia="zh-CN"/>
        </w:rPr>
      </w:pPr>
      <w:r>
        <w:rPr>
          <w:rFonts w:hint="eastAsia" w:hAnsi="宋体" w:cs="Times New Roman"/>
          <w:lang w:val="en-US" w:eastAsia="zh-CN"/>
        </w:rPr>
        <w:t>所有试剂为分析纯及以上级别，实验用水为无还原性蒸馏水；</w:t>
      </w:r>
    </w:p>
    <w:p w14:paraId="370E09D5">
      <w:pPr>
        <w:pStyle w:val="252"/>
        <w:bidi w:val="0"/>
        <w:rPr>
          <w:rFonts w:hint="eastAsia" w:hAnsi="宋体" w:cs="Times New Roman"/>
          <w:lang w:val="en-US" w:eastAsia="zh-CN"/>
        </w:rPr>
      </w:pPr>
      <w:r>
        <w:rPr>
          <w:rFonts w:hint="eastAsia" w:hAnsi="宋体" w:cs="Times New Roman"/>
          <w:lang w:val="en-US" w:eastAsia="zh-CN"/>
        </w:rPr>
        <w:t>标准溶液配制后标注日期、有效期；</w:t>
      </w:r>
    </w:p>
    <w:p w14:paraId="0B95B65B">
      <w:pPr>
        <w:pStyle w:val="252"/>
        <w:bidi w:val="0"/>
        <w:rPr>
          <w:rFonts w:hint="eastAsia" w:ascii="宋体" w:hAnsi="宋体" w:eastAsia="宋体" w:cs="宋体"/>
          <w:sz w:val="24"/>
          <w:szCs w:val="24"/>
          <w:lang w:eastAsia="zh-CN"/>
        </w:rPr>
      </w:pPr>
      <w:r>
        <w:rPr>
          <w:rFonts w:hint="eastAsia" w:hAnsi="宋体" w:cs="Times New Roman"/>
          <w:lang w:val="en-US" w:eastAsia="zh-CN"/>
        </w:rPr>
        <w:t>更换试剂后需重新校准仪器，校准曲线相关系数R≥0.99。</w:t>
      </w:r>
    </w:p>
    <w:p w14:paraId="12CB0395">
      <w:pPr>
        <w:pStyle w:val="109"/>
        <w:spacing w:before="120" w:after="120"/>
        <w:rPr>
          <w:rFonts w:hint="eastAsia"/>
          <w:lang w:val="en-US" w:eastAsia="zh-CN"/>
        </w:rPr>
      </w:pPr>
      <w:bookmarkStart w:id="101" w:name="_Toc11228"/>
      <w:r>
        <w:rPr>
          <w:rFonts w:hint="eastAsia"/>
          <w:lang w:val="en-US" w:eastAsia="zh-CN"/>
        </w:rPr>
        <w:t>仪器质量控制</w:t>
      </w:r>
      <w:bookmarkEnd w:id="101"/>
    </w:p>
    <w:p w14:paraId="19586C03">
      <w:pPr>
        <w:pStyle w:val="252"/>
        <w:bidi w:val="0"/>
        <w:rPr>
          <w:rFonts w:hint="eastAsia" w:hAnsi="宋体" w:cs="Times New Roman"/>
          <w:lang w:val="en-US" w:eastAsia="zh-CN"/>
        </w:rPr>
      </w:pPr>
      <w:r>
        <w:rPr>
          <w:rFonts w:hint="eastAsia" w:hAnsi="宋体" w:cs="Times New Roman"/>
          <w:lang w:val="en-US" w:eastAsia="zh-CN"/>
        </w:rPr>
        <w:t>开机后做空白试验，空白吸光度≤0.005Abs；</w:t>
      </w:r>
    </w:p>
    <w:p w14:paraId="24C4A1F2">
      <w:pPr>
        <w:pStyle w:val="252"/>
        <w:bidi w:val="0"/>
        <w:rPr>
          <w:rFonts w:hint="eastAsia" w:hAnsi="宋体" w:cs="Times New Roman"/>
          <w:lang w:val="en-US" w:eastAsia="zh-CN"/>
        </w:rPr>
      </w:pPr>
      <w:r>
        <w:rPr>
          <w:rFonts w:hint="eastAsia" w:hAnsi="宋体" w:cs="Times New Roman"/>
          <w:lang w:val="en-US" w:eastAsia="zh-CN"/>
        </w:rPr>
        <w:t>每运行一个周期进行1次零点校准+量程校准，每月进行1次全性能指标核查。</w:t>
      </w:r>
    </w:p>
    <w:p w14:paraId="443AFC86">
      <w:pPr>
        <w:pStyle w:val="109"/>
        <w:spacing w:before="120" w:after="120"/>
        <w:rPr>
          <w:rFonts w:hint="eastAsia"/>
          <w:lang w:val="en-US" w:eastAsia="zh-CN"/>
        </w:rPr>
      </w:pPr>
      <w:bookmarkStart w:id="102" w:name="_Toc17134"/>
      <w:r>
        <w:rPr>
          <w:rFonts w:hint="eastAsia"/>
          <w:lang w:val="en-US" w:eastAsia="zh-CN"/>
        </w:rPr>
        <w:t>检测过程质量控制</w:t>
      </w:r>
      <w:bookmarkEnd w:id="102"/>
    </w:p>
    <w:p w14:paraId="0CCCF8A0">
      <w:pPr>
        <w:pStyle w:val="252"/>
        <w:bidi w:val="0"/>
        <w:rPr>
          <w:rFonts w:hint="eastAsia" w:hAnsi="宋体" w:cs="Times New Roman"/>
          <w:lang w:val="en-US" w:eastAsia="zh-CN"/>
        </w:rPr>
      </w:pPr>
      <w:r>
        <w:rPr>
          <w:rFonts w:hint="eastAsia" w:hAnsi="宋体" w:cs="Times New Roman"/>
          <w:lang w:val="en-US" w:eastAsia="zh-CN"/>
        </w:rPr>
        <w:t>检测同步做空白试验，空白值≤5mg/L；</w:t>
      </w:r>
    </w:p>
    <w:p w14:paraId="3E443981">
      <w:pPr>
        <w:pStyle w:val="252"/>
        <w:bidi w:val="0"/>
        <w:rPr>
          <w:rFonts w:hint="eastAsia" w:hAnsi="宋体" w:cs="Times New Roman"/>
          <w:lang w:val="en-US" w:eastAsia="zh-CN"/>
        </w:rPr>
      </w:pPr>
      <w:r>
        <w:rPr>
          <w:rFonts w:hint="eastAsia" w:hAnsi="宋体" w:cs="Times New Roman"/>
          <w:lang w:val="en-US" w:eastAsia="zh-CN"/>
        </w:rPr>
        <w:t>每24h选取1个浓度的标准溶液进行核查，示值误差≤±10%；</w:t>
      </w:r>
    </w:p>
    <w:p w14:paraId="7D724702">
      <w:pPr>
        <w:pStyle w:val="252"/>
        <w:bidi w:val="0"/>
        <w:rPr>
          <w:rFonts w:hint="eastAsia" w:hAnsi="宋体" w:cs="Times New Roman"/>
          <w:lang w:val="en-US" w:eastAsia="zh-CN"/>
        </w:rPr>
      </w:pPr>
      <w:r>
        <w:rPr>
          <w:rFonts w:hint="eastAsia" w:hAnsi="宋体" w:cs="Times New Roman"/>
          <w:lang w:val="en-US" w:eastAsia="zh-CN"/>
        </w:rPr>
        <w:t>每7d进行1次加标回收率试验，回收率控制在80%~120%；</w:t>
      </w:r>
    </w:p>
    <w:p w14:paraId="7BD97CC6">
      <w:pPr>
        <w:pStyle w:val="252"/>
        <w:bidi w:val="0"/>
        <w:rPr>
          <w:rFonts w:hint="eastAsia" w:hAnsi="宋体" w:cs="Times New Roman"/>
          <w:lang w:val="en-US" w:eastAsia="zh-CN"/>
        </w:rPr>
      </w:pPr>
      <w:r>
        <w:rPr>
          <w:rFonts w:hint="eastAsia" w:hAnsi="宋体" w:cs="Times New Roman"/>
          <w:lang w:val="en-US" w:eastAsia="zh-CN"/>
        </w:rPr>
        <w:t>每3个月开展1次实际样品比对试验，与HJ 828方法比对，相对误差≤±10%。</w:t>
      </w:r>
    </w:p>
    <w:p w14:paraId="11A910CB">
      <w:pPr>
        <w:pStyle w:val="109"/>
        <w:spacing w:before="120" w:after="120"/>
        <w:rPr>
          <w:rFonts w:hint="eastAsia"/>
          <w:lang w:val="en-US" w:eastAsia="zh-CN"/>
        </w:rPr>
      </w:pPr>
      <w:bookmarkStart w:id="103" w:name="_Toc24026"/>
      <w:r>
        <w:rPr>
          <w:rFonts w:hint="eastAsia"/>
          <w:lang w:val="en-US" w:eastAsia="zh-CN"/>
        </w:rPr>
        <w:t>数据质量控制</w:t>
      </w:r>
      <w:bookmarkEnd w:id="103"/>
    </w:p>
    <w:p w14:paraId="4C36AF1E">
      <w:pPr>
        <w:pStyle w:val="252"/>
        <w:bidi w:val="0"/>
        <w:rPr>
          <w:rFonts w:hint="eastAsia" w:hAnsi="宋体" w:cs="Times New Roman"/>
          <w:lang w:val="en-US" w:eastAsia="zh-CN"/>
        </w:rPr>
      </w:pPr>
      <w:r>
        <w:rPr>
          <w:rFonts w:hint="eastAsia" w:hAnsi="宋体" w:cs="Times New Roman"/>
          <w:lang w:val="en-US" w:eastAsia="zh-CN"/>
        </w:rPr>
        <w:t>有效数据率≥90%，连续3次无效数据时立即排查故障。</w:t>
      </w:r>
    </w:p>
    <w:p w14:paraId="30DAE78F">
      <w:pPr>
        <w:pStyle w:val="109"/>
        <w:spacing w:before="120" w:after="120"/>
        <w:rPr>
          <w:rFonts w:hint="eastAsia"/>
          <w:lang w:val="en-US" w:eastAsia="zh-CN"/>
        </w:rPr>
      </w:pPr>
      <w:bookmarkStart w:id="104" w:name="_Toc27227"/>
      <w:r>
        <w:rPr>
          <w:rFonts w:hint="eastAsia"/>
          <w:lang w:val="en-US" w:eastAsia="zh-CN"/>
        </w:rPr>
        <w:t>日常维护</w:t>
      </w:r>
      <w:bookmarkEnd w:id="104"/>
    </w:p>
    <w:p w14:paraId="159BA6C9">
      <w:pPr>
        <w:pStyle w:val="252"/>
        <w:bidi w:val="0"/>
        <w:rPr>
          <w:rFonts w:hint="eastAsia" w:hAnsi="宋体" w:cs="Times New Roman"/>
          <w:lang w:val="en-US" w:eastAsia="zh-CN"/>
        </w:rPr>
      </w:pPr>
      <w:r>
        <w:rPr>
          <w:rFonts w:hint="eastAsia" w:hAnsi="宋体" w:cs="Times New Roman"/>
          <w:lang w:val="en-US" w:eastAsia="zh-CN"/>
        </w:rPr>
        <w:t>配备专人负责仪器日常维护、试剂更换、校准核查；</w:t>
      </w:r>
    </w:p>
    <w:p w14:paraId="286EDF15">
      <w:pPr>
        <w:pStyle w:val="252"/>
        <w:bidi w:val="0"/>
        <w:rPr>
          <w:b/>
        </w:rPr>
      </w:pPr>
      <w:r>
        <w:rPr>
          <w:rFonts w:hint="eastAsia" w:hAnsi="宋体" w:cs="Times New Roman"/>
          <w:lang w:val="en-US" w:eastAsia="zh-CN"/>
        </w:rPr>
        <w:t>分析废液和清洗废水分类收集，按管理要求处理。</w:t>
      </w:r>
    </w:p>
    <w:bookmarkEnd w:id="25"/>
    <w:bookmarkEnd w:id="85"/>
    <w:bookmarkEnd w:id="86"/>
    <w:bookmarkEnd w:id="87"/>
    <w:bookmarkEnd w:id="88"/>
    <w:p w14:paraId="7E004CA6">
      <w:pPr>
        <w:shd w:val="clear" w:color="auto" w:fill="FFFFFF"/>
        <w:adjustRightInd/>
        <w:jc w:val="center"/>
        <w:rPr>
          <w:rFonts w:ascii="宋体" w:hAnsi="宋体"/>
          <w:sz w:val="24"/>
          <w:szCs w:val="24"/>
        </w:rPr>
      </w:pPr>
      <w:bookmarkStart w:id="105" w:name="BookMark5"/>
      <w:r>
        <w:rPr>
          <w:rFonts w:hint="eastAsia" w:ascii="宋体" w:hAnsi="宋体"/>
          <w:sz w:val="24"/>
          <w:szCs w:val="24"/>
        </w:rPr>
        <w:t>____________________</w:t>
      </w:r>
      <w:bookmarkEnd w:id="105"/>
    </w:p>
    <w:p w14:paraId="6CEB194D">
      <w:pPr>
        <w:shd w:val="clear" w:color="auto" w:fill="FFFFFF"/>
        <w:adjustRightInd/>
        <w:jc w:val="center"/>
      </w:pP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im Hei">
    <w:altName w:val="微软雅黑"/>
    <w:panose1 w:val="00000000000000000000"/>
    <w:charset w:val="86"/>
    <w:family w:val="swiss"/>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13D1D">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50A0F">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212FA">
    <w:pPr>
      <w:pStyle w:val="56"/>
    </w:pPr>
    <w:r>
      <w:fldChar w:fldCharType="begin"/>
    </w:r>
    <w:r>
      <w:instrText xml:space="preserve">PAGE   \* MERGEFORMAT</w:instrText>
    </w:r>
    <w:r>
      <w:fldChar w:fldCharType="separate"/>
    </w:r>
    <w:r>
      <w:rPr>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E71FB">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95302">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7B5B5">
    <w:pPr>
      <w:pStyle w:val="65"/>
    </w:pPr>
    <w:r>
      <w:fldChar w:fldCharType="begin"/>
    </w:r>
    <w:r>
      <w:instrText xml:space="preserve"> STYLEREF  标准文件_文件编号  \* MERGEFORMAT </w:instrText>
    </w:r>
    <w:r>
      <w:fldChar w:fldCharType="separate"/>
    </w:r>
    <w:r>
      <w:t>T/CMA SYXXX—2026</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0216">
    <w:pPr>
      <w:pStyle w:val="19"/>
      <w:jc w:val="right"/>
    </w:pPr>
    <w:r>
      <w:fldChar w:fldCharType="begin"/>
    </w:r>
    <w:r>
      <w:instrText xml:space="preserve"> STYLEREF  标准文件_文件编号  \* MERGEFORMAT </w:instrText>
    </w:r>
    <w:r>
      <w:fldChar w:fldCharType="separate"/>
    </w:r>
    <w:r>
      <w:t>T/CMA SYXXX—2026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2534F"/>
    <w:multiLevelType w:val="multilevel"/>
    <w:tmpl w:val="8572534F"/>
    <w:lvl w:ilvl="0" w:tentative="0">
      <w:start w:val="1"/>
      <w:numFmt w:val="decimal"/>
      <w:pStyle w:val="260"/>
      <w:suff w:val="nothing"/>
      <w:lvlText w:val="%1　"/>
      <w:lvlJc w:val="left"/>
      <w:pPr>
        <w:ind w:left="0" w:firstLine="0"/>
      </w:pPr>
      <w:rPr>
        <w:rFonts w:hint="default" w:ascii="黑体" w:hAnsi="Times New Roman" w:eastAsia="黑体"/>
        <w:b w:val="0"/>
        <w:i w:val="0"/>
        <w:sz w:val="21"/>
        <w:szCs w:val="21"/>
      </w:rPr>
    </w:lvl>
    <w:lvl w:ilvl="1" w:tentative="0">
      <w:start w:val="1"/>
      <w:numFmt w:val="decimal"/>
      <w:pStyle w:val="258"/>
      <w:suff w:val="nothing"/>
      <w:lvlText w:val="%1.%2　"/>
      <w:lvlJc w:val="left"/>
      <w:pPr>
        <w:tabs>
          <w:tab w:val="left" w:pos="0"/>
        </w:tabs>
        <w:ind w:left="0" w:firstLine="0"/>
      </w:pPr>
      <w:rPr>
        <w:rFonts w:hint="default"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0"/>
      <w:numFmt w:val="none"/>
      <w:pStyle w:val="253"/>
      <w:lvlText w:val=""/>
      <w:lvlJc w:val="left"/>
      <w:pPr>
        <w:tabs>
          <w:tab w:val="left" w:pos="360"/>
        </w:tabs>
      </w:pPr>
    </w:lvl>
    <w:lvl w:ilvl="2" w:tentative="0">
      <w:start w:val="0"/>
      <w:numFmt w:val="none"/>
      <w:lvlText w:val=""/>
      <w:lvlJc w:val="left"/>
      <w:pPr>
        <w:tabs>
          <w:tab w:val="left" w:pos="360"/>
        </w:tabs>
      </w:pPr>
    </w:lvl>
    <w:lvl w:ilvl="3" w:tentative="0">
      <w:start w:val="65024"/>
      <w:numFmt w:val="decimal"/>
      <w:lvlText w:val=""/>
      <w:lvlJc w:val="left"/>
    </w:lvl>
    <w:lvl w:ilvl="4" w:tentative="0">
      <w:start w:val="0"/>
      <w:numFmt w:val="decimal"/>
      <w:lvlText w:val="︀"/>
      <w:lvlJc w:val="left"/>
    </w:lvl>
    <w:lvl w:ilvl="5" w:tentative="0">
      <w:start w:val="0"/>
      <w:numFmt w:val="decimal"/>
      <w:lvlText w:val="̠́章标题ꎐ̖ȁā̀⠀̠ԁ一级条标题䞐̀ā̀⠀̠ԁ二级条标题"/>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25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261"/>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709"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851"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6"/>
  </w:num>
  <w:num w:numId="4">
    <w:abstractNumId w:val="25"/>
  </w:num>
  <w:num w:numId="5">
    <w:abstractNumId w:val="20"/>
  </w:num>
  <w:num w:numId="6">
    <w:abstractNumId w:val="15"/>
  </w:num>
  <w:num w:numId="7">
    <w:abstractNumId w:val="9"/>
  </w:num>
  <w:num w:numId="8">
    <w:abstractNumId w:val="4"/>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2"/>
  </w:num>
  <w:num w:numId="24">
    <w:abstractNumId w:val="7"/>
  </w:num>
  <w:num w:numId="25">
    <w:abstractNumId w:val="28"/>
  </w:num>
  <w:num w:numId="26">
    <w:abstractNumId w:val="30"/>
  </w:num>
  <w:num w:numId="27">
    <w:abstractNumId w:val="3"/>
  </w:num>
  <w:num w:numId="28">
    <w:abstractNumId w:val="5"/>
  </w:num>
  <w:num w:numId="29">
    <w:abstractNumId w:val="16"/>
  </w:num>
  <w:num w:numId="30">
    <w:abstractNumId w:val="26"/>
  </w:num>
  <w:num w:numId="31">
    <w:abstractNumId w:val="24"/>
  </w:num>
  <w:num w:numId="32">
    <w:abstractNumId w:val="1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attachedTemplate r:id="rId1"/>
  <w:documentProtection w:edit="forms" w:enforcement="1" w:cryptProviderType="rsaAES" w:cryptAlgorithmClass="hash" w:cryptAlgorithmType="typeAny" w:cryptAlgorithmSid="14" w:cryptSpinCount="100000" w:hash="VjeQfKZJvfyysEZV0kIO2+lxT8p0SLcSi5CxEvMGra9HPnnPZ1yhmvzn20dKmAIlU3lMrLiJUa0iJkOQwp55lA==" w:salt="boQ1x8/Muop8dElMF8wVMQ=="/>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1NThlMzRiYTQ2MjM1NjUwMjkwNzBiNTk1OWYwMGUifQ=="/>
  </w:docVars>
  <w:rsids>
    <w:rsidRoot w:val="00877A69"/>
    <w:rsid w:val="0000040A"/>
    <w:rsid w:val="00000A94"/>
    <w:rsid w:val="00001972"/>
    <w:rsid w:val="00001D9A"/>
    <w:rsid w:val="000047C4"/>
    <w:rsid w:val="00007B3A"/>
    <w:rsid w:val="000107E0"/>
    <w:rsid w:val="00010AC5"/>
    <w:rsid w:val="00011FDE"/>
    <w:rsid w:val="00012FFD"/>
    <w:rsid w:val="00014162"/>
    <w:rsid w:val="00014340"/>
    <w:rsid w:val="00016A9C"/>
    <w:rsid w:val="00022184"/>
    <w:rsid w:val="00022762"/>
    <w:rsid w:val="00022E21"/>
    <w:rsid w:val="000238E0"/>
    <w:rsid w:val="000249DB"/>
    <w:rsid w:val="0002595E"/>
    <w:rsid w:val="000303C3"/>
    <w:rsid w:val="00031DA4"/>
    <w:rsid w:val="000331D3"/>
    <w:rsid w:val="000346A5"/>
    <w:rsid w:val="00034732"/>
    <w:rsid w:val="000359C3"/>
    <w:rsid w:val="00035A7D"/>
    <w:rsid w:val="000365ED"/>
    <w:rsid w:val="0003747B"/>
    <w:rsid w:val="00041348"/>
    <w:rsid w:val="000416C2"/>
    <w:rsid w:val="0004249A"/>
    <w:rsid w:val="00043282"/>
    <w:rsid w:val="00044286"/>
    <w:rsid w:val="00047F28"/>
    <w:rsid w:val="000503AA"/>
    <w:rsid w:val="000506A1"/>
    <w:rsid w:val="00050F39"/>
    <w:rsid w:val="000515DD"/>
    <w:rsid w:val="0005265A"/>
    <w:rsid w:val="000539DD"/>
    <w:rsid w:val="00053BD3"/>
    <w:rsid w:val="000556ED"/>
    <w:rsid w:val="00055FE2"/>
    <w:rsid w:val="0005616F"/>
    <w:rsid w:val="000604B6"/>
    <w:rsid w:val="00060C2E"/>
    <w:rsid w:val="00061033"/>
    <w:rsid w:val="00061280"/>
    <w:rsid w:val="000619E9"/>
    <w:rsid w:val="000622D4"/>
    <w:rsid w:val="0006357D"/>
    <w:rsid w:val="00063959"/>
    <w:rsid w:val="0006592A"/>
    <w:rsid w:val="00067F1E"/>
    <w:rsid w:val="00071CC0"/>
    <w:rsid w:val="00071CFC"/>
    <w:rsid w:val="00073C8C"/>
    <w:rsid w:val="00077B64"/>
    <w:rsid w:val="00080A1C"/>
    <w:rsid w:val="00082317"/>
    <w:rsid w:val="00083D2C"/>
    <w:rsid w:val="0008535B"/>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0E36"/>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1A4D"/>
    <w:rsid w:val="000D329A"/>
    <w:rsid w:val="000D4B9C"/>
    <w:rsid w:val="000D4EB6"/>
    <w:rsid w:val="000D753B"/>
    <w:rsid w:val="000E4C9E"/>
    <w:rsid w:val="000E6FD7"/>
    <w:rsid w:val="000E7144"/>
    <w:rsid w:val="000F06E1"/>
    <w:rsid w:val="000F0E3C"/>
    <w:rsid w:val="000F19D5"/>
    <w:rsid w:val="000F1EB2"/>
    <w:rsid w:val="000F4050"/>
    <w:rsid w:val="000F4AEA"/>
    <w:rsid w:val="000F67E9"/>
    <w:rsid w:val="00104926"/>
    <w:rsid w:val="00110E92"/>
    <w:rsid w:val="00113B1E"/>
    <w:rsid w:val="0011711C"/>
    <w:rsid w:val="00124E4F"/>
    <w:rsid w:val="001254CE"/>
    <w:rsid w:val="001260B7"/>
    <w:rsid w:val="001265CB"/>
    <w:rsid w:val="001321C6"/>
    <w:rsid w:val="001325C4"/>
    <w:rsid w:val="00133010"/>
    <w:rsid w:val="001338EE"/>
    <w:rsid w:val="00133AAE"/>
    <w:rsid w:val="00134619"/>
    <w:rsid w:val="00135323"/>
    <w:rsid w:val="001356C4"/>
    <w:rsid w:val="00137565"/>
    <w:rsid w:val="00141114"/>
    <w:rsid w:val="0014189A"/>
    <w:rsid w:val="001419D0"/>
    <w:rsid w:val="00141F4D"/>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31"/>
    <w:rsid w:val="00170804"/>
    <w:rsid w:val="001708E9"/>
    <w:rsid w:val="0017340B"/>
    <w:rsid w:val="00173FB1"/>
    <w:rsid w:val="00176DFD"/>
    <w:rsid w:val="00177C33"/>
    <w:rsid w:val="00180E50"/>
    <w:rsid w:val="001848AA"/>
    <w:rsid w:val="001852C9"/>
    <w:rsid w:val="00187A0B"/>
    <w:rsid w:val="00190087"/>
    <w:rsid w:val="001913C4"/>
    <w:rsid w:val="0019348F"/>
    <w:rsid w:val="001938C7"/>
    <w:rsid w:val="00193A07"/>
    <w:rsid w:val="00194C95"/>
    <w:rsid w:val="00195C34"/>
    <w:rsid w:val="00195E8C"/>
    <w:rsid w:val="00196483"/>
    <w:rsid w:val="00196EF5"/>
    <w:rsid w:val="001A1A53"/>
    <w:rsid w:val="001A234A"/>
    <w:rsid w:val="001A4CF3"/>
    <w:rsid w:val="001A6696"/>
    <w:rsid w:val="001B06E8"/>
    <w:rsid w:val="001B71D0"/>
    <w:rsid w:val="001B71EE"/>
    <w:rsid w:val="001C04A8"/>
    <w:rsid w:val="001C2C03"/>
    <w:rsid w:val="001C3AF3"/>
    <w:rsid w:val="001C42F7"/>
    <w:rsid w:val="001C49E5"/>
    <w:rsid w:val="001C4D27"/>
    <w:rsid w:val="001C680C"/>
    <w:rsid w:val="001C7FEA"/>
    <w:rsid w:val="001D0499"/>
    <w:rsid w:val="001D0BBE"/>
    <w:rsid w:val="001D0ED4"/>
    <w:rsid w:val="001D212F"/>
    <w:rsid w:val="001D29D7"/>
    <w:rsid w:val="001D2DE7"/>
    <w:rsid w:val="001D411C"/>
    <w:rsid w:val="001E1B6A"/>
    <w:rsid w:val="001E2484"/>
    <w:rsid w:val="001E3CC4"/>
    <w:rsid w:val="001E4882"/>
    <w:rsid w:val="001E5787"/>
    <w:rsid w:val="001E73AB"/>
    <w:rsid w:val="001E7B90"/>
    <w:rsid w:val="001F0221"/>
    <w:rsid w:val="001F092D"/>
    <w:rsid w:val="001F143A"/>
    <w:rsid w:val="001F1605"/>
    <w:rsid w:val="001F1835"/>
    <w:rsid w:val="001F2508"/>
    <w:rsid w:val="001F4816"/>
    <w:rsid w:val="001F5830"/>
    <w:rsid w:val="001F69B4"/>
    <w:rsid w:val="001F77C7"/>
    <w:rsid w:val="00200183"/>
    <w:rsid w:val="00200333"/>
    <w:rsid w:val="0020107D"/>
    <w:rsid w:val="0020179D"/>
    <w:rsid w:val="00202AA4"/>
    <w:rsid w:val="002031F7"/>
    <w:rsid w:val="002040E6"/>
    <w:rsid w:val="0020527B"/>
    <w:rsid w:val="00205F2C"/>
    <w:rsid w:val="00210B15"/>
    <w:rsid w:val="0021226D"/>
    <w:rsid w:val="00213A3A"/>
    <w:rsid w:val="002142EA"/>
    <w:rsid w:val="00215ADD"/>
    <w:rsid w:val="00216623"/>
    <w:rsid w:val="002177F9"/>
    <w:rsid w:val="002204BB"/>
    <w:rsid w:val="00221B79"/>
    <w:rsid w:val="00221C6B"/>
    <w:rsid w:val="00223300"/>
    <w:rsid w:val="002253A1"/>
    <w:rsid w:val="00225CF8"/>
    <w:rsid w:val="0022794E"/>
    <w:rsid w:val="00233129"/>
    <w:rsid w:val="00233D64"/>
    <w:rsid w:val="0023482A"/>
    <w:rsid w:val="002359CB"/>
    <w:rsid w:val="00237A54"/>
    <w:rsid w:val="00243540"/>
    <w:rsid w:val="0024497B"/>
    <w:rsid w:val="0024515B"/>
    <w:rsid w:val="00246021"/>
    <w:rsid w:val="0024666E"/>
    <w:rsid w:val="00247F52"/>
    <w:rsid w:val="00250B25"/>
    <w:rsid w:val="00250BBE"/>
    <w:rsid w:val="002515C2"/>
    <w:rsid w:val="0025194F"/>
    <w:rsid w:val="002609D8"/>
    <w:rsid w:val="0026148A"/>
    <w:rsid w:val="00262696"/>
    <w:rsid w:val="00263D25"/>
    <w:rsid w:val="002643C3"/>
    <w:rsid w:val="00264A0C"/>
    <w:rsid w:val="00266EEB"/>
    <w:rsid w:val="00267EF4"/>
    <w:rsid w:val="00270CB8"/>
    <w:rsid w:val="00272B08"/>
    <w:rsid w:val="002760D0"/>
    <w:rsid w:val="00281BB8"/>
    <w:rsid w:val="00281E9E"/>
    <w:rsid w:val="00282405"/>
    <w:rsid w:val="00285170"/>
    <w:rsid w:val="00285361"/>
    <w:rsid w:val="0028550A"/>
    <w:rsid w:val="002920FD"/>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DAE"/>
    <w:rsid w:val="002C3F07"/>
    <w:rsid w:val="002C5278"/>
    <w:rsid w:val="002C57AA"/>
    <w:rsid w:val="002C750A"/>
    <w:rsid w:val="002C7EBB"/>
    <w:rsid w:val="002D06C1"/>
    <w:rsid w:val="002D42B5"/>
    <w:rsid w:val="002D4F1A"/>
    <w:rsid w:val="002D6EC6"/>
    <w:rsid w:val="002D79AC"/>
    <w:rsid w:val="002E039D"/>
    <w:rsid w:val="002E4120"/>
    <w:rsid w:val="002E4D5A"/>
    <w:rsid w:val="002E6326"/>
    <w:rsid w:val="002E72D8"/>
    <w:rsid w:val="002F30E0"/>
    <w:rsid w:val="002F35E4"/>
    <w:rsid w:val="002F3730"/>
    <w:rsid w:val="002F38E1"/>
    <w:rsid w:val="002F7AF6"/>
    <w:rsid w:val="00300E63"/>
    <w:rsid w:val="00302F5F"/>
    <w:rsid w:val="0030441D"/>
    <w:rsid w:val="00306063"/>
    <w:rsid w:val="00312982"/>
    <w:rsid w:val="00313B85"/>
    <w:rsid w:val="00317988"/>
    <w:rsid w:val="003221B4"/>
    <w:rsid w:val="0032258D"/>
    <w:rsid w:val="00322E62"/>
    <w:rsid w:val="00324D13"/>
    <w:rsid w:val="00324EDD"/>
    <w:rsid w:val="00326D93"/>
    <w:rsid w:val="003331E4"/>
    <w:rsid w:val="003333C8"/>
    <w:rsid w:val="00336C64"/>
    <w:rsid w:val="00337162"/>
    <w:rsid w:val="00340793"/>
    <w:rsid w:val="0034186F"/>
    <w:rsid w:val="0034194F"/>
    <w:rsid w:val="00344605"/>
    <w:rsid w:val="003461B2"/>
    <w:rsid w:val="003474AA"/>
    <w:rsid w:val="00350D1D"/>
    <w:rsid w:val="00352C83"/>
    <w:rsid w:val="00352F1A"/>
    <w:rsid w:val="00354536"/>
    <w:rsid w:val="003605D0"/>
    <w:rsid w:val="0036107C"/>
    <w:rsid w:val="003615D2"/>
    <w:rsid w:val="0036429C"/>
    <w:rsid w:val="00364A53"/>
    <w:rsid w:val="003654CB"/>
    <w:rsid w:val="00365AA9"/>
    <w:rsid w:val="00365F86"/>
    <w:rsid w:val="00365F87"/>
    <w:rsid w:val="00366E89"/>
    <w:rsid w:val="003705F4"/>
    <w:rsid w:val="00370D58"/>
    <w:rsid w:val="00371316"/>
    <w:rsid w:val="00371A5F"/>
    <w:rsid w:val="00376713"/>
    <w:rsid w:val="00381815"/>
    <w:rsid w:val="003819AF"/>
    <w:rsid w:val="003820E9"/>
    <w:rsid w:val="00382DE7"/>
    <w:rsid w:val="00384FFC"/>
    <w:rsid w:val="00386C63"/>
    <w:rsid w:val="003872FC"/>
    <w:rsid w:val="00387ADC"/>
    <w:rsid w:val="00390020"/>
    <w:rsid w:val="003903D6"/>
    <w:rsid w:val="00390EE6"/>
    <w:rsid w:val="0039118F"/>
    <w:rsid w:val="00392AD7"/>
    <w:rsid w:val="003938D9"/>
    <w:rsid w:val="00393C19"/>
    <w:rsid w:val="00394376"/>
    <w:rsid w:val="003943FF"/>
    <w:rsid w:val="003974EB"/>
    <w:rsid w:val="00397CC5"/>
    <w:rsid w:val="003A06C9"/>
    <w:rsid w:val="003A11D1"/>
    <w:rsid w:val="003A1582"/>
    <w:rsid w:val="003A3D9C"/>
    <w:rsid w:val="003A4077"/>
    <w:rsid w:val="003A4AA7"/>
    <w:rsid w:val="003B09AD"/>
    <w:rsid w:val="003B1F18"/>
    <w:rsid w:val="003B281B"/>
    <w:rsid w:val="003B5BF0"/>
    <w:rsid w:val="003B60BF"/>
    <w:rsid w:val="003B6BE3"/>
    <w:rsid w:val="003C010C"/>
    <w:rsid w:val="003C0A6C"/>
    <w:rsid w:val="003C14F8"/>
    <w:rsid w:val="003C5A43"/>
    <w:rsid w:val="003D0519"/>
    <w:rsid w:val="003D0FF6"/>
    <w:rsid w:val="003D262C"/>
    <w:rsid w:val="003D4302"/>
    <w:rsid w:val="003D6D61"/>
    <w:rsid w:val="003E019F"/>
    <w:rsid w:val="003E091D"/>
    <w:rsid w:val="003E1687"/>
    <w:rsid w:val="003E1C53"/>
    <w:rsid w:val="003E2A69"/>
    <w:rsid w:val="003E2D49"/>
    <w:rsid w:val="003E2FD4"/>
    <w:rsid w:val="003E454B"/>
    <w:rsid w:val="003E49F6"/>
    <w:rsid w:val="003E660F"/>
    <w:rsid w:val="003F0841"/>
    <w:rsid w:val="003F23D3"/>
    <w:rsid w:val="003F3F08"/>
    <w:rsid w:val="003F49F1"/>
    <w:rsid w:val="003F6272"/>
    <w:rsid w:val="0040028F"/>
    <w:rsid w:val="00400E72"/>
    <w:rsid w:val="00401400"/>
    <w:rsid w:val="00404869"/>
    <w:rsid w:val="00405884"/>
    <w:rsid w:val="00407D39"/>
    <w:rsid w:val="0041477A"/>
    <w:rsid w:val="004167A3"/>
    <w:rsid w:val="0042781B"/>
    <w:rsid w:val="00432BB4"/>
    <w:rsid w:val="00432DAA"/>
    <w:rsid w:val="00434305"/>
    <w:rsid w:val="00435DF7"/>
    <w:rsid w:val="0043741A"/>
    <w:rsid w:val="0044083F"/>
    <w:rsid w:val="00441AE7"/>
    <w:rsid w:val="0044449F"/>
    <w:rsid w:val="00445005"/>
    <w:rsid w:val="00445574"/>
    <w:rsid w:val="004467FB"/>
    <w:rsid w:val="0045116C"/>
    <w:rsid w:val="00452D6B"/>
    <w:rsid w:val="00454484"/>
    <w:rsid w:val="0045517B"/>
    <w:rsid w:val="004556C9"/>
    <w:rsid w:val="00463B77"/>
    <w:rsid w:val="00463C7B"/>
    <w:rsid w:val="004644A6"/>
    <w:rsid w:val="00464A7B"/>
    <w:rsid w:val="004659BD"/>
    <w:rsid w:val="00470775"/>
    <w:rsid w:val="00474438"/>
    <w:rsid w:val="004746B1"/>
    <w:rsid w:val="0047583F"/>
    <w:rsid w:val="00475DE8"/>
    <w:rsid w:val="00481C44"/>
    <w:rsid w:val="00483754"/>
    <w:rsid w:val="00484936"/>
    <w:rsid w:val="00485C89"/>
    <w:rsid w:val="00486BE3"/>
    <w:rsid w:val="004905E4"/>
    <w:rsid w:val="00490A89"/>
    <w:rsid w:val="00490AB4"/>
    <w:rsid w:val="004925DA"/>
    <w:rsid w:val="00492F02"/>
    <w:rsid w:val="004939AE"/>
    <w:rsid w:val="00495A84"/>
    <w:rsid w:val="00497099"/>
    <w:rsid w:val="004A12DF"/>
    <w:rsid w:val="004A1BA8"/>
    <w:rsid w:val="004A4315"/>
    <w:rsid w:val="004A4B57"/>
    <w:rsid w:val="004A63FA"/>
    <w:rsid w:val="004A6A3D"/>
    <w:rsid w:val="004B0272"/>
    <w:rsid w:val="004B2701"/>
    <w:rsid w:val="004B2E1B"/>
    <w:rsid w:val="004B3AA8"/>
    <w:rsid w:val="004B3E93"/>
    <w:rsid w:val="004B5C05"/>
    <w:rsid w:val="004C067B"/>
    <w:rsid w:val="004C1FBC"/>
    <w:rsid w:val="004C25A2"/>
    <w:rsid w:val="004C3144"/>
    <w:rsid w:val="004C3F1D"/>
    <w:rsid w:val="004C458D"/>
    <w:rsid w:val="004C6DDE"/>
    <w:rsid w:val="004C6E31"/>
    <w:rsid w:val="004C7556"/>
    <w:rsid w:val="004C7E8B"/>
    <w:rsid w:val="004C7E9D"/>
    <w:rsid w:val="004C7F67"/>
    <w:rsid w:val="004D076D"/>
    <w:rsid w:val="004D0EF1"/>
    <w:rsid w:val="004D2253"/>
    <w:rsid w:val="004D4406"/>
    <w:rsid w:val="004D4C3A"/>
    <w:rsid w:val="004D7C42"/>
    <w:rsid w:val="004E0465"/>
    <w:rsid w:val="004E127B"/>
    <w:rsid w:val="004E1C0A"/>
    <w:rsid w:val="004E30C5"/>
    <w:rsid w:val="004E4AA5"/>
    <w:rsid w:val="004E4AEE"/>
    <w:rsid w:val="004E5583"/>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568"/>
    <w:rsid w:val="00525B16"/>
    <w:rsid w:val="0053062D"/>
    <w:rsid w:val="00531CBB"/>
    <w:rsid w:val="00532B6B"/>
    <w:rsid w:val="00533D04"/>
    <w:rsid w:val="00534804"/>
    <w:rsid w:val="00534BDF"/>
    <w:rsid w:val="005354EA"/>
    <w:rsid w:val="0053585F"/>
    <w:rsid w:val="00535EC4"/>
    <w:rsid w:val="00535ED9"/>
    <w:rsid w:val="00536907"/>
    <w:rsid w:val="0053692B"/>
    <w:rsid w:val="00541853"/>
    <w:rsid w:val="00541987"/>
    <w:rsid w:val="00543BDA"/>
    <w:rsid w:val="005441CC"/>
    <w:rsid w:val="0054487A"/>
    <w:rsid w:val="005479DA"/>
    <w:rsid w:val="00547BCC"/>
    <w:rsid w:val="0055013B"/>
    <w:rsid w:val="005517B2"/>
    <w:rsid w:val="00551F6F"/>
    <w:rsid w:val="00555044"/>
    <w:rsid w:val="00561475"/>
    <w:rsid w:val="00562308"/>
    <w:rsid w:val="0056487B"/>
    <w:rsid w:val="00564FB9"/>
    <w:rsid w:val="00572282"/>
    <w:rsid w:val="00573170"/>
    <w:rsid w:val="00573D9E"/>
    <w:rsid w:val="00577534"/>
    <w:rsid w:val="00577F61"/>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711"/>
    <w:rsid w:val="005A7830"/>
    <w:rsid w:val="005A7FCE"/>
    <w:rsid w:val="005B0F3F"/>
    <w:rsid w:val="005B0F48"/>
    <w:rsid w:val="005B191C"/>
    <w:rsid w:val="005B4903"/>
    <w:rsid w:val="005B51CE"/>
    <w:rsid w:val="005B5885"/>
    <w:rsid w:val="005B5CD7"/>
    <w:rsid w:val="005B6CF6"/>
    <w:rsid w:val="005B7422"/>
    <w:rsid w:val="005C29B8"/>
    <w:rsid w:val="005C5F21"/>
    <w:rsid w:val="005C7156"/>
    <w:rsid w:val="005C73B2"/>
    <w:rsid w:val="005D0C75"/>
    <w:rsid w:val="005D4171"/>
    <w:rsid w:val="005D6A95"/>
    <w:rsid w:val="005D6B2C"/>
    <w:rsid w:val="005D6D9C"/>
    <w:rsid w:val="005D7F8B"/>
    <w:rsid w:val="005E2335"/>
    <w:rsid w:val="005E34CA"/>
    <w:rsid w:val="005E3C18"/>
    <w:rsid w:val="005E4250"/>
    <w:rsid w:val="005E53A4"/>
    <w:rsid w:val="005E6812"/>
    <w:rsid w:val="005E7881"/>
    <w:rsid w:val="005E78E0"/>
    <w:rsid w:val="005F0D9C"/>
    <w:rsid w:val="005F284E"/>
    <w:rsid w:val="006015CE"/>
    <w:rsid w:val="00602797"/>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5438"/>
    <w:rsid w:val="00636E3E"/>
    <w:rsid w:val="006379F7"/>
    <w:rsid w:val="00637E4D"/>
    <w:rsid w:val="00640620"/>
    <w:rsid w:val="00640A4A"/>
    <w:rsid w:val="00641A1F"/>
    <w:rsid w:val="00645904"/>
    <w:rsid w:val="006518E2"/>
    <w:rsid w:val="00651ACB"/>
    <w:rsid w:val="00651C47"/>
    <w:rsid w:val="00652AB2"/>
    <w:rsid w:val="00653FED"/>
    <w:rsid w:val="00654EC0"/>
    <w:rsid w:val="006550E5"/>
    <w:rsid w:val="0065525B"/>
    <w:rsid w:val="00655D4F"/>
    <w:rsid w:val="00656A13"/>
    <w:rsid w:val="00656D29"/>
    <w:rsid w:val="006640E5"/>
    <w:rsid w:val="006646F1"/>
    <w:rsid w:val="00664929"/>
    <w:rsid w:val="00664F62"/>
    <w:rsid w:val="006655E1"/>
    <w:rsid w:val="00672060"/>
    <w:rsid w:val="00672BFD"/>
    <w:rsid w:val="00673FBF"/>
    <w:rsid w:val="006770F4"/>
    <w:rsid w:val="00677A84"/>
    <w:rsid w:val="0068026D"/>
    <w:rsid w:val="00680A27"/>
    <w:rsid w:val="006816A4"/>
    <w:rsid w:val="006819B8"/>
    <w:rsid w:val="006840A6"/>
    <w:rsid w:val="006845FE"/>
    <w:rsid w:val="006850CD"/>
    <w:rsid w:val="00685AAB"/>
    <w:rsid w:val="0068783F"/>
    <w:rsid w:val="00690135"/>
    <w:rsid w:val="00693962"/>
    <w:rsid w:val="006A059D"/>
    <w:rsid w:val="006A07AA"/>
    <w:rsid w:val="006A25E5"/>
    <w:rsid w:val="006A2B46"/>
    <w:rsid w:val="006A336D"/>
    <w:rsid w:val="006A37B9"/>
    <w:rsid w:val="006B2672"/>
    <w:rsid w:val="006B2EE7"/>
    <w:rsid w:val="006B54BF"/>
    <w:rsid w:val="006B5F44"/>
    <w:rsid w:val="006B5F90"/>
    <w:rsid w:val="006B62E4"/>
    <w:rsid w:val="006C1BBA"/>
    <w:rsid w:val="006C2079"/>
    <w:rsid w:val="006C38FE"/>
    <w:rsid w:val="006C3C88"/>
    <w:rsid w:val="006C5A62"/>
    <w:rsid w:val="006C5D68"/>
    <w:rsid w:val="006C6976"/>
    <w:rsid w:val="006C6DD0"/>
    <w:rsid w:val="006D04EA"/>
    <w:rsid w:val="006D16C4"/>
    <w:rsid w:val="006D3E96"/>
    <w:rsid w:val="006D42E1"/>
    <w:rsid w:val="006D4515"/>
    <w:rsid w:val="006D4BB1"/>
    <w:rsid w:val="006D5636"/>
    <w:rsid w:val="006D6593"/>
    <w:rsid w:val="006D6DCB"/>
    <w:rsid w:val="006D713A"/>
    <w:rsid w:val="006E5316"/>
    <w:rsid w:val="006F03A8"/>
    <w:rsid w:val="006F2ACA"/>
    <w:rsid w:val="006F2ADC"/>
    <w:rsid w:val="006F2BFE"/>
    <w:rsid w:val="006F31E9"/>
    <w:rsid w:val="006F6284"/>
    <w:rsid w:val="006F664A"/>
    <w:rsid w:val="006F7A16"/>
    <w:rsid w:val="007002C5"/>
    <w:rsid w:val="0070194A"/>
    <w:rsid w:val="00704387"/>
    <w:rsid w:val="00705A6C"/>
    <w:rsid w:val="00707669"/>
    <w:rsid w:val="00707BC2"/>
    <w:rsid w:val="00711CBA"/>
    <w:rsid w:val="00711FB5"/>
    <w:rsid w:val="00712A01"/>
    <w:rsid w:val="00713D46"/>
    <w:rsid w:val="00714F58"/>
    <w:rsid w:val="00714F7E"/>
    <w:rsid w:val="007208AF"/>
    <w:rsid w:val="00722FBF"/>
    <w:rsid w:val="00722FC2"/>
    <w:rsid w:val="00724E1B"/>
    <w:rsid w:val="00725949"/>
    <w:rsid w:val="00727FA2"/>
    <w:rsid w:val="007322D9"/>
    <w:rsid w:val="00732BC0"/>
    <w:rsid w:val="00732C8B"/>
    <w:rsid w:val="0073720F"/>
    <w:rsid w:val="00737796"/>
    <w:rsid w:val="0074165C"/>
    <w:rsid w:val="00741DA6"/>
    <w:rsid w:val="00742C35"/>
    <w:rsid w:val="007432CA"/>
    <w:rsid w:val="007439EB"/>
    <w:rsid w:val="00743CB4"/>
    <w:rsid w:val="00743F0A"/>
    <w:rsid w:val="007444E8"/>
    <w:rsid w:val="0074529E"/>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0962"/>
    <w:rsid w:val="0078114B"/>
    <w:rsid w:val="00781DD2"/>
    <w:rsid w:val="00783ECF"/>
    <w:rsid w:val="0078413A"/>
    <w:rsid w:val="007959E8"/>
    <w:rsid w:val="00795E9C"/>
    <w:rsid w:val="007A0521"/>
    <w:rsid w:val="007A2E12"/>
    <w:rsid w:val="007A3475"/>
    <w:rsid w:val="007A41C8"/>
    <w:rsid w:val="007A54CE"/>
    <w:rsid w:val="007A5D3A"/>
    <w:rsid w:val="007A6FD9"/>
    <w:rsid w:val="007A7DDE"/>
    <w:rsid w:val="007A7FFA"/>
    <w:rsid w:val="007B04EB"/>
    <w:rsid w:val="007B0D4F"/>
    <w:rsid w:val="007B5A3D"/>
    <w:rsid w:val="007B5B95"/>
    <w:rsid w:val="007B6032"/>
    <w:rsid w:val="007B67E1"/>
    <w:rsid w:val="007B68EA"/>
    <w:rsid w:val="007B7453"/>
    <w:rsid w:val="007B770F"/>
    <w:rsid w:val="007C2D89"/>
    <w:rsid w:val="007C357E"/>
    <w:rsid w:val="007C4593"/>
    <w:rsid w:val="007C5309"/>
    <w:rsid w:val="007C6069"/>
    <w:rsid w:val="007D06C4"/>
    <w:rsid w:val="007D1352"/>
    <w:rsid w:val="007D2508"/>
    <w:rsid w:val="007D346A"/>
    <w:rsid w:val="007D6518"/>
    <w:rsid w:val="007D67E0"/>
    <w:rsid w:val="007D76BD"/>
    <w:rsid w:val="007E0264"/>
    <w:rsid w:val="007E0BF1"/>
    <w:rsid w:val="007E3FFF"/>
    <w:rsid w:val="007F0ED8"/>
    <w:rsid w:val="007F0F63"/>
    <w:rsid w:val="007F2C3F"/>
    <w:rsid w:val="007F75CE"/>
    <w:rsid w:val="008013A4"/>
    <w:rsid w:val="008027CE"/>
    <w:rsid w:val="00802F42"/>
    <w:rsid w:val="00804383"/>
    <w:rsid w:val="00804BB7"/>
    <w:rsid w:val="00804D41"/>
    <w:rsid w:val="00807147"/>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28BE"/>
    <w:rsid w:val="0083348C"/>
    <w:rsid w:val="00834B2B"/>
    <w:rsid w:val="008365BD"/>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77A69"/>
    <w:rsid w:val="00880108"/>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0F4C"/>
    <w:rsid w:val="008A173B"/>
    <w:rsid w:val="008A1893"/>
    <w:rsid w:val="008A57E6"/>
    <w:rsid w:val="008A5D33"/>
    <w:rsid w:val="008A6F81"/>
    <w:rsid w:val="008A769A"/>
    <w:rsid w:val="008B0C9C"/>
    <w:rsid w:val="008B166D"/>
    <w:rsid w:val="008B17F4"/>
    <w:rsid w:val="008B3615"/>
    <w:rsid w:val="008B4AC4"/>
    <w:rsid w:val="008B50C8"/>
    <w:rsid w:val="008B5281"/>
    <w:rsid w:val="008B7E05"/>
    <w:rsid w:val="008C1797"/>
    <w:rsid w:val="008C219C"/>
    <w:rsid w:val="008C4460"/>
    <w:rsid w:val="008C475E"/>
    <w:rsid w:val="008C619A"/>
    <w:rsid w:val="008D0CE8"/>
    <w:rsid w:val="008D2D1D"/>
    <w:rsid w:val="008D30C9"/>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7DE"/>
    <w:rsid w:val="008F5B83"/>
    <w:rsid w:val="008F70BD"/>
    <w:rsid w:val="008F788F"/>
    <w:rsid w:val="008F7EA2"/>
    <w:rsid w:val="00902722"/>
    <w:rsid w:val="009027BC"/>
    <w:rsid w:val="009062E6"/>
    <w:rsid w:val="00911BE5"/>
    <w:rsid w:val="0091323D"/>
    <w:rsid w:val="00913CA9"/>
    <w:rsid w:val="009145AE"/>
    <w:rsid w:val="009146CE"/>
    <w:rsid w:val="00914CA7"/>
    <w:rsid w:val="00915C3E"/>
    <w:rsid w:val="009161A8"/>
    <w:rsid w:val="009245AE"/>
    <w:rsid w:val="009245F5"/>
    <w:rsid w:val="009249EC"/>
    <w:rsid w:val="009268CE"/>
    <w:rsid w:val="009273B3"/>
    <w:rsid w:val="009305B5"/>
    <w:rsid w:val="00934E19"/>
    <w:rsid w:val="009352BF"/>
    <w:rsid w:val="009378DD"/>
    <w:rsid w:val="009429D5"/>
    <w:rsid w:val="00942BF1"/>
    <w:rsid w:val="00945180"/>
    <w:rsid w:val="00945428"/>
    <w:rsid w:val="0094607B"/>
    <w:rsid w:val="00953604"/>
    <w:rsid w:val="0095496B"/>
    <w:rsid w:val="00960071"/>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D22"/>
    <w:rsid w:val="00991F92"/>
    <w:rsid w:val="00992985"/>
    <w:rsid w:val="00993889"/>
    <w:rsid w:val="0099551B"/>
    <w:rsid w:val="00996BD2"/>
    <w:rsid w:val="00997BF1"/>
    <w:rsid w:val="009A089C"/>
    <w:rsid w:val="009A118E"/>
    <w:rsid w:val="009A21CD"/>
    <w:rsid w:val="009A278C"/>
    <w:rsid w:val="009A2BC2"/>
    <w:rsid w:val="009A3310"/>
    <w:rsid w:val="009A42C1"/>
    <w:rsid w:val="009A5429"/>
    <w:rsid w:val="009A5A63"/>
    <w:rsid w:val="009A72AD"/>
    <w:rsid w:val="009B09E0"/>
    <w:rsid w:val="009B0BC5"/>
    <w:rsid w:val="009B1247"/>
    <w:rsid w:val="009B4258"/>
    <w:rsid w:val="009B4560"/>
    <w:rsid w:val="009B6029"/>
    <w:rsid w:val="009B6971"/>
    <w:rsid w:val="009C27F1"/>
    <w:rsid w:val="009C3152"/>
    <w:rsid w:val="009C3257"/>
    <w:rsid w:val="009C4CFA"/>
    <w:rsid w:val="009C5070"/>
    <w:rsid w:val="009C5971"/>
    <w:rsid w:val="009C6AC5"/>
    <w:rsid w:val="009D0900"/>
    <w:rsid w:val="009D112C"/>
    <w:rsid w:val="009D1385"/>
    <w:rsid w:val="009D376D"/>
    <w:rsid w:val="009D47FA"/>
    <w:rsid w:val="009D4C5B"/>
    <w:rsid w:val="009D50D2"/>
    <w:rsid w:val="009D6BCA"/>
    <w:rsid w:val="009E0F62"/>
    <w:rsid w:val="009E379A"/>
    <w:rsid w:val="009E4A58"/>
    <w:rsid w:val="009E5A2D"/>
    <w:rsid w:val="009E5AB2"/>
    <w:rsid w:val="009E6219"/>
    <w:rsid w:val="009F03B3"/>
    <w:rsid w:val="009F561F"/>
    <w:rsid w:val="00A0096C"/>
    <w:rsid w:val="00A01757"/>
    <w:rsid w:val="00A028C0"/>
    <w:rsid w:val="00A02BAE"/>
    <w:rsid w:val="00A06A6B"/>
    <w:rsid w:val="00A07E47"/>
    <w:rsid w:val="00A129D0"/>
    <w:rsid w:val="00A12C33"/>
    <w:rsid w:val="00A138BA"/>
    <w:rsid w:val="00A14C8E"/>
    <w:rsid w:val="00A153D9"/>
    <w:rsid w:val="00A15F09"/>
    <w:rsid w:val="00A169B6"/>
    <w:rsid w:val="00A17394"/>
    <w:rsid w:val="00A17B20"/>
    <w:rsid w:val="00A21BE4"/>
    <w:rsid w:val="00A2271D"/>
    <w:rsid w:val="00A237D5"/>
    <w:rsid w:val="00A30EFC"/>
    <w:rsid w:val="00A31984"/>
    <w:rsid w:val="00A32D73"/>
    <w:rsid w:val="00A3367B"/>
    <w:rsid w:val="00A33C67"/>
    <w:rsid w:val="00A350BA"/>
    <w:rsid w:val="00A3597D"/>
    <w:rsid w:val="00A36DD1"/>
    <w:rsid w:val="00A4006C"/>
    <w:rsid w:val="00A40091"/>
    <w:rsid w:val="00A4030F"/>
    <w:rsid w:val="00A41C79"/>
    <w:rsid w:val="00A41CB5"/>
    <w:rsid w:val="00A42CDF"/>
    <w:rsid w:val="00A4452E"/>
    <w:rsid w:val="00A4472C"/>
    <w:rsid w:val="00A44E69"/>
    <w:rsid w:val="00A4661E"/>
    <w:rsid w:val="00A502AF"/>
    <w:rsid w:val="00A55BD6"/>
    <w:rsid w:val="00A55D50"/>
    <w:rsid w:val="00A57142"/>
    <w:rsid w:val="00A61309"/>
    <w:rsid w:val="00A648CD"/>
    <w:rsid w:val="00A6537A"/>
    <w:rsid w:val="00A67866"/>
    <w:rsid w:val="00A70B07"/>
    <w:rsid w:val="00A713FF"/>
    <w:rsid w:val="00A723F8"/>
    <w:rsid w:val="00A77CCB"/>
    <w:rsid w:val="00A83D8D"/>
    <w:rsid w:val="00A8446B"/>
    <w:rsid w:val="00A8473F"/>
    <w:rsid w:val="00A862D6"/>
    <w:rsid w:val="00A86C97"/>
    <w:rsid w:val="00A8715E"/>
    <w:rsid w:val="00A87C5E"/>
    <w:rsid w:val="00A9295B"/>
    <w:rsid w:val="00A93B09"/>
    <w:rsid w:val="00A952D7"/>
    <w:rsid w:val="00A963F7"/>
    <w:rsid w:val="00A96AD8"/>
    <w:rsid w:val="00AA052C"/>
    <w:rsid w:val="00AA1E45"/>
    <w:rsid w:val="00AA26F9"/>
    <w:rsid w:val="00AA2DD6"/>
    <w:rsid w:val="00AA4286"/>
    <w:rsid w:val="00AA456B"/>
    <w:rsid w:val="00AA57F5"/>
    <w:rsid w:val="00AA672E"/>
    <w:rsid w:val="00AA6EC9"/>
    <w:rsid w:val="00AB530D"/>
    <w:rsid w:val="00AB6309"/>
    <w:rsid w:val="00AB6C5F"/>
    <w:rsid w:val="00AB7129"/>
    <w:rsid w:val="00AC27A6"/>
    <w:rsid w:val="00AC30F7"/>
    <w:rsid w:val="00AC3597"/>
    <w:rsid w:val="00AC3A5A"/>
    <w:rsid w:val="00AC4D95"/>
    <w:rsid w:val="00AC5AFB"/>
    <w:rsid w:val="00AC5DF4"/>
    <w:rsid w:val="00AD0AEF"/>
    <w:rsid w:val="00AD0C9C"/>
    <w:rsid w:val="00AD11B7"/>
    <w:rsid w:val="00AD1A94"/>
    <w:rsid w:val="00AD1C05"/>
    <w:rsid w:val="00AD402E"/>
    <w:rsid w:val="00AD4126"/>
    <w:rsid w:val="00AD421C"/>
    <w:rsid w:val="00AD44FA"/>
    <w:rsid w:val="00AE070A"/>
    <w:rsid w:val="00AE101C"/>
    <w:rsid w:val="00AE2A69"/>
    <w:rsid w:val="00AE37E5"/>
    <w:rsid w:val="00AE3F11"/>
    <w:rsid w:val="00AE5B7A"/>
    <w:rsid w:val="00AE5EB4"/>
    <w:rsid w:val="00AF0C18"/>
    <w:rsid w:val="00AF418D"/>
    <w:rsid w:val="00AF469F"/>
    <w:rsid w:val="00AF47C5"/>
    <w:rsid w:val="00AF5398"/>
    <w:rsid w:val="00B00EC4"/>
    <w:rsid w:val="00B049AF"/>
    <w:rsid w:val="00B07242"/>
    <w:rsid w:val="00B10534"/>
    <w:rsid w:val="00B113DB"/>
    <w:rsid w:val="00B11D8A"/>
    <w:rsid w:val="00B12981"/>
    <w:rsid w:val="00B147DD"/>
    <w:rsid w:val="00B156FD"/>
    <w:rsid w:val="00B21F61"/>
    <w:rsid w:val="00B22536"/>
    <w:rsid w:val="00B261F1"/>
    <w:rsid w:val="00B265BC"/>
    <w:rsid w:val="00B308C4"/>
    <w:rsid w:val="00B31FB1"/>
    <w:rsid w:val="00B33952"/>
    <w:rsid w:val="00B33C5E"/>
    <w:rsid w:val="00B342F4"/>
    <w:rsid w:val="00B34369"/>
    <w:rsid w:val="00B34DC2"/>
    <w:rsid w:val="00B378E5"/>
    <w:rsid w:val="00B40833"/>
    <w:rsid w:val="00B42143"/>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141F"/>
    <w:rsid w:val="00B72880"/>
    <w:rsid w:val="00B7456A"/>
    <w:rsid w:val="00B758BF"/>
    <w:rsid w:val="00B77EC8"/>
    <w:rsid w:val="00B827A6"/>
    <w:rsid w:val="00B831CE"/>
    <w:rsid w:val="00B86677"/>
    <w:rsid w:val="00B87131"/>
    <w:rsid w:val="00B939B1"/>
    <w:rsid w:val="00B96533"/>
    <w:rsid w:val="00B96D40"/>
    <w:rsid w:val="00B97386"/>
    <w:rsid w:val="00BA263B"/>
    <w:rsid w:val="00BA42B2"/>
    <w:rsid w:val="00BA58D4"/>
    <w:rsid w:val="00BA5B9E"/>
    <w:rsid w:val="00BA7C19"/>
    <w:rsid w:val="00BA7C9A"/>
    <w:rsid w:val="00BB2B2F"/>
    <w:rsid w:val="00BB4D02"/>
    <w:rsid w:val="00BB5F8F"/>
    <w:rsid w:val="00BB657A"/>
    <w:rsid w:val="00BC1A4E"/>
    <w:rsid w:val="00BC4CB4"/>
    <w:rsid w:val="00BC5DC7"/>
    <w:rsid w:val="00BC6B8B"/>
    <w:rsid w:val="00BC73D8"/>
    <w:rsid w:val="00BD52D7"/>
    <w:rsid w:val="00BD5AD2"/>
    <w:rsid w:val="00BD5D52"/>
    <w:rsid w:val="00BE22F3"/>
    <w:rsid w:val="00BE5B52"/>
    <w:rsid w:val="00BE7B8D"/>
    <w:rsid w:val="00BF0993"/>
    <w:rsid w:val="00BF10A9"/>
    <w:rsid w:val="00BF1703"/>
    <w:rsid w:val="00BF231C"/>
    <w:rsid w:val="00BF51E5"/>
    <w:rsid w:val="00BF5DC3"/>
    <w:rsid w:val="00BF74A6"/>
    <w:rsid w:val="00C013AD"/>
    <w:rsid w:val="00C0459A"/>
    <w:rsid w:val="00C04904"/>
    <w:rsid w:val="00C056B3"/>
    <w:rsid w:val="00C059E5"/>
    <w:rsid w:val="00C07744"/>
    <w:rsid w:val="00C07818"/>
    <w:rsid w:val="00C103E5"/>
    <w:rsid w:val="00C13319"/>
    <w:rsid w:val="00C13EE9"/>
    <w:rsid w:val="00C21540"/>
    <w:rsid w:val="00C21906"/>
    <w:rsid w:val="00C21BFA"/>
    <w:rsid w:val="00C24C8D"/>
    <w:rsid w:val="00C25FE2"/>
    <w:rsid w:val="00C26B53"/>
    <w:rsid w:val="00C279B2"/>
    <w:rsid w:val="00C33E50"/>
    <w:rsid w:val="00C346E8"/>
    <w:rsid w:val="00C34C20"/>
    <w:rsid w:val="00C35A3E"/>
    <w:rsid w:val="00C37137"/>
    <w:rsid w:val="00C42130"/>
    <w:rsid w:val="00C423A4"/>
    <w:rsid w:val="00C423E3"/>
    <w:rsid w:val="00C44A8C"/>
    <w:rsid w:val="00C44BF5"/>
    <w:rsid w:val="00C478CB"/>
    <w:rsid w:val="00C47CD0"/>
    <w:rsid w:val="00C521D6"/>
    <w:rsid w:val="00C55232"/>
    <w:rsid w:val="00C553A4"/>
    <w:rsid w:val="00C5551E"/>
    <w:rsid w:val="00C55A06"/>
    <w:rsid w:val="00C55D03"/>
    <w:rsid w:val="00C56228"/>
    <w:rsid w:val="00C56564"/>
    <w:rsid w:val="00C601BC"/>
    <w:rsid w:val="00C62A68"/>
    <w:rsid w:val="00C6329F"/>
    <w:rsid w:val="00C63340"/>
    <w:rsid w:val="00C643F9"/>
    <w:rsid w:val="00C64E95"/>
    <w:rsid w:val="00C71372"/>
    <w:rsid w:val="00C72410"/>
    <w:rsid w:val="00C7287F"/>
    <w:rsid w:val="00C80CB8"/>
    <w:rsid w:val="00C8151B"/>
    <w:rsid w:val="00C819F8"/>
    <w:rsid w:val="00C8248C"/>
    <w:rsid w:val="00C84E33"/>
    <w:rsid w:val="00C85704"/>
    <w:rsid w:val="00C86D6F"/>
    <w:rsid w:val="00C905FC"/>
    <w:rsid w:val="00C9145C"/>
    <w:rsid w:val="00C92D03"/>
    <w:rsid w:val="00C9319C"/>
    <w:rsid w:val="00C9435D"/>
    <w:rsid w:val="00C94DF2"/>
    <w:rsid w:val="00C96741"/>
    <w:rsid w:val="00C96FB4"/>
    <w:rsid w:val="00CA2D1B"/>
    <w:rsid w:val="00CA375D"/>
    <w:rsid w:val="00CA662A"/>
    <w:rsid w:val="00CA7AFD"/>
    <w:rsid w:val="00CA7C3C"/>
    <w:rsid w:val="00CB0189"/>
    <w:rsid w:val="00CB0BA2"/>
    <w:rsid w:val="00CB1A42"/>
    <w:rsid w:val="00CB1B0C"/>
    <w:rsid w:val="00CB2C0B"/>
    <w:rsid w:val="00CB517D"/>
    <w:rsid w:val="00CB55ED"/>
    <w:rsid w:val="00CB5B2B"/>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3274"/>
    <w:rsid w:val="00CF048A"/>
    <w:rsid w:val="00CF155A"/>
    <w:rsid w:val="00CF2947"/>
    <w:rsid w:val="00CF409E"/>
    <w:rsid w:val="00CF686F"/>
    <w:rsid w:val="00CF6E60"/>
    <w:rsid w:val="00CF7BCA"/>
    <w:rsid w:val="00CF7D02"/>
    <w:rsid w:val="00D008FD"/>
    <w:rsid w:val="00D0234A"/>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2796"/>
    <w:rsid w:val="00D25E37"/>
    <w:rsid w:val="00D2661A"/>
    <w:rsid w:val="00D27582"/>
    <w:rsid w:val="00D27EC4"/>
    <w:rsid w:val="00D32719"/>
    <w:rsid w:val="00D33333"/>
    <w:rsid w:val="00D352A2"/>
    <w:rsid w:val="00D36239"/>
    <w:rsid w:val="00D4162B"/>
    <w:rsid w:val="00D4514F"/>
    <w:rsid w:val="00D451E2"/>
    <w:rsid w:val="00D45E89"/>
    <w:rsid w:val="00D45E8D"/>
    <w:rsid w:val="00D466AE"/>
    <w:rsid w:val="00D4734F"/>
    <w:rsid w:val="00D51BF3"/>
    <w:rsid w:val="00D62480"/>
    <w:rsid w:val="00D66846"/>
    <w:rsid w:val="00D675FB"/>
    <w:rsid w:val="00D71F25"/>
    <w:rsid w:val="00D72A9C"/>
    <w:rsid w:val="00D72B73"/>
    <w:rsid w:val="00D7664C"/>
    <w:rsid w:val="00D77031"/>
    <w:rsid w:val="00D83BFE"/>
    <w:rsid w:val="00D84941"/>
    <w:rsid w:val="00D84FA1"/>
    <w:rsid w:val="00D851F0"/>
    <w:rsid w:val="00D8555D"/>
    <w:rsid w:val="00D86DB7"/>
    <w:rsid w:val="00D87BF5"/>
    <w:rsid w:val="00D90721"/>
    <w:rsid w:val="00D926D0"/>
    <w:rsid w:val="00D93030"/>
    <w:rsid w:val="00D950E1"/>
    <w:rsid w:val="00D952A6"/>
    <w:rsid w:val="00D96BA6"/>
    <w:rsid w:val="00D97F99"/>
    <w:rsid w:val="00DA0373"/>
    <w:rsid w:val="00DA05C2"/>
    <w:rsid w:val="00DA1871"/>
    <w:rsid w:val="00DA1E08"/>
    <w:rsid w:val="00DA24F8"/>
    <w:rsid w:val="00DA28E8"/>
    <w:rsid w:val="00DA38D3"/>
    <w:rsid w:val="00DA3932"/>
    <w:rsid w:val="00DA3AFC"/>
    <w:rsid w:val="00DA4431"/>
    <w:rsid w:val="00DA5A88"/>
    <w:rsid w:val="00DA64F8"/>
    <w:rsid w:val="00DA6C15"/>
    <w:rsid w:val="00DB0258"/>
    <w:rsid w:val="00DB3232"/>
    <w:rsid w:val="00DB38EE"/>
    <w:rsid w:val="00DB498B"/>
    <w:rsid w:val="00DB66CA"/>
    <w:rsid w:val="00DB6BCA"/>
    <w:rsid w:val="00DB6F54"/>
    <w:rsid w:val="00DB73F7"/>
    <w:rsid w:val="00DC0321"/>
    <w:rsid w:val="00DC3067"/>
    <w:rsid w:val="00DC370B"/>
    <w:rsid w:val="00DC5B90"/>
    <w:rsid w:val="00DD00FF"/>
    <w:rsid w:val="00DD0619"/>
    <w:rsid w:val="00DD07FB"/>
    <w:rsid w:val="00DD0994"/>
    <w:rsid w:val="00DD25C6"/>
    <w:rsid w:val="00DD3529"/>
    <w:rsid w:val="00DD4FE5"/>
    <w:rsid w:val="00DD54B0"/>
    <w:rsid w:val="00DD57EE"/>
    <w:rsid w:val="00DD6BCC"/>
    <w:rsid w:val="00DD6CC5"/>
    <w:rsid w:val="00DE0A4B"/>
    <w:rsid w:val="00DE2410"/>
    <w:rsid w:val="00DE2454"/>
    <w:rsid w:val="00DE2939"/>
    <w:rsid w:val="00DE5B0C"/>
    <w:rsid w:val="00DE6E81"/>
    <w:rsid w:val="00DE703F"/>
    <w:rsid w:val="00DE7595"/>
    <w:rsid w:val="00DF1961"/>
    <w:rsid w:val="00DF23CC"/>
    <w:rsid w:val="00DF44DE"/>
    <w:rsid w:val="00E01138"/>
    <w:rsid w:val="00E01B14"/>
    <w:rsid w:val="00E02DFB"/>
    <w:rsid w:val="00E030F9"/>
    <w:rsid w:val="00E0311A"/>
    <w:rsid w:val="00E03138"/>
    <w:rsid w:val="00E06404"/>
    <w:rsid w:val="00E11A85"/>
    <w:rsid w:val="00E12495"/>
    <w:rsid w:val="00E15CCD"/>
    <w:rsid w:val="00E202EF"/>
    <w:rsid w:val="00E210B5"/>
    <w:rsid w:val="00E2552F"/>
    <w:rsid w:val="00E26EE2"/>
    <w:rsid w:val="00E3137A"/>
    <w:rsid w:val="00E32CCF"/>
    <w:rsid w:val="00E34A98"/>
    <w:rsid w:val="00E35D1E"/>
    <w:rsid w:val="00E36461"/>
    <w:rsid w:val="00E364F9"/>
    <w:rsid w:val="00E365FA"/>
    <w:rsid w:val="00E36789"/>
    <w:rsid w:val="00E44349"/>
    <w:rsid w:val="00E44A83"/>
    <w:rsid w:val="00E46D45"/>
    <w:rsid w:val="00E502C1"/>
    <w:rsid w:val="00E502DD"/>
    <w:rsid w:val="00E50D3A"/>
    <w:rsid w:val="00E51387"/>
    <w:rsid w:val="00E51E68"/>
    <w:rsid w:val="00E52EFD"/>
    <w:rsid w:val="00E5408A"/>
    <w:rsid w:val="00E56800"/>
    <w:rsid w:val="00E57B4D"/>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4AF5"/>
    <w:rsid w:val="00E84C29"/>
    <w:rsid w:val="00E85BFF"/>
    <w:rsid w:val="00E90391"/>
    <w:rsid w:val="00E906C2"/>
    <w:rsid w:val="00E9311F"/>
    <w:rsid w:val="00E934D1"/>
    <w:rsid w:val="00E94AF0"/>
    <w:rsid w:val="00E95D13"/>
    <w:rsid w:val="00E95DD3"/>
    <w:rsid w:val="00E969D5"/>
    <w:rsid w:val="00EA0897"/>
    <w:rsid w:val="00EA58D1"/>
    <w:rsid w:val="00EA61BC"/>
    <w:rsid w:val="00EA681A"/>
    <w:rsid w:val="00EA7352"/>
    <w:rsid w:val="00EA735B"/>
    <w:rsid w:val="00EB1E69"/>
    <w:rsid w:val="00EB2086"/>
    <w:rsid w:val="00EB31ED"/>
    <w:rsid w:val="00EB5EDF"/>
    <w:rsid w:val="00EB60FE"/>
    <w:rsid w:val="00EB74DB"/>
    <w:rsid w:val="00EC0110"/>
    <w:rsid w:val="00EC064B"/>
    <w:rsid w:val="00EC5359"/>
    <w:rsid w:val="00EC562A"/>
    <w:rsid w:val="00ED067A"/>
    <w:rsid w:val="00ED2B50"/>
    <w:rsid w:val="00ED7076"/>
    <w:rsid w:val="00EE0350"/>
    <w:rsid w:val="00EE0719"/>
    <w:rsid w:val="00EE0B05"/>
    <w:rsid w:val="00EE0E80"/>
    <w:rsid w:val="00EE20EF"/>
    <w:rsid w:val="00EE613F"/>
    <w:rsid w:val="00EE7295"/>
    <w:rsid w:val="00EE7869"/>
    <w:rsid w:val="00EF054A"/>
    <w:rsid w:val="00EF3235"/>
    <w:rsid w:val="00EF7E72"/>
    <w:rsid w:val="00F05DD1"/>
    <w:rsid w:val="00F06D37"/>
    <w:rsid w:val="00F07B9D"/>
    <w:rsid w:val="00F11315"/>
    <w:rsid w:val="00F11586"/>
    <w:rsid w:val="00F1183B"/>
    <w:rsid w:val="00F11C9F"/>
    <w:rsid w:val="00F12263"/>
    <w:rsid w:val="00F1409D"/>
    <w:rsid w:val="00F14214"/>
    <w:rsid w:val="00F157A9"/>
    <w:rsid w:val="00F16F00"/>
    <w:rsid w:val="00F22E22"/>
    <w:rsid w:val="00F25BB6"/>
    <w:rsid w:val="00F26B7E"/>
    <w:rsid w:val="00F27A3B"/>
    <w:rsid w:val="00F32780"/>
    <w:rsid w:val="00F33817"/>
    <w:rsid w:val="00F37D41"/>
    <w:rsid w:val="00F420D5"/>
    <w:rsid w:val="00F451EA"/>
    <w:rsid w:val="00F45447"/>
    <w:rsid w:val="00F456C6"/>
    <w:rsid w:val="00F4577B"/>
    <w:rsid w:val="00F46496"/>
    <w:rsid w:val="00F474D0"/>
    <w:rsid w:val="00F50179"/>
    <w:rsid w:val="00F515EE"/>
    <w:rsid w:val="00F5627A"/>
    <w:rsid w:val="00F56511"/>
    <w:rsid w:val="00F6194E"/>
    <w:rsid w:val="00F623AC"/>
    <w:rsid w:val="00F6412A"/>
    <w:rsid w:val="00F644A5"/>
    <w:rsid w:val="00F65893"/>
    <w:rsid w:val="00F65D3C"/>
    <w:rsid w:val="00F66A4A"/>
    <w:rsid w:val="00F71E22"/>
    <w:rsid w:val="00F72142"/>
    <w:rsid w:val="00F72AE7"/>
    <w:rsid w:val="00F833BA"/>
    <w:rsid w:val="00F84FD0"/>
    <w:rsid w:val="00F859A8"/>
    <w:rsid w:val="00F86D87"/>
    <w:rsid w:val="00F90FFA"/>
    <w:rsid w:val="00F9108B"/>
    <w:rsid w:val="00F91349"/>
    <w:rsid w:val="00F9203E"/>
    <w:rsid w:val="00F93A8A"/>
    <w:rsid w:val="00F95248"/>
    <w:rsid w:val="00F956A9"/>
    <w:rsid w:val="00F963ED"/>
    <w:rsid w:val="00F966CF"/>
    <w:rsid w:val="00F96CAE"/>
    <w:rsid w:val="00F97C99"/>
    <w:rsid w:val="00FA0DD2"/>
    <w:rsid w:val="00FA662D"/>
    <w:rsid w:val="00FA73B1"/>
    <w:rsid w:val="00FB0CB9"/>
    <w:rsid w:val="00FB231D"/>
    <w:rsid w:val="00FB3F0B"/>
    <w:rsid w:val="00FB45F1"/>
    <w:rsid w:val="00FB4A72"/>
    <w:rsid w:val="00FB54E8"/>
    <w:rsid w:val="00FB5F4B"/>
    <w:rsid w:val="00FB7054"/>
    <w:rsid w:val="00FC17B7"/>
    <w:rsid w:val="00FC2CB7"/>
    <w:rsid w:val="00FC4090"/>
    <w:rsid w:val="00FC55B4"/>
    <w:rsid w:val="00FD00E6"/>
    <w:rsid w:val="00FD09A1"/>
    <w:rsid w:val="00FD101C"/>
    <w:rsid w:val="00FD2A7C"/>
    <w:rsid w:val="00FD59EB"/>
    <w:rsid w:val="00FD5C1E"/>
    <w:rsid w:val="00FD7299"/>
    <w:rsid w:val="00FE1FBE"/>
    <w:rsid w:val="00FE3901"/>
    <w:rsid w:val="00FE39D3"/>
    <w:rsid w:val="00FE4BCE"/>
    <w:rsid w:val="00FE54AE"/>
    <w:rsid w:val="00FE576A"/>
    <w:rsid w:val="00FE7E79"/>
    <w:rsid w:val="00FF3E7D"/>
    <w:rsid w:val="00FF43C7"/>
    <w:rsid w:val="00FF56E4"/>
    <w:rsid w:val="00FF5B99"/>
    <w:rsid w:val="00FF730C"/>
    <w:rsid w:val="00FF73F4"/>
    <w:rsid w:val="00FF7CE4"/>
    <w:rsid w:val="00FF7E39"/>
    <w:rsid w:val="01E0373D"/>
    <w:rsid w:val="02CB7F49"/>
    <w:rsid w:val="05F41565"/>
    <w:rsid w:val="09287EA3"/>
    <w:rsid w:val="0969226A"/>
    <w:rsid w:val="0B63734C"/>
    <w:rsid w:val="0BD31C1D"/>
    <w:rsid w:val="0C3E79DE"/>
    <w:rsid w:val="0D411534"/>
    <w:rsid w:val="0EB126E9"/>
    <w:rsid w:val="1018192E"/>
    <w:rsid w:val="101D790A"/>
    <w:rsid w:val="10D65F32"/>
    <w:rsid w:val="11F8777A"/>
    <w:rsid w:val="132D60B6"/>
    <w:rsid w:val="14E05AD6"/>
    <w:rsid w:val="155D7EE0"/>
    <w:rsid w:val="163D5464"/>
    <w:rsid w:val="17571954"/>
    <w:rsid w:val="18493992"/>
    <w:rsid w:val="1B974A15"/>
    <w:rsid w:val="1BD45C69"/>
    <w:rsid w:val="1C197B20"/>
    <w:rsid w:val="1D3C1D18"/>
    <w:rsid w:val="1E2C58E8"/>
    <w:rsid w:val="1E6F3A27"/>
    <w:rsid w:val="1E933BB9"/>
    <w:rsid w:val="1E9D67E6"/>
    <w:rsid w:val="1FE02E2E"/>
    <w:rsid w:val="22761828"/>
    <w:rsid w:val="235A4CA6"/>
    <w:rsid w:val="26E256DE"/>
    <w:rsid w:val="27AB76E3"/>
    <w:rsid w:val="282E6701"/>
    <w:rsid w:val="2AF7102C"/>
    <w:rsid w:val="2BF043F9"/>
    <w:rsid w:val="2C314C3F"/>
    <w:rsid w:val="2C970D19"/>
    <w:rsid w:val="2D616C31"/>
    <w:rsid w:val="2E5A1FFE"/>
    <w:rsid w:val="2E6469D8"/>
    <w:rsid w:val="2F057C58"/>
    <w:rsid w:val="2F6B4022"/>
    <w:rsid w:val="306B356C"/>
    <w:rsid w:val="313E1763"/>
    <w:rsid w:val="32586854"/>
    <w:rsid w:val="32FD11AA"/>
    <w:rsid w:val="350D21D9"/>
    <w:rsid w:val="359758E5"/>
    <w:rsid w:val="35A60666"/>
    <w:rsid w:val="386677F1"/>
    <w:rsid w:val="3C243C4B"/>
    <w:rsid w:val="3D74650C"/>
    <w:rsid w:val="3E2D328B"/>
    <w:rsid w:val="3EF67B21"/>
    <w:rsid w:val="3F571ED0"/>
    <w:rsid w:val="41874A60"/>
    <w:rsid w:val="41F145CF"/>
    <w:rsid w:val="42FD0CAC"/>
    <w:rsid w:val="444529B0"/>
    <w:rsid w:val="468A6DA0"/>
    <w:rsid w:val="47064679"/>
    <w:rsid w:val="4A8E50B1"/>
    <w:rsid w:val="4BCF5981"/>
    <w:rsid w:val="4CC0176E"/>
    <w:rsid w:val="4E636855"/>
    <w:rsid w:val="4E9C50B5"/>
    <w:rsid w:val="4FA669F9"/>
    <w:rsid w:val="4FF57980"/>
    <w:rsid w:val="50102A68"/>
    <w:rsid w:val="510E0CFA"/>
    <w:rsid w:val="51D11D27"/>
    <w:rsid w:val="52CF270B"/>
    <w:rsid w:val="53F046E7"/>
    <w:rsid w:val="54576514"/>
    <w:rsid w:val="55CF657E"/>
    <w:rsid w:val="560A5808"/>
    <w:rsid w:val="57C02622"/>
    <w:rsid w:val="59345076"/>
    <w:rsid w:val="593E7CA2"/>
    <w:rsid w:val="597731B4"/>
    <w:rsid w:val="5AE91E90"/>
    <w:rsid w:val="5B7C4AB2"/>
    <w:rsid w:val="5D136A20"/>
    <w:rsid w:val="5E734892"/>
    <w:rsid w:val="5EFF1C82"/>
    <w:rsid w:val="5FAB02B0"/>
    <w:rsid w:val="632626A5"/>
    <w:rsid w:val="635F3637"/>
    <w:rsid w:val="64393E88"/>
    <w:rsid w:val="6659611C"/>
    <w:rsid w:val="66C0712E"/>
    <w:rsid w:val="685E104E"/>
    <w:rsid w:val="6C553829"/>
    <w:rsid w:val="6C7C0DB6"/>
    <w:rsid w:val="6CBF5146"/>
    <w:rsid w:val="6E7A68E6"/>
    <w:rsid w:val="6EF72976"/>
    <w:rsid w:val="6F881820"/>
    <w:rsid w:val="6FF60E7F"/>
    <w:rsid w:val="722A4E10"/>
    <w:rsid w:val="73634A7D"/>
    <w:rsid w:val="740F250F"/>
    <w:rsid w:val="76373F9F"/>
    <w:rsid w:val="766034F6"/>
    <w:rsid w:val="78D21D5D"/>
    <w:rsid w:val="799B0126"/>
    <w:rsid w:val="79FA77BE"/>
    <w:rsid w:val="7AF4245F"/>
    <w:rsid w:val="7BDD1145"/>
    <w:rsid w:val="7D0F532E"/>
    <w:rsid w:val="7DD86068"/>
    <w:rsid w:val="7E380150"/>
    <w:rsid w:val="7F08297D"/>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9"/>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4"/>
    <w:semiHidden/>
    <w:unhideWhenUsed/>
    <w:qFormat/>
    <w:uiPriority w:val="99"/>
    <w:pPr>
      <w:widowControl/>
      <w:snapToGrid w:val="0"/>
      <w:spacing w:after="200" w:line="240" w:lineRule="auto"/>
      <w:jc w:val="left"/>
    </w:pPr>
    <w:rPr>
      <w:rFonts w:ascii="Tahoma" w:hAnsi="Tahoma" w:eastAsia="微软雅黑" w:cstheme="minorBidi"/>
      <w:kern w:val="0"/>
      <w:sz w:val="22"/>
      <w:szCs w:val="22"/>
    </w:r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0"/>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HTML Preformatted"/>
    <w:basedOn w:val="1"/>
    <w:link w:val="23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240" w:lineRule="auto"/>
      <w:jc w:val="left"/>
    </w:pPr>
    <w:rPr>
      <w:rFonts w:ascii="宋体" w:hAnsi="宋体" w:eastAsia="微软雅黑" w:cs="宋体"/>
      <w:kern w:val="0"/>
      <w:sz w:val="24"/>
      <w:szCs w:val="22"/>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6"/>
    <w:semiHidden/>
    <w:unhideWhenUsed/>
    <w:qFormat/>
    <w:uiPriority w:val="99"/>
    <w:rPr>
      <w:b/>
      <w:bCs/>
    </w:rPr>
  </w:style>
  <w:style w:type="table" w:styleId="30">
    <w:name w:val="Table Grid"/>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Char"/>
    <w:link w:val="2"/>
    <w:qFormat/>
    <w:uiPriority w:val="0"/>
    <w:rPr>
      <w:b/>
      <w:bCs/>
      <w:kern w:val="44"/>
      <w:sz w:val="44"/>
      <w:szCs w:val="44"/>
    </w:rPr>
  </w:style>
  <w:style w:type="character" w:customStyle="1" w:styleId="39">
    <w:name w:val="标题 2 Char"/>
    <w:link w:val="3"/>
    <w:qFormat/>
    <w:uiPriority w:val="9"/>
    <w:rPr>
      <w:rFonts w:ascii="Arial" w:hAnsi="Arial" w:eastAsia="黑体"/>
      <w:b/>
      <w:bCs/>
      <w:kern w:val="2"/>
      <w:sz w:val="32"/>
      <w:szCs w:val="32"/>
    </w:rPr>
  </w:style>
  <w:style w:type="character" w:customStyle="1" w:styleId="40">
    <w:name w:val="标题 3 Char"/>
    <w:link w:val="4"/>
    <w:qFormat/>
    <w:uiPriority w:val="9"/>
    <w:rPr>
      <w:b/>
      <w:bCs/>
      <w:kern w:val="2"/>
      <w:sz w:val="32"/>
      <w:szCs w:val="32"/>
    </w:rPr>
  </w:style>
  <w:style w:type="character" w:customStyle="1" w:styleId="41">
    <w:name w:val="标题 4 Char"/>
    <w:link w:val="5"/>
    <w:qFormat/>
    <w:uiPriority w:val="0"/>
    <w:rPr>
      <w:rFonts w:ascii="Arial" w:hAnsi="Arial" w:eastAsia="黑体"/>
      <w:b/>
      <w:bCs/>
      <w:kern w:val="2"/>
      <w:sz w:val="28"/>
      <w:szCs w:val="28"/>
    </w:rPr>
  </w:style>
  <w:style w:type="character" w:customStyle="1" w:styleId="42">
    <w:name w:val="标题 5 Char"/>
    <w:link w:val="6"/>
    <w:qFormat/>
    <w:uiPriority w:val="0"/>
    <w:rPr>
      <w:b/>
      <w:bCs/>
      <w:kern w:val="2"/>
      <w:sz w:val="28"/>
      <w:szCs w:val="28"/>
    </w:rPr>
  </w:style>
  <w:style w:type="character" w:customStyle="1" w:styleId="43">
    <w:name w:val="标题 6 Char"/>
    <w:link w:val="7"/>
    <w:qFormat/>
    <w:uiPriority w:val="0"/>
    <w:rPr>
      <w:rFonts w:ascii="Arial" w:hAnsi="Arial" w:eastAsia="黑体"/>
      <w:b/>
      <w:bCs/>
      <w:kern w:val="2"/>
      <w:sz w:val="24"/>
      <w:szCs w:val="24"/>
    </w:rPr>
  </w:style>
  <w:style w:type="character" w:customStyle="1" w:styleId="44">
    <w:name w:val="标题 7 Char"/>
    <w:link w:val="8"/>
    <w:qFormat/>
    <w:uiPriority w:val="0"/>
    <w:rPr>
      <w:b/>
      <w:bCs/>
      <w:kern w:val="2"/>
      <w:sz w:val="24"/>
      <w:szCs w:val="24"/>
    </w:rPr>
  </w:style>
  <w:style w:type="character" w:customStyle="1" w:styleId="45">
    <w:name w:val="标题 8 Char"/>
    <w:link w:val="9"/>
    <w:qFormat/>
    <w:uiPriority w:val="0"/>
    <w:rPr>
      <w:rFonts w:ascii="Arial" w:hAnsi="Arial" w:eastAsia="黑体"/>
      <w:kern w:val="2"/>
      <w:sz w:val="24"/>
      <w:szCs w:val="24"/>
    </w:rPr>
  </w:style>
  <w:style w:type="character" w:customStyle="1" w:styleId="46">
    <w:name w:val="标题 9 Char"/>
    <w:link w:val="10"/>
    <w:qFormat/>
    <w:uiPriority w:val="0"/>
    <w:rPr>
      <w:rFonts w:ascii="Arial" w:hAnsi="Arial" w:eastAsia="黑体"/>
      <w:kern w:val="2"/>
      <w:sz w:val="21"/>
      <w:szCs w:val="21"/>
    </w:rPr>
  </w:style>
  <w:style w:type="character" w:customStyle="1" w:styleId="47">
    <w:name w:val="页眉 Char"/>
    <w:link w:val="19"/>
    <w:qFormat/>
    <w:uiPriority w:val="0"/>
    <w:rPr>
      <w:kern w:val="2"/>
      <w:sz w:val="18"/>
      <w:szCs w:val="18"/>
    </w:rPr>
  </w:style>
  <w:style w:type="character" w:customStyle="1" w:styleId="48">
    <w:name w:val="页脚 Char"/>
    <w:link w:val="18"/>
    <w:qFormat/>
    <w:uiPriority w:val="99"/>
    <w:rPr>
      <w:rFonts w:ascii="宋体"/>
      <w:kern w:val="2"/>
      <w:sz w:val="18"/>
      <w:szCs w:val="18"/>
    </w:rPr>
  </w:style>
  <w:style w:type="character" w:customStyle="1" w:styleId="49">
    <w:name w:val="批注框文本 Char"/>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Char"/>
    <w:link w:val="50"/>
    <w:qFormat/>
    <w:uiPriority w:val="29"/>
    <w:rPr>
      <w:i/>
      <w:iCs/>
      <w:color w:val="000000"/>
      <w:kern w:val="2"/>
      <w:sz w:val="21"/>
      <w:szCs w:val="21"/>
    </w:rPr>
  </w:style>
  <w:style w:type="character" w:customStyle="1" w:styleId="52">
    <w:name w:val="标题 Char"/>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Char"/>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Char"/>
    <w:link w:val="22"/>
    <w:semiHidden/>
    <w:qFormat/>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character" w:customStyle="1" w:styleId="234">
    <w:name w:val="批注文字 Char"/>
    <w:basedOn w:val="31"/>
    <w:link w:val="13"/>
    <w:semiHidden/>
    <w:qFormat/>
    <w:uiPriority w:val="99"/>
    <w:rPr>
      <w:rFonts w:ascii="Tahoma" w:hAnsi="Tahoma" w:eastAsia="微软雅黑" w:cstheme="minorBidi"/>
      <w:sz w:val="22"/>
      <w:szCs w:val="22"/>
    </w:rPr>
  </w:style>
  <w:style w:type="character" w:customStyle="1" w:styleId="235">
    <w:name w:val="HTML 预设格式 Char"/>
    <w:basedOn w:val="31"/>
    <w:link w:val="26"/>
    <w:qFormat/>
    <w:uiPriority w:val="99"/>
    <w:rPr>
      <w:rFonts w:ascii="宋体" w:hAnsi="宋体" w:eastAsia="微软雅黑" w:cs="宋体"/>
      <w:sz w:val="24"/>
      <w:szCs w:val="22"/>
    </w:rPr>
  </w:style>
  <w:style w:type="character" w:customStyle="1" w:styleId="236">
    <w:name w:val="批注主题 Char"/>
    <w:basedOn w:val="234"/>
    <w:link w:val="28"/>
    <w:semiHidden/>
    <w:qFormat/>
    <w:uiPriority w:val="99"/>
    <w:rPr>
      <w:rFonts w:ascii="Tahoma" w:hAnsi="Tahoma" w:eastAsia="微软雅黑" w:cstheme="minorBidi"/>
      <w:b/>
      <w:bCs/>
      <w:sz w:val="22"/>
      <w:szCs w:val="22"/>
    </w:rPr>
  </w:style>
  <w:style w:type="paragraph" w:customStyle="1" w:styleId="237">
    <w:name w:val="CM4"/>
    <w:basedOn w:val="232"/>
    <w:next w:val="232"/>
    <w:unhideWhenUsed/>
    <w:qFormat/>
    <w:uiPriority w:val="99"/>
    <w:pPr>
      <w:spacing w:line="626" w:lineRule="atLeast"/>
    </w:pPr>
    <w:rPr>
      <w:rFonts w:hint="eastAsia" w:ascii="黑体" w:eastAsia="黑体" w:cs="Times New Roman"/>
      <w:szCs w:val="22"/>
    </w:rPr>
  </w:style>
  <w:style w:type="paragraph" w:customStyle="1" w:styleId="238">
    <w:name w:val="CM23"/>
    <w:basedOn w:val="232"/>
    <w:next w:val="232"/>
    <w:qFormat/>
    <w:uiPriority w:val="99"/>
    <w:pPr>
      <w:spacing w:after="70"/>
    </w:pPr>
    <w:rPr>
      <w:rFonts w:ascii="Sim Hei" w:eastAsia="Sim Hei" w:cs="Times New Roman"/>
      <w:color w:val="auto"/>
    </w:rPr>
  </w:style>
  <w:style w:type="paragraph" w:styleId="239">
    <w:name w:val="List Paragraph"/>
    <w:basedOn w:val="1"/>
    <w:qFormat/>
    <w:uiPriority w:val="34"/>
    <w:pPr>
      <w:adjustRightInd/>
      <w:spacing w:line="240" w:lineRule="auto"/>
      <w:ind w:firstLine="420" w:firstLineChars="200"/>
    </w:pPr>
    <w:rPr>
      <w:szCs w:val="22"/>
    </w:rPr>
  </w:style>
  <w:style w:type="paragraph" w:styleId="240">
    <w:name w:val="No Spacing"/>
    <w:qFormat/>
    <w:uiPriority w:val="1"/>
    <w:pPr>
      <w:adjustRightInd w:val="0"/>
      <w:snapToGrid w:val="0"/>
    </w:pPr>
    <w:rPr>
      <w:rFonts w:ascii="Tahoma" w:hAnsi="Tahoma" w:eastAsia="微软雅黑" w:cstheme="minorBidi"/>
      <w:sz w:val="22"/>
      <w:szCs w:val="22"/>
      <w:lang w:val="en-US" w:eastAsia="zh-CN" w:bidi="ar-SA"/>
    </w:rPr>
  </w:style>
  <w:style w:type="paragraph" w:customStyle="1" w:styleId="241">
    <w:name w:val="TOC 标题1"/>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2">
    <w:name w:val="font21"/>
    <w:basedOn w:val="31"/>
    <w:qFormat/>
    <w:uiPriority w:val="0"/>
    <w:rPr>
      <w:rFonts w:hint="default" w:ascii="Times New Roman" w:hAnsi="Times New Roman" w:cs="Times New Roman"/>
      <w:color w:val="000000"/>
      <w:sz w:val="20"/>
      <w:szCs w:val="20"/>
      <w:u w:val="none"/>
    </w:rPr>
  </w:style>
  <w:style w:type="character" w:customStyle="1" w:styleId="243">
    <w:name w:val="font11"/>
    <w:basedOn w:val="31"/>
    <w:qFormat/>
    <w:uiPriority w:val="0"/>
    <w:rPr>
      <w:rFonts w:hint="eastAsia" w:ascii="宋体" w:hAnsi="宋体" w:eastAsia="宋体" w:cs="宋体"/>
      <w:color w:val="000000"/>
      <w:sz w:val="20"/>
      <w:szCs w:val="20"/>
      <w:u w:val="none"/>
    </w:rPr>
  </w:style>
  <w:style w:type="paragraph" w:customStyle="1" w:styleId="244">
    <w:name w:val="p0"/>
    <w:basedOn w:val="1"/>
    <w:qFormat/>
    <w:uiPriority w:val="0"/>
    <w:pPr>
      <w:widowControl/>
      <w:snapToGrid w:val="0"/>
      <w:spacing w:after="200" w:line="240" w:lineRule="auto"/>
      <w:jc w:val="left"/>
    </w:pPr>
    <w:rPr>
      <w:rFonts w:ascii="Tahoma" w:hAnsi="Tahoma" w:eastAsia="微软雅黑" w:cstheme="minorBidi"/>
      <w:kern w:val="0"/>
      <w:sz w:val="22"/>
    </w:rPr>
  </w:style>
  <w:style w:type="character" w:customStyle="1" w:styleId="245">
    <w:name w:val="short_text"/>
    <w:qFormat/>
    <w:uiPriority w:val="0"/>
  </w:style>
  <w:style w:type="paragraph" w:customStyle="1" w:styleId="24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47">
    <w:name w:val="TOC 标题2"/>
    <w:basedOn w:val="2"/>
    <w:next w:val="1"/>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248">
    <w:name w:val="font31"/>
    <w:basedOn w:val="31"/>
    <w:qFormat/>
    <w:uiPriority w:val="0"/>
    <w:rPr>
      <w:rFonts w:hint="default" w:ascii="Times New Roman" w:hAnsi="Times New Roman" w:cs="Times New Roman"/>
      <w:color w:val="000000"/>
      <w:sz w:val="20"/>
      <w:szCs w:val="20"/>
      <w:u w:val="none"/>
    </w:rPr>
  </w:style>
  <w:style w:type="character" w:customStyle="1" w:styleId="249">
    <w:name w:val="font51"/>
    <w:basedOn w:val="31"/>
    <w:qFormat/>
    <w:uiPriority w:val="0"/>
    <w:rPr>
      <w:rFonts w:hint="default" w:ascii="Times New Roman" w:hAnsi="Times New Roman" w:cs="Times New Roman"/>
      <w:color w:val="000000"/>
      <w:sz w:val="20"/>
      <w:szCs w:val="20"/>
      <w:u w:val="none"/>
    </w:rPr>
  </w:style>
  <w:style w:type="character" w:customStyle="1" w:styleId="250">
    <w:name w:val="font41"/>
    <w:basedOn w:val="31"/>
    <w:qFormat/>
    <w:uiPriority w:val="0"/>
    <w:rPr>
      <w:rFonts w:hint="default" w:ascii="Times New Roman" w:hAnsi="Times New Roman" w:cs="Times New Roman"/>
      <w:color w:val="000000"/>
      <w:sz w:val="20"/>
      <w:szCs w:val="20"/>
      <w:u w:val="none"/>
    </w:rPr>
  </w:style>
  <w:style w:type="character" w:customStyle="1" w:styleId="251">
    <w:name w:val="font61"/>
    <w:basedOn w:val="31"/>
    <w:qFormat/>
    <w:uiPriority w:val="0"/>
    <w:rPr>
      <w:rFonts w:hint="default" w:ascii="Times New Roman" w:hAnsi="Times New Roman" w:cs="Times New Roman"/>
      <w:color w:val="000000"/>
      <w:sz w:val="20"/>
      <w:szCs w:val="20"/>
      <w:u w:val="none"/>
    </w:rPr>
  </w:style>
  <w:style w:type="paragraph" w:customStyle="1" w:styleId="252">
    <w:name w:val="段"/>
    <w:autoRedefine/>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customStyle="1" w:styleId="253">
    <w:name w:val="一级条标题"/>
    <w:next w:val="252"/>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54">
    <w:name w:val="目次、标准名称标题"/>
    <w:basedOn w:val="1"/>
    <w:next w:val="25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56">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57">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8">
    <w:name w:val="一级无"/>
    <w:basedOn w:val="253"/>
    <w:qFormat/>
    <w:uiPriority w:val="0"/>
    <w:pPr>
      <w:numPr>
        <w:numId w:val="33"/>
      </w:numPr>
      <w:tabs>
        <w:tab w:val="left" w:pos="0"/>
      </w:tabs>
      <w:spacing w:before="0" w:beforeLines="0" w:after="0" w:afterLines="0"/>
      <w:jc w:val="both"/>
    </w:pPr>
    <w:rPr>
      <w:rFonts w:ascii="Times New Roman" w:hAnsi="Times New Roman" w:eastAsia="宋体" w:cs="宋体"/>
      <w:sz w:val="21"/>
      <w:szCs w:val="24"/>
    </w:rPr>
  </w:style>
  <w:style w:type="paragraph" w:customStyle="1" w:styleId="259">
    <w:name w:val="正文图标题"/>
    <w:next w:val="252"/>
    <w:qFormat/>
    <w:uiPriority w:val="0"/>
    <w:pPr>
      <w:numPr>
        <w:ilvl w:val="0"/>
        <w:numId w:val="17"/>
      </w:numPr>
      <w:tabs>
        <w:tab w:val="left" w:pos="360"/>
      </w:tabs>
      <w:bidi w:val="0"/>
      <w:spacing w:before="50" w:beforeLines="50" w:after="50" w:afterLines="50"/>
      <w:ind w:left="0" w:leftChars="0" w:firstLine="0" w:firstLineChars="0"/>
      <w:jc w:val="center"/>
    </w:pPr>
    <w:rPr>
      <w:rFonts w:ascii="黑体" w:hAnsi="宋体" w:eastAsia="黑体" w:cs="黑体"/>
      <w:color w:val="000000"/>
      <w:kern w:val="0"/>
      <w:sz w:val="20"/>
      <w:szCs w:val="20"/>
      <w:lang w:val="en-US" w:eastAsia="zh-CN" w:bidi="ar"/>
    </w:rPr>
  </w:style>
  <w:style w:type="paragraph" w:customStyle="1" w:styleId="260">
    <w:name w:val="章标题"/>
    <w:next w:val="252"/>
    <w:qFormat/>
    <w:uiPriority w:val="0"/>
    <w:pPr>
      <w:numPr>
        <w:ilvl w:val="0"/>
        <w:numId w:val="33"/>
      </w:numPr>
      <w:spacing w:before="312" w:beforeLines="100" w:after="312" w:afterLines="100"/>
      <w:ind w:left="0" w:firstLine="0"/>
      <w:jc w:val="both"/>
      <w:outlineLvl w:val="1"/>
    </w:pPr>
    <w:rPr>
      <w:rFonts w:ascii="黑体" w:hAnsi="Times New Roman" w:eastAsia="黑体" w:cs="Times New Roman"/>
      <w:sz w:val="21"/>
      <w:lang w:val="en-US" w:eastAsia="zh-CN" w:bidi="ar-SA"/>
    </w:rPr>
  </w:style>
  <w:style w:type="paragraph" w:customStyle="1" w:styleId="261">
    <w:name w:val="正文表标题"/>
    <w:next w:val="252"/>
    <w:qFormat/>
    <w:uiPriority w:val="0"/>
    <w:pPr>
      <w:numPr>
        <w:ilvl w:val="0"/>
        <w:numId w:val="16"/>
      </w:numPr>
      <w:tabs>
        <w:tab w:val="left" w:pos="360"/>
      </w:tabs>
      <w:spacing w:before="50" w:beforeLines="50" w:after="50" w:afterLines="50"/>
      <w:jc w:val="center"/>
    </w:pPr>
    <w:rPr>
      <w:rFonts w:ascii="Times New Roman" w:hAnsi="Times New Roman" w:eastAsia="黑体" w:cs="Times New Roman"/>
      <w:sz w:val="21"/>
      <w:lang w:val="en-US" w:eastAsia="zh-CN" w:bidi="ar-SA"/>
    </w:rPr>
  </w:style>
  <w:style w:type="paragraph" w:customStyle="1" w:styleId="262">
    <w:name w:val="表头"/>
    <w:basedOn w:val="1"/>
    <w:qFormat/>
    <w:uiPriority w:val="0"/>
    <w:pPr>
      <w:spacing w:line="360" w:lineRule="auto"/>
      <w:jc w:val="center"/>
    </w:pPr>
    <w:rPr>
      <w:rFonts w:ascii="宋体" w:hAnsi="宋体" w:eastAsia="黑体" w:cs="宋体"/>
      <w:sz w:val="21"/>
    </w:rPr>
  </w:style>
  <w:style w:type="paragraph" w:customStyle="1" w:styleId="263">
    <w:name w:val="表内容"/>
    <w:basedOn w:val="1"/>
    <w:qFormat/>
    <w:uiPriority w:val="0"/>
    <w:pPr>
      <w:spacing w:line="360" w:lineRule="auto"/>
      <w:jc w:val="center"/>
    </w:pPr>
    <w:rPr>
      <w:rFonts w:ascii="Times New Roman" w:hAnsi="Times New Roman" w:eastAsia="宋体" w:cs="宋体"/>
    </w:rPr>
  </w:style>
  <w:style w:type="paragraph" w:customStyle="1" w:styleId="264">
    <w:name w:val="二级条标题"/>
    <w:basedOn w:val="253"/>
    <w:next w:val="252"/>
    <w:qFormat/>
    <w:uiPriority w:val="0"/>
    <w:pPr>
      <w:numPr>
        <w:ilvl w:val="2"/>
        <w:numId w:val="33"/>
      </w:numPr>
      <w:spacing w:before="50" w:after="50"/>
      <w:outlineLvl w:val="3"/>
    </w:pPr>
  </w:style>
  <w:style w:type="paragraph" w:customStyle="1" w:styleId="265">
    <w:name w:val="公式截图"/>
    <w:basedOn w:val="1"/>
    <w:qFormat/>
    <w:uiPriority w:val="0"/>
    <w:pPr>
      <w:spacing w:line="746" w:lineRule="exact"/>
      <w:jc w:val="right"/>
    </w:pPr>
    <w:rPr>
      <w:rFonts w:ascii="Times New Roman" w:hAnsi="Times New Roman" w:eastAsia="宋体"/>
      <w:position w:val="-15"/>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1ADB6D256DE44448A115F09195C9D55"/>
        <w:style w:val=""/>
        <w:category>
          <w:name w:val="常规"/>
          <w:gallery w:val="placeholder"/>
        </w:category>
        <w:types>
          <w:type w:val="bbPlcHdr"/>
        </w:types>
        <w:behaviors>
          <w:behavior w:val="content"/>
        </w:behaviors>
        <w:description w:val=""/>
        <w:guid w:val="{67EBC8DC-8EA4-4DDE-A22B-0C3FC163658C}"/>
      </w:docPartPr>
      <w:docPartBody>
        <w:p w14:paraId="4275FABC">
          <w:pPr>
            <w:pStyle w:val="5"/>
          </w:pPr>
          <w:r>
            <w:rPr>
              <w:rStyle w:val="4"/>
              <w:rFonts w:hint="eastAsia"/>
            </w:rPr>
            <w:t>单击或点击此处输入文字。</w:t>
          </w:r>
        </w:p>
      </w:docPartBody>
    </w:docPart>
    <w:docPart>
      <w:docPartPr>
        <w:name w:val="B7201308D17C4E07BF5FB762598EE325"/>
        <w:style w:val=""/>
        <w:category>
          <w:name w:val="常规"/>
          <w:gallery w:val="placeholder"/>
        </w:category>
        <w:types>
          <w:type w:val="bbPlcHdr"/>
        </w:types>
        <w:behaviors>
          <w:behavior w:val="content"/>
        </w:behaviors>
        <w:description w:val=""/>
        <w:guid w:val="{A0516DB0-3BF4-4312-BD0F-247AAE878AAE}"/>
      </w:docPartPr>
      <w:docPartBody>
        <w:p w14:paraId="071937B5">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06"/>
    <w:rsid w:val="000033D5"/>
    <w:rsid w:val="00040624"/>
    <w:rsid w:val="00125C48"/>
    <w:rsid w:val="001856E8"/>
    <w:rsid w:val="001F7611"/>
    <w:rsid w:val="002F6BD1"/>
    <w:rsid w:val="002F7DE4"/>
    <w:rsid w:val="00306ABE"/>
    <w:rsid w:val="003505AF"/>
    <w:rsid w:val="00391D8D"/>
    <w:rsid w:val="00491D89"/>
    <w:rsid w:val="004B6068"/>
    <w:rsid w:val="004E2381"/>
    <w:rsid w:val="0053214F"/>
    <w:rsid w:val="005E5EDF"/>
    <w:rsid w:val="00611D68"/>
    <w:rsid w:val="006318DF"/>
    <w:rsid w:val="006516B3"/>
    <w:rsid w:val="006930DF"/>
    <w:rsid w:val="006B023E"/>
    <w:rsid w:val="006E2965"/>
    <w:rsid w:val="00763B56"/>
    <w:rsid w:val="00797138"/>
    <w:rsid w:val="00822406"/>
    <w:rsid w:val="00827768"/>
    <w:rsid w:val="00844AF0"/>
    <w:rsid w:val="00846123"/>
    <w:rsid w:val="008C1C50"/>
    <w:rsid w:val="008C35EF"/>
    <w:rsid w:val="00955695"/>
    <w:rsid w:val="00971433"/>
    <w:rsid w:val="009C7ABA"/>
    <w:rsid w:val="009D376D"/>
    <w:rsid w:val="009F66A9"/>
    <w:rsid w:val="00A76EFD"/>
    <w:rsid w:val="00AD30D4"/>
    <w:rsid w:val="00AF4F1E"/>
    <w:rsid w:val="00B10DDC"/>
    <w:rsid w:val="00B639E7"/>
    <w:rsid w:val="00B828FB"/>
    <w:rsid w:val="00BB0D3E"/>
    <w:rsid w:val="00BD06BF"/>
    <w:rsid w:val="00C47FBA"/>
    <w:rsid w:val="00E603D3"/>
    <w:rsid w:val="00E9678F"/>
    <w:rsid w:val="00EA46E5"/>
    <w:rsid w:val="00F6582D"/>
    <w:rsid w:val="00F71F2F"/>
    <w:rsid w:val="00F82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1ADB6D256DE44448A115F09195C9D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7201308D17C4E07BF5FB762598EE3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A58699-7224-4034-BEC1-020A3BEC92B2}">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15</Pages>
  <Words>3720</Words>
  <Characters>4573</Characters>
  <Lines>93</Lines>
  <Paragraphs>26</Paragraphs>
  <TotalTime>3</TotalTime>
  <ScaleCrop>false</ScaleCrop>
  <LinksUpToDate>false</LinksUpToDate>
  <CharactersWithSpaces>4728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2026-05-15T07:32:00Z</dcterms:created>
  <dc:creator>admin</dc:creator>
  <dc:description>&lt;config cover="true" show_menu="true" version="1.0.0" doctype="SDKXY"&gt;_x000d_
&lt;/config&gt;</dc:description>
  <cp:lastModifiedBy>埖椒痳吥痳</cp:lastModifiedBy>
  <cp:lastPrinted>2023-11-16T01:55:00Z</cp:lastPrinted>
  <dcterms:modified xsi:type="dcterms:W3CDTF">2026-09-12T23:47:40Z</dcterms:modified>
  <dc:title>团体标准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D7B38427F58A48B698D35D6FDA454409_13</vt:lpwstr>
  </property>
  <property fmtid="{D5CDD505-2E9C-101B-9397-08002B2CF9AE}" pid="16" name="KSOTemplateDocerSaveRecord">
    <vt:lpwstr>eyJoZGlkIjoiMTU5Y2UxZmNiMzQwZmJlYzVlNTU5NjljOGFjOTI1ZDAiLCJ1c2VySWQiOiIzMjgxMzQ0NzQifQ==</vt:lpwstr>
  </property>
</Properties>
</file>