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3BF06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93C61D2">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C816AF0">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bookmarkStart w:id="87" w:name="_GoBack"/>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75.020</w:t>
            </w:r>
            <w:r>
              <w:rPr>
                <w:rFonts w:ascii="黑体" w:hAnsi="黑体" w:eastAsia="黑体"/>
                <w:sz w:val="21"/>
                <w:szCs w:val="21"/>
              </w:rPr>
              <w:fldChar w:fldCharType="end"/>
            </w:r>
            <w:bookmarkEnd w:id="0"/>
            <w:bookmarkEnd w:id="87"/>
          </w:p>
        </w:tc>
      </w:tr>
      <w:tr w14:paraId="6C05A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FB7BDDC">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0"/>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185CE6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16FB4B56">
                  <w:pPr>
                    <w:pStyle w:val="53"/>
                    <w:framePr w:wrap="notBeside" w:vAnchor="page" w:hAnchor="page" w:x="1372" w:y="568"/>
                    <w:ind w:left="420" w:right="624"/>
                    <w:rPr>
                      <w:rFonts w:hint="eastAsia"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CMA</w:t>
                  </w:r>
                  <w:r>
                    <w:fldChar w:fldCharType="end"/>
                  </w:r>
                  <w:bookmarkEnd w:id="1"/>
                </w:p>
              </w:tc>
            </w:tr>
          </w:tbl>
          <w:p w14:paraId="454B1231">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E 13</w:t>
            </w:r>
            <w:r>
              <w:rPr>
                <w:rFonts w:ascii="黑体" w:hAnsi="黑体" w:eastAsia="黑体"/>
                <w:sz w:val="21"/>
                <w:szCs w:val="21"/>
              </w:rPr>
              <w:fldChar w:fldCharType="end"/>
            </w:r>
            <w:bookmarkEnd w:id="2"/>
          </w:p>
        </w:tc>
      </w:tr>
    </w:tbl>
    <w:p w14:paraId="30337453">
      <w:pPr>
        <w:pStyle w:val="54"/>
        <w:framePr w:w="9639" w:h="624" w:hRule="exact" w:hSpace="181" w:vSpace="181" w:wrap="around" w:hAnchor="page" w:x="1305" w:y="2269"/>
        <w:rPr>
          <w:rFonts w:hint="eastAsia"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中国计量协会</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41025FE8">
      <w:pPr>
        <w:pStyle w:val="199"/>
        <w:framePr/>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CMA</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rPr>
          <w:rFonts w:hint="eastAsia"/>
        </w:rPr>
        <w:t>SY243</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202</w:t>
      </w:r>
      <w:r>
        <w:rPr>
          <w:rFonts w:hint="eastAsia"/>
        </w:rPr>
        <w:t>6</w:t>
      </w:r>
      <w:r>
        <w:fldChar w:fldCharType="end"/>
      </w:r>
      <w:bookmarkEnd w:id="7"/>
    </w:p>
    <w:p w14:paraId="13261343">
      <w:pPr>
        <w:pStyle w:val="200"/>
        <w:framePr/>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36BDABDC">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576EB71">
      <w:pPr>
        <w:pStyle w:val="54"/>
        <w:framePr w:w="9639" w:h="6976" w:hRule="exact" w:hSpace="0" w:vSpace="0" w:wrap="around" w:hAnchor="page" w:y="6408"/>
        <w:jc w:val="center"/>
        <w:rPr>
          <w:rFonts w:hint="eastAsia" w:ascii="黑体" w:hAnsi="黑体" w:eastAsia="黑体"/>
          <w:b w:val="0"/>
          <w:bCs w:val="0"/>
          <w:w w:val="100"/>
        </w:rPr>
      </w:pPr>
    </w:p>
    <w:p w14:paraId="5E3323B1">
      <w:pPr>
        <w:pStyle w:val="201"/>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水基钻井液 流变性、密度和可溶性离子的在线检测方法</w:t>
      </w:r>
      <w:r>
        <w:fldChar w:fldCharType="end"/>
      </w:r>
      <w:bookmarkEnd w:id="9"/>
    </w:p>
    <w:p w14:paraId="6AED2EBD">
      <w:pPr>
        <w:framePr w:w="9639" w:h="6974" w:hRule="exact" w:wrap="around" w:vAnchor="page" w:hAnchor="page" w:x="1419" w:y="6408" w:anchorLock="1"/>
        <w:ind w:left="-1418"/>
      </w:pPr>
    </w:p>
    <w:p w14:paraId="28270904">
      <w:pPr>
        <w:pStyle w:val="129"/>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Water-based drilling fluid--Online detection method of rheological properties、density and soluble ions</w:t>
      </w:r>
      <w:r>
        <w:rPr>
          <w:rFonts w:eastAsia="黑体"/>
          <w:szCs w:val="28"/>
        </w:rPr>
        <w:fldChar w:fldCharType="end"/>
      </w:r>
      <w:bookmarkEnd w:id="10"/>
    </w:p>
    <w:p w14:paraId="7C9197C5">
      <w:pPr>
        <w:framePr w:w="9639" w:h="6974" w:hRule="exact" w:wrap="around" w:vAnchor="page" w:hAnchor="page" w:x="1419" w:y="6408" w:anchorLock="1"/>
        <w:spacing w:line="760" w:lineRule="exact"/>
        <w:ind w:left="-1418"/>
      </w:pPr>
    </w:p>
    <w:p w14:paraId="78785F0B">
      <w:pPr>
        <w:pStyle w:val="129"/>
        <w:framePr w:w="9639" w:h="6974" w:hRule="exact" w:wrap="around" w:vAnchor="page" w:hAnchor="page" w:x="1419" w:y="6408" w:anchorLock="1"/>
        <w:textAlignment w:val="bottom"/>
        <w:rPr>
          <w:rFonts w:eastAsia="黑体"/>
          <w:szCs w:val="28"/>
        </w:rPr>
      </w:pPr>
    </w:p>
    <w:p w14:paraId="3CE31A37">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6F717523">
      <w:pPr>
        <w:pStyle w:val="129"/>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6EA7B2A7">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327DA316">
      <w:pPr>
        <w:pStyle w:val="197"/>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202</w:t>
      </w:r>
      <w:r>
        <w:rPr>
          <w:rFonts w:hint="eastAsia" w:ascii="黑体"/>
        </w:rPr>
        <w:t>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18E6448F">
      <w:pPr>
        <w:pStyle w:val="198"/>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202</w:t>
      </w:r>
      <w:r>
        <w:rPr>
          <w:rFonts w:hint="eastAsia" w:ascii="黑体"/>
        </w:rPr>
        <w:t>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54E0D2F4">
      <w:pPr>
        <w:pStyle w:val="155"/>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w:t>
      </w:r>
      <w:r>
        <w:rPr>
          <w:rFonts w:hAnsi="黑体"/>
          <w:w w:val="100"/>
          <w:sz w:val="28"/>
        </w:rPr>
        <w:t xml:space="preserve"> 国 计 量 协 会</w:t>
      </w:r>
      <w:r>
        <w:rPr>
          <w:rFonts w:hAnsi="黑体"/>
          <w:w w:val="100"/>
          <w:sz w:val="28"/>
        </w:rPr>
        <w:fldChar w:fldCharType="end"/>
      </w:r>
      <w:bookmarkEnd w:id="20"/>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5009AC89">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E2CF211">
      <w:pPr>
        <w:pStyle w:val="95"/>
        <w:spacing w:after="360"/>
      </w:pPr>
      <w:bookmarkStart w:id="21" w:name="BookMark1"/>
      <w:bookmarkStart w:id="22" w:name="_Toc133940595"/>
      <w:r>
        <w:rPr>
          <w:rFonts w:hint="eastAsia"/>
          <w:spacing w:val="320"/>
        </w:rPr>
        <w:t>目</w:t>
      </w:r>
      <w:r>
        <w:rPr>
          <w:rFonts w:hint="eastAsia"/>
        </w:rPr>
        <w:t>次</w:t>
      </w:r>
    </w:p>
    <w:p w14:paraId="3D4F380A">
      <w:pPr>
        <w:pStyle w:val="20"/>
        <w:tabs>
          <w:tab w:val="right" w:leader="dot" w:pos="9344"/>
        </w:tabs>
        <w:rPr>
          <w:rFonts w:hint="eastAsia"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"_Toc133940646" </w:instrText>
      </w:r>
      <w:r>
        <w:fldChar w:fldCharType="separate"/>
      </w:r>
      <w:r>
        <w:rPr>
          <w:rStyle w:val="35"/>
        </w:rPr>
        <w:t>前言</w:t>
      </w:r>
      <w:r>
        <w:tab/>
      </w:r>
      <w:r>
        <w:t>I</w:t>
      </w:r>
      <w:r>
        <w:fldChar w:fldCharType="begin"/>
      </w:r>
      <w:r>
        <w:instrText xml:space="preserve"> PAGEREF _Toc133940646 \h </w:instrText>
      </w:r>
      <w:r>
        <w:fldChar w:fldCharType="separate"/>
      </w:r>
      <w:r>
        <w:t>II</w:t>
      </w:r>
      <w:r>
        <w:fldChar w:fldCharType="end"/>
      </w:r>
      <w:r>
        <w:fldChar w:fldCharType="end"/>
      </w:r>
    </w:p>
    <w:p w14:paraId="2325A483">
      <w:pPr>
        <w:pStyle w:val="20"/>
        <w:tabs>
          <w:tab w:val="right" w:leader="dot" w:pos="9344"/>
        </w:tabs>
        <w:rPr>
          <w:rFonts w:hint="eastAsia" w:asciiTheme="minorHAnsi" w:hAnsiTheme="minorHAnsi" w:eastAsiaTheme="minorEastAsia" w:cstheme="minorBidi"/>
          <w:szCs w:val="22"/>
        </w:rPr>
      </w:pPr>
      <w:r>
        <w:fldChar w:fldCharType="begin"/>
      </w:r>
      <w:r>
        <w:instrText xml:space="preserve"> HYPERLINK \l "_Toc133940647" </w:instrText>
      </w:r>
      <w:r>
        <w:fldChar w:fldCharType="separate"/>
      </w:r>
      <w:r>
        <w:rPr>
          <w:rStyle w:val="35"/>
        </w:rPr>
        <w:t>1  范围</w:t>
      </w:r>
      <w:r>
        <w:tab/>
      </w:r>
      <w:r>
        <w:rPr>
          <w:rFonts w:hint="eastAsia"/>
        </w:rPr>
        <w:t>4</w:t>
      </w:r>
      <w:r>
        <w:rPr>
          <w:rFonts w:hint="eastAsia"/>
        </w:rPr>
        <w:fldChar w:fldCharType="end"/>
      </w:r>
    </w:p>
    <w:p w14:paraId="7624F700">
      <w:pPr>
        <w:pStyle w:val="20"/>
        <w:tabs>
          <w:tab w:val="right" w:leader="dot" w:pos="9344"/>
        </w:tabs>
        <w:rPr>
          <w:rFonts w:hint="eastAsia" w:asciiTheme="minorHAnsi" w:hAnsiTheme="minorHAnsi" w:eastAsiaTheme="minorEastAsia" w:cstheme="minorBidi"/>
          <w:szCs w:val="22"/>
        </w:rPr>
      </w:pPr>
      <w:r>
        <w:fldChar w:fldCharType="begin"/>
      </w:r>
      <w:r>
        <w:instrText xml:space="preserve"> HYPERLINK \l "_Toc133940648" </w:instrText>
      </w:r>
      <w:r>
        <w:fldChar w:fldCharType="separate"/>
      </w:r>
      <w:r>
        <w:rPr>
          <w:rStyle w:val="35"/>
        </w:rPr>
        <w:t>2  规范性引用文件</w:t>
      </w:r>
      <w:r>
        <w:tab/>
      </w:r>
      <w:r>
        <w:rPr>
          <w:rFonts w:hint="eastAsia"/>
        </w:rPr>
        <w:t>4</w:t>
      </w:r>
      <w:r>
        <w:rPr>
          <w:rFonts w:hint="eastAsia"/>
        </w:rPr>
        <w:fldChar w:fldCharType="end"/>
      </w:r>
    </w:p>
    <w:p w14:paraId="0324AACC">
      <w:pPr>
        <w:pStyle w:val="20"/>
        <w:tabs>
          <w:tab w:val="right" w:leader="dot" w:pos="9344"/>
        </w:tabs>
        <w:rPr>
          <w:rFonts w:hint="eastAsia" w:asciiTheme="minorHAnsi" w:hAnsiTheme="minorHAnsi" w:eastAsiaTheme="minorEastAsia" w:cstheme="minorBidi"/>
          <w:szCs w:val="22"/>
        </w:rPr>
      </w:pPr>
      <w:r>
        <w:fldChar w:fldCharType="begin"/>
      </w:r>
      <w:r>
        <w:instrText xml:space="preserve"> HYPERLINK \l "_Toc133940649" </w:instrText>
      </w:r>
      <w:r>
        <w:fldChar w:fldCharType="separate"/>
      </w:r>
      <w:r>
        <w:rPr>
          <w:rStyle w:val="35"/>
        </w:rPr>
        <w:t xml:space="preserve">3  </w:t>
      </w:r>
      <w:r>
        <w:rPr>
          <w:rStyle w:val="35"/>
          <w:rFonts w:hint="eastAsia"/>
        </w:rPr>
        <w:t>术语和定义</w:t>
      </w:r>
      <w:r>
        <w:tab/>
      </w:r>
      <w:r>
        <w:rPr>
          <w:rFonts w:hint="eastAsia"/>
        </w:rPr>
        <w:t>4</w:t>
      </w:r>
      <w:r>
        <w:rPr>
          <w:rFonts w:hint="eastAsia"/>
        </w:rPr>
        <w:fldChar w:fldCharType="end"/>
      </w:r>
    </w:p>
    <w:p w14:paraId="30B907E3">
      <w:pPr>
        <w:pStyle w:val="20"/>
        <w:tabs>
          <w:tab w:val="right" w:leader="dot" w:pos="9344"/>
        </w:tabs>
        <w:rPr>
          <w:rFonts w:hint="eastAsia" w:asciiTheme="minorHAnsi" w:hAnsiTheme="minorHAnsi" w:eastAsiaTheme="minorEastAsia" w:cstheme="minorBidi"/>
          <w:szCs w:val="22"/>
        </w:rPr>
      </w:pPr>
      <w:r>
        <w:fldChar w:fldCharType="begin"/>
      </w:r>
      <w:r>
        <w:instrText xml:space="preserve"> HYPERLINK \l "_Toc133940650" </w:instrText>
      </w:r>
      <w:r>
        <w:fldChar w:fldCharType="separate"/>
      </w:r>
      <w:r>
        <w:rPr>
          <w:rStyle w:val="35"/>
        </w:rPr>
        <w:t xml:space="preserve">4  </w:t>
      </w:r>
      <w:r>
        <w:rPr>
          <w:rStyle w:val="35"/>
          <w:rFonts w:hint="eastAsia"/>
        </w:rPr>
        <w:t>方法概述</w:t>
      </w:r>
      <w:r>
        <w:tab/>
      </w:r>
      <w:r>
        <w:rPr>
          <w:rFonts w:hint="eastAsia"/>
        </w:rPr>
        <w:t>4</w:t>
      </w:r>
      <w:r>
        <w:rPr>
          <w:rFonts w:hint="eastAsia"/>
        </w:rPr>
        <w:fldChar w:fldCharType="end"/>
      </w:r>
    </w:p>
    <w:p w14:paraId="30FD4AA4">
      <w:pPr>
        <w:pStyle w:val="20"/>
        <w:tabs>
          <w:tab w:val="right" w:leader="dot" w:pos="9344"/>
        </w:tabs>
        <w:rPr>
          <w:rFonts w:hint="eastAsia" w:asciiTheme="minorHAnsi" w:hAnsiTheme="minorHAnsi" w:eastAsiaTheme="minorEastAsia" w:cstheme="minorBidi"/>
          <w:szCs w:val="22"/>
        </w:rPr>
      </w:pPr>
      <w:r>
        <w:fldChar w:fldCharType="begin"/>
      </w:r>
      <w:r>
        <w:instrText xml:space="preserve"> HYPERLINK \l "_Toc133940653" </w:instrText>
      </w:r>
      <w:r>
        <w:fldChar w:fldCharType="separate"/>
      </w:r>
      <w:r>
        <w:rPr>
          <w:rStyle w:val="35"/>
        </w:rPr>
        <w:t xml:space="preserve">5  </w:t>
      </w:r>
      <w:r>
        <w:rPr>
          <w:rStyle w:val="35"/>
          <w:rFonts w:hint="eastAsia"/>
        </w:rPr>
        <w:t>测试</w:t>
      </w:r>
      <w:r>
        <w:rPr>
          <w:rStyle w:val="35"/>
        </w:rPr>
        <w:t>条件</w:t>
      </w:r>
      <w:r>
        <w:tab/>
      </w:r>
      <w:r>
        <w:rPr>
          <w:rFonts w:hint="eastAsia"/>
        </w:rPr>
        <w:t>5</w:t>
      </w:r>
      <w:r>
        <w:rPr>
          <w:rFonts w:hint="eastAsia"/>
        </w:rPr>
        <w:fldChar w:fldCharType="end"/>
      </w:r>
    </w:p>
    <w:p w14:paraId="1FA46518">
      <w:pPr>
        <w:pStyle w:val="20"/>
        <w:tabs>
          <w:tab w:val="right" w:leader="dot" w:pos="9344"/>
        </w:tabs>
        <w:rPr>
          <w:rFonts w:hint="eastAsia" w:asciiTheme="minorHAnsi" w:hAnsiTheme="minorHAnsi" w:eastAsiaTheme="minorEastAsia" w:cstheme="minorBidi"/>
          <w:szCs w:val="22"/>
        </w:rPr>
      </w:pPr>
      <w:r>
        <w:fldChar w:fldCharType="begin"/>
      </w:r>
      <w:r>
        <w:instrText xml:space="preserve"> HYPERLINK \l "_Toc133940656" </w:instrText>
      </w:r>
      <w:r>
        <w:fldChar w:fldCharType="separate"/>
      </w:r>
      <w:r>
        <w:rPr>
          <w:rStyle w:val="35"/>
        </w:rPr>
        <w:t xml:space="preserve">6  </w:t>
      </w:r>
      <w:r>
        <w:rPr>
          <w:rStyle w:val="35"/>
          <w:rFonts w:hint="eastAsia"/>
        </w:rPr>
        <w:t>试剂或材料</w:t>
      </w:r>
      <w:r>
        <w:tab/>
      </w:r>
      <w:r>
        <w:rPr>
          <w:rFonts w:hint="eastAsia"/>
        </w:rPr>
        <w:t>5</w:t>
      </w:r>
      <w:r>
        <w:rPr>
          <w:rFonts w:hint="eastAsia"/>
        </w:rPr>
        <w:fldChar w:fldCharType="end"/>
      </w:r>
    </w:p>
    <w:p w14:paraId="00C71181">
      <w:pPr>
        <w:pStyle w:val="25"/>
        <w:rPr>
          <w:rFonts w:hint="eastAsia" w:asciiTheme="minorHAnsi" w:hAnsiTheme="minorHAnsi" w:eastAsiaTheme="minorEastAsia" w:cstheme="minorBidi"/>
          <w:szCs w:val="22"/>
        </w:rPr>
      </w:pP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 xml:space="preserve">6.1 </w:t>
      </w:r>
      <w:r>
        <w:rPr>
          <w:rStyle w:val="35"/>
        </w:rPr>
        <w:t xml:space="preserve"> </w:t>
      </w:r>
      <w:r>
        <w:rPr>
          <w:rStyle w:val="35"/>
          <w:rFonts w:hint="eastAsia"/>
        </w:rPr>
        <w:t>氯化钾纯度标准物质</w:t>
      </w:r>
      <w:r>
        <w:tab/>
      </w:r>
      <w:r>
        <w:rPr>
          <w:rFonts w:hint="eastAsia"/>
        </w:rPr>
        <w:t>5</w:t>
      </w:r>
      <w:r>
        <w:rPr>
          <w:rFonts w:hint="eastAsia"/>
        </w:rPr>
        <w:fldChar w:fldCharType="end"/>
      </w:r>
    </w:p>
    <w:p w14:paraId="6FF735C9">
      <w:pPr>
        <w:pStyle w:val="25"/>
        <w:rPr>
          <w:rStyle w:val="35"/>
        </w:rPr>
      </w:pPr>
      <w:r>
        <w:fldChar w:fldCharType="begin"/>
      </w:r>
      <w:r>
        <w:instrText xml:space="preserve"> HYPERLINK \l "_Toc133940658" </w:instrText>
      </w:r>
      <w:r>
        <w:fldChar w:fldCharType="separate"/>
      </w:r>
      <w:r>
        <w:rPr>
          <w:rStyle w:val="35"/>
        </w:rPr>
        <w:t xml:space="preserve">6.2  </w:t>
      </w:r>
      <w:r>
        <w:rPr>
          <w:rStyle w:val="35"/>
          <w:rFonts w:hint="eastAsia"/>
        </w:rPr>
        <w:t>氯化钠纯度标准物质</w:t>
      </w:r>
      <w:r>
        <w:rPr>
          <w:rStyle w:val="35"/>
        </w:rPr>
        <w:tab/>
      </w:r>
      <w:r>
        <w:rPr>
          <w:rStyle w:val="35"/>
          <w:rFonts w:hint="eastAsia"/>
        </w:rPr>
        <w:t>5</w:t>
      </w:r>
      <w:r>
        <w:rPr>
          <w:rStyle w:val="35"/>
          <w:rFonts w:hint="eastAsia"/>
        </w:rPr>
        <w:fldChar w:fldCharType="end"/>
      </w:r>
    </w:p>
    <w:p w14:paraId="79D75B80">
      <w:pPr>
        <w:pStyle w:val="25"/>
        <w:rPr>
          <w:rFonts w:hint="eastAsia" w:asciiTheme="minorHAnsi" w:hAnsiTheme="minorHAnsi" w:eastAsiaTheme="minorEastAsia" w:cstheme="minorBidi"/>
          <w:szCs w:val="22"/>
        </w:rPr>
      </w:pPr>
      <w:r>
        <w:fldChar w:fldCharType="begin"/>
      </w:r>
      <w:r>
        <w:instrText xml:space="preserve"> HYPERLINK \l "_Toc133940659" </w:instrText>
      </w:r>
      <w:r>
        <w:fldChar w:fldCharType="separate"/>
      </w:r>
      <w:r>
        <w:rPr>
          <w:rStyle w:val="35"/>
        </w:rPr>
        <w:t xml:space="preserve">6.3  </w:t>
      </w:r>
      <w:r>
        <w:rPr>
          <w:rStyle w:val="35"/>
          <w:rFonts w:hint="eastAsia"/>
        </w:rPr>
        <w:t>硫化物溶液标准物质</w:t>
      </w:r>
      <w:r>
        <w:rPr>
          <w:rStyle w:val="35"/>
        </w:rPr>
        <w:tab/>
      </w:r>
      <w:r>
        <w:rPr>
          <w:rStyle w:val="35"/>
          <w:rFonts w:hint="eastAsia"/>
        </w:rPr>
        <w:t>5</w:t>
      </w:r>
      <w:r>
        <w:rPr>
          <w:rStyle w:val="35"/>
          <w:rFonts w:hint="eastAsia"/>
        </w:rPr>
        <w:fldChar w:fldCharType="end"/>
      </w:r>
    </w:p>
    <w:p w14:paraId="55DE3010">
      <w:pPr>
        <w:pStyle w:val="25"/>
        <w:rPr>
          <w:rFonts w:hint="eastAsia" w:asciiTheme="minorHAnsi" w:hAnsiTheme="minorHAnsi" w:eastAsiaTheme="minorEastAsia" w:cstheme="minorBidi"/>
          <w:szCs w:val="22"/>
        </w:rPr>
      </w:pPr>
      <w:r>
        <w:fldChar w:fldCharType="begin"/>
      </w:r>
      <w:r>
        <w:instrText xml:space="preserve"> HYPERLINK \l "_Toc133940660" </w:instrText>
      </w:r>
      <w:r>
        <w:fldChar w:fldCharType="separate"/>
      </w:r>
      <w:r>
        <w:rPr>
          <w:rStyle w:val="35"/>
          <w14:scene3d w14:prst="orthographicFront">
            <w14:lightRig w14:rig="threePt" w14:dir="t">
              <w14:rot w14:lat="0" w14:lon="0" w14:rev="0"/>
            </w14:lightRig>
          </w14:scene3d>
        </w:rPr>
        <w:t xml:space="preserve">6.4 </w:t>
      </w:r>
      <w:r>
        <w:rPr>
          <w:rStyle w:val="35"/>
        </w:rPr>
        <w:t xml:space="preserve"> </w:t>
      </w:r>
      <w:r>
        <w:rPr>
          <w:rStyle w:val="35"/>
          <w:rFonts w:hint="eastAsia"/>
        </w:rPr>
        <w:t>硫化物抗氧剂缓冲溶液</w:t>
      </w:r>
      <w:r>
        <w:tab/>
      </w:r>
      <w:r>
        <w:rPr>
          <w:rFonts w:hint="eastAsia"/>
        </w:rPr>
        <w:t>5</w:t>
      </w:r>
      <w:r>
        <w:rPr>
          <w:rFonts w:hint="eastAsia"/>
        </w:rPr>
        <w:fldChar w:fldCharType="end"/>
      </w:r>
    </w:p>
    <w:p w14:paraId="47E6CBAD">
      <w:pPr>
        <w:pStyle w:val="20"/>
        <w:tabs>
          <w:tab w:val="right" w:leader="dot" w:pos="9344"/>
        </w:tabs>
      </w:pPr>
      <w:r>
        <w:fldChar w:fldCharType="begin"/>
      </w:r>
      <w:r>
        <w:instrText xml:space="preserve"> HYPERLINK \l "_Toc133940661" </w:instrText>
      </w:r>
      <w:r>
        <w:fldChar w:fldCharType="separate"/>
      </w:r>
      <w:r>
        <w:rPr>
          <w:rStyle w:val="35"/>
        </w:rPr>
        <w:t xml:space="preserve">7  </w:t>
      </w:r>
      <w:r>
        <w:rPr>
          <w:rStyle w:val="35"/>
          <w:rFonts w:hint="eastAsia"/>
        </w:rPr>
        <w:t>仪器设备</w:t>
      </w:r>
      <w:r>
        <w:tab/>
      </w:r>
      <w:r>
        <w:rPr>
          <w:rFonts w:hint="eastAsia"/>
        </w:rPr>
        <w:t>5</w:t>
      </w:r>
      <w:r>
        <w:rPr>
          <w:rFonts w:hint="eastAsia"/>
        </w:rPr>
        <w:fldChar w:fldCharType="end"/>
      </w:r>
    </w:p>
    <w:p w14:paraId="02BEAD6D">
      <w:pPr>
        <w:pStyle w:val="25"/>
        <w:rPr>
          <w:rFonts w:hint="eastAsia" w:asciiTheme="minorHAnsi" w:hAnsiTheme="minorHAnsi" w:eastAsiaTheme="minorEastAsia" w:cstheme="minorBidi"/>
          <w:szCs w:val="22"/>
        </w:rPr>
      </w:pPr>
      <w:r>
        <w:rPr>
          <w:rFonts w:hint="eastAsia"/>
        </w:rPr>
        <w:t>7</w:t>
      </w: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w:t>
      </w:r>
      <w:r>
        <w:rPr>
          <w:rStyle w:val="35"/>
          <w:rFonts w:hint="eastAsia"/>
          <w14:scene3d w14:prst="orthographicFront">
            <w14:lightRig w14:rig="threePt" w14:dir="t">
              <w14:rot w14:lat="0" w14:lon="0" w14:rev="0"/>
            </w14:lightRig>
          </w14:scene3d>
        </w:rPr>
        <w:t>1</w:t>
      </w:r>
      <w:r>
        <w:rPr>
          <w:rStyle w:val="35"/>
          <w14:scene3d w14:prst="orthographicFront">
            <w14:lightRig w14:rig="threePt" w14:dir="t">
              <w14:rot w14:lat="0" w14:lon="0" w14:rev="0"/>
            </w14:lightRig>
          </w14:scene3d>
        </w:rPr>
        <w:t xml:space="preserve"> </w:t>
      </w:r>
      <w:r>
        <w:rPr>
          <w:rStyle w:val="35"/>
        </w:rPr>
        <w:t xml:space="preserve"> </w:t>
      </w:r>
      <w:r>
        <w:rPr>
          <w:rStyle w:val="35"/>
          <w:rFonts w:hint="eastAsia"/>
        </w:rPr>
        <w:t>钻井液性能参数在线监测系统</w:t>
      </w:r>
      <w:r>
        <w:tab/>
      </w:r>
      <w:r>
        <w:rPr>
          <w:rFonts w:hint="eastAsia"/>
        </w:rPr>
        <w:t>5</w:t>
      </w:r>
      <w:r>
        <w:rPr>
          <w:rFonts w:hint="eastAsia"/>
        </w:rPr>
        <w:fldChar w:fldCharType="end"/>
      </w:r>
    </w:p>
    <w:p w14:paraId="6EF86446">
      <w:pPr>
        <w:pStyle w:val="25"/>
        <w:rPr>
          <w:rFonts w:hint="eastAsia" w:asciiTheme="minorHAnsi" w:hAnsiTheme="minorHAnsi" w:eastAsiaTheme="minorEastAsia" w:cstheme="minorBidi"/>
          <w:szCs w:val="22"/>
        </w:rPr>
      </w:pPr>
      <w:r>
        <w:rPr>
          <w:rFonts w:hint="eastAsia"/>
        </w:rPr>
        <w:t>7</w:t>
      </w: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w:t>
      </w:r>
      <w:r>
        <w:rPr>
          <w:rStyle w:val="35"/>
          <w:rFonts w:hint="eastAsia"/>
          <w14:scene3d w14:prst="orthographicFront">
            <w14:lightRig w14:rig="threePt" w14:dir="t">
              <w14:rot w14:lat="0" w14:lon="0" w14:rev="0"/>
            </w14:lightRig>
          </w14:scene3d>
        </w:rPr>
        <w:t>2</w:t>
      </w:r>
      <w:r>
        <w:rPr>
          <w:rStyle w:val="35"/>
          <w14:scene3d w14:prst="orthographicFront">
            <w14:lightRig w14:rig="threePt" w14:dir="t">
              <w14:rot w14:lat="0" w14:lon="0" w14:rev="0"/>
            </w14:lightRig>
          </w14:scene3d>
        </w:rPr>
        <w:t xml:space="preserve"> </w:t>
      </w:r>
      <w:r>
        <w:rPr>
          <w:rStyle w:val="35"/>
        </w:rPr>
        <w:t xml:space="preserve"> </w:t>
      </w:r>
      <w:r>
        <w:rPr>
          <w:rStyle w:val="35"/>
          <w:rFonts w:hint="eastAsia"/>
        </w:rPr>
        <w:t>六转旋转黏度计</w:t>
      </w:r>
      <w:r>
        <w:tab/>
      </w:r>
      <w:r>
        <w:rPr>
          <w:rFonts w:hint="eastAsia"/>
        </w:rPr>
        <w:t>5</w:t>
      </w:r>
      <w:r>
        <w:rPr>
          <w:rFonts w:hint="eastAsia"/>
        </w:rPr>
        <w:fldChar w:fldCharType="end"/>
      </w:r>
    </w:p>
    <w:p w14:paraId="4A2BBD40">
      <w:pPr>
        <w:pStyle w:val="25"/>
        <w:rPr>
          <w:rStyle w:val="35"/>
        </w:rPr>
      </w:pPr>
      <w:r>
        <w:fldChar w:fldCharType="begin"/>
      </w:r>
      <w:r>
        <w:instrText xml:space="preserve"> HYPERLINK \l "_Toc133940658" </w:instrText>
      </w:r>
      <w:r>
        <w:fldChar w:fldCharType="separate"/>
      </w:r>
      <w:r>
        <w:rPr>
          <w:rStyle w:val="35"/>
          <w:rFonts w:hint="eastAsia"/>
        </w:rPr>
        <w:t>7</w:t>
      </w:r>
      <w:r>
        <w:rPr>
          <w:rStyle w:val="35"/>
        </w:rPr>
        <w:t>.</w:t>
      </w:r>
      <w:r>
        <w:rPr>
          <w:rStyle w:val="35"/>
          <w:rFonts w:hint="eastAsia"/>
        </w:rPr>
        <w:t>3</w:t>
      </w:r>
      <w:r>
        <w:rPr>
          <w:rStyle w:val="35"/>
        </w:rPr>
        <w:t xml:space="preserve">  </w:t>
      </w:r>
      <w:r>
        <w:rPr>
          <w:rStyle w:val="35"/>
          <w:rFonts w:hint="eastAsia"/>
        </w:rPr>
        <w:t>马氏漏斗黏度计</w:t>
      </w:r>
      <w:r>
        <w:rPr>
          <w:rStyle w:val="35"/>
        </w:rPr>
        <w:tab/>
      </w:r>
      <w:r>
        <w:rPr>
          <w:rStyle w:val="35"/>
          <w:rFonts w:hint="eastAsia"/>
        </w:rPr>
        <w:t>5</w:t>
      </w:r>
      <w:r>
        <w:rPr>
          <w:rStyle w:val="35"/>
          <w:rFonts w:hint="eastAsia"/>
        </w:rPr>
        <w:fldChar w:fldCharType="end"/>
      </w:r>
    </w:p>
    <w:p w14:paraId="0B0828C7">
      <w:pPr>
        <w:pStyle w:val="25"/>
        <w:rPr>
          <w:rFonts w:hint="eastAsia" w:asciiTheme="minorHAnsi" w:hAnsiTheme="minorHAnsi" w:eastAsiaTheme="minorEastAsia" w:cstheme="minorBidi"/>
          <w:szCs w:val="22"/>
        </w:rPr>
      </w:pPr>
      <w:r>
        <w:rPr>
          <w:rFonts w:hint="eastAsia"/>
        </w:rPr>
        <w:t>7</w:t>
      </w:r>
      <w:r>
        <w:fldChar w:fldCharType="begin"/>
      </w:r>
      <w:r>
        <w:instrText xml:space="preserve"> HYPERLINK \l "_Toc133940659" </w:instrText>
      </w:r>
      <w:r>
        <w:fldChar w:fldCharType="separate"/>
      </w:r>
      <w:r>
        <w:rPr>
          <w:rStyle w:val="35"/>
        </w:rPr>
        <w:t>.</w:t>
      </w:r>
      <w:r>
        <w:rPr>
          <w:rStyle w:val="35"/>
          <w:rFonts w:hint="eastAsia"/>
        </w:rPr>
        <w:t>4</w:t>
      </w:r>
      <w:r>
        <w:rPr>
          <w:rStyle w:val="35"/>
        </w:rPr>
        <w:t xml:space="preserve">  </w:t>
      </w:r>
      <w:r>
        <w:rPr>
          <w:rStyle w:val="35"/>
          <w:rFonts w:hint="eastAsia"/>
        </w:rPr>
        <w:t>质量流量计</w:t>
      </w:r>
      <w:r>
        <w:rPr>
          <w:rStyle w:val="35"/>
        </w:rPr>
        <w:tab/>
      </w:r>
      <w:r>
        <w:rPr>
          <w:rStyle w:val="35"/>
          <w:rFonts w:hint="eastAsia"/>
        </w:rPr>
        <w:t>5</w:t>
      </w:r>
      <w:r>
        <w:rPr>
          <w:rStyle w:val="35"/>
          <w:rFonts w:hint="eastAsia"/>
        </w:rPr>
        <w:fldChar w:fldCharType="end"/>
      </w:r>
    </w:p>
    <w:p w14:paraId="53111CAE">
      <w:pPr>
        <w:pStyle w:val="25"/>
        <w:rPr>
          <w:rFonts w:hint="eastAsia" w:asciiTheme="minorHAnsi" w:hAnsiTheme="minorHAnsi" w:eastAsiaTheme="minorEastAsia" w:cstheme="minorBidi"/>
          <w:szCs w:val="22"/>
        </w:rPr>
      </w:pPr>
      <w:r>
        <w:fldChar w:fldCharType="begin"/>
      </w:r>
      <w:r>
        <w:instrText xml:space="preserve"> HYPERLINK \l "_Toc133940660" </w:instrText>
      </w:r>
      <w:r>
        <w:fldChar w:fldCharType="separate"/>
      </w:r>
      <w:r>
        <w:rPr>
          <w:rStyle w:val="35"/>
          <w:rFonts w:hint="eastAsia"/>
          <w14:scene3d w14:prst="orthographicFront">
            <w14:lightRig w14:rig="threePt" w14:dir="t">
              <w14:rot w14:lat="0" w14:lon="0" w14:rev="0"/>
            </w14:lightRig>
          </w14:scene3d>
        </w:rPr>
        <w:t>7</w:t>
      </w:r>
      <w:r>
        <w:rPr>
          <w:rStyle w:val="35"/>
          <w14:scene3d w14:prst="orthographicFront">
            <w14:lightRig w14:rig="threePt" w14:dir="t">
              <w14:rot w14:lat="0" w14:lon="0" w14:rev="0"/>
            </w14:lightRig>
          </w14:scene3d>
        </w:rPr>
        <w:t>.</w:t>
      </w:r>
      <w:r>
        <w:rPr>
          <w:rStyle w:val="35"/>
          <w:rFonts w:hint="eastAsia"/>
          <w14:scene3d w14:prst="orthographicFront">
            <w14:lightRig w14:rig="threePt" w14:dir="t">
              <w14:rot w14:lat="0" w14:lon="0" w14:rev="0"/>
            </w14:lightRig>
          </w14:scene3d>
        </w:rPr>
        <w:t>5</w:t>
      </w:r>
      <w:r>
        <w:rPr>
          <w:rStyle w:val="35"/>
          <w14:scene3d w14:prst="orthographicFront">
            <w14:lightRig w14:rig="threePt" w14:dir="t">
              <w14:rot w14:lat="0" w14:lon="0" w14:rev="0"/>
            </w14:lightRig>
          </w14:scene3d>
        </w:rPr>
        <w:t xml:space="preserve"> </w:t>
      </w:r>
      <w:r>
        <w:rPr>
          <w:rStyle w:val="35"/>
        </w:rPr>
        <w:t xml:space="preserve"> </w:t>
      </w:r>
      <w:r>
        <w:rPr>
          <w:rStyle w:val="35"/>
          <w:rFonts w:hint="eastAsia"/>
        </w:rPr>
        <w:t>压差传感器</w:t>
      </w:r>
      <w:r>
        <w:tab/>
      </w:r>
      <w:r>
        <w:rPr>
          <w:rFonts w:hint="eastAsia"/>
        </w:rPr>
        <w:t>5</w:t>
      </w:r>
      <w:r>
        <w:rPr>
          <w:rFonts w:hint="eastAsia"/>
        </w:rPr>
        <w:fldChar w:fldCharType="end"/>
      </w:r>
    </w:p>
    <w:p w14:paraId="39D5E5F6">
      <w:pPr>
        <w:pStyle w:val="25"/>
        <w:rPr>
          <w:rFonts w:hint="eastAsia" w:asciiTheme="minorHAnsi" w:hAnsiTheme="minorHAnsi" w:eastAsiaTheme="minorEastAsia" w:cstheme="minorBidi"/>
          <w:szCs w:val="22"/>
        </w:rPr>
      </w:pPr>
      <w:r>
        <w:rPr>
          <w:rFonts w:hint="eastAsia"/>
        </w:rPr>
        <w:t>7</w:t>
      </w: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w:t>
      </w:r>
      <w:r>
        <w:rPr>
          <w:rStyle w:val="35"/>
          <w:rFonts w:hint="eastAsia"/>
          <w14:scene3d w14:prst="orthographicFront">
            <w14:lightRig w14:rig="threePt" w14:dir="t">
              <w14:rot w14:lat="0" w14:lon="0" w14:rev="0"/>
            </w14:lightRig>
          </w14:scene3d>
        </w:rPr>
        <w:t>6</w:t>
      </w:r>
      <w:r>
        <w:rPr>
          <w:rStyle w:val="35"/>
          <w14:scene3d w14:prst="orthographicFront">
            <w14:lightRig w14:rig="threePt" w14:dir="t">
              <w14:rot w14:lat="0" w14:lon="0" w14:rev="0"/>
            </w14:lightRig>
          </w14:scene3d>
        </w:rPr>
        <w:t xml:space="preserve"> </w:t>
      </w:r>
      <w:r>
        <w:rPr>
          <w:rStyle w:val="35"/>
        </w:rPr>
        <w:t xml:space="preserve"> </w:t>
      </w:r>
      <w:r>
        <w:rPr>
          <w:rStyle w:val="35"/>
          <w:rFonts w:hint="eastAsia"/>
        </w:rPr>
        <w:t>温度计</w:t>
      </w:r>
      <w:r>
        <w:tab/>
      </w:r>
      <w:r>
        <w:rPr>
          <w:rFonts w:hint="eastAsia"/>
        </w:rPr>
        <w:t>5</w:t>
      </w:r>
      <w:r>
        <w:rPr>
          <w:rFonts w:hint="eastAsia"/>
        </w:rPr>
        <w:fldChar w:fldCharType="end"/>
      </w:r>
    </w:p>
    <w:p w14:paraId="5DE3E489">
      <w:pPr>
        <w:pStyle w:val="25"/>
        <w:rPr>
          <w:rStyle w:val="35"/>
        </w:rPr>
      </w:pPr>
      <w:r>
        <w:fldChar w:fldCharType="begin"/>
      </w:r>
      <w:r>
        <w:instrText xml:space="preserve"> HYPERLINK \l "_Toc133940658" </w:instrText>
      </w:r>
      <w:r>
        <w:fldChar w:fldCharType="separate"/>
      </w:r>
      <w:r>
        <w:rPr>
          <w:rStyle w:val="35"/>
          <w:rFonts w:hint="eastAsia"/>
        </w:rPr>
        <w:t>7</w:t>
      </w:r>
      <w:r>
        <w:rPr>
          <w:rStyle w:val="35"/>
        </w:rPr>
        <w:t>.</w:t>
      </w:r>
      <w:r>
        <w:rPr>
          <w:rStyle w:val="35"/>
          <w:rFonts w:hint="eastAsia"/>
        </w:rPr>
        <w:t>7</w:t>
      </w:r>
      <w:r>
        <w:rPr>
          <w:rStyle w:val="35"/>
        </w:rPr>
        <w:t xml:space="preserve"> </w:t>
      </w:r>
      <w:r>
        <w:rPr>
          <w:rStyle w:val="35"/>
          <w:rFonts w:hint="eastAsia"/>
        </w:rPr>
        <w:t xml:space="preserve"> 泥浆密度计</w:t>
      </w:r>
      <w:r>
        <w:rPr>
          <w:rStyle w:val="35"/>
        </w:rPr>
        <w:tab/>
      </w:r>
      <w:r>
        <w:rPr>
          <w:rStyle w:val="35"/>
          <w:rFonts w:hint="eastAsia"/>
        </w:rPr>
        <w:t>5</w:t>
      </w:r>
      <w:r>
        <w:rPr>
          <w:rStyle w:val="35"/>
          <w:rFonts w:hint="eastAsia"/>
        </w:rPr>
        <w:fldChar w:fldCharType="end"/>
      </w:r>
    </w:p>
    <w:p w14:paraId="0AC33144">
      <w:pPr>
        <w:pStyle w:val="25"/>
        <w:rPr>
          <w:rFonts w:hint="eastAsia" w:asciiTheme="minorHAnsi" w:hAnsiTheme="minorHAnsi" w:eastAsiaTheme="minorEastAsia" w:cstheme="minorBidi"/>
          <w:szCs w:val="22"/>
        </w:rPr>
      </w:pPr>
      <w:r>
        <w:rPr>
          <w:rFonts w:hint="eastAsia"/>
        </w:rPr>
        <w:t>7</w:t>
      </w:r>
      <w:r>
        <w:fldChar w:fldCharType="begin"/>
      </w:r>
      <w:r>
        <w:instrText xml:space="preserve"> HYPERLINK \l "_Toc133940659" </w:instrText>
      </w:r>
      <w:r>
        <w:fldChar w:fldCharType="separate"/>
      </w:r>
      <w:r>
        <w:rPr>
          <w:rStyle w:val="35"/>
        </w:rPr>
        <w:t>.</w:t>
      </w:r>
      <w:r>
        <w:rPr>
          <w:rStyle w:val="35"/>
          <w:rFonts w:hint="eastAsia"/>
        </w:rPr>
        <w:t>8</w:t>
      </w:r>
      <w:r>
        <w:rPr>
          <w:rStyle w:val="35"/>
        </w:rPr>
        <w:t xml:space="preserve">  </w:t>
      </w:r>
      <w:r>
        <w:rPr>
          <w:rStyle w:val="35"/>
          <w:rFonts w:hint="eastAsia"/>
        </w:rPr>
        <w:t>复合离子选择电极</w:t>
      </w:r>
      <w:r>
        <w:rPr>
          <w:rStyle w:val="35"/>
        </w:rPr>
        <w:tab/>
      </w:r>
      <w:r>
        <w:rPr>
          <w:rStyle w:val="35"/>
          <w:rFonts w:hint="eastAsia"/>
        </w:rPr>
        <w:t>6</w:t>
      </w:r>
      <w:r>
        <w:rPr>
          <w:rStyle w:val="35"/>
          <w:rFonts w:hint="eastAsia"/>
        </w:rPr>
        <w:fldChar w:fldCharType="end"/>
      </w:r>
    </w:p>
    <w:p w14:paraId="7D45BAD7">
      <w:pPr>
        <w:pStyle w:val="25"/>
        <w:rPr>
          <w:rFonts w:hint="eastAsia" w:asciiTheme="minorHAnsi" w:hAnsiTheme="minorHAnsi" w:eastAsiaTheme="minorEastAsia" w:cstheme="minorBidi"/>
          <w:szCs w:val="22"/>
        </w:rPr>
      </w:pPr>
      <w:r>
        <w:fldChar w:fldCharType="begin"/>
      </w:r>
      <w:r>
        <w:instrText xml:space="preserve"> HYPERLINK \l "_Toc133940660" </w:instrText>
      </w:r>
      <w:r>
        <w:fldChar w:fldCharType="separate"/>
      </w:r>
      <w:r>
        <w:rPr>
          <w:rStyle w:val="35"/>
          <w:rFonts w:hint="eastAsia"/>
          <w14:scene3d w14:prst="orthographicFront">
            <w14:lightRig w14:rig="threePt" w14:dir="t">
              <w14:rot w14:lat="0" w14:lon="0" w14:rev="0"/>
            </w14:lightRig>
          </w14:scene3d>
        </w:rPr>
        <w:t>7</w:t>
      </w:r>
      <w:r>
        <w:rPr>
          <w:rStyle w:val="35"/>
          <w14:scene3d w14:prst="orthographicFront">
            <w14:lightRig w14:rig="threePt" w14:dir="t">
              <w14:rot w14:lat="0" w14:lon="0" w14:rev="0"/>
            </w14:lightRig>
          </w14:scene3d>
        </w:rPr>
        <w:t>.</w:t>
      </w:r>
      <w:r>
        <w:rPr>
          <w:rStyle w:val="35"/>
          <w:rFonts w:hint="eastAsia"/>
          <w14:scene3d w14:prst="orthographicFront">
            <w14:lightRig w14:rig="threePt" w14:dir="t">
              <w14:rot w14:lat="0" w14:lon="0" w14:rev="0"/>
            </w14:lightRig>
          </w14:scene3d>
        </w:rPr>
        <w:t>9</w:t>
      </w:r>
      <w:r>
        <w:rPr>
          <w:rStyle w:val="35"/>
          <w14:scene3d w14:prst="orthographicFront">
            <w14:lightRig w14:rig="threePt" w14:dir="t">
              <w14:rot w14:lat="0" w14:lon="0" w14:rev="0"/>
            </w14:lightRig>
          </w14:scene3d>
        </w:rPr>
        <w:t xml:space="preserve"> </w:t>
      </w:r>
      <w:r>
        <w:rPr>
          <w:rStyle w:val="35"/>
        </w:rPr>
        <w:t xml:space="preserve"> </w:t>
      </w:r>
      <w:r>
        <w:rPr>
          <w:rStyle w:val="35"/>
          <w:rFonts w:hint="eastAsia"/>
        </w:rPr>
        <w:t>磁力搅拌器</w:t>
      </w:r>
      <w:r>
        <w:tab/>
      </w:r>
      <w:r>
        <w:rPr>
          <w:rFonts w:hint="eastAsia"/>
        </w:rPr>
        <w:t>6</w:t>
      </w:r>
      <w:r>
        <w:rPr>
          <w:rFonts w:hint="eastAsia"/>
        </w:rPr>
        <w:fldChar w:fldCharType="end"/>
      </w:r>
    </w:p>
    <w:p w14:paraId="7C207AF8">
      <w:pPr>
        <w:pStyle w:val="20"/>
        <w:tabs>
          <w:tab w:val="right" w:leader="dot" w:pos="9344"/>
        </w:tabs>
      </w:pPr>
      <w:r>
        <w:fldChar w:fldCharType="begin"/>
      </w:r>
      <w:r>
        <w:instrText xml:space="preserve"> HYPERLINK \l "_Toc133940662" </w:instrText>
      </w:r>
      <w:r>
        <w:fldChar w:fldCharType="separate"/>
      </w:r>
      <w:r>
        <w:rPr>
          <w:rStyle w:val="35"/>
        </w:rPr>
        <w:t xml:space="preserve">8  </w:t>
      </w:r>
      <w:r>
        <w:rPr>
          <w:rStyle w:val="35"/>
          <w:rFonts w:hint="eastAsia"/>
        </w:rPr>
        <w:t>样品</w:t>
      </w:r>
      <w:r>
        <w:tab/>
      </w:r>
      <w:r>
        <w:rPr>
          <w:rFonts w:hint="eastAsia"/>
        </w:rPr>
        <w:t>6</w:t>
      </w:r>
      <w:r>
        <w:rPr>
          <w:rFonts w:hint="eastAsia"/>
        </w:rPr>
        <w:fldChar w:fldCharType="end"/>
      </w:r>
    </w:p>
    <w:p w14:paraId="4455BF45">
      <w:pPr>
        <w:pStyle w:val="25"/>
        <w:rPr>
          <w:rFonts w:hint="eastAsia" w:asciiTheme="minorHAnsi" w:hAnsiTheme="minorHAnsi" w:eastAsiaTheme="minorEastAsia" w:cstheme="minorBidi"/>
          <w:szCs w:val="22"/>
        </w:rPr>
      </w:pPr>
      <w:r>
        <w:rPr>
          <w:rFonts w:hint="eastAsia"/>
        </w:rPr>
        <w:t>8</w:t>
      </w: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 xml:space="preserve">.1 </w:t>
      </w:r>
      <w:r>
        <w:rPr>
          <w:rStyle w:val="35"/>
        </w:rPr>
        <w:t xml:space="preserve"> </w:t>
      </w:r>
      <w:r>
        <w:rPr>
          <w:rStyle w:val="35"/>
          <w:rFonts w:hint="eastAsia"/>
        </w:rPr>
        <w:t>样品前处理</w:t>
      </w:r>
      <w:r>
        <w:tab/>
      </w:r>
      <w:r>
        <w:rPr>
          <w:rFonts w:hint="eastAsia"/>
        </w:rPr>
        <w:t>6</w:t>
      </w:r>
      <w:r>
        <w:rPr>
          <w:rFonts w:hint="eastAsia"/>
        </w:rPr>
        <w:fldChar w:fldCharType="end"/>
      </w:r>
    </w:p>
    <w:p w14:paraId="0454E594">
      <w:pPr>
        <w:pStyle w:val="20"/>
        <w:tabs>
          <w:tab w:val="right" w:leader="dot" w:pos="9344"/>
        </w:tabs>
      </w:pPr>
      <w:r>
        <w:fldChar w:fldCharType="begin"/>
      </w:r>
      <w:r>
        <w:instrText xml:space="preserve"> HYPERLINK \l "_Toc133940661" </w:instrText>
      </w:r>
      <w:r>
        <w:fldChar w:fldCharType="separate"/>
      </w:r>
      <w:r>
        <w:rPr>
          <w:rStyle w:val="35"/>
          <w:rFonts w:hint="eastAsia"/>
        </w:rPr>
        <w:t>9</w:t>
      </w:r>
      <w:r>
        <w:rPr>
          <w:rStyle w:val="35"/>
        </w:rPr>
        <w:t xml:space="preserve">  </w:t>
      </w:r>
      <w:r>
        <w:rPr>
          <w:rStyle w:val="35"/>
          <w:rFonts w:hint="eastAsia"/>
        </w:rPr>
        <w:t>测试程序</w:t>
      </w:r>
      <w:r>
        <w:tab/>
      </w:r>
      <w:r>
        <w:rPr>
          <w:rFonts w:hint="eastAsia"/>
        </w:rPr>
        <w:t>6</w:t>
      </w:r>
      <w:r>
        <w:rPr>
          <w:rFonts w:hint="eastAsia"/>
        </w:rPr>
        <w:fldChar w:fldCharType="end"/>
      </w:r>
    </w:p>
    <w:p w14:paraId="47F80C8C">
      <w:pPr>
        <w:pStyle w:val="25"/>
        <w:rPr>
          <w:rFonts w:hint="eastAsia" w:asciiTheme="minorHAnsi" w:hAnsiTheme="minorHAnsi" w:eastAsiaTheme="minorEastAsia" w:cstheme="minorBidi"/>
          <w:szCs w:val="22"/>
        </w:rPr>
      </w:pPr>
      <w:r>
        <w:rPr>
          <w:rFonts w:hint="eastAsia"/>
        </w:rPr>
        <w:t>9</w:t>
      </w: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 xml:space="preserve">.1 </w:t>
      </w:r>
      <w:r>
        <w:rPr>
          <w:rStyle w:val="35"/>
        </w:rPr>
        <w:t xml:space="preserve"> </w:t>
      </w:r>
      <w:r>
        <w:rPr>
          <w:rStyle w:val="35"/>
          <w:rFonts w:hint="eastAsia"/>
        </w:rPr>
        <w:t>流变性及密度</w:t>
      </w:r>
      <w:r>
        <w:tab/>
      </w:r>
      <w:r>
        <w:rPr>
          <w:rFonts w:hint="eastAsia"/>
        </w:rPr>
        <w:t>6</w:t>
      </w:r>
      <w:r>
        <w:rPr>
          <w:rFonts w:hint="eastAsia"/>
        </w:rPr>
        <w:fldChar w:fldCharType="end"/>
      </w:r>
    </w:p>
    <w:p w14:paraId="12063007">
      <w:pPr>
        <w:pStyle w:val="25"/>
        <w:rPr>
          <w:rStyle w:val="35"/>
        </w:rPr>
      </w:pPr>
      <w:r>
        <w:fldChar w:fldCharType="begin"/>
      </w:r>
      <w:r>
        <w:instrText xml:space="preserve"> HYPERLINK \l "_Toc133940658" </w:instrText>
      </w:r>
      <w:r>
        <w:fldChar w:fldCharType="separate"/>
      </w:r>
      <w:r>
        <w:rPr>
          <w:rStyle w:val="35"/>
          <w:rFonts w:hint="eastAsia"/>
        </w:rPr>
        <w:t>9</w:t>
      </w:r>
      <w:r>
        <w:rPr>
          <w:rStyle w:val="35"/>
        </w:rPr>
        <w:t xml:space="preserve">.2  </w:t>
      </w:r>
      <w:r>
        <w:rPr>
          <w:rStyle w:val="35"/>
          <w:rFonts w:hint="eastAsia"/>
        </w:rPr>
        <w:t>可溶性离子</w:t>
      </w:r>
      <w:r>
        <w:rPr>
          <w:rStyle w:val="35"/>
        </w:rPr>
        <w:tab/>
      </w:r>
      <w:r>
        <w:rPr>
          <w:rStyle w:val="35"/>
          <w:rFonts w:hint="eastAsia"/>
        </w:rPr>
        <w:t>7</w:t>
      </w:r>
      <w:r>
        <w:rPr>
          <w:rStyle w:val="35"/>
          <w:rFonts w:hint="eastAsia"/>
        </w:rPr>
        <w:fldChar w:fldCharType="end"/>
      </w:r>
    </w:p>
    <w:p w14:paraId="08B99E4D">
      <w:pPr>
        <w:pStyle w:val="20"/>
        <w:tabs>
          <w:tab w:val="right" w:leader="dot" w:pos="9344"/>
        </w:tabs>
      </w:pPr>
      <w:r>
        <w:fldChar w:fldCharType="begin"/>
      </w:r>
      <w:r>
        <w:instrText xml:space="preserve"> HYPERLINK \l "_Toc133940661" </w:instrText>
      </w:r>
      <w:r>
        <w:fldChar w:fldCharType="separate"/>
      </w:r>
      <w:r>
        <w:rPr>
          <w:rStyle w:val="35"/>
          <w:rFonts w:hint="eastAsia"/>
        </w:rPr>
        <w:t>10</w:t>
      </w:r>
      <w:r>
        <w:rPr>
          <w:rStyle w:val="35"/>
        </w:rPr>
        <w:t xml:space="preserve">  </w:t>
      </w:r>
      <w:r>
        <w:rPr>
          <w:rStyle w:val="35"/>
          <w:rFonts w:hint="eastAsia"/>
        </w:rPr>
        <w:t>测试数据处理</w:t>
      </w:r>
      <w:r>
        <w:tab/>
      </w:r>
      <w:r>
        <w:rPr>
          <w:rFonts w:hint="eastAsia"/>
        </w:rPr>
        <w:t>7</w:t>
      </w:r>
      <w:r>
        <w:rPr>
          <w:rFonts w:hint="eastAsia"/>
        </w:rPr>
        <w:fldChar w:fldCharType="end"/>
      </w:r>
    </w:p>
    <w:p w14:paraId="53FA9297">
      <w:pPr>
        <w:pStyle w:val="25"/>
        <w:rPr>
          <w:rFonts w:hint="eastAsia" w:asciiTheme="minorHAnsi" w:hAnsiTheme="minorHAnsi" w:eastAsiaTheme="minorEastAsia" w:cstheme="minorBidi"/>
          <w:szCs w:val="22"/>
        </w:rPr>
      </w:pPr>
      <w:r>
        <w:rPr>
          <w:rFonts w:hint="eastAsia"/>
        </w:rPr>
        <w:t>10</w:t>
      </w: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 xml:space="preserve">.1 </w:t>
      </w:r>
      <w:r>
        <w:rPr>
          <w:rStyle w:val="35"/>
        </w:rPr>
        <w:t xml:space="preserve"> </w:t>
      </w:r>
      <w:r>
        <w:rPr>
          <w:rStyle w:val="35"/>
          <w:rFonts w:hint="eastAsia"/>
        </w:rPr>
        <w:t>压差测量值的计算</w:t>
      </w:r>
      <w:r>
        <w:tab/>
      </w:r>
      <w:r>
        <w:rPr>
          <w:rFonts w:hint="eastAsia"/>
        </w:rPr>
        <w:t>7</w:t>
      </w:r>
      <w:r>
        <w:rPr>
          <w:rFonts w:hint="eastAsia"/>
        </w:rPr>
        <w:fldChar w:fldCharType="end"/>
      </w:r>
    </w:p>
    <w:p w14:paraId="4ED6818C">
      <w:pPr>
        <w:pStyle w:val="25"/>
        <w:rPr>
          <w:rStyle w:val="35"/>
        </w:rPr>
      </w:pPr>
      <w:r>
        <w:fldChar w:fldCharType="begin"/>
      </w:r>
      <w:r>
        <w:instrText xml:space="preserve"> HYPERLINK \l "_Toc133940658" </w:instrText>
      </w:r>
      <w:r>
        <w:fldChar w:fldCharType="separate"/>
      </w:r>
      <w:r>
        <w:rPr>
          <w:rStyle w:val="35"/>
          <w:rFonts w:hint="eastAsia"/>
        </w:rPr>
        <w:t>10</w:t>
      </w:r>
      <w:r>
        <w:rPr>
          <w:rStyle w:val="35"/>
        </w:rPr>
        <w:t xml:space="preserve">.2  </w:t>
      </w:r>
      <w:r>
        <w:rPr>
          <w:rStyle w:val="35"/>
          <w:rFonts w:hint="eastAsia"/>
        </w:rPr>
        <w:t>表观粘度、塑性粘度、动切力、漏斗粘度参数的计算</w:t>
      </w:r>
      <w:r>
        <w:rPr>
          <w:rStyle w:val="35"/>
        </w:rPr>
        <w:tab/>
      </w:r>
      <w:r>
        <w:rPr>
          <w:rStyle w:val="35"/>
          <w:rFonts w:hint="eastAsia"/>
        </w:rPr>
        <w:t>8</w:t>
      </w:r>
      <w:r>
        <w:rPr>
          <w:rStyle w:val="35"/>
          <w:rFonts w:hint="eastAsia"/>
        </w:rPr>
        <w:fldChar w:fldCharType="end"/>
      </w:r>
    </w:p>
    <w:p w14:paraId="1634B7C5">
      <w:pPr>
        <w:pStyle w:val="25"/>
        <w:rPr>
          <w:rFonts w:hint="eastAsia" w:asciiTheme="minorHAnsi" w:hAnsiTheme="minorHAnsi" w:eastAsiaTheme="minorEastAsia" w:cstheme="minorBidi"/>
          <w:szCs w:val="22"/>
        </w:rPr>
      </w:pPr>
      <w:r>
        <w:rPr>
          <w:rFonts w:hint="eastAsia"/>
        </w:rPr>
        <w:t>10</w:t>
      </w:r>
      <w:r>
        <w:fldChar w:fldCharType="begin"/>
      </w:r>
      <w:r>
        <w:instrText xml:space="preserve"> HYPERLINK \l "_Toc133940659" </w:instrText>
      </w:r>
      <w:r>
        <w:fldChar w:fldCharType="separate"/>
      </w:r>
      <w:r>
        <w:rPr>
          <w:rStyle w:val="35"/>
        </w:rPr>
        <w:t xml:space="preserve">.3  </w:t>
      </w:r>
      <w:r>
        <w:rPr>
          <w:rStyle w:val="35"/>
          <w:rFonts w:hint="eastAsia"/>
        </w:rPr>
        <w:t>可溶性离子浓度参数的计算</w:t>
      </w:r>
      <w:r>
        <w:rPr>
          <w:rStyle w:val="35"/>
        </w:rPr>
        <w:tab/>
      </w:r>
      <w:r>
        <w:rPr>
          <w:rStyle w:val="35"/>
          <w:rFonts w:hint="eastAsia"/>
        </w:rPr>
        <w:t>8</w:t>
      </w:r>
      <w:r>
        <w:rPr>
          <w:rStyle w:val="35"/>
          <w:rFonts w:hint="eastAsia"/>
        </w:rPr>
        <w:fldChar w:fldCharType="end"/>
      </w:r>
    </w:p>
    <w:p w14:paraId="6A3456EC">
      <w:pPr>
        <w:pStyle w:val="20"/>
        <w:tabs>
          <w:tab w:val="right" w:leader="dot" w:pos="9344"/>
        </w:tabs>
      </w:pPr>
      <w:r>
        <w:fldChar w:fldCharType="begin"/>
      </w:r>
      <w:r>
        <w:instrText xml:space="preserve"> HYPERLINK \l "_Toc133940661" </w:instrText>
      </w:r>
      <w:r>
        <w:fldChar w:fldCharType="separate"/>
      </w:r>
      <w:r>
        <w:rPr>
          <w:rStyle w:val="35"/>
          <w:rFonts w:hint="eastAsia"/>
        </w:rPr>
        <w:t>11</w:t>
      </w:r>
      <w:r>
        <w:rPr>
          <w:rStyle w:val="35"/>
        </w:rPr>
        <w:t xml:space="preserve">  </w:t>
      </w:r>
      <w:r>
        <w:rPr>
          <w:rStyle w:val="35"/>
          <w:rFonts w:hint="eastAsia"/>
        </w:rPr>
        <w:t>标准物质/标准器验证</w:t>
      </w:r>
      <w:r>
        <w:tab/>
      </w:r>
      <w:r>
        <w:rPr>
          <w:rFonts w:hint="eastAsia"/>
        </w:rPr>
        <w:t>9</w:t>
      </w:r>
      <w:r>
        <w:rPr>
          <w:rFonts w:hint="eastAsia"/>
        </w:rPr>
        <w:fldChar w:fldCharType="end"/>
      </w:r>
    </w:p>
    <w:p w14:paraId="74F77FE9">
      <w:pPr>
        <w:pStyle w:val="25"/>
        <w:rPr>
          <w:rFonts w:hint="eastAsia" w:asciiTheme="minorHAnsi" w:hAnsiTheme="minorHAnsi" w:eastAsiaTheme="minorEastAsia" w:cstheme="minorBidi"/>
          <w:szCs w:val="22"/>
        </w:rPr>
      </w:pPr>
      <w:r>
        <w:rPr>
          <w:rFonts w:hint="eastAsia"/>
        </w:rPr>
        <w:t>11</w:t>
      </w: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 xml:space="preserve">.1 </w:t>
      </w:r>
      <w:r>
        <w:rPr>
          <w:rStyle w:val="35"/>
        </w:rPr>
        <w:t xml:space="preserve"> </w:t>
      </w:r>
      <w:r>
        <w:rPr>
          <w:rStyle w:val="35"/>
          <w:rFonts w:hint="eastAsia"/>
        </w:rPr>
        <w:t>表观粘度、塑性粘度、动切力参数验证</w:t>
      </w:r>
      <w:r>
        <w:tab/>
      </w:r>
      <w:r>
        <w:rPr>
          <w:rFonts w:hint="eastAsia"/>
        </w:rPr>
        <w:t>9</w:t>
      </w:r>
      <w:r>
        <w:rPr>
          <w:rFonts w:hint="eastAsia"/>
        </w:rPr>
        <w:fldChar w:fldCharType="end"/>
      </w:r>
    </w:p>
    <w:p w14:paraId="55F3083A">
      <w:pPr>
        <w:pStyle w:val="25"/>
        <w:rPr>
          <w:rStyle w:val="35"/>
        </w:rPr>
      </w:pPr>
      <w:r>
        <w:fldChar w:fldCharType="begin"/>
      </w:r>
      <w:r>
        <w:instrText xml:space="preserve"> HYPERLINK \l "_Toc133940658" </w:instrText>
      </w:r>
      <w:r>
        <w:fldChar w:fldCharType="separate"/>
      </w:r>
      <w:r>
        <w:rPr>
          <w:rStyle w:val="35"/>
          <w:rFonts w:hint="eastAsia"/>
        </w:rPr>
        <w:t>11</w:t>
      </w:r>
      <w:r>
        <w:rPr>
          <w:rStyle w:val="35"/>
        </w:rPr>
        <w:t xml:space="preserve">.2  </w:t>
      </w:r>
      <w:r>
        <w:rPr>
          <w:rStyle w:val="35"/>
          <w:rFonts w:hint="eastAsia"/>
        </w:rPr>
        <w:t>漏斗粘度验证</w:t>
      </w:r>
      <w:r>
        <w:rPr>
          <w:rStyle w:val="35"/>
        </w:rPr>
        <w:tab/>
      </w:r>
      <w:r>
        <w:rPr>
          <w:rStyle w:val="35"/>
          <w:rFonts w:hint="eastAsia"/>
        </w:rPr>
        <w:t>9</w:t>
      </w:r>
      <w:r>
        <w:rPr>
          <w:rStyle w:val="35"/>
          <w:rFonts w:hint="eastAsia"/>
        </w:rPr>
        <w:fldChar w:fldCharType="end"/>
      </w:r>
    </w:p>
    <w:p w14:paraId="678F7934">
      <w:pPr>
        <w:pStyle w:val="25"/>
        <w:rPr>
          <w:rFonts w:hint="eastAsia" w:asciiTheme="minorHAnsi" w:hAnsiTheme="minorHAnsi" w:eastAsiaTheme="minorEastAsia" w:cstheme="minorBidi"/>
          <w:szCs w:val="22"/>
        </w:rPr>
      </w:pPr>
      <w:r>
        <w:rPr>
          <w:rFonts w:hint="eastAsia"/>
        </w:rPr>
        <w:t>11</w:t>
      </w:r>
      <w:r>
        <w:fldChar w:fldCharType="begin"/>
      </w:r>
      <w:r>
        <w:instrText xml:space="preserve"> HYPERLINK \l "_Toc133940659" </w:instrText>
      </w:r>
      <w:r>
        <w:fldChar w:fldCharType="separate"/>
      </w:r>
      <w:r>
        <w:rPr>
          <w:rStyle w:val="35"/>
        </w:rPr>
        <w:t xml:space="preserve">.3  </w:t>
      </w:r>
      <w:r>
        <w:rPr>
          <w:rStyle w:val="35"/>
          <w:rFonts w:hint="eastAsia"/>
        </w:rPr>
        <w:t>密度验证</w:t>
      </w:r>
      <w:r>
        <w:rPr>
          <w:rStyle w:val="35"/>
        </w:rPr>
        <w:tab/>
      </w:r>
      <w:r>
        <w:rPr>
          <w:rStyle w:val="35"/>
          <w:rFonts w:hint="eastAsia"/>
        </w:rPr>
        <w:t>9</w:t>
      </w:r>
      <w:r>
        <w:rPr>
          <w:rStyle w:val="35"/>
          <w:rFonts w:hint="eastAsia"/>
        </w:rPr>
        <w:fldChar w:fldCharType="end"/>
      </w:r>
    </w:p>
    <w:p w14:paraId="06299B75">
      <w:pPr>
        <w:pStyle w:val="25"/>
        <w:rPr>
          <w:rFonts w:hint="eastAsia" w:asciiTheme="minorHAnsi" w:hAnsiTheme="minorHAnsi" w:eastAsiaTheme="minorEastAsia" w:cstheme="minorBidi"/>
          <w:szCs w:val="22"/>
        </w:rPr>
      </w:pPr>
      <w:r>
        <w:fldChar w:fldCharType="begin"/>
      </w:r>
      <w:r>
        <w:instrText xml:space="preserve"> HYPERLINK \l "_Toc133940660" </w:instrText>
      </w:r>
      <w:r>
        <w:fldChar w:fldCharType="separate"/>
      </w:r>
      <w:r>
        <w:rPr>
          <w:rStyle w:val="35"/>
          <w:rFonts w:hint="eastAsia"/>
          <w14:scene3d w14:prst="orthographicFront">
            <w14:lightRig w14:rig="threePt" w14:dir="t">
              <w14:rot w14:lat="0" w14:lon="0" w14:rev="0"/>
            </w14:lightRig>
          </w14:scene3d>
        </w:rPr>
        <w:t>11</w:t>
      </w:r>
      <w:r>
        <w:rPr>
          <w:rStyle w:val="35"/>
          <w14:scene3d w14:prst="orthographicFront">
            <w14:lightRig w14:rig="threePt" w14:dir="t">
              <w14:rot w14:lat="0" w14:lon="0" w14:rev="0"/>
            </w14:lightRig>
          </w14:scene3d>
        </w:rPr>
        <w:t xml:space="preserve">.4 </w:t>
      </w:r>
      <w:r>
        <w:rPr>
          <w:rStyle w:val="35"/>
        </w:rPr>
        <w:t xml:space="preserve"> </w:t>
      </w:r>
      <w:r>
        <w:rPr>
          <w:rStyle w:val="35"/>
          <w:rFonts w:hint="eastAsia"/>
        </w:rPr>
        <w:t>可溶性离子浓度验证</w:t>
      </w:r>
      <w:r>
        <w:tab/>
      </w:r>
      <w:r>
        <w:rPr>
          <w:rFonts w:hint="eastAsia"/>
        </w:rPr>
        <w:t>9</w:t>
      </w:r>
      <w:r>
        <w:rPr>
          <w:rFonts w:hint="eastAsia"/>
        </w:rPr>
        <w:fldChar w:fldCharType="end"/>
      </w:r>
    </w:p>
    <w:p w14:paraId="67BCB8A1">
      <w:pPr>
        <w:pStyle w:val="20"/>
        <w:tabs>
          <w:tab w:val="right" w:leader="dot" w:pos="9344"/>
        </w:tabs>
      </w:pPr>
      <w:r>
        <w:fldChar w:fldCharType="begin"/>
      </w:r>
      <w:r>
        <w:instrText xml:space="preserve"> HYPERLINK \l "_Toc133940662" </w:instrText>
      </w:r>
      <w:r>
        <w:fldChar w:fldCharType="separate"/>
      </w:r>
      <w:r>
        <w:rPr>
          <w:rStyle w:val="35"/>
          <w:rFonts w:hint="eastAsia"/>
        </w:rPr>
        <w:t>12</w:t>
      </w:r>
      <w:r>
        <w:rPr>
          <w:rStyle w:val="35"/>
        </w:rPr>
        <w:t xml:space="preserve">  </w:t>
      </w:r>
      <w:r>
        <w:rPr>
          <w:rStyle w:val="35"/>
          <w:rFonts w:hint="eastAsia"/>
        </w:rPr>
        <w:t>精密度</w:t>
      </w:r>
      <w:r>
        <w:tab/>
      </w:r>
      <w:r>
        <w:rPr>
          <w:rFonts w:hint="eastAsia"/>
        </w:rPr>
        <w:t>10</w:t>
      </w:r>
      <w:r>
        <w:rPr>
          <w:rFonts w:hint="eastAsia"/>
        </w:rPr>
        <w:fldChar w:fldCharType="end"/>
      </w:r>
    </w:p>
    <w:p w14:paraId="4E03D759">
      <w:pPr>
        <w:pStyle w:val="25"/>
        <w:rPr>
          <w:rFonts w:hint="eastAsia" w:asciiTheme="minorHAnsi" w:hAnsiTheme="minorHAnsi" w:eastAsiaTheme="minorEastAsia" w:cstheme="minorBidi"/>
          <w:szCs w:val="22"/>
        </w:rPr>
      </w:pPr>
      <w:r>
        <w:rPr>
          <w:rFonts w:hint="eastAsia"/>
        </w:rPr>
        <w:t>12</w:t>
      </w: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 xml:space="preserve">.1 </w:t>
      </w:r>
      <w:r>
        <w:rPr>
          <w:rStyle w:val="35"/>
        </w:rPr>
        <w:t xml:space="preserve"> </w:t>
      </w:r>
      <w:r>
        <w:rPr>
          <w:rStyle w:val="35"/>
          <w:rFonts w:hint="eastAsia"/>
        </w:rPr>
        <w:t>重复性</w:t>
      </w:r>
      <w:r>
        <w:tab/>
      </w:r>
      <w:r>
        <w:rPr>
          <w:rFonts w:hint="eastAsia"/>
        </w:rPr>
        <w:t>10</w:t>
      </w:r>
      <w:r>
        <w:rPr>
          <w:rFonts w:hint="eastAsia"/>
        </w:rPr>
        <w:fldChar w:fldCharType="end"/>
      </w:r>
    </w:p>
    <w:p w14:paraId="2323119D">
      <w:pPr>
        <w:pStyle w:val="20"/>
        <w:tabs>
          <w:tab w:val="right" w:leader="dot" w:pos="9344"/>
        </w:tabs>
      </w:pPr>
      <w:r>
        <w:fldChar w:fldCharType="begin"/>
      </w:r>
      <w:r>
        <w:instrText xml:space="preserve"> HYPERLINK \l "_Toc133940661" </w:instrText>
      </w:r>
      <w:r>
        <w:fldChar w:fldCharType="separate"/>
      </w:r>
      <w:r>
        <w:rPr>
          <w:rStyle w:val="35"/>
          <w:rFonts w:hint="eastAsia"/>
        </w:rPr>
        <w:t>13</w:t>
      </w:r>
      <w:r>
        <w:rPr>
          <w:rStyle w:val="35"/>
        </w:rPr>
        <w:t xml:space="preserve">  </w:t>
      </w:r>
      <w:r>
        <w:rPr>
          <w:rStyle w:val="35"/>
          <w:rFonts w:hint="eastAsia"/>
        </w:rPr>
        <w:t>仪器保养及维护</w:t>
      </w:r>
      <w:r>
        <w:tab/>
      </w:r>
      <w:r>
        <w:rPr>
          <w:rFonts w:hint="eastAsia"/>
        </w:rPr>
        <w:t>10</w:t>
      </w:r>
      <w:r>
        <w:rPr>
          <w:rFonts w:hint="eastAsia"/>
        </w:rPr>
        <w:fldChar w:fldCharType="end"/>
      </w:r>
    </w:p>
    <w:p w14:paraId="13677108">
      <w:pPr>
        <w:pStyle w:val="25"/>
        <w:rPr>
          <w:rFonts w:hint="eastAsia" w:asciiTheme="minorHAnsi" w:hAnsiTheme="minorHAnsi" w:eastAsiaTheme="minorEastAsia" w:cstheme="minorBidi"/>
          <w:szCs w:val="22"/>
        </w:rPr>
      </w:pPr>
      <w:r>
        <w:rPr>
          <w:rFonts w:hint="eastAsia"/>
        </w:rPr>
        <w:t>13</w:t>
      </w: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 xml:space="preserve">.1 </w:t>
      </w:r>
      <w:r>
        <w:rPr>
          <w:rStyle w:val="35"/>
        </w:rPr>
        <w:t xml:space="preserve"> </w:t>
      </w:r>
      <w:r>
        <w:rPr>
          <w:rStyle w:val="35"/>
          <w:rFonts w:hint="eastAsia"/>
        </w:rPr>
        <w:t>硬件设备维护</w:t>
      </w:r>
      <w:r>
        <w:tab/>
      </w:r>
      <w:r>
        <w:rPr>
          <w:rFonts w:hint="eastAsia"/>
        </w:rPr>
        <w:t>10</w:t>
      </w:r>
      <w:r>
        <w:rPr>
          <w:rFonts w:hint="eastAsia"/>
        </w:rPr>
        <w:fldChar w:fldCharType="end"/>
      </w:r>
    </w:p>
    <w:p w14:paraId="0267EDD7">
      <w:pPr>
        <w:pStyle w:val="25"/>
        <w:rPr>
          <w:rStyle w:val="35"/>
        </w:rPr>
      </w:pPr>
      <w:r>
        <w:fldChar w:fldCharType="begin"/>
      </w:r>
      <w:r>
        <w:instrText xml:space="preserve"> HYPERLINK \l "_Toc133940658" </w:instrText>
      </w:r>
      <w:r>
        <w:fldChar w:fldCharType="separate"/>
      </w:r>
      <w:r>
        <w:rPr>
          <w:rStyle w:val="35"/>
          <w:rFonts w:hint="eastAsia"/>
        </w:rPr>
        <w:t>13</w:t>
      </w:r>
      <w:r>
        <w:rPr>
          <w:rStyle w:val="35"/>
        </w:rPr>
        <w:t xml:space="preserve">.2  </w:t>
      </w:r>
      <w:r>
        <w:rPr>
          <w:rStyle w:val="35"/>
          <w:rFonts w:hint="eastAsia"/>
        </w:rPr>
        <w:t>离子选择电极保养</w:t>
      </w:r>
      <w:r>
        <w:rPr>
          <w:rStyle w:val="35"/>
        </w:rPr>
        <w:tab/>
      </w:r>
      <w:r>
        <w:rPr>
          <w:rStyle w:val="35"/>
          <w:rFonts w:hint="eastAsia"/>
        </w:rPr>
        <w:t>10</w:t>
      </w:r>
      <w:r>
        <w:rPr>
          <w:rStyle w:val="35"/>
          <w:rFonts w:hint="eastAsia"/>
        </w:rPr>
        <w:fldChar w:fldCharType="end"/>
      </w:r>
    </w:p>
    <w:p w14:paraId="630D9A48">
      <w:pPr>
        <w:pStyle w:val="20"/>
        <w:tabs>
          <w:tab w:val="right" w:leader="dot" w:pos="9344"/>
        </w:tabs>
      </w:pPr>
      <w:r>
        <w:fldChar w:fldCharType="begin"/>
      </w:r>
      <w:r>
        <w:instrText xml:space="preserve"> HYPERLINK \l "_Toc133940661" </w:instrText>
      </w:r>
      <w:r>
        <w:fldChar w:fldCharType="separate"/>
      </w:r>
      <w:r>
        <w:rPr>
          <w:rStyle w:val="35"/>
          <w:rFonts w:hint="eastAsia"/>
        </w:rPr>
        <w:t>14</w:t>
      </w:r>
      <w:r>
        <w:rPr>
          <w:rStyle w:val="35"/>
        </w:rPr>
        <w:t xml:space="preserve">  </w:t>
      </w:r>
      <w:r>
        <w:rPr>
          <w:rStyle w:val="35"/>
          <w:rFonts w:hint="eastAsia"/>
        </w:rPr>
        <w:t>质量保证和控制</w:t>
      </w:r>
      <w:r>
        <w:tab/>
      </w:r>
      <w:r>
        <w:rPr>
          <w:rFonts w:hint="eastAsia"/>
        </w:rPr>
        <w:t>10</w:t>
      </w:r>
      <w:r>
        <w:rPr>
          <w:rFonts w:hint="eastAsia"/>
        </w:rPr>
        <w:fldChar w:fldCharType="end"/>
      </w:r>
    </w:p>
    <w:p w14:paraId="1BE4B039">
      <w:pPr>
        <w:pStyle w:val="25"/>
        <w:rPr>
          <w:rFonts w:hint="eastAsia" w:asciiTheme="minorHAnsi" w:hAnsiTheme="minorHAnsi" w:eastAsiaTheme="minorEastAsia" w:cstheme="minorBidi"/>
          <w:szCs w:val="22"/>
        </w:rPr>
      </w:pPr>
      <w:r>
        <w:rPr>
          <w:rFonts w:hint="eastAsia"/>
        </w:rPr>
        <w:t>14</w:t>
      </w: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 xml:space="preserve">.1 </w:t>
      </w:r>
      <w:r>
        <w:rPr>
          <w:rStyle w:val="35"/>
        </w:rPr>
        <w:t xml:space="preserve"> </w:t>
      </w:r>
      <w:r>
        <w:rPr>
          <w:rStyle w:val="35"/>
          <w:rFonts w:hint="eastAsia"/>
        </w:rPr>
        <w:t>测量结果质量控制方法</w:t>
      </w:r>
      <w:r>
        <w:tab/>
      </w:r>
      <w:r>
        <w:rPr>
          <w:rFonts w:hint="eastAsia"/>
        </w:rPr>
        <w:t>10</w:t>
      </w:r>
      <w:r>
        <w:rPr>
          <w:rFonts w:hint="eastAsia"/>
        </w:rPr>
        <w:fldChar w:fldCharType="end"/>
      </w:r>
    </w:p>
    <w:p w14:paraId="2F493C0C">
      <w:pPr>
        <w:pStyle w:val="25"/>
        <w:rPr>
          <w:rStyle w:val="35"/>
        </w:rPr>
      </w:pPr>
      <w:r>
        <w:fldChar w:fldCharType="begin"/>
      </w:r>
      <w:r>
        <w:instrText xml:space="preserve"> HYPERLINK \l "_Toc133940658" </w:instrText>
      </w:r>
      <w:r>
        <w:fldChar w:fldCharType="separate"/>
      </w:r>
      <w:r>
        <w:rPr>
          <w:rStyle w:val="35"/>
          <w:rFonts w:hint="eastAsia"/>
        </w:rPr>
        <w:t>14</w:t>
      </w:r>
      <w:r>
        <w:rPr>
          <w:rStyle w:val="35"/>
        </w:rPr>
        <w:t xml:space="preserve">.2  </w:t>
      </w:r>
      <w:r>
        <w:rPr>
          <w:rStyle w:val="35"/>
          <w:rFonts w:hint="eastAsia"/>
        </w:rPr>
        <w:t>计量设备基本要求</w:t>
      </w:r>
      <w:r>
        <w:rPr>
          <w:rStyle w:val="35"/>
        </w:rPr>
        <w:tab/>
      </w:r>
      <w:r>
        <w:rPr>
          <w:rStyle w:val="35"/>
          <w:rFonts w:hint="eastAsia"/>
        </w:rPr>
        <w:t>10</w:t>
      </w:r>
      <w:r>
        <w:rPr>
          <w:rStyle w:val="35"/>
          <w:rFonts w:hint="eastAsia"/>
        </w:rPr>
        <w:fldChar w:fldCharType="end"/>
      </w:r>
    </w:p>
    <w:p w14:paraId="27915AD3">
      <w:pPr>
        <w:pStyle w:val="25"/>
        <w:rPr>
          <w:rFonts w:hint="eastAsia" w:asciiTheme="minorHAnsi" w:hAnsiTheme="minorHAnsi" w:eastAsiaTheme="minorEastAsia" w:cstheme="minorBidi"/>
          <w:szCs w:val="22"/>
        </w:rPr>
      </w:pPr>
      <w:r>
        <w:rPr>
          <w:rFonts w:hint="eastAsia"/>
        </w:rPr>
        <w:t>14</w:t>
      </w:r>
      <w:r>
        <w:fldChar w:fldCharType="begin"/>
      </w:r>
      <w:r>
        <w:instrText xml:space="preserve"> HYPERLINK \l "_Toc133940659" </w:instrText>
      </w:r>
      <w:r>
        <w:fldChar w:fldCharType="separate"/>
      </w:r>
      <w:r>
        <w:rPr>
          <w:rStyle w:val="35"/>
        </w:rPr>
        <w:t xml:space="preserve">.3  </w:t>
      </w:r>
      <w:r>
        <w:rPr>
          <w:rStyle w:val="35"/>
          <w:rFonts w:hint="eastAsia"/>
        </w:rPr>
        <w:t>性能核查</w:t>
      </w:r>
      <w:r>
        <w:rPr>
          <w:rStyle w:val="35"/>
        </w:rPr>
        <w:tab/>
      </w:r>
      <w:r>
        <w:rPr>
          <w:rStyle w:val="35"/>
          <w:rFonts w:hint="eastAsia"/>
        </w:rPr>
        <w:t>10</w:t>
      </w:r>
      <w:r>
        <w:rPr>
          <w:rStyle w:val="35"/>
          <w:rFonts w:hint="eastAsia"/>
        </w:rPr>
        <w:fldChar w:fldCharType="end"/>
      </w:r>
    </w:p>
    <w:p w14:paraId="0E56088D">
      <w:pPr>
        <w:pStyle w:val="25"/>
        <w:rPr>
          <w:rFonts w:hint="eastAsia" w:asciiTheme="minorHAnsi" w:hAnsiTheme="minorHAnsi" w:eastAsiaTheme="minorEastAsia" w:cstheme="minorBidi"/>
          <w:szCs w:val="22"/>
        </w:rPr>
      </w:pPr>
      <w:r>
        <w:fldChar w:fldCharType="begin"/>
      </w:r>
      <w:r>
        <w:instrText xml:space="preserve"> HYPERLINK \l "_Toc133940660" </w:instrText>
      </w:r>
      <w:r>
        <w:fldChar w:fldCharType="separate"/>
      </w:r>
      <w:r>
        <w:rPr>
          <w:rStyle w:val="35"/>
          <w:rFonts w:hint="eastAsia"/>
          <w14:scene3d w14:prst="orthographicFront">
            <w14:lightRig w14:rig="threePt" w14:dir="t">
              <w14:rot w14:lat="0" w14:lon="0" w14:rev="0"/>
            </w14:lightRig>
          </w14:scene3d>
        </w:rPr>
        <w:t>14</w:t>
      </w:r>
      <w:r>
        <w:rPr>
          <w:rStyle w:val="35"/>
          <w14:scene3d w14:prst="orthographicFront">
            <w14:lightRig w14:rig="threePt" w14:dir="t">
              <w14:rot w14:lat="0" w14:lon="0" w14:rev="0"/>
            </w14:lightRig>
          </w14:scene3d>
        </w:rPr>
        <w:t xml:space="preserve">.4 </w:t>
      </w:r>
      <w:r>
        <w:rPr>
          <w:rStyle w:val="35"/>
        </w:rPr>
        <w:t xml:space="preserve"> </w:t>
      </w:r>
      <w:r>
        <w:rPr>
          <w:rStyle w:val="35"/>
          <w:rFonts w:hint="eastAsia"/>
        </w:rPr>
        <w:t>维护周期</w:t>
      </w:r>
      <w:r>
        <w:tab/>
      </w:r>
      <w:r>
        <w:rPr>
          <w:rFonts w:hint="eastAsia"/>
        </w:rPr>
        <w:t>11</w:t>
      </w:r>
      <w:r>
        <w:rPr>
          <w:rFonts w:hint="eastAsia"/>
        </w:rPr>
        <w:fldChar w:fldCharType="end"/>
      </w:r>
    </w:p>
    <w:p w14:paraId="1891947B">
      <w:pPr>
        <w:pStyle w:val="20"/>
        <w:tabs>
          <w:tab w:val="right" w:leader="dot" w:pos="9344"/>
        </w:tabs>
      </w:pPr>
      <w:r>
        <w:fldChar w:fldCharType="begin"/>
      </w:r>
      <w:r>
        <w:instrText xml:space="preserve"> HYPERLINK \l "_Toc133940661" </w:instrText>
      </w:r>
      <w:r>
        <w:fldChar w:fldCharType="separate"/>
      </w:r>
      <w:r>
        <w:rPr>
          <w:rStyle w:val="35"/>
          <w:rFonts w:hint="eastAsia"/>
        </w:rPr>
        <w:t>15</w:t>
      </w:r>
      <w:r>
        <w:rPr>
          <w:rStyle w:val="35"/>
        </w:rPr>
        <w:t xml:space="preserve">  </w:t>
      </w:r>
      <w:r>
        <w:rPr>
          <w:rStyle w:val="35"/>
          <w:rFonts w:hint="eastAsia"/>
        </w:rPr>
        <w:t>健康安全与环境保护要求</w:t>
      </w:r>
      <w:r>
        <w:tab/>
      </w:r>
      <w:r>
        <w:rPr>
          <w:rFonts w:hint="eastAsia"/>
        </w:rPr>
        <w:t>11</w:t>
      </w:r>
      <w:r>
        <w:rPr>
          <w:rFonts w:hint="eastAsia"/>
        </w:rPr>
        <w:fldChar w:fldCharType="end"/>
      </w:r>
    </w:p>
    <w:p w14:paraId="23F9F273">
      <w:pPr>
        <w:pStyle w:val="25"/>
        <w:rPr>
          <w:rFonts w:hint="eastAsia" w:asciiTheme="minorHAnsi" w:hAnsiTheme="minorHAnsi" w:eastAsiaTheme="minorEastAsia" w:cstheme="minorBidi"/>
          <w:szCs w:val="22"/>
        </w:rPr>
      </w:pPr>
      <w:r>
        <w:rPr>
          <w:rFonts w:hint="eastAsia"/>
        </w:rPr>
        <w:t>15</w:t>
      </w:r>
      <w:r>
        <w:fldChar w:fldCharType="begin"/>
      </w:r>
      <w:r>
        <w:instrText xml:space="preserve"> HYPERLINK \l "_Toc133940657" </w:instrText>
      </w:r>
      <w:r>
        <w:fldChar w:fldCharType="separate"/>
      </w:r>
      <w:r>
        <w:rPr>
          <w:rStyle w:val="35"/>
          <w14:scene3d w14:prst="orthographicFront">
            <w14:lightRig w14:rig="threePt" w14:dir="t">
              <w14:rot w14:lat="0" w14:lon="0" w14:rev="0"/>
            </w14:lightRig>
          </w14:scene3d>
        </w:rPr>
        <w:t xml:space="preserve">.1 </w:t>
      </w:r>
      <w:r>
        <w:rPr>
          <w:rStyle w:val="35"/>
        </w:rPr>
        <w:t xml:space="preserve"> </w:t>
      </w:r>
      <w:r>
        <w:rPr>
          <w:rStyle w:val="35"/>
          <w:rFonts w:hint="eastAsia"/>
        </w:rPr>
        <w:t>健康安全要求</w:t>
      </w:r>
      <w:r>
        <w:tab/>
      </w:r>
      <w:r>
        <w:rPr>
          <w:rFonts w:hint="eastAsia"/>
        </w:rPr>
        <w:t>11</w:t>
      </w:r>
      <w:r>
        <w:rPr>
          <w:rFonts w:hint="eastAsia"/>
        </w:rPr>
        <w:fldChar w:fldCharType="end"/>
      </w:r>
    </w:p>
    <w:p w14:paraId="46D6EF5B">
      <w:pPr>
        <w:pStyle w:val="25"/>
        <w:rPr>
          <w:rStyle w:val="35"/>
        </w:rPr>
      </w:pPr>
      <w:r>
        <w:fldChar w:fldCharType="begin"/>
      </w:r>
      <w:r>
        <w:instrText xml:space="preserve"> HYPERLINK \l "_Toc133940658" </w:instrText>
      </w:r>
      <w:r>
        <w:fldChar w:fldCharType="separate"/>
      </w:r>
      <w:r>
        <w:rPr>
          <w:rStyle w:val="35"/>
          <w:rFonts w:hint="eastAsia"/>
        </w:rPr>
        <w:t>15</w:t>
      </w:r>
      <w:r>
        <w:rPr>
          <w:rStyle w:val="35"/>
        </w:rPr>
        <w:t xml:space="preserve">.2  </w:t>
      </w:r>
      <w:r>
        <w:rPr>
          <w:rStyle w:val="35"/>
          <w:rFonts w:hint="eastAsia"/>
        </w:rPr>
        <w:t>运输要求</w:t>
      </w:r>
      <w:r>
        <w:rPr>
          <w:rStyle w:val="35"/>
        </w:rPr>
        <w:tab/>
      </w:r>
      <w:r>
        <w:rPr>
          <w:rStyle w:val="35"/>
          <w:rFonts w:hint="eastAsia"/>
        </w:rPr>
        <w:t>11</w:t>
      </w:r>
      <w:r>
        <w:rPr>
          <w:rStyle w:val="35"/>
          <w:rFonts w:hint="eastAsia"/>
        </w:rPr>
        <w:fldChar w:fldCharType="end"/>
      </w:r>
    </w:p>
    <w:p w14:paraId="3EA95E22">
      <w:pPr>
        <w:pStyle w:val="25"/>
        <w:rPr>
          <w:rFonts w:hint="eastAsia" w:asciiTheme="minorHAnsi" w:hAnsiTheme="minorHAnsi" w:eastAsiaTheme="minorEastAsia" w:cstheme="minorBidi"/>
          <w:szCs w:val="22"/>
        </w:rPr>
      </w:pPr>
      <w:r>
        <w:rPr>
          <w:rFonts w:hint="eastAsia"/>
        </w:rPr>
        <w:t>15</w:t>
      </w:r>
      <w:r>
        <w:fldChar w:fldCharType="begin"/>
      </w:r>
      <w:r>
        <w:instrText xml:space="preserve"> HYPERLINK \l "_Toc133940659" </w:instrText>
      </w:r>
      <w:r>
        <w:fldChar w:fldCharType="separate"/>
      </w:r>
      <w:r>
        <w:rPr>
          <w:rStyle w:val="35"/>
        </w:rPr>
        <w:t xml:space="preserve">.3  </w:t>
      </w:r>
      <w:r>
        <w:rPr>
          <w:rStyle w:val="35"/>
          <w:rFonts w:hint="eastAsia"/>
        </w:rPr>
        <w:t>环境保护要求</w:t>
      </w:r>
      <w:r>
        <w:rPr>
          <w:rStyle w:val="35"/>
        </w:rPr>
        <w:tab/>
      </w:r>
      <w:r>
        <w:rPr>
          <w:rStyle w:val="35"/>
          <w:rFonts w:hint="eastAsia"/>
        </w:rPr>
        <w:t>11</w:t>
      </w:r>
      <w:r>
        <w:rPr>
          <w:rStyle w:val="35"/>
          <w:rFonts w:hint="eastAsia"/>
        </w:rPr>
        <w:fldChar w:fldCharType="end"/>
      </w:r>
    </w:p>
    <w:p w14:paraId="028D23A9">
      <w:pPr>
        <w:pStyle w:val="25"/>
        <w:rPr>
          <w:rFonts w:hint="eastAsia" w:asciiTheme="minorHAnsi" w:hAnsiTheme="minorHAnsi" w:eastAsiaTheme="minorEastAsia" w:cstheme="minorBidi"/>
          <w:szCs w:val="22"/>
        </w:rPr>
      </w:pPr>
      <w:r>
        <w:fldChar w:fldCharType="begin"/>
      </w:r>
      <w:r>
        <w:instrText xml:space="preserve"> HYPERLINK \l "_Toc133940660" </w:instrText>
      </w:r>
      <w:r>
        <w:fldChar w:fldCharType="separate"/>
      </w:r>
      <w:r>
        <w:rPr>
          <w:rStyle w:val="35"/>
          <w:rFonts w:hint="eastAsia"/>
          <w14:scene3d w14:prst="orthographicFront">
            <w14:lightRig w14:rig="threePt" w14:dir="t">
              <w14:rot w14:lat="0" w14:lon="0" w14:rev="0"/>
            </w14:lightRig>
          </w14:scene3d>
        </w:rPr>
        <w:t>15</w:t>
      </w:r>
      <w:r>
        <w:rPr>
          <w:rStyle w:val="35"/>
          <w14:scene3d w14:prst="orthographicFront">
            <w14:lightRig w14:rig="threePt" w14:dir="t">
              <w14:rot w14:lat="0" w14:lon="0" w14:rev="0"/>
            </w14:lightRig>
          </w14:scene3d>
        </w:rPr>
        <w:t xml:space="preserve">.4 </w:t>
      </w:r>
      <w:r>
        <w:rPr>
          <w:rStyle w:val="35"/>
        </w:rPr>
        <w:t xml:space="preserve"> </w:t>
      </w:r>
      <w:r>
        <w:rPr>
          <w:rStyle w:val="35"/>
          <w:rFonts w:hint="eastAsia"/>
        </w:rPr>
        <w:t>危机情况急停流程</w:t>
      </w:r>
      <w:r>
        <w:tab/>
      </w:r>
      <w:r>
        <w:rPr>
          <w:rFonts w:hint="eastAsia"/>
        </w:rPr>
        <w:t>11</w:t>
      </w:r>
      <w:r>
        <w:rPr>
          <w:rFonts w:hint="eastAsia"/>
        </w:rPr>
        <w:fldChar w:fldCharType="end"/>
      </w:r>
    </w:p>
    <w:p w14:paraId="0ED52F8D">
      <w:pPr>
        <w:pStyle w:val="20"/>
        <w:tabs>
          <w:tab w:val="right" w:leader="dot" w:pos="9344"/>
        </w:tabs>
      </w:pPr>
      <w:r>
        <w:fldChar w:fldCharType="begin"/>
      </w:r>
      <w:r>
        <w:instrText xml:space="preserve"> HYPERLINK \l "_Toc133940661" </w:instrText>
      </w:r>
      <w:r>
        <w:fldChar w:fldCharType="separate"/>
      </w:r>
      <w:r>
        <w:rPr>
          <w:rStyle w:val="35"/>
          <w:rFonts w:hint="eastAsia"/>
        </w:rPr>
        <w:t>16</w:t>
      </w:r>
      <w:r>
        <w:rPr>
          <w:rStyle w:val="35"/>
        </w:rPr>
        <w:t xml:space="preserve">  </w:t>
      </w:r>
      <w:r>
        <w:rPr>
          <w:rStyle w:val="35"/>
          <w:rFonts w:hint="eastAsia"/>
        </w:rPr>
        <w:t>测试报告</w:t>
      </w:r>
      <w:r>
        <w:tab/>
      </w:r>
      <w:r>
        <w:rPr>
          <w:rFonts w:hint="eastAsia"/>
        </w:rPr>
        <w:t>11</w:t>
      </w:r>
      <w:r>
        <w:rPr>
          <w:rFonts w:hint="eastAsia"/>
        </w:rPr>
        <w:fldChar w:fldCharType="end"/>
      </w:r>
    </w:p>
    <w:p w14:paraId="051A751B">
      <w:pPr>
        <w:pStyle w:val="20"/>
        <w:tabs>
          <w:tab w:val="right" w:leader="dot" w:pos="9344"/>
        </w:tabs>
        <w:rPr>
          <w:rFonts w:hint="eastAsia" w:asciiTheme="minorHAnsi" w:hAnsiTheme="minorHAnsi" w:eastAsiaTheme="minorEastAsia" w:cstheme="minorBidi"/>
          <w:szCs w:val="22"/>
        </w:rPr>
      </w:pPr>
      <w:r>
        <w:fldChar w:fldCharType="begin"/>
      </w:r>
      <w:r>
        <w:instrText xml:space="preserve"> HYPERLINK \l "_Toc133940663" </w:instrText>
      </w:r>
      <w:r>
        <w:fldChar w:fldCharType="separate"/>
      </w:r>
      <w:r>
        <w:rPr>
          <w:rStyle w:val="35"/>
          <w:rFonts w:hint="eastAsia"/>
        </w:rPr>
        <w:t>参考文献</w:t>
      </w:r>
      <w:r>
        <w:tab/>
      </w:r>
      <w:r>
        <w:rPr>
          <w:rFonts w:hint="eastAsia"/>
        </w:rPr>
        <w:t>12</w:t>
      </w:r>
      <w:r>
        <w:rPr>
          <w:rFonts w:hint="eastAsia"/>
        </w:rPr>
        <w:fldChar w:fldCharType="end"/>
      </w:r>
    </w:p>
    <w:p w14:paraId="55195F82">
      <w:pPr>
        <w:pStyle w:val="25"/>
        <w:rPr>
          <w:rFonts w:hint="eastAsia" w:asciiTheme="minorHAnsi" w:hAnsiTheme="minorHAnsi" w:eastAsiaTheme="minorEastAsia" w:cstheme="minorBidi"/>
          <w:szCs w:val="22"/>
        </w:rPr>
      </w:pPr>
    </w:p>
    <w:p w14:paraId="4971E986">
      <w:pPr>
        <w:pStyle w:val="95"/>
        <w:spacing w:after="360"/>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1"/>
    <w:p w14:paraId="321897B7">
      <w:pPr>
        <w:pStyle w:val="93"/>
        <w:numPr>
          <w:ilvl w:val="0"/>
          <w:numId w:val="0"/>
        </w:numPr>
        <w:spacing w:before="900" w:after="360"/>
        <w:ind w:left="425"/>
      </w:pPr>
      <w:bookmarkStart w:id="23" w:name="_Toc133940646"/>
      <w:bookmarkStart w:id="24" w:name="BookMark2"/>
      <w:r>
        <w:rPr>
          <w:spacing w:val="320"/>
        </w:rPr>
        <w:t>前</w:t>
      </w:r>
      <w:r>
        <w:t>言</w:t>
      </w:r>
      <w:bookmarkEnd w:id="22"/>
      <w:bookmarkEnd w:id="23"/>
    </w:p>
    <w:p w14:paraId="74811FBE">
      <w:pPr>
        <w:pStyle w:val="60"/>
        <w:ind w:firstLine="420"/>
      </w:pPr>
      <w:r>
        <w:rPr>
          <w:rFonts w:hint="eastAsia"/>
        </w:rPr>
        <w:t>本文件按照GB/T 1.1—2020《标准化工作导则第1部分：标准化文件的结构和起草规则》的规定起草。</w:t>
      </w:r>
    </w:p>
    <w:p w14:paraId="18ABBB2E">
      <w:pPr>
        <w:pStyle w:val="60"/>
        <w:ind w:firstLine="420"/>
      </w:pPr>
      <w:r>
        <w:t>请注意本文件的某些内容可能涉及专利。本文件的发布机构不承担识别专利的责任。</w:t>
      </w:r>
    </w:p>
    <w:p w14:paraId="0F3890A2">
      <w:pPr>
        <w:pStyle w:val="60"/>
        <w:ind w:firstLine="420"/>
      </w:pPr>
      <w:r>
        <w:t>本文件由中国计量协会提出。</w:t>
      </w:r>
    </w:p>
    <w:p w14:paraId="08113DD1">
      <w:pPr>
        <w:pStyle w:val="60"/>
        <w:ind w:firstLine="420"/>
      </w:pPr>
      <w:r>
        <w:t>本文件</w:t>
      </w:r>
      <w:r>
        <w:rPr>
          <w:rFonts w:hint="eastAsia"/>
        </w:rPr>
        <w:t>由</w:t>
      </w:r>
      <w:r>
        <w:rPr>
          <w:rFonts w:hint="eastAsia"/>
          <w:szCs w:val="21"/>
        </w:rPr>
        <w:t>中国计量协会石油石化专业委员会</w:t>
      </w:r>
      <w:r>
        <w:t>归口。</w:t>
      </w:r>
    </w:p>
    <w:p w14:paraId="187D3FCA">
      <w:pPr>
        <w:pStyle w:val="60"/>
        <w:ind w:firstLine="420"/>
      </w:pPr>
      <w:r>
        <w:t xml:space="preserve">本文件起草单位： </w:t>
      </w:r>
      <w:r>
        <w:rPr>
          <w:rFonts w:hint="eastAsia"/>
        </w:rPr>
        <w:t>中国测试技术研究院、西南石油大学、四川省环境科学研究院、</w:t>
      </w:r>
      <w:r>
        <w:t>中国石油集团工程技术研究院有限公司</w:t>
      </w:r>
      <w:r>
        <w:rPr>
          <w:rFonts w:hint="eastAsia"/>
        </w:rPr>
        <w:t>、</w:t>
      </w:r>
      <w:r>
        <w:t>中国地质大学（北京）</w:t>
      </w:r>
      <w:r>
        <w:rPr>
          <w:rFonts w:hint="eastAsia"/>
        </w:rPr>
        <w:t>、</w:t>
      </w:r>
      <w:r>
        <w:t>中国检验认证集团测试技术有限公司</w:t>
      </w:r>
      <w:r>
        <w:rPr>
          <w:rFonts w:hint="eastAsia"/>
        </w:rPr>
        <w:t>、四川大学、成都理工大学、成都艾立本科技有限公司、中石化胜利石油工程有限公司钻井工艺研究院</w:t>
      </w:r>
    </w:p>
    <w:p w14:paraId="0D08FD62">
      <w:pPr>
        <w:pStyle w:val="60"/>
        <w:ind w:firstLine="420"/>
      </w:pPr>
      <w:r>
        <w:t xml:space="preserve"> 本文件主要起草人：</w:t>
      </w:r>
      <w:r>
        <w:rPr>
          <w:rFonts w:hint="eastAsia"/>
        </w:rPr>
        <w:t>张婷、杨杰斌、潘义、薛元、张苏敏、邓文清、杨海、梁海波、黄祥、王韧、佘丁顺、崔磊、赵忠俊、林庆宇、贾佳、杨燕婷、王智锋</w:t>
      </w:r>
    </w:p>
    <w:p w14:paraId="2655CF66">
      <w:pPr>
        <w:pStyle w:val="60"/>
        <w:ind w:firstLine="420"/>
      </w:pPr>
      <w:r>
        <w:rPr>
          <w:rFonts w:hint="eastAsia"/>
        </w:rPr>
        <w:t>本文件为首次制定和发布。</w:t>
      </w:r>
    </w:p>
    <w:p w14:paraId="450230A8">
      <w:pPr>
        <w:pStyle w:val="60"/>
        <w:ind w:firstLine="420"/>
        <w:sectPr>
          <w:pgSz w:w="11906" w:h="16838"/>
          <w:pgMar w:top="1928" w:right="1134" w:bottom="1134" w:left="1134" w:header="1418" w:footer="1134" w:gutter="284"/>
          <w:pgNumType w:fmt="upperRoman"/>
          <w:cols w:space="425" w:num="1"/>
          <w:formProt w:val="0"/>
          <w:docGrid w:linePitch="312" w:charSpace="0"/>
        </w:sectPr>
      </w:pPr>
    </w:p>
    <w:bookmarkEnd w:id="24"/>
    <w:p w14:paraId="00116424">
      <w:pPr>
        <w:spacing w:line="20" w:lineRule="exact"/>
        <w:jc w:val="center"/>
        <w:rPr>
          <w:rFonts w:hint="eastAsia" w:ascii="黑体" w:hAnsi="黑体" w:eastAsia="黑体"/>
          <w:sz w:val="32"/>
          <w:szCs w:val="32"/>
        </w:rPr>
      </w:pPr>
      <w:bookmarkStart w:id="25" w:name="BookMark4"/>
    </w:p>
    <w:p w14:paraId="363B7B04">
      <w:pPr>
        <w:spacing w:line="20" w:lineRule="exact"/>
        <w:jc w:val="center"/>
        <w:rPr>
          <w:rFonts w:hint="eastAsia" w:ascii="黑体" w:hAnsi="黑体" w:eastAsia="黑体"/>
          <w:sz w:val="32"/>
          <w:szCs w:val="32"/>
        </w:rPr>
      </w:pPr>
    </w:p>
    <w:sdt>
      <w:sdtPr>
        <w:tag w:val="NEW_STAND_NAME"/>
        <w:id w:val="595910757"/>
        <w:lock w:val="sdtLocked"/>
        <w:placeholder>
          <w:docPart w:val="C1ADB6D256DE44448A115F09195C9D55"/>
        </w:placeholder>
      </w:sdtPr>
      <w:sdtContent>
        <w:p w14:paraId="22EB1C4D">
          <w:pPr>
            <w:pStyle w:val="181"/>
            <w:spacing w:before="240" w:beforeLines="100" w:after="528" w:afterLines="220"/>
            <w:rPr>
              <w:rFonts w:hint="eastAsia"/>
            </w:rPr>
          </w:pPr>
          <w:bookmarkStart w:id="26" w:name="NEW_STAND_NAME"/>
          <w:r>
            <w:rPr>
              <w:rFonts w:hint="eastAsia"/>
            </w:rPr>
            <w:t>水基钻井液 流变性、密度和可溶性离子的在线检测方法</w:t>
          </w:r>
        </w:p>
      </w:sdtContent>
    </w:sdt>
    <w:bookmarkEnd w:id="26"/>
    <w:p w14:paraId="30A980E7">
      <w:pPr>
        <w:pStyle w:val="108"/>
        <w:spacing w:before="240" w:after="240"/>
      </w:pPr>
      <w:bookmarkStart w:id="27" w:name="_Toc17233325"/>
      <w:bookmarkStart w:id="28" w:name="_Toc133940596"/>
      <w:bookmarkStart w:id="29" w:name="_Toc26986771"/>
      <w:bookmarkStart w:id="30" w:name="_Toc24884211"/>
      <w:bookmarkStart w:id="31" w:name="_Toc133697510"/>
      <w:bookmarkStart w:id="32" w:name="_Toc133692271"/>
      <w:bookmarkStart w:id="33" w:name="_Toc133693505"/>
      <w:bookmarkStart w:id="34" w:name="_Toc24884218"/>
      <w:bookmarkStart w:id="35" w:name="_Toc97192964"/>
      <w:bookmarkStart w:id="36" w:name="_Toc17233333"/>
      <w:bookmarkStart w:id="37" w:name="_Toc26718930"/>
      <w:bookmarkStart w:id="38" w:name="_Toc26986530"/>
      <w:bookmarkStart w:id="39" w:name="_Toc133940647"/>
      <w:bookmarkStart w:id="40" w:name="_Toc26648465"/>
      <w:r>
        <w:rPr>
          <w:rFonts w:hint="eastAsia"/>
        </w:rPr>
        <w:t>范围</w:t>
      </w:r>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0AC2B47D">
      <w:pPr>
        <w:pStyle w:val="60"/>
        <w:ind w:firstLine="420"/>
        <w:rPr>
          <w:rFonts w:hint="eastAsia" w:hAnsi="宋体"/>
        </w:rPr>
      </w:pPr>
      <w:bookmarkStart w:id="41" w:name="_Hlk239956575"/>
      <w:bookmarkStart w:id="42" w:name="_Hlk172901260"/>
      <w:bookmarkStart w:id="43" w:name="_Toc24884212"/>
      <w:bookmarkStart w:id="44" w:name="_Toc17233326"/>
      <w:bookmarkStart w:id="45" w:name="_Toc17233334"/>
      <w:bookmarkStart w:id="46" w:name="_Toc26648466"/>
      <w:bookmarkStart w:id="47" w:name="_Toc24884219"/>
      <w:r>
        <w:rPr>
          <w:rFonts w:ascii="Times New Roman"/>
        </w:rPr>
        <w:t>本文件</w:t>
      </w:r>
      <w:r>
        <w:rPr>
          <w:rFonts w:hint="eastAsia" w:ascii="Times New Roman"/>
        </w:rPr>
        <w:t>描述了测定水基钻井液的流变性（表观粘度、塑性粘度、动切力、漏斗粘度）、密度及可溶性离子</w:t>
      </w:r>
      <w:r>
        <w:rPr>
          <w:rFonts w:hint="eastAsia"/>
          <w:szCs w:val="21"/>
        </w:rPr>
        <w:t>（</w:t>
      </w:r>
      <w:r>
        <w:rPr>
          <w:szCs w:val="21"/>
        </w:rPr>
        <w:t>Cl</w:t>
      </w:r>
      <w:r>
        <w:rPr>
          <w:szCs w:val="21"/>
          <w:vertAlign w:val="superscript"/>
        </w:rPr>
        <w:t>-</w:t>
      </w:r>
      <w:r>
        <w:rPr>
          <w:rFonts w:hint="eastAsia"/>
          <w:szCs w:val="21"/>
        </w:rPr>
        <w:t>、</w:t>
      </w:r>
      <w:r>
        <w:rPr>
          <w:szCs w:val="21"/>
        </w:rPr>
        <w:t>S</w:t>
      </w:r>
      <w:r>
        <w:rPr>
          <w:szCs w:val="21"/>
          <w:vertAlign w:val="superscript"/>
        </w:rPr>
        <w:t>2-</w:t>
      </w:r>
      <w:r>
        <w:rPr>
          <w:rFonts w:hint="eastAsia"/>
          <w:szCs w:val="21"/>
        </w:rPr>
        <w:t>、</w:t>
      </w:r>
      <w:r>
        <w:rPr>
          <w:szCs w:val="21"/>
        </w:rPr>
        <w:t>K</w:t>
      </w:r>
      <w:r>
        <w:rPr>
          <w:szCs w:val="21"/>
          <w:vertAlign w:val="superscript"/>
        </w:rPr>
        <w:t>+</w:t>
      </w:r>
      <w:r>
        <w:rPr>
          <w:rFonts w:hint="eastAsia"/>
          <w:szCs w:val="21"/>
        </w:rPr>
        <w:t>）等</w:t>
      </w:r>
      <w:r>
        <w:rPr>
          <w:rFonts w:hint="eastAsia" w:hAnsi="宋体" w:cs="宋体"/>
          <w:szCs w:val="21"/>
        </w:rPr>
        <w:t>关键性能指标数值的在线检测方法和原理</w:t>
      </w:r>
      <w:r>
        <w:rPr>
          <w:rFonts w:hint="eastAsia" w:ascii="Times New Roman"/>
        </w:rPr>
        <w:t>，</w:t>
      </w:r>
      <w:r>
        <w:rPr>
          <w:rFonts w:ascii="Times New Roman"/>
        </w:rPr>
        <w:t>规定了</w:t>
      </w:r>
      <w:r>
        <w:rPr>
          <w:rFonts w:hint="eastAsia" w:ascii="Times New Roman"/>
        </w:rPr>
        <w:t>测试条件、试剂或材料、仪器设备、样品、测试程序、测试数据处理、</w:t>
      </w:r>
      <w:r>
        <w:rPr>
          <w:rFonts w:hint="eastAsia"/>
        </w:rPr>
        <w:t>标准物质/标准器验证、</w:t>
      </w:r>
      <w:r>
        <w:rPr>
          <w:rFonts w:hint="eastAsia" w:ascii="Times New Roman"/>
        </w:rPr>
        <w:t>精密度、</w:t>
      </w:r>
      <w:r>
        <w:rPr>
          <w:rFonts w:hint="eastAsia"/>
        </w:rPr>
        <w:t>仪器保养及维护、</w:t>
      </w:r>
      <w:r>
        <w:rPr>
          <w:rFonts w:hint="eastAsia" w:ascii="Times New Roman"/>
        </w:rPr>
        <w:t>质量控制和保证、</w:t>
      </w:r>
      <w:r>
        <w:rPr>
          <w:rFonts w:hint="eastAsia"/>
        </w:rPr>
        <w:t>健康安全与环境保护要求、</w:t>
      </w:r>
      <w:r>
        <w:rPr>
          <w:rFonts w:hint="eastAsia" w:ascii="Times New Roman"/>
        </w:rPr>
        <w:t>测试报告的要求</w:t>
      </w:r>
      <w:bookmarkEnd w:id="41"/>
      <w:r>
        <w:rPr>
          <w:rFonts w:hint="eastAsia" w:hAnsi="宋体"/>
        </w:rPr>
        <w:t>。</w:t>
      </w:r>
    </w:p>
    <w:p w14:paraId="6A92CC37">
      <w:pPr>
        <w:pStyle w:val="60"/>
        <w:ind w:firstLine="420"/>
        <w:rPr>
          <w:rFonts w:hint="eastAsia" w:hAnsi="宋体"/>
        </w:rPr>
      </w:pPr>
      <w:bookmarkStart w:id="48" w:name="_Hlk239956620"/>
      <w:r>
        <w:rPr>
          <w:rFonts w:ascii="Times New Roman"/>
        </w:rPr>
        <w:t>本文件适用</w:t>
      </w:r>
      <w:r>
        <w:rPr>
          <w:rFonts w:hint="eastAsia" w:ascii="Times New Roman"/>
        </w:rPr>
        <w:t>于水基钻井液中流变性、密度及可溶性离子浓度的在线检测</w:t>
      </w:r>
      <w:bookmarkEnd w:id="48"/>
      <w:r>
        <w:rPr>
          <w:rFonts w:hint="eastAsia" w:ascii="Times New Roman"/>
        </w:rPr>
        <w:t>，各参数的测定范围见表</w:t>
      </w:r>
      <w:r>
        <w:rPr>
          <w:rFonts w:hint="eastAsia" w:hAnsi="宋体"/>
        </w:rPr>
        <w:t>1</w:t>
      </w:r>
      <w:bookmarkEnd w:id="42"/>
      <w:r>
        <w:rPr>
          <w:rFonts w:hint="eastAsia" w:hAnsi="宋体"/>
        </w:rPr>
        <w:t>。</w:t>
      </w:r>
    </w:p>
    <w:p w14:paraId="1CB14BA6">
      <w:pPr>
        <w:pStyle w:val="116"/>
        <w:spacing w:before="120" w:after="120"/>
      </w:pPr>
      <w:r>
        <w:rPr>
          <w:rFonts w:hint="eastAsia"/>
        </w:rPr>
        <w:t>各参数的测定范围</w:t>
      </w:r>
    </w:p>
    <w:tbl>
      <w:tblPr>
        <w:tblStyle w:val="29"/>
        <w:tblW w:w="93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970"/>
        <w:gridCol w:w="5385"/>
      </w:tblGrid>
      <w:tr w14:paraId="7D00EF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970" w:type="dxa"/>
            <w:tcBorders>
              <w:top w:val="single" w:color="auto" w:sz="8" w:space="0"/>
              <w:bottom w:val="single" w:color="auto" w:sz="8" w:space="0"/>
            </w:tcBorders>
            <w:vAlign w:val="center"/>
          </w:tcPr>
          <w:p w14:paraId="58AFE7D6">
            <w:pPr>
              <w:pStyle w:val="182"/>
              <w:rPr>
                <w:szCs w:val="18"/>
              </w:rPr>
            </w:pPr>
            <w:r>
              <w:rPr>
                <w:rFonts w:hint="eastAsia"/>
                <w:szCs w:val="18"/>
              </w:rPr>
              <w:t>参数名称</w:t>
            </w:r>
          </w:p>
        </w:tc>
        <w:tc>
          <w:tcPr>
            <w:tcW w:w="5385" w:type="dxa"/>
            <w:tcBorders>
              <w:top w:val="single" w:color="auto" w:sz="8" w:space="0"/>
              <w:bottom w:val="single" w:color="auto" w:sz="8" w:space="0"/>
            </w:tcBorders>
            <w:vAlign w:val="center"/>
          </w:tcPr>
          <w:p w14:paraId="6F5DCFFC">
            <w:pPr>
              <w:pStyle w:val="182"/>
              <w:rPr>
                <w:szCs w:val="18"/>
              </w:rPr>
            </w:pPr>
            <w:r>
              <w:rPr>
                <w:rFonts w:hint="eastAsia"/>
              </w:rPr>
              <w:t>测定范围</w:t>
            </w:r>
          </w:p>
        </w:tc>
      </w:tr>
      <w:tr w14:paraId="77AC1C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970" w:type="dxa"/>
            <w:tcBorders>
              <w:top w:val="single" w:color="auto" w:sz="8" w:space="0"/>
            </w:tcBorders>
            <w:vAlign w:val="center"/>
          </w:tcPr>
          <w:p w14:paraId="27E4A2A3">
            <w:pPr>
              <w:pStyle w:val="182"/>
              <w:rPr>
                <w:szCs w:val="18"/>
              </w:rPr>
            </w:pPr>
            <w:r>
              <w:rPr>
                <w:rFonts w:hint="eastAsia"/>
                <w:szCs w:val="18"/>
              </w:rPr>
              <w:t>表观粘度</w:t>
            </w:r>
          </w:p>
        </w:tc>
        <w:tc>
          <w:tcPr>
            <w:tcW w:w="5385" w:type="dxa"/>
            <w:tcBorders>
              <w:top w:val="single" w:color="auto" w:sz="8" w:space="0"/>
            </w:tcBorders>
            <w:vAlign w:val="center"/>
          </w:tcPr>
          <w:p w14:paraId="0940027D">
            <w:pPr>
              <w:pStyle w:val="182"/>
              <w:rPr>
                <w:szCs w:val="18"/>
              </w:rPr>
            </w:pPr>
            <w:r>
              <w:rPr>
                <w:rFonts w:hint="eastAsia"/>
                <w:szCs w:val="18"/>
              </w:rPr>
              <w:t>（10～150）mPa·s</w:t>
            </w:r>
          </w:p>
        </w:tc>
      </w:tr>
      <w:tr w14:paraId="63678E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970" w:type="dxa"/>
            <w:vAlign w:val="center"/>
          </w:tcPr>
          <w:p w14:paraId="20CF137A">
            <w:pPr>
              <w:pStyle w:val="182"/>
              <w:rPr>
                <w:szCs w:val="18"/>
              </w:rPr>
            </w:pPr>
            <w:r>
              <w:rPr>
                <w:rFonts w:hint="eastAsia"/>
                <w:szCs w:val="18"/>
              </w:rPr>
              <w:t>塑性粘度</w:t>
            </w:r>
          </w:p>
        </w:tc>
        <w:tc>
          <w:tcPr>
            <w:tcW w:w="5385" w:type="dxa"/>
            <w:vAlign w:val="center"/>
          </w:tcPr>
          <w:p w14:paraId="432AFE38">
            <w:pPr>
              <w:pStyle w:val="182"/>
              <w:rPr>
                <w:szCs w:val="18"/>
              </w:rPr>
            </w:pPr>
            <w:r>
              <w:rPr>
                <w:rFonts w:hint="eastAsia"/>
                <w:szCs w:val="18"/>
              </w:rPr>
              <w:t>（10～150）mPa·s</w:t>
            </w:r>
          </w:p>
        </w:tc>
      </w:tr>
      <w:tr w14:paraId="110B74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970" w:type="dxa"/>
            <w:vAlign w:val="center"/>
          </w:tcPr>
          <w:p w14:paraId="16D09F08">
            <w:pPr>
              <w:pStyle w:val="182"/>
              <w:rPr>
                <w:szCs w:val="18"/>
              </w:rPr>
            </w:pPr>
            <w:r>
              <w:rPr>
                <w:rFonts w:hint="eastAsia"/>
                <w:szCs w:val="18"/>
              </w:rPr>
              <w:t>动切力</w:t>
            </w:r>
          </w:p>
        </w:tc>
        <w:tc>
          <w:tcPr>
            <w:tcW w:w="5385" w:type="dxa"/>
            <w:vAlign w:val="center"/>
          </w:tcPr>
          <w:p w14:paraId="5C71B3CC">
            <w:pPr>
              <w:pStyle w:val="182"/>
              <w:rPr>
                <w:szCs w:val="18"/>
              </w:rPr>
            </w:pPr>
            <w:r>
              <w:rPr>
                <w:rFonts w:hint="eastAsia"/>
                <w:szCs w:val="18"/>
              </w:rPr>
              <w:t>（10～150）Pa</w:t>
            </w:r>
          </w:p>
        </w:tc>
      </w:tr>
      <w:tr w14:paraId="7ADAF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970" w:type="dxa"/>
            <w:vAlign w:val="center"/>
          </w:tcPr>
          <w:p w14:paraId="7F79639E">
            <w:pPr>
              <w:pStyle w:val="182"/>
              <w:rPr>
                <w:szCs w:val="18"/>
              </w:rPr>
            </w:pPr>
            <w:r>
              <w:rPr>
                <w:rFonts w:hint="eastAsia"/>
                <w:szCs w:val="18"/>
              </w:rPr>
              <w:t>漏斗粘度</w:t>
            </w:r>
          </w:p>
        </w:tc>
        <w:tc>
          <w:tcPr>
            <w:tcW w:w="5385" w:type="dxa"/>
            <w:vAlign w:val="center"/>
          </w:tcPr>
          <w:p w14:paraId="6EEFA6B2">
            <w:pPr>
              <w:pStyle w:val="182"/>
              <w:rPr>
                <w:szCs w:val="18"/>
              </w:rPr>
            </w:pPr>
            <w:r>
              <w:rPr>
                <w:rFonts w:hint="eastAsia"/>
                <w:szCs w:val="18"/>
              </w:rPr>
              <w:t>（10～250）s</w:t>
            </w:r>
          </w:p>
        </w:tc>
      </w:tr>
      <w:tr w14:paraId="18A0CE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970" w:type="dxa"/>
            <w:vAlign w:val="center"/>
          </w:tcPr>
          <w:p w14:paraId="3D1EF0AC">
            <w:pPr>
              <w:pStyle w:val="182"/>
              <w:rPr>
                <w:szCs w:val="18"/>
              </w:rPr>
            </w:pPr>
            <w:r>
              <w:rPr>
                <w:rFonts w:hint="eastAsia"/>
                <w:szCs w:val="18"/>
              </w:rPr>
              <w:t>密度</w:t>
            </w:r>
          </w:p>
        </w:tc>
        <w:tc>
          <w:tcPr>
            <w:tcW w:w="5385" w:type="dxa"/>
            <w:vAlign w:val="center"/>
          </w:tcPr>
          <w:p w14:paraId="6703D21F">
            <w:pPr>
              <w:pStyle w:val="182"/>
              <w:rPr>
                <w:rFonts w:hint="eastAsia" w:hAnsi="宋体"/>
                <w:szCs w:val="18"/>
              </w:rPr>
            </w:pPr>
            <w:r>
              <w:rPr>
                <w:rFonts w:hint="eastAsia" w:hAnsi="宋体"/>
                <w:spacing w:val="3"/>
                <w:szCs w:val="21"/>
              </w:rPr>
              <w:t>（0.80～2.50） g/cm</w:t>
            </w:r>
            <w:r>
              <w:rPr>
                <w:rFonts w:hint="eastAsia" w:hAnsi="宋体"/>
                <w:spacing w:val="3"/>
                <w:szCs w:val="21"/>
                <w:vertAlign w:val="superscript"/>
              </w:rPr>
              <w:t>3</w:t>
            </w:r>
          </w:p>
        </w:tc>
      </w:tr>
      <w:tr w14:paraId="5E36F8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970" w:type="dxa"/>
            <w:vAlign w:val="center"/>
          </w:tcPr>
          <w:p w14:paraId="6C27526A">
            <w:pPr>
              <w:pStyle w:val="182"/>
              <w:rPr>
                <w:szCs w:val="18"/>
              </w:rPr>
            </w:pPr>
            <w:r>
              <w:rPr>
                <w:rFonts w:hint="eastAsia"/>
                <w:szCs w:val="18"/>
              </w:rPr>
              <w:t>氯离子浓度</w:t>
            </w:r>
          </w:p>
        </w:tc>
        <w:tc>
          <w:tcPr>
            <w:tcW w:w="5385" w:type="dxa"/>
            <w:vAlign w:val="center"/>
          </w:tcPr>
          <w:p w14:paraId="3B91AA17">
            <w:pPr>
              <w:pStyle w:val="182"/>
              <w:rPr>
                <w:szCs w:val="18"/>
              </w:rPr>
            </w:pPr>
            <w:r>
              <w:rPr>
                <w:rFonts w:hint="eastAsia"/>
                <w:szCs w:val="18"/>
              </w:rPr>
              <w:t>（20～35000）mg/L</w:t>
            </w:r>
          </w:p>
        </w:tc>
      </w:tr>
      <w:tr w14:paraId="788217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970" w:type="dxa"/>
            <w:vAlign w:val="center"/>
          </w:tcPr>
          <w:p w14:paraId="7DE10B98">
            <w:pPr>
              <w:pStyle w:val="182"/>
              <w:rPr>
                <w:szCs w:val="18"/>
              </w:rPr>
            </w:pPr>
            <w:r>
              <w:rPr>
                <w:rFonts w:hint="eastAsia"/>
                <w:szCs w:val="18"/>
              </w:rPr>
              <w:t>硫离子浓度</w:t>
            </w:r>
          </w:p>
        </w:tc>
        <w:tc>
          <w:tcPr>
            <w:tcW w:w="5385" w:type="dxa"/>
            <w:vAlign w:val="center"/>
          </w:tcPr>
          <w:p w14:paraId="3D86D40F">
            <w:pPr>
              <w:pStyle w:val="182"/>
              <w:rPr>
                <w:szCs w:val="18"/>
              </w:rPr>
            </w:pPr>
            <w:r>
              <w:rPr>
                <w:rFonts w:hint="eastAsia"/>
                <w:szCs w:val="18"/>
              </w:rPr>
              <w:t>（5.05～949）mg/L</w:t>
            </w:r>
          </w:p>
        </w:tc>
      </w:tr>
      <w:tr w14:paraId="72572E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970" w:type="dxa"/>
            <w:vAlign w:val="center"/>
          </w:tcPr>
          <w:p w14:paraId="31CA3BA5">
            <w:pPr>
              <w:pStyle w:val="182"/>
              <w:rPr>
                <w:szCs w:val="18"/>
              </w:rPr>
            </w:pPr>
            <w:r>
              <w:rPr>
                <w:rFonts w:hint="eastAsia"/>
                <w:szCs w:val="18"/>
              </w:rPr>
              <w:t>钾离子浓度</w:t>
            </w:r>
          </w:p>
        </w:tc>
        <w:tc>
          <w:tcPr>
            <w:tcW w:w="5385" w:type="dxa"/>
            <w:vAlign w:val="center"/>
          </w:tcPr>
          <w:p w14:paraId="365EEA81">
            <w:pPr>
              <w:pStyle w:val="182"/>
              <w:rPr>
                <w:rFonts w:cs="宋体"/>
                <w:szCs w:val="21"/>
              </w:rPr>
            </w:pPr>
            <w:r>
              <w:rPr>
                <w:rFonts w:hint="eastAsia"/>
                <w:szCs w:val="18"/>
              </w:rPr>
              <w:t>（20～38000）mg/L</w:t>
            </w:r>
          </w:p>
        </w:tc>
      </w:tr>
    </w:tbl>
    <w:p w14:paraId="5D96B6F1">
      <w:pPr>
        <w:pStyle w:val="108"/>
        <w:spacing w:before="240" w:after="240"/>
      </w:pPr>
      <w:bookmarkStart w:id="49" w:name="_Toc26986772"/>
      <w:bookmarkStart w:id="50" w:name="_Toc26986531"/>
      <w:bookmarkStart w:id="51" w:name="_Toc26718931"/>
      <w:bookmarkStart w:id="52" w:name="_Toc97192965"/>
      <w:bookmarkStart w:id="53" w:name="_Toc133697511"/>
      <w:bookmarkStart w:id="54" w:name="_Toc133693506"/>
      <w:bookmarkStart w:id="55" w:name="_Toc133940597"/>
      <w:bookmarkStart w:id="56" w:name="_Toc133692272"/>
      <w:bookmarkStart w:id="57" w:name="_Toc133940648"/>
      <w:r>
        <w:rPr>
          <w:rFonts w:hint="eastAsia"/>
        </w:rPr>
        <w:t>规范性引用文件</w:t>
      </w:r>
      <w:bookmarkEnd w:id="43"/>
      <w:bookmarkEnd w:id="44"/>
      <w:bookmarkEnd w:id="45"/>
      <w:bookmarkEnd w:id="46"/>
      <w:bookmarkEnd w:id="47"/>
      <w:bookmarkEnd w:id="49"/>
      <w:bookmarkEnd w:id="50"/>
      <w:bookmarkEnd w:id="51"/>
      <w:bookmarkEnd w:id="52"/>
      <w:bookmarkEnd w:id="53"/>
      <w:bookmarkEnd w:id="54"/>
      <w:bookmarkEnd w:id="55"/>
      <w:bookmarkEnd w:id="56"/>
      <w:bookmarkEnd w:id="57"/>
    </w:p>
    <w:sdt>
      <w:sdtPr>
        <w:rPr>
          <w:rFonts w:hint="eastAsia"/>
        </w:rPr>
        <w:id w:val="715848253"/>
        <w:placeholder>
          <w:docPart w:val="B7201308D17C4E07BF5FB762598EE32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9F53275">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E9DBCD2">
      <w:pPr>
        <w:pStyle w:val="60"/>
        <w:ind w:firstLine="420"/>
      </w:pPr>
      <w:r>
        <w:rPr>
          <w:rFonts w:hint="eastAsia"/>
        </w:rPr>
        <w:t>本文件引用下列文件：</w:t>
      </w:r>
    </w:p>
    <w:p w14:paraId="6F681319">
      <w:pPr>
        <w:pStyle w:val="60"/>
        <w:ind w:firstLine="420"/>
      </w:pPr>
      <w:r>
        <w:rPr>
          <w:rFonts w:hint="eastAsia"/>
        </w:rPr>
        <w:t>GB/T 3836.1  爆炸性环境 第1部分：设备 通用要求</w:t>
      </w:r>
    </w:p>
    <w:p w14:paraId="72DC89BF">
      <w:pPr>
        <w:pStyle w:val="60"/>
        <w:ind w:firstLine="420"/>
      </w:pPr>
      <w:r>
        <w:rPr>
          <w:rFonts w:hint="eastAsia"/>
        </w:rPr>
        <w:t>G</w:t>
      </w:r>
      <w:r>
        <w:t xml:space="preserve">B/T </w:t>
      </w:r>
      <w:r>
        <w:rPr>
          <w:rFonts w:hint="eastAsia"/>
        </w:rPr>
        <w:t>16783.1</w:t>
      </w:r>
      <w:r>
        <w:t xml:space="preserve">  </w:t>
      </w:r>
      <w:r>
        <w:rPr>
          <w:rFonts w:hint="eastAsia"/>
        </w:rPr>
        <w:t>石油天然气工业 钻井液 现场测试 第1部分：水基钻井液</w:t>
      </w:r>
    </w:p>
    <w:p w14:paraId="119D4DD0">
      <w:pPr>
        <w:pStyle w:val="60"/>
        <w:ind w:firstLine="420"/>
      </w:pPr>
      <w:r>
        <w:rPr>
          <w:rFonts w:hint="eastAsia"/>
        </w:rPr>
        <w:t>GB/T 26811  离子选择电极</w:t>
      </w:r>
    </w:p>
    <w:p w14:paraId="5ABEEDEA">
      <w:pPr>
        <w:pStyle w:val="60"/>
        <w:ind w:firstLine="420"/>
      </w:pPr>
      <w:r>
        <w:rPr>
          <w:rFonts w:hint="eastAsia"/>
        </w:rPr>
        <w:t>GB/T 27417  合格评定 化学分析方法确认和验证指南</w:t>
      </w:r>
    </w:p>
    <w:p w14:paraId="300CE08B">
      <w:pPr>
        <w:pStyle w:val="60"/>
        <w:ind w:firstLine="420"/>
      </w:pPr>
      <w:r>
        <w:rPr>
          <w:rFonts w:hint="eastAsia"/>
        </w:rPr>
        <w:t>GB/T 31130  科里奥利质量流量计</w:t>
      </w:r>
    </w:p>
    <w:p w14:paraId="1EC3FF20">
      <w:pPr>
        <w:pStyle w:val="60"/>
        <w:ind w:firstLine="420"/>
      </w:pPr>
      <w:r>
        <w:rPr>
          <w:rFonts w:hint="eastAsia"/>
        </w:rPr>
        <w:t>SY/T 5377  钻井液参数测试仪器技术条件</w:t>
      </w:r>
    </w:p>
    <w:p w14:paraId="4D8B2A6E">
      <w:pPr>
        <w:pStyle w:val="60"/>
        <w:ind w:firstLine="420"/>
      </w:pPr>
      <w:r>
        <w:rPr>
          <w:rFonts w:hint="eastAsia"/>
        </w:rPr>
        <w:t>SY/T 6202  钻井井场油、水、电及供暖系统安装技术要求</w:t>
      </w:r>
    </w:p>
    <w:p w14:paraId="02CC2E2D">
      <w:pPr>
        <w:pStyle w:val="60"/>
        <w:ind w:firstLine="420"/>
      </w:pPr>
      <w:r>
        <w:rPr>
          <w:rFonts w:hint="eastAsia"/>
        </w:rPr>
        <w:t>SY/T 6276  石油天然气工业 健康、安全与环境管理体系</w:t>
      </w:r>
    </w:p>
    <w:p w14:paraId="0AA8BED5">
      <w:pPr>
        <w:pStyle w:val="108"/>
        <w:spacing w:before="240" w:after="240"/>
        <w:rPr>
          <w:b/>
        </w:rPr>
      </w:pPr>
      <w:r>
        <w:rPr>
          <w:rFonts w:hint="eastAsia"/>
        </w:rPr>
        <w:t>术语和定义</w:t>
      </w:r>
    </w:p>
    <w:p w14:paraId="4F215127">
      <w:pPr>
        <w:pStyle w:val="60"/>
        <w:ind w:firstLine="420"/>
      </w:pPr>
      <w:bookmarkStart w:id="58" w:name="_Toc26986532"/>
      <w:bookmarkEnd w:id="58"/>
      <w:r>
        <w:rPr>
          <w:rFonts w:hint="eastAsia"/>
        </w:rPr>
        <w:t>GB/T 16783.1、GB/T 26811和G</w:t>
      </w:r>
      <w:r>
        <w:t xml:space="preserve">B/T </w:t>
      </w:r>
      <w:r>
        <w:rPr>
          <w:rFonts w:hint="eastAsia"/>
        </w:rPr>
        <w:t>2741</w:t>
      </w:r>
      <w:r>
        <w:t>7</w:t>
      </w:r>
      <w:r>
        <w:rPr>
          <w:rFonts w:hint="eastAsia"/>
        </w:rPr>
        <w:t>界定的术语和定义适用于本文件。</w:t>
      </w:r>
    </w:p>
    <w:p w14:paraId="5FE04568">
      <w:pPr>
        <w:pStyle w:val="108"/>
        <w:spacing w:before="240" w:after="240"/>
      </w:pPr>
      <w:r>
        <w:rPr>
          <w:rFonts w:hint="eastAsia"/>
        </w:rPr>
        <w:t>方法概述</w:t>
      </w:r>
    </w:p>
    <w:p w14:paraId="19200AA4">
      <w:pPr>
        <w:pStyle w:val="60"/>
        <w:ind w:firstLine="420"/>
      </w:pPr>
      <w:r>
        <w:rPr>
          <w:rFonts w:hint="eastAsia"/>
        </w:rPr>
        <w:t>水基钻井液关键性能参数在线检测仪可测量流变性(表观黏度、塑性黏度、漏斗黏度、动切力)、密度、可溶性离子浓度(</w:t>
      </w:r>
      <w:r>
        <w:rPr>
          <w:rFonts w:hint="eastAsia" w:hAnsi="宋体"/>
        </w:rPr>
        <w:t>Cl</w:t>
      </w:r>
      <w:r>
        <w:rPr>
          <w:rFonts w:hint="eastAsia" w:hAnsi="宋体"/>
          <w:vertAlign w:val="superscript"/>
        </w:rPr>
        <w:t>-</w:t>
      </w:r>
      <w:r>
        <w:rPr>
          <w:rFonts w:hint="eastAsia" w:hAnsi="宋体"/>
        </w:rPr>
        <w:t>、S</w:t>
      </w:r>
      <w:r>
        <w:rPr>
          <w:rFonts w:hint="eastAsia" w:hAnsi="宋体"/>
          <w:vertAlign w:val="superscript"/>
        </w:rPr>
        <w:t>2-</w:t>
      </w:r>
      <w:r>
        <w:rPr>
          <w:rFonts w:hint="eastAsia" w:hAnsi="宋体"/>
        </w:rPr>
        <w:t>、K</w:t>
      </w:r>
      <w:r>
        <w:rPr>
          <w:rFonts w:hint="eastAsia" w:hAnsi="宋体"/>
          <w:vertAlign w:val="superscript"/>
        </w:rPr>
        <w:t>+</w:t>
      </w:r>
      <w:r>
        <w:rPr>
          <w:rFonts w:hint="eastAsia"/>
        </w:rPr>
        <w:t>)等钻井液性能参数。</w:t>
      </w:r>
    </w:p>
    <w:p w14:paraId="41AF0496">
      <w:pPr>
        <w:pStyle w:val="60"/>
        <w:ind w:firstLine="420"/>
      </w:pPr>
      <w:r>
        <w:rPr>
          <w:rFonts w:hint="eastAsia"/>
        </w:rPr>
        <w:t>流变性(表观黏度、塑性黏度、</w:t>
      </w:r>
      <w:bookmarkStart w:id="59" w:name="OLE_LINK1"/>
      <w:r>
        <w:rPr>
          <w:rFonts w:hint="eastAsia"/>
        </w:rPr>
        <w:t>动切力</w:t>
      </w:r>
      <w:bookmarkEnd w:id="59"/>
      <w:r>
        <w:rPr>
          <w:rFonts w:hint="eastAsia"/>
        </w:rPr>
        <w:t>、漏斗黏度)采用双管压差法进行测量，测量原理为：将两根长短、内径均不相同的测量管串联安装，钻井液流经两根测量管路时，分别在管路内部形成了流量相同、流速不同的状态，进而在管路两端形成了压力差。利用压差传感器实时采集两根测量管的压差值，并结合流速、温度等参数，实现钻井液表观粘度、塑性粘度、动切力、漏斗粘度的在线测量。</w:t>
      </w:r>
    </w:p>
    <w:p w14:paraId="14794E59">
      <w:pPr>
        <w:pStyle w:val="60"/>
        <w:ind w:firstLine="420"/>
        <w:rPr>
          <w:rFonts w:hint="eastAsia"/>
        </w:rPr>
      </w:pPr>
      <w:r>
        <w:rPr>
          <w:rFonts w:hint="eastAsia"/>
        </w:rPr>
        <w:t>密度测量原理：流体流入科里奥利质量流量计后，通过仪器内部设置的固有振动频率与流体流入后出入口管道振动频率进行相位差和频率分析，流入质量流量计的流体密度不同，会导致流量计内部测量管的振动频率不同，通过实时测量管道的振动频率，结合多参数分析得到质量流量计测量下流体实时密度</w:t>
      </w:r>
      <w:r>
        <w:t>。</w:t>
      </w:r>
    </w:p>
    <w:p w14:paraId="7D44E54E">
      <w:pPr>
        <w:pStyle w:val="60"/>
        <w:ind w:firstLine="420"/>
      </w:pPr>
      <w:r>
        <w:rPr>
          <w:rFonts w:hint="eastAsia"/>
        </w:rPr>
        <w:t>水基钻井液离子浓度(</w:t>
      </w:r>
      <w:r>
        <w:rPr>
          <w:rFonts w:hint="eastAsia" w:hAnsi="宋体"/>
        </w:rPr>
        <w:t>Cl</w:t>
      </w:r>
      <w:r>
        <w:rPr>
          <w:rFonts w:hint="eastAsia" w:hAnsi="宋体"/>
          <w:vertAlign w:val="superscript"/>
        </w:rPr>
        <w:t>-</w:t>
      </w:r>
      <w:r>
        <w:rPr>
          <w:rFonts w:hint="eastAsia" w:hAnsi="宋体"/>
        </w:rPr>
        <w:t>、S</w:t>
      </w:r>
      <w:r>
        <w:rPr>
          <w:rFonts w:hint="eastAsia" w:hAnsi="宋体"/>
          <w:vertAlign w:val="superscript"/>
        </w:rPr>
        <w:t>2-</w:t>
      </w:r>
      <w:r>
        <w:rPr>
          <w:rFonts w:hint="eastAsia" w:hAnsi="宋体"/>
        </w:rPr>
        <w:t>、K</w:t>
      </w:r>
      <w:r>
        <w:rPr>
          <w:rFonts w:hint="eastAsia" w:hAnsi="宋体"/>
          <w:vertAlign w:val="superscript"/>
        </w:rPr>
        <w:t>+</w:t>
      </w:r>
      <w:r>
        <w:rPr>
          <w:rFonts w:hint="eastAsia"/>
        </w:rPr>
        <w:t>)通常采用离子选择电极法进行测量。</w:t>
      </w:r>
    </w:p>
    <w:p w14:paraId="5B375C4A">
      <w:pPr>
        <w:pStyle w:val="108"/>
        <w:spacing w:before="240" w:after="240"/>
      </w:pPr>
      <w:bookmarkStart w:id="60" w:name="_Toc131629319"/>
      <w:bookmarkStart w:id="61" w:name="_Toc133940653"/>
      <w:bookmarkStart w:id="62" w:name="_Toc133697514"/>
      <w:bookmarkStart w:id="63" w:name="_Toc133940602"/>
      <w:bookmarkStart w:id="64" w:name="_Toc133693509"/>
      <w:r>
        <w:rPr>
          <w:rFonts w:hint="eastAsia"/>
        </w:rPr>
        <w:t>测试条件</w:t>
      </w:r>
      <w:bookmarkEnd w:id="60"/>
      <w:bookmarkEnd w:id="61"/>
      <w:bookmarkEnd w:id="62"/>
      <w:bookmarkEnd w:id="63"/>
      <w:bookmarkEnd w:id="64"/>
    </w:p>
    <w:p w14:paraId="51E15F81">
      <w:pPr>
        <w:pStyle w:val="60"/>
        <w:ind w:firstLine="420"/>
      </w:pPr>
      <w:r>
        <w:rPr>
          <w:rFonts w:hint="eastAsia"/>
        </w:rPr>
        <w:t>宜满足下列要求：</w:t>
      </w:r>
    </w:p>
    <w:p w14:paraId="4E19ADBB">
      <w:pPr>
        <w:pStyle w:val="60"/>
        <w:ind w:firstLine="420"/>
      </w:pPr>
      <w:r>
        <w:rPr>
          <w:rFonts w:hint="eastAsia"/>
        </w:rPr>
        <w:t>——供电电源：380V，3相4线制；</w:t>
      </w:r>
    </w:p>
    <w:p w14:paraId="4A2ABEEB">
      <w:pPr>
        <w:pStyle w:val="60"/>
        <w:ind w:firstLine="420"/>
      </w:pPr>
      <w:r>
        <w:rPr>
          <w:rFonts w:hint="eastAsia"/>
        </w:rPr>
        <w:t>——适用介质温度：0℃～180℃；</w:t>
      </w:r>
    </w:p>
    <w:p w14:paraId="13835111">
      <w:pPr>
        <w:pStyle w:val="60"/>
        <w:ind w:firstLine="420"/>
      </w:pPr>
      <w:r>
        <w:rPr>
          <w:rFonts w:hint="eastAsia"/>
        </w:rPr>
        <w:t>——适应环境温度：-40℃～60℃；</w:t>
      </w:r>
    </w:p>
    <w:p w14:paraId="7DC8B8A9">
      <w:pPr>
        <w:pStyle w:val="60"/>
        <w:ind w:firstLine="420"/>
      </w:pPr>
      <w:r>
        <w:rPr>
          <w:rFonts w:hint="eastAsia"/>
        </w:rPr>
        <w:t>——防爆形式：隔爆。</w:t>
      </w:r>
    </w:p>
    <w:p w14:paraId="55EC2722">
      <w:pPr>
        <w:pStyle w:val="108"/>
        <w:spacing w:before="240" w:after="240"/>
        <w:rPr>
          <w:b/>
        </w:rPr>
      </w:pPr>
      <w:r>
        <w:rPr>
          <w:rFonts w:hint="eastAsia"/>
        </w:rPr>
        <w:t>试剂或材料</w:t>
      </w:r>
    </w:p>
    <w:p w14:paraId="5FA61CF7">
      <w:pPr>
        <w:pStyle w:val="109"/>
        <w:spacing w:before="120" w:after="120"/>
      </w:pPr>
      <w:r>
        <w:rPr>
          <w:rFonts w:hint="eastAsia"/>
        </w:rPr>
        <w:t>氯化钾纯度标准物质</w:t>
      </w:r>
    </w:p>
    <w:p w14:paraId="3BAF125B">
      <w:pPr>
        <w:pStyle w:val="60"/>
        <w:ind w:firstLine="420"/>
      </w:pPr>
      <w:r>
        <w:rPr>
          <w:rFonts w:hint="eastAsia"/>
        </w:rPr>
        <w:t>100%±0.02%。</w:t>
      </w:r>
    </w:p>
    <w:p w14:paraId="0AC169E3">
      <w:pPr>
        <w:pStyle w:val="109"/>
        <w:spacing w:before="120" w:after="120"/>
      </w:pPr>
      <w:r>
        <w:rPr>
          <w:rFonts w:hint="eastAsia"/>
        </w:rPr>
        <w:t>氯化纳纯度标准物质</w:t>
      </w:r>
    </w:p>
    <w:p w14:paraId="458413A6">
      <w:pPr>
        <w:pStyle w:val="60"/>
        <w:ind w:firstLine="420"/>
      </w:pPr>
      <w:r>
        <w:rPr>
          <w:rFonts w:hint="eastAsia"/>
        </w:rPr>
        <w:t>100%±0.02%。</w:t>
      </w:r>
    </w:p>
    <w:p w14:paraId="1A537821">
      <w:pPr>
        <w:pStyle w:val="109"/>
        <w:spacing w:before="120" w:after="120"/>
      </w:pPr>
      <w:r>
        <w:rPr>
          <w:rFonts w:hint="eastAsia"/>
        </w:rPr>
        <w:t>硫化物溶液标准物质</w:t>
      </w:r>
    </w:p>
    <w:p w14:paraId="0F34396C">
      <w:pPr>
        <w:pStyle w:val="60"/>
        <w:ind w:firstLine="420"/>
        <w:rPr>
          <w:rFonts w:hint="eastAsia" w:hAnsi="宋体"/>
        </w:rPr>
      </w:pPr>
      <w:r>
        <w:rPr>
          <w:rFonts w:hint="eastAsia" w:hAnsi="宋体"/>
          <w:kern w:val="2"/>
        </w:rPr>
        <w:t>100 mg/L，</w:t>
      </w:r>
      <w:r>
        <w:rPr>
          <w:rFonts w:hint="eastAsia" w:hAnsi="宋体"/>
          <w:i/>
          <w:iCs/>
          <w:kern w:val="2"/>
        </w:rPr>
        <w:t>U</w:t>
      </w:r>
      <w:r>
        <w:rPr>
          <w:rFonts w:hint="eastAsia" w:hAnsi="宋体"/>
          <w:kern w:val="2"/>
          <w:vertAlign w:val="subscript"/>
        </w:rPr>
        <w:t>rel</w:t>
      </w:r>
      <w:r>
        <w:rPr>
          <w:rFonts w:hint="eastAsia" w:hAnsi="宋体"/>
          <w:kern w:val="2"/>
        </w:rPr>
        <w:t>≤3%（</w:t>
      </w:r>
      <w:r>
        <w:rPr>
          <w:rFonts w:hint="eastAsia" w:hAnsi="宋体"/>
          <w:i/>
          <w:iCs/>
          <w:kern w:val="2"/>
        </w:rPr>
        <w:t>k</w:t>
      </w:r>
      <w:r>
        <w:rPr>
          <w:rFonts w:hint="eastAsia" w:hAnsi="宋体"/>
          <w:kern w:val="2"/>
        </w:rPr>
        <w:t>=2）</w:t>
      </w:r>
      <w:r>
        <w:rPr>
          <w:rFonts w:hint="eastAsia" w:hAnsi="宋体"/>
        </w:rPr>
        <w:t>。</w:t>
      </w:r>
    </w:p>
    <w:p w14:paraId="0B60322B">
      <w:pPr>
        <w:pStyle w:val="109"/>
        <w:spacing w:before="120" w:after="120"/>
      </w:pPr>
      <w:r>
        <w:rPr>
          <w:rFonts w:hint="eastAsia"/>
        </w:rPr>
        <w:t>硫化物抗氧剂缓冲溶液</w:t>
      </w:r>
    </w:p>
    <w:p w14:paraId="6549A073">
      <w:pPr>
        <w:pStyle w:val="60"/>
        <w:ind w:firstLine="420"/>
      </w:pPr>
      <w:r>
        <w:rPr>
          <w:rFonts w:hint="eastAsia" w:ascii="Times New Roman"/>
          <w:kern w:val="2"/>
        </w:rPr>
        <w:t>提供强碱环境，将样品中可能存在的硫化氢等转化为硫离子，且含有抗坏血酸，防止硫离子被氧化</w:t>
      </w:r>
      <w:r>
        <w:rPr>
          <w:rFonts w:hint="eastAsia"/>
        </w:rPr>
        <w:t>。</w:t>
      </w:r>
    </w:p>
    <w:p w14:paraId="54E96CA0">
      <w:pPr>
        <w:pStyle w:val="108"/>
        <w:spacing w:before="240" w:after="240"/>
      </w:pPr>
      <w:r>
        <w:rPr>
          <w:rFonts w:hint="eastAsia"/>
        </w:rPr>
        <w:t>仪器设备</w:t>
      </w:r>
    </w:p>
    <w:p w14:paraId="4C9D52C0">
      <w:pPr>
        <w:pStyle w:val="109"/>
        <w:spacing w:before="120" w:after="120"/>
      </w:pPr>
      <w:r>
        <w:rPr>
          <w:rFonts w:hint="eastAsia"/>
        </w:rPr>
        <w:t>钻井液性能参数在线监测系统</w:t>
      </w:r>
    </w:p>
    <w:p w14:paraId="49EAEC2A">
      <w:pPr>
        <w:pStyle w:val="60"/>
        <w:ind w:firstLine="420"/>
      </w:pPr>
      <w:r>
        <w:rPr>
          <w:rFonts w:hint="eastAsia"/>
        </w:rPr>
        <w:t>可实现出口检测温度、实时流变性（表观粘度、塑性粘度、动切力、漏斗粘度）、密度、氯离子/硫离子/钾离子含量等参数的实时测量。</w:t>
      </w:r>
    </w:p>
    <w:p w14:paraId="19F90793">
      <w:pPr>
        <w:pStyle w:val="109"/>
        <w:spacing w:before="120" w:after="120"/>
      </w:pPr>
      <w:r>
        <w:rPr>
          <w:rFonts w:hint="eastAsia"/>
        </w:rPr>
        <w:t>六速旋转黏度计</w:t>
      </w:r>
    </w:p>
    <w:p w14:paraId="01A456E4">
      <w:pPr>
        <w:pStyle w:val="60"/>
        <w:ind w:firstLine="420"/>
      </w:pPr>
      <w:r>
        <w:rPr>
          <w:rFonts w:hint="eastAsia"/>
        </w:rPr>
        <w:t>A级。</w:t>
      </w:r>
    </w:p>
    <w:p w14:paraId="18A61D0E">
      <w:pPr>
        <w:pStyle w:val="109"/>
        <w:spacing w:before="120" w:after="120"/>
      </w:pPr>
      <w:r>
        <w:rPr>
          <w:rFonts w:hint="eastAsia"/>
        </w:rPr>
        <w:t>马氏漏斗黏度计</w:t>
      </w:r>
    </w:p>
    <w:p w14:paraId="37B56CB7">
      <w:pPr>
        <w:pStyle w:val="60"/>
        <w:ind w:firstLine="420"/>
        <w:rPr>
          <w:rFonts w:hint="eastAsia" w:hAnsi="宋体"/>
        </w:rPr>
      </w:pPr>
      <w:r>
        <w:rPr>
          <w:rFonts w:hint="eastAsia" w:hAnsi="宋体"/>
          <w:kern w:val="2"/>
        </w:rPr>
        <w:t>（26±0.5）s</w:t>
      </w:r>
      <w:r>
        <w:rPr>
          <w:rFonts w:hint="eastAsia" w:hAnsi="宋体"/>
        </w:rPr>
        <w:t>。</w:t>
      </w:r>
    </w:p>
    <w:p w14:paraId="38C1FB2B">
      <w:pPr>
        <w:pStyle w:val="109"/>
        <w:spacing w:before="120" w:after="120"/>
      </w:pPr>
      <w:r>
        <w:rPr>
          <w:rFonts w:hint="eastAsia"/>
        </w:rPr>
        <w:t>质量流量计</w:t>
      </w:r>
    </w:p>
    <w:p w14:paraId="04CD79F1">
      <w:pPr>
        <w:pStyle w:val="60"/>
        <w:ind w:firstLine="420"/>
      </w:pPr>
      <w:r>
        <w:rPr>
          <w:rFonts w:hint="eastAsia"/>
        </w:rPr>
        <w:t>科里奥利质量流量计，应符合GB/T 31130的技术要求。</w:t>
      </w:r>
    </w:p>
    <w:p w14:paraId="02D60535">
      <w:pPr>
        <w:pStyle w:val="109"/>
        <w:spacing w:before="120" w:after="120"/>
      </w:pPr>
      <w:r>
        <w:rPr>
          <w:rFonts w:hint="eastAsia"/>
        </w:rPr>
        <w:t>压差传感器</w:t>
      </w:r>
    </w:p>
    <w:p w14:paraId="6792622C">
      <w:pPr>
        <w:pStyle w:val="60"/>
        <w:ind w:firstLine="420"/>
      </w:pPr>
      <w:r>
        <w:rPr>
          <w:rFonts w:hint="eastAsia"/>
        </w:rPr>
        <w:t>齐平膜压差测量，DN50法兰盘安装，防爆要求隔爆型，符合GB/T 3836.1的技术要求。</w:t>
      </w:r>
    </w:p>
    <w:p w14:paraId="46188A86">
      <w:pPr>
        <w:pStyle w:val="109"/>
        <w:spacing w:before="120" w:after="120"/>
      </w:pPr>
      <w:r>
        <w:rPr>
          <w:rFonts w:hint="eastAsia"/>
        </w:rPr>
        <w:t>温度计</w:t>
      </w:r>
    </w:p>
    <w:p w14:paraId="36871757">
      <w:pPr>
        <w:pStyle w:val="60"/>
        <w:ind w:firstLine="420"/>
      </w:pPr>
      <w:r>
        <w:rPr>
          <w:rFonts w:hint="eastAsia"/>
        </w:rPr>
        <w:t>(0～60)℃，MPE：±0.1 ℃。</w:t>
      </w:r>
    </w:p>
    <w:p w14:paraId="75BFAE7A">
      <w:pPr>
        <w:pStyle w:val="109"/>
        <w:spacing w:before="120" w:after="120"/>
      </w:pPr>
      <w:bookmarkStart w:id="65" w:name="_Toc131629322"/>
      <w:bookmarkStart w:id="66" w:name="_Toc133940605"/>
      <w:bookmarkStart w:id="67" w:name="_Toc133697515"/>
      <w:bookmarkStart w:id="68" w:name="_Toc133693510"/>
      <w:bookmarkStart w:id="69" w:name="_Toc133940656"/>
      <w:r>
        <w:rPr>
          <w:rFonts w:hint="eastAsia"/>
        </w:rPr>
        <w:t>泥浆密度计</w:t>
      </w:r>
    </w:p>
    <w:p w14:paraId="5595742E">
      <w:pPr>
        <w:pStyle w:val="60"/>
        <w:ind w:firstLine="432"/>
      </w:pPr>
      <w:r>
        <w:rPr>
          <w:rFonts w:hint="eastAsia"/>
          <w:color w:val="000000"/>
          <w:spacing w:val="3"/>
          <w:szCs w:val="21"/>
        </w:rPr>
        <w:t>MPE：±0.01 g/cm</w:t>
      </w:r>
      <w:r>
        <w:rPr>
          <w:rFonts w:hint="eastAsia"/>
          <w:color w:val="000000"/>
          <w:spacing w:val="3"/>
          <w:szCs w:val="21"/>
          <w:vertAlign w:val="superscript"/>
        </w:rPr>
        <w:t>3</w:t>
      </w:r>
      <w:r>
        <w:rPr>
          <w:rFonts w:hint="eastAsia"/>
        </w:rPr>
        <w:t>。</w:t>
      </w:r>
    </w:p>
    <w:p w14:paraId="6196FE46">
      <w:pPr>
        <w:pStyle w:val="109"/>
        <w:spacing w:before="120" w:after="120"/>
      </w:pPr>
      <w:r>
        <w:rPr>
          <w:rFonts w:hint="eastAsia"/>
        </w:rPr>
        <w:t>复合离子选择电极</w:t>
      </w:r>
    </w:p>
    <w:p w14:paraId="78A59D0A">
      <w:pPr>
        <w:pStyle w:val="60"/>
        <w:ind w:firstLine="432"/>
      </w:pPr>
      <w:r>
        <w:rPr>
          <w:rFonts w:hint="eastAsia"/>
          <w:color w:val="000000"/>
          <w:spacing w:val="3"/>
          <w:szCs w:val="21"/>
        </w:rPr>
        <w:t>氯离子、硫离子、钾离子复合选择电极</w:t>
      </w:r>
      <w:r>
        <w:rPr>
          <w:rFonts w:hint="eastAsia"/>
        </w:rPr>
        <w:t>。</w:t>
      </w:r>
    </w:p>
    <w:p w14:paraId="04869221">
      <w:pPr>
        <w:pStyle w:val="109"/>
        <w:spacing w:before="120" w:after="120"/>
      </w:pPr>
      <w:r>
        <w:rPr>
          <w:rFonts w:hint="eastAsia"/>
        </w:rPr>
        <w:t>磁力搅拌器</w:t>
      </w:r>
    </w:p>
    <w:p w14:paraId="39A0BB74">
      <w:pPr>
        <w:pStyle w:val="60"/>
        <w:ind w:firstLine="420"/>
      </w:pPr>
      <w:r>
        <w:rPr>
          <w:rFonts w:hint="eastAsia"/>
        </w:rPr>
        <w:t>可控温控速。</w:t>
      </w:r>
    </w:p>
    <w:p w14:paraId="66442535">
      <w:pPr>
        <w:pStyle w:val="108"/>
        <w:spacing w:before="240" w:after="240"/>
      </w:pPr>
      <w:r>
        <w:rPr>
          <w:rFonts w:hint="eastAsia"/>
        </w:rPr>
        <w:t>样品</w:t>
      </w:r>
    </w:p>
    <w:p w14:paraId="5F545AD0">
      <w:pPr>
        <w:pStyle w:val="109"/>
        <w:spacing w:before="120" w:after="120"/>
      </w:pPr>
      <w:r>
        <w:rPr>
          <w:rFonts w:hint="eastAsia"/>
        </w:rPr>
        <w:t>样品前处理</w:t>
      </w:r>
    </w:p>
    <w:p w14:paraId="422CC15E">
      <w:pPr>
        <w:pStyle w:val="60"/>
        <w:ind w:firstLine="420"/>
      </w:pPr>
      <w:r>
        <w:rPr>
          <w:rFonts w:hint="eastAsia"/>
        </w:rPr>
        <w:t>样品测定前充分搅拌，使其状态均一，并过滤、消泡。</w:t>
      </w:r>
    </w:p>
    <w:bookmarkEnd w:id="65"/>
    <w:bookmarkEnd w:id="66"/>
    <w:bookmarkEnd w:id="67"/>
    <w:bookmarkEnd w:id="68"/>
    <w:bookmarkEnd w:id="69"/>
    <w:p w14:paraId="4A030AE4">
      <w:pPr>
        <w:pStyle w:val="108"/>
        <w:spacing w:before="240" w:after="240"/>
        <w:rPr>
          <w:b/>
        </w:rPr>
      </w:pPr>
      <w:r>
        <w:rPr>
          <w:rFonts w:hint="eastAsia"/>
        </w:rPr>
        <w:t>测试程序</w:t>
      </w:r>
    </w:p>
    <w:p w14:paraId="73F8B95E">
      <w:pPr>
        <w:pStyle w:val="109"/>
        <w:spacing w:before="120" w:after="120"/>
      </w:pPr>
      <w:bookmarkStart w:id="70" w:name="_Toc133940606"/>
      <w:bookmarkStart w:id="71" w:name="_Toc133940657"/>
      <w:r>
        <w:rPr>
          <w:rFonts w:hint="eastAsia"/>
        </w:rPr>
        <w:t>流变性</w:t>
      </w:r>
      <w:bookmarkEnd w:id="70"/>
      <w:bookmarkEnd w:id="71"/>
      <w:r>
        <w:rPr>
          <w:rFonts w:hint="eastAsia"/>
        </w:rPr>
        <w:t>及密度</w:t>
      </w:r>
    </w:p>
    <w:p w14:paraId="35B59790">
      <w:pPr>
        <w:pStyle w:val="69"/>
        <w:spacing w:before="120" w:after="120"/>
        <w:rPr>
          <w:b/>
        </w:rPr>
      </w:pPr>
      <w:bookmarkStart w:id="72" w:name="_Toc133940658"/>
      <w:bookmarkStart w:id="73" w:name="_Toc133940607"/>
      <w:bookmarkStart w:id="74" w:name="_Toc133697516"/>
      <w:bookmarkStart w:id="75" w:name="_Toc133693511"/>
      <w:bookmarkStart w:id="76" w:name="_Toc131629323"/>
      <w:r>
        <w:rPr>
          <w:rFonts w:hint="eastAsia"/>
        </w:rPr>
        <w:t>测试要求</w:t>
      </w:r>
    </w:p>
    <w:p w14:paraId="12842FFB">
      <w:pPr>
        <w:pStyle w:val="60"/>
        <w:ind w:firstLine="420"/>
      </w:pPr>
      <w:r>
        <w:rPr>
          <w:rFonts w:hint="eastAsia"/>
        </w:rPr>
        <w:t>符合GB/T 31130的要求，科里奥利质量流量计可测量钻井液的密度；测量参数符合GB/T 16783.1的要求，可测量钻井液的表观粘度、塑性粘度、动切力、漏斗粘度等参数。</w:t>
      </w:r>
    </w:p>
    <w:p w14:paraId="450F2BD0">
      <w:pPr>
        <w:pStyle w:val="60"/>
        <w:ind w:firstLine="420"/>
      </w:pPr>
      <w:r>
        <w:rPr>
          <w:rFonts w:hint="eastAsia"/>
        </w:rPr>
        <w:t>在线监测装置现场测试、安装、调试及运行应符合SY/T 5377、SY/T 6202及SY/T 6276的相关要求。</w:t>
      </w:r>
    </w:p>
    <w:p w14:paraId="5A2C1F1F">
      <w:pPr>
        <w:pStyle w:val="60"/>
        <w:ind w:firstLine="420"/>
      </w:pPr>
      <w:r>
        <w:rPr>
          <w:rFonts w:hint="eastAsia"/>
        </w:rPr>
        <w:t>在线监测装置需定期检验及保养。</w:t>
      </w:r>
    </w:p>
    <w:p w14:paraId="74315A4A">
      <w:pPr>
        <w:pStyle w:val="69"/>
        <w:spacing w:before="120" w:after="120"/>
        <w:rPr>
          <w:b/>
        </w:rPr>
      </w:pPr>
      <w:r>
        <w:rPr>
          <w:rFonts w:hint="eastAsia"/>
        </w:rPr>
        <w:t>测试程序</w:t>
      </w:r>
    </w:p>
    <w:p w14:paraId="56E4DD4E">
      <w:pPr>
        <w:pStyle w:val="60"/>
        <w:ind w:firstLine="420"/>
      </w:pPr>
      <w:r>
        <w:rPr>
          <w:rFonts w:hint="eastAsia"/>
        </w:rPr>
        <w:t>启动设备电源，上电自检正常，待装置电源指示灯、质量流量计、压差传感器、防爆工控机等各部件正常显示后，在工控机上打开钻井液性能在线测试软件。</w:t>
      </w:r>
    </w:p>
    <w:p w14:paraId="073544C4">
      <w:pPr>
        <w:pStyle w:val="60"/>
        <w:ind w:firstLine="420"/>
      </w:pPr>
      <w:r>
        <w:rPr>
          <w:rFonts w:hint="eastAsia"/>
        </w:rPr>
        <w:t>在测试软件的登录界面中输入账号、密码，并输入井号后，进入钻井液性能在线检测及控制界面。在控制界面中设定连续测量的间隔周期及设备自动清洗的间隔时间后，点击自动测量，开始钻井液性能参数的全自动测量。</w:t>
      </w:r>
    </w:p>
    <w:p w14:paraId="010A56BC">
      <w:pPr>
        <w:pStyle w:val="60"/>
        <w:ind w:firstLine="420"/>
      </w:pPr>
      <w:r>
        <w:rPr>
          <w:rFonts w:hint="eastAsia"/>
        </w:rPr>
        <w:t>模拟量采集卡连续采集质量流量计、压差传感器输出的信号，并发送给防爆工控机。防爆工控机通过变频器连续控制电动隔膜泵以不同的流量抽取钻井液，从而在质量流量计中获得多个不同的体积流量</w:t>
      </w:r>
      <w:r>
        <w:rPr>
          <w:rFonts w:hint="eastAsia"/>
          <w:i/>
          <w:iCs/>
        </w:rPr>
        <w:t>V</w:t>
      </w:r>
      <w:r>
        <w:rPr>
          <w:rFonts w:hint="eastAsia"/>
        </w:rPr>
        <w:t>，同时在双测量管中采集到多个不同的压差值△</w:t>
      </w:r>
      <w:r>
        <w:rPr>
          <w:rFonts w:hint="eastAsia"/>
          <w:i/>
          <w:iCs/>
        </w:rPr>
        <w:t>P</w:t>
      </w:r>
      <w:r>
        <w:rPr>
          <w:rFonts w:hint="eastAsia"/>
        </w:rPr>
        <w:t>，用于工控机计算钻井液的表观粘度、塑性粘度、动切力及漏斗粘度参数。</w:t>
      </w:r>
    </w:p>
    <w:p w14:paraId="5080A3F8">
      <w:pPr>
        <w:pStyle w:val="60"/>
        <w:ind w:firstLine="420"/>
        <w:rPr>
          <w:b/>
        </w:rPr>
      </w:pPr>
      <w:r>
        <w:rPr>
          <w:rFonts w:hint="eastAsia"/>
        </w:rPr>
        <w:t>防爆工控机软件界面实时更新显示所监测到的钻井液性能参数。待测量的循环次数达到软件设置的循环次数后，自动进入清洗流程，实现对测试装置的正向清水冲洗和正反向空气吹扫，并进行后续的连续测量</w:t>
      </w:r>
    </w:p>
    <w:p w14:paraId="250AEC6E">
      <w:pPr>
        <w:pStyle w:val="69"/>
        <w:spacing w:before="120" w:after="120"/>
        <w:rPr>
          <w:b/>
        </w:rPr>
      </w:pPr>
      <w:r>
        <w:rPr>
          <w:rFonts w:hint="eastAsia"/>
        </w:rPr>
        <w:t>样品测定</w:t>
      </w:r>
    </w:p>
    <w:p w14:paraId="0380F95D">
      <w:pPr>
        <w:pStyle w:val="60"/>
        <w:ind w:firstLine="420"/>
      </w:pPr>
      <w:r>
        <w:rPr>
          <w:rFonts w:hint="eastAsia"/>
        </w:rPr>
        <w:t>钻井液性能在线监测装置测量的周期可根据实际情况人为手动设定，推荐的测量间隔参考表2进行设定。</w:t>
      </w:r>
    </w:p>
    <w:p w14:paraId="7B523143">
      <w:pPr>
        <w:pStyle w:val="116"/>
        <w:spacing w:before="120" w:after="120"/>
      </w:pPr>
      <w:r>
        <w:rPr>
          <w:rFonts w:hint="eastAsia"/>
        </w:rPr>
        <w:t>钻井液测试装置测量间隔推荐表</w:t>
      </w:r>
    </w:p>
    <w:tbl>
      <w:tblPr>
        <w:tblStyle w:val="29"/>
        <w:tblW w:w="93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970"/>
        <w:gridCol w:w="5385"/>
      </w:tblGrid>
      <w:tr w14:paraId="57A63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970" w:type="dxa"/>
            <w:tcBorders>
              <w:top w:val="single" w:color="auto" w:sz="8" w:space="0"/>
              <w:bottom w:val="single" w:color="auto" w:sz="8" w:space="0"/>
            </w:tcBorders>
            <w:vAlign w:val="center"/>
          </w:tcPr>
          <w:p w14:paraId="1B38DC44">
            <w:pPr>
              <w:pStyle w:val="182"/>
              <w:rPr>
                <w:szCs w:val="18"/>
              </w:rPr>
            </w:pPr>
            <w:r>
              <w:rPr>
                <w:rFonts w:hint="eastAsia"/>
                <w:szCs w:val="18"/>
              </w:rPr>
              <w:t>工况</w:t>
            </w:r>
          </w:p>
        </w:tc>
        <w:tc>
          <w:tcPr>
            <w:tcW w:w="5385" w:type="dxa"/>
            <w:tcBorders>
              <w:top w:val="single" w:color="auto" w:sz="8" w:space="0"/>
              <w:bottom w:val="single" w:color="auto" w:sz="8" w:space="0"/>
            </w:tcBorders>
            <w:vAlign w:val="center"/>
          </w:tcPr>
          <w:p w14:paraId="6F66D92B">
            <w:pPr>
              <w:pStyle w:val="182"/>
              <w:rPr>
                <w:szCs w:val="18"/>
              </w:rPr>
            </w:pPr>
            <w:r>
              <w:rPr>
                <w:rFonts w:hint="eastAsia"/>
                <w:szCs w:val="18"/>
              </w:rPr>
              <w:t>推荐测量间隔，min</w:t>
            </w:r>
          </w:p>
        </w:tc>
      </w:tr>
      <w:tr w14:paraId="55B88E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970" w:type="dxa"/>
            <w:tcBorders>
              <w:top w:val="single" w:color="auto" w:sz="8" w:space="0"/>
            </w:tcBorders>
            <w:vAlign w:val="center"/>
          </w:tcPr>
          <w:p w14:paraId="1E939A06">
            <w:pPr>
              <w:pStyle w:val="182"/>
              <w:rPr>
                <w:szCs w:val="18"/>
              </w:rPr>
            </w:pPr>
            <w:r>
              <w:rPr>
                <w:rFonts w:hint="eastAsia"/>
                <w:szCs w:val="18"/>
              </w:rPr>
              <w:t>复杂地层、钻井液性能变化快</w:t>
            </w:r>
          </w:p>
        </w:tc>
        <w:tc>
          <w:tcPr>
            <w:tcW w:w="5385" w:type="dxa"/>
            <w:tcBorders>
              <w:top w:val="single" w:color="auto" w:sz="8" w:space="0"/>
            </w:tcBorders>
            <w:vAlign w:val="center"/>
          </w:tcPr>
          <w:p w14:paraId="1F889493">
            <w:pPr>
              <w:pStyle w:val="182"/>
              <w:rPr>
                <w:szCs w:val="18"/>
              </w:rPr>
            </w:pPr>
            <w:r>
              <w:rPr>
                <w:rFonts w:hint="eastAsia"/>
                <w:szCs w:val="18"/>
              </w:rPr>
              <w:t>2～5</w:t>
            </w:r>
          </w:p>
        </w:tc>
      </w:tr>
      <w:tr w14:paraId="6CC307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970" w:type="dxa"/>
            <w:vAlign w:val="center"/>
          </w:tcPr>
          <w:p w14:paraId="243874C5">
            <w:pPr>
              <w:pStyle w:val="182"/>
              <w:rPr>
                <w:szCs w:val="18"/>
              </w:rPr>
            </w:pPr>
            <w:r>
              <w:rPr>
                <w:rFonts w:hint="eastAsia"/>
                <w:szCs w:val="18"/>
              </w:rPr>
              <w:t>常规地层、钻井液性能变化可控</w:t>
            </w:r>
          </w:p>
        </w:tc>
        <w:tc>
          <w:tcPr>
            <w:tcW w:w="5385" w:type="dxa"/>
            <w:vAlign w:val="center"/>
          </w:tcPr>
          <w:p w14:paraId="24E47E03">
            <w:pPr>
              <w:pStyle w:val="182"/>
              <w:rPr>
                <w:szCs w:val="18"/>
              </w:rPr>
            </w:pPr>
            <w:r>
              <w:rPr>
                <w:rFonts w:hint="eastAsia"/>
                <w:szCs w:val="18"/>
              </w:rPr>
              <w:t>15～30</w:t>
            </w:r>
          </w:p>
        </w:tc>
      </w:tr>
      <w:tr w14:paraId="3388BB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970" w:type="dxa"/>
            <w:vAlign w:val="center"/>
          </w:tcPr>
          <w:p w14:paraId="110DB968">
            <w:pPr>
              <w:pStyle w:val="182"/>
              <w:rPr>
                <w:szCs w:val="18"/>
              </w:rPr>
            </w:pPr>
            <w:r>
              <w:rPr>
                <w:rFonts w:hint="eastAsia"/>
                <w:szCs w:val="18"/>
              </w:rPr>
              <w:t>寻常待命状态</w:t>
            </w:r>
          </w:p>
        </w:tc>
        <w:tc>
          <w:tcPr>
            <w:tcW w:w="5385" w:type="dxa"/>
            <w:vAlign w:val="center"/>
          </w:tcPr>
          <w:p w14:paraId="568E7E1B">
            <w:pPr>
              <w:pStyle w:val="182"/>
              <w:rPr>
                <w:szCs w:val="18"/>
              </w:rPr>
            </w:pPr>
            <w:r>
              <w:rPr>
                <w:rFonts w:hint="eastAsia"/>
                <w:szCs w:val="18"/>
              </w:rPr>
              <w:t>60～120</w:t>
            </w:r>
          </w:p>
        </w:tc>
      </w:tr>
    </w:tbl>
    <w:p w14:paraId="4B7E10F5">
      <w:pPr>
        <w:pStyle w:val="60"/>
        <w:ind w:firstLine="420"/>
      </w:pPr>
    </w:p>
    <w:p w14:paraId="02492C96">
      <w:pPr>
        <w:pStyle w:val="60"/>
        <w:ind w:firstLine="420"/>
      </w:pPr>
      <w:r>
        <w:rPr>
          <w:rFonts w:hint="eastAsia"/>
        </w:rPr>
        <w:t>钻井液性能在线监测装置自动清洗的时间间隔可根据现场情况及被测钻井液的情况进行人为手动设定，推荐的间隔时间可参考表3进行设定。</w:t>
      </w:r>
    </w:p>
    <w:p w14:paraId="00B8D5F8">
      <w:pPr>
        <w:pStyle w:val="116"/>
        <w:spacing w:before="120" w:after="120"/>
      </w:pPr>
      <w:r>
        <w:rPr>
          <w:rFonts w:hint="eastAsia"/>
        </w:rPr>
        <w:t>钻井液测试装置自动清洗时间间隔推荐表</w:t>
      </w:r>
    </w:p>
    <w:tbl>
      <w:tblPr>
        <w:tblStyle w:val="29"/>
        <w:tblW w:w="93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093"/>
        <w:gridCol w:w="4262"/>
      </w:tblGrid>
      <w:tr w14:paraId="77D834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5093" w:type="dxa"/>
            <w:tcBorders>
              <w:top w:val="single" w:color="auto" w:sz="8" w:space="0"/>
              <w:bottom w:val="single" w:color="auto" w:sz="8" w:space="0"/>
            </w:tcBorders>
            <w:vAlign w:val="center"/>
          </w:tcPr>
          <w:p w14:paraId="4DF54C48">
            <w:pPr>
              <w:pStyle w:val="182"/>
              <w:rPr>
                <w:szCs w:val="18"/>
              </w:rPr>
            </w:pPr>
            <w:r>
              <w:rPr>
                <w:rFonts w:hint="eastAsia"/>
                <w:szCs w:val="18"/>
              </w:rPr>
              <w:t>工况</w:t>
            </w:r>
          </w:p>
        </w:tc>
        <w:tc>
          <w:tcPr>
            <w:tcW w:w="4262" w:type="dxa"/>
            <w:tcBorders>
              <w:top w:val="single" w:color="auto" w:sz="8" w:space="0"/>
              <w:bottom w:val="single" w:color="auto" w:sz="8" w:space="0"/>
            </w:tcBorders>
            <w:vAlign w:val="center"/>
          </w:tcPr>
          <w:p w14:paraId="567C410B">
            <w:pPr>
              <w:pStyle w:val="182"/>
              <w:rPr>
                <w:szCs w:val="18"/>
              </w:rPr>
            </w:pPr>
            <w:r>
              <w:rPr>
                <w:rFonts w:hint="eastAsia"/>
                <w:szCs w:val="18"/>
              </w:rPr>
              <w:t>推荐清洗间隔，h</w:t>
            </w:r>
          </w:p>
        </w:tc>
      </w:tr>
      <w:tr w14:paraId="764BDD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tcBorders>
              <w:top w:val="single" w:color="auto" w:sz="8" w:space="0"/>
            </w:tcBorders>
            <w:vAlign w:val="center"/>
          </w:tcPr>
          <w:p w14:paraId="3C74A5C6">
            <w:pPr>
              <w:pStyle w:val="182"/>
              <w:rPr>
                <w:szCs w:val="18"/>
              </w:rPr>
            </w:pPr>
            <w:r>
              <w:rPr>
                <w:rFonts w:hint="eastAsia"/>
                <w:szCs w:val="18"/>
              </w:rPr>
              <w:t>钻井液粘度较低、无污染</w:t>
            </w:r>
          </w:p>
        </w:tc>
        <w:tc>
          <w:tcPr>
            <w:tcW w:w="4262" w:type="dxa"/>
            <w:tcBorders>
              <w:top w:val="single" w:color="auto" w:sz="8" w:space="0"/>
            </w:tcBorders>
            <w:vAlign w:val="center"/>
          </w:tcPr>
          <w:p w14:paraId="62085FB0">
            <w:pPr>
              <w:pStyle w:val="182"/>
              <w:rPr>
                <w:szCs w:val="18"/>
              </w:rPr>
            </w:pPr>
            <w:r>
              <w:rPr>
                <w:rFonts w:hint="eastAsia"/>
                <w:szCs w:val="18"/>
              </w:rPr>
              <w:t>12</w:t>
            </w:r>
          </w:p>
        </w:tc>
      </w:tr>
      <w:tr w14:paraId="4AA64A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vAlign w:val="center"/>
          </w:tcPr>
          <w:p w14:paraId="576CD839">
            <w:pPr>
              <w:pStyle w:val="182"/>
              <w:rPr>
                <w:szCs w:val="18"/>
              </w:rPr>
            </w:pPr>
            <w:r>
              <w:rPr>
                <w:rFonts w:hint="eastAsia"/>
                <w:szCs w:val="18"/>
              </w:rPr>
              <w:t>钻井液粘度较高、无污染</w:t>
            </w:r>
          </w:p>
        </w:tc>
        <w:tc>
          <w:tcPr>
            <w:tcW w:w="4262" w:type="dxa"/>
            <w:vAlign w:val="center"/>
          </w:tcPr>
          <w:p w14:paraId="05AFF713">
            <w:pPr>
              <w:pStyle w:val="182"/>
              <w:rPr>
                <w:szCs w:val="18"/>
              </w:rPr>
            </w:pPr>
            <w:r>
              <w:rPr>
                <w:rFonts w:hint="eastAsia"/>
                <w:szCs w:val="18"/>
              </w:rPr>
              <w:t>6</w:t>
            </w:r>
          </w:p>
        </w:tc>
      </w:tr>
      <w:tr w14:paraId="288D81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vAlign w:val="center"/>
          </w:tcPr>
          <w:p w14:paraId="688E8017">
            <w:pPr>
              <w:pStyle w:val="182"/>
              <w:rPr>
                <w:szCs w:val="18"/>
              </w:rPr>
            </w:pPr>
            <w:r>
              <w:rPr>
                <w:rFonts w:hint="eastAsia"/>
                <w:szCs w:val="18"/>
              </w:rPr>
              <w:t>钻井液粘度较高，且聚合物、固相颗粒等其他成分含量较高</w:t>
            </w:r>
          </w:p>
        </w:tc>
        <w:tc>
          <w:tcPr>
            <w:tcW w:w="4262" w:type="dxa"/>
            <w:vAlign w:val="center"/>
          </w:tcPr>
          <w:p w14:paraId="3DD4D21D">
            <w:pPr>
              <w:pStyle w:val="182"/>
              <w:rPr>
                <w:szCs w:val="18"/>
              </w:rPr>
            </w:pPr>
            <w:r>
              <w:rPr>
                <w:rFonts w:hint="eastAsia"/>
                <w:szCs w:val="18"/>
              </w:rPr>
              <w:t>2</w:t>
            </w:r>
          </w:p>
        </w:tc>
      </w:tr>
      <w:bookmarkEnd w:id="72"/>
      <w:bookmarkEnd w:id="73"/>
      <w:bookmarkEnd w:id="74"/>
      <w:bookmarkEnd w:id="75"/>
      <w:bookmarkEnd w:id="76"/>
    </w:tbl>
    <w:p w14:paraId="21546C86">
      <w:pPr>
        <w:pStyle w:val="109"/>
        <w:spacing w:before="120" w:after="120"/>
        <w:rPr>
          <w:b/>
          <w:shd w:val="clear" w:color="auto" w:fill="FFFF00"/>
        </w:rPr>
      </w:pPr>
      <w:bookmarkStart w:id="77" w:name="_Toc133940613"/>
      <w:bookmarkStart w:id="78" w:name="_Toc133940659"/>
      <w:bookmarkStart w:id="79" w:name="_Toc131629328"/>
      <w:r>
        <w:rPr>
          <w:rFonts w:hint="eastAsia"/>
        </w:rPr>
        <w:t>可溶性离子</w:t>
      </w:r>
      <w:bookmarkEnd w:id="77"/>
      <w:bookmarkEnd w:id="78"/>
    </w:p>
    <w:bookmarkEnd w:id="79"/>
    <w:p w14:paraId="7006F737">
      <w:pPr>
        <w:pStyle w:val="69"/>
        <w:spacing w:before="120" w:after="120"/>
        <w:rPr>
          <w:b/>
        </w:rPr>
      </w:pPr>
      <w:bookmarkStart w:id="80" w:name="_Toc131629336"/>
      <w:bookmarkStart w:id="81" w:name="_Toc133940661"/>
      <w:bookmarkStart w:id="82" w:name="_Toc133940623"/>
      <w:bookmarkStart w:id="83" w:name="_Toc133693512"/>
      <w:bookmarkStart w:id="84" w:name="_Toc133697517"/>
      <w:r>
        <w:rPr>
          <w:rFonts w:hint="eastAsia"/>
        </w:rPr>
        <w:t>测试要求</w:t>
      </w:r>
    </w:p>
    <w:p w14:paraId="5646DD29">
      <w:pPr>
        <w:pStyle w:val="60"/>
        <w:ind w:firstLine="420"/>
      </w:pPr>
      <w:r>
        <w:rPr>
          <w:rFonts w:hint="eastAsia"/>
        </w:rPr>
        <w:t>测量参数符合GB/T 16783.1的要求，可测量钻井液的氯离子、钾离子、硫离子等参数。</w:t>
      </w:r>
    </w:p>
    <w:p w14:paraId="779F4230">
      <w:pPr>
        <w:pStyle w:val="60"/>
        <w:ind w:firstLine="420"/>
      </w:pPr>
      <w:r>
        <w:rPr>
          <w:rFonts w:hint="eastAsia"/>
        </w:rPr>
        <w:t>离子选择电极测量单元现场测试、安装、调试及运行应符合SY/T 5377、SY/T 6202及SY/T 6276的相关要求。</w:t>
      </w:r>
    </w:p>
    <w:p w14:paraId="33BB128A">
      <w:pPr>
        <w:pStyle w:val="60"/>
        <w:ind w:firstLine="420"/>
      </w:pPr>
      <w:r>
        <w:rPr>
          <w:rFonts w:hint="eastAsia"/>
        </w:rPr>
        <w:t>离子选择电极在线监测单元需定期检验及保养。</w:t>
      </w:r>
    </w:p>
    <w:p w14:paraId="2AC30F93">
      <w:pPr>
        <w:pStyle w:val="69"/>
        <w:spacing w:before="120" w:after="120"/>
        <w:rPr>
          <w:b/>
        </w:rPr>
      </w:pPr>
      <w:r>
        <w:rPr>
          <w:rFonts w:hint="eastAsia"/>
        </w:rPr>
        <w:t>测试程序</w:t>
      </w:r>
    </w:p>
    <w:p w14:paraId="18395345">
      <w:pPr>
        <w:pStyle w:val="60"/>
        <w:ind w:firstLine="420"/>
      </w:pPr>
      <w:r>
        <w:rPr>
          <w:rFonts w:hint="eastAsia"/>
        </w:rPr>
        <w:t>启动设备电源，上电自检正常，待装置电源指示灯、防爆工控机等各部件正常显示后，在工控机上打开钻井液性能在线测试软件。</w:t>
      </w:r>
    </w:p>
    <w:p w14:paraId="6A3C41E0">
      <w:pPr>
        <w:pStyle w:val="60"/>
        <w:ind w:firstLine="420"/>
      </w:pPr>
      <w:r>
        <w:rPr>
          <w:rFonts w:hint="eastAsia"/>
        </w:rPr>
        <w:t>在测试软件的登录界面中输入账号、密码，并输入井号后，进入钻井液性能在线检测及控制界面。在控制界面中设定钻井液精确稀释倍数及测量间隔时间后，点击自动测量，开始钻井液离子浓度参数的全自动测量。</w:t>
      </w:r>
    </w:p>
    <w:p w14:paraId="45563E2D">
      <w:pPr>
        <w:pStyle w:val="60"/>
        <w:ind w:firstLine="420"/>
      </w:pPr>
      <w:r>
        <w:rPr>
          <w:rFonts w:hint="eastAsia"/>
        </w:rPr>
        <w:t>防爆工控机自动控制对应的气动球阀、气动搅拌器、计量泵，实现钻井液的定量注入、清水定量注入、搅拌稀释、液体排除等操作。通过模拟量采集卡实时采集浓度离子解调仪输入清水背景氯离子、硫离子、钾离子浓度参数及定量稀释后的钻井液的浓度参数。</w:t>
      </w:r>
    </w:p>
    <w:p w14:paraId="189C1785">
      <w:pPr>
        <w:pStyle w:val="60"/>
        <w:ind w:firstLine="420"/>
        <w:rPr>
          <w:b/>
        </w:rPr>
      </w:pPr>
      <w:r>
        <w:rPr>
          <w:rFonts w:hint="eastAsia"/>
        </w:rPr>
        <w:t>防爆工控机实时显示所测量的钻井液氯离子、硫离子和钾离子浓度参数，测量完毕后自动进入到排液与清水冲洗流程，并进行后续的连续测量。</w:t>
      </w:r>
    </w:p>
    <w:p w14:paraId="373F149F">
      <w:pPr>
        <w:pStyle w:val="69"/>
        <w:spacing w:before="120" w:after="120"/>
        <w:rPr>
          <w:b/>
        </w:rPr>
      </w:pPr>
      <w:r>
        <w:rPr>
          <w:rFonts w:hint="eastAsia"/>
        </w:rPr>
        <w:t>样品测定</w:t>
      </w:r>
    </w:p>
    <w:p w14:paraId="3854FD23">
      <w:pPr>
        <w:pStyle w:val="60"/>
        <w:ind w:firstLine="420"/>
      </w:pPr>
      <w:r>
        <w:rPr>
          <w:rFonts w:hint="eastAsia"/>
        </w:rPr>
        <w:t>钻井液离子选择电极在线监测单元的稀释倍数需要根据离子选择电极的量程及钻井液实际离子浓度合理设置稀释比例，使得稀释后的离子浓度保持在离子选择电极最佳的测量区间，从而保证离子浓度测量的精度。</w:t>
      </w:r>
    </w:p>
    <w:p w14:paraId="2F8008F9">
      <w:pPr>
        <w:pStyle w:val="60"/>
        <w:ind w:firstLine="420"/>
      </w:pPr>
      <w:r>
        <w:rPr>
          <w:rFonts w:hint="eastAsia"/>
        </w:rPr>
        <w:t>钻井液离子选择电极在线监测单元测量间隔时间可根据现场情况进行人为手动设定，推荐的间隔时间可参考表4进行设定。</w:t>
      </w:r>
    </w:p>
    <w:p w14:paraId="5DE50974">
      <w:pPr>
        <w:pStyle w:val="116"/>
        <w:spacing w:before="120" w:after="120"/>
      </w:pPr>
      <w:r>
        <w:rPr>
          <w:rFonts w:hint="eastAsia"/>
        </w:rPr>
        <w:t>钻井液离子选择电极在线监测单元测量间隔时间推荐表</w:t>
      </w:r>
    </w:p>
    <w:tbl>
      <w:tblPr>
        <w:tblStyle w:val="29"/>
        <w:tblW w:w="93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093"/>
        <w:gridCol w:w="4262"/>
      </w:tblGrid>
      <w:tr w14:paraId="4168FF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5093" w:type="dxa"/>
            <w:tcBorders>
              <w:top w:val="single" w:color="auto" w:sz="8" w:space="0"/>
              <w:bottom w:val="single" w:color="auto" w:sz="8" w:space="0"/>
            </w:tcBorders>
            <w:vAlign w:val="center"/>
          </w:tcPr>
          <w:p w14:paraId="36A88E8B">
            <w:pPr>
              <w:pStyle w:val="182"/>
              <w:rPr>
                <w:szCs w:val="18"/>
              </w:rPr>
            </w:pPr>
            <w:r>
              <w:rPr>
                <w:rFonts w:hint="eastAsia"/>
                <w:szCs w:val="18"/>
              </w:rPr>
              <w:t>工况</w:t>
            </w:r>
          </w:p>
        </w:tc>
        <w:tc>
          <w:tcPr>
            <w:tcW w:w="4262" w:type="dxa"/>
            <w:tcBorders>
              <w:top w:val="single" w:color="auto" w:sz="8" w:space="0"/>
              <w:bottom w:val="single" w:color="auto" w:sz="8" w:space="0"/>
            </w:tcBorders>
            <w:vAlign w:val="center"/>
          </w:tcPr>
          <w:p w14:paraId="7B713772">
            <w:pPr>
              <w:pStyle w:val="182"/>
              <w:rPr>
                <w:szCs w:val="18"/>
              </w:rPr>
            </w:pPr>
            <w:r>
              <w:rPr>
                <w:rFonts w:hint="eastAsia"/>
                <w:szCs w:val="18"/>
              </w:rPr>
              <w:t>推荐清洗间隔，h</w:t>
            </w:r>
          </w:p>
        </w:tc>
      </w:tr>
      <w:tr w14:paraId="2887D3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tcBorders>
              <w:top w:val="single" w:color="auto" w:sz="8" w:space="0"/>
            </w:tcBorders>
            <w:vAlign w:val="center"/>
          </w:tcPr>
          <w:p w14:paraId="74118D5A">
            <w:pPr>
              <w:pStyle w:val="182"/>
              <w:rPr>
                <w:szCs w:val="18"/>
              </w:rPr>
            </w:pPr>
            <w:r>
              <w:rPr>
                <w:rFonts w:hint="eastAsia"/>
                <w:szCs w:val="18"/>
              </w:rPr>
              <w:t>地层出水风险高、离子浓度变化大</w:t>
            </w:r>
          </w:p>
        </w:tc>
        <w:tc>
          <w:tcPr>
            <w:tcW w:w="4262" w:type="dxa"/>
            <w:tcBorders>
              <w:top w:val="single" w:color="auto" w:sz="8" w:space="0"/>
            </w:tcBorders>
            <w:vAlign w:val="center"/>
          </w:tcPr>
          <w:p w14:paraId="60689E25">
            <w:pPr>
              <w:pStyle w:val="182"/>
              <w:rPr>
                <w:szCs w:val="18"/>
              </w:rPr>
            </w:pPr>
            <w:r>
              <w:rPr>
                <w:rFonts w:hint="eastAsia"/>
                <w:szCs w:val="18"/>
              </w:rPr>
              <w:t>5</w:t>
            </w:r>
          </w:p>
        </w:tc>
      </w:tr>
      <w:tr w14:paraId="082E4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vAlign w:val="center"/>
          </w:tcPr>
          <w:p w14:paraId="7DC4CCDC">
            <w:pPr>
              <w:pStyle w:val="182"/>
              <w:rPr>
                <w:szCs w:val="18"/>
              </w:rPr>
            </w:pPr>
            <w:r>
              <w:rPr>
                <w:rFonts w:hint="eastAsia"/>
                <w:szCs w:val="18"/>
              </w:rPr>
              <w:t>地层出水风险低，有一定概率离子浓度变化</w:t>
            </w:r>
          </w:p>
        </w:tc>
        <w:tc>
          <w:tcPr>
            <w:tcW w:w="4262" w:type="dxa"/>
            <w:vAlign w:val="center"/>
          </w:tcPr>
          <w:p w14:paraId="01F3FC9A">
            <w:pPr>
              <w:pStyle w:val="182"/>
              <w:rPr>
                <w:szCs w:val="18"/>
              </w:rPr>
            </w:pPr>
            <w:r>
              <w:rPr>
                <w:rFonts w:hint="eastAsia"/>
                <w:szCs w:val="18"/>
              </w:rPr>
              <w:t>30</w:t>
            </w:r>
          </w:p>
        </w:tc>
      </w:tr>
      <w:tr w14:paraId="6627DF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vAlign w:val="center"/>
          </w:tcPr>
          <w:p w14:paraId="72D8F833">
            <w:pPr>
              <w:pStyle w:val="182"/>
              <w:rPr>
                <w:szCs w:val="18"/>
              </w:rPr>
            </w:pPr>
            <w:r>
              <w:rPr>
                <w:rFonts w:hint="eastAsia"/>
                <w:szCs w:val="18"/>
              </w:rPr>
              <w:t>常规监测</w:t>
            </w:r>
          </w:p>
        </w:tc>
        <w:tc>
          <w:tcPr>
            <w:tcW w:w="4262" w:type="dxa"/>
            <w:vAlign w:val="center"/>
          </w:tcPr>
          <w:p w14:paraId="08B6C172">
            <w:pPr>
              <w:pStyle w:val="182"/>
              <w:rPr>
                <w:szCs w:val="18"/>
              </w:rPr>
            </w:pPr>
            <w:r>
              <w:rPr>
                <w:rFonts w:hint="eastAsia"/>
                <w:szCs w:val="18"/>
              </w:rPr>
              <w:t>60</w:t>
            </w:r>
          </w:p>
        </w:tc>
      </w:tr>
    </w:tbl>
    <w:p w14:paraId="26FC75CE">
      <w:pPr>
        <w:pStyle w:val="108"/>
        <w:spacing w:before="240" w:after="240"/>
      </w:pPr>
      <w:r>
        <w:rPr>
          <w:rFonts w:hint="eastAsia"/>
        </w:rPr>
        <w:t>测试数据处理</w:t>
      </w:r>
      <w:bookmarkEnd w:id="80"/>
      <w:bookmarkEnd w:id="81"/>
      <w:bookmarkEnd w:id="82"/>
      <w:bookmarkEnd w:id="83"/>
      <w:bookmarkEnd w:id="84"/>
    </w:p>
    <w:p w14:paraId="4E6406AF">
      <w:pPr>
        <w:pStyle w:val="109"/>
        <w:spacing w:before="120" w:after="120"/>
        <w:rPr>
          <w:b/>
          <w:shd w:val="clear" w:color="auto" w:fill="FFFF00"/>
        </w:rPr>
      </w:pPr>
      <w:r>
        <w:rPr>
          <w:rFonts w:hint="eastAsia"/>
        </w:rPr>
        <w:t>压差测量值的计算</w:t>
      </w:r>
    </w:p>
    <w:p w14:paraId="3E4017A8">
      <w:pPr>
        <w:pStyle w:val="60"/>
        <w:ind w:firstLine="420"/>
        <w:rPr>
          <w:rFonts w:hint="eastAsia" w:hAnsi="宋体"/>
        </w:rPr>
      </w:pPr>
      <w:r>
        <w:rPr>
          <w:rFonts w:hint="eastAsia" w:hAnsi="宋体"/>
        </w:rPr>
        <w:t>由于压差传感器输出的信号为4 mA～20 mA电流信号，需要将电流信号转化为对应的压差值（</w:t>
      </w:r>
      <w:r>
        <w:rPr>
          <w:rFonts w:hint="eastAsia" w:hAnsi="宋体"/>
          <w:i/>
          <w:iCs/>
        </w:rPr>
        <w:t>P</w:t>
      </w:r>
      <w:r>
        <w:rPr>
          <w:rFonts w:hint="eastAsia" w:hAnsi="宋体"/>
          <w:i/>
          <w:iCs/>
          <w:vertAlign w:val="subscript"/>
        </w:rPr>
        <w:t>con</w:t>
      </w:r>
      <w:r>
        <w:rPr>
          <w:rFonts w:hint="eastAsia" w:hAnsi="宋体"/>
        </w:rPr>
        <w:t>），见公式（1）：</w:t>
      </w:r>
    </w:p>
    <w:p w14:paraId="2964BA47">
      <w:pPr>
        <w:pStyle w:val="60"/>
        <w:ind w:firstLine="420"/>
        <w:rPr>
          <w:rFonts w:hint="eastAsia" w:hAnsi="宋体"/>
        </w:rPr>
      </w:pPr>
    </w:p>
    <w:p w14:paraId="184B0F2F">
      <w:pPr>
        <w:snapToGrid w:val="0"/>
        <w:spacing w:line="300" w:lineRule="auto"/>
        <w:ind w:left="357"/>
        <w:jc w:val="right"/>
        <w:rPr>
          <w:rFonts w:eastAsia="汉仪书宋二简"/>
          <w:spacing w:val="3"/>
        </w:rPr>
      </w:pPr>
      <m:oMath>
        <m:sSub>
          <m:sSubPr>
            <m:ctrlPr>
              <w:rPr>
                <w:rFonts w:ascii="Cambria Math" w:hAnsi="Cambria Math"/>
                <w:i/>
              </w:rPr>
            </m:ctrlPr>
          </m:sSubPr>
          <m:e>
            <m:r>
              <m:rPr/>
              <w:rPr>
                <w:rFonts w:ascii="Cambria Math" w:hAnsi="Cambria Math"/>
              </w:rPr>
              <m:t>P</m:t>
            </m:r>
            <m:ctrlPr>
              <w:rPr>
                <w:rFonts w:ascii="Cambria Math" w:hAnsi="Cambria Math"/>
                <w:i/>
              </w:rPr>
            </m:ctrlPr>
          </m:e>
          <m:sub>
            <m:r>
              <m:rPr/>
              <w:rPr>
                <w:rFonts w:hint="eastAsia" w:ascii="Cambria Math" w:hAnsi="Cambria Math"/>
              </w:rPr>
              <m:t>con</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hAnsi="Cambria Math"/>
                  </w:rPr>
                  <m:t>P</m:t>
                </m:r>
                <m:ctrlPr>
                  <w:rPr>
                    <w:rFonts w:ascii="Cambria Math" w:hAnsi="Cambria Math"/>
                    <w:i/>
                  </w:rPr>
                </m:ctrlPr>
              </m:e>
              <m:sub>
                <m:r>
                  <m:rPr/>
                  <w:rPr>
                    <w:rFonts w:hAnsi="Cambria Math"/>
                  </w:rPr>
                  <m:t>max</m:t>
                </m:r>
                <m:ctrlPr>
                  <w:rPr>
                    <w:rFonts w:ascii="Cambria Math" w:hAnsi="Cambria Math"/>
                    <w:i/>
                  </w:rPr>
                </m:ctrlPr>
              </m:sub>
            </m:sSub>
            <m:ctrlPr>
              <w:rPr>
                <w:rFonts w:ascii="Cambria Math" w:hAnsi="Cambria Math"/>
                <w:i/>
              </w:rPr>
            </m:ctrlPr>
          </m:num>
          <m:den>
            <m:r>
              <m:rPr/>
              <w:rPr>
                <w:rFonts w:ascii="Cambria Math" w:hAnsi="Cambria Math"/>
              </w:rPr>
              <m:t>20−4</m:t>
            </m:r>
            <m:ctrlPr>
              <w:rPr>
                <w:rFonts w:ascii="Cambria Math" w:hAnsi="Cambria Math"/>
                <w:i/>
              </w:rPr>
            </m:ctrlPr>
          </m:den>
        </m:f>
        <m:r>
          <m:rPr/>
          <w:rPr>
            <w:rFonts w:ascii="Cambria Math" w:hAnsi="Cambria Math" w:eastAsia="汉仪书宋二简"/>
          </w:rPr>
          <m:t>×</m:t>
        </m:r>
        <m:sSub>
          <m:sSubPr>
            <m:ctrlPr>
              <w:rPr>
                <w:rFonts w:ascii="Cambria Math" w:hAnsi="Cambria Math"/>
              </w:rPr>
            </m:ctrlPr>
          </m:sSubPr>
          <m:e>
            <m:r>
              <m:rPr>
                <m:sty m:val="p"/>
              </m:rPr>
              <w:rPr>
                <w:rFonts w:ascii="Cambria Math" w:hAnsi="Cambria Math"/>
              </w:rPr>
              <m:t>I</m:t>
            </m:r>
            <m:ctrlPr>
              <w:rPr>
                <w:rFonts w:ascii="Cambria Math" w:hAnsi="Cambria Math"/>
              </w:rPr>
            </m:ctrlPr>
          </m:e>
          <m:sub>
            <m:r>
              <m:rPr>
                <m:sty m:val="p"/>
              </m:rPr>
              <w:rPr>
                <w:rFonts w:ascii="Cambria Math" w:hAnsi="Cambria Math"/>
              </w:rPr>
              <m:t>P</m:t>
            </m:r>
            <m:ctrlPr>
              <w:rPr>
                <w:rFonts w:ascii="Cambria Math" w:hAnsi="Cambria Math"/>
              </w:rPr>
            </m:ctrlPr>
          </m:sub>
        </m:sSub>
      </m:oMath>
      <w:r>
        <w:rPr>
          <w:rFonts w:eastAsia="汉仪书宋二简"/>
          <w:spacing w:val="3"/>
        </w:rPr>
        <w:t>……………………………………………………………………(1)</w:t>
      </w:r>
    </w:p>
    <w:p w14:paraId="12924C4D">
      <w:pPr>
        <w:pStyle w:val="59"/>
        <w:ind w:firstLine="420"/>
      </w:pPr>
      <w:r>
        <w:rPr>
          <w:rFonts w:hint="eastAsia"/>
        </w:rPr>
        <w:t>式中：</w:t>
      </w:r>
    </w:p>
    <w:p w14:paraId="1185F1BA">
      <w:pPr>
        <w:pStyle w:val="252"/>
      </w:pPr>
      <m:oMath>
        <m:sSub>
          <m:sSubPr/>
          <m:e>
            <m:r>
              <m:rPr/>
              <m:t>P</m:t>
            </m:r>
          </m:e>
          <m:sub>
            <m:r>
              <m:rPr/>
              <m:t>max</m:t>
            </m:r>
          </m:sub>
        </m:sSub>
      </m:oMath>
      <w:r>
        <w:t>——</w:t>
      </w:r>
      <w:r>
        <w:rPr>
          <w:rFonts w:hint="eastAsia"/>
        </w:rPr>
        <w:t>解调仪内部设置的电导率测量的量程，单位为千帕（kPa）；</w:t>
      </w:r>
    </w:p>
    <w:p w14:paraId="79FED08B">
      <w:pPr>
        <w:pStyle w:val="252"/>
      </w:pPr>
      <m:oMath>
        <m:sSub>
          <m:sSubPr/>
          <m:e>
            <m:r>
              <m:rPr/>
              <m:t>I</m:t>
            </m:r>
          </m:e>
          <m:sub>
            <m:r>
              <m:rPr/>
              <m:t>P</m:t>
            </m:r>
          </m:sub>
        </m:sSub>
      </m:oMath>
      <w:r>
        <w:t>——</w:t>
      </w:r>
      <w:r>
        <w:rPr>
          <w:rFonts w:hint="eastAsia"/>
        </w:rPr>
        <w:t>工控机采集到的压差传感器输出的实际电流值，单位为毫安（mA）。</w:t>
      </w:r>
    </w:p>
    <w:p w14:paraId="77CDD21D">
      <w:pPr>
        <w:pStyle w:val="109"/>
        <w:spacing w:before="120" w:after="120"/>
        <w:rPr>
          <w:b/>
          <w:shd w:val="clear" w:color="auto" w:fill="FFFF00"/>
        </w:rPr>
      </w:pPr>
      <w:r>
        <w:rPr>
          <w:rFonts w:hint="eastAsia"/>
        </w:rPr>
        <w:t>表观粘度、塑性粘度、动切力、漏斗粘度参数的计算</w:t>
      </w:r>
    </w:p>
    <w:p w14:paraId="2E029301">
      <w:pPr>
        <w:pStyle w:val="60"/>
        <w:ind w:firstLine="420"/>
        <w:rPr>
          <w:rFonts w:hint="eastAsia" w:hAnsi="宋体"/>
        </w:rPr>
      </w:pPr>
      <w:r>
        <w:rPr>
          <w:rFonts w:hint="eastAsia" w:hAnsi="宋体"/>
        </w:rPr>
        <w:t>由压差传感器测得的测量管两端压差可得到管道壁面的剪切应力，见公式（2）：</w:t>
      </w:r>
    </w:p>
    <w:p w14:paraId="33CE5991">
      <w:pPr>
        <w:pStyle w:val="60"/>
        <w:ind w:firstLine="420"/>
        <w:rPr>
          <w:rFonts w:hint="eastAsia" w:hAnsi="宋体"/>
        </w:rPr>
      </w:pPr>
    </w:p>
    <w:p w14:paraId="0E4EDF1A">
      <w:pPr>
        <w:snapToGrid w:val="0"/>
        <w:spacing w:line="300" w:lineRule="auto"/>
        <w:ind w:left="357"/>
        <w:jc w:val="right"/>
        <w:rPr>
          <w:rFonts w:eastAsia="汉仪书宋二简"/>
          <w:spacing w:val="3"/>
        </w:rPr>
      </w:pPr>
      <m:oMath>
        <m:sSub>
          <m:sSubPr>
            <m:ctrlPr>
              <w:rPr>
                <w:rFonts w:ascii="Cambria Math" w:hAnsi="Cambria Math"/>
                <w:i/>
              </w:rPr>
            </m:ctrlPr>
          </m:sSubPr>
          <m:e>
            <m:r>
              <m:rPr/>
              <w:rPr>
                <w:rFonts w:ascii="Cambria Math" w:hAnsi="Cambria Math"/>
              </w:rPr>
              <m:t>τ</m:t>
            </m:r>
            <m:ctrlPr>
              <w:rPr>
                <w:rFonts w:ascii="Cambria Math" w:hAnsi="Cambria Math"/>
                <w:i/>
              </w:rPr>
            </m:ctrlPr>
          </m:e>
          <m:sub>
            <m:r>
              <m:rPr/>
              <w:rPr>
                <w:rFonts w:hint="eastAsia" w:ascii="Cambria Math" w:hAnsi="Cambria Math"/>
              </w:rPr>
              <m:t>w</m:t>
            </m:r>
            <m:ctrlPr>
              <w:rPr>
                <w:rFonts w:ascii="Cambria Math" w:hAnsi="Cambria Math"/>
                <w:i/>
              </w:rPr>
            </m:ctrlPr>
          </m:sub>
        </m:sSub>
        <m:r>
          <m:rPr/>
          <w:rPr>
            <w:rFonts w:ascii="Cambria Math" w:hAnsi="Cambria Math"/>
          </w:rPr>
          <m:t>=</m:t>
        </m:r>
        <m:f>
          <m:fPr>
            <m:ctrlPr>
              <w:rPr>
                <w:rFonts w:ascii="Cambria Math" w:hAnsi="Cambria Math"/>
                <w:i/>
              </w:rPr>
            </m:ctrlPr>
          </m:fPr>
          <m:num>
            <m:r>
              <m:rPr/>
              <w:rPr>
                <w:rFonts w:ascii="Cambria Math" w:hAnsi="Cambria Math"/>
              </w:rPr>
              <m:t>D×∆</m:t>
            </m:r>
            <m:r>
              <m:rPr/>
              <w:rPr>
                <w:rFonts w:hint="eastAsia" w:ascii="Cambria Math" w:hAnsi="Cambria Math"/>
              </w:rPr>
              <m:t>p</m:t>
            </m:r>
            <m:ctrlPr>
              <w:rPr>
                <w:rFonts w:ascii="Cambria Math" w:hAnsi="Cambria Math"/>
                <w:i/>
              </w:rPr>
            </m:ctrlPr>
          </m:num>
          <m:den>
            <m:r>
              <m:rPr/>
              <w:rPr>
                <w:rFonts w:ascii="Cambria Math" w:hAnsi="Cambria Math"/>
              </w:rPr>
              <m:t>4×L</m:t>
            </m:r>
            <m:ctrlPr>
              <w:rPr>
                <w:rFonts w:ascii="Cambria Math" w:hAnsi="Cambria Math"/>
                <w:i/>
              </w:rPr>
            </m:ctrlPr>
          </m:den>
        </m:f>
      </m:oMath>
      <w:r>
        <w:rPr>
          <w:rFonts w:eastAsia="汉仪书宋二简"/>
          <w:spacing w:val="3"/>
        </w:rPr>
        <w:t>……………………………………………………………………(</w:t>
      </w:r>
      <w:r>
        <w:rPr>
          <w:rFonts w:hint="eastAsia" w:eastAsia="汉仪书宋二简"/>
          <w:spacing w:val="3"/>
        </w:rPr>
        <w:t>2</w:t>
      </w:r>
      <w:r>
        <w:rPr>
          <w:rFonts w:eastAsia="汉仪书宋二简"/>
          <w:spacing w:val="3"/>
        </w:rPr>
        <w:t>)</w:t>
      </w:r>
    </w:p>
    <w:p w14:paraId="02D1B09B">
      <w:pPr>
        <w:pStyle w:val="59"/>
        <w:ind w:firstLine="420"/>
      </w:pPr>
      <w:r>
        <w:rPr>
          <w:rFonts w:hint="eastAsia"/>
        </w:rPr>
        <w:t>式中：</w:t>
      </w:r>
    </w:p>
    <w:p w14:paraId="4170DAB6">
      <w:pPr>
        <w:pStyle w:val="252"/>
      </w:pPr>
      <m:oMath>
        <m:sSub>
          <m:sSubPr/>
          <m:e>
            <m:r>
              <m:rPr/>
              <m:t>τ</m:t>
            </m:r>
          </m:e>
          <m:sub>
            <m:r>
              <m:rPr/>
              <w:rPr>
                <w:rFonts w:hint="eastAsia"/>
              </w:rPr>
              <m:t>w</m:t>
            </m:r>
          </m:sub>
        </m:sSub>
      </m:oMath>
      <w:r>
        <w:t>——</w:t>
      </w:r>
      <w:r>
        <w:rPr>
          <w:rFonts w:hint="eastAsia"/>
        </w:rPr>
        <w:t>管壁处的剪切应力，单位为帕</w:t>
      </w:r>
      <w:r>
        <w:rPr>
          <w:rFonts w:hint="eastAsia" w:hAnsi="宋体"/>
        </w:rPr>
        <w:t>（Pa）</w:t>
      </w:r>
      <w:r>
        <w:rPr>
          <w:rFonts w:hint="eastAsia"/>
        </w:rPr>
        <w:t>；</w:t>
      </w:r>
    </w:p>
    <w:p w14:paraId="7788B82F">
      <w:pPr>
        <w:pStyle w:val="252"/>
      </w:pPr>
      <w:r>
        <w:rPr>
          <w:rFonts w:hint="eastAsia"/>
        </w:rPr>
        <w:t>D——测量管的内径，单位为米（m）；</w:t>
      </w:r>
    </w:p>
    <w:p w14:paraId="21835F00">
      <w:pPr>
        <w:pStyle w:val="252"/>
      </w:pPr>
      <m:oMath>
        <m:r>
          <m:rPr>
            <m:sty m:val="p"/>
          </m:rPr>
          <m:t>∆</m:t>
        </m:r>
        <m:r>
          <m:rPr/>
          <w:rPr>
            <w:rFonts w:hint="eastAsia"/>
          </w:rPr>
          <m:t>p</m:t>
        </m:r>
      </m:oMath>
      <w:r>
        <w:t>——</w:t>
      </w:r>
      <w:r>
        <w:rPr>
          <w:rFonts w:hint="eastAsia"/>
        </w:rPr>
        <w:t>测量管测量段的压差，单位为帕（Pa）。</w:t>
      </w:r>
    </w:p>
    <w:p w14:paraId="4B63DED5">
      <w:pPr>
        <w:pStyle w:val="252"/>
      </w:pPr>
      <w:r>
        <w:rPr>
          <w:rFonts w:hint="eastAsia"/>
        </w:rPr>
        <w:t>L——测量管测量段的长度，单位为米（m）。</w:t>
      </w:r>
    </w:p>
    <w:p w14:paraId="3D7DE810">
      <w:pPr>
        <w:pStyle w:val="252"/>
      </w:pPr>
      <w:r>
        <w:rPr>
          <w:rFonts w:hint="eastAsia"/>
        </w:rPr>
        <w:t>对于管道，管壁处的剪切速率见公式（3）：</w:t>
      </w:r>
    </w:p>
    <w:p w14:paraId="24F76773">
      <w:pPr>
        <w:snapToGrid w:val="0"/>
        <w:spacing w:line="300" w:lineRule="auto"/>
        <w:ind w:left="357"/>
        <w:jc w:val="right"/>
        <w:rPr>
          <w:rFonts w:eastAsia="汉仪书宋二简"/>
          <w:spacing w:val="3"/>
        </w:rPr>
      </w:pPr>
      <m:oMath>
        <m:sSub>
          <m:sSubPr>
            <m:ctrlPr>
              <w:rPr>
                <w:rFonts w:ascii="Cambria Math" w:hAnsi="Cambria Math"/>
                <w:i/>
              </w:rPr>
            </m:ctrlPr>
          </m:sSubPr>
          <m:e>
            <m:r>
              <m:rPr/>
              <w:rPr>
                <w:rFonts w:ascii="Cambria Math" w:hAnsi="Cambria Math"/>
              </w:rPr>
              <m:t>γ</m:t>
            </m:r>
            <m:ctrlPr>
              <w:rPr>
                <w:rFonts w:ascii="Cambria Math" w:hAnsi="Cambria Math"/>
                <w:i/>
              </w:rPr>
            </m:ctrlPr>
          </m:e>
          <m:sub>
            <m:r>
              <m:rPr/>
              <w:rPr>
                <w:rFonts w:hint="eastAsia" w:ascii="Cambria Math" w:hAnsi="Cambria Math"/>
              </w:rPr>
              <m:t>w</m:t>
            </m:r>
            <m:ctrlPr>
              <w:rPr>
                <w:rFonts w:ascii="Cambria Math" w:hAnsi="Cambria Math"/>
                <w:i/>
              </w:rPr>
            </m:ctrlPr>
          </m:sub>
        </m:sSub>
        <m:r>
          <m:rPr/>
          <w:rPr>
            <w:rFonts w:ascii="Cambria Math" w:hAnsi="Cambria Math"/>
          </w:rPr>
          <m:t>=</m:t>
        </m:r>
        <m:f>
          <m:fPr>
            <m:ctrlPr>
              <w:rPr>
                <w:rFonts w:ascii="Cambria Math" w:hAnsi="Cambria Math"/>
                <w:i/>
              </w:rPr>
            </m:ctrlPr>
          </m:fPr>
          <m:num>
            <m:r>
              <m:rPr/>
              <w:rPr>
                <w:rFonts w:ascii="Cambria Math" w:hAnsi="Cambria Math"/>
              </w:rPr>
              <m:t>1</m:t>
            </m:r>
            <m:ctrlPr>
              <w:rPr>
                <w:rFonts w:ascii="Cambria Math" w:hAnsi="Cambria Math"/>
                <w:i/>
              </w:rPr>
            </m:ctrlPr>
          </m:num>
          <m:den>
            <m:r>
              <m:rPr/>
              <w:rPr>
                <w:rFonts w:ascii="Cambria Math" w:hAnsi="Cambria Math"/>
              </w:rPr>
              <m:t>4</m:t>
            </m:r>
            <m:ctrlPr>
              <w:rPr>
                <w:rFonts w:ascii="Cambria Math" w:hAnsi="Cambria Math"/>
                <w:i/>
              </w:rPr>
            </m:ctrlPr>
          </m:den>
        </m:f>
        <m:r>
          <m:rPr/>
          <w:rPr>
            <w:rFonts w:ascii="Cambria Math" w:hAnsi="Cambria Math"/>
          </w:rPr>
          <m:t>×</m:t>
        </m:r>
        <m:d>
          <m:dPr>
            <m:begChr m:val="["/>
            <m:endChr m:val="]"/>
            <m:ctrlPr>
              <w:rPr>
                <w:rFonts w:ascii="Cambria Math" w:hAnsi="Cambria Math"/>
                <w:i/>
              </w:rPr>
            </m:ctrlPr>
          </m:dPr>
          <m:e>
            <m:r>
              <m:rPr/>
              <w:rPr>
                <w:rFonts w:ascii="Cambria Math" w:hAnsi="Cambria Math"/>
              </w:rPr>
              <m:t>3+</m:t>
            </m:r>
            <m:f>
              <m:fPr>
                <m:ctrlPr>
                  <w:rPr>
                    <w:rFonts w:ascii="Cambria Math" w:hAnsi="Cambria Math" w:eastAsia="汉仪书宋二简"/>
                    <w:i/>
                  </w:rPr>
                </m:ctrlPr>
              </m:fPr>
              <m:num>
                <m:r>
                  <m:rPr/>
                  <w:rPr>
                    <w:rFonts w:ascii="Cambria Math" w:hAnsi="Cambria Math" w:eastAsia="汉仪书宋二简"/>
                  </w:rPr>
                  <m:t>d</m:t>
                </m:r>
                <m:r>
                  <m:rPr/>
                  <w:rPr>
                    <w:rFonts w:hint="eastAsia" w:ascii="Cambria Math" w:hAnsi="Cambria Math" w:eastAsia="汉仪书宋二简"/>
                  </w:rPr>
                  <m:t>（</m:t>
                </m:r>
                <m:func>
                  <m:funcPr>
                    <m:ctrlPr>
                      <w:rPr>
                        <w:rFonts w:ascii="Cambria Math" w:hAnsi="Cambria Math" w:eastAsia="汉仪书宋二简"/>
                        <w:i/>
                      </w:rPr>
                    </m:ctrlPr>
                  </m:funcPr>
                  <m:fName>
                    <m:r>
                      <m:rPr>
                        <m:sty m:val="p"/>
                      </m:rPr>
                      <w:rPr>
                        <w:rFonts w:ascii="Cambria Math" w:hAnsi="Cambria Math" w:eastAsia="汉仪书宋二简"/>
                      </w:rPr>
                      <m:t>ln</m:t>
                    </m:r>
                    <m:ctrlPr>
                      <w:rPr>
                        <w:rFonts w:ascii="Cambria Math" w:hAnsi="Cambria Math" w:eastAsia="汉仪书宋二简"/>
                        <w:i/>
                      </w:rPr>
                    </m:ctrlPr>
                  </m:fName>
                  <m:e>
                    <m:f>
                      <m:fPr>
                        <m:ctrlPr>
                          <w:rPr>
                            <w:rFonts w:ascii="Cambria Math" w:hAnsi="Cambria Math" w:eastAsia="汉仪书宋二简"/>
                            <w:i/>
                          </w:rPr>
                        </m:ctrlPr>
                      </m:fPr>
                      <m:num>
                        <m:r>
                          <m:rPr/>
                          <w:rPr>
                            <w:rFonts w:ascii="Cambria Math" w:hAnsi="Cambria Math" w:eastAsia="汉仪书宋二简"/>
                          </w:rPr>
                          <m:t>8v</m:t>
                        </m:r>
                        <m:ctrlPr>
                          <w:rPr>
                            <w:rFonts w:ascii="Cambria Math" w:hAnsi="Cambria Math" w:eastAsia="汉仪书宋二简"/>
                            <w:i/>
                          </w:rPr>
                        </m:ctrlPr>
                      </m:num>
                      <m:den>
                        <m:r>
                          <m:rPr/>
                          <w:rPr>
                            <w:rFonts w:ascii="Cambria Math" w:hAnsi="Cambria Math" w:eastAsia="汉仪书宋二简"/>
                          </w:rPr>
                          <m:t>D</m:t>
                        </m:r>
                        <m:ctrlPr>
                          <w:rPr>
                            <w:rFonts w:ascii="Cambria Math" w:hAnsi="Cambria Math" w:eastAsia="汉仪书宋二简"/>
                            <w:i/>
                          </w:rPr>
                        </m:ctrlPr>
                      </m:den>
                    </m:f>
                    <m:ctrlPr>
                      <w:rPr>
                        <w:rFonts w:ascii="Cambria Math" w:hAnsi="Cambria Math" w:eastAsia="汉仪书宋二简"/>
                        <w:i/>
                      </w:rPr>
                    </m:ctrlPr>
                  </m:e>
                </m:func>
                <m:r>
                  <m:rPr/>
                  <w:rPr>
                    <w:rFonts w:hint="eastAsia" w:ascii="Cambria Math" w:hAnsi="Cambria Math" w:eastAsia="汉仪书宋二简"/>
                  </w:rPr>
                  <m:t>）</m:t>
                </m:r>
                <m:ctrlPr>
                  <w:rPr>
                    <w:rFonts w:ascii="Cambria Math" w:hAnsi="Cambria Math" w:eastAsia="汉仪书宋二简"/>
                    <w:i/>
                  </w:rPr>
                </m:ctrlPr>
              </m:num>
              <m:den>
                <m:r>
                  <m:rPr/>
                  <w:rPr>
                    <w:rFonts w:ascii="Cambria Math" w:hAnsi="Cambria Math" w:eastAsia="汉仪书宋二简"/>
                  </w:rPr>
                  <m:t>d</m:t>
                </m:r>
                <m:r>
                  <m:rPr/>
                  <w:rPr>
                    <w:rFonts w:hint="eastAsia" w:ascii="Cambria Math" w:hAnsi="Cambria Math" w:eastAsia="汉仪书宋二简"/>
                  </w:rPr>
                  <m:t>（</m:t>
                </m:r>
                <m:func>
                  <m:funcPr>
                    <m:ctrlPr>
                      <w:rPr>
                        <w:rFonts w:ascii="Cambria Math" w:hAnsi="Cambria Math" w:eastAsia="汉仪书宋二简"/>
                        <w:i/>
                      </w:rPr>
                    </m:ctrlPr>
                  </m:funcPr>
                  <m:fName>
                    <m:r>
                      <m:rPr>
                        <m:sty m:val="p"/>
                      </m:rPr>
                      <w:rPr>
                        <w:rFonts w:ascii="Cambria Math" w:hAnsi="Cambria Math" w:eastAsia="汉仪书宋二简"/>
                      </w:rPr>
                      <m:t>ln</m:t>
                    </m:r>
                    <m:ctrlPr>
                      <w:rPr>
                        <w:rFonts w:ascii="Cambria Math" w:hAnsi="Cambria Math" w:eastAsia="汉仪书宋二简"/>
                        <w:i/>
                      </w:rPr>
                    </m:ctrlPr>
                  </m:fName>
                  <m:e>
                    <m:sSub>
                      <m:sSubPr>
                        <m:ctrlPr>
                          <w:rPr>
                            <w:rFonts w:ascii="Cambria Math" w:hAnsi="Cambria Math"/>
                            <w:i/>
                          </w:rPr>
                        </m:ctrlPr>
                      </m:sSubPr>
                      <m:e>
                        <m:r>
                          <m:rPr/>
                          <w:rPr>
                            <w:rFonts w:ascii="Cambria Math" w:hAnsi="Cambria Math"/>
                          </w:rPr>
                          <m:t>τ</m:t>
                        </m:r>
                        <m:ctrlPr>
                          <w:rPr>
                            <w:rFonts w:ascii="Cambria Math" w:hAnsi="Cambria Math"/>
                            <w:i/>
                          </w:rPr>
                        </m:ctrlPr>
                      </m:e>
                      <m:sub>
                        <m:r>
                          <m:rPr/>
                          <w:rPr>
                            <w:rFonts w:hint="eastAsia" w:ascii="Cambria Math" w:hAnsi="Cambria Math"/>
                          </w:rPr>
                          <m:t>w</m:t>
                        </m:r>
                        <m:ctrlPr>
                          <w:rPr>
                            <w:rFonts w:ascii="Cambria Math" w:hAnsi="Cambria Math"/>
                            <w:i/>
                          </w:rPr>
                        </m:ctrlPr>
                      </m:sub>
                    </m:sSub>
                    <m:ctrlPr>
                      <w:rPr>
                        <w:rFonts w:ascii="Cambria Math" w:hAnsi="Cambria Math" w:eastAsia="汉仪书宋二简"/>
                        <w:i/>
                      </w:rPr>
                    </m:ctrlPr>
                  </m:e>
                </m:func>
                <m:r>
                  <m:rPr/>
                  <w:rPr>
                    <w:rFonts w:hint="eastAsia" w:ascii="Cambria Math" w:hAnsi="Cambria Math" w:eastAsia="汉仪书宋二简"/>
                  </w:rPr>
                  <m:t>）</m:t>
                </m:r>
                <m:ctrlPr>
                  <w:rPr>
                    <w:rFonts w:ascii="Cambria Math" w:hAnsi="Cambria Math" w:eastAsia="汉仪书宋二简"/>
                    <w:i/>
                  </w:rPr>
                </m:ctrlPr>
              </m:den>
            </m:f>
            <m:ctrlPr>
              <w:rPr>
                <w:rFonts w:ascii="Cambria Math" w:hAnsi="Cambria Math"/>
                <w:i/>
              </w:rPr>
            </m:ctrlPr>
          </m:e>
        </m:d>
        <m:f>
          <m:fPr>
            <m:ctrlPr>
              <w:rPr>
                <w:rFonts w:ascii="Cambria Math" w:hAnsi="Cambria Math" w:eastAsia="汉仪书宋二简"/>
                <w:i/>
              </w:rPr>
            </m:ctrlPr>
          </m:fPr>
          <m:num>
            <m:r>
              <m:rPr/>
              <w:rPr>
                <w:rFonts w:ascii="Cambria Math" w:hAnsi="Cambria Math" w:eastAsia="汉仪书宋二简"/>
              </w:rPr>
              <m:t>8v</m:t>
            </m:r>
            <m:ctrlPr>
              <w:rPr>
                <w:rFonts w:ascii="Cambria Math" w:hAnsi="Cambria Math" w:eastAsia="汉仪书宋二简"/>
                <w:i/>
              </w:rPr>
            </m:ctrlPr>
          </m:num>
          <m:den>
            <m:r>
              <m:rPr/>
              <w:rPr>
                <w:rFonts w:ascii="Cambria Math" w:hAnsi="Cambria Math" w:eastAsia="汉仪书宋二简"/>
              </w:rPr>
              <m:t>D</m:t>
            </m:r>
            <m:ctrlPr>
              <w:rPr>
                <w:rFonts w:ascii="Cambria Math" w:hAnsi="Cambria Math" w:eastAsia="汉仪书宋二简"/>
                <w:i/>
              </w:rPr>
            </m:ctrlPr>
          </m:den>
        </m:f>
      </m:oMath>
      <w:r>
        <w:rPr>
          <w:rFonts w:eastAsia="汉仪书宋二简"/>
          <w:spacing w:val="3"/>
        </w:rPr>
        <w:t>………………………………………………………………(</w:t>
      </w:r>
      <w:r>
        <w:rPr>
          <w:rFonts w:hint="eastAsia" w:eastAsia="汉仪书宋二简"/>
          <w:spacing w:val="3"/>
        </w:rPr>
        <w:t>3</w:t>
      </w:r>
      <w:r>
        <w:rPr>
          <w:rFonts w:eastAsia="汉仪书宋二简"/>
          <w:spacing w:val="3"/>
        </w:rPr>
        <w:t>)</w:t>
      </w:r>
    </w:p>
    <w:p w14:paraId="424870BB">
      <w:pPr>
        <w:pStyle w:val="59"/>
        <w:ind w:firstLine="420"/>
      </w:pPr>
      <w:r>
        <w:rPr>
          <w:rFonts w:hint="eastAsia"/>
        </w:rPr>
        <w:t>令</w:t>
      </w:r>
    </w:p>
    <w:p w14:paraId="321082A8">
      <w:pPr>
        <w:snapToGrid w:val="0"/>
        <w:spacing w:line="300" w:lineRule="auto"/>
        <w:ind w:left="357"/>
        <w:jc w:val="right"/>
        <w:rPr>
          <w:rFonts w:eastAsia="汉仪书宋二简"/>
          <w:spacing w:val="3"/>
        </w:rPr>
      </w:pPr>
      <m:oMathPara>
        <m:oMath>
          <m:r>
            <m:rPr/>
            <w:rPr>
              <w:rFonts w:ascii="Cambria Math" w:hAnsi="Cambria Math"/>
            </w:rPr>
            <m:t>N=</m:t>
          </m:r>
          <m:f>
            <m:fPr>
              <m:ctrlPr>
                <w:rPr>
                  <w:rFonts w:ascii="Cambria Math" w:hAnsi="Cambria Math" w:eastAsia="汉仪书宋二简"/>
                  <w:i/>
                </w:rPr>
              </m:ctrlPr>
            </m:fPr>
            <m:num>
              <m:r>
                <m:rPr/>
                <w:rPr>
                  <w:rFonts w:ascii="Cambria Math" w:hAnsi="Cambria Math" w:eastAsia="汉仪书宋二简"/>
                </w:rPr>
                <m:t>d</m:t>
              </m:r>
              <m:r>
                <m:rPr/>
                <w:rPr>
                  <w:rFonts w:hint="eastAsia" w:ascii="Cambria Math" w:hAnsi="Cambria Math" w:eastAsia="汉仪书宋二简"/>
                </w:rPr>
                <m:t>（</m:t>
              </m:r>
              <m:func>
                <m:funcPr>
                  <m:ctrlPr>
                    <w:rPr>
                      <w:rFonts w:ascii="Cambria Math" w:hAnsi="Cambria Math" w:eastAsia="汉仪书宋二简"/>
                      <w:i/>
                    </w:rPr>
                  </m:ctrlPr>
                </m:funcPr>
                <m:fName>
                  <m:r>
                    <m:rPr>
                      <m:sty m:val="p"/>
                    </m:rPr>
                    <w:rPr>
                      <w:rFonts w:ascii="Cambria Math" w:hAnsi="Cambria Math" w:eastAsia="汉仪书宋二简"/>
                    </w:rPr>
                    <m:t>ln</m:t>
                  </m:r>
                  <m:ctrlPr>
                    <w:rPr>
                      <w:rFonts w:ascii="Cambria Math" w:hAnsi="Cambria Math" w:eastAsia="汉仪书宋二简"/>
                      <w:i/>
                    </w:rPr>
                  </m:ctrlPr>
                </m:fName>
                <m:e>
                  <m:sSub>
                    <m:sSubPr>
                      <m:ctrlPr>
                        <w:rPr>
                          <w:rFonts w:ascii="Cambria Math" w:hAnsi="Cambria Math"/>
                          <w:i/>
                        </w:rPr>
                      </m:ctrlPr>
                    </m:sSubPr>
                    <m:e>
                      <m:r>
                        <m:rPr/>
                        <w:rPr>
                          <w:rFonts w:ascii="Cambria Math" w:hAnsi="Cambria Math"/>
                        </w:rPr>
                        <m:t>τ</m:t>
                      </m:r>
                      <m:ctrlPr>
                        <w:rPr>
                          <w:rFonts w:ascii="Cambria Math" w:hAnsi="Cambria Math"/>
                          <w:i/>
                        </w:rPr>
                      </m:ctrlPr>
                    </m:e>
                    <m:sub>
                      <m:r>
                        <m:rPr/>
                        <w:rPr>
                          <w:rFonts w:hint="eastAsia" w:ascii="Cambria Math" w:hAnsi="Cambria Math"/>
                        </w:rPr>
                        <m:t>w</m:t>
                      </m:r>
                      <m:ctrlPr>
                        <w:rPr>
                          <w:rFonts w:ascii="Cambria Math" w:hAnsi="Cambria Math"/>
                          <w:i/>
                        </w:rPr>
                      </m:ctrlPr>
                    </m:sub>
                  </m:sSub>
                  <m:ctrlPr>
                    <w:rPr>
                      <w:rFonts w:ascii="Cambria Math" w:hAnsi="Cambria Math" w:eastAsia="汉仪书宋二简"/>
                      <w:i/>
                    </w:rPr>
                  </m:ctrlPr>
                </m:e>
              </m:func>
              <m:r>
                <m:rPr/>
                <w:rPr>
                  <w:rFonts w:hint="eastAsia" w:ascii="Cambria Math" w:hAnsi="Cambria Math" w:eastAsia="汉仪书宋二简"/>
                </w:rPr>
                <m:t>）</m:t>
              </m:r>
              <m:ctrlPr>
                <w:rPr>
                  <w:rFonts w:ascii="Cambria Math" w:hAnsi="Cambria Math" w:eastAsia="汉仪书宋二简"/>
                  <w:i/>
                </w:rPr>
              </m:ctrlPr>
            </m:num>
            <m:den>
              <m:r>
                <m:rPr/>
                <w:rPr>
                  <w:rFonts w:ascii="Cambria Math" w:hAnsi="Cambria Math" w:eastAsia="汉仪书宋二简"/>
                </w:rPr>
                <m:t>d</m:t>
              </m:r>
              <m:r>
                <m:rPr/>
                <w:rPr>
                  <w:rFonts w:hint="eastAsia" w:ascii="Cambria Math" w:hAnsi="Cambria Math" w:eastAsia="汉仪书宋二简"/>
                </w:rPr>
                <m:t>（</m:t>
              </m:r>
              <m:func>
                <m:funcPr>
                  <m:ctrlPr>
                    <w:rPr>
                      <w:rFonts w:ascii="Cambria Math" w:hAnsi="Cambria Math" w:eastAsia="汉仪书宋二简"/>
                      <w:i/>
                    </w:rPr>
                  </m:ctrlPr>
                </m:funcPr>
                <m:fName>
                  <m:r>
                    <m:rPr>
                      <m:sty m:val="p"/>
                    </m:rPr>
                    <w:rPr>
                      <w:rFonts w:ascii="Cambria Math" w:hAnsi="Cambria Math" w:eastAsia="汉仪书宋二简"/>
                    </w:rPr>
                    <m:t>ln</m:t>
                  </m:r>
                  <m:ctrlPr>
                    <w:rPr>
                      <w:rFonts w:ascii="Cambria Math" w:hAnsi="Cambria Math" w:eastAsia="汉仪书宋二简"/>
                      <w:i/>
                    </w:rPr>
                  </m:ctrlPr>
                </m:fName>
                <m:e>
                  <m:f>
                    <m:fPr>
                      <m:ctrlPr>
                        <w:rPr>
                          <w:rFonts w:ascii="Cambria Math" w:hAnsi="Cambria Math" w:eastAsia="汉仪书宋二简"/>
                          <w:i/>
                        </w:rPr>
                      </m:ctrlPr>
                    </m:fPr>
                    <m:num>
                      <m:r>
                        <m:rPr/>
                        <w:rPr>
                          <w:rFonts w:ascii="Cambria Math" w:hAnsi="Cambria Math" w:eastAsia="汉仪书宋二简"/>
                        </w:rPr>
                        <m:t>8v</m:t>
                      </m:r>
                      <m:ctrlPr>
                        <w:rPr>
                          <w:rFonts w:ascii="Cambria Math" w:hAnsi="Cambria Math" w:eastAsia="汉仪书宋二简"/>
                          <w:i/>
                        </w:rPr>
                      </m:ctrlPr>
                    </m:num>
                    <m:den>
                      <m:r>
                        <m:rPr/>
                        <w:rPr>
                          <w:rFonts w:ascii="Cambria Math" w:hAnsi="Cambria Math" w:eastAsia="汉仪书宋二简"/>
                        </w:rPr>
                        <m:t>D</m:t>
                      </m:r>
                      <m:ctrlPr>
                        <w:rPr>
                          <w:rFonts w:ascii="Cambria Math" w:hAnsi="Cambria Math" w:eastAsia="汉仪书宋二简"/>
                          <w:i/>
                        </w:rPr>
                      </m:ctrlPr>
                    </m:den>
                  </m:f>
                  <m:ctrlPr>
                    <w:rPr>
                      <w:rFonts w:ascii="Cambria Math" w:hAnsi="Cambria Math" w:eastAsia="汉仪书宋二简"/>
                      <w:i/>
                    </w:rPr>
                  </m:ctrlPr>
                </m:e>
              </m:func>
              <m:r>
                <m:rPr/>
                <w:rPr>
                  <w:rFonts w:hint="eastAsia" w:ascii="Cambria Math" w:hAnsi="Cambria Math" w:eastAsia="汉仪书宋二简"/>
                </w:rPr>
                <m:t>）</m:t>
              </m:r>
              <m:ctrlPr>
                <w:rPr>
                  <w:rFonts w:ascii="Cambria Math" w:hAnsi="Cambria Math" w:eastAsia="汉仪书宋二简"/>
                  <w:i/>
                </w:rPr>
              </m:ctrlPr>
            </m:den>
          </m:f>
        </m:oMath>
      </m:oMathPara>
    </w:p>
    <w:p w14:paraId="27414335">
      <w:pPr>
        <w:pStyle w:val="252"/>
      </w:pPr>
      <w:r>
        <w:rPr>
          <w:rFonts w:hint="eastAsia"/>
        </w:rPr>
        <w:t>则：</w:t>
      </w:r>
    </w:p>
    <w:p w14:paraId="6165E962">
      <w:pPr>
        <w:snapToGrid w:val="0"/>
        <w:spacing w:line="300" w:lineRule="auto"/>
        <w:ind w:left="357"/>
        <w:jc w:val="right"/>
        <w:rPr>
          <w:rFonts w:eastAsia="汉仪书宋二简"/>
          <w:spacing w:val="3"/>
        </w:rPr>
      </w:pPr>
      <m:oMath>
        <m:sSub>
          <m:sSubPr>
            <m:ctrlPr>
              <w:rPr>
                <w:rFonts w:ascii="Cambria Math" w:hAnsi="Cambria Math"/>
                <w:i/>
              </w:rPr>
            </m:ctrlPr>
          </m:sSubPr>
          <m:e>
            <m:r>
              <m:rPr/>
              <w:rPr>
                <w:rFonts w:ascii="Cambria Math" w:hAnsi="Cambria Math"/>
              </w:rPr>
              <m:t>γ</m:t>
            </m:r>
            <m:ctrlPr>
              <w:rPr>
                <w:rFonts w:ascii="Cambria Math" w:hAnsi="Cambria Math"/>
                <w:i/>
              </w:rPr>
            </m:ctrlPr>
          </m:e>
          <m:sub>
            <m:r>
              <m:rPr/>
              <w:rPr>
                <w:rFonts w:hint="eastAsia" w:ascii="Cambria Math" w:hAnsi="Cambria Math"/>
              </w:rPr>
              <m:t>w</m:t>
            </m:r>
            <m:ctrlPr>
              <w:rPr>
                <w:rFonts w:ascii="Cambria Math" w:hAnsi="Cambria Math"/>
                <w:i/>
              </w:rPr>
            </m:ctrlPr>
          </m:sub>
        </m:sSub>
        <m:r>
          <m:rPr/>
          <w:rPr>
            <w:rFonts w:ascii="Cambria Math" w:hAnsi="Cambria Math"/>
          </w:rPr>
          <m:t>=</m:t>
        </m:r>
        <m:f>
          <m:fPr>
            <m:ctrlPr>
              <w:rPr>
                <w:rFonts w:ascii="Cambria Math" w:hAnsi="Cambria Math"/>
                <w:i/>
              </w:rPr>
            </m:ctrlPr>
          </m:fPr>
          <m:num>
            <m:r>
              <m:rPr/>
              <w:rPr>
                <w:rFonts w:ascii="Cambria Math" w:hAnsi="Cambria Math"/>
              </w:rPr>
              <m:t>3N+1</m:t>
            </m:r>
            <m:ctrlPr>
              <w:rPr>
                <w:rFonts w:ascii="Cambria Math" w:hAnsi="Cambria Math"/>
                <w:i/>
              </w:rPr>
            </m:ctrlPr>
          </m:num>
          <m:den>
            <m:r>
              <m:rPr/>
              <w:rPr>
                <w:rFonts w:ascii="Cambria Math" w:hAnsi="Cambria Math"/>
              </w:rPr>
              <m:t>4N</m:t>
            </m:r>
            <m:ctrlPr>
              <w:rPr>
                <w:rFonts w:ascii="Cambria Math" w:hAnsi="Cambria Math"/>
                <w:i/>
              </w:rPr>
            </m:ctrlPr>
          </m:den>
        </m:f>
        <m:r>
          <m:rPr/>
          <w:rPr>
            <w:rFonts w:ascii="Cambria Math" w:hAnsi="Cambria Math"/>
          </w:rPr>
          <m:t>×</m:t>
        </m:r>
        <m:f>
          <m:fPr>
            <m:ctrlPr>
              <w:rPr>
                <w:rFonts w:ascii="Cambria Math" w:hAnsi="Cambria Math" w:eastAsia="汉仪书宋二简"/>
                <w:i/>
              </w:rPr>
            </m:ctrlPr>
          </m:fPr>
          <m:num>
            <m:r>
              <m:rPr/>
              <w:rPr>
                <w:rFonts w:ascii="Cambria Math" w:hAnsi="Cambria Math" w:eastAsia="汉仪书宋二简"/>
              </w:rPr>
              <m:t>8v</m:t>
            </m:r>
            <m:ctrlPr>
              <w:rPr>
                <w:rFonts w:ascii="Cambria Math" w:hAnsi="Cambria Math" w:eastAsia="汉仪书宋二简"/>
                <w:i/>
              </w:rPr>
            </m:ctrlPr>
          </m:num>
          <m:den>
            <m:r>
              <m:rPr/>
              <w:rPr>
                <w:rFonts w:ascii="Cambria Math" w:hAnsi="Cambria Math" w:eastAsia="汉仪书宋二简"/>
              </w:rPr>
              <m:t>D</m:t>
            </m:r>
            <m:ctrlPr>
              <w:rPr>
                <w:rFonts w:ascii="Cambria Math" w:hAnsi="Cambria Math" w:eastAsia="汉仪书宋二简"/>
                <w:i/>
              </w:rPr>
            </m:ctrlPr>
          </m:den>
        </m:f>
      </m:oMath>
      <w:r>
        <w:rPr>
          <w:rFonts w:eastAsia="汉仪书宋二简"/>
          <w:spacing w:val="3"/>
        </w:rPr>
        <w:t>………………………………………………………………(</w:t>
      </w:r>
      <w:r>
        <w:rPr>
          <w:rFonts w:hint="eastAsia" w:eastAsia="汉仪书宋二简"/>
          <w:spacing w:val="3"/>
        </w:rPr>
        <w:t>4</w:t>
      </w:r>
      <w:r>
        <w:rPr>
          <w:rFonts w:eastAsia="汉仪书宋二简"/>
          <w:spacing w:val="3"/>
        </w:rPr>
        <w:t>)</w:t>
      </w:r>
    </w:p>
    <w:p w14:paraId="75BCED4F">
      <w:pPr>
        <w:pStyle w:val="59"/>
        <w:ind w:firstLine="420"/>
      </w:pPr>
      <w:r>
        <w:rPr>
          <w:rFonts w:hint="eastAsia"/>
        </w:rPr>
        <w:t>式中：</w:t>
      </w:r>
    </w:p>
    <w:p w14:paraId="6BE8E3E9">
      <w:pPr>
        <w:pStyle w:val="252"/>
      </w:pPr>
      <m:oMath>
        <m:sSub>
          <m:sSubPr/>
          <m:e>
            <m:r>
              <m:rPr>
                <m:sty m:val="p"/>
              </m:rPr>
              <m:t>γ</m:t>
            </m:r>
          </m:e>
          <m:sub>
            <m:r>
              <m:rPr/>
              <w:rPr>
                <w:rFonts w:hint="eastAsia"/>
              </w:rPr>
              <m:t>w</m:t>
            </m:r>
          </m:sub>
        </m:sSub>
      </m:oMath>
      <w:r>
        <w:t>——</w:t>
      </w:r>
      <w:r>
        <w:rPr>
          <w:rFonts w:hint="eastAsia"/>
        </w:rPr>
        <w:t>管壁处的剪切速率，单位为秒的负一次方</w:t>
      </w:r>
      <w:r>
        <w:rPr>
          <w:rFonts w:hint="eastAsia" w:hAnsi="宋体"/>
        </w:rPr>
        <w:t>（s</w:t>
      </w:r>
      <w:r>
        <w:rPr>
          <w:rFonts w:hint="eastAsia" w:hAnsi="宋体"/>
          <w:vertAlign w:val="superscript"/>
        </w:rPr>
        <w:t>-1</w:t>
      </w:r>
      <w:r>
        <w:rPr>
          <w:rFonts w:hint="eastAsia" w:hAnsi="宋体"/>
        </w:rPr>
        <w:t>）</w:t>
      </w:r>
      <w:r>
        <w:rPr>
          <w:rFonts w:hint="eastAsia"/>
        </w:rPr>
        <w:t>；</w:t>
      </w:r>
    </w:p>
    <w:p w14:paraId="607C575B">
      <w:pPr>
        <w:pStyle w:val="252"/>
      </w:pPr>
      <w:r>
        <w:rPr>
          <w:rFonts w:hint="eastAsia"/>
        </w:rPr>
        <w:t>v——流体经测量管的速度，单位为米每秒（m/s）；</w:t>
      </w:r>
    </w:p>
    <w:p w14:paraId="1D3025B0">
      <w:pPr>
        <w:pStyle w:val="252"/>
      </w:pPr>
      <m:oMath>
        <m:r>
          <m:rPr>
            <m:sty m:val="p"/>
          </m:rPr>
          <m:t>N</m:t>
        </m:r>
      </m:oMath>
      <w:r>
        <w:t>——</w:t>
      </w:r>
      <w:r>
        <w:rPr>
          <w:rFonts w:hint="eastAsia"/>
        </w:rPr>
        <w:t>广义流行指数。</w:t>
      </w:r>
    </w:p>
    <w:p w14:paraId="4A5D467A">
      <w:pPr>
        <w:pStyle w:val="252"/>
      </w:pPr>
      <w:r>
        <w:rPr>
          <w:rFonts w:hint="eastAsia"/>
        </w:rPr>
        <w:t>对测量点测量出的剪切应力和剪切速率数据进行直线最小二乘拟合，得到一条直线y=kx+b的拟合表达式，其中x为剪切速率，y为剪切应力，k为塑性粘度，b为动切力。</w:t>
      </w:r>
    </w:p>
    <w:p w14:paraId="5939286C">
      <w:pPr>
        <w:pStyle w:val="252"/>
      </w:pPr>
      <w:r>
        <w:rPr>
          <w:rFonts w:hint="eastAsia"/>
        </w:rPr>
        <w:t>每个测量点处的表观粘度见公式（5）：</w:t>
      </w:r>
    </w:p>
    <w:p w14:paraId="221D9718">
      <w:pPr>
        <w:snapToGrid w:val="0"/>
        <w:spacing w:line="300" w:lineRule="auto"/>
        <w:ind w:left="357"/>
        <w:jc w:val="right"/>
        <w:rPr>
          <w:rFonts w:eastAsia="汉仪书宋二简"/>
          <w:spacing w:val="3"/>
        </w:rPr>
      </w:pPr>
      <m:oMath>
        <m:r>
          <m:rPr/>
          <w:rPr>
            <w:rFonts w:ascii="Cambria Math" w:hAnsi="Cambria Math"/>
          </w:rPr>
          <m:t>AV=</m:t>
        </m:r>
        <m:f>
          <m:fPr>
            <m:ctrlPr>
              <w:rPr>
                <w:rFonts w:ascii="Cambria Math" w:hAnsi="Cambria Math"/>
                <w:i/>
              </w:rPr>
            </m:ctrlPr>
          </m:fPr>
          <m:num>
            <m:sSub>
              <m:sSubPr>
                <m:ctrlPr>
                  <w:rPr>
                    <w:rFonts w:ascii="Cambria Math" w:hAnsi="Cambria Math"/>
                    <w:i/>
                  </w:rPr>
                </m:ctrlPr>
              </m:sSubPr>
              <m:e>
                <m:r>
                  <m:rPr/>
                  <w:rPr>
                    <w:rFonts w:ascii="Cambria Math" w:hAnsi="Cambria Math"/>
                  </w:rPr>
                  <m:t>τ</m:t>
                </m:r>
                <m:ctrlPr>
                  <w:rPr>
                    <w:rFonts w:ascii="Cambria Math" w:hAnsi="Cambria Math"/>
                    <w:i/>
                  </w:rPr>
                </m:ctrlPr>
              </m:e>
              <m:sub>
                <m:r>
                  <m:rPr/>
                  <w:rPr>
                    <w:rFonts w:hint="eastAsia" w:ascii="Cambria Math" w:hAnsi="Cambria Math"/>
                  </w:rPr>
                  <m:t>w</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γ</m:t>
                </m:r>
                <m:ctrlPr>
                  <w:rPr>
                    <w:rFonts w:ascii="Cambria Math" w:hAnsi="Cambria Math"/>
                    <w:i/>
                  </w:rPr>
                </m:ctrlPr>
              </m:e>
              <m:sub>
                <m:r>
                  <m:rPr/>
                  <w:rPr>
                    <w:rFonts w:hint="eastAsia" w:ascii="Cambria Math" w:hAnsi="Cambria Math"/>
                  </w:rPr>
                  <m:t>w</m:t>
                </m:r>
                <m:ctrlPr>
                  <w:rPr>
                    <w:rFonts w:ascii="Cambria Math" w:hAnsi="Cambria Math"/>
                    <w:i/>
                  </w:rPr>
                </m:ctrlPr>
              </m:sub>
            </m:sSub>
            <m:ctrlPr>
              <w:rPr>
                <w:rFonts w:ascii="Cambria Math" w:hAnsi="Cambria Math"/>
                <w:i/>
              </w:rPr>
            </m:ctrlPr>
          </m:den>
        </m:f>
      </m:oMath>
      <w:r>
        <w:rPr>
          <w:rFonts w:eastAsia="汉仪书宋二简"/>
          <w:spacing w:val="3"/>
        </w:rPr>
        <w:t>…………………………………………………………………………(</w:t>
      </w:r>
      <w:r>
        <w:rPr>
          <w:rFonts w:hint="eastAsia" w:eastAsia="汉仪书宋二简"/>
          <w:spacing w:val="3"/>
        </w:rPr>
        <w:t>5</w:t>
      </w:r>
      <w:r>
        <w:rPr>
          <w:rFonts w:eastAsia="汉仪书宋二简"/>
          <w:spacing w:val="3"/>
        </w:rPr>
        <w:t>)</w:t>
      </w:r>
    </w:p>
    <w:p w14:paraId="5F036491">
      <w:pPr>
        <w:pStyle w:val="60"/>
        <w:ind w:firstLine="420"/>
        <w:rPr>
          <w:rFonts w:hint="eastAsia" w:hAnsi="宋体"/>
        </w:rPr>
      </w:pPr>
      <w:r>
        <w:rPr>
          <w:rFonts w:hint="eastAsia" w:hAnsi="宋体"/>
        </w:rPr>
        <w:t>结合表观粘度及密度可得出漏斗粘度，见公式（6）：</w:t>
      </w:r>
    </w:p>
    <w:p w14:paraId="2035F568">
      <w:pPr>
        <w:pStyle w:val="60"/>
        <w:ind w:firstLine="420"/>
        <w:rPr>
          <w:rFonts w:hint="eastAsia" w:hAnsi="宋体"/>
        </w:rPr>
      </w:pPr>
    </w:p>
    <w:p w14:paraId="51144B61">
      <w:pPr>
        <w:snapToGrid w:val="0"/>
        <w:spacing w:line="300" w:lineRule="auto"/>
        <w:ind w:left="357"/>
        <w:jc w:val="right"/>
        <w:rPr>
          <w:rFonts w:eastAsia="汉仪书宋二简"/>
          <w:spacing w:val="3"/>
        </w:rPr>
      </w:pPr>
      <m:oMath>
        <m:r>
          <m:rPr/>
          <w:rPr>
            <w:rFonts w:ascii="Cambria Math" w:hAnsi="Cambria Math"/>
          </w:rPr>
          <m:t>FV=25+</m:t>
        </m:r>
        <m:f>
          <m:fPr>
            <m:ctrlPr>
              <w:rPr>
                <w:rFonts w:ascii="Cambria Math" w:hAnsi="Cambria Math"/>
                <w:i/>
              </w:rPr>
            </m:ctrlPr>
          </m:fPr>
          <m:num>
            <m:r>
              <m:rPr/>
              <w:rPr>
                <w:rFonts w:ascii="Cambria Math" w:hAnsi="Cambria Math"/>
              </w:rPr>
              <m:t>AV</m:t>
            </m:r>
            <m:ctrlPr>
              <w:rPr>
                <w:rFonts w:ascii="Cambria Math" w:hAnsi="Cambria Math"/>
                <w:i/>
              </w:rPr>
            </m:ctrlPr>
          </m:num>
          <m:den>
            <m:r>
              <m:rPr/>
              <w:rPr>
                <w:rFonts w:ascii="Cambria Math" w:hAnsi="Cambria Math"/>
              </w:rPr>
              <m:t>ρ</m:t>
            </m:r>
            <m:ctrlPr>
              <w:rPr>
                <w:rFonts w:ascii="Cambria Math" w:hAnsi="Cambria Math"/>
                <w:i/>
              </w:rPr>
            </m:ctrlPr>
          </m:den>
        </m:f>
      </m:oMath>
      <w:r>
        <w:rPr>
          <w:rFonts w:eastAsia="汉仪书宋二简"/>
          <w:spacing w:val="3"/>
        </w:rPr>
        <w:t>……………………………………………………………………(</w:t>
      </w:r>
      <w:r>
        <w:rPr>
          <w:rFonts w:hint="eastAsia" w:eastAsia="汉仪书宋二简"/>
          <w:spacing w:val="3"/>
        </w:rPr>
        <w:t>6</w:t>
      </w:r>
      <w:r>
        <w:rPr>
          <w:rFonts w:eastAsia="汉仪书宋二简"/>
          <w:spacing w:val="3"/>
        </w:rPr>
        <w:t>)</w:t>
      </w:r>
    </w:p>
    <w:p w14:paraId="129CB5B6">
      <w:pPr>
        <w:pStyle w:val="59"/>
        <w:ind w:firstLine="420"/>
      </w:pPr>
      <w:r>
        <w:rPr>
          <w:rFonts w:hint="eastAsia"/>
        </w:rPr>
        <w:t>式中：</w:t>
      </w:r>
    </w:p>
    <w:p w14:paraId="20F3C90E">
      <w:pPr>
        <w:pStyle w:val="252"/>
      </w:pPr>
      <m:oMath>
        <m:r>
          <m:rPr/>
          <m:t>ρ</m:t>
        </m:r>
      </m:oMath>
      <w:r>
        <w:t>——</w:t>
      </w:r>
      <w:r>
        <w:rPr>
          <w:rFonts w:hint="eastAsia"/>
        </w:rPr>
        <w:t>流体密度。</w:t>
      </w:r>
    </w:p>
    <w:p w14:paraId="41192A1E">
      <w:pPr>
        <w:pStyle w:val="109"/>
        <w:spacing w:before="120" w:after="120"/>
        <w:rPr>
          <w:b/>
          <w:shd w:val="clear" w:color="auto" w:fill="FFFF00"/>
        </w:rPr>
      </w:pPr>
      <w:r>
        <w:rPr>
          <w:rFonts w:hint="eastAsia"/>
        </w:rPr>
        <w:t>可溶性离子浓度参数的计算</w:t>
      </w:r>
    </w:p>
    <w:p w14:paraId="7D719198">
      <w:pPr>
        <w:pStyle w:val="60"/>
        <w:ind w:firstLine="420"/>
        <w:rPr>
          <w:rFonts w:hint="eastAsia" w:hAnsi="宋体"/>
        </w:rPr>
      </w:pPr>
      <w:r>
        <w:rPr>
          <w:rFonts w:hint="eastAsia" w:hAnsi="宋体"/>
        </w:rPr>
        <w:t>实际钻井液离子浓度参数需要根据稀释清水背景离子浓度、定量稀释后的混合溶液离子浓度，结合稀释比例计算得出，见公式（7）：</w:t>
      </w:r>
    </w:p>
    <w:p w14:paraId="08EB661D">
      <w:pPr>
        <w:pStyle w:val="60"/>
        <w:ind w:firstLine="420"/>
        <w:rPr>
          <w:rFonts w:hint="eastAsia" w:hAnsi="宋体"/>
        </w:rPr>
      </w:pPr>
    </w:p>
    <w:p w14:paraId="49B91D9B">
      <w:pPr>
        <w:snapToGrid w:val="0"/>
        <w:spacing w:line="300" w:lineRule="auto"/>
        <w:ind w:left="357"/>
        <w:jc w:val="right"/>
        <w:rPr>
          <w:rFonts w:eastAsia="汉仪书宋二简"/>
          <w:spacing w:val="3"/>
        </w:rPr>
      </w:pPr>
      <m:oMath>
        <m:sSub>
          <m:sSubPr>
            <m:ctrlPr>
              <w:rPr>
                <w:rFonts w:ascii="Cambria Math" w:hAnsi="Cambria Math"/>
                <w:i/>
              </w:rPr>
            </m:ctrlPr>
          </m:sSubPr>
          <m:e>
            <m:r>
              <m:rPr/>
              <w:rPr>
                <w:rFonts w:ascii="Cambria Math" w:hAnsi="Cambria Math"/>
              </w:rPr>
              <m:t>r</m:t>
            </m:r>
            <m:ctrlPr>
              <w:rPr>
                <w:rFonts w:ascii="Cambria Math" w:hAnsi="Cambria Math"/>
                <w:i/>
              </w:rPr>
            </m:ctrlPr>
          </m:e>
          <m:sub>
            <m:r>
              <m:rPr/>
              <w:rPr>
                <w:rFonts w:ascii="Cambria Math" w:hAnsi="Cambria Math"/>
              </w:rPr>
              <m:t>d</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r</m:t>
                </m:r>
                <m:ctrlPr>
                  <w:rPr>
                    <w:rFonts w:ascii="Cambria Math" w:hAnsi="Cambria Math"/>
                    <w:i/>
                  </w:rPr>
                </m:ctrlPr>
              </m:e>
              <m:sub>
                <m:r>
                  <m:rPr/>
                  <w:rPr>
                    <w:rFonts w:ascii="Cambria Math" w:hAnsi="Cambria Math"/>
                  </w:rPr>
                  <m:t>s×</m:t>
                </m:r>
                <m:ctrlPr>
                  <w:rPr>
                    <w:rFonts w:ascii="Cambria Math" w:hAnsi="Cambria Math"/>
                    <w:i/>
                  </w:rPr>
                </m:ctrlPr>
              </m:sub>
            </m:sSub>
            <m:d>
              <m:dPr>
                <m:ctrlPr>
                  <w:rPr>
                    <w:rFonts w:ascii="Cambria Math" w:hAnsi="Cambria Math"/>
                    <w:i/>
                  </w:rPr>
                </m:ctrlPr>
              </m:dPr>
              <m:e>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d</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w</m:t>
                    </m:r>
                    <m:ctrlPr>
                      <w:rPr>
                        <w:rFonts w:ascii="Cambria Math" w:hAnsi="Cambria Math"/>
                        <w:i/>
                      </w:rPr>
                    </m:ctrlPr>
                  </m:sub>
                </m:sSub>
                <m:ctrlPr>
                  <w:rPr>
                    <w:rFonts w:ascii="Cambria Math" w:hAnsi="Cambria Math"/>
                    <w:i/>
                  </w:rPr>
                </m:ctrlPr>
              </m:e>
            </m:d>
            <m:r>
              <m:rPr/>
              <w:rPr>
                <w:rFonts w:ascii="Cambria Math" w:hAnsi="Cambria Math"/>
              </w:rPr>
              <m:t>−</m:t>
            </m:r>
            <m:sSub>
              <m:sSubPr>
                <m:ctrlPr>
                  <w:rPr>
                    <w:rFonts w:ascii="Cambria Math" w:hAnsi="Cambria Math"/>
                    <w:i/>
                  </w:rPr>
                </m:ctrlPr>
              </m:sSubPr>
              <m:e>
                <m:r>
                  <m:rPr/>
                  <w:rPr>
                    <w:rFonts w:ascii="Cambria Math" w:hAnsi="Cambria Math"/>
                  </w:rPr>
                  <m:t>r</m:t>
                </m:r>
                <m:ctrlPr>
                  <w:rPr>
                    <w:rFonts w:ascii="Cambria Math" w:hAnsi="Cambria Math"/>
                    <w:i/>
                  </w:rPr>
                </m:ctrlPr>
              </m:e>
              <m:sub>
                <m:r>
                  <m:rPr/>
                  <w:rPr>
                    <w:rFonts w:ascii="Cambria Math" w:hAnsi="Cambria Math"/>
                  </w:rPr>
                  <m:t>w</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V</m:t>
                </m:r>
                <m:ctrlPr>
                  <w:rPr>
                    <w:rFonts w:ascii="Cambria Math" w:hAnsi="Cambria Math"/>
                    <w:i/>
                  </w:rPr>
                </m:ctrlPr>
              </m:e>
              <m:sub>
                <m:r>
                  <m:rPr/>
                  <w:rPr>
                    <w:rFonts w:hint="eastAsia" w:ascii="Cambria Math" w:hAnsi="Cambria Math"/>
                  </w:rPr>
                  <m:t>w</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d</m:t>
                </m:r>
                <m:ctrlPr>
                  <w:rPr>
                    <w:rFonts w:ascii="Cambria Math" w:hAnsi="Cambria Math"/>
                    <w:i/>
                  </w:rPr>
                </m:ctrlPr>
              </m:sub>
            </m:sSub>
            <m:ctrlPr>
              <w:rPr>
                <w:rFonts w:ascii="Cambria Math" w:hAnsi="Cambria Math"/>
                <w:i/>
              </w:rPr>
            </m:ctrlPr>
          </m:den>
        </m:f>
      </m:oMath>
      <w:r>
        <w:rPr>
          <w:rFonts w:eastAsia="汉仪书宋二简"/>
          <w:spacing w:val="3"/>
        </w:rPr>
        <w:t>……………………………………………………………………(</w:t>
      </w:r>
      <w:r>
        <w:rPr>
          <w:rFonts w:hint="eastAsia" w:eastAsia="汉仪书宋二简"/>
          <w:spacing w:val="3"/>
        </w:rPr>
        <w:t>7</w:t>
      </w:r>
      <w:r>
        <w:rPr>
          <w:rFonts w:eastAsia="汉仪书宋二简"/>
          <w:spacing w:val="3"/>
        </w:rPr>
        <w:t>)</w:t>
      </w:r>
    </w:p>
    <w:p w14:paraId="5DB1B08D">
      <w:pPr>
        <w:pStyle w:val="59"/>
        <w:ind w:firstLine="420"/>
      </w:pPr>
      <w:r>
        <w:rPr>
          <w:rFonts w:hint="eastAsia"/>
        </w:rPr>
        <w:t>式中：</w:t>
      </w:r>
    </w:p>
    <w:p w14:paraId="04CF0AFC">
      <w:pPr>
        <w:pStyle w:val="252"/>
      </w:pPr>
      <m:oMath>
        <m:sSub>
          <m:sSubPr/>
          <m:e>
            <m:r>
              <m:rPr/>
              <m:t>r</m:t>
            </m:r>
          </m:e>
          <m:sub>
            <m:r>
              <m:rPr/>
              <m:t>d</m:t>
            </m:r>
          </m:sub>
        </m:sSub>
      </m:oMath>
      <w:r>
        <w:t>——</w:t>
      </w:r>
      <w:r>
        <w:rPr>
          <w:rFonts w:hint="eastAsia"/>
        </w:rPr>
        <w:t>待测钻井液的离子浓度，单位为毫克每升（mg/L）；</w:t>
      </w:r>
    </w:p>
    <w:p w14:paraId="15E51F65">
      <w:pPr>
        <w:pStyle w:val="252"/>
      </w:pPr>
      <m:oMath>
        <m:sSub>
          <m:sSubPr/>
          <m:e>
            <m:r>
              <m:rPr/>
              <m:t>r</m:t>
            </m:r>
          </m:e>
          <m:sub>
            <m:r>
              <m:rPr/>
              <m:t>s</m:t>
            </m:r>
          </m:sub>
        </m:sSub>
      </m:oMath>
      <w:r>
        <w:rPr>
          <w:rFonts w:hint="eastAsia"/>
        </w:rPr>
        <w:t>——稀释后测量钻井液的离子浓度，单位为毫克每升（mg/L）；</w:t>
      </w:r>
    </w:p>
    <w:p w14:paraId="524A96FC">
      <w:pPr>
        <w:pStyle w:val="252"/>
      </w:pPr>
      <m:oMath>
        <m:sSub>
          <m:sSubPr/>
          <m:e>
            <m:r>
              <m:rPr/>
              <m:t>r</m:t>
            </m:r>
          </m:e>
          <m:sub>
            <m:r>
              <m:rPr>
                <m:sty m:val="p"/>
              </m:rPr>
              <w:rPr>
                <w:rFonts w:hint="eastAsia"/>
              </w:rPr>
              <m:t>w</m:t>
            </m:r>
          </m:sub>
        </m:sSub>
      </m:oMath>
      <w:r>
        <w:rPr>
          <w:rFonts w:hint="eastAsia"/>
        </w:rPr>
        <w:t>——稀释清水背景离子浓度，单位为毫克每升（mg/L）；</w:t>
      </w:r>
    </w:p>
    <w:p w14:paraId="11F221DD">
      <w:pPr>
        <w:pStyle w:val="252"/>
      </w:pPr>
      <m:oMath>
        <m:sSub>
          <m:sSubPr/>
          <m:e>
            <m:r>
              <m:rPr/>
              <m:t>V</m:t>
            </m:r>
          </m:e>
          <m:sub>
            <m:r>
              <m:rPr/>
              <m:t>w</m:t>
            </m:r>
          </m:sub>
        </m:sSub>
      </m:oMath>
      <w:r>
        <w:t>——</w:t>
      </w:r>
      <w:r>
        <w:rPr>
          <w:rFonts w:hint="eastAsia"/>
        </w:rPr>
        <w:t>注入稀释清水的体积，单位为升（L）；</w:t>
      </w:r>
    </w:p>
    <w:p w14:paraId="77E51AF3">
      <w:pPr>
        <w:pStyle w:val="252"/>
        <w:rPr>
          <w:rFonts w:eastAsia="汉仪书宋二简"/>
          <w:spacing w:val="3"/>
        </w:rPr>
      </w:pPr>
      <m:oMath>
        <m:sSub>
          <m:sSubPr/>
          <m:e>
            <m:r>
              <m:rPr/>
              <m:t>V</m:t>
            </m:r>
          </m:e>
          <m:sub>
            <m:r>
              <m:rPr>
                <m:sty m:val="p"/>
              </m:rPr>
              <w:rPr>
                <w:rFonts w:hint="eastAsia"/>
              </w:rPr>
              <m:t>d</m:t>
            </m:r>
          </m:sub>
        </m:sSub>
      </m:oMath>
      <w:r>
        <w:t>——</w:t>
      </w:r>
      <w:r>
        <w:rPr>
          <w:rFonts w:hint="eastAsia"/>
        </w:rPr>
        <w:t>注入钻井液的体积，单位为升（L）。</w:t>
      </w:r>
    </w:p>
    <w:p w14:paraId="3BD86E3C">
      <w:pPr>
        <w:pStyle w:val="108"/>
        <w:spacing w:before="240" w:after="240"/>
        <w:rPr>
          <w:b/>
        </w:rPr>
      </w:pPr>
      <w:r>
        <w:rPr>
          <w:rFonts w:hint="eastAsia"/>
        </w:rPr>
        <w:t>标准物质/标准器验证</w:t>
      </w:r>
    </w:p>
    <w:p w14:paraId="415BF64D">
      <w:pPr>
        <w:pStyle w:val="109"/>
        <w:spacing w:before="120" w:after="120"/>
        <w:rPr>
          <w:b/>
          <w:shd w:val="clear" w:color="auto" w:fill="FFFF00"/>
        </w:rPr>
      </w:pPr>
      <w:r>
        <w:rPr>
          <w:rFonts w:hint="eastAsia"/>
        </w:rPr>
        <w:t>表观粘度、塑性粘度、动切力参数验证</w:t>
      </w:r>
    </w:p>
    <w:p w14:paraId="0004B3A8">
      <w:pPr>
        <w:pStyle w:val="60"/>
        <w:ind w:firstLine="420"/>
      </w:pPr>
      <w:r>
        <w:rPr>
          <w:rFonts w:hint="eastAsia"/>
        </w:rPr>
        <w:t>将样品桶中取出的钻井液样品倒入旋转粘度计的样品杯中，并按照仪器操作规程安装好转子，按照JJF（川）215-2024规定的操作流程，依次在600 r/min和300r/min的转速下进行测量，待每个转速下的读数稳定后，记录刻度盘读数和对应的温度，利用上述规范规定的公式计算出表观粘度、塑性粘度和动切力数值。</w:t>
      </w:r>
    </w:p>
    <w:p w14:paraId="4F6CD2AD">
      <w:pPr>
        <w:pStyle w:val="60"/>
        <w:ind w:firstLine="420"/>
      </w:pPr>
      <w:r>
        <w:rPr>
          <w:rFonts w:hint="eastAsia"/>
        </w:rPr>
        <w:t>将在线装置计算出的三个流变性参数数值与作为标准器的旋转粘度计的计算结果进行比对，计算每个参数的相对误差，通常认定相对误差在±5%以内，即认为在线装置满足现场测试精度要求。</w:t>
      </w:r>
    </w:p>
    <w:p w14:paraId="5456EA26">
      <w:pPr>
        <w:pStyle w:val="109"/>
        <w:spacing w:before="120" w:after="120"/>
        <w:rPr>
          <w:b/>
          <w:shd w:val="clear" w:color="auto" w:fill="FFFF00"/>
        </w:rPr>
      </w:pPr>
      <w:r>
        <w:rPr>
          <w:rFonts w:hint="eastAsia"/>
        </w:rPr>
        <w:t>漏斗粘度参数验证</w:t>
      </w:r>
    </w:p>
    <w:p w14:paraId="2561924B">
      <w:pPr>
        <w:pStyle w:val="60"/>
        <w:ind w:firstLine="420"/>
      </w:pPr>
      <w:r>
        <w:rPr>
          <w:rFonts w:hint="eastAsia"/>
        </w:rPr>
        <w:t>从样品桶中取出一定量的钻井液样品，用手堵住马氏漏斗粘度计的流出口，将样品通过筛网倒入干净并直立的漏斗内，直到样品液面达到筛网底部为止；移开手指同时启动秒表，记录钻井液流至跨脱杯内946 mL刻度线所需要的时间t。并同时记录下测量钻井液的温度T，此时T与初始温度T0差值不超过±3 ℃。如果超出此温度，应将钻井液恒温至T0温度后再搅拌均匀后测试。重复上述步骤，测量两次。计算其漏斗黏度的平均值。</w:t>
      </w:r>
    </w:p>
    <w:p w14:paraId="2B35FC99">
      <w:pPr>
        <w:pStyle w:val="60"/>
        <w:ind w:firstLine="420"/>
      </w:pPr>
      <w:r>
        <w:rPr>
          <w:rFonts w:hint="eastAsia"/>
        </w:rPr>
        <w:t>计算在线装置漏斗粘度测量值与作为标准器的马氏漏斗粘度计测量值的相对误差，通常认定两者的相对误差在±5%以内，即认为在线装置满足现场测试精度要求。</w:t>
      </w:r>
    </w:p>
    <w:p w14:paraId="7658D17A">
      <w:pPr>
        <w:pStyle w:val="109"/>
        <w:spacing w:before="120" w:after="120"/>
        <w:rPr>
          <w:b/>
          <w:shd w:val="clear" w:color="auto" w:fill="FFFF00"/>
        </w:rPr>
      </w:pPr>
      <w:r>
        <w:rPr>
          <w:rFonts w:hint="eastAsia"/>
        </w:rPr>
        <w:t>密度验证</w:t>
      </w:r>
    </w:p>
    <w:p w14:paraId="7909C457">
      <w:pPr>
        <w:pStyle w:val="60"/>
        <w:ind w:firstLine="420"/>
      </w:pPr>
      <w:r>
        <w:rPr>
          <w:rFonts w:hint="eastAsia"/>
        </w:rPr>
        <w:t>按照GB/T 16783.1规定的标准程序，使用经过校准的泥浆密度计对</w:t>
      </w:r>
      <w:r>
        <w:t>样品桶</w:t>
      </w:r>
      <w:r>
        <w:rPr>
          <w:rFonts w:hint="eastAsia"/>
        </w:rPr>
        <w:t>中</w:t>
      </w:r>
      <w:r>
        <w:t>取出</w:t>
      </w:r>
      <w:r>
        <w:rPr>
          <w:rFonts w:hint="eastAsia"/>
        </w:rPr>
        <w:t>的钻井液样品进行测量。待密度计稳定后，读取并记录密度值和样品温度，通常需读取至0.01 g/cm</w:t>
      </w:r>
      <w:r>
        <w:rPr>
          <w:rFonts w:hint="eastAsia"/>
          <w:vertAlign w:val="superscript"/>
        </w:rPr>
        <w:t>3</w:t>
      </w:r>
      <w:r>
        <w:rPr>
          <w:rFonts w:hint="eastAsia"/>
        </w:rPr>
        <w:t>的精度。建议对同一份样品进行至少2～3次重复测量，取平均值作为参考标准值。</w:t>
      </w:r>
    </w:p>
    <w:p w14:paraId="15897BCD">
      <w:pPr>
        <w:pStyle w:val="60"/>
        <w:ind w:firstLine="420"/>
      </w:pPr>
      <w:r>
        <w:rPr>
          <w:rFonts w:hint="eastAsia"/>
        </w:rPr>
        <w:t>计算在线装置密度测量值与作为标准器的泥浆密度计测量值的相对误差，通常认定两者的相对误差在±5%以内，即认为在线装置满足现场测试精度要求。</w:t>
      </w:r>
    </w:p>
    <w:p w14:paraId="7303A529">
      <w:pPr>
        <w:pStyle w:val="109"/>
        <w:spacing w:before="120" w:after="120"/>
      </w:pPr>
      <w:r>
        <w:rPr>
          <w:rFonts w:hint="eastAsia"/>
        </w:rPr>
        <w:t>可溶性离子浓度验证</w:t>
      </w:r>
    </w:p>
    <w:p w14:paraId="2BCA2325">
      <w:pPr>
        <w:pStyle w:val="60"/>
        <w:ind w:firstLine="420"/>
      </w:pPr>
      <w:r>
        <w:rPr>
          <w:rFonts w:hint="eastAsia"/>
        </w:rPr>
        <w:t>对于常规分析，应在测定待测样品之前使用标准物质制作标准曲线，制作标准曲线选择6个浓度的氯离子、硫离子及钾离子标准溶液放至25 ℃恒温水槽。仪器温度补偿至25℃。将对应的测量电极按浓度由小到大的顺序放入标准溶液中，重复测量6次，取电压值的平均值为标准溶液的响应值。其中硫离子在进行测量时，需加入占溶液总比例40%的硫化物抗氧剂缓冲溶液，并加入磁力搅拌器混匀。采用最小二乘法制作响应值对标准浓度值换算成mol/L的负对数值的线性方程，并以此标准曲线对仪器进行标定。线性方程直线性的相关系统数应不小于0.99，否则应检查原因，调整后重新制作校准曲线。</w:t>
      </w:r>
    </w:p>
    <w:p w14:paraId="45F0C7DD">
      <w:pPr>
        <w:pStyle w:val="60"/>
        <w:ind w:firstLine="420"/>
      </w:pPr>
      <w:r>
        <w:rPr>
          <w:rFonts w:hint="eastAsia"/>
        </w:rPr>
        <w:t>使用校准曲线法分析时，样品测定的分析条件应与制作校准曲线时一致，选用浓度在校准曲线范围内的氯离子、硫离子及钾离子标准溶液，记录仪器三种离子浓度示值，均重复测量6次。</w:t>
      </w:r>
    </w:p>
    <w:p w14:paraId="3D869C47">
      <w:pPr>
        <w:pStyle w:val="60"/>
        <w:ind w:firstLine="420"/>
      </w:pPr>
      <w:r>
        <w:rPr>
          <w:rFonts w:hint="eastAsia"/>
        </w:rPr>
        <w:t>按下列公式计算仪器Cl</w:t>
      </w:r>
      <w:r>
        <w:rPr>
          <w:rFonts w:hint="eastAsia"/>
          <w:vertAlign w:val="superscript"/>
        </w:rPr>
        <w:t>-</w:t>
      </w:r>
      <w:r>
        <w:rPr>
          <w:rFonts w:hint="eastAsia"/>
        </w:rPr>
        <w:t>浓度、S</w:t>
      </w:r>
      <w:r>
        <w:rPr>
          <w:rFonts w:hint="eastAsia"/>
          <w:vertAlign w:val="superscript"/>
        </w:rPr>
        <w:t>2-</w:t>
      </w:r>
      <w:r>
        <w:rPr>
          <w:rFonts w:hint="eastAsia"/>
        </w:rPr>
        <w:t>浓度、K</w:t>
      </w:r>
      <w:r>
        <w:rPr>
          <w:rFonts w:hint="eastAsia"/>
          <w:vertAlign w:val="superscript"/>
        </w:rPr>
        <w:t>+</w:t>
      </w:r>
      <w:r>
        <w:rPr>
          <w:rFonts w:hint="eastAsia"/>
        </w:rPr>
        <w:t>浓度示值误差。</w:t>
      </w:r>
    </w:p>
    <w:p w14:paraId="7231D0D4">
      <w:pPr>
        <w:pStyle w:val="60"/>
        <w:ind w:firstLine="420"/>
      </w:pPr>
      <m:oMathPara>
        <m:oMath>
          <m:r>
            <m:rPr>
              <m:nor/>
              <m:sty m:val="p"/>
            </m:rPr>
            <w:rPr>
              <w:rFonts w:ascii="Cambria Math" w:hAnsi="Cambria Math"/>
            </w:rPr>
            <m:t>Δ</m:t>
          </m:r>
          <m:r>
            <m:rPr>
              <m:nor/>
            </m:rPr>
            <w:rPr>
              <w:rFonts w:ascii="Cambria Math" w:hAnsi="Cambria Math"/>
              <w:i/>
            </w:rPr>
            <m:t>c</m:t>
          </m:r>
          <m:r>
            <m:rPr>
              <m:nor/>
              <m:sty m:val="p"/>
            </m:rPr>
            <w:rPr>
              <w:rFonts w:ascii="Cambria Math" w:hAnsi="Cambria Math"/>
            </w:rPr>
            <m:t>=</m:t>
          </m:r>
          <m:f>
            <m:fPr>
              <m:ctrlPr>
                <w:rPr>
                  <w:rFonts w:ascii="Cambria Math" w:hAnsi="Cambria Math"/>
                  <w:i/>
                </w:rPr>
              </m:ctrlPr>
            </m:fPr>
            <m:num>
              <m:acc>
                <m:accPr>
                  <m:chr m:val="̅"/>
                  <m:ctrlPr>
                    <w:rPr>
                      <w:rFonts w:ascii="Cambria Math" w:hAnsi="Cambria Math"/>
                      <w:i/>
                    </w:rPr>
                  </m:ctrlPr>
                </m:accPr>
                <m:e>
                  <m:r>
                    <m:rPr>
                      <m:nor/>
                    </m:rPr>
                    <w:rPr>
                      <w:rFonts w:ascii="Cambria Math" w:hAnsi="Cambria Math"/>
                      <w:i/>
                    </w:rPr>
                    <m:t>c</m:t>
                  </m:r>
                  <m:ctrlPr>
                    <w:rPr>
                      <w:rFonts w:ascii="Cambria Math" w:hAnsi="Cambria Math"/>
                      <w:i/>
                    </w:rPr>
                  </m:ctrlPr>
                </m:e>
              </m:acc>
              <m:r>
                <m:rPr>
                  <m:nor/>
                  <m:sty m:val="p"/>
                </m:rPr>
                <w:rPr>
                  <w:rFonts w:ascii="Cambria Math" w:hAnsi="Cambria Math"/>
                </w:rPr>
                <m:t>-</m:t>
              </m:r>
              <m:sSub>
                <m:sSubPr>
                  <m:ctrlPr>
                    <w:rPr>
                      <w:rFonts w:ascii="Cambria Math" w:hAnsi="Cambria Math"/>
                      <w:i/>
                    </w:rPr>
                  </m:ctrlPr>
                </m:sSubPr>
                <m:e>
                  <m:r>
                    <m:rPr>
                      <m:nor/>
                    </m:rPr>
                    <w:rPr>
                      <w:rFonts w:ascii="Cambria Math" w:hAnsi="Cambria Math"/>
                      <w:i/>
                    </w:rPr>
                    <m:t>c</m:t>
                  </m:r>
                  <m:ctrlPr>
                    <w:rPr>
                      <w:rFonts w:ascii="Cambria Math" w:hAnsi="Cambria Math"/>
                      <w:i/>
                    </w:rPr>
                  </m:ctrlPr>
                </m:e>
                <m:sub>
                  <m:r>
                    <m:rPr>
                      <m:nor/>
                    </m:rPr>
                    <w:rPr>
                      <w:rFonts w:ascii="Cambria Math" w:hAnsi="Cambria Math"/>
                      <w:i/>
                    </w:rPr>
                    <m:t>s</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m:nor/>
                    </m:rPr>
                    <w:rPr>
                      <w:rFonts w:ascii="Cambria Math" w:hAnsi="Cambria Math"/>
                      <w:i/>
                    </w:rPr>
                    <m:t>c</m:t>
                  </m:r>
                  <m:ctrlPr>
                    <w:rPr>
                      <w:rFonts w:ascii="Cambria Math" w:hAnsi="Cambria Math"/>
                      <w:i/>
                    </w:rPr>
                  </m:ctrlPr>
                </m:e>
                <m:sub>
                  <m:r>
                    <m:rPr>
                      <m:nor/>
                    </m:rPr>
                    <w:rPr>
                      <w:rFonts w:ascii="Cambria Math" w:hAnsi="Cambria Math"/>
                      <w:i/>
                    </w:rPr>
                    <m:t>s</m:t>
                  </m:r>
                  <m:ctrlPr>
                    <w:rPr>
                      <w:rFonts w:ascii="Cambria Math" w:hAnsi="Cambria Math"/>
                      <w:i/>
                    </w:rPr>
                  </m:ctrlPr>
                </m:sub>
              </m:sSub>
              <m:ctrlPr>
                <w:rPr>
                  <w:rFonts w:ascii="Cambria Math" w:hAnsi="Cambria Math"/>
                  <w:i/>
                </w:rPr>
              </m:ctrlPr>
            </m:den>
          </m:f>
          <m:r>
            <m:rPr>
              <m:nor/>
              <m:sty m:val="p"/>
            </m:rPr>
            <w:rPr>
              <w:rFonts w:ascii="Cambria Math" w:hAnsi="Cambria Math"/>
            </w:rPr>
            <m:t>×%</m:t>
          </m:r>
        </m:oMath>
      </m:oMathPara>
    </w:p>
    <w:p w14:paraId="01323362">
      <w:pPr>
        <w:pStyle w:val="60"/>
        <w:ind w:firstLine="420"/>
      </w:pPr>
      <w:r>
        <w:rPr>
          <w:rFonts w:hint="eastAsia"/>
        </w:rPr>
        <w:t xml:space="preserve">式中： </w:t>
      </w:r>
    </w:p>
    <w:p w14:paraId="7DE9EF9E">
      <w:pPr>
        <w:pStyle w:val="60"/>
        <w:ind w:firstLine="420"/>
      </w:pPr>
      <m:oMath>
        <m:r>
          <m:rPr>
            <m:nor/>
            <m:sty m:val="p"/>
          </m:rPr>
          <w:rPr>
            <w:rFonts w:ascii="Cambria Math" w:hAnsi="Cambria Math"/>
          </w:rPr>
          <m:t>Δ</m:t>
        </m:r>
        <m:r>
          <m:rPr>
            <m:nor/>
          </m:rPr>
          <w:rPr>
            <w:rFonts w:ascii="Cambria Math" w:hAnsi="Cambria Math"/>
            <w:i/>
          </w:rPr>
          <m:t>c</m:t>
        </m:r>
      </m:oMath>
      <w:r>
        <w:rPr>
          <w:rFonts w:hint="eastAsia"/>
        </w:rPr>
        <w:t xml:space="preserve"> ——仪器离子浓度（Cl</w:t>
      </w:r>
      <w:r>
        <w:rPr>
          <w:rFonts w:hint="eastAsia"/>
          <w:vertAlign w:val="superscript"/>
        </w:rPr>
        <w:t>-</w:t>
      </w:r>
      <w:r>
        <w:rPr>
          <w:rFonts w:hint="eastAsia"/>
        </w:rPr>
        <w:t xml:space="preserve"> /S</w:t>
      </w:r>
      <w:r>
        <w:rPr>
          <w:rFonts w:hint="eastAsia"/>
          <w:vertAlign w:val="superscript"/>
        </w:rPr>
        <w:t>2-</w:t>
      </w:r>
      <w:r>
        <w:rPr>
          <w:rFonts w:hint="eastAsia"/>
        </w:rPr>
        <w:t xml:space="preserve"> /K</w:t>
      </w:r>
      <w:r>
        <w:rPr>
          <w:rFonts w:hint="eastAsia"/>
          <w:vertAlign w:val="superscript"/>
        </w:rPr>
        <w:t>+</w:t>
      </w:r>
      <w:r>
        <w:rPr>
          <w:rFonts w:hint="eastAsia"/>
        </w:rPr>
        <w:t>）示值误差，%；</w:t>
      </w:r>
    </w:p>
    <w:p w14:paraId="129A895F">
      <w:pPr>
        <w:pStyle w:val="60"/>
        <w:ind w:firstLine="420"/>
      </w:pPr>
      <m:oMath>
        <m:acc>
          <m:accPr>
            <m:chr m:val="̅"/>
            <m:ctrlPr>
              <w:rPr>
                <w:rFonts w:ascii="Cambria Math" w:hAnsi="Cambria Math"/>
                <w:i/>
              </w:rPr>
            </m:ctrlPr>
          </m:accPr>
          <m:e>
            <m:r>
              <m:rPr>
                <m:nor/>
              </m:rPr>
              <w:rPr>
                <w:rFonts w:ascii="Cambria Math" w:hAnsi="Cambria Math"/>
                <w:i/>
              </w:rPr>
              <m:t>c</m:t>
            </m:r>
            <m:ctrlPr>
              <w:rPr>
                <w:rFonts w:ascii="Cambria Math" w:hAnsi="Cambria Math"/>
                <w:i/>
              </w:rPr>
            </m:ctrlPr>
          </m:e>
        </m:acc>
      </m:oMath>
      <w:r>
        <w:rPr>
          <w:rFonts w:hint="eastAsia"/>
        </w:rPr>
        <w:t xml:space="preserve"> </w:t>
      </w:r>
      <w:r>
        <w:t>——</w:t>
      </w:r>
      <w:r>
        <w:rPr>
          <w:rFonts w:hint="eastAsia"/>
        </w:rPr>
        <w:t>仪器示值平均值，</w:t>
      </w:r>
      <w:r>
        <w:t>mg/L</w:t>
      </w:r>
      <w:r>
        <w:rPr>
          <w:rFonts w:hint="eastAsia"/>
        </w:rPr>
        <w:t>；</w:t>
      </w:r>
    </w:p>
    <w:p w14:paraId="5EE4CCE2">
      <w:pPr>
        <w:pStyle w:val="60"/>
        <w:ind w:firstLine="420"/>
      </w:pPr>
      <m:oMath>
        <m:sSub>
          <m:sSubPr>
            <m:ctrlPr>
              <w:rPr>
                <w:rFonts w:ascii="Cambria Math" w:hAnsi="Cambria Math"/>
                <w:i/>
              </w:rPr>
            </m:ctrlPr>
          </m:sSubPr>
          <m:e>
            <m:r>
              <m:rPr>
                <m:nor/>
              </m:rPr>
              <w:rPr>
                <w:rFonts w:ascii="Cambria Math" w:hAnsi="Cambria Math"/>
                <w:i/>
              </w:rPr>
              <m:t>c</m:t>
            </m:r>
            <m:ctrlPr>
              <w:rPr>
                <w:rFonts w:ascii="Cambria Math" w:hAnsi="Cambria Math"/>
                <w:i/>
              </w:rPr>
            </m:ctrlPr>
          </m:e>
          <m:sub>
            <m:r>
              <m:rPr>
                <m:nor/>
              </m:rPr>
              <w:rPr>
                <w:rFonts w:ascii="Cambria Math" w:hAnsi="Cambria Math"/>
                <w:i/>
              </w:rPr>
              <m:t>s</m:t>
            </m:r>
            <m:ctrlPr>
              <w:rPr>
                <w:rFonts w:ascii="Cambria Math" w:hAnsi="Cambria Math"/>
                <w:i/>
              </w:rPr>
            </m:ctrlPr>
          </m:sub>
        </m:sSub>
      </m:oMath>
      <w:r>
        <w:rPr>
          <w:rFonts w:hint="eastAsia"/>
        </w:rPr>
        <w:t xml:space="preserve"> ——标准溶液浓度值，mg/L。</w:t>
      </w:r>
    </w:p>
    <w:p w14:paraId="6CA7D91A">
      <w:pPr>
        <w:pStyle w:val="60"/>
        <w:ind w:firstLine="420"/>
      </w:pPr>
      <w:r>
        <w:rPr>
          <w:rFonts w:hint="eastAsia"/>
        </w:rPr>
        <w:t>通常认定两者的相对误差在±10%以内，即认为离子选择电极满足现场测试精度要求</w:t>
      </w:r>
    </w:p>
    <w:p w14:paraId="3909E334">
      <w:pPr>
        <w:pStyle w:val="108"/>
        <w:spacing w:before="240" w:after="240"/>
        <w:rPr>
          <w:b/>
        </w:rPr>
      </w:pPr>
      <w:r>
        <w:rPr>
          <w:rFonts w:hint="eastAsia"/>
        </w:rPr>
        <w:t>精密度</w:t>
      </w:r>
    </w:p>
    <w:p w14:paraId="4B5E25D8">
      <w:pPr>
        <w:pStyle w:val="109"/>
        <w:spacing w:before="120" w:after="120"/>
      </w:pPr>
      <w:r>
        <w:rPr>
          <w:rFonts w:hint="eastAsia"/>
        </w:rPr>
        <w:t>重复性</w:t>
      </w:r>
    </w:p>
    <w:p w14:paraId="54881FAE">
      <w:pPr>
        <w:pStyle w:val="239"/>
      </w:pPr>
      <w:r>
        <w:rPr>
          <w:rFonts w:hint="eastAsia"/>
        </w:rPr>
        <w:t>在重复性测量条件（相同测量程序、相同操作者、相同测量系统、相同操作条件和相同地点，并在短时间内对同一或相类似的被测对象重复测量的一组测量条件）下进行连续测试，计算测量结果平均值的相对标准偏差，即得到重复性数据。各参数重复性应满足表5要求。</w:t>
      </w:r>
    </w:p>
    <w:p w14:paraId="493170A6">
      <w:pPr>
        <w:pStyle w:val="116"/>
        <w:spacing w:before="120" w:after="120"/>
      </w:pPr>
      <w:r>
        <w:rPr>
          <w:rFonts w:hint="eastAsia"/>
        </w:rPr>
        <w:t>各参数的重复性技术要求</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46"/>
        <w:gridCol w:w="2345"/>
      </w:tblGrid>
      <w:tr w14:paraId="500157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2346" w:type="dxa"/>
            <w:vAlign w:val="center"/>
          </w:tcPr>
          <w:p w14:paraId="382E56AE">
            <w:pPr>
              <w:pStyle w:val="182"/>
              <w:rPr>
                <w:szCs w:val="18"/>
              </w:rPr>
            </w:pPr>
            <w:r>
              <w:rPr>
                <w:rFonts w:hint="eastAsia"/>
                <w:szCs w:val="18"/>
              </w:rPr>
              <w:t>组分名称</w:t>
            </w:r>
          </w:p>
        </w:tc>
        <w:tc>
          <w:tcPr>
            <w:tcW w:w="2345" w:type="dxa"/>
            <w:tcBorders>
              <w:top w:val="single" w:color="auto" w:sz="8" w:space="0"/>
            </w:tcBorders>
            <w:vAlign w:val="center"/>
          </w:tcPr>
          <w:p w14:paraId="3951F9A4">
            <w:pPr>
              <w:pStyle w:val="182"/>
              <w:rPr>
                <w:szCs w:val="18"/>
              </w:rPr>
            </w:pPr>
            <w:r>
              <w:rPr>
                <w:rFonts w:hint="eastAsia"/>
              </w:rPr>
              <w:t>重复性技术要求</w:t>
            </w:r>
          </w:p>
        </w:tc>
      </w:tr>
      <w:tr w14:paraId="6C2D44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1" w:hRule="atLeast"/>
          <w:jc w:val="center"/>
        </w:trPr>
        <w:tc>
          <w:tcPr>
            <w:tcW w:w="2346" w:type="dxa"/>
            <w:vAlign w:val="center"/>
          </w:tcPr>
          <w:p w14:paraId="6A24B040">
            <w:pPr>
              <w:pStyle w:val="182"/>
              <w:rPr>
                <w:rFonts w:hint="eastAsia" w:hAnsi="宋体"/>
                <w:szCs w:val="18"/>
              </w:rPr>
            </w:pPr>
            <w:r>
              <w:rPr>
                <w:rFonts w:hint="eastAsia" w:hAnsi="宋体"/>
                <w:szCs w:val="18"/>
              </w:rPr>
              <w:t>表观粘度</w:t>
            </w:r>
          </w:p>
        </w:tc>
        <w:tc>
          <w:tcPr>
            <w:tcW w:w="2345" w:type="dxa"/>
            <w:vAlign w:val="center"/>
          </w:tcPr>
          <w:p w14:paraId="07EE90AA">
            <w:pPr>
              <w:pStyle w:val="182"/>
              <w:rPr>
                <w:rFonts w:hint="eastAsia" w:hAnsi="宋体"/>
                <w:szCs w:val="18"/>
              </w:rPr>
            </w:pPr>
            <w:r>
              <w:rPr>
                <w:rFonts w:hint="eastAsia" w:hAnsi="宋体"/>
                <w:szCs w:val="18"/>
              </w:rPr>
              <w:t>3%</w:t>
            </w:r>
          </w:p>
        </w:tc>
      </w:tr>
      <w:tr w14:paraId="48005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1" w:hRule="atLeast"/>
          <w:jc w:val="center"/>
        </w:trPr>
        <w:tc>
          <w:tcPr>
            <w:tcW w:w="2346" w:type="dxa"/>
            <w:vAlign w:val="center"/>
          </w:tcPr>
          <w:p w14:paraId="1FB8777B">
            <w:pPr>
              <w:pStyle w:val="182"/>
              <w:rPr>
                <w:rFonts w:hint="eastAsia" w:hAnsi="宋体"/>
                <w:szCs w:val="18"/>
              </w:rPr>
            </w:pPr>
            <w:r>
              <w:rPr>
                <w:rFonts w:hint="eastAsia" w:hAnsi="宋体"/>
                <w:szCs w:val="18"/>
              </w:rPr>
              <w:t>塑性粘度</w:t>
            </w:r>
          </w:p>
        </w:tc>
        <w:tc>
          <w:tcPr>
            <w:tcW w:w="2345" w:type="dxa"/>
          </w:tcPr>
          <w:p w14:paraId="797FCD20">
            <w:pPr>
              <w:pStyle w:val="182"/>
              <w:rPr>
                <w:rFonts w:hint="eastAsia" w:hAnsi="宋体"/>
                <w:szCs w:val="18"/>
              </w:rPr>
            </w:pPr>
            <w:r>
              <w:rPr>
                <w:rFonts w:hint="eastAsia" w:hAnsi="宋体"/>
                <w:szCs w:val="18"/>
              </w:rPr>
              <w:t>3%</w:t>
            </w:r>
          </w:p>
        </w:tc>
      </w:tr>
      <w:tr w14:paraId="699544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1" w:hRule="atLeast"/>
          <w:jc w:val="center"/>
        </w:trPr>
        <w:tc>
          <w:tcPr>
            <w:tcW w:w="2346" w:type="dxa"/>
            <w:vAlign w:val="center"/>
          </w:tcPr>
          <w:p w14:paraId="50C26E60">
            <w:pPr>
              <w:pStyle w:val="182"/>
              <w:rPr>
                <w:rFonts w:hint="eastAsia" w:hAnsi="宋体"/>
                <w:szCs w:val="18"/>
              </w:rPr>
            </w:pPr>
            <w:r>
              <w:rPr>
                <w:rFonts w:hint="eastAsia" w:hAnsi="宋体"/>
                <w:szCs w:val="18"/>
              </w:rPr>
              <w:t>动切力</w:t>
            </w:r>
          </w:p>
        </w:tc>
        <w:tc>
          <w:tcPr>
            <w:tcW w:w="2345" w:type="dxa"/>
          </w:tcPr>
          <w:p w14:paraId="05E75BBE">
            <w:pPr>
              <w:pStyle w:val="182"/>
              <w:rPr>
                <w:rFonts w:hint="eastAsia" w:hAnsi="宋体"/>
                <w:szCs w:val="18"/>
              </w:rPr>
            </w:pPr>
            <w:r>
              <w:rPr>
                <w:rFonts w:hint="eastAsia" w:hAnsi="宋体"/>
                <w:szCs w:val="18"/>
              </w:rPr>
              <w:t>3%</w:t>
            </w:r>
          </w:p>
        </w:tc>
      </w:tr>
      <w:tr w14:paraId="771B3E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1" w:hRule="atLeast"/>
          <w:jc w:val="center"/>
        </w:trPr>
        <w:tc>
          <w:tcPr>
            <w:tcW w:w="2346" w:type="dxa"/>
            <w:vAlign w:val="center"/>
          </w:tcPr>
          <w:p w14:paraId="1E771A87">
            <w:pPr>
              <w:pStyle w:val="182"/>
              <w:rPr>
                <w:rFonts w:hint="eastAsia" w:hAnsi="宋体"/>
                <w:szCs w:val="18"/>
              </w:rPr>
            </w:pPr>
            <w:r>
              <w:rPr>
                <w:rFonts w:hint="eastAsia" w:hAnsi="宋体"/>
                <w:szCs w:val="18"/>
              </w:rPr>
              <w:t>漏斗粘度</w:t>
            </w:r>
          </w:p>
        </w:tc>
        <w:tc>
          <w:tcPr>
            <w:tcW w:w="2345" w:type="dxa"/>
          </w:tcPr>
          <w:p w14:paraId="1990BAF2">
            <w:pPr>
              <w:pStyle w:val="182"/>
              <w:rPr>
                <w:rFonts w:hint="eastAsia" w:hAnsi="宋体"/>
                <w:szCs w:val="18"/>
              </w:rPr>
            </w:pPr>
            <w:r>
              <w:rPr>
                <w:rFonts w:hint="eastAsia" w:hAnsi="宋体"/>
                <w:szCs w:val="18"/>
              </w:rPr>
              <w:t>3%</w:t>
            </w:r>
          </w:p>
        </w:tc>
      </w:tr>
      <w:tr w14:paraId="4B87F8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1" w:hRule="atLeast"/>
          <w:jc w:val="center"/>
        </w:trPr>
        <w:tc>
          <w:tcPr>
            <w:tcW w:w="2346" w:type="dxa"/>
            <w:vAlign w:val="center"/>
          </w:tcPr>
          <w:p w14:paraId="773F478B">
            <w:pPr>
              <w:pStyle w:val="182"/>
              <w:rPr>
                <w:rFonts w:hint="eastAsia" w:hAnsi="宋体"/>
                <w:szCs w:val="18"/>
              </w:rPr>
            </w:pPr>
            <w:r>
              <w:rPr>
                <w:rFonts w:hint="eastAsia"/>
                <w:szCs w:val="18"/>
              </w:rPr>
              <w:t>密度</w:t>
            </w:r>
          </w:p>
        </w:tc>
        <w:tc>
          <w:tcPr>
            <w:tcW w:w="2345" w:type="dxa"/>
            <w:vAlign w:val="center"/>
          </w:tcPr>
          <w:p w14:paraId="51A895CF">
            <w:pPr>
              <w:pStyle w:val="182"/>
              <w:rPr>
                <w:rFonts w:hint="eastAsia" w:hAnsi="宋体"/>
                <w:szCs w:val="18"/>
              </w:rPr>
            </w:pPr>
            <w:r>
              <w:rPr>
                <w:rFonts w:hint="eastAsia" w:hAnsi="宋体"/>
                <w:szCs w:val="18"/>
              </w:rPr>
              <w:t>3%</w:t>
            </w:r>
          </w:p>
        </w:tc>
      </w:tr>
      <w:tr w14:paraId="2EDBBC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1" w:hRule="atLeast"/>
          <w:jc w:val="center"/>
        </w:trPr>
        <w:tc>
          <w:tcPr>
            <w:tcW w:w="2346" w:type="dxa"/>
            <w:vAlign w:val="center"/>
          </w:tcPr>
          <w:p w14:paraId="6B2A6DAB">
            <w:pPr>
              <w:pStyle w:val="182"/>
              <w:rPr>
                <w:rFonts w:hint="eastAsia" w:hAnsi="宋体"/>
                <w:szCs w:val="18"/>
              </w:rPr>
            </w:pPr>
            <w:r>
              <w:rPr>
                <w:rFonts w:hint="eastAsia" w:hAnsi="宋体"/>
                <w:szCs w:val="18"/>
              </w:rPr>
              <w:t>氯离子</w:t>
            </w:r>
          </w:p>
        </w:tc>
        <w:tc>
          <w:tcPr>
            <w:tcW w:w="2345" w:type="dxa"/>
            <w:vAlign w:val="center"/>
          </w:tcPr>
          <w:p w14:paraId="7BE98B12">
            <w:pPr>
              <w:pStyle w:val="182"/>
              <w:rPr>
                <w:rFonts w:hint="eastAsia" w:hAnsi="宋体"/>
                <w:szCs w:val="18"/>
              </w:rPr>
            </w:pPr>
            <w:r>
              <w:rPr>
                <w:rFonts w:hint="eastAsia" w:hAnsi="宋体"/>
                <w:szCs w:val="18"/>
              </w:rPr>
              <w:t>5%</w:t>
            </w:r>
          </w:p>
        </w:tc>
      </w:tr>
      <w:tr w14:paraId="592603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2346" w:type="dxa"/>
            <w:vAlign w:val="center"/>
          </w:tcPr>
          <w:p w14:paraId="3EE052D7">
            <w:pPr>
              <w:pStyle w:val="182"/>
              <w:rPr>
                <w:rFonts w:hint="eastAsia" w:hAnsi="宋体"/>
                <w:szCs w:val="18"/>
              </w:rPr>
            </w:pPr>
            <w:r>
              <w:rPr>
                <w:rFonts w:hint="eastAsia" w:hAnsi="宋体"/>
                <w:szCs w:val="18"/>
              </w:rPr>
              <w:t>硫离子</w:t>
            </w:r>
          </w:p>
        </w:tc>
        <w:tc>
          <w:tcPr>
            <w:tcW w:w="2345" w:type="dxa"/>
          </w:tcPr>
          <w:p w14:paraId="5472DC91">
            <w:pPr>
              <w:pStyle w:val="182"/>
              <w:rPr>
                <w:rFonts w:hint="eastAsia" w:hAnsi="宋体"/>
                <w:szCs w:val="18"/>
              </w:rPr>
            </w:pPr>
            <w:r>
              <w:rPr>
                <w:rFonts w:hint="eastAsia"/>
              </w:rPr>
              <w:t>5%</w:t>
            </w:r>
          </w:p>
        </w:tc>
      </w:tr>
      <w:tr w14:paraId="6860E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18" w:hRule="atLeast"/>
          <w:jc w:val="center"/>
        </w:trPr>
        <w:tc>
          <w:tcPr>
            <w:tcW w:w="2346" w:type="dxa"/>
            <w:vAlign w:val="center"/>
          </w:tcPr>
          <w:p w14:paraId="22706626">
            <w:pPr>
              <w:pStyle w:val="182"/>
              <w:rPr>
                <w:rFonts w:hint="eastAsia" w:hAnsi="宋体"/>
                <w:szCs w:val="18"/>
              </w:rPr>
            </w:pPr>
            <w:r>
              <w:rPr>
                <w:rFonts w:hint="eastAsia" w:hAnsi="宋体"/>
                <w:szCs w:val="18"/>
              </w:rPr>
              <w:t>钾离子</w:t>
            </w:r>
          </w:p>
        </w:tc>
        <w:tc>
          <w:tcPr>
            <w:tcW w:w="2345" w:type="dxa"/>
          </w:tcPr>
          <w:p w14:paraId="4D43AC74">
            <w:pPr>
              <w:pStyle w:val="182"/>
              <w:rPr>
                <w:rFonts w:hint="eastAsia" w:hAnsi="宋体"/>
                <w:szCs w:val="18"/>
              </w:rPr>
            </w:pPr>
            <w:r>
              <w:rPr>
                <w:rFonts w:hint="eastAsia"/>
              </w:rPr>
              <w:t>5%</w:t>
            </w:r>
          </w:p>
        </w:tc>
      </w:tr>
    </w:tbl>
    <w:p w14:paraId="398180CA">
      <w:pPr>
        <w:pStyle w:val="108"/>
        <w:spacing w:before="240" w:after="240"/>
        <w:rPr>
          <w:b/>
        </w:rPr>
      </w:pPr>
      <w:r>
        <w:rPr>
          <w:rFonts w:hint="eastAsia"/>
        </w:rPr>
        <w:t>仪器保养及维护</w:t>
      </w:r>
    </w:p>
    <w:p w14:paraId="6FB6B5B8">
      <w:pPr>
        <w:pStyle w:val="109"/>
        <w:spacing w:before="120" w:after="120"/>
      </w:pPr>
      <w:r>
        <w:rPr>
          <w:rFonts w:hint="eastAsia"/>
        </w:rPr>
        <w:t>硬件设备维护</w:t>
      </w:r>
    </w:p>
    <w:p w14:paraId="4F6635C6">
      <w:pPr>
        <w:pStyle w:val="60"/>
        <w:ind w:firstLine="420"/>
      </w:pPr>
      <w:r>
        <w:rPr>
          <w:rFonts w:hint="eastAsia"/>
        </w:rPr>
        <w:t>当设备处于长时间工作状态下，需注意设备运行状态，定期对硬件设备进行维护及检修。</w:t>
      </w:r>
    </w:p>
    <w:p w14:paraId="53D937D1">
      <w:pPr>
        <w:pStyle w:val="60"/>
        <w:ind w:firstLine="420"/>
      </w:pPr>
      <w:r>
        <w:rPr>
          <w:rFonts w:hint="eastAsia"/>
        </w:rPr>
        <w:t>启动设备，检查设备是否有异响；检查是否有螺栓松动；检查阀执行器有无晃动；检查离心泵隔膜阀油液是否充足；检查计量泵抽吸口处是否漏水，且无专业人士指导下，不得触碰计量泵流量设置；定期检查离子选择电极工作状态是否健康；定期检查搅拌罐冲洗排泄是否正常，且无重晶石固定堵塞状况；检查搅拌器密封油及机油是否充足；检查管线状态。</w:t>
      </w:r>
    </w:p>
    <w:p w14:paraId="72C0E547">
      <w:pPr>
        <w:pStyle w:val="109"/>
        <w:spacing w:before="120" w:after="120"/>
      </w:pPr>
      <w:r>
        <w:rPr>
          <w:rFonts w:hint="eastAsia"/>
        </w:rPr>
        <w:t>离子选择电极保养</w:t>
      </w:r>
    </w:p>
    <w:p w14:paraId="6D28B825">
      <w:pPr>
        <w:pStyle w:val="60"/>
        <w:ind w:firstLine="420"/>
      </w:pPr>
      <w:r>
        <w:rPr>
          <w:rFonts w:hint="eastAsia"/>
        </w:rPr>
        <w:t>参比电极应常温干燥避光存放；参比电极内置溶液不应含有气泡，以免阻断测量回路或造成测量曲线异常，若有气泡，可竖起参比电极用手指轻弹，使气泡上浮；电极作为基准元器件，直接影响测试结果，有一定的使用寿命，较容易损坏，需经常进行校准及更换。</w:t>
      </w:r>
    </w:p>
    <w:p w14:paraId="15BBEFFE">
      <w:pPr>
        <w:pStyle w:val="108"/>
        <w:spacing w:before="240" w:after="240"/>
        <w:rPr>
          <w:b/>
        </w:rPr>
      </w:pPr>
      <w:r>
        <w:rPr>
          <w:rFonts w:hint="eastAsia"/>
        </w:rPr>
        <w:t>质量保证和控制</w:t>
      </w:r>
    </w:p>
    <w:p w14:paraId="00E4687E">
      <w:pPr>
        <w:pStyle w:val="109"/>
        <w:spacing w:before="120" w:after="120"/>
      </w:pPr>
      <w:r>
        <w:rPr>
          <w:rFonts w:hint="eastAsia"/>
        </w:rPr>
        <w:t>测量结果质量控制方法</w:t>
      </w:r>
    </w:p>
    <w:p w14:paraId="0F458F99">
      <w:pPr>
        <w:pStyle w:val="60"/>
        <w:ind w:firstLine="420"/>
      </w:pPr>
      <w:r>
        <w:rPr>
          <w:rFonts w:hint="eastAsia"/>
        </w:rPr>
        <w:t xml:space="preserve">测量结果宜依据GB/T </w:t>
      </w:r>
      <w:r>
        <w:t>17989.2</w:t>
      </w:r>
      <w:r>
        <w:rPr>
          <w:rFonts w:hint="eastAsia"/>
        </w:rPr>
        <w:t>规定的方法进行质量控制。</w:t>
      </w:r>
    </w:p>
    <w:p w14:paraId="5C9F70EF">
      <w:pPr>
        <w:pStyle w:val="109"/>
        <w:spacing w:before="120" w:after="120"/>
      </w:pPr>
      <w:r>
        <w:rPr>
          <w:rFonts w:hint="eastAsia"/>
        </w:rPr>
        <w:t>计量设备基本要求</w:t>
      </w:r>
    </w:p>
    <w:p w14:paraId="48E06317">
      <w:pPr>
        <w:pStyle w:val="60"/>
        <w:ind w:firstLine="420"/>
      </w:pPr>
      <w:r>
        <w:rPr>
          <w:rFonts w:hint="eastAsia"/>
        </w:rPr>
        <w:t>所有计量设备，都应经过有效溯源并确认其满足使用要求。</w:t>
      </w:r>
    </w:p>
    <w:p w14:paraId="68859D7F">
      <w:pPr>
        <w:pStyle w:val="109"/>
        <w:spacing w:before="120" w:after="120"/>
      </w:pPr>
      <w:r>
        <w:rPr>
          <w:rFonts w:hint="eastAsia"/>
        </w:rPr>
        <w:t>性能核查</w:t>
      </w:r>
    </w:p>
    <w:p w14:paraId="1736C1BD">
      <w:pPr>
        <w:pStyle w:val="60"/>
        <w:spacing w:before="156" w:after="156"/>
        <w:ind w:firstLine="420"/>
      </w:pPr>
      <w:r>
        <w:rPr>
          <w:rFonts w:hint="eastAsia"/>
        </w:rPr>
        <w:t>每次仪器开机稳定后、进样前应进行性能核查，如出现性能明显变差影响分析结果，应联系厂家进行处理。</w:t>
      </w:r>
    </w:p>
    <w:p w14:paraId="44A0EACC">
      <w:pPr>
        <w:pStyle w:val="109"/>
        <w:spacing w:before="120" w:after="120"/>
      </w:pPr>
      <w:r>
        <w:rPr>
          <w:rFonts w:hint="eastAsia"/>
        </w:rPr>
        <w:t>维护周期</w:t>
      </w:r>
    </w:p>
    <w:p w14:paraId="37407167">
      <w:pPr>
        <w:pStyle w:val="60"/>
        <w:spacing w:before="156" w:after="156"/>
        <w:ind w:firstLine="420"/>
      </w:pPr>
      <w:r>
        <w:rPr>
          <w:rFonts w:hint="eastAsia"/>
        </w:rPr>
        <w:t>离子选择电极测量单元的维护周期宜为1个月，流变性和密度的维护周期宜为6个月。</w:t>
      </w:r>
    </w:p>
    <w:p w14:paraId="63E9A7D5">
      <w:pPr>
        <w:pStyle w:val="108"/>
        <w:spacing w:before="240" w:after="240"/>
        <w:rPr>
          <w:b/>
        </w:rPr>
      </w:pPr>
      <w:r>
        <w:rPr>
          <w:rFonts w:hint="eastAsia"/>
        </w:rPr>
        <w:t>健康安全与环境保护要求</w:t>
      </w:r>
    </w:p>
    <w:p w14:paraId="15D87CBC">
      <w:pPr>
        <w:pStyle w:val="109"/>
        <w:spacing w:before="120" w:after="120"/>
      </w:pPr>
      <w:r>
        <w:rPr>
          <w:rFonts w:hint="eastAsia"/>
        </w:rPr>
        <w:t>健康安全要求</w:t>
      </w:r>
    </w:p>
    <w:p w14:paraId="2D35F06B">
      <w:pPr>
        <w:pStyle w:val="60"/>
        <w:ind w:firstLine="420"/>
      </w:pPr>
      <w:r>
        <w:rPr>
          <w:rFonts w:hint="eastAsia"/>
        </w:rPr>
        <w:t>该测试方法应就可能出现的危险性提出安全建议或提供对应安全技术说明书。现场操作时应严格遵守井场带电设备的操作规程，避免靠近或接触设备的旋转部件，避免带电直接打开设备的防爆柜，避免身体直接接触设备的强电线路，如出现意外伤害情况，应及时就医。</w:t>
      </w:r>
    </w:p>
    <w:p w14:paraId="30096137">
      <w:pPr>
        <w:pStyle w:val="109"/>
        <w:spacing w:before="120" w:after="120"/>
      </w:pPr>
      <w:r>
        <w:rPr>
          <w:rFonts w:hint="eastAsia"/>
        </w:rPr>
        <w:t>运输要求</w:t>
      </w:r>
    </w:p>
    <w:p w14:paraId="72E3514C">
      <w:pPr>
        <w:pStyle w:val="60"/>
        <w:ind w:firstLine="420"/>
      </w:pPr>
      <w:r>
        <w:rPr>
          <w:rFonts w:hint="eastAsia"/>
        </w:rPr>
        <w:t>钻井液性能在线监测装置在运输搬运过程中，应防止装置掉落，倾倒等，避免损坏内部的元器件。运输过程中应将内部的活动部件进行有效固定。</w:t>
      </w:r>
    </w:p>
    <w:p w14:paraId="638135DB">
      <w:pPr>
        <w:pStyle w:val="109"/>
        <w:spacing w:before="120" w:after="120"/>
      </w:pPr>
      <w:r>
        <w:rPr>
          <w:rFonts w:hint="eastAsia"/>
        </w:rPr>
        <w:t>环境保护要求</w:t>
      </w:r>
    </w:p>
    <w:p w14:paraId="6EFBF29D">
      <w:pPr>
        <w:pStyle w:val="60"/>
        <w:ind w:firstLine="420"/>
      </w:pPr>
      <w:r>
        <w:rPr>
          <w:rFonts w:hint="eastAsia"/>
        </w:rPr>
        <w:t>钻井液性能在线监测装置在井场运行的过程中，底部应铺设防渗布，且四周设置围堰，防止装置内部由于管路损坏造成钻井液外溢，从而污染周围环境。且进出口管钱应有效紧固密封，防止钻井液渗漏，关键接头处下方应设置接液盘。</w:t>
      </w:r>
    </w:p>
    <w:p w14:paraId="27BD00D3">
      <w:pPr>
        <w:pStyle w:val="109"/>
        <w:spacing w:before="120" w:after="120"/>
      </w:pPr>
      <w:r>
        <w:rPr>
          <w:rFonts w:hint="eastAsia"/>
        </w:rPr>
        <w:t>危机情况急停流程</w:t>
      </w:r>
    </w:p>
    <w:p w14:paraId="18D561CA">
      <w:pPr>
        <w:pStyle w:val="60"/>
        <w:ind w:firstLine="420"/>
      </w:pPr>
      <w:r>
        <w:rPr>
          <w:rFonts w:hint="eastAsia"/>
        </w:rPr>
        <w:t>待所有测量路程结束后，仪器会自动转为待机状态，此时为停止检测状态。</w:t>
      </w:r>
    </w:p>
    <w:p w14:paraId="76391409">
      <w:pPr>
        <w:pStyle w:val="60"/>
        <w:ind w:firstLine="420"/>
      </w:pPr>
      <w:r>
        <w:rPr>
          <w:rFonts w:hint="eastAsia"/>
        </w:rPr>
        <w:t>出现突发情况，例如管道漏水，要停止测量，只需点击上位机的球阀复位按钮，此时所有球阀和仪器复位为初始状态，可临时停止监测。</w:t>
      </w:r>
    </w:p>
    <w:p w14:paraId="0E014FE5">
      <w:pPr>
        <w:pStyle w:val="108"/>
        <w:spacing w:before="240" w:after="240"/>
        <w:rPr>
          <w:b/>
        </w:rPr>
      </w:pPr>
      <w:bookmarkStart w:id="85" w:name="_Hlk172904789"/>
      <w:r>
        <w:rPr>
          <w:rFonts w:hint="eastAsia"/>
        </w:rPr>
        <w:t>测试报告</w:t>
      </w:r>
    </w:p>
    <w:p w14:paraId="69A685C0">
      <w:pPr>
        <w:pStyle w:val="60"/>
        <w:spacing w:before="156" w:after="156"/>
        <w:ind w:firstLine="420"/>
      </w:pPr>
      <w:r>
        <w:rPr>
          <w:rFonts w:hint="eastAsia"/>
        </w:rPr>
        <w:t>测试报告至少应给出以下内容：</w:t>
      </w:r>
      <w:r>
        <w:t xml:space="preserve"> </w:t>
      </w:r>
    </w:p>
    <w:p w14:paraId="34661801">
      <w:pPr>
        <w:pStyle w:val="136"/>
        <w:tabs>
          <w:tab w:val="left" w:pos="1560"/>
        </w:tabs>
      </w:pPr>
      <w:r>
        <w:rPr>
          <w:rFonts w:hint="eastAsia"/>
        </w:rPr>
        <w:t>测试对象的描述，例如样品的名称、编号、状态、采样点、采样日期和时间；</w:t>
      </w:r>
    </w:p>
    <w:p w14:paraId="4BB39E80">
      <w:pPr>
        <w:pStyle w:val="136"/>
        <w:tabs>
          <w:tab w:val="left" w:pos="1560"/>
        </w:tabs>
      </w:pPr>
      <w:r>
        <w:rPr>
          <w:rFonts w:hint="eastAsia"/>
        </w:rPr>
        <w:t>本文件名称及编号、采样方法、分析方法等；</w:t>
      </w:r>
    </w:p>
    <w:p w14:paraId="44D480EC">
      <w:pPr>
        <w:pStyle w:val="136"/>
        <w:numPr>
          <w:ilvl w:val="0"/>
          <w:numId w:val="0"/>
        </w:numPr>
        <w:tabs>
          <w:tab w:val="left" w:pos="1560"/>
        </w:tabs>
        <w:ind w:left="425"/>
      </w:pPr>
      <w:r>
        <w:rPr>
          <w:rFonts w:hint="eastAsia"/>
        </w:rPr>
        <w:t>——操作条件；</w:t>
      </w:r>
    </w:p>
    <w:p w14:paraId="2762B135">
      <w:pPr>
        <w:pStyle w:val="136"/>
        <w:numPr>
          <w:ilvl w:val="0"/>
          <w:numId w:val="0"/>
        </w:numPr>
        <w:tabs>
          <w:tab w:val="left" w:pos="1560"/>
        </w:tabs>
        <w:ind w:left="425"/>
      </w:pPr>
      <w:r>
        <w:rPr>
          <w:rFonts w:hint="eastAsia"/>
        </w:rPr>
        <w:t>——测试结果；</w:t>
      </w:r>
    </w:p>
    <w:p w14:paraId="1034FF12">
      <w:pPr>
        <w:pStyle w:val="136"/>
        <w:numPr>
          <w:ilvl w:val="0"/>
          <w:numId w:val="0"/>
        </w:numPr>
        <w:tabs>
          <w:tab w:val="left" w:pos="1560"/>
        </w:tabs>
        <w:ind w:left="425"/>
      </w:pPr>
      <w:r>
        <w:rPr>
          <w:rFonts w:hint="eastAsia"/>
        </w:rPr>
        <w:t>——测试日期；</w:t>
      </w:r>
    </w:p>
    <w:p w14:paraId="5C2A0D96">
      <w:pPr>
        <w:pStyle w:val="136"/>
        <w:numPr>
          <w:ilvl w:val="0"/>
          <w:numId w:val="0"/>
        </w:numPr>
        <w:tabs>
          <w:tab w:val="left" w:pos="1560"/>
        </w:tabs>
        <w:ind w:left="425"/>
      </w:pPr>
      <w:r>
        <w:rPr>
          <w:rFonts w:hint="eastAsia"/>
        </w:rPr>
        <w:t>——实验室名称；</w:t>
      </w:r>
    </w:p>
    <w:p w14:paraId="5458083C">
      <w:pPr>
        <w:pStyle w:val="136"/>
        <w:numPr>
          <w:ilvl w:val="0"/>
          <w:numId w:val="0"/>
        </w:numPr>
        <w:tabs>
          <w:tab w:val="left" w:pos="1560"/>
        </w:tabs>
        <w:ind w:left="425"/>
      </w:pPr>
      <w:r>
        <w:rPr>
          <w:rFonts w:hint="eastAsia"/>
        </w:rPr>
        <w:t>——测试人员姓名、审核者姓名和批准者姓名；</w:t>
      </w:r>
    </w:p>
    <w:p w14:paraId="5040D058">
      <w:pPr>
        <w:pStyle w:val="136"/>
      </w:pPr>
      <w:r>
        <w:rPr>
          <w:rFonts w:hint="eastAsia"/>
        </w:rPr>
        <w:t>实施测试活动的地点和环境条件；</w:t>
      </w:r>
    </w:p>
    <w:p w14:paraId="6185A50C">
      <w:pPr>
        <w:pStyle w:val="136"/>
      </w:pPr>
      <w:r>
        <w:rPr>
          <w:rFonts w:hint="eastAsia"/>
        </w:rPr>
        <w:t>观察到的异常现象。</w:t>
      </w:r>
      <w:bookmarkEnd w:id="85"/>
    </w:p>
    <w:p w14:paraId="49C6B792"/>
    <w:p w14:paraId="677D2BD6"/>
    <w:bookmarkEnd w:id="25"/>
    <w:p w14:paraId="7A3F0CD7">
      <w:pPr>
        <w:pStyle w:val="202"/>
        <w:rPr>
          <w:rFonts w:hint="eastAsia"/>
          <w:vanish w:val="0"/>
        </w:rPr>
      </w:pPr>
      <w:bookmarkStart w:id="86" w:name="BookMark5"/>
    </w:p>
    <w:p w14:paraId="5FDC8685">
      <w:pPr>
        <w:pStyle w:val="203"/>
        <w:rPr>
          <w:vanish w:val="0"/>
        </w:rPr>
      </w:pPr>
    </w:p>
    <w:bookmarkEnd w:id="86"/>
    <w:p w14:paraId="1A54924D">
      <w:pPr>
        <w:widowControl/>
        <w:adjustRightInd/>
        <w:spacing w:line="240" w:lineRule="auto"/>
        <w:jc w:val="left"/>
        <w:rPr>
          <w:rFonts w:ascii="黑体" w:hAnsi="Times New Roman" w:eastAsia="黑体"/>
          <w:kern w:val="0"/>
          <w:szCs w:val="20"/>
        </w:rPr>
      </w:pPr>
      <w:r>
        <w:br w:type="page"/>
      </w:r>
    </w:p>
    <w:p w14:paraId="6C897CF5">
      <w:pPr>
        <w:pStyle w:val="80"/>
        <w:numPr>
          <w:ilvl w:val="0"/>
          <w:numId w:val="0"/>
        </w:numPr>
        <w:spacing w:before="0" w:after="0" w:afterLines="0"/>
      </w:pPr>
      <w:r>
        <w:rPr>
          <w:rFonts w:hint="eastAsia"/>
        </w:rPr>
        <w:t>参  考  文  献</w:t>
      </w:r>
      <w:r>
        <w:br w:type="textWrapping"/>
      </w:r>
    </w:p>
    <w:p w14:paraId="718BAF1F">
      <w:pPr>
        <w:pStyle w:val="252"/>
      </w:pPr>
      <w:r>
        <w:t xml:space="preserve">[1] </w:t>
      </w:r>
      <w:r>
        <w:rPr>
          <w:rFonts w:hint="eastAsia"/>
        </w:rPr>
        <w:t xml:space="preserve"> </w:t>
      </w:r>
      <w:r>
        <w:t>GB/T 17989.2</w:t>
      </w:r>
      <w:r>
        <w:rPr>
          <w:rFonts w:hint="eastAsia"/>
        </w:rPr>
        <w:t>-2020</w:t>
      </w:r>
      <w:r>
        <w:t xml:space="preserve"> 控制图  第2部分：常规控制图</w:t>
      </w:r>
    </w:p>
    <w:p w14:paraId="6785F7BC">
      <w:pPr>
        <w:pStyle w:val="60"/>
        <w:ind w:firstLine="420"/>
      </w:pPr>
    </w:p>
    <w:p w14:paraId="197DC70F">
      <w:pPr>
        <w:pStyle w:val="60"/>
        <w:ind w:firstLine="420"/>
      </w:pPr>
    </w:p>
    <w:p w14:paraId="094A432C">
      <w:pPr>
        <w:pStyle w:val="60"/>
        <w:ind w:firstLine="420"/>
      </w:pPr>
    </w:p>
    <w:p w14:paraId="00FFB5B9">
      <w:pPr>
        <w:shd w:val="clear" w:color="auto" w:fill="FFFFFF"/>
        <w:adjustRightInd/>
        <w:spacing w:line="240" w:lineRule="auto"/>
        <w:jc w:val="center"/>
      </w:pPr>
      <w:r>
        <w:rPr>
          <w:rFonts w:hint="eastAsia" w:ascii="宋体" w:hAnsi="宋体"/>
          <w:sz w:val="24"/>
          <w:szCs w:val="24"/>
        </w:rPr>
        <w:t>____________________</w:t>
      </w:r>
    </w:p>
    <w:p w14:paraId="6CEB194D">
      <w:pPr>
        <w:shd w:val="clear" w:color="auto" w:fill="FFFFFF"/>
        <w:adjustRightInd/>
        <w:jc w:val="center"/>
      </w:pPr>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im Hei">
    <w:altName w:val="微软雅黑"/>
    <w:panose1 w:val="00000000000000000000"/>
    <w:charset w:val="86"/>
    <w:family w:val="swiss"/>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 w:name="汉仪书宋二简">
    <w:altName w:val="宋体"/>
    <w:panose1 w:val="00000000000000000000"/>
    <w:charset w:val="86"/>
    <w:family w:val="modern"/>
    <w:pitch w:val="default"/>
    <w:sig w:usb0="00000000" w:usb1="00000000" w:usb2="0000001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13D1D">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50A0F">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212FA">
    <w:pPr>
      <w:pStyle w:val="56"/>
    </w:pPr>
    <w:r>
      <w:fldChar w:fldCharType="begin"/>
    </w:r>
    <w:r>
      <w:instrText xml:space="preserve">PAGE   \* MERGEFORMAT</w:instrText>
    </w:r>
    <w:r>
      <w:fldChar w:fldCharType="separate"/>
    </w:r>
    <w:r>
      <w:rPr>
        <w:lang w:val="zh-CN"/>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E71FB">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95302">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7B5B5">
    <w:pPr>
      <w:pStyle w:val="65"/>
      <w:rPr>
        <w:rFonts w:hint="eastAsia"/>
      </w:rPr>
    </w:pPr>
    <w:r>
      <w:fldChar w:fldCharType="begin"/>
    </w:r>
    <w:r>
      <w:instrText xml:space="preserve"> STYLEREF  标准文件_文件编号  \* MERGEFORMAT </w:instrText>
    </w:r>
    <w:r>
      <w:fldChar w:fldCharType="separate"/>
    </w:r>
    <w:r>
      <w:t>T/CMA SY243—2026</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E0216">
    <w:pPr>
      <w:pStyle w:val="19"/>
      <w:jc w:val="right"/>
    </w:pPr>
    <w:r>
      <w:fldChar w:fldCharType="begin"/>
    </w:r>
    <w:r>
      <w:instrText xml:space="preserve"> STYLEREF  标准文件_文件编号  \* MERGEFORMAT </w:instrText>
    </w:r>
    <w:r>
      <w:fldChar w:fldCharType="separate"/>
    </w:r>
    <w:r>
      <w:t>T/CMA SY243—2026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0"/>
      <w:numFmt w:val="none"/>
      <w:pStyle w:val="253"/>
      <w:lvlText w:val=""/>
      <w:lvlJc w:val="left"/>
      <w:pPr>
        <w:tabs>
          <w:tab w:val="left" w:pos="360"/>
        </w:tabs>
      </w:pPr>
    </w:lvl>
    <w:lvl w:ilvl="2" w:tentative="0">
      <w:start w:val="0"/>
      <w:numFmt w:val="none"/>
      <w:lvlText w:val=""/>
      <w:lvlJc w:val="left"/>
      <w:pPr>
        <w:tabs>
          <w:tab w:val="left" w:pos="360"/>
        </w:tabs>
      </w:pPr>
    </w:lvl>
    <w:lvl w:ilvl="3" w:tentative="0">
      <w:start w:val="65024"/>
      <w:numFmt w:val="decimal"/>
      <w:lvlText w:val=""/>
      <w:lvlJc w:val="left"/>
    </w:lvl>
    <w:lvl w:ilvl="4" w:tentative="0">
      <w:start w:val="0"/>
      <w:numFmt w:val="decimal"/>
      <w:lvlText w:val="︀"/>
      <w:lvlJc w:val="left"/>
    </w:lvl>
    <w:lvl w:ilvl="5" w:tentative="0">
      <w:start w:val="0"/>
      <w:numFmt w:val="decimal"/>
      <w:lvlText w:val="̠́章标题ꎐ̖ȁā̀⠀̠ԁ一级条标题䞐̀ā̀⠀̠ԁ二级条标题"/>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lang w:val="en-US"/>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709"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142" w:firstLine="0"/>
      </w:pPr>
      <w:rPr>
        <w:rFonts w:hint="eastAsia" w:ascii="黑体" w:eastAsia="黑体"/>
        <w:b w:val="0"/>
        <w:i w:val="0"/>
        <w:sz w:val="21"/>
      </w:rPr>
    </w:lvl>
    <w:lvl w:ilvl="2" w:tentative="0">
      <w:start w:val="1"/>
      <w:numFmt w:val="decimal"/>
      <w:pStyle w:val="109"/>
      <w:suff w:val="nothing"/>
      <w:lvlText w:val="%1%2.%3　"/>
      <w:lvlJc w:val="left"/>
      <w:pPr>
        <w:ind w:left="1134"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1418"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dit="forms" w:enforcement="1" w:cryptProviderType="rsaAES" w:cryptAlgorithmClass="hash" w:cryptAlgorithmType="typeAny" w:cryptAlgorithmSid="14" w:cryptSpinCount="100000" w:hash="VjeQfKZJvfyysEZV0kIO2+lxT8p0SLcSi5CxEvMGra9HPnnPZ1yhmvzn20dKmAIlU3lMrLiJUa0iJkOQwp55lA==" w:salt="boQ1x8/Muop8dElMF8wVMQ=="/>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g1NThlMzRiYTQ2MjM1NjUwMjkwNzBiNTk1OWYwMGUifQ=="/>
  </w:docVars>
  <w:rsids>
    <w:rsidRoot w:val="00877A69"/>
    <w:rsid w:val="0000040A"/>
    <w:rsid w:val="00000A94"/>
    <w:rsid w:val="00001972"/>
    <w:rsid w:val="00001D9A"/>
    <w:rsid w:val="000047C4"/>
    <w:rsid w:val="00007B3A"/>
    <w:rsid w:val="000107E0"/>
    <w:rsid w:val="00010AC5"/>
    <w:rsid w:val="00011FDE"/>
    <w:rsid w:val="00012FFD"/>
    <w:rsid w:val="00014162"/>
    <w:rsid w:val="00014340"/>
    <w:rsid w:val="00016A9C"/>
    <w:rsid w:val="00020E44"/>
    <w:rsid w:val="00022184"/>
    <w:rsid w:val="00022762"/>
    <w:rsid w:val="00022E21"/>
    <w:rsid w:val="000238E0"/>
    <w:rsid w:val="00023B94"/>
    <w:rsid w:val="000249DB"/>
    <w:rsid w:val="0002595E"/>
    <w:rsid w:val="000303C3"/>
    <w:rsid w:val="00031DA4"/>
    <w:rsid w:val="000331D3"/>
    <w:rsid w:val="00033CC2"/>
    <w:rsid w:val="000346A5"/>
    <w:rsid w:val="00034732"/>
    <w:rsid w:val="0003565A"/>
    <w:rsid w:val="000359C3"/>
    <w:rsid w:val="00035A7D"/>
    <w:rsid w:val="000365ED"/>
    <w:rsid w:val="00036DBE"/>
    <w:rsid w:val="0003747B"/>
    <w:rsid w:val="00041348"/>
    <w:rsid w:val="0004249A"/>
    <w:rsid w:val="00043282"/>
    <w:rsid w:val="00043663"/>
    <w:rsid w:val="00043CE9"/>
    <w:rsid w:val="00044286"/>
    <w:rsid w:val="00047F28"/>
    <w:rsid w:val="000503AA"/>
    <w:rsid w:val="000506A1"/>
    <w:rsid w:val="00050F39"/>
    <w:rsid w:val="000515DD"/>
    <w:rsid w:val="0005231F"/>
    <w:rsid w:val="0005265A"/>
    <w:rsid w:val="000539DD"/>
    <w:rsid w:val="00053BD3"/>
    <w:rsid w:val="000556ED"/>
    <w:rsid w:val="00055FE2"/>
    <w:rsid w:val="0005616F"/>
    <w:rsid w:val="000604B6"/>
    <w:rsid w:val="00060C2E"/>
    <w:rsid w:val="00061033"/>
    <w:rsid w:val="00061280"/>
    <w:rsid w:val="000619E9"/>
    <w:rsid w:val="000622D4"/>
    <w:rsid w:val="0006357D"/>
    <w:rsid w:val="00063959"/>
    <w:rsid w:val="00064357"/>
    <w:rsid w:val="0006592A"/>
    <w:rsid w:val="00067F1E"/>
    <w:rsid w:val="00071CC0"/>
    <w:rsid w:val="00071CFC"/>
    <w:rsid w:val="00073C8C"/>
    <w:rsid w:val="00077B64"/>
    <w:rsid w:val="00080A1C"/>
    <w:rsid w:val="00082317"/>
    <w:rsid w:val="00083D2C"/>
    <w:rsid w:val="0008535B"/>
    <w:rsid w:val="00086AA1"/>
    <w:rsid w:val="00086C4A"/>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0E36"/>
    <w:rsid w:val="000B1592"/>
    <w:rsid w:val="000B1FF2"/>
    <w:rsid w:val="000B3CDA"/>
    <w:rsid w:val="000B6A0B"/>
    <w:rsid w:val="000C0F6C"/>
    <w:rsid w:val="000C11DB"/>
    <w:rsid w:val="000C1492"/>
    <w:rsid w:val="000C2FBD"/>
    <w:rsid w:val="000C3472"/>
    <w:rsid w:val="000C4400"/>
    <w:rsid w:val="000C4B41"/>
    <w:rsid w:val="000C57D6"/>
    <w:rsid w:val="000C6362"/>
    <w:rsid w:val="000C7666"/>
    <w:rsid w:val="000D0A9C"/>
    <w:rsid w:val="000D1795"/>
    <w:rsid w:val="000D1A4D"/>
    <w:rsid w:val="000D329A"/>
    <w:rsid w:val="000D4B9C"/>
    <w:rsid w:val="000D4EB6"/>
    <w:rsid w:val="000D753B"/>
    <w:rsid w:val="000E4C9E"/>
    <w:rsid w:val="000E4FB9"/>
    <w:rsid w:val="000E6FD7"/>
    <w:rsid w:val="000E7144"/>
    <w:rsid w:val="000F06E1"/>
    <w:rsid w:val="000F0E3C"/>
    <w:rsid w:val="000F19D5"/>
    <w:rsid w:val="000F1EB2"/>
    <w:rsid w:val="000F31D0"/>
    <w:rsid w:val="000F4050"/>
    <w:rsid w:val="000F4AEA"/>
    <w:rsid w:val="000F67E9"/>
    <w:rsid w:val="00104926"/>
    <w:rsid w:val="00110E92"/>
    <w:rsid w:val="00113B1E"/>
    <w:rsid w:val="0011711C"/>
    <w:rsid w:val="00124E4F"/>
    <w:rsid w:val="001254CE"/>
    <w:rsid w:val="001260B7"/>
    <w:rsid w:val="001265CB"/>
    <w:rsid w:val="001321C6"/>
    <w:rsid w:val="001325C4"/>
    <w:rsid w:val="00133010"/>
    <w:rsid w:val="001338EE"/>
    <w:rsid w:val="00133AAE"/>
    <w:rsid w:val="00134619"/>
    <w:rsid w:val="00135323"/>
    <w:rsid w:val="001356C4"/>
    <w:rsid w:val="00137565"/>
    <w:rsid w:val="00141114"/>
    <w:rsid w:val="0014189A"/>
    <w:rsid w:val="001419D0"/>
    <w:rsid w:val="00141F4D"/>
    <w:rsid w:val="00142969"/>
    <w:rsid w:val="001446C2"/>
    <w:rsid w:val="001447CF"/>
    <w:rsid w:val="001457E7"/>
    <w:rsid w:val="00145D9D"/>
    <w:rsid w:val="00146388"/>
    <w:rsid w:val="001529E5"/>
    <w:rsid w:val="00152FB3"/>
    <w:rsid w:val="00153C67"/>
    <w:rsid w:val="00153C7E"/>
    <w:rsid w:val="00156B25"/>
    <w:rsid w:val="00156E1A"/>
    <w:rsid w:val="00157894"/>
    <w:rsid w:val="00157B55"/>
    <w:rsid w:val="00161D3B"/>
    <w:rsid w:val="001642FA"/>
    <w:rsid w:val="001649EB"/>
    <w:rsid w:val="00164BAF"/>
    <w:rsid w:val="00164FA8"/>
    <w:rsid w:val="00165065"/>
    <w:rsid w:val="00165434"/>
    <w:rsid w:val="0016580B"/>
    <w:rsid w:val="00165F49"/>
    <w:rsid w:val="00166B88"/>
    <w:rsid w:val="0016770A"/>
    <w:rsid w:val="00167C31"/>
    <w:rsid w:val="00170804"/>
    <w:rsid w:val="001708E9"/>
    <w:rsid w:val="0017340B"/>
    <w:rsid w:val="00173B81"/>
    <w:rsid w:val="00173FB1"/>
    <w:rsid w:val="00176DFD"/>
    <w:rsid w:val="00177C33"/>
    <w:rsid w:val="00180E50"/>
    <w:rsid w:val="001848AA"/>
    <w:rsid w:val="001852C9"/>
    <w:rsid w:val="00185627"/>
    <w:rsid w:val="00187A0B"/>
    <w:rsid w:val="00190087"/>
    <w:rsid w:val="001913C4"/>
    <w:rsid w:val="0019348F"/>
    <w:rsid w:val="001938C7"/>
    <w:rsid w:val="00193A07"/>
    <w:rsid w:val="00194020"/>
    <w:rsid w:val="00194C95"/>
    <w:rsid w:val="00195C34"/>
    <w:rsid w:val="00195E8C"/>
    <w:rsid w:val="00196483"/>
    <w:rsid w:val="00196EF5"/>
    <w:rsid w:val="001A1A53"/>
    <w:rsid w:val="001A234A"/>
    <w:rsid w:val="001A4CF3"/>
    <w:rsid w:val="001A6696"/>
    <w:rsid w:val="001B06E8"/>
    <w:rsid w:val="001B5A7A"/>
    <w:rsid w:val="001B71D0"/>
    <w:rsid w:val="001B71EE"/>
    <w:rsid w:val="001C04A8"/>
    <w:rsid w:val="001C200D"/>
    <w:rsid w:val="001C2C03"/>
    <w:rsid w:val="001C3AF3"/>
    <w:rsid w:val="001C3E2E"/>
    <w:rsid w:val="001C42F7"/>
    <w:rsid w:val="001C49E5"/>
    <w:rsid w:val="001C4D27"/>
    <w:rsid w:val="001C680C"/>
    <w:rsid w:val="001C7FEA"/>
    <w:rsid w:val="001D0499"/>
    <w:rsid w:val="001D0BBE"/>
    <w:rsid w:val="001D0ED4"/>
    <w:rsid w:val="001D212F"/>
    <w:rsid w:val="001D29D7"/>
    <w:rsid w:val="001D2DE7"/>
    <w:rsid w:val="001D411C"/>
    <w:rsid w:val="001E1B6A"/>
    <w:rsid w:val="001E2484"/>
    <w:rsid w:val="001E3CC4"/>
    <w:rsid w:val="001E486F"/>
    <w:rsid w:val="001E4882"/>
    <w:rsid w:val="001E5787"/>
    <w:rsid w:val="001E73AB"/>
    <w:rsid w:val="001E7B90"/>
    <w:rsid w:val="001F0221"/>
    <w:rsid w:val="001F092D"/>
    <w:rsid w:val="001F143A"/>
    <w:rsid w:val="001F1605"/>
    <w:rsid w:val="001F1835"/>
    <w:rsid w:val="001F2508"/>
    <w:rsid w:val="001F4816"/>
    <w:rsid w:val="001F5830"/>
    <w:rsid w:val="001F69B4"/>
    <w:rsid w:val="001F77C7"/>
    <w:rsid w:val="00200183"/>
    <w:rsid w:val="00200333"/>
    <w:rsid w:val="0020107D"/>
    <w:rsid w:val="0020179D"/>
    <w:rsid w:val="00202AA4"/>
    <w:rsid w:val="002031F7"/>
    <w:rsid w:val="002040E6"/>
    <w:rsid w:val="0020527B"/>
    <w:rsid w:val="00205522"/>
    <w:rsid w:val="00205F2C"/>
    <w:rsid w:val="00206F22"/>
    <w:rsid w:val="00210416"/>
    <w:rsid w:val="00210B15"/>
    <w:rsid w:val="0021216D"/>
    <w:rsid w:val="0021226D"/>
    <w:rsid w:val="00213A3A"/>
    <w:rsid w:val="002142EA"/>
    <w:rsid w:val="00215ADD"/>
    <w:rsid w:val="00216623"/>
    <w:rsid w:val="002177F9"/>
    <w:rsid w:val="002204BB"/>
    <w:rsid w:val="00221B79"/>
    <w:rsid w:val="00221C6B"/>
    <w:rsid w:val="00223300"/>
    <w:rsid w:val="002253A1"/>
    <w:rsid w:val="00225CF8"/>
    <w:rsid w:val="00226983"/>
    <w:rsid w:val="0022794E"/>
    <w:rsid w:val="002313CB"/>
    <w:rsid w:val="00232386"/>
    <w:rsid w:val="002329BF"/>
    <w:rsid w:val="00233129"/>
    <w:rsid w:val="00233D64"/>
    <w:rsid w:val="0023482A"/>
    <w:rsid w:val="002359CB"/>
    <w:rsid w:val="00237A54"/>
    <w:rsid w:val="00243540"/>
    <w:rsid w:val="0024497B"/>
    <w:rsid w:val="0024515B"/>
    <w:rsid w:val="00246021"/>
    <w:rsid w:val="0024666E"/>
    <w:rsid w:val="00247F52"/>
    <w:rsid w:val="00250B25"/>
    <w:rsid w:val="00250BBE"/>
    <w:rsid w:val="002515C2"/>
    <w:rsid w:val="0025194F"/>
    <w:rsid w:val="002609D8"/>
    <w:rsid w:val="0026148A"/>
    <w:rsid w:val="00262696"/>
    <w:rsid w:val="00263D25"/>
    <w:rsid w:val="002643C3"/>
    <w:rsid w:val="00264A0C"/>
    <w:rsid w:val="00266EEB"/>
    <w:rsid w:val="00267EF4"/>
    <w:rsid w:val="00270CB8"/>
    <w:rsid w:val="00272B08"/>
    <w:rsid w:val="002760D0"/>
    <w:rsid w:val="00281BB8"/>
    <w:rsid w:val="00281E9E"/>
    <w:rsid w:val="00282405"/>
    <w:rsid w:val="00285170"/>
    <w:rsid w:val="00285361"/>
    <w:rsid w:val="0028550A"/>
    <w:rsid w:val="00291CE9"/>
    <w:rsid w:val="002920FD"/>
    <w:rsid w:val="00292D60"/>
    <w:rsid w:val="00293B30"/>
    <w:rsid w:val="00294D34"/>
    <w:rsid w:val="00294E3B"/>
    <w:rsid w:val="00296193"/>
    <w:rsid w:val="00296C66"/>
    <w:rsid w:val="00296EBE"/>
    <w:rsid w:val="002970A0"/>
    <w:rsid w:val="002974E3"/>
    <w:rsid w:val="002A084B"/>
    <w:rsid w:val="002A1260"/>
    <w:rsid w:val="002A1589"/>
    <w:rsid w:val="002A1608"/>
    <w:rsid w:val="002A25DC"/>
    <w:rsid w:val="002A3AAB"/>
    <w:rsid w:val="002A4CEA"/>
    <w:rsid w:val="002A5977"/>
    <w:rsid w:val="002A5A13"/>
    <w:rsid w:val="002A6E34"/>
    <w:rsid w:val="002A757F"/>
    <w:rsid w:val="002A7F44"/>
    <w:rsid w:val="002B0366"/>
    <w:rsid w:val="002B0C40"/>
    <w:rsid w:val="002B1966"/>
    <w:rsid w:val="002B2A96"/>
    <w:rsid w:val="002B4508"/>
    <w:rsid w:val="002B5779"/>
    <w:rsid w:val="002B7332"/>
    <w:rsid w:val="002B7F51"/>
    <w:rsid w:val="002C09E7"/>
    <w:rsid w:val="002C1E06"/>
    <w:rsid w:val="002C3DAE"/>
    <w:rsid w:val="002C3F07"/>
    <w:rsid w:val="002C5278"/>
    <w:rsid w:val="002C750A"/>
    <w:rsid w:val="002C7EBB"/>
    <w:rsid w:val="002D06C1"/>
    <w:rsid w:val="002D42B5"/>
    <w:rsid w:val="002D4F1A"/>
    <w:rsid w:val="002D5393"/>
    <w:rsid w:val="002D6EC6"/>
    <w:rsid w:val="002D79AC"/>
    <w:rsid w:val="002E039D"/>
    <w:rsid w:val="002E4120"/>
    <w:rsid w:val="002E4D5A"/>
    <w:rsid w:val="002E6326"/>
    <w:rsid w:val="002E72D8"/>
    <w:rsid w:val="002F0D2B"/>
    <w:rsid w:val="002F30E0"/>
    <w:rsid w:val="002F35E4"/>
    <w:rsid w:val="002F3730"/>
    <w:rsid w:val="002F38E1"/>
    <w:rsid w:val="002F7AF6"/>
    <w:rsid w:val="00300E63"/>
    <w:rsid w:val="00302F5F"/>
    <w:rsid w:val="0030441D"/>
    <w:rsid w:val="00306063"/>
    <w:rsid w:val="00312982"/>
    <w:rsid w:val="00313B85"/>
    <w:rsid w:val="00317988"/>
    <w:rsid w:val="003221B4"/>
    <w:rsid w:val="0032258D"/>
    <w:rsid w:val="00322651"/>
    <w:rsid w:val="00322E62"/>
    <w:rsid w:val="00324D13"/>
    <w:rsid w:val="00324EDD"/>
    <w:rsid w:val="00326D93"/>
    <w:rsid w:val="003319F7"/>
    <w:rsid w:val="003331E4"/>
    <w:rsid w:val="003333C8"/>
    <w:rsid w:val="00336C64"/>
    <w:rsid w:val="00337162"/>
    <w:rsid w:val="00340793"/>
    <w:rsid w:val="0034186F"/>
    <w:rsid w:val="0034194F"/>
    <w:rsid w:val="00344605"/>
    <w:rsid w:val="003461B2"/>
    <w:rsid w:val="003474AA"/>
    <w:rsid w:val="00350D1D"/>
    <w:rsid w:val="003513F3"/>
    <w:rsid w:val="00352C83"/>
    <w:rsid w:val="00352F1A"/>
    <w:rsid w:val="00354536"/>
    <w:rsid w:val="00355557"/>
    <w:rsid w:val="00356698"/>
    <w:rsid w:val="003605D0"/>
    <w:rsid w:val="0036107C"/>
    <w:rsid w:val="003615D2"/>
    <w:rsid w:val="0036429C"/>
    <w:rsid w:val="00364A53"/>
    <w:rsid w:val="003654CB"/>
    <w:rsid w:val="00365AA9"/>
    <w:rsid w:val="00365F86"/>
    <w:rsid w:val="00365F87"/>
    <w:rsid w:val="00366E89"/>
    <w:rsid w:val="003705F4"/>
    <w:rsid w:val="00370D58"/>
    <w:rsid w:val="00371316"/>
    <w:rsid w:val="00371A5F"/>
    <w:rsid w:val="00376713"/>
    <w:rsid w:val="00381815"/>
    <w:rsid w:val="003819AF"/>
    <w:rsid w:val="003820E9"/>
    <w:rsid w:val="00382DE7"/>
    <w:rsid w:val="00384FFC"/>
    <w:rsid w:val="00386C63"/>
    <w:rsid w:val="003872FC"/>
    <w:rsid w:val="00387ADC"/>
    <w:rsid w:val="00390020"/>
    <w:rsid w:val="003903D6"/>
    <w:rsid w:val="00390E5F"/>
    <w:rsid w:val="00390EE6"/>
    <w:rsid w:val="0039118F"/>
    <w:rsid w:val="00392AD7"/>
    <w:rsid w:val="003938D9"/>
    <w:rsid w:val="00393C19"/>
    <w:rsid w:val="00394376"/>
    <w:rsid w:val="003943FF"/>
    <w:rsid w:val="003974EB"/>
    <w:rsid w:val="00397CC5"/>
    <w:rsid w:val="003A06C9"/>
    <w:rsid w:val="003A11D1"/>
    <w:rsid w:val="003A13EA"/>
    <w:rsid w:val="003A1582"/>
    <w:rsid w:val="003A3D9C"/>
    <w:rsid w:val="003A4077"/>
    <w:rsid w:val="003A4AA7"/>
    <w:rsid w:val="003B051C"/>
    <w:rsid w:val="003B09AD"/>
    <w:rsid w:val="003B0F57"/>
    <w:rsid w:val="003B1F18"/>
    <w:rsid w:val="003B281B"/>
    <w:rsid w:val="003B5BF0"/>
    <w:rsid w:val="003B60BF"/>
    <w:rsid w:val="003B6BE3"/>
    <w:rsid w:val="003C010C"/>
    <w:rsid w:val="003C0A6C"/>
    <w:rsid w:val="003C14F8"/>
    <w:rsid w:val="003C56B9"/>
    <w:rsid w:val="003C5A43"/>
    <w:rsid w:val="003D0519"/>
    <w:rsid w:val="003D0FF6"/>
    <w:rsid w:val="003D23CA"/>
    <w:rsid w:val="003D262C"/>
    <w:rsid w:val="003D2BFA"/>
    <w:rsid w:val="003D4302"/>
    <w:rsid w:val="003D6D61"/>
    <w:rsid w:val="003E019F"/>
    <w:rsid w:val="003E091D"/>
    <w:rsid w:val="003E1687"/>
    <w:rsid w:val="003E1C53"/>
    <w:rsid w:val="003E2A69"/>
    <w:rsid w:val="003E2C27"/>
    <w:rsid w:val="003E2D49"/>
    <w:rsid w:val="003E2FD4"/>
    <w:rsid w:val="003E454B"/>
    <w:rsid w:val="003E49F6"/>
    <w:rsid w:val="003E660F"/>
    <w:rsid w:val="003F0841"/>
    <w:rsid w:val="003F0B41"/>
    <w:rsid w:val="003F23D3"/>
    <w:rsid w:val="003F3F08"/>
    <w:rsid w:val="003F49F1"/>
    <w:rsid w:val="003F5917"/>
    <w:rsid w:val="003F6272"/>
    <w:rsid w:val="0040028F"/>
    <w:rsid w:val="00400E72"/>
    <w:rsid w:val="00401400"/>
    <w:rsid w:val="00404869"/>
    <w:rsid w:val="00405884"/>
    <w:rsid w:val="00407D39"/>
    <w:rsid w:val="0041477A"/>
    <w:rsid w:val="004167A3"/>
    <w:rsid w:val="0042781B"/>
    <w:rsid w:val="00432BB4"/>
    <w:rsid w:val="00432DAA"/>
    <w:rsid w:val="00434305"/>
    <w:rsid w:val="00435DF7"/>
    <w:rsid w:val="0043741A"/>
    <w:rsid w:val="0044083F"/>
    <w:rsid w:val="00441AE7"/>
    <w:rsid w:val="0044449F"/>
    <w:rsid w:val="00445005"/>
    <w:rsid w:val="00445574"/>
    <w:rsid w:val="004467FB"/>
    <w:rsid w:val="0045116C"/>
    <w:rsid w:val="00452D6B"/>
    <w:rsid w:val="00454484"/>
    <w:rsid w:val="0045517B"/>
    <w:rsid w:val="004556C9"/>
    <w:rsid w:val="00460C0C"/>
    <w:rsid w:val="00463B77"/>
    <w:rsid w:val="00463C7B"/>
    <w:rsid w:val="004644A6"/>
    <w:rsid w:val="00464A7B"/>
    <w:rsid w:val="004659BD"/>
    <w:rsid w:val="00467047"/>
    <w:rsid w:val="00470775"/>
    <w:rsid w:val="00474438"/>
    <w:rsid w:val="004746B1"/>
    <w:rsid w:val="0047583F"/>
    <w:rsid w:val="00475DE8"/>
    <w:rsid w:val="00481C44"/>
    <w:rsid w:val="00483754"/>
    <w:rsid w:val="00484936"/>
    <w:rsid w:val="00485C89"/>
    <w:rsid w:val="00486BE3"/>
    <w:rsid w:val="00486E67"/>
    <w:rsid w:val="004905E4"/>
    <w:rsid w:val="00490A89"/>
    <w:rsid w:val="00490AB4"/>
    <w:rsid w:val="004925DA"/>
    <w:rsid w:val="00492F02"/>
    <w:rsid w:val="004939AE"/>
    <w:rsid w:val="00493A91"/>
    <w:rsid w:val="00495A84"/>
    <w:rsid w:val="00497099"/>
    <w:rsid w:val="004A12DF"/>
    <w:rsid w:val="004A1BA8"/>
    <w:rsid w:val="004A4315"/>
    <w:rsid w:val="004A4B57"/>
    <w:rsid w:val="004A63FA"/>
    <w:rsid w:val="004A6A3D"/>
    <w:rsid w:val="004B0272"/>
    <w:rsid w:val="004B2701"/>
    <w:rsid w:val="004B2E1B"/>
    <w:rsid w:val="004B3AA8"/>
    <w:rsid w:val="004B3E93"/>
    <w:rsid w:val="004B5C05"/>
    <w:rsid w:val="004C067B"/>
    <w:rsid w:val="004C1FBC"/>
    <w:rsid w:val="004C25A2"/>
    <w:rsid w:val="004C3144"/>
    <w:rsid w:val="004C3F1D"/>
    <w:rsid w:val="004C458D"/>
    <w:rsid w:val="004C6DDE"/>
    <w:rsid w:val="004C6E31"/>
    <w:rsid w:val="004C7556"/>
    <w:rsid w:val="004C7E8B"/>
    <w:rsid w:val="004C7E9D"/>
    <w:rsid w:val="004C7F67"/>
    <w:rsid w:val="004D076D"/>
    <w:rsid w:val="004D0EF1"/>
    <w:rsid w:val="004D2253"/>
    <w:rsid w:val="004D4406"/>
    <w:rsid w:val="004D4C3A"/>
    <w:rsid w:val="004D6D82"/>
    <w:rsid w:val="004D6E97"/>
    <w:rsid w:val="004D7C42"/>
    <w:rsid w:val="004E0465"/>
    <w:rsid w:val="004E0A07"/>
    <w:rsid w:val="004E127B"/>
    <w:rsid w:val="004E1C0A"/>
    <w:rsid w:val="004E30C5"/>
    <w:rsid w:val="004E4AA5"/>
    <w:rsid w:val="004E4AEE"/>
    <w:rsid w:val="004E4B96"/>
    <w:rsid w:val="004E5583"/>
    <w:rsid w:val="004E59E3"/>
    <w:rsid w:val="004E65C2"/>
    <w:rsid w:val="004E67C0"/>
    <w:rsid w:val="004F391A"/>
    <w:rsid w:val="004F3CFB"/>
    <w:rsid w:val="004F6456"/>
    <w:rsid w:val="004F696E"/>
    <w:rsid w:val="004F6C71"/>
    <w:rsid w:val="005010F2"/>
    <w:rsid w:val="00501139"/>
    <w:rsid w:val="00502D82"/>
    <w:rsid w:val="0050363E"/>
    <w:rsid w:val="005039BC"/>
    <w:rsid w:val="005043BB"/>
    <w:rsid w:val="00504A3D"/>
    <w:rsid w:val="005050B6"/>
    <w:rsid w:val="00505767"/>
    <w:rsid w:val="005073F0"/>
    <w:rsid w:val="00510A7B"/>
    <w:rsid w:val="00512F6E"/>
    <w:rsid w:val="00513038"/>
    <w:rsid w:val="00514174"/>
    <w:rsid w:val="00516088"/>
    <w:rsid w:val="00516B0B"/>
    <w:rsid w:val="005220EC"/>
    <w:rsid w:val="00523CF4"/>
    <w:rsid w:val="00523F95"/>
    <w:rsid w:val="00524D65"/>
    <w:rsid w:val="00525568"/>
    <w:rsid w:val="00525B16"/>
    <w:rsid w:val="005264A9"/>
    <w:rsid w:val="0053062D"/>
    <w:rsid w:val="00531CBB"/>
    <w:rsid w:val="00532B6B"/>
    <w:rsid w:val="00533D04"/>
    <w:rsid w:val="00534804"/>
    <w:rsid w:val="00534BDF"/>
    <w:rsid w:val="005354EA"/>
    <w:rsid w:val="0053585F"/>
    <w:rsid w:val="00535EC4"/>
    <w:rsid w:val="00535ED9"/>
    <w:rsid w:val="00536907"/>
    <w:rsid w:val="0053692B"/>
    <w:rsid w:val="00541853"/>
    <w:rsid w:val="00541987"/>
    <w:rsid w:val="00543BA8"/>
    <w:rsid w:val="00543BDA"/>
    <w:rsid w:val="005441CC"/>
    <w:rsid w:val="0054487A"/>
    <w:rsid w:val="005479DA"/>
    <w:rsid w:val="00547BCC"/>
    <w:rsid w:val="0055013B"/>
    <w:rsid w:val="005507A7"/>
    <w:rsid w:val="005517B2"/>
    <w:rsid w:val="00551F6F"/>
    <w:rsid w:val="00555044"/>
    <w:rsid w:val="00561475"/>
    <w:rsid w:val="00562308"/>
    <w:rsid w:val="0056487B"/>
    <w:rsid w:val="00564FB9"/>
    <w:rsid w:val="00572282"/>
    <w:rsid w:val="00573170"/>
    <w:rsid w:val="00573D9E"/>
    <w:rsid w:val="005757C7"/>
    <w:rsid w:val="00577534"/>
    <w:rsid w:val="00577F61"/>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711"/>
    <w:rsid w:val="005A7830"/>
    <w:rsid w:val="005A7FCE"/>
    <w:rsid w:val="005B0F3F"/>
    <w:rsid w:val="005B0F48"/>
    <w:rsid w:val="005B1602"/>
    <w:rsid w:val="005B191C"/>
    <w:rsid w:val="005B4903"/>
    <w:rsid w:val="005B51CE"/>
    <w:rsid w:val="005B5885"/>
    <w:rsid w:val="005B5CD7"/>
    <w:rsid w:val="005B6CF6"/>
    <w:rsid w:val="005B7422"/>
    <w:rsid w:val="005C29B8"/>
    <w:rsid w:val="005C5F21"/>
    <w:rsid w:val="005C7156"/>
    <w:rsid w:val="005C73B2"/>
    <w:rsid w:val="005D0C75"/>
    <w:rsid w:val="005D3BAB"/>
    <w:rsid w:val="005D4171"/>
    <w:rsid w:val="005D6A95"/>
    <w:rsid w:val="005D6B2C"/>
    <w:rsid w:val="005D6D9C"/>
    <w:rsid w:val="005D7F8B"/>
    <w:rsid w:val="005E2335"/>
    <w:rsid w:val="005E34CA"/>
    <w:rsid w:val="005E3C18"/>
    <w:rsid w:val="005E4250"/>
    <w:rsid w:val="005E53A4"/>
    <w:rsid w:val="005E6812"/>
    <w:rsid w:val="005E7881"/>
    <w:rsid w:val="005E78E0"/>
    <w:rsid w:val="005F0D9C"/>
    <w:rsid w:val="005F284E"/>
    <w:rsid w:val="005F7FEA"/>
    <w:rsid w:val="006015CE"/>
    <w:rsid w:val="00602797"/>
    <w:rsid w:val="00602B54"/>
    <w:rsid w:val="00604784"/>
    <w:rsid w:val="00606419"/>
    <w:rsid w:val="00606445"/>
    <w:rsid w:val="00607D29"/>
    <w:rsid w:val="00612952"/>
    <w:rsid w:val="00614CC1"/>
    <w:rsid w:val="00615A9D"/>
    <w:rsid w:val="00616682"/>
    <w:rsid w:val="00617387"/>
    <w:rsid w:val="00617AA6"/>
    <w:rsid w:val="006205D6"/>
    <w:rsid w:val="006252D8"/>
    <w:rsid w:val="006259BC"/>
    <w:rsid w:val="0062636B"/>
    <w:rsid w:val="00632182"/>
    <w:rsid w:val="00632AE0"/>
    <w:rsid w:val="00633B55"/>
    <w:rsid w:val="00633C17"/>
    <w:rsid w:val="00634D9E"/>
    <w:rsid w:val="00635438"/>
    <w:rsid w:val="00636E3E"/>
    <w:rsid w:val="006379F7"/>
    <w:rsid w:val="00637E4D"/>
    <w:rsid w:val="00640620"/>
    <w:rsid w:val="00640A4A"/>
    <w:rsid w:val="00641A1F"/>
    <w:rsid w:val="00645904"/>
    <w:rsid w:val="006518E2"/>
    <w:rsid w:val="00651ACB"/>
    <w:rsid w:val="00651C47"/>
    <w:rsid w:val="00652AB2"/>
    <w:rsid w:val="00653FED"/>
    <w:rsid w:val="00654EC0"/>
    <w:rsid w:val="006550E5"/>
    <w:rsid w:val="0065525B"/>
    <w:rsid w:val="00655AA1"/>
    <w:rsid w:val="00655D4F"/>
    <w:rsid w:val="00656A13"/>
    <w:rsid w:val="00656D29"/>
    <w:rsid w:val="006640E5"/>
    <w:rsid w:val="006646F1"/>
    <w:rsid w:val="00664929"/>
    <w:rsid w:val="00664F62"/>
    <w:rsid w:val="006655E1"/>
    <w:rsid w:val="0066629D"/>
    <w:rsid w:val="00670A3F"/>
    <w:rsid w:val="00672060"/>
    <w:rsid w:val="006729DE"/>
    <w:rsid w:val="00672BFD"/>
    <w:rsid w:val="00673FBF"/>
    <w:rsid w:val="006770F4"/>
    <w:rsid w:val="00677A84"/>
    <w:rsid w:val="0068026D"/>
    <w:rsid w:val="00680A27"/>
    <w:rsid w:val="006816A4"/>
    <w:rsid w:val="006819B8"/>
    <w:rsid w:val="006840A6"/>
    <w:rsid w:val="006845FE"/>
    <w:rsid w:val="006850CD"/>
    <w:rsid w:val="00685AAB"/>
    <w:rsid w:val="0068783F"/>
    <w:rsid w:val="00690135"/>
    <w:rsid w:val="00693962"/>
    <w:rsid w:val="006A059D"/>
    <w:rsid w:val="006A07AA"/>
    <w:rsid w:val="006A25E5"/>
    <w:rsid w:val="006A2B46"/>
    <w:rsid w:val="006A336D"/>
    <w:rsid w:val="006A37B9"/>
    <w:rsid w:val="006B2672"/>
    <w:rsid w:val="006B2EE7"/>
    <w:rsid w:val="006B54BF"/>
    <w:rsid w:val="006B5F44"/>
    <w:rsid w:val="006B5F90"/>
    <w:rsid w:val="006B62E4"/>
    <w:rsid w:val="006C1BBA"/>
    <w:rsid w:val="006C2079"/>
    <w:rsid w:val="006C38FE"/>
    <w:rsid w:val="006C3C88"/>
    <w:rsid w:val="006C5A62"/>
    <w:rsid w:val="006C5D68"/>
    <w:rsid w:val="006C6976"/>
    <w:rsid w:val="006C6DD0"/>
    <w:rsid w:val="006D04EA"/>
    <w:rsid w:val="006D16C4"/>
    <w:rsid w:val="006D3E96"/>
    <w:rsid w:val="006D42E1"/>
    <w:rsid w:val="006D4515"/>
    <w:rsid w:val="006D4BB1"/>
    <w:rsid w:val="006D5636"/>
    <w:rsid w:val="006D6593"/>
    <w:rsid w:val="006D6DCB"/>
    <w:rsid w:val="006D713A"/>
    <w:rsid w:val="006E33A9"/>
    <w:rsid w:val="006E5316"/>
    <w:rsid w:val="006F03A8"/>
    <w:rsid w:val="006F2ACA"/>
    <w:rsid w:val="006F2ADC"/>
    <w:rsid w:val="006F2BFE"/>
    <w:rsid w:val="006F31E9"/>
    <w:rsid w:val="006F586F"/>
    <w:rsid w:val="006F6284"/>
    <w:rsid w:val="006F664A"/>
    <w:rsid w:val="006F7A16"/>
    <w:rsid w:val="007002C5"/>
    <w:rsid w:val="0070194A"/>
    <w:rsid w:val="00704387"/>
    <w:rsid w:val="00705A6C"/>
    <w:rsid w:val="00706066"/>
    <w:rsid w:val="00707669"/>
    <w:rsid w:val="00707BC2"/>
    <w:rsid w:val="00711CBA"/>
    <w:rsid w:val="00711FB5"/>
    <w:rsid w:val="00712A01"/>
    <w:rsid w:val="00713D46"/>
    <w:rsid w:val="00714F58"/>
    <w:rsid w:val="00714F7E"/>
    <w:rsid w:val="007166A6"/>
    <w:rsid w:val="0072089E"/>
    <w:rsid w:val="007208AF"/>
    <w:rsid w:val="00722FBF"/>
    <w:rsid w:val="00722FC2"/>
    <w:rsid w:val="00724E1B"/>
    <w:rsid w:val="00725949"/>
    <w:rsid w:val="00727420"/>
    <w:rsid w:val="00727FA2"/>
    <w:rsid w:val="007322D9"/>
    <w:rsid w:val="00732BC0"/>
    <w:rsid w:val="00732C8B"/>
    <w:rsid w:val="0073720F"/>
    <w:rsid w:val="00737796"/>
    <w:rsid w:val="0074165C"/>
    <w:rsid w:val="00741DA6"/>
    <w:rsid w:val="007423ED"/>
    <w:rsid w:val="00742C35"/>
    <w:rsid w:val="007432CA"/>
    <w:rsid w:val="007439EB"/>
    <w:rsid w:val="00743CB4"/>
    <w:rsid w:val="00743F0A"/>
    <w:rsid w:val="00744271"/>
    <w:rsid w:val="007444E8"/>
    <w:rsid w:val="0074529E"/>
    <w:rsid w:val="0074548E"/>
    <w:rsid w:val="00745773"/>
    <w:rsid w:val="00746800"/>
    <w:rsid w:val="007501A8"/>
    <w:rsid w:val="00750D61"/>
    <w:rsid w:val="00750EE1"/>
    <w:rsid w:val="00752B4D"/>
    <w:rsid w:val="00755402"/>
    <w:rsid w:val="00756B26"/>
    <w:rsid w:val="00756EDF"/>
    <w:rsid w:val="007600E3"/>
    <w:rsid w:val="00765C43"/>
    <w:rsid w:val="00765D51"/>
    <w:rsid w:val="00765EFB"/>
    <w:rsid w:val="007671CA"/>
    <w:rsid w:val="00767C61"/>
    <w:rsid w:val="0077008A"/>
    <w:rsid w:val="007733D2"/>
    <w:rsid w:val="00773C1F"/>
    <w:rsid w:val="00774DA4"/>
    <w:rsid w:val="00776599"/>
    <w:rsid w:val="00777255"/>
    <w:rsid w:val="00780962"/>
    <w:rsid w:val="0078114B"/>
    <w:rsid w:val="00781DD2"/>
    <w:rsid w:val="00783ECF"/>
    <w:rsid w:val="0078413A"/>
    <w:rsid w:val="007959E8"/>
    <w:rsid w:val="00795E9C"/>
    <w:rsid w:val="007A0521"/>
    <w:rsid w:val="007A12F6"/>
    <w:rsid w:val="007A2E12"/>
    <w:rsid w:val="007A2FD2"/>
    <w:rsid w:val="007A3475"/>
    <w:rsid w:val="007A41C8"/>
    <w:rsid w:val="007A54CE"/>
    <w:rsid w:val="007A5D3A"/>
    <w:rsid w:val="007A6FD9"/>
    <w:rsid w:val="007A7DDE"/>
    <w:rsid w:val="007A7FFA"/>
    <w:rsid w:val="007B04EB"/>
    <w:rsid w:val="007B0D4F"/>
    <w:rsid w:val="007B5A3D"/>
    <w:rsid w:val="007B5B95"/>
    <w:rsid w:val="007B6032"/>
    <w:rsid w:val="007B67E1"/>
    <w:rsid w:val="007B68EA"/>
    <w:rsid w:val="007B7453"/>
    <w:rsid w:val="007B770F"/>
    <w:rsid w:val="007B7B26"/>
    <w:rsid w:val="007C2D89"/>
    <w:rsid w:val="007C357E"/>
    <w:rsid w:val="007C4593"/>
    <w:rsid w:val="007C49A4"/>
    <w:rsid w:val="007C5309"/>
    <w:rsid w:val="007C6069"/>
    <w:rsid w:val="007D06C4"/>
    <w:rsid w:val="007D1352"/>
    <w:rsid w:val="007D2508"/>
    <w:rsid w:val="007D30C5"/>
    <w:rsid w:val="007D346A"/>
    <w:rsid w:val="007D6518"/>
    <w:rsid w:val="007D67E0"/>
    <w:rsid w:val="007D76BD"/>
    <w:rsid w:val="007E0264"/>
    <w:rsid w:val="007E0BF1"/>
    <w:rsid w:val="007E3FFF"/>
    <w:rsid w:val="007E7177"/>
    <w:rsid w:val="007F0ED8"/>
    <w:rsid w:val="007F0F63"/>
    <w:rsid w:val="007F2C3F"/>
    <w:rsid w:val="007F7294"/>
    <w:rsid w:val="007F75CE"/>
    <w:rsid w:val="008013A4"/>
    <w:rsid w:val="008019F1"/>
    <w:rsid w:val="008027CE"/>
    <w:rsid w:val="00802F42"/>
    <w:rsid w:val="00804383"/>
    <w:rsid w:val="00804BB7"/>
    <w:rsid w:val="00804D41"/>
    <w:rsid w:val="00807147"/>
    <w:rsid w:val="00810257"/>
    <w:rsid w:val="008104F5"/>
    <w:rsid w:val="00811072"/>
    <w:rsid w:val="00811369"/>
    <w:rsid w:val="00815419"/>
    <w:rsid w:val="008163C8"/>
    <w:rsid w:val="008164A1"/>
    <w:rsid w:val="00817325"/>
    <w:rsid w:val="008209E6"/>
    <w:rsid w:val="00821D19"/>
    <w:rsid w:val="00821FCE"/>
    <w:rsid w:val="00823303"/>
    <w:rsid w:val="008233B2"/>
    <w:rsid w:val="00823A9F"/>
    <w:rsid w:val="00823C85"/>
    <w:rsid w:val="00825138"/>
    <w:rsid w:val="008269DD"/>
    <w:rsid w:val="00830621"/>
    <w:rsid w:val="008328BE"/>
    <w:rsid w:val="0083348C"/>
    <w:rsid w:val="00834B2B"/>
    <w:rsid w:val="008365BD"/>
    <w:rsid w:val="008373D3"/>
    <w:rsid w:val="00840617"/>
    <w:rsid w:val="00840F84"/>
    <w:rsid w:val="00841DAF"/>
    <w:rsid w:val="00842A47"/>
    <w:rsid w:val="00843C13"/>
    <w:rsid w:val="00843DEF"/>
    <w:rsid w:val="008454F8"/>
    <w:rsid w:val="0084755B"/>
    <w:rsid w:val="00850F9E"/>
    <w:rsid w:val="0085173A"/>
    <w:rsid w:val="00854B06"/>
    <w:rsid w:val="00855F3E"/>
    <w:rsid w:val="008603CE"/>
    <w:rsid w:val="008620FC"/>
    <w:rsid w:val="008627A5"/>
    <w:rsid w:val="00863E05"/>
    <w:rsid w:val="00865ACA"/>
    <w:rsid w:val="00865D28"/>
    <w:rsid w:val="00865F85"/>
    <w:rsid w:val="00867C10"/>
    <w:rsid w:val="00870439"/>
    <w:rsid w:val="00870DA1"/>
    <w:rsid w:val="008732D1"/>
    <w:rsid w:val="00877A69"/>
    <w:rsid w:val="00880108"/>
    <w:rsid w:val="00883F93"/>
    <w:rsid w:val="0088477C"/>
    <w:rsid w:val="00884DB3"/>
    <w:rsid w:val="00885A9D"/>
    <w:rsid w:val="008864F6"/>
    <w:rsid w:val="0089049D"/>
    <w:rsid w:val="008928C9"/>
    <w:rsid w:val="008930CB"/>
    <w:rsid w:val="008938DC"/>
    <w:rsid w:val="00893FD1"/>
    <w:rsid w:val="00894836"/>
    <w:rsid w:val="00895172"/>
    <w:rsid w:val="00895680"/>
    <w:rsid w:val="00896DFF"/>
    <w:rsid w:val="0089762C"/>
    <w:rsid w:val="008A0F4C"/>
    <w:rsid w:val="008A173B"/>
    <w:rsid w:val="008A1893"/>
    <w:rsid w:val="008A5033"/>
    <w:rsid w:val="008A57E6"/>
    <w:rsid w:val="008A6A10"/>
    <w:rsid w:val="008A6F81"/>
    <w:rsid w:val="008A769A"/>
    <w:rsid w:val="008B0C9C"/>
    <w:rsid w:val="008B166D"/>
    <w:rsid w:val="008B17F4"/>
    <w:rsid w:val="008B3615"/>
    <w:rsid w:val="008B4AC4"/>
    <w:rsid w:val="008B50C8"/>
    <w:rsid w:val="008B5281"/>
    <w:rsid w:val="008B7E05"/>
    <w:rsid w:val="008C1797"/>
    <w:rsid w:val="008C219C"/>
    <w:rsid w:val="008C4460"/>
    <w:rsid w:val="008C475E"/>
    <w:rsid w:val="008C619A"/>
    <w:rsid w:val="008D0CE8"/>
    <w:rsid w:val="008D0F1A"/>
    <w:rsid w:val="008D2D1D"/>
    <w:rsid w:val="008D30C9"/>
    <w:rsid w:val="008D453D"/>
    <w:rsid w:val="008D53AD"/>
    <w:rsid w:val="008D562B"/>
    <w:rsid w:val="008D5733"/>
    <w:rsid w:val="008D622B"/>
    <w:rsid w:val="008D666C"/>
    <w:rsid w:val="008D7B54"/>
    <w:rsid w:val="008E07CF"/>
    <w:rsid w:val="008E0C9D"/>
    <w:rsid w:val="008E1648"/>
    <w:rsid w:val="008E1B3E"/>
    <w:rsid w:val="008E2319"/>
    <w:rsid w:val="008E4BB6"/>
    <w:rsid w:val="008E5518"/>
    <w:rsid w:val="008E6A84"/>
    <w:rsid w:val="008F0CDC"/>
    <w:rsid w:val="008F17A3"/>
    <w:rsid w:val="008F1ED3"/>
    <w:rsid w:val="008F4C29"/>
    <w:rsid w:val="008F57DE"/>
    <w:rsid w:val="008F5B83"/>
    <w:rsid w:val="008F68AC"/>
    <w:rsid w:val="008F70BD"/>
    <w:rsid w:val="008F788F"/>
    <w:rsid w:val="008F7EA2"/>
    <w:rsid w:val="00902722"/>
    <w:rsid w:val="009027BC"/>
    <w:rsid w:val="009062E6"/>
    <w:rsid w:val="00907A3B"/>
    <w:rsid w:val="00911BE5"/>
    <w:rsid w:val="0091323D"/>
    <w:rsid w:val="00913CA9"/>
    <w:rsid w:val="009145AE"/>
    <w:rsid w:val="009146CE"/>
    <w:rsid w:val="00914CA7"/>
    <w:rsid w:val="00915C3E"/>
    <w:rsid w:val="009161A8"/>
    <w:rsid w:val="00920877"/>
    <w:rsid w:val="00923976"/>
    <w:rsid w:val="009245AE"/>
    <w:rsid w:val="009245F5"/>
    <w:rsid w:val="009249EC"/>
    <w:rsid w:val="009268CE"/>
    <w:rsid w:val="009273B3"/>
    <w:rsid w:val="009305B5"/>
    <w:rsid w:val="00934E19"/>
    <w:rsid w:val="009352BF"/>
    <w:rsid w:val="009378DD"/>
    <w:rsid w:val="009429D5"/>
    <w:rsid w:val="00942BF1"/>
    <w:rsid w:val="00945180"/>
    <w:rsid w:val="00945428"/>
    <w:rsid w:val="0094607B"/>
    <w:rsid w:val="00953604"/>
    <w:rsid w:val="0095496B"/>
    <w:rsid w:val="00960071"/>
    <w:rsid w:val="00960F1E"/>
    <w:rsid w:val="009610DC"/>
    <w:rsid w:val="00961490"/>
    <w:rsid w:val="0096381A"/>
    <w:rsid w:val="00965131"/>
    <w:rsid w:val="00965E04"/>
    <w:rsid w:val="009674AD"/>
    <w:rsid w:val="00970CDC"/>
    <w:rsid w:val="009739B6"/>
    <w:rsid w:val="00975727"/>
    <w:rsid w:val="00977010"/>
    <w:rsid w:val="00977D02"/>
    <w:rsid w:val="00977FF9"/>
    <w:rsid w:val="009806DF"/>
    <w:rsid w:val="009809BB"/>
    <w:rsid w:val="0098364B"/>
    <w:rsid w:val="009908A3"/>
    <w:rsid w:val="009911AF"/>
    <w:rsid w:val="00991875"/>
    <w:rsid w:val="00991D22"/>
    <w:rsid w:val="00991F92"/>
    <w:rsid w:val="009928A7"/>
    <w:rsid w:val="00992985"/>
    <w:rsid w:val="00993889"/>
    <w:rsid w:val="0099551B"/>
    <w:rsid w:val="00996BD2"/>
    <w:rsid w:val="00997BF1"/>
    <w:rsid w:val="00997D00"/>
    <w:rsid w:val="009A089C"/>
    <w:rsid w:val="009A118E"/>
    <w:rsid w:val="009A21CD"/>
    <w:rsid w:val="009A278C"/>
    <w:rsid w:val="009A2BC2"/>
    <w:rsid w:val="009A3310"/>
    <w:rsid w:val="009A42C1"/>
    <w:rsid w:val="009A5429"/>
    <w:rsid w:val="009A5A63"/>
    <w:rsid w:val="009A72AD"/>
    <w:rsid w:val="009B09E0"/>
    <w:rsid w:val="009B0BC5"/>
    <w:rsid w:val="009B1247"/>
    <w:rsid w:val="009B4258"/>
    <w:rsid w:val="009B4560"/>
    <w:rsid w:val="009B6029"/>
    <w:rsid w:val="009B6971"/>
    <w:rsid w:val="009C27F1"/>
    <w:rsid w:val="009C3152"/>
    <w:rsid w:val="009C3257"/>
    <w:rsid w:val="009C4CFA"/>
    <w:rsid w:val="009C5070"/>
    <w:rsid w:val="009C5971"/>
    <w:rsid w:val="009C6AC5"/>
    <w:rsid w:val="009D0900"/>
    <w:rsid w:val="009D112C"/>
    <w:rsid w:val="009D1385"/>
    <w:rsid w:val="009D1B27"/>
    <w:rsid w:val="009D376D"/>
    <w:rsid w:val="009D47FA"/>
    <w:rsid w:val="009D4C5B"/>
    <w:rsid w:val="009D50D2"/>
    <w:rsid w:val="009D6BCA"/>
    <w:rsid w:val="009E0F62"/>
    <w:rsid w:val="009E379A"/>
    <w:rsid w:val="009E40CB"/>
    <w:rsid w:val="009E4148"/>
    <w:rsid w:val="009E4A58"/>
    <w:rsid w:val="009E5A2D"/>
    <w:rsid w:val="009E5AB2"/>
    <w:rsid w:val="009E6219"/>
    <w:rsid w:val="009F03B3"/>
    <w:rsid w:val="009F561F"/>
    <w:rsid w:val="009F6CD1"/>
    <w:rsid w:val="00A0096C"/>
    <w:rsid w:val="00A01757"/>
    <w:rsid w:val="00A028C0"/>
    <w:rsid w:val="00A02BAE"/>
    <w:rsid w:val="00A06A6B"/>
    <w:rsid w:val="00A07E47"/>
    <w:rsid w:val="00A129D0"/>
    <w:rsid w:val="00A12C33"/>
    <w:rsid w:val="00A138BA"/>
    <w:rsid w:val="00A14C8E"/>
    <w:rsid w:val="00A153D9"/>
    <w:rsid w:val="00A15F09"/>
    <w:rsid w:val="00A169B6"/>
    <w:rsid w:val="00A17394"/>
    <w:rsid w:val="00A17B20"/>
    <w:rsid w:val="00A21BE4"/>
    <w:rsid w:val="00A2271D"/>
    <w:rsid w:val="00A237D5"/>
    <w:rsid w:val="00A26E44"/>
    <w:rsid w:val="00A30EFC"/>
    <w:rsid w:val="00A31984"/>
    <w:rsid w:val="00A32D73"/>
    <w:rsid w:val="00A3367B"/>
    <w:rsid w:val="00A33C67"/>
    <w:rsid w:val="00A350BA"/>
    <w:rsid w:val="00A3597D"/>
    <w:rsid w:val="00A36DD1"/>
    <w:rsid w:val="00A4006C"/>
    <w:rsid w:val="00A40091"/>
    <w:rsid w:val="00A4030F"/>
    <w:rsid w:val="00A41C79"/>
    <w:rsid w:val="00A41CB5"/>
    <w:rsid w:val="00A42CDF"/>
    <w:rsid w:val="00A4452E"/>
    <w:rsid w:val="00A4472C"/>
    <w:rsid w:val="00A4486E"/>
    <w:rsid w:val="00A44E69"/>
    <w:rsid w:val="00A4661E"/>
    <w:rsid w:val="00A502AF"/>
    <w:rsid w:val="00A51036"/>
    <w:rsid w:val="00A517B6"/>
    <w:rsid w:val="00A55BD6"/>
    <w:rsid w:val="00A55D50"/>
    <w:rsid w:val="00A57142"/>
    <w:rsid w:val="00A61309"/>
    <w:rsid w:val="00A648CD"/>
    <w:rsid w:val="00A6537A"/>
    <w:rsid w:val="00A67866"/>
    <w:rsid w:val="00A70B07"/>
    <w:rsid w:val="00A713FF"/>
    <w:rsid w:val="00A723F8"/>
    <w:rsid w:val="00A7279B"/>
    <w:rsid w:val="00A77CCB"/>
    <w:rsid w:val="00A81118"/>
    <w:rsid w:val="00A83D8D"/>
    <w:rsid w:val="00A8446B"/>
    <w:rsid w:val="00A8473F"/>
    <w:rsid w:val="00A862D6"/>
    <w:rsid w:val="00A86C97"/>
    <w:rsid w:val="00A8715E"/>
    <w:rsid w:val="00A87C5E"/>
    <w:rsid w:val="00A9295B"/>
    <w:rsid w:val="00A93B09"/>
    <w:rsid w:val="00A952D7"/>
    <w:rsid w:val="00A963F7"/>
    <w:rsid w:val="00A96AD8"/>
    <w:rsid w:val="00AA052C"/>
    <w:rsid w:val="00AA1E45"/>
    <w:rsid w:val="00AA26F9"/>
    <w:rsid w:val="00AA2DD6"/>
    <w:rsid w:val="00AA4286"/>
    <w:rsid w:val="00AA456B"/>
    <w:rsid w:val="00AA57F5"/>
    <w:rsid w:val="00AA672E"/>
    <w:rsid w:val="00AA6EC9"/>
    <w:rsid w:val="00AB530D"/>
    <w:rsid w:val="00AB6309"/>
    <w:rsid w:val="00AB6C5F"/>
    <w:rsid w:val="00AB7129"/>
    <w:rsid w:val="00AC27A6"/>
    <w:rsid w:val="00AC30F7"/>
    <w:rsid w:val="00AC3597"/>
    <w:rsid w:val="00AC3A5A"/>
    <w:rsid w:val="00AC4D95"/>
    <w:rsid w:val="00AC5AFB"/>
    <w:rsid w:val="00AC5DF4"/>
    <w:rsid w:val="00AD0AEF"/>
    <w:rsid w:val="00AD0C9C"/>
    <w:rsid w:val="00AD11B7"/>
    <w:rsid w:val="00AD1A94"/>
    <w:rsid w:val="00AD1C05"/>
    <w:rsid w:val="00AD402E"/>
    <w:rsid w:val="00AD4126"/>
    <w:rsid w:val="00AD421C"/>
    <w:rsid w:val="00AD44FA"/>
    <w:rsid w:val="00AE070A"/>
    <w:rsid w:val="00AE101C"/>
    <w:rsid w:val="00AE2A69"/>
    <w:rsid w:val="00AE37E5"/>
    <w:rsid w:val="00AE3F11"/>
    <w:rsid w:val="00AE5B7A"/>
    <w:rsid w:val="00AE5EB4"/>
    <w:rsid w:val="00AE7B8A"/>
    <w:rsid w:val="00AF0449"/>
    <w:rsid w:val="00AF0C18"/>
    <w:rsid w:val="00AF418D"/>
    <w:rsid w:val="00AF469F"/>
    <w:rsid w:val="00AF47C5"/>
    <w:rsid w:val="00AF5398"/>
    <w:rsid w:val="00B001E1"/>
    <w:rsid w:val="00B00EC4"/>
    <w:rsid w:val="00B049AF"/>
    <w:rsid w:val="00B07242"/>
    <w:rsid w:val="00B10534"/>
    <w:rsid w:val="00B113DB"/>
    <w:rsid w:val="00B11D8A"/>
    <w:rsid w:val="00B12981"/>
    <w:rsid w:val="00B147DD"/>
    <w:rsid w:val="00B156FD"/>
    <w:rsid w:val="00B16C04"/>
    <w:rsid w:val="00B1737A"/>
    <w:rsid w:val="00B21F61"/>
    <w:rsid w:val="00B22536"/>
    <w:rsid w:val="00B261F1"/>
    <w:rsid w:val="00B265BC"/>
    <w:rsid w:val="00B26ADA"/>
    <w:rsid w:val="00B308C4"/>
    <w:rsid w:val="00B31FB1"/>
    <w:rsid w:val="00B33952"/>
    <w:rsid w:val="00B33C5E"/>
    <w:rsid w:val="00B342F4"/>
    <w:rsid w:val="00B34369"/>
    <w:rsid w:val="00B34662"/>
    <w:rsid w:val="00B34DC2"/>
    <w:rsid w:val="00B378E5"/>
    <w:rsid w:val="00B40833"/>
    <w:rsid w:val="00B42143"/>
    <w:rsid w:val="00B4346D"/>
    <w:rsid w:val="00B438D1"/>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141F"/>
    <w:rsid w:val="00B72880"/>
    <w:rsid w:val="00B7456A"/>
    <w:rsid w:val="00B758BF"/>
    <w:rsid w:val="00B77EC8"/>
    <w:rsid w:val="00B819CB"/>
    <w:rsid w:val="00B81CB5"/>
    <w:rsid w:val="00B827A6"/>
    <w:rsid w:val="00B82CE7"/>
    <w:rsid w:val="00B831CE"/>
    <w:rsid w:val="00B86677"/>
    <w:rsid w:val="00B87131"/>
    <w:rsid w:val="00B901CF"/>
    <w:rsid w:val="00B91070"/>
    <w:rsid w:val="00B939B1"/>
    <w:rsid w:val="00B96533"/>
    <w:rsid w:val="00B96D40"/>
    <w:rsid w:val="00B97386"/>
    <w:rsid w:val="00BA263B"/>
    <w:rsid w:val="00BA42B2"/>
    <w:rsid w:val="00BA58D4"/>
    <w:rsid w:val="00BA5B9E"/>
    <w:rsid w:val="00BA7C19"/>
    <w:rsid w:val="00BA7C9A"/>
    <w:rsid w:val="00BB01FD"/>
    <w:rsid w:val="00BB0F44"/>
    <w:rsid w:val="00BB23EC"/>
    <w:rsid w:val="00BB2B2F"/>
    <w:rsid w:val="00BB4D02"/>
    <w:rsid w:val="00BB5F8F"/>
    <w:rsid w:val="00BB657A"/>
    <w:rsid w:val="00BC1A4E"/>
    <w:rsid w:val="00BC4CB4"/>
    <w:rsid w:val="00BC5DC7"/>
    <w:rsid w:val="00BC6B8B"/>
    <w:rsid w:val="00BC73D8"/>
    <w:rsid w:val="00BD52D7"/>
    <w:rsid w:val="00BD5AD2"/>
    <w:rsid w:val="00BD5D52"/>
    <w:rsid w:val="00BE22F3"/>
    <w:rsid w:val="00BE5B52"/>
    <w:rsid w:val="00BE7B8D"/>
    <w:rsid w:val="00BF0993"/>
    <w:rsid w:val="00BF10A9"/>
    <w:rsid w:val="00BF1703"/>
    <w:rsid w:val="00BF231C"/>
    <w:rsid w:val="00BF51E5"/>
    <w:rsid w:val="00BF5DC3"/>
    <w:rsid w:val="00BF74A6"/>
    <w:rsid w:val="00C00D13"/>
    <w:rsid w:val="00C013AD"/>
    <w:rsid w:val="00C0291B"/>
    <w:rsid w:val="00C0459A"/>
    <w:rsid w:val="00C04904"/>
    <w:rsid w:val="00C056B3"/>
    <w:rsid w:val="00C059E5"/>
    <w:rsid w:val="00C07744"/>
    <w:rsid w:val="00C07818"/>
    <w:rsid w:val="00C103E5"/>
    <w:rsid w:val="00C13319"/>
    <w:rsid w:val="00C13EE9"/>
    <w:rsid w:val="00C201F9"/>
    <w:rsid w:val="00C21540"/>
    <w:rsid w:val="00C21906"/>
    <w:rsid w:val="00C21BFA"/>
    <w:rsid w:val="00C24C8D"/>
    <w:rsid w:val="00C25FE2"/>
    <w:rsid w:val="00C26B53"/>
    <w:rsid w:val="00C279B2"/>
    <w:rsid w:val="00C33E50"/>
    <w:rsid w:val="00C346E8"/>
    <w:rsid w:val="00C34C20"/>
    <w:rsid w:val="00C35A3E"/>
    <w:rsid w:val="00C37137"/>
    <w:rsid w:val="00C372B0"/>
    <w:rsid w:val="00C42130"/>
    <w:rsid w:val="00C423A4"/>
    <w:rsid w:val="00C423E3"/>
    <w:rsid w:val="00C4278F"/>
    <w:rsid w:val="00C44770"/>
    <w:rsid w:val="00C44A8C"/>
    <w:rsid w:val="00C44BF5"/>
    <w:rsid w:val="00C478CB"/>
    <w:rsid w:val="00C47CD0"/>
    <w:rsid w:val="00C521D6"/>
    <w:rsid w:val="00C55232"/>
    <w:rsid w:val="00C553A4"/>
    <w:rsid w:val="00C5551E"/>
    <w:rsid w:val="00C55A06"/>
    <w:rsid w:val="00C55D03"/>
    <w:rsid w:val="00C56228"/>
    <w:rsid w:val="00C56564"/>
    <w:rsid w:val="00C601BC"/>
    <w:rsid w:val="00C605A0"/>
    <w:rsid w:val="00C62A68"/>
    <w:rsid w:val="00C6329F"/>
    <w:rsid w:val="00C63340"/>
    <w:rsid w:val="00C63352"/>
    <w:rsid w:val="00C643F9"/>
    <w:rsid w:val="00C64E95"/>
    <w:rsid w:val="00C67071"/>
    <w:rsid w:val="00C71372"/>
    <w:rsid w:val="00C72410"/>
    <w:rsid w:val="00C7287F"/>
    <w:rsid w:val="00C80398"/>
    <w:rsid w:val="00C80CB8"/>
    <w:rsid w:val="00C8151B"/>
    <w:rsid w:val="00C819F8"/>
    <w:rsid w:val="00C8248C"/>
    <w:rsid w:val="00C84E33"/>
    <w:rsid w:val="00C85704"/>
    <w:rsid w:val="00C86D6F"/>
    <w:rsid w:val="00C905FC"/>
    <w:rsid w:val="00C9145C"/>
    <w:rsid w:val="00C92D03"/>
    <w:rsid w:val="00C9319C"/>
    <w:rsid w:val="00C9435D"/>
    <w:rsid w:val="00C94DF2"/>
    <w:rsid w:val="00C96741"/>
    <w:rsid w:val="00C96FB4"/>
    <w:rsid w:val="00CA2D1B"/>
    <w:rsid w:val="00CA375D"/>
    <w:rsid w:val="00CA662A"/>
    <w:rsid w:val="00CA7AFD"/>
    <w:rsid w:val="00CA7C3C"/>
    <w:rsid w:val="00CB0189"/>
    <w:rsid w:val="00CB0BA2"/>
    <w:rsid w:val="00CB0BAB"/>
    <w:rsid w:val="00CB1A42"/>
    <w:rsid w:val="00CB1B0C"/>
    <w:rsid w:val="00CB2C0B"/>
    <w:rsid w:val="00CB2C32"/>
    <w:rsid w:val="00CB517D"/>
    <w:rsid w:val="00CB55ED"/>
    <w:rsid w:val="00CB5B2B"/>
    <w:rsid w:val="00CB603F"/>
    <w:rsid w:val="00CC038D"/>
    <w:rsid w:val="00CC08DB"/>
    <w:rsid w:val="00CC39FF"/>
    <w:rsid w:val="00CC3C2F"/>
    <w:rsid w:val="00CC4AC8"/>
    <w:rsid w:val="00CC5233"/>
    <w:rsid w:val="00CC5DE6"/>
    <w:rsid w:val="00CC6E4E"/>
    <w:rsid w:val="00CC6FE8"/>
    <w:rsid w:val="00CC7202"/>
    <w:rsid w:val="00CD0F0F"/>
    <w:rsid w:val="00CD2808"/>
    <w:rsid w:val="00CD28BF"/>
    <w:rsid w:val="00CD4092"/>
    <w:rsid w:val="00CD4A20"/>
    <w:rsid w:val="00CD50A1"/>
    <w:rsid w:val="00CD519E"/>
    <w:rsid w:val="00CE0C4F"/>
    <w:rsid w:val="00CE30EA"/>
    <w:rsid w:val="00CE3274"/>
    <w:rsid w:val="00CE34B2"/>
    <w:rsid w:val="00CF048A"/>
    <w:rsid w:val="00CF155A"/>
    <w:rsid w:val="00CF2947"/>
    <w:rsid w:val="00CF409E"/>
    <w:rsid w:val="00CF6567"/>
    <w:rsid w:val="00CF686F"/>
    <w:rsid w:val="00CF6E60"/>
    <w:rsid w:val="00CF7BCA"/>
    <w:rsid w:val="00CF7D02"/>
    <w:rsid w:val="00D008FD"/>
    <w:rsid w:val="00D0234A"/>
    <w:rsid w:val="00D0321C"/>
    <w:rsid w:val="00D035EC"/>
    <w:rsid w:val="00D0582C"/>
    <w:rsid w:val="00D069A9"/>
    <w:rsid w:val="00D06AB1"/>
    <w:rsid w:val="00D06FC1"/>
    <w:rsid w:val="00D072ED"/>
    <w:rsid w:val="00D07A16"/>
    <w:rsid w:val="00D07D24"/>
    <w:rsid w:val="00D1067E"/>
    <w:rsid w:val="00D10F50"/>
    <w:rsid w:val="00D11272"/>
    <w:rsid w:val="00D126F5"/>
    <w:rsid w:val="00D1489E"/>
    <w:rsid w:val="00D17C07"/>
    <w:rsid w:val="00D20737"/>
    <w:rsid w:val="00D21E81"/>
    <w:rsid w:val="00D223DE"/>
    <w:rsid w:val="00D22796"/>
    <w:rsid w:val="00D25E37"/>
    <w:rsid w:val="00D25F28"/>
    <w:rsid w:val="00D2661A"/>
    <w:rsid w:val="00D27582"/>
    <w:rsid w:val="00D27EC4"/>
    <w:rsid w:val="00D32719"/>
    <w:rsid w:val="00D33333"/>
    <w:rsid w:val="00D352A2"/>
    <w:rsid w:val="00D36239"/>
    <w:rsid w:val="00D37A00"/>
    <w:rsid w:val="00D4162B"/>
    <w:rsid w:val="00D4514F"/>
    <w:rsid w:val="00D451E2"/>
    <w:rsid w:val="00D45E89"/>
    <w:rsid w:val="00D45E8D"/>
    <w:rsid w:val="00D466AE"/>
    <w:rsid w:val="00D4734F"/>
    <w:rsid w:val="00D51BF3"/>
    <w:rsid w:val="00D56D13"/>
    <w:rsid w:val="00D62480"/>
    <w:rsid w:val="00D65E8D"/>
    <w:rsid w:val="00D66846"/>
    <w:rsid w:val="00D675FB"/>
    <w:rsid w:val="00D67EC0"/>
    <w:rsid w:val="00D707DD"/>
    <w:rsid w:val="00D71F25"/>
    <w:rsid w:val="00D72A9C"/>
    <w:rsid w:val="00D72B73"/>
    <w:rsid w:val="00D7664C"/>
    <w:rsid w:val="00D77031"/>
    <w:rsid w:val="00D775C9"/>
    <w:rsid w:val="00D813D1"/>
    <w:rsid w:val="00D83BFE"/>
    <w:rsid w:val="00D84941"/>
    <w:rsid w:val="00D84FA1"/>
    <w:rsid w:val="00D851F0"/>
    <w:rsid w:val="00D8555D"/>
    <w:rsid w:val="00D86DB7"/>
    <w:rsid w:val="00D86EDB"/>
    <w:rsid w:val="00D87BF5"/>
    <w:rsid w:val="00D90721"/>
    <w:rsid w:val="00D926D0"/>
    <w:rsid w:val="00D93030"/>
    <w:rsid w:val="00D950E1"/>
    <w:rsid w:val="00D952A6"/>
    <w:rsid w:val="00D96BA6"/>
    <w:rsid w:val="00D96C51"/>
    <w:rsid w:val="00D97F99"/>
    <w:rsid w:val="00DA0373"/>
    <w:rsid w:val="00DA05C2"/>
    <w:rsid w:val="00DA1871"/>
    <w:rsid w:val="00DA1E08"/>
    <w:rsid w:val="00DA24F8"/>
    <w:rsid w:val="00DA28E8"/>
    <w:rsid w:val="00DA3020"/>
    <w:rsid w:val="00DA38D3"/>
    <w:rsid w:val="00DA3932"/>
    <w:rsid w:val="00DA3AFC"/>
    <w:rsid w:val="00DA4431"/>
    <w:rsid w:val="00DA5A88"/>
    <w:rsid w:val="00DA64F8"/>
    <w:rsid w:val="00DA6C15"/>
    <w:rsid w:val="00DB0258"/>
    <w:rsid w:val="00DB3232"/>
    <w:rsid w:val="00DB38EE"/>
    <w:rsid w:val="00DB498B"/>
    <w:rsid w:val="00DB66CA"/>
    <w:rsid w:val="00DB6BCA"/>
    <w:rsid w:val="00DB6F54"/>
    <w:rsid w:val="00DB73F7"/>
    <w:rsid w:val="00DC0321"/>
    <w:rsid w:val="00DC3067"/>
    <w:rsid w:val="00DC370B"/>
    <w:rsid w:val="00DC5B90"/>
    <w:rsid w:val="00DC7EDC"/>
    <w:rsid w:val="00DD00FF"/>
    <w:rsid w:val="00DD0619"/>
    <w:rsid w:val="00DD07FB"/>
    <w:rsid w:val="00DD0994"/>
    <w:rsid w:val="00DD0D7F"/>
    <w:rsid w:val="00DD25C6"/>
    <w:rsid w:val="00DD3529"/>
    <w:rsid w:val="00DD4FC9"/>
    <w:rsid w:val="00DD4FE5"/>
    <w:rsid w:val="00DD54B0"/>
    <w:rsid w:val="00DD57EE"/>
    <w:rsid w:val="00DD6BCC"/>
    <w:rsid w:val="00DD6CC5"/>
    <w:rsid w:val="00DD6F84"/>
    <w:rsid w:val="00DE0A4B"/>
    <w:rsid w:val="00DE2410"/>
    <w:rsid w:val="00DE2454"/>
    <w:rsid w:val="00DE2939"/>
    <w:rsid w:val="00DE5B0C"/>
    <w:rsid w:val="00DE6E81"/>
    <w:rsid w:val="00DE703F"/>
    <w:rsid w:val="00DE7595"/>
    <w:rsid w:val="00DF1961"/>
    <w:rsid w:val="00DF23CC"/>
    <w:rsid w:val="00DF44DE"/>
    <w:rsid w:val="00DF6721"/>
    <w:rsid w:val="00E01138"/>
    <w:rsid w:val="00E01B14"/>
    <w:rsid w:val="00E02DFB"/>
    <w:rsid w:val="00E030F9"/>
    <w:rsid w:val="00E0311A"/>
    <w:rsid w:val="00E03138"/>
    <w:rsid w:val="00E06404"/>
    <w:rsid w:val="00E11A85"/>
    <w:rsid w:val="00E12495"/>
    <w:rsid w:val="00E15CCD"/>
    <w:rsid w:val="00E202EF"/>
    <w:rsid w:val="00E210B5"/>
    <w:rsid w:val="00E23BBF"/>
    <w:rsid w:val="00E25347"/>
    <w:rsid w:val="00E2552F"/>
    <w:rsid w:val="00E26EE2"/>
    <w:rsid w:val="00E3137A"/>
    <w:rsid w:val="00E3208D"/>
    <w:rsid w:val="00E32CCF"/>
    <w:rsid w:val="00E34A98"/>
    <w:rsid w:val="00E35D1E"/>
    <w:rsid w:val="00E36461"/>
    <w:rsid w:val="00E364F9"/>
    <w:rsid w:val="00E365FA"/>
    <w:rsid w:val="00E36789"/>
    <w:rsid w:val="00E43CD8"/>
    <w:rsid w:val="00E44349"/>
    <w:rsid w:val="00E44A83"/>
    <w:rsid w:val="00E46D45"/>
    <w:rsid w:val="00E502C1"/>
    <w:rsid w:val="00E502DD"/>
    <w:rsid w:val="00E50D3A"/>
    <w:rsid w:val="00E51387"/>
    <w:rsid w:val="00E51E68"/>
    <w:rsid w:val="00E52EFD"/>
    <w:rsid w:val="00E5408A"/>
    <w:rsid w:val="00E55367"/>
    <w:rsid w:val="00E56800"/>
    <w:rsid w:val="00E57B4D"/>
    <w:rsid w:val="00E60C63"/>
    <w:rsid w:val="00E62FF9"/>
    <w:rsid w:val="00E635D6"/>
    <w:rsid w:val="00E639BC"/>
    <w:rsid w:val="00E664CC"/>
    <w:rsid w:val="00E67385"/>
    <w:rsid w:val="00E70388"/>
    <w:rsid w:val="00E70F92"/>
    <w:rsid w:val="00E74313"/>
    <w:rsid w:val="00E74C54"/>
    <w:rsid w:val="00E77A03"/>
    <w:rsid w:val="00E822E8"/>
    <w:rsid w:val="00E82554"/>
    <w:rsid w:val="00E82606"/>
    <w:rsid w:val="00E831C1"/>
    <w:rsid w:val="00E846C8"/>
    <w:rsid w:val="00E84957"/>
    <w:rsid w:val="00E84A55"/>
    <w:rsid w:val="00E84AF5"/>
    <w:rsid w:val="00E84C29"/>
    <w:rsid w:val="00E855D4"/>
    <w:rsid w:val="00E85BFF"/>
    <w:rsid w:val="00E90391"/>
    <w:rsid w:val="00E906C2"/>
    <w:rsid w:val="00E9311F"/>
    <w:rsid w:val="00E934D1"/>
    <w:rsid w:val="00E94AF0"/>
    <w:rsid w:val="00E95D13"/>
    <w:rsid w:val="00E95DD3"/>
    <w:rsid w:val="00E969D5"/>
    <w:rsid w:val="00EA0897"/>
    <w:rsid w:val="00EA58D1"/>
    <w:rsid w:val="00EA61BC"/>
    <w:rsid w:val="00EA681A"/>
    <w:rsid w:val="00EA7352"/>
    <w:rsid w:val="00EA735B"/>
    <w:rsid w:val="00EA7FDF"/>
    <w:rsid w:val="00EB1E69"/>
    <w:rsid w:val="00EB2086"/>
    <w:rsid w:val="00EB31ED"/>
    <w:rsid w:val="00EB5EDF"/>
    <w:rsid w:val="00EB60FE"/>
    <w:rsid w:val="00EB74DB"/>
    <w:rsid w:val="00EC0110"/>
    <w:rsid w:val="00EC064B"/>
    <w:rsid w:val="00EC159F"/>
    <w:rsid w:val="00EC5299"/>
    <w:rsid w:val="00EC5359"/>
    <w:rsid w:val="00EC562A"/>
    <w:rsid w:val="00ED067A"/>
    <w:rsid w:val="00ED2B50"/>
    <w:rsid w:val="00ED7076"/>
    <w:rsid w:val="00EE0350"/>
    <w:rsid w:val="00EE0719"/>
    <w:rsid w:val="00EE0B05"/>
    <w:rsid w:val="00EE0E80"/>
    <w:rsid w:val="00EE20EF"/>
    <w:rsid w:val="00EE613F"/>
    <w:rsid w:val="00EE7295"/>
    <w:rsid w:val="00EE7869"/>
    <w:rsid w:val="00EF054A"/>
    <w:rsid w:val="00EF3235"/>
    <w:rsid w:val="00EF3599"/>
    <w:rsid w:val="00EF7E72"/>
    <w:rsid w:val="00F055AC"/>
    <w:rsid w:val="00F05DD1"/>
    <w:rsid w:val="00F06D37"/>
    <w:rsid w:val="00F07B9D"/>
    <w:rsid w:val="00F11315"/>
    <w:rsid w:val="00F11586"/>
    <w:rsid w:val="00F1183B"/>
    <w:rsid w:val="00F11C9F"/>
    <w:rsid w:val="00F12263"/>
    <w:rsid w:val="00F1409D"/>
    <w:rsid w:val="00F14214"/>
    <w:rsid w:val="00F157A9"/>
    <w:rsid w:val="00F16F00"/>
    <w:rsid w:val="00F22E22"/>
    <w:rsid w:val="00F24BBA"/>
    <w:rsid w:val="00F25BB6"/>
    <w:rsid w:val="00F26B7E"/>
    <w:rsid w:val="00F27A3B"/>
    <w:rsid w:val="00F32780"/>
    <w:rsid w:val="00F33817"/>
    <w:rsid w:val="00F37D41"/>
    <w:rsid w:val="00F420D5"/>
    <w:rsid w:val="00F451EA"/>
    <w:rsid w:val="00F45447"/>
    <w:rsid w:val="00F456C6"/>
    <w:rsid w:val="00F4577B"/>
    <w:rsid w:val="00F46496"/>
    <w:rsid w:val="00F474D0"/>
    <w:rsid w:val="00F50179"/>
    <w:rsid w:val="00F515EE"/>
    <w:rsid w:val="00F540B2"/>
    <w:rsid w:val="00F56049"/>
    <w:rsid w:val="00F5627A"/>
    <w:rsid w:val="00F56511"/>
    <w:rsid w:val="00F6194E"/>
    <w:rsid w:val="00F623AC"/>
    <w:rsid w:val="00F62A92"/>
    <w:rsid w:val="00F62CA2"/>
    <w:rsid w:val="00F63AB2"/>
    <w:rsid w:val="00F6412A"/>
    <w:rsid w:val="00F644A5"/>
    <w:rsid w:val="00F652FE"/>
    <w:rsid w:val="00F65893"/>
    <w:rsid w:val="00F65CD0"/>
    <w:rsid w:val="00F65D3C"/>
    <w:rsid w:val="00F65E09"/>
    <w:rsid w:val="00F66A4A"/>
    <w:rsid w:val="00F71E22"/>
    <w:rsid w:val="00F72142"/>
    <w:rsid w:val="00F72AE7"/>
    <w:rsid w:val="00F823FB"/>
    <w:rsid w:val="00F833BA"/>
    <w:rsid w:val="00F84FD0"/>
    <w:rsid w:val="00F859A8"/>
    <w:rsid w:val="00F86D87"/>
    <w:rsid w:val="00F90FFA"/>
    <w:rsid w:val="00F9108B"/>
    <w:rsid w:val="00F91349"/>
    <w:rsid w:val="00F9203E"/>
    <w:rsid w:val="00F93A8A"/>
    <w:rsid w:val="00F93E88"/>
    <w:rsid w:val="00F95248"/>
    <w:rsid w:val="00F956A9"/>
    <w:rsid w:val="00F963ED"/>
    <w:rsid w:val="00F966CF"/>
    <w:rsid w:val="00F96CAE"/>
    <w:rsid w:val="00F97C99"/>
    <w:rsid w:val="00FA0DD2"/>
    <w:rsid w:val="00FA339C"/>
    <w:rsid w:val="00FA662D"/>
    <w:rsid w:val="00FA73B1"/>
    <w:rsid w:val="00FB0CB9"/>
    <w:rsid w:val="00FB231D"/>
    <w:rsid w:val="00FB3F0B"/>
    <w:rsid w:val="00FB45F1"/>
    <w:rsid w:val="00FB4A72"/>
    <w:rsid w:val="00FB54E8"/>
    <w:rsid w:val="00FB5F4B"/>
    <w:rsid w:val="00FB7054"/>
    <w:rsid w:val="00FC17B7"/>
    <w:rsid w:val="00FC2CB7"/>
    <w:rsid w:val="00FC4090"/>
    <w:rsid w:val="00FC55B4"/>
    <w:rsid w:val="00FD00E6"/>
    <w:rsid w:val="00FD09A1"/>
    <w:rsid w:val="00FD101C"/>
    <w:rsid w:val="00FD2A7C"/>
    <w:rsid w:val="00FD59EB"/>
    <w:rsid w:val="00FD5C1E"/>
    <w:rsid w:val="00FD7299"/>
    <w:rsid w:val="00FE1FBE"/>
    <w:rsid w:val="00FE3901"/>
    <w:rsid w:val="00FE39D3"/>
    <w:rsid w:val="00FE4BCE"/>
    <w:rsid w:val="00FE54AE"/>
    <w:rsid w:val="00FE576A"/>
    <w:rsid w:val="00FE7E79"/>
    <w:rsid w:val="00FF1DC5"/>
    <w:rsid w:val="00FF3E7D"/>
    <w:rsid w:val="00FF43C7"/>
    <w:rsid w:val="00FF56E4"/>
    <w:rsid w:val="00FF5B99"/>
    <w:rsid w:val="00FF730C"/>
    <w:rsid w:val="00FF73F4"/>
    <w:rsid w:val="00FF7CE4"/>
    <w:rsid w:val="00FF7E39"/>
    <w:rsid w:val="01E0373D"/>
    <w:rsid w:val="0D411534"/>
    <w:rsid w:val="0EB126E9"/>
    <w:rsid w:val="1018192E"/>
    <w:rsid w:val="155D7EE0"/>
    <w:rsid w:val="163D5464"/>
    <w:rsid w:val="1BD45C69"/>
    <w:rsid w:val="1E2C58E8"/>
    <w:rsid w:val="1E933BB9"/>
    <w:rsid w:val="22761828"/>
    <w:rsid w:val="235A4CA6"/>
    <w:rsid w:val="26E256DE"/>
    <w:rsid w:val="2AF7102C"/>
    <w:rsid w:val="2BF043F9"/>
    <w:rsid w:val="2C970D19"/>
    <w:rsid w:val="2E5A1FFE"/>
    <w:rsid w:val="2E6469D8"/>
    <w:rsid w:val="2F057C58"/>
    <w:rsid w:val="313E1763"/>
    <w:rsid w:val="359758E5"/>
    <w:rsid w:val="386677F1"/>
    <w:rsid w:val="3C243C4B"/>
    <w:rsid w:val="3D74650C"/>
    <w:rsid w:val="3E2D328B"/>
    <w:rsid w:val="3EF67B21"/>
    <w:rsid w:val="41F145CF"/>
    <w:rsid w:val="468A6DA0"/>
    <w:rsid w:val="47064679"/>
    <w:rsid w:val="4A8E50B1"/>
    <w:rsid w:val="4BCF5981"/>
    <w:rsid w:val="4CC0176E"/>
    <w:rsid w:val="4E636855"/>
    <w:rsid w:val="4FA669F9"/>
    <w:rsid w:val="4FF57980"/>
    <w:rsid w:val="510E0CFA"/>
    <w:rsid w:val="51D11D27"/>
    <w:rsid w:val="52CF270B"/>
    <w:rsid w:val="560A5808"/>
    <w:rsid w:val="597731B4"/>
    <w:rsid w:val="5AE91E90"/>
    <w:rsid w:val="5B7C4AB2"/>
    <w:rsid w:val="5D136A20"/>
    <w:rsid w:val="5E734892"/>
    <w:rsid w:val="5FAB02B0"/>
    <w:rsid w:val="635F3637"/>
    <w:rsid w:val="64393E88"/>
    <w:rsid w:val="669C3F27"/>
    <w:rsid w:val="6C553829"/>
    <w:rsid w:val="6C7C0DB6"/>
    <w:rsid w:val="6EF72976"/>
    <w:rsid w:val="722A4E10"/>
    <w:rsid w:val="78D21D5D"/>
    <w:rsid w:val="79FA77BE"/>
    <w:rsid w:val="7D0F532E"/>
    <w:rsid w:val="7DD86068"/>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9"/>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unhideWhenUsed/>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4"/>
    <w:semiHidden/>
    <w:unhideWhenUsed/>
    <w:qFormat/>
    <w:uiPriority w:val="99"/>
    <w:pPr>
      <w:widowControl/>
      <w:snapToGrid w:val="0"/>
      <w:spacing w:after="200" w:line="240" w:lineRule="auto"/>
      <w:jc w:val="left"/>
    </w:pPr>
    <w:rPr>
      <w:rFonts w:ascii="Tahoma" w:hAnsi="Tahoma" w:eastAsia="微软雅黑" w:cstheme="minorBidi"/>
      <w:kern w:val="0"/>
      <w:sz w:val="22"/>
      <w:szCs w:val="22"/>
    </w:r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0"/>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HTML Preformatted"/>
    <w:basedOn w:val="1"/>
    <w:link w:val="23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240" w:lineRule="auto"/>
      <w:jc w:val="left"/>
    </w:pPr>
    <w:rPr>
      <w:rFonts w:ascii="宋体" w:hAnsi="宋体" w:eastAsia="微软雅黑" w:cs="宋体"/>
      <w:kern w:val="0"/>
      <w:sz w:val="24"/>
      <w:szCs w:val="22"/>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6"/>
    <w:semiHidden/>
    <w:unhideWhenUsed/>
    <w:qFormat/>
    <w:uiPriority w:val="99"/>
    <w:rPr>
      <w:b/>
      <w:bCs/>
    </w:rPr>
  </w:style>
  <w:style w:type="table" w:styleId="30">
    <w:name w:val="Table Grid"/>
    <w:basedOn w:val="2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9"/>
    <w:rPr>
      <w:rFonts w:ascii="Arial" w:hAnsi="Arial" w:eastAsia="黑体"/>
      <w:b/>
      <w:bCs/>
      <w:kern w:val="2"/>
      <w:sz w:val="32"/>
      <w:szCs w:val="32"/>
    </w:rPr>
  </w:style>
  <w:style w:type="character" w:customStyle="1" w:styleId="40">
    <w:name w:val="标题 3 字符"/>
    <w:link w:val="4"/>
    <w:qFormat/>
    <w:uiPriority w:val="9"/>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19"/>
    <w:qFormat/>
    <w:uiPriority w:val="0"/>
    <w:rPr>
      <w:kern w:val="2"/>
      <w:sz w:val="18"/>
      <w:szCs w:val="18"/>
    </w:rPr>
  </w:style>
  <w:style w:type="character" w:customStyle="1" w:styleId="48">
    <w:name w:val="页脚 字符"/>
    <w:link w:val="18"/>
    <w:qFormat/>
    <w:uiPriority w:val="99"/>
    <w:rPr>
      <w:rFonts w:ascii="宋体"/>
      <w:kern w:val="2"/>
      <w:sz w:val="18"/>
      <w:szCs w:val="18"/>
    </w:rPr>
  </w:style>
  <w:style w:type="character" w:customStyle="1" w:styleId="49">
    <w:name w:val="批注框文本 字符"/>
    <w:link w:val="17"/>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7"/>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semiHidden/>
    <w:qFormat/>
    <w:uiPriority w:val="0"/>
    <w:rPr>
      <w:rFonts w:ascii="宋体"/>
      <w:kern w:val="2"/>
      <w:sz w:val="18"/>
      <w:szCs w:val="18"/>
    </w:rPr>
  </w:style>
  <w:style w:type="paragraph" w:customStyle="1" w:styleId="104">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ind w:left="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ind w:left="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21"/>
      </w:numPr>
      <w:ind w:firstLine="0" w:firstLineChars="0"/>
    </w:pPr>
  </w:style>
  <w:style w:type="paragraph" w:customStyle="1" w:styleId="192">
    <w:name w:val="标准文件_三级项2"/>
    <w:basedOn w:val="60"/>
    <w:qFormat/>
    <w:uiPriority w:val="0"/>
    <w:pPr>
      <w:numPr>
        <w:ilvl w:val="0"/>
        <w:numId w:val="30"/>
      </w:numPr>
      <w:spacing w:line="300" w:lineRule="exact"/>
      <w:ind w:firstLineChars="0"/>
    </w:pPr>
    <w:rPr>
      <w:rFonts w:ascii="Times New Roman"/>
    </w:rPr>
  </w:style>
  <w:style w:type="paragraph" w:customStyle="1" w:styleId="193">
    <w:name w:val="标准文件_一级项2"/>
    <w:basedOn w:val="60"/>
    <w:qFormat/>
    <w:uiPriority w:val="0"/>
    <w:pPr>
      <w:numPr>
        <w:ilvl w:val="0"/>
        <w:numId w:val="31"/>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frame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character" w:customStyle="1" w:styleId="234">
    <w:name w:val="批注文字 字符"/>
    <w:basedOn w:val="31"/>
    <w:link w:val="13"/>
    <w:semiHidden/>
    <w:qFormat/>
    <w:uiPriority w:val="99"/>
    <w:rPr>
      <w:rFonts w:ascii="Tahoma" w:hAnsi="Tahoma" w:eastAsia="微软雅黑" w:cstheme="minorBidi"/>
      <w:sz w:val="22"/>
      <w:szCs w:val="22"/>
    </w:rPr>
  </w:style>
  <w:style w:type="character" w:customStyle="1" w:styleId="235">
    <w:name w:val="HTML 预设格式 字符"/>
    <w:basedOn w:val="31"/>
    <w:link w:val="26"/>
    <w:qFormat/>
    <w:uiPriority w:val="99"/>
    <w:rPr>
      <w:rFonts w:ascii="宋体" w:hAnsi="宋体" w:eastAsia="微软雅黑" w:cs="宋体"/>
      <w:sz w:val="24"/>
      <w:szCs w:val="22"/>
    </w:rPr>
  </w:style>
  <w:style w:type="character" w:customStyle="1" w:styleId="236">
    <w:name w:val="批注主题 字符"/>
    <w:basedOn w:val="234"/>
    <w:link w:val="28"/>
    <w:semiHidden/>
    <w:qFormat/>
    <w:uiPriority w:val="99"/>
    <w:rPr>
      <w:rFonts w:ascii="Tahoma" w:hAnsi="Tahoma" w:eastAsia="微软雅黑" w:cstheme="minorBidi"/>
      <w:b/>
      <w:bCs/>
      <w:sz w:val="22"/>
      <w:szCs w:val="22"/>
    </w:rPr>
  </w:style>
  <w:style w:type="paragraph" w:customStyle="1" w:styleId="237">
    <w:name w:val="CM4"/>
    <w:basedOn w:val="232"/>
    <w:next w:val="232"/>
    <w:unhideWhenUsed/>
    <w:qFormat/>
    <w:uiPriority w:val="99"/>
    <w:pPr>
      <w:spacing w:line="626" w:lineRule="atLeast"/>
    </w:pPr>
    <w:rPr>
      <w:rFonts w:hint="eastAsia" w:ascii="黑体" w:eastAsia="黑体" w:cs="Times New Roman"/>
      <w:szCs w:val="22"/>
    </w:rPr>
  </w:style>
  <w:style w:type="paragraph" w:customStyle="1" w:styleId="238">
    <w:name w:val="CM23"/>
    <w:basedOn w:val="232"/>
    <w:next w:val="232"/>
    <w:qFormat/>
    <w:uiPriority w:val="99"/>
    <w:pPr>
      <w:spacing w:after="70"/>
    </w:pPr>
    <w:rPr>
      <w:rFonts w:ascii="Sim Hei" w:eastAsia="Sim Hei" w:cs="Times New Roman"/>
      <w:color w:val="auto"/>
    </w:rPr>
  </w:style>
  <w:style w:type="paragraph" w:styleId="239">
    <w:name w:val="List Paragraph"/>
    <w:basedOn w:val="1"/>
    <w:qFormat/>
    <w:uiPriority w:val="34"/>
    <w:pPr>
      <w:adjustRightInd/>
      <w:spacing w:line="240" w:lineRule="auto"/>
      <w:ind w:firstLine="420" w:firstLineChars="200"/>
    </w:pPr>
    <w:rPr>
      <w:szCs w:val="22"/>
    </w:rPr>
  </w:style>
  <w:style w:type="paragraph" w:styleId="240">
    <w:name w:val="No Spacing"/>
    <w:qFormat/>
    <w:uiPriority w:val="1"/>
    <w:pPr>
      <w:adjustRightInd w:val="0"/>
      <w:snapToGrid w:val="0"/>
    </w:pPr>
    <w:rPr>
      <w:rFonts w:ascii="Tahoma" w:hAnsi="Tahoma" w:eastAsia="微软雅黑" w:cstheme="minorBidi"/>
      <w:sz w:val="22"/>
      <w:szCs w:val="22"/>
      <w:lang w:val="en-US" w:eastAsia="zh-CN" w:bidi="ar-SA"/>
    </w:rPr>
  </w:style>
  <w:style w:type="paragraph" w:customStyle="1" w:styleId="241">
    <w:name w:val="TOC 标题1"/>
    <w:basedOn w:val="2"/>
    <w:next w:val="1"/>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2">
    <w:name w:val="font21"/>
    <w:basedOn w:val="31"/>
    <w:qFormat/>
    <w:uiPriority w:val="0"/>
    <w:rPr>
      <w:rFonts w:hint="default" w:ascii="Times New Roman" w:hAnsi="Times New Roman" w:cs="Times New Roman"/>
      <w:color w:val="000000"/>
      <w:sz w:val="20"/>
      <w:szCs w:val="20"/>
      <w:u w:val="none"/>
    </w:rPr>
  </w:style>
  <w:style w:type="character" w:customStyle="1" w:styleId="243">
    <w:name w:val="font11"/>
    <w:basedOn w:val="31"/>
    <w:qFormat/>
    <w:uiPriority w:val="0"/>
    <w:rPr>
      <w:rFonts w:hint="eastAsia" w:ascii="宋体" w:hAnsi="宋体" w:eastAsia="宋体" w:cs="宋体"/>
      <w:color w:val="000000"/>
      <w:sz w:val="20"/>
      <w:szCs w:val="20"/>
      <w:u w:val="none"/>
    </w:rPr>
  </w:style>
  <w:style w:type="paragraph" w:customStyle="1" w:styleId="244">
    <w:name w:val="p0"/>
    <w:basedOn w:val="1"/>
    <w:qFormat/>
    <w:uiPriority w:val="0"/>
    <w:pPr>
      <w:widowControl/>
      <w:snapToGrid w:val="0"/>
      <w:spacing w:after="200" w:line="240" w:lineRule="auto"/>
      <w:jc w:val="left"/>
    </w:pPr>
    <w:rPr>
      <w:rFonts w:ascii="Tahoma" w:hAnsi="Tahoma" w:eastAsia="微软雅黑" w:cstheme="minorBidi"/>
      <w:kern w:val="0"/>
      <w:sz w:val="22"/>
    </w:rPr>
  </w:style>
  <w:style w:type="character" w:customStyle="1" w:styleId="245">
    <w:name w:val="short_text"/>
    <w:qFormat/>
    <w:uiPriority w:val="0"/>
  </w:style>
  <w:style w:type="paragraph" w:customStyle="1" w:styleId="246">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247">
    <w:name w:val="TOC 标题2"/>
    <w:basedOn w:val="2"/>
    <w:next w:val="1"/>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248">
    <w:name w:val="font31"/>
    <w:basedOn w:val="31"/>
    <w:qFormat/>
    <w:uiPriority w:val="0"/>
    <w:rPr>
      <w:rFonts w:hint="default" w:ascii="Times New Roman" w:hAnsi="Times New Roman" w:cs="Times New Roman"/>
      <w:color w:val="000000"/>
      <w:sz w:val="20"/>
      <w:szCs w:val="20"/>
      <w:u w:val="none"/>
    </w:rPr>
  </w:style>
  <w:style w:type="character" w:customStyle="1" w:styleId="249">
    <w:name w:val="font51"/>
    <w:basedOn w:val="31"/>
    <w:qFormat/>
    <w:uiPriority w:val="0"/>
    <w:rPr>
      <w:rFonts w:hint="default" w:ascii="Times New Roman" w:hAnsi="Times New Roman" w:cs="Times New Roman"/>
      <w:color w:val="000000"/>
      <w:sz w:val="20"/>
      <w:szCs w:val="20"/>
      <w:u w:val="none"/>
    </w:rPr>
  </w:style>
  <w:style w:type="character" w:customStyle="1" w:styleId="250">
    <w:name w:val="font41"/>
    <w:basedOn w:val="31"/>
    <w:qFormat/>
    <w:uiPriority w:val="0"/>
    <w:rPr>
      <w:rFonts w:hint="default" w:ascii="Times New Roman" w:hAnsi="Times New Roman" w:cs="Times New Roman"/>
      <w:color w:val="000000"/>
      <w:sz w:val="20"/>
      <w:szCs w:val="20"/>
      <w:u w:val="none"/>
    </w:rPr>
  </w:style>
  <w:style w:type="character" w:customStyle="1" w:styleId="251">
    <w:name w:val="font61"/>
    <w:basedOn w:val="31"/>
    <w:qFormat/>
    <w:uiPriority w:val="0"/>
    <w:rPr>
      <w:rFonts w:hint="default" w:ascii="Times New Roman" w:hAnsi="Times New Roman" w:cs="Times New Roman"/>
      <w:color w:val="000000"/>
      <w:sz w:val="20"/>
      <w:szCs w:val="20"/>
      <w:u w:val="none"/>
    </w:rPr>
  </w:style>
  <w:style w:type="paragraph" w:customStyle="1" w:styleId="252">
    <w:name w:val="段"/>
    <w:link w:val="254"/>
    <w:autoRedefine/>
    <w:qFormat/>
    <w:uiPriority w:val="0"/>
    <w:pPr>
      <w:tabs>
        <w:tab w:val="center" w:pos="4201"/>
        <w:tab w:val="right" w:leader="dot" w:pos="9298"/>
      </w:tabs>
      <w:autoSpaceDE w:val="0"/>
      <w:autoSpaceDN w:val="0"/>
      <w:spacing w:before="156" w:after="156"/>
      <w:ind w:firstLine="420" w:firstLineChars="200"/>
      <w:jc w:val="both"/>
    </w:pPr>
    <w:rPr>
      <w:rFonts w:ascii="Cambria Math" w:hAnsi="Cambria Math" w:eastAsia="宋体" w:cs="Times New Roman"/>
      <w:iCs/>
      <w:sz w:val="21"/>
      <w:lang w:val="en-US" w:eastAsia="zh-CN" w:bidi="ar-SA"/>
    </w:rPr>
  </w:style>
  <w:style w:type="paragraph" w:customStyle="1" w:styleId="253">
    <w:name w:val="一级条标题"/>
    <w:next w:val="252"/>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character" w:customStyle="1" w:styleId="254">
    <w:name w:val="段 Char"/>
    <w:link w:val="252"/>
    <w:qFormat/>
    <w:uiPriority w:val="0"/>
    <w:rPr>
      <w:rFonts w:ascii="Cambria Math" w:hAnsi="Cambria Math"/>
      <w:iCs/>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1ADB6D256DE44448A115F09195C9D55"/>
        <w:style w:val=""/>
        <w:category>
          <w:name w:val="常规"/>
          <w:gallery w:val="placeholder"/>
        </w:category>
        <w:types>
          <w:type w:val="bbPlcHdr"/>
        </w:types>
        <w:behaviors>
          <w:behavior w:val="content"/>
        </w:behaviors>
        <w:description w:val=""/>
        <w:guid w:val="{67EBC8DC-8EA4-4DDE-A22B-0C3FC163658C}"/>
      </w:docPartPr>
      <w:docPartBody>
        <w:p w14:paraId="62D9504B">
          <w:pPr>
            <w:pStyle w:val="5"/>
            <w:rPr>
              <w:rFonts w:hint="eastAsia"/>
            </w:rPr>
          </w:pPr>
          <w:r>
            <w:rPr>
              <w:rStyle w:val="4"/>
              <w:rFonts w:hint="eastAsia"/>
            </w:rPr>
            <w:t>单击或点击此处输入文字。</w:t>
          </w:r>
        </w:p>
      </w:docPartBody>
    </w:docPart>
    <w:docPart>
      <w:docPartPr>
        <w:name w:val="B7201308D17C4E07BF5FB762598EE325"/>
        <w:style w:val=""/>
        <w:category>
          <w:name w:val="常规"/>
          <w:gallery w:val="placeholder"/>
        </w:category>
        <w:types>
          <w:type w:val="bbPlcHdr"/>
        </w:types>
        <w:behaviors>
          <w:behavior w:val="content"/>
        </w:behaviors>
        <w:description w:val=""/>
        <w:guid w:val="{A0516DB0-3BF4-4312-BD0F-247AAE878AAE}"/>
      </w:docPartPr>
      <w:docPartBody>
        <w:p w14:paraId="7AEF6396">
          <w:pPr>
            <w:pStyle w:val="6"/>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406"/>
    <w:rsid w:val="000033D5"/>
    <w:rsid w:val="0003322F"/>
    <w:rsid w:val="00040624"/>
    <w:rsid w:val="00125C48"/>
    <w:rsid w:val="001856E8"/>
    <w:rsid w:val="00192896"/>
    <w:rsid w:val="001F7611"/>
    <w:rsid w:val="00291CE9"/>
    <w:rsid w:val="002B0366"/>
    <w:rsid w:val="002B4DF3"/>
    <w:rsid w:val="002C477F"/>
    <w:rsid w:val="002F6BD1"/>
    <w:rsid w:val="002F7DE4"/>
    <w:rsid w:val="00306ABE"/>
    <w:rsid w:val="003505AF"/>
    <w:rsid w:val="00391D8D"/>
    <w:rsid w:val="003F329C"/>
    <w:rsid w:val="00491D89"/>
    <w:rsid w:val="004B6068"/>
    <w:rsid w:val="004E2381"/>
    <w:rsid w:val="004F5952"/>
    <w:rsid w:val="00523CF4"/>
    <w:rsid w:val="00527F2D"/>
    <w:rsid w:val="0053214F"/>
    <w:rsid w:val="005B4AF1"/>
    <w:rsid w:val="005E5EDF"/>
    <w:rsid w:val="00611D68"/>
    <w:rsid w:val="00617AA6"/>
    <w:rsid w:val="006318DF"/>
    <w:rsid w:val="006516B3"/>
    <w:rsid w:val="006930DF"/>
    <w:rsid w:val="006B023E"/>
    <w:rsid w:val="006E2965"/>
    <w:rsid w:val="00727420"/>
    <w:rsid w:val="007541F8"/>
    <w:rsid w:val="00763B56"/>
    <w:rsid w:val="00797138"/>
    <w:rsid w:val="0081500F"/>
    <w:rsid w:val="00822406"/>
    <w:rsid w:val="00827768"/>
    <w:rsid w:val="00844AF0"/>
    <w:rsid w:val="00846123"/>
    <w:rsid w:val="008C1C50"/>
    <w:rsid w:val="008C35EF"/>
    <w:rsid w:val="00971433"/>
    <w:rsid w:val="009739B6"/>
    <w:rsid w:val="009C7ABA"/>
    <w:rsid w:val="009D376D"/>
    <w:rsid w:val="009F66A9"/>
    <w:rsid w:val="009F6CD1"/>
    <w:rsid w:val="00A7279B"/>
    <w:rsid w:val="00A76EFD"/>
    <w:rsid w:val="00A81118"/>
    <w:rsid w:val="00AD30D4"/>
    <w:rsid w:val="00AF4F1E"/>
    <w:rsid w:val="00B001E1"/>
    <w:rsid w:val="00B10DDC"/>
    <w:rsid w:val="00B212AF"/>
    <w:rsid w:val="00B639E7"/>
    <w:rsid w:val="00B664FD"/>
    <w:rsid w:val="00B828FB"/>
    <w:rsid w:val="00BB0D3E"/>
    <w:rsid w:val="00C4278F"/>
    <w:rsid w:val="00C47FBA"/>
    <w:rsid w:val="00C80398"/>
    <w:rsid w:val="00D610DE"/>
    <w:rsid w:val="00D83479"/>
    <w:rsid w:val="00E124C8"/>
    <w:rsid w:val="00E50BCC"/>
    <w:rsid w:val="00E603D3"/>
    <w:rsid w:val="00E9678F"/>
    <w:rsid w:val="00EA46E5"/>
    <w:rsid w:val="00F13758"/>
    <w:rsid w:val="00F6582D"/>
    <w:rsid w:val="00F71F2F"/>
    <w:rsid w:val="00F80B08"/>
    <w:rsid w:val="00F82225"/>
    <w:rsid w:val="00FA3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C1ADB6D256DE44448A115F09195C9D5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B7201308D17C4E07BF5FB762598EE3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C6F867-F4DC-493B-9DE4-07CA84E3EE1C}">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13</Pages>
  <Words>3057</Words>
  <Characters>3559</Characters>
  <Lines>76</Lines>
  <Paragraphs>21</Paragraphs>
  <TotalTime>3</TotalTime>
  <ScaleCrop>false</ScaleCrop>
  <LinksUpToDate>false</LinksUpToDate>
  <CharactersWithSpaces>3791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2026-09-11T05:17:00Z</dcterms:created>
  <dc:creator>admin</dc:creator>
  <dc:description>&lt;config cover="true" show_menu="true" version="1.0.0" doctype="SDKXY"&gt;_x000d_
&lt;/config&gt;</dc:description>
  <cp:lastModifiedBy>埖椒痳吥痳</cp:lastModifiedBy>
  <cp:lastPrinted>2023-11-16T01:55:00Z</cp:lastPrinted>
  <dcterms:modified xsi:type="dcterms:W3CDTF">2026-09-12T23:47:52Z</dcterms:modified>
  <dc:title>团体标准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B5F6E2A42067465F9C387518065285A3_13</vt:lpwstr>
  </property>
  <property fmtid="{D5CDD505-2E9C-101B-9397-08002B2CF9AE}" pid="16" name="KSOTemplateDocerSaveRecord">
    <vt:lpwstr>eyJoZGlkIjoiNjU3ZGZhNmRlNjFmZTBmMmRkNzczZTgzZTViYTU1NzAiLCJ1c2VySWQiOiI1NzIwMDg2NDIifQ==</vt:lpwstr>
  </property>
</Properties>
</file>