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ADC857">
      <w:pPr>
        <w:jc w:val="center"/>
        <w:rPr>
          <w:rFonts w:ascii="方正姚体" w:eastAsia="方正姚体"/>
          <w:b/>
          <w:sz w:val="52"/>
          <w:szCs w:val="52"/>
        </w:rPr>
      </w:pPr>
    </w:p>
    <w:p w14:paraId="20A53839">
      <w:pPr>
        <w:pStyle w:val="70"/>
        <w:ind w:firstLine="0" w:firstLineChars="0"/>
        <w:jc w:val="center"/>
        <w:rPr>
          <w:rFonts w:ascii="方正姚体" w:eastAsia="方正姚体"/>
          <w:b/>
          <w:kern w:val="2"/>
          <w:sz w:val="52"/>
          <w:szCs w:val="52"/>
        </w:rPr>
      </w:pPr>
    </w:p>
    <w:p w14:paraId="67DB49CF">
      <w:pPr>
        <w:pStyle w:val="70"/>
        <w:ind w:firstLine="0" w:firstLineChars="0"/>
        <w:jc w:val="center"/>
        <w:rPr>
          <w:rFonts w:ascii="方正姚体" w:eastAsia="方正姚体"/>
          <w:b/>
          <w:kern w:val="2"/>
          <w:sz w:val="52"/>
          <w:szCs w:val="52"/>
        </w:rPr>
      </w:pPr>
    </w:p>
    <w:p w14:paraId="7AA52A59">
      <w:pPr>
        <w:pStyle w:val="70"/>
        <w:ind w:firstLine="0" w:firstLineChars="0"/>
        <w:jc w:val="center"/>
        <w:rPr>
          <w:rFonts w:hint="eastAsia" w:ascii="方正姚体" w:hAnsi="Times New Roman" w:eastAsia="方正姚体" w:cs="Times New Roman"/>
          <w:b/>
          <w:kern w:val="2"/>
          <w:sz w:val="52"/>
          <w:szCs w:val="52"/>
          <w:lang w:val="en-US" w:eastAsia="zh-CN"/>
        </w:rPr>
      </w:pPr>
      <w:r>
        <w:rPr>
          <w:rFonts w:hint="eastAsia" w:ascii="方正姚体" w:hAnsi="Times New Roman" w:eastAsia="方正姚体" w:cs="Times New Roman"/>
          <w:b/>
          <w:kern w:val="2"/>
          <w:sz w:val="52"/>
          <w:szCs w:val="52"/>
          <w:lang w:val="en-US" w:eastAsia="zh-CN"/>
        </w:rPr>
        <w:t>气象用强制通风型气温测量仪</w:t>
      </w:r>
    </w:p>
    <w:p w14:paraId="12097EE8">
      <w:pPr>
        <w:pStyle w:val="70"/>
        <w:ind w:firstLine="0" w:firstLineChars="0"/>
        <w:jc w:val="center"/>
        <w:rPr>
          <w:rFonts w:ascii="方正姚体" w:eastAsia="方正姚体"/>
          <w:b/>
          <w:kern w:val="2"/>
          <w:sz w:val="52"/>
          <w:szCs w:val="52"/>
        </w:rPr>
      </w:pPr>
      <w:r>
        <w:rPr>
          <w:rFonts w:hint="eastAsia" w:ascii="方正姚体" w:eastAsia="方正姚体"/>
          <w:b/>
          <w:kern w:val="2"/>
          <w:sz w:val="52"/>
          <w:szCs w:val="52"/>
        </w:rPr>
        <w:t>不确定度评定报告</w:t>
      </w:r>
    </w:p>
    <w:p w14:paraId="5ABF10AD">
      <w:pPr>
        <w:rPr>
          <w:rFonts w:ascii="仿宋_GB2312" w:eastAsia="仿宋_GB2312"/>
          <w:sz w:val="32"/>
          <w:szCs w:val="32"/>
        </w:rPr>
      </w:pPr>
    </w:p>
    <w:p w14:paraId="75D02735">
      <w:pPr>
        <w:jc w:val="center"/>
        <w:rPr>
          <w:rFonts w:ascii="仿宋_GB2312" w:eastAsia="仿宋_GB2312"/>
          <w:sz w:val="32"/>
          <w:szCs w:val="32"/>
        </w:rPr>
      </w:pPr>
    </w:p>
    <w:p w14:paraId="72311267">
      <w:pPr>
        <w:rPr>
          <w:rFonts w:ascii="仿宋_GB2312" w:eastAsia="仿宋_GB2312"/>
          <w:sz w:val="32"/>
          <w:szCs w:val="32"/>
        </w:rPr>
      </w:pPr>
    </w:p>
    <w:p w14:paraId="6D953901">
      <w:pPr>
        <w:tabs>
          <w:tab w:val="left" w:pos="840"/>
        </w:tabs>
        <w:spacing w:line="360" w:lineRule="auto"/>
        <w:ind w:firstLine="480" w:firstLineChars="200"/>
        <w:rPr>
          <w:sz w:val="24"/>
        </w:rPr>
      </w:pPr>
    </w:p>
    <w:p w14:paraId="1305533D">
      <w:pPr>
        <w:rPr>
          <w:rFonts w:ascii="仿宋_GB2312" w:eastAsia="仿宋_GB2312"/>
          <w:sz w:val="32"/>
          <w:szCs w:val="32"/>
        </w:rPr>
      </w:pPr>
    </w:p>
    <w:p w14:paraId="3295C3DE">
      <w:pPr>
        <w:rPr>
          <w:rFonts w:ascii="仿宋_GB2312" w:eastAsia="仿宋_GB2312"/>
          <w:sz w:val="32"/>
          <w:szCs w:val="32"/>
        </w:rPr>
      </w:pPr>
    </w:p>
    <w:p w14:paraId="68D3B800">
      <w:pPr>
        <w:rPr>
          <w:rFonts w:ascii="仿宋_GB2312" w:eastAsia="仿宋_GB2312"/>
          <w:sz w:val="32"/>
          <w:szCs w:val="32"/>
        </w:rPr>
      </w:pPr>
    </w:p>
    <w:p w14:paraId="311A117E">
      <w:pPr>
        <w:rPr>
          <w:rFonts w:ascii="仿宋_GB2312" w:eastAsia="仿宋_GB2312"/>
          <w:sz w:val="32"/>
          <w:szCs w:val="32"/>
        </w:rPr>
      </w:pPr>
    </w:p>
    <w:p w14:paraId="07AB59D3">
      <w:pPr>
        <w:pStyle w:val="32"/>
        <w:rPr>
          <w:sz w:val="28"/>
          <w:szCs w:val="28"/>
        </w:rPr>
      </w:pPr>
    </w:p>
    <w:p w14:paraId="3B2CD941">
      <w:pPr>
        <w:rPr>
          <w:sz w:val="28"/>
          <w:szCs w:val="28"/>
        </w:rPr>
      </w:pPr>
    </w:p>
    <w:p w14:paraId="48BCCC90">
      <w:pPr>
        <w:rPr>
          <w:sz w:val="28"/>
          <w:szCs w:val="28"/>
        </w:rPr>
      </w:pPr>
    </w:p>
    <w:p w14:paraId="007D3F50">
      <w:pPr>
        <w:rPr>
          <w:sz w:val="28"/>
          <w:szCs w:val="28"/>
        </w:rPr>
      </w:pPr>
    </w:p>
    <w:p w14:paraId="0DFB3DA9">
      <w:pPr>
        <w:rPr>
          <w:sz w:val="28"/>
          <w:szCs w:val="28"/>
        </w:rPr>
      </w:pPr>
    </w:p>
    <w:p w14:paraId="314F1488">
      <w:pPr>
        <w:rPr>
          <w:sz w:val="28"/>
          <w:szCs w:val="28"/>
        </w:rPr>
      </w:pPr>
    </w:p>
    <w:p w14:paraId="5EFE931D">
      <w:pPr>
        <w:rPr>
          <w:sz w:val="28"/>
          <w:szCs w:val="28"/>
        </w:rPr>
      </w:pPr>
    </w:p>
    <w:p w14:paraId="420A5F12">
      <w:pPr>
        <w:rPr>
          <w:sz w:val="28"/>
          <w:szCs w:val="28"/>
        </w:rPr>
      </w:pPr>
    </w:p>
    <w:p w14:paraId="2778A81F">
      <w:pPr>
        <w:rPr>
          <w:sz w:val="28"/>
          <w:szCs w:val="28"/>
        </w:rPr>
      </w:pPr>
    </w:p>
    <w:p w14:paraId="46DAC309">
      <w:pPr>
        <w:rPr>
          <w:sz w:val="28"/>
          <w:szCs w:val="28"/>
        </w:rPr>
      </w:pPr>
    </w:p>
    <w:p w14:paraId="2627B6B9">
      <w:pPr>
        <w:jc w:val="center"/>
        <w:rPr>
          <w:sz w:val="28"/>
        </w:rPr>
      </w:pPr>
    </w:p>
    <w:p w14:paraId="3474981D">
      <w:pPr>
        <w:jc w:val="center"/>
        <w:rPr>
          <w:sz w:val="28"/>
        </w:rPr>
      </w:pPr>
    </w:p>
    <w:p w14:paraId="134BB800">
      <w:pPr>
        <w:jc w:val="center"/>
        <w:rPr>
          <w:sz w:val="28"/>
        </w:rPr>
      </w:pPr>
    </w:p>
    <w:p w14:paraId="334FACDC">
      <w:pPr>
        <w:jc w:val="center"/>
        <w:rPr>
          <w:sz w:val="28"/>
        </w:rPr>
      </w:pPr>
    </w:p>
    <w:p w14:paraId="44D8EDF6">
      <w:pPr>
        <w:jc w:val="center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规程起草组</w:t>
      </w:r>
    </w:p>
    <w:p w14:paraId="5F328FAC">
      <w:pPr>
        <w:jc w:val="center"/>
        <w:rPr>
          <w:sz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linePitch="312" w:charSpace="0"/>
        </w:sectPr>
      </w:pPr>
      <w:r>
        <w:rPr>
          <w:rFonts w:hint="eastAsia" w:ascii="宋体" w:hAnsi="宋体"/>
          <w:sz w:val="28"/>
        </w:rPr>
        <w:t>20</w:t>
      </w:r>
      <w:r>
        <w:rPr>
          <w:rFonts w:hint="eastAsia" w:ascii="宋体" w:hAnsi="宋体"/>
          <w:sz w:val="28"/>
          <w:lang w:val="en-US" w:eastAsia="zh-CN"/>
        </w:rPr>
        <w:t>26</w:t>
      </w:r>
      <w:r>
        <w:rPr>
          <w:rFonts w:hint="eastAsia" w:ascii="宋体" w:hAnsi="宋体"/>
          <w:sz w:val="28"/>
        </w:rPr>
        <w:t>年</w:t>
      </w:r>
      <w:r>
        <w:rPr>
          <w:rFonts w:hint="eastAsia" w:ascii="宋体" w:hAnsi="宋体"/>
          <w:sz w:val="28"/>
          <w:lang w:val="en-US" w:eastAsia="zh-CN"/>
        </w:rPr>
        <w:t>7</w:t>
      </w:r>
      <w:r>
        <w:rPr>
          <w:rFonts w:hint="eastAsia" w:ascii="宋体" w:hAnsi="宋体"/>
          <w:sz w:val="28"/>
        </w:rPr>
        <w:t>月</w:t>
      </w:r>
      <w:r>
        <w:rPr>
          <w:rFonts w:hint="eastAsia" w:ascii="宋体" w:hAnsi="宋体"/>
          <w:sz w:val="28"/>
          <w:lang w:val="en-US" w:eastAsia="zh-CN"/>
        </w:rPr>
        <w:t>13</w:t>
      </w:r>
      <w:r>
        <w:rPr>
          <w:rFonts w:hint="eastAsia" w:ascii="宋体" w:hAnsi="宋体"/>
          <w:sz w:val="28"/>
        </w:rPr>
        <w:t>日</w:t>
      </w:r>
    </w:p>
    <w:p w14:paraId="64F08B2B">
      <w:pPr>
        <w:pStyle w:val="2"/>
        <w:keepNext w:val="0"/>
        <w:keepLines w:val="0"/>
        <w:numPr>
          <w:ilvl w:val="0"/>
          <w:numId w:val="0"/>
        </w:numPr>
        <w:spacing w:before="120" w:line="240" w:lineRule="auto"/>
        <w:ind w:left="431" w:hanging="431"/>
        <w:jc w:val="center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b w:val="0"/>
          <w:bCs w:val="0"/>
          <w:kern w:val="0"/>
          <w:sz w:val="28"/>
          <w:szCs w:val="28"/>
          <w:lang w:val="en-US" w:eastAsia="zh-CN"/>
        </w:rPr>
        <w:t>温度</w:t>
      </w:r>
      <w:r>
        <w:rPr>
          <w:rFonts w:hint="eastAsia" w:ascii="黑体" w:hAnsi="黑体" w:eastAsia="黑体"/>
          <w:b w:val="0"/>
          <w:bCs w:val="0"/>
          <w:kern w:val="0"/>
          <w:sz w:val="28"/>
          <w:szCs w:val="28"/>
        </w:rPr>
        <w:t>测量不确定度评定示例</w:t>
      </w:r>
      <w:r>
        <w:rPr>
          <w:rFonts w:hint="eastAsia" w:ascii="黑体" w:hAnsi="黑体" w:eastAsia="黑体"/>
          <w:sz w:val="24"/>
        </w:rPr>
        <w:tab/>
      </w:r>
    </w:p>
    <w:p w14:paraId="7D7F0AE0">
      <w:pPr>
        <w:tabs>
          <w:tab w:val="left" w:pos="360"/>
          <w:tab w:val="left" w:pos="1931"/>
        </w:tabs>
        <w:spacing w:line="360" w:lineRule="auto"/>
        <w:ind w:left="0" w:firstLine="0"/>
        <w:outlineLvl w:val="0"/>
        <w:rPr>
          <w:rFonts w:ascii="黑体" w:hAnsi="黑体" w:eastAsia="黑体"/>
          <w:sz w:val="24"/>
        </w:rPr>
      </w:pPr>
      <w:bookmarkStart w:id="0" w:name="_Toc534535092"/>
      <w:bookmarkStart w:id="1" w:name="_Toc511284853"/>
      <w:r>
        <w:rPr>
          <w:rFonts w:hint="eastAsia" w:ascii="黑体" w:hAnsi="黑体" w:eastAsia="黑体"/>
          <w:sz w:val="24"/>
        </w:rPr>
        <w:t>1  评定依据</w:t>
      </w:r>
      <w:bookmarkEnd w:id="0"/>
      <w:bookmarkEnd w:id="1"/>
    </w:p>
    <w:p w14:paraId="3F5BA7ED">
      <w:pPr>
        <w:spacing w:line="360" w:lineRule="auto"/>
        <w:ind w:firstLine="480" w:firstLineChars="200"/>
        <w:rPr>
          <w:sz w:val="24"/>
        </w:rPr>
      </w:pPr>
      <w:r>
        <w:rPr>
          <w:rFonts w:hint="eastAsia" w:ascii="宋体" w:hAnsi="宋体"/>
          <w:sz w:val="24"/>
        </w:rPr>
        <w:t>JJF1059.1-2012</w:t>
      </w:r>
      <w:r>
        <w:rPr>
          <w:rFonts w:hint="eastAsia"/>
          <w:sz w:val="24"/>
        </w:rPr>
        <w:t xml:space="preserve"> 测量不确定度评定与表示</w:t>
      </w:r>
    </w:p>
    <w:p w14:paraId="41999531">
      <w:pPr>
        <w:tabs>
          <w:tab w:val="left" w:pos="360"/>
          <w:tab w:val="left" w:pos="1931"/>
        </w:tabs>
        <w:spacing w:line="360" w:lineRule="auto"/>
        <w:ind w:left="0" w:firstLine="0"/>
        <w:outlineLvl w:val="0"/>
        <w:rPr>
          <w:rFonts w:ascii="黑体" w:hAnsi="黑体" w:eastAsia="黑体"/>
          <w:sz w:val="24"/>
        </w:rPr>
      </w:pPr>
      <w:bookmarkStart w:id="2" w:name="_Toc534535093"/>
      <w:bookmarkStart w:id="3" w:name="_Toc511284854"/>
      <w:r>
        <w:rPr>
          <w:rFonts w:hint="eastAsia" w:ascii="黑体" w:hAnsi="黑体" w:eastAsia="黑体"/>
          <w:sz w:val="24"/>
        </w:rPr>
        <w:t>2  标准设备和</w:t>
      </w:r>
      <w:r>
        <w:rPr>
          <w:rFonts w:hint="eastAsia" w:ascii="黑体" w:hAnsi="黑体" w:eastAsia="黑体"/>
          <w:sz w:val="24"/>
          <w:lang w:eastAsia="zh-CN"/>
        </w:rPr>
        <w:t>被校</w:t>
      </w:r>
      <w:r>
        <w:rPr>
          <w:rFonts w:hint="eastAsia" w:ascii="黑体" w:hAnsi="黑体" w:eastAsia="黑体"/>
          <w:sz w:val="24"/>
        </w:rPr>
        <w:t>对象</w:t>
      </w:r>
      <w:bookmarkEnd w:id="2"/>
      <w:bookmarkEnd w:id="3"/>
    </w:p>
    <w:p w14:paraId="1006D27D">
      <w:pPr>
        <w:tabs>
          <w:tab w:val="left" w:pos="360"/>
          <w:tab w:val="left" w:pos="1931"/>
        </w:tabs>
        <w:spacing w:line="360" w:lineRule="auto"/>
        <w:ind w:left="0" w:firstLine="0"/>
        <w:outlineLvl w:val="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2.1  标准设备</w:t>
      </w:r>
    </w:p>
    <w:p w14:paraId="3148435D">
      <w:pPr>
        <w:spacing w:line="360" w:lineRule="auto"/>
        <w:ind w:left="0" w:right="0" w:firstLine="480" w:firstLineChars="200"/>
        <w:rPr>
          <w:sz w:val="24"/>
        </w:rPr>
      </w:pPr>
      <w:r>
        <w:rPr>
          <w:rFonts w:hint="eastAsia" w:ascii="宋体"/>
          <w:kern w:val="0"/>
          <w:sz w:val="24"/>
        </w:rPr>
        <w:t>标准器及配套设备为</w:t>
      </w:r>
      <w:r>
        <w:rPr>
          <w:rFonts w:hint="eastAsia" w:ascii="宋体"/>
          <w:kern w:val="0"/>
          <w:sz w:val="24"/>
          <w:lang w:val="en-US" w:eastAsia="zh-CN"/>
        </w:rPr>
        <w:t>一等标准铂电阻</w:t>
      </w:r>
      <w:r>
        <w:rPr>
          <w:rFonts w:hint="eastAsia" w:ascii="宋体"/>
          <w:kern w:val="0"/>
          <w:sz w:val="24"/>
        </w:rPr>
        <w:t>检定装置，主要技术指标见表1。</w:t>
      </w:r>
    </w:p>
    <w:p w14:paraId="4B488579">
      <w:pPr>
        <w:spacing w:line="360" w:lineRule="auto"/>
        <w:ind w:left="430" w:hanging="430" w:hangingChars="205"/>
        <w:jc w:val="center"/>
        <w:rPr>
          <w:rFonts w:ascii="黑体" w:hAnsi="黑体" w:eastAsia="黑体"/>
          <w:sz w:val="21"/>
          <w:szCs w:val="21"/>
        </w:rPr>
      </w:pPr>
      <w:r>
        <w:rPr>
          <w:rFonts w:hint="eastAsia" w:ascii="黑体" w:hAnsi="黑体" w:eastAsia="黑体"/>
          <w:sz w:val="21"/>
          <w:szCs w:val="21"/>
        </w:rPr>
        <w:t>表</w:t>
      </w:r>
      <w:r>
        <w:rPr>
          <w:rFonts w:ascii="黑体" w:hAnsi="黑体" w:eastAsia="黑体"/>
          <w:sz w:val="21"/>
          <w:szCs w:val="21"/>
        </w:rPr>
        <w:t xml:space="preserve">1 </w:t>
      </w:r>
      <w:r>
        <w:rPr>
          <w:rFonts w:hint="eastAsia" w:ascii="黑体" w:hAnsi="黑体" w:eastAsia="黑体"/>
          <w:sz w:val="21"/>
          <w:szCs w:val="21"/>
        </w:rPr>
        <w:t>标准器及配套设备主要技术指标</w:t>
      </w:r>
    </w:p>
    <w:tbl>
      <w:tblPr>
        <w:tblStyle w:val="48"/>
        <w:tblW w:w="803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1947"/>
        <w:gridCol w:w="6"/>
        <w:gridCol w:w="4677"/>
      </w:tblGrid>
      <w:tr w14:paraId="64E8BC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3" w:type="dxa"/>
            <w:noWrap/>
            <w:vAlign w:val="center"/>
          </w:tcPr>
          <w:p w14:paraId="03CC8E97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分 类</w:t>
            </w:r>
          </w:p>
        </w:tc>
        <w:tc>
          <w:tcPr>
            <w:tcW w:w="1953" w:type="dxa"/>
            <w:gridSpan w:val="2"/>
            <w:noWrap/>
            <w:vAlign w:val="center"/>
          </w:tcPr>
          <w:p w14:paraId="6083481F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名   称</w:t>
            </w:r>
          </w:p>
        </w:tc>
        <w:tc>
          <w:tcPr>
            <w:tcW w:w="4677" w:type="dxa"/>
            <w:noWrap/>
            <w:vAlign w:val="center"/>
          </w:tcPr>
          <w:p w14:paraId="4804A1C3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主要技术指标</w:t>
            </w:r>
          </w:p>
        </w:tc>
      </w:tr>
      <w:tr w14:paraId="1358EA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3" w:type="dxa"/>
            <w:noWrap/>
            <w:vAlign w:val="center"/>
          </w:tcPr>
          <w:p w14:paraId="478BE762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标准器</w:t>
            </w:r>
          </w:p>
        </w:tc>
        <w:tc>
          <w:tcPr>
            <w:tcW w:w="1947" w:type="dxa"/>
            <w:noWrap/>
            <w:vAlign w:val="center"/>
          </w:tcPr>
          <w:p w14:paraId="36C9F877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一等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标准铂电阻温度计</w:t>
            </w:r>
          </w:p>
        </w:tc>
        <w:tc>
          <w:tcPr>
            <w:tcW w:w="4683" w:type="dxa"/>
            <w:gridSpan w:val="2"/>
            <w:noWrap/>
            <w:vAlign w:val="center"/>
          </w:tcPr>
          <w:p w14:paraId="7DDFE4E2">
            <w:pPr>
              <w:snapToGrid w:val="0"/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最大允许误差：±0.</w:t>
            </w: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008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℃；</w:t>
            </w:r>
          </w:p>
        </w:tc>
      </w:tr>
      <w:tr w14:paraId="6AF1C1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3" w:type="dxa"/>
            <w:noWrap/>
            <w:vAlign w:val="center"/>
          </w:tcPr>
          <w:p w14:paraId="47583EA2">
            <w:pPr>
              <w:spacing w:line="288" w:lineRule="auto"/>
              <w:ind w:left="0" w:right="0" w:firstLine="0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配套设备</w:t>
            </w:r>
          </w:p>
        </w:tc>
        <w:tc>
          <w:tcPr>
            <w:tcW w:w="1947" w:type="dxa"/>
            <w:noWrap/>
            <w:vAlign w:val="center"/>
          </w:tcPr>
          <w:p w14:paraId="189B5BED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高精度低温检定箱</w:t>
            </w:r>
          </w:p>
        </w:tc>
        <w:tc>
          <w:tcPr>
            <w:tcW w:w="4683" w:type="dxa"/>
            <w:gridSpan w:val="2"/>
            <w:noWrap/>
            <w:vAlign w:val="center"/>
          </w:tcPr>
          <w:p w14:paraId="07C335B2">
            <w:pPr>
              <w:snapToGrid w:val="0"/>
              <w:spacing w:line="288" w:lineRule="auto"/>
              <w:ind w:left="0" w:right="0" w:firstLine="0"/>
              <w:jc w:val="center"/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波动度:±0.1℃</w:t>
            </w: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（-50℃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～</w:t>
            </w: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℃</w:t>
            </w: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）；</w:t>
            </w:r>
          </w:p>
          <w:p w14:paraId="17FE3116">
            <w:pPr>
              <w:snapToGrid w:val="0"/>
              <w:spacing w:line="288" w:lineRule="auto"/>
              <w:ind w:left="0" w:right="0" w:firstLine="0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±0.</w:t>
            </w: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05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℃</w:t>
            </w: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（0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℃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～</w:t>
            </w: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℃</w:t>
            </w: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）</w:t>
            </w:r>
          </w:p>
          <w:p w14:paraId="3B49BD69">
            <w:pPr>
              <w:snapToGrid w:val="0"/>
              <w:spacing w:line="288" w:lineRule="auto"/>
              <w:ind w:left="0" w:right="0" w:firstLine="0"/>
              <w:jc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均匀性：0.02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℃</w:t>
            </w:r>
          </w:p>
        </w:tc>
      </w:tr>
    </w:tbl>
    <w:p w14:paraId="7272E3F9">
      <w:pPr>
        <w:tabs>
          <w:tab w:val="left" w:pos="360"/>
          <w:tab w:val="left" w:pos="1931"/>
        </w:tabs>
        <w:spacing w:line="360" w:lineRule="auto"/>
        <w:ind w:left="0" w:firstLine="0"/>
        <w:outlineLvl w:val="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 xml:space="preserve">2.2  </w:t>
      </w:r>
      <w:r>
        <w:rPr>
          <w:rFonts w:hint="eastAsia" w:ascii="黑体" w:hAnsi="黑体" w:eastAsia="黑体"/>
          <w:sz w:val="24"/>
          <w:lang w:eastAsia="zh-CN"/>
        </w:rPr>
        <w:t>被校</w:t>
      </w:r>
      <w:r>
        <w:rPr>
          <w:rFonts w:hint="eastAsia" w:ascii="黑体" w:hAnsi="黑体" w:eastAsia="黑体"/>
          <w:sz w:val="24"/>
        </w:rPr>
        <w:t>对象</w:t>
      </w:r>
    </w:p>
    <w:p w14:paraId="4C93E024">
      <w:pPr>
        <w:snapToGrid w:val="0"/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器具名称：</w:t>
      </w:r>
      <w:r>
        <w:rPr>
          <w:rFonts w:hint="eastAsia"/>
          <w:color w:val="000000"/>
          <w:sz w:val="24"/>
          <w:lang w:eastAsia="zh-CN"/>
        </w:rPr>
        <w:t>气象用强制通风型气温测量仪</w:t>
      </w:r>
    </w:p>
    <w:p w14:paraId="4421A746">
      <w:pPr>
        <w:snapToGrid w:val="0"/>
        <w:spacing w:line="360" w:lineRule="auto"/>
        <w:ind w:firstLine="480" w:firstLineChars="200"/>
        <w:rPr>
          <w:rFonts w:hint="eastAsia"/>
          <w:color w:val="000000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温度测量范围：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（</w:t>
      </w:r>
      <w:r>
        <w:rPr>
          <w:rFonts w:hint="eastAsia" w:ascii="Times New Roman" w:hAnsi="Times New Roman" w:eastAsia="宋体" w:cs="Times New Roman"/>
          <w:sz w:val="24"/>
        </w:rPr>
        <w:t>-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sz w:val="24"/>
        </w:rPr>
        <w:t>0℃～+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sz w:val="24"/>
        </w:rPr>
        <w:t>0℃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）</w:t>
      </w:r>
    </w:p>
    <w:p w14:paraId="105ACE17">
      <w:pPr>
        <w:snapToGrid w:val="0"/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最大允许误差：</w:t>
      </w:r>
      <w:r>
        <w:rPr>
          <w:rFonts w:hint="eastAsia"/>
          <w:sz w:val="24"/>
        </w:rPr>
        <w:t>±0.</w:t>
      </w:r>
      <w:r>
        <w:rPr>
          <w:rFonts w:hint="eastAsia"/>
          <w:sz w:val="24"/>
          <w:lang w:val="en-US" w:eastAsia="zh-CN"/>
        </w:rPr>
        <w:t>1</w:t>
      </w:r>
      <w:r>
        <w:rPr>
          <w:rFonts w:hint="eastAsia" w:ascii="Times New Roman" w:hAnsi="Times New Roman"/>
        </w:rPr>
        <w:t>℃</w:t>
      </w:r>
    </w:p>
    <w:p w14:paraId="7C7FA765">
      <w:pPr>
        <w:tabs>
          <w:tab w:val="left" w:pos="360"/>
          <w:tab w:val="left" w:pos="1931"/>
        </w:tabs>
        <w:spacing w:line="360" w:lineRule="auto"/>
        <w:ind w:left="0" w:firstLine="0"/>
        <w:outlineLvl w:val="0"/>
        <w:rPr>
          <w:rFonts w:ascii="黑体" w:hAnsi="黑体" w:eastAsia="黑体"/>
          <w:sz w:val="24"/>
        </w:rPr>
      </w:pPr>
      <w:bookmarkStart w:id="4" w:name="_Toc511284855"/>
      <w:bookmarkStart w:id="5" w:name="_Toc534535094"/>
      <w:r>
        <w:rPr>
          <w:rFonts w:hint="eastAsia" w:ascii="黑体" w:hAnsi="黑体" w:eastAsia="黑体"/>
          <w:sz w:val="24"/>
        </w:rPr>
        <w:t>3  主要测量方法</w:t>
      </w:r>
      <w:bookmarkEnd w:id="4"/>
      <w:bookmarkEnd w:id="5"/>
    </w:p>
    <w:p w14:paraId="49DD1C1F">
      <w:pPr>
        <w:spacing w:line="360" w:lineRule="auto"/>
        <w:ind w:firstLine="660" w:firstLineChars="275"/>
        <w:rPr>
          <w:rFonts w:hint="eastAsia" w:ascii="宋体" w:hAnsi="宋体" w:eastAsia="宋体" w:cs="Times New Roman"/>
          <w:sz w:val="24"/>
          <w:lang w:val="en-US" w:eastAsia="zh-CN"/>
        </w:rPr>
      </w:pPr>
      <w:r>
        <w:rPr>
          <w:rFonts w:hint="eastAsia" w:ascii="宋体"/>
          <w:kern w:val="0"/>
          <w:sz w:val="24"/>
        </w:rPr>
        <w:t>由</w:t>
      </w:r>
      <w:r>
        <w:rPr>
          <w:rFonts w:hint="eastAsia" w:ascii="宋体" w:hAnsi="宋体" w:eastAsia="宋体" w:cs="Times New Roman"/>
          <w:sz w:val="24"/>
          <w:lang w:val="en-US" w:eastAsia="zh-CN"/>
        </w:rPr>
        <w:t>高精度低温检定箱产生均匀、稳定、可控的恒温温度场，由</w:t>
      </w:r>
      <w:r>
        <w:rPr>
          <w:rFonts w:hint="eastAsia" w:ascii="宋体" w:hAnsi="宋体" w:cs="Times New Roman"/>
          <w:sz w:val="24"/>
          <w:lang w:val="en-US" w:eastAsia="zh-CN"/>
        </w:rPr>
        <w:t>一等</w:t>
      </w:r>
      <w:r>
        <w:rPr>
          <w:rFonts w:hint="eastAsia" w:ascii="宋体" w:hAnsi="宋体" w:eastAsia="宋体" w:cs="Times New Roman"/>
          <w:sz w:val="24"/>
          <w:lang w:val="en-US" w:eastAsia="zh-CN"/>
        </w:rPr>
        <w:t>标准铂电阻温度计精准测量温度场的实际温度值，依据铂电阻温度计量特性公式得到标准温度量值，将被校气温测量仪测得该标准温度的示值与标准温度值进行比较，</w:t>
      </w:r>
      <w:r>
        <w:rPr>
          <w:rFonts w:hint="eastAsia" w:ascii="宋体" w:hAnsi="宋体"/>
          <w:sz w:val="24"/>
        </w:rPr>
        <w:t>对</w:t>
      </w:r>
      <w:r>
        <w:rPr>
          <w:rFonts w:hint="eastAsia" w:ascii="宋体" w:hAnsi="宋体" w:eastAsia="宋体" w:cs="Times New Roman"/>
          <w:sz w:val="24"/>
          <w:lang w:val="en-US" w:eastAsia="zh-CN"/>
        </w:rPr>
        <w:t>气温测量仪</w:t>
      </w:r>
      <w:r>
        <w:rPr>
          <w:rFonts w:hint="eastAsia" w:ascii="宋体" w:hAnsi="宋体" w:cs="宋体"/>
          <w:sz w:val="24"/>
          <w:lang w:val="en-US" w:eastAsia="zh-CN"/>
        </w:rPr>
        <w:t>-50</w:t>
      </w:r>
      <w:r>
        <w:rPr>
          <w:rFonts w:hint="eastAsia" w:ascii="宋体"/>
          <w:kern w:val="0"/>
          <w:sz w:val="24"/>
          <w:lang w:val="en-US" w:eastAsia="zh-CN"/>
        </w:rPr>
        <w:t>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-20</w:t>
      </w:r>
      <w:r>
        <w:rPr>
          <w:rFonts w:hint="eastAsia" w:ascii="宋体"/>
          <w:kern w:val="0"/>
          <w:sz w:val="24"/>
          <w:lang w:val="en-US" w:eastAsia="zh-CN"/>
        </w:rPr>
        <w:t>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0</w:t>
      </w:r>
      <w:r>
        <w:rPr>
          <w:rFonts w:hint="eastAsia" w:ascii="宋体"/>
          <w:kern w:val="0"/>
          <w:sz w:val="24"/>
          <w:lang w:val="en-US" w:eastAsia="zh-CN"/>
        </w:rPr>
        <w:t>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20</w:t>
      </w:r>
      <w:r>
        <w:rPr>
          <w:rFonts w:hint="eastAsia" w:ascii="宋体"/>
          <w:kern w:val="0"/>
          <w:sz w:val="24"/>
          <w:lang w:val="en-US" w:eastAsia="zh-CN"/>
        </w:rPr>
        <w:t>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50</w:t>
      </w:r>
      <w:r>
        <w:rPr>
          <w:rFonts w:hint="eastAsia" w:ascii="宋体"/>
          <w:kern w:val="0"/>
          <w:sz w:val="24"/>
          <w:lang w:val="en-US" w:eastAsia="zh-CN"/>
        </w:rPr>
        <w:t>℃各点开展示值误差的测量，</w:t>
      </w:r>
      <w:r>
        <w:rPr>
          <w:rFonts w:hint="eastAsia" w:ascii="宋体" w:hAnsi="宋体"/>
          <w:sz w:val="24"/>
        </w:rPr>
        <w:t>按校准规范进行校准并统计，</w:t>
      </w:r>
      <w:r>
        <w:rPr>
          <w:rFonts w:hint="eastAsia" w:ascii="宋体"/>
          <w:kern w:val="0"/>
          <w:sz w:val="24"/>
        </w:rPr>
        <w:t>并逐点分析不确定度。</w:t>
      </w:r>
    </w:p>
    <w:p w14:paraId="77F1080B">
      <w:pPr>
        <w:tabs>
          <w:tab w:val="left" w:pos="360"/>
          <w:tab w:val="left" w:pos="1931"/>
        </w:tabs>
        <w:spacing w:line="360" w:lineRule="auto"/>
        <w:ind w:left="0" w:firstLine="0"/>
        <w:outlineLvl w:val="0"/>
        <w:rPr>
          <w:rFonts w:ascii="黑体" w:hAnsi="黑体" w:eastAsia="黑体"/>
          <w:sz w:val="24"/>
        </w:rPr>
      </w:pPr>
      <w:bookmarkStart w:id="6" w:name="_Toc468802417"/>
      <w:bookmarkStart w:id="7" w:name="_Toc534535095"/>
      <w:bookmarkStart w:id="8" w:name="_Toc511284856"/>
      <w:r>
        <w:rPr>
          <w:rFonts w:hint="eastAsia" w:ascii="黑体" w:hAnsi="黑体" w:eastAsia="黑体"/>
          <w:sz w:val="24"/>
          <w:lang w:val="en-US" w:eastAsia="zh-CN"/>
        </w:rPr>
        <w:t>4</w:t>
      </w:r>
      <w:r>
        <w:rPr>
          <w:rFonts w:hint="eastAsia" w:ascii="黑体" w:hAnsi="黑体" w:eastAsia="黑体"/>
          <w:sz w:val="24"/>
        </w:rPr>
        <w:t xml:space="preserve">  建立测量模型</w:t>
      </w:r>
      <w:bookmarkEnd w:id="6"/>
      <w:bookmarkEnd w:id="7"/>
      <w:bookmarkEnd w:id="8"/>
      <w:r>
        <w:rPr>
          <w:rFonts w:hint="eastAsia" w:ascii="黑体" w:hAnsi="黑体" w:eastAsia="黑体"/>
          <w:sz w:val="24"/>
        </w:rPr>
        <w:t>和分析不确定度来源</w:t>
      </w:r>
    </w:p>
    <w:p w14:paraId="5B134601">
      <w:pPr>
        <w:tabs>
          <w:tab w:val="left" w:pos="360"/>
          <w:tab w:val="left" w:pos="1931"/>
        </w:tabs>
        <w:spacing w:line="360" w:lineRule="auto"/>
        <w:ind w:left="0" w:firstLine="0"/>
        <w:outlineLvl w:val="0"/>
        <w:rPr>
          <w:rFonts w:ascii="黑体" w:hAnsi="黑体" w:eastAsia="黑体"/>
          <w:sz w:val="24"/>
        </w:rPr>
      </w:pPr>
      <w:bookmarkStart w:id="9" w:name="_Toc511284860"/>
      <w:bookmarkStart w:id="10" w:name="_Toc534535097"/>
      <w:r>
        <w:rPr>
          <w:rFonts w:hint="eastAsia" w:ascii="黑体" w:hAnsi="黑体" w:eastAsia="黑体"/>
          <w:sz w:val="24"/>
          <w:lang w:val="en-US" w:eastAsia="zh-CN"/>
        </w:rPr>
        <w:t>4</w:t>
      </w:r>
      <w:r>
        <w:rPr>
          <w:rFonts w:hint="eastAsia" w:ascii="黑体" w:hAnsi="黑体" w:eastAsia="黑体"/>
          <w:sz w:val="24"/>
        </w:rPr>
        <w:t>.1测量模型</w:t>
      </w:r>
      <w:bookmarkEnd w:id="9"/>
      <w:bookmarkEnd w:id="10"/>
    </w:p>
    <w:p w14:paraId="63E3810A">
      <w:pPr>
        <w:snapToGrid w:val="0"/>
        <w:spacing w:line="360" w:lineRule="auto"/>
        <w:ind w:left="359" w:leftChars="171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在校准过程中，测量结果为示值误差，计算如式（1）。</w:t>
      </w:r>
    </w:p>
    <w:p w14:paraId="2CF7F4E9">
      <w:pPr>
        <w:snapToGrid w:val="0"/>
        <w:spacing w:line="360" w:lineRule="auto"/>
        <w:ind w:left="359" w:leftChars="171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position w:val="-6"/>
          <w:sz w:val="24"/>
        </w:rPr>
        <w:t xml:space="preserve">                         </w:t>
      </w:r>
      <w:r>
        <w:rPr>
          <w:rFonts w:ascii="宋体" w:hAnsi="宋体"/>
          <w:position w:val="-4"/>
          <w:sz w:val="24"/>
        </w:rPr>
        <w:object>
          <v:shape id="_x0000_i1025" o:spt="75" type="#_x0000_t75" style="height:14.65pt;width:59.65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6">
            <o:LockedField>false</o:LockedField>
          </o:OLEObject>
        </w:object>
      </w:r>
      <w:r>
        <w:rPr>
          <w:rFonts w:hint="eastAsia" w:ascii="宋体" w:hAnsi="宋体"/>
          <w:sz w:val="24"/>
        </w:rPr>
        <w:t xml:space="preserve">                     （1）</w:t>
      </w:r>
    </w:p>
    <w:p w14:paraId="3D9D6E86">
      <w:pPr>
        <w:snapToGrid w:val="0"/>
        <w:spacing w:line="360" w:lineRule="auto"/>
        <w:ind w:left="359" w:leftChars="171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式中：</w:t>
      </w:r>
      <w:r>
        <w:rPr>
          <w:rFonts w:ascii="宋体" w:hAnsi="宋体"/>
          <w:position w:val="-4"/>
          <w:sz w:val="24"/>
        </w:rPr>
        <w:object>
          <v:shape id="_x0000_i1026" o:spt="75" type="#_x0000_t75" style="height:13.4pt;width:16.1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8">
            <o:LockedField>false</o:LockedField>
          </o:OLEObject>
        </w:object>
      </w:r>
      <w:r>
        <w:rPr>
          <w:rFonts w:hint="eastAsia" w:ascii="宋体" w:hAnsi="宋体"/>
          <w:sz w:val="24"/>
        </w:rPr>
        <w:t>——</w:t>
      </w:r>
      <w:r>
        <w:rPr>
          <w:rFonts w:hint="eastAsia" w:ascii="宋体" w:hAnsi="宋体"/>
          <w:sz w:val="24"/>
          <w:lang w:val="en-US" w:eastAsia="zh-CN"/>
        </w:rPr>
        <w:t>温度</w:t>
      </w:r>
      <w:r>
        <w:rPr>
          <w:rFonts w:hint="eastAsia" w:ascii="宋体" w:hAnsi="宋体"/>
          <w:sz w:val="24"/>
        </w:rPr>
        <w:t>示值误差，</w:t>
      </w:r>
      <w:r>
        <w:rPr>
          <w:rFonts w:hint="eastAsia" w:ascii="宋体" w:hAnsi="宋体"/>
          <w:sz w:val="24"/>
          <w:lang w:val="en-US" w:eastAsia="zh-CN"/>
        </w:rPr>
        <w:t>℃</w:t>
      </w:r>
      <w:r>
        <w:rPr>
          <w:rFonts w:hint="eastAsia" w:ascii="宋体" w:hAnsi="宋体"/>
          <w:sz w:val="24"/>
        </w:rPr>
        <w:t>；</w:t>
      </w:r>
    </w:p>
    <w:p w14:paraId="0D544405">
      <w:pPr>
        <w:snapToGrid w:val="0"/>
        <w:spacing w:line="360" w:lineRule="auto"/>
        <w:ind w:left="359" w:leftChars="171" w:firstLine="720" w:firstLineChars="300"/>
        <w:rPr>
          <w:rFonts w:ascii="宋体" w:hAnsi="宋体"/>
          <w:sz w:val="24"/>
        </w:rPr>
      </w:pPr>
      <w:r>
        <w:rPr>
          <w:rFonts w:ascii="宋体" w:hAnsi="宋体"/>
          <w:position w:val="-4"/>
          <w:sz w:val="24"/>
        </w:rPr>
        <w:object>
          <v:shape id="_x0000_i1027" o:spt="75" type="#_x0000_t75" style="height:15.65pt;width:14.1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Equation.3" ShapeID="_x0000_i1027" DrawAspect="Content" ObjectID="_1468075727" r:id="rId10">
            <o:LockedField>false</o:LockedField>
          </o:OLEObject>
        </w:object>
      </w:r>
      <w:r>
        <w:rPr>
          <w:rFonts w:hint="eastAsia" w:ascii="宋体" w:hAnsi="宋体"/>
          <w:sz w:val="24"/>
        </w:rPr>
        <w:t xml:space="preserve"> ——</w:t>
      </w:r>
      <w:r>
        <w:rPr>
          <w:rFonts w:hint="eastAsia" w:ascii="宋体" w:hAnsi="宋体"/>
          <w:sz w:val="24"/>
          <w:lang w:eastAsia="zh-CN"/>
        </w:rPr>
        <w:t>被校</w:t>
      </w:r>
      <w:r>
        <w:rPr>
          <w:rFonts w:hint="eastAsia" w:ascii="宋体" w:hAnsi="宋体"/>
          <w:sz w:val="24"/>
          <w:lang w:val="en-US" w:eastAsia="zh-CN"/>
        </w:rPr>
        <w:t>温度</w:t>
      </w:r>
      <w:r>
        <w:rPr>
          <w:rFonts w:hint="eastAsia" w:ascii="宋体" w:hAnsi="宋体"/>
          <w:sz w:val="24"/>
        </w:rPr>
        <w:t>值，</w:t>
      </w:r>
      <w:r>
        <w:rPr>
          <w:rFonts w:hint="eastAsia" w:ascii="宋体" w:hAnsi="宋体"/>
          <w:sz w:val="24"/>
          <w:lang w:val="en-US" w:eastAsia="zh-CN"/>
        </w:rPr>
        <w:t>℃</w:t>
      </w:r>
      <w:r>
        <w:rPr>
          <w:rFonts w:hint="eastAsia" w:ascii="宋体" w:hAnsi="宋体"/>
          <w:sz w:val="24"/>
        </w:rPr>
        <w:t>；</w:t>
      </w:r>
    </w:p>
    <w:p w14:paraId="196F9627">
      <w:pPr>
        <w:snapToGrid w:val="0"/>
        <w:spacing w:line="360" w:lineRule="auto"/>
        <w:ind w:left="359" w:leftChars="171" w:firstLine="720" w:firstLineChars="300"/>
        <w:rPr>
          <w:rFonts w:ascii="宋体" w:hAnsi="宋体"/>
          <w:sz w:val="24"/>
        </w:rPr>
      </w:pPr>
      <w:r>
        <w:rPr>
          <w:rFonts w:ascii="宋体" w:hAnsi="宋体"/>
          <w:position w:val="-4"/>
          <w:sz w:val="24"/>
        </w:rPr>
        <w:object>
          <v:shape id="_x0000_i1028" o:spt="75" type="#_x0000_t75" style="height:14.2pt;width:13.2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Equation.3" ShapeID="_x0000_i1028" DrawAspect="Content" ObjectID="_1468075728" r:id="rId12">
            <o:LockedField>false</o:LockedField>
          </o:OLEObject>
        </w:object>
      </w:r>
      <w:r>
        <w:rPr>
          <w:rFonts w:hint="eastAsia" w:ascii="宋体" w:hAnsi="宋体"/>
          <w:sz w:val="24"/>
        </w:rPr>
        <w:t xml:space="preserve"> ——标准</w:t>
      </w:r>
      <w:r>
        <w:rPr>
          <w:rFonts w:hint="eastAsia" w:ascii="宋体" w:hAnsi="宋体"/>
          <w:sz w:val="24"/>
          <w:lang w:val="en-US" w:eastAsia="zh-CN"/>
        </w:rPr>
        <w:t>温度</w:t>
      </w:r>
      <w:r>
        <w:rPr>
          <w:rFonts w:hint="eastAsia" w:ascii="宋体" w:hAnsi="宋体"/>
          <w:sz w:val="24"/>
        </w:rPr>
        <w:t>值，</w:t>
      </w:r>
      <w:r>
        <w:rPr>
          <w:rFonts w:hint="eastAsia" w:ascii="宋体" w:hAnsi="宋体"/>
          <w:sz w:val="24"/>
          <w:lang w:val="en-US" w:eastAsia="zh-CN"/>
        </w:rPr>
        <w:t>℃</w:t>
      </w:r>
      <w:r>
        <w:rPr>
          <w:rFonts w:hint="eastAsia" w:ascii="宋体" w:hAnsi="宋体"/>
          <w:sz w:val="24"/>
        </w:rPr>
        <w:t>。</w:t>
      </w:r>
    </w:p>
    <w:p w14:paraId="16FE1571">
      <w:pPr>
        <w:snapToGrid w:val="0"/>
        <w:spacing w:line="360" w:lineRule="auto"/>
        <w:ind w:left="359" w:leftChars="171" w:firstLine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将标准</w:t>
      </w:r>
      <w:r>
        <w:rPr>
          <w:rFonts w:hint="eastAsia" w:ascii="宋体" w:hAnsi="宋体"/>
          <w:sz w:val="24"/>
          <w:lang w:val="en-US" w:eastAsia="zh-CN"/>
        </w:rPr>
        <w:t>温度</w:t>
      </w:r>
      <w:r>
        <w:rPr>
          <w:rFonts w:ascii="宋体" w:hAnsi="宋体"/>
          <w:position w:val="-4"/>
          <w:sz w:val="24"/>
        </w:rPr>
        <w:object>
          <v:shape id="_x0000_i1029" o:spt="75" type="#_x0000_t75" style="height:14.2pt;width:13.2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Equation.3" ShapeID="_x0000_i1029" DrawAspect="Content" ObjectID="_1468075729" r:id="rId14">
            <o:LockedField>false</o:LockedField>
          </o:OLEObject>
        </w:object>
      </w:r>
      <w:r>
        <w:rPr>
          <w:rFonts w:hint="eastAsia" w:ascii="宋体" w:hAnsi="宋体"/>
          <w:sz w:val="24"/>
        </w:rPr>
        <w:t>的计算公式带入（1），同时考虑到</w:t>
      </w:r>
      <w:r>
        <w:rPr>
          <w:rFonts w:hint="eastAsia" w:ascii="宋体" w:hAnsi="宋体"/>
          <w:sz w:val="24"/>
          <w:lang w:val="en-US" w:eastAsia="zh-CN"/>
        </w:rPr>
        <w:t>高精度低温检定箱波动度和均匀度</w:t>
      </w:r>
      <w:r>
        <w:rPr>
          <w:rFonts w:hint="eastAsia" w:ascii="宋体" w:hAnsi="宋体"/>
          <w:sz w:val="24"/>
        </w:rPr>
        <w:t>对测量结果的影响，则：</w:t>
      </w:r>
    </w:p>
    <w:p w14:paraId="7AFF1DAC">
      <w:pPr>
        <w:snapToGrid w:val="0"/>
        <w:spacing w:line="360" w:lineRule="auto"/>
        <w:ind w:left="359" w:leftChars="171" w:firstLine="0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position w:val="-4"/>
          <w:sz w:val="24"/>
          <w:lang w:val="en-US" w:eastAsia="zh-CN"/>
        </w:rPr>
        <w:t xml:space="preserve">                 </w:t>
      </w:r>
      <w:r>
        <w:rPr>
          <w:rFonts w:ascii="宋体" w:hAnsi="宋体"/>
          <w:position w:val="-14"/>
          <w:sz w:val="24"/>
        </w:rPr>
        <w:object>
          <v:shape id="_x0000_i1030" o:spt="75" type="#_x0000_t75" style="height:19.6pt;width:113.35pt;" o:ole="t" filled="f" o:preferrelative="t" stroked="f" coordsize="21600,21600">
            <v:path/>
            <v:fill on="f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Equation.3" ShapeID="_x0000_i1030" DrawAspect="Content" ObjectID="_1468075730" r:id="rId16">
            <o:LockedField>false</o:LockedField>
          </o:OLEObject>
        </w:object>
      </w:r>
      <w:r>
        <w:rPr>
          <w:rFonts w:hint="eastAsia" w:ascii="宋体" w:hAnsi="宋体"/>
          <w:sz w:val="24"/>
        </w:rPr>
        <w:t xml:space="preserve">                  </w:t>
      </w:r>
      <w:r>
        <w:rPr>
          <w:rFonts w:hint="eastAsia" w:ascii="宋体" w:hAnsi="宋体"/>
          <w:sz w:val="24"/>
          <w:lang w:val="en-US" w:eastAsia="zh-CN"/>
        </w:rPr>
        <w:t xml:space="preserve"> </w:t>
      </w:r>
      <w:r>
        <w:rPr>
          <w:rFonts w:hint="eastAsia" w:ascii="宋体" w:hAnsi="宋体"/>
          <w:sz w:val="24"/>
        </w:rPr>
        <w:t xml:space="preserve"> （</w:t>
      </w: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hint="eastAsia" w:ascii="宋体" w:hAnsi="宋体"/>
          <w:sz w:val="24"/>
        </w:rPr>
        <w:t>）</w:t>
      </w:r>
    </w:p>
    <w:p w14:paraId="7B8F7687">
      <w:pPr>
        <w:snapToGrid w:val="0"/>
        <w:spacing w:line="360" w:lineRule="auto"/>
        <w:ind w:left="359" w:leftChars="171" w:firstLine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式（2）即为被校</w:t>
      </w:r>
      <w:r>
        <w:rPr>
          <w:rFonts w:hint="eastAsia" w:ascii="宋体" w:hAnsi="宋体"/>
          <w:sz w:val="24"/>
          <w:lang w:val="en-US" w:eastAsia="zh-CN"/>
        </w:rPr>
        <w:t>气温测量仪温度</w:t>
      </w:r>
      <w:r>
        <w:rPr>
          <w:rFonts w:hint="eastAsia" w:ascii="宋体" w:hAnsi="宋体"/>
          <w:sz w:val="24"/>
        </w:rPr>
        <w:t>测量结果不确定度评定的测量模型。</w:t>
      </w:r>
    </w:p>
    <w:p w14:paraId="6E65428B">
      <w:pPr>
        <w:snapToGrid w:val="0"/>
        <w:spacing w:line="360" w:lineRule="auto"/>
        <w:ind w:left="359" w:leftChars="171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式中：</w:t>
      </w:r>
    </w:p>
    <w:p w14:paraId="345CE2A7">
      <w:pPr>
        <w:snapToGrid w:val="0"/>
        <w:spacing w:line="360" w:lineRule="auto"/>
        <w:ind w:left="359" w:leftChars="171" w:firstLine="720" w:firstLineChars="300"/>
        <w:rPr>
          <w:rFonts w:ascii="宋体" w:hAnsi="宋体"/>
          <w:sz w:val="24"/>
        </w:rPr>
      </w:pPr>
      <w:r>
        <w:rPr>
          <w:rFonts w:ascii="宋体" w:hAnsi="宋体"/>
          <w:position w:val="-14"/>
          <w:sz w:val="24"/>
        </w:rPr>
        <w:object>
          <v:shape id="_x0000_i1031" o:spt="75" type="#_x0000_t75" style="height:21.05pt;width:15pt;" o:ole="t" filled="f" o:preferrelative="t" stroked="f" coordsize="21600,21600">
            <v:path/>
            <v:fill on="f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Equation.3" ShapeID="_x0000_i1031" DrawAspect="Content" ObjectID="_1468075731" r:id="rId18">
            <o:LockedField>false</o:LockedField>
          </o:OLEObject>
        </w:object>
      </w:r>
      <w:r>
        <w:rPr>
          <w:rFonts w:hint="eastAsia" w:ascii="宋体" w:hAnsi="宋体"/>
          <w:sz w:val="24"/>
        </w:rPr>
        <w:t>——</w:t>
      </w:r>
      <w:r>
        <w:rPr>
          <w:rFonts w:hint="eastAsia" w:ascii="宋体" w:hAnsi="宋体"/>
          <w:sz w:val="24"/>
          <w:lang w:val="en-US" w:eastAsia="zh-CN"/>
        </w:rPr>
        <w:t>高精度低温检定箱波动度</w:t>
      </w:r>
      <w:r>
        <w:rPr>
          <w:rFonts w:hint="eastAsia" w:ascii="宋体" w:hAnsi="宋体"/>
          <w:sz w:val="24"/>
        </w:rPr>
        <w:t>，</w:t>
      </w:r>
      <w:r>
        <w:rPr>
          <w:rFonts w:hint="eastAsia" w:ascii="宋体" w:hAnsi="宋体"/>
          <w:sz w:val="24"/>
          <w:lang w:val="en-US" w:eastAsia="zh-CN"/>
        </w:rPr>
        <w:t>℃</w:t>
      </w:r>
      <w:r>
        <w:rPr>
          <w:rFonts w:hint="eastAsia" w:ascii="宋体" w:hAnsi="宋体"/>
          <w:sz w:val="24"/>
        </w:rPr>
        <w:t>；</w:t>
      </w:r>
    </w:p>
    <w:p w14:paraId="5F6B9A04">
      <w:pPr>
        <w:snapToGrid w:val="0"/>
        <w:spacing w:line="360" w:lineRule="auto"/>
        <w:ind w:left="359" w:leftChars="171" w:firstLine="720" w:firstLineChars="300"/>
        <w:rPr>
          <w:rFonts w:ascii="宋体" w:hAnsi="宋体"/>
          <w:sz w:val="24"/>
        </w:rPr>
      </w:pPr>
      <w:r>
        <w:rPr>
          <w:rFonts w:ascii="宋体" w:hAnsi="宋体"/>
          <w:position w:val="-12"/>
          <w:sz w:val="24"/>
        </w:rPr>
        <w:object>
          <v:shape id="_x0000_i1032" o:spt="75" type="#_x0000_t75" style="height:19.95pt;width:13.95pt;" o:ole="t" filled="f" o:preferrelative="t" stroked="f" coordsize="21600,21600">
            <v:path/>
            <v:fill on="f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Equation.3" ShapeID="_x0000_i1032" DrawAspect="Content" ObjectID="_1468075732" r:id="rId20">
            <o:LockedField>false</o:LockedField>
          </o:OLEObject>
        </w:object>
      </w:r>
      <w:r>
        <w:rPr>
          <w:rFonts w:hint="eastAsia" w:ascii="宋体" w:hAnsi="宋体"/>
          <w:sz w:val="24"/>
        </w:rPr>
        <w:t>——</w:t>
      </w:r>
      <w:r>
        <w:rPr>
          <w:rFonts w:hint="eastAsia" w:ascii="宋体" w:hAnsi="宋体"/>
          <w:sz w:val="24"/>
          <w:lang w:val="en-US" w:eastAsia="zh-CN"/>
        </w:rPr>
        <w:t>高精度低温检定箱均匀度</w:t>
      </w:r>
      <w:r>
        <w:rPr>
          <w:rFonts w:hint="eastAsia" w:ascii="宋体" w:hAnsi="宋体"/>
          <w:sz w:val="24"/>
          <w:lang w:eastAsia="zh-CN"/>
        </w:rPr>
        <w:t>，</w:t>
      </w:r>
      <w:r>
        <w:rPr>
          <w:rFonts w:hint="eastAsia" w:ascii="宋体" w:hAnsi="宋体"/>
          <w:sz w:val="24"/>
          <w:lang w:val="en-US" w:eastAsia="zh-CN"/>
        </w:rPr>
        <w:t>℃。</w:t>
      </w:r>
    </w:p>
    <w:p w14:paraId="38DE2B9B">
      <w:pPr>
        <w:tabs>
          <w:tab w:val="left" w:pos="360"/>
          <w:tab w:val="left" w:pos="1931"/>
        </w:tabs>
        <w:spacing w:line="360" w:lineRule="auto"/>
        <w:ind w:left="0" w:firstLine="0"/>
        <w:outlineLvl w:val="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  <w:lang w:val="en-US" w:eastAsia="zh-CN"/>
        </w:rPr>
        <w:t>4</w:t>
      </w:r>
      <w:r>
        <w:rPr>
          <w:rFonts w:hint="eastAsia" w:ascii="黑体" w:hAnsi="黑体" w:eastAsia="黑体"/>
          <w:sz w:val="24"/>
        </w:rPr>
        <w:t>.2 不确定度来源分析</w:t>
      </w:r>
    </w:p>
    <w:p w14:paraId="49EC52D3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（1）</w:t>
      </w:r>
      <w:r>
        <w:rPr>
          <w:rFonts w:hint="eastAsia"/>
          <w:color w:val="000000"/>
          <w:sz w:val="24"/>
          <w:lang w:eastAsia="zh-CN"/>
        </w:rPr>
        <w:t>气温测量仪</w:t>
      </w:r>
      <w:r>
        <w:rPr>
          <w:rFonts w:hint="eastAsia"/>
          <w:sz w:val="24"/>
        </w:rPr>
        <w:t>测量重复性引入的标准不确定度；</w:t>
      </w:r>
    </w:p>
    <w:p w14:paraId="66DC4970"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（2）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标准铂电阻温度计</w:t>
      </w:r>
      <w:r>
        <w:rPr>
          <w:rFonts w:hint="eastAsia"/>
          <w:sz w:val="24"/>
        </w:rPr>
        <w:t>引入的标准不确定度；</w:t>
      </w:r>
    </w:p>
    <w:p w14:paraId="629A618E">
      <w:pPr>
        <w:spacing w:line="360" w:lineRule="auto"/>
        <w:ind w:firstLine="480" w:firstLineChars="200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  <w:lang w:val="en-US" w:eastAsia="zh-CN"/>
        </w:rPr>
        <w:t>3</w:t>
      </w:r>
      <w:r>
        <w:rPr>
          <w:rFonts w:hint="eastAsia"/>
          <w:sz w:val="24"/>
        </w:rPr>
        <w:t>）</w:t>
      </w:r>
      <w:r>
        <w:rPr>
          <w:rFonts w:hint="eastAsia" w:ascii="宋体" w:hAnsi="宋体" w:eastAsia="宋体" w:cs="Times New Roman"/>
          <w:sz w:val="24"/>
          <w:lang w:val="en-US" w:eastAsia="zh-CN"/>
        </w:rPr>
        <w:t>高精度低温检定箱</w:t>
      </w:r>
      <w:r>
        <w:rPr>
          <w:rFonts w:hint="eastAsia" w:ascii="宋体" w:hAnsi="宋体" w:eastAsia="宋体"/>
          <w:sz w:val="24"/>
          <w:lang w:val="en-US" w:eastAsia="zh-CN"/>
        </w:rPr>
        <w:t>波动度</w:t>
      </w:r>
      <w:r>
        <w:rPr>
          <w:rFonts w:hint="eastAsia" w:ascii="宋体" w:hAnsi="宋体"/>
          <w:sz w:val="24"/>
        </w:rPr>
        <w:t>引入</w:t>
      </w:r>
      <w:r>
        <w:rPr>
          <w:rFonts w:hint="eastAsia"/>
          <w:sz w:val="24"/>
        </w:rPr>
        <w:t>的标准不确定度</w:t>
      </w:r>
      <w:r>
        <w:rPr>
          <w:rFonts w:hint="eastAsia"/>
          <w:sz w:val="24"/>
          <w:lang w:eastAsia="zh-CN"/>
        </w:rPr>
        <w:t>；</w:t>
      </w:r>
    </w:p>
    <w:p w14:paraId="6187F4BD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  <w:lang w:val="en-US" w:eastAsia="zh-CN"/>
        </w:rPr>
        <w:t>4</w:t>
      </w:r>
      <w:r>
        <w:rPr>
          <w:rFonts w:hint="eastAsia"/>
          <w:sz w:val="24"/>
        </w:rPr>
        <w:t>）</w:t>
      </w:r>
      <w:r>
        <w:rPr>
          <w:rFonts w:hint="eastAsia" w:ascii="宋体" w:hAnsi="宋体" w:eastAsia="宋体" w:cs="Times New Roman"/>
          <w:sz w:val="24"/>
          <w:lang w:val="en-US" w:eastAsia="zh-CN"/>
        </w:rPr>
        <w:t>高精度低温检定箱均匀</w:t>
      </w:r>
      <w:r>
        <w:rPr>
          <w:rFonts w:hint="eastAsia" w:ascii="宋体" w:hAnsi="宋体" w:eastAsia="宋体"/>
          <w:sz w:val="24"/>
          <w:lang w:val="en-US" w:eastAsia="zh-CN"/>
        </w:rPr>
        <w:t>度</w:t>
      </w:r>
      <w:r>
        <w:rPr>
          <w:rFonts w:hint="eastAsia" w:ascii="宋体" w:hAnsi="宋体"/>
          <w:sz w:val="24"/>
        </w:rPr>
        <w:t>引入</w:t>
      </w:r>
      <w:r>
        <w:rPr>
          <w:rFonts w:hint="eastAsia"/>
          <w:sz w:val="24"/>
        </w:rPr>
        <w:t>的标准不确定度。</w:t>
      </w:r>
    </w:p>
    <w:p w14:paraId="406891C6">
      <w:pPr>
        <w:tabs>
          <w:tab w:val="left" w:pos="360"/>
          <w:tab w:val="left" w:pos="1931"/>
        </w:tabs>
        <w:spacing w:line="360" w:lineRule="auto"/>
        <w:ind w:left="0" w:firstLine="0"/>
        <w:outlineLvl w:val="0"/>
        <w:rPr>
          <w:rFonts w:ascii="黑体" w:hAnsi="黑体" w:eastAsia="黑体"/>
          <w:sz w:val="24"/>
        </w:rPr>
      </w:pPr>
      <w:bookmarkStart w:id="11" w:name="_Toc511284862"/>
      <w:bookmarkStart w:id="12" w:name="_Toc534535099"/>
      <w:r>
        <w:rPr>
          <w:rFonts w:hint="eastAsia" w:ascii="黑体" w:hAnsi="黑体" w:eastAsia="黑体"/>
          <w:sz w:val="24"/>
          <w:lang w:val="en-US" w:eastAsia="zh-CN"/>
        </w:rPr>
        <w:t>5</w:t>
      </w:r>
      <w:r>
        <w:rPr>
          <w:rFonts w:hint="eastAsia" w:ascii="黑体" w:hAnsi="黑体" w:eastAsia="黑体"/>
          <w:sz w:val="24"/>
        </w:rPr>
        <w:t xml:space="preserve"> 不确定度分量评定</w:t>
      </w:r>
      <w:bookmarkEnd w:id="11"/>
      <w:bookmarkEnd w:id="12"/>
    </w:p>
    <w:p w14:paraId="3C464A69">
      <w:pPr>
        <w:spacing w:beforeLines="50" w:line="360" w:lineRule="auto"/>
        <w:ind w:left="0" w:firstLine="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  <w:lang w:val="en-US" w:eastAsia="zh-CN"/>
        </w:rPr>
        <w:t>5</w:t>
      </w:r>
      <w:r>
        <w:rPr>
          <w:rFonts w:hint="eastAsia" w:ascii="黑体" w:hAnsi="黑体" w:eastAsia="黑体"/>
          <w:sz w:val="24"/>
        </w:rPr>
        <w:t>.1</w:t>
      </w:r>
      <w:r>
        <w:rPr>
          <w:rFonts w:hint="eastAsia" w:ascii="黑体" w:hAnsi="黑体" w:eastAsia="黑体" w:cs="Times New Roman"/>
          <w:sz w:val="24"/>
          <w:lang w:eastAsia="zh-CN"/>
        </w:rPr>
        <w:t>气温测量仪</w:t>
      </w:r>
      <w:r>
        <w:rPr>
          <w:rFonts w:hint="eastAsia" w:ascii="黑体" w:hAnsi="黑体" w:eastAsia="黑体"/>
          <w:sz w:val="24"/>
        </w:rPr>
        <w:t>测量重复性引入的不确定度</w:t>
      </w:r>
      <w:r>
        <w:rPr>
          <w:rFonts w:ascii="黑体" w:hAnsi="黑体" w:eastAsia="黑体"/>
          <w:position w:val="-10"/>
          <w:sz w:val="24"/>
        </w:rPr>
        <w:object>
          <v:shape id="_x0000_i1033" o:spt="75" type="#_x0000_t75" style="height:15.6pt;width:28.45pt;" o:ole="t" filled="f" o:preferrelative="t" stroked="f" coordsize="21600,21600">
            <v:path/>
            <v:fill on="f" focussize="0,0"/>
            <v:stroke on="f"/>
            <v:imagedata r:id="rId23" o:title=""/>
            <o:lock v:ext="edit" aspectratio="t"/>
            <w10:wrap type="none"/>
            <w10:anchorlock/>
          </v:shape>
          <o:OLEObject Type="Embed" ProgID="Equation.3" ShapeID="_x0000_i1033" DrawAspect="Content" ObjectID="_1468075733" r:id="rId22">
            <o:LockedField>false</o:LockedField>
          </o:OLEObject>
        </w:object>
      </w:r>
    </w:p>
    <w:p w14:paraId="21B920F7">
      <w:pPr>
        <w:spacing w:line="360" w:lineRule="auto"/>
        <w:ind w:left="158" w:leftChars="75" w:right="-4" w:rightChars="-2" w:firstLine="180" w:firstLineChars="75"/>
        <w:rPr>
          <w:rFonts w:hint="eastAsia"/>
          <w:sz w:val="24"/>
        </w:rPr>
      </w:pPr>
      <w:r>
        <w:rPr>
          <w:rFonts w:hint="eastAsia"/>
          <w:sz w:val="24"/>
        </w:rPr>
        <w:t xml:space="preserve">  根据不同的</w:t>
      </w:r>
      <w:r>
        <w:rPr>
          <w:rFonts w:hint="eastAsia"/>
          <w:sz w:val="24"/>
          <w:lang w:val="en-US" w:eastAsia="zh-CN"/>
        </w:rPr>
        <w:t>温度</w:t>
      </w:r>
      <w:r>
        <w:rPr>
          <w:rFonts w:hint="eastAsia"/>
          <w:sz w:val="24"/>
        </w:rPr>
        <w:t>点进行的</w:t>
      </w:r>
      <w:r>
        <w:rPr>
          <w:rFonts w:hint="eastAsia"/>
          <w:sz w:val="24"/>
          <w:lang w:val="en-US" w:eastAsia="zh-CN"/>
        </w:rPr>
        <w:t>10</w:t>
      </w:r>
      <w:r>
        <w:rPr>
          <w:rFonts w:hint="eastAsia"/>
          <w:sz w:val="24"/>
        </w:rPr>
        <w:t>次重复</w:t>
      </w:r>
      <w:r>
        <w:rPr>
          <w:rFonts w:hint="eastAsia"/>
          <w:sz w:val="24"/>
          <w:lang w:val="en-US" w:eastAsia="zh-CN"/>
        </w:rPr>
        <w:t>温度</w:t>
      </w:r>
      <w:r>
        <w:rPr>
          <w:rFonts w:hint="eastAsia"/>
          <w:sz w:val="24"/>
        </w:rPr>
        <w:t>测量值，</w:t>
      </w:r>
      <w:r>
        <w:rPr>
          <w:rFonts w:hint="eastAsia"/>
          <w:sz w:val="24"/>
          <w:lang w:val="en-US" w:eastAsia="zh-CN"/>
        </w:rPr>
        <w:t>取10次测得值的平均值</w:t>
      </w:r>
      <m:oMath>
        <m:r>
          <m:rPr>
            <m:sty m:val="p"/>
          </m:rPr>
          <w:rPr>
            <w:rFonts w:hint="default" w:ascii="Cambria Math" w:hAnsi="Cambria Math" w:eastAsia="宋体"/>
            <w:position w:val="-12"/>
            <w:sz w:val="24"/>
          </w:rPr>
          <w:object>
            <v:shape id="_x0000_i1034" o:spt="75" type="#_x0000_t75" style="height:19.15pt;width:13.85pt;" o:ole="t" filled="f" o:preferrelative="t" stroked="f" coordsize="21600,21600">
              <v:path/>
              <v:fill on="f" focussize="0,0"/>
              <v:stroke on="f"/>
              <v:imagedata r:id="rId25" o:title=""/>
              <o:lock v:ext="edit" aspectratio="t"/>
              <w10:wrap type="none"/>
              <w10:anchorlock/>
            </v:shape>
            <o:OLEObject Type="Embed" ProgID="Equation.3" ShapeID="_x0000_i1034" DrawAspect="Content" ObjectID="_1468075734" r:id="rId24">
              <o:LockedField>false</o:LockedField>
            </o:OLEObject>
          </w:object>
        </m:r>
      </m:oMath>
      <w:r>
        <w:rPr>
          <w:rFonts w:hint="eastAsia"/>
          <w:sz w:val="24"/>
          <w:lang w:val="en-US" w:eastAsia="zh-CN"/>
        </w:rPr>
        <w:t>作为测得结果，</w:t>
      </w:r>
      <w:r>
        <w:rPr>
          <w:rFonts w:hint="eastAsia"/>
          <w:sz w:val="24"/>
        </w:rPr>
        <w:t>用</w:t>
      </w:r>
      <w:r>
        <w:rPr>
          <w:rFonts w:hint="eastAsia"/>
          <w:sz w:val="24"/>
          <w:lang w:val="en-US" w:eastAsia="zh-CN"/>
        </w:rPr>
        <w:t>10次测得值根据贝塞尔公式求出实验标准偏差</w:t>
      </w:r>
      <w:r>
        <w:rPr>
          <w:rFonts w:ascii="宋体" w:hAnsi="宋体"/>
          <w:position w:val="-26"/>
          <w:sz w:val="24"/>
        </w:rPr>
        <w:object>
          <v:shape id="_x0000_i1035" o:spt="75" type="#_x0000_t75" style="height:38.25pt;width:116.75pt;" o:ole="t" filled="f" o:preferrelative="t" stroked="f" coordsize="21600,21600">
            <v:path/>
            <v:fill on="f" focussize="0,0"/>
            <v:stroke on="f"/>
            <v:imagedata r:id="rId27" o:title=""/>
            <o:lock v:ext="edit" aspectratio="t"/>
            <w10:wrap type="none"/>
            <w10:anchorlock/>
          </v:shape>
          <o:OLEObject Type="Embed" ProgID="Equation.3" ShapeID="_x0000_i1035" DrawAspect="Content" ObjectID="_1468075735" r:id="rId26">
            <o:LockedField>false</o:LockedField>
          </o:OLEObject>
        </w:object>
      </w: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position w:val="-6"/>
        </w:rPr>
        <w:object>
          <v:shape id="_x0000_i1036" o:spt="75" type="#_x0000_t75" style="height:11.4pt;width:10.8pt;" o:ole="t" filled="f" o:preferrelative="t" stroked="f" coordsize="21600,21600">
            <v:path/>
            <v:fill on="f" focussize="0,0"/>
            <v:stroke on="f" joinstyle="miter"/>
            <v:imagedata r:id="rId29" embosscolor="#FFFFFF" o:title=""/>
            <o:lock v:ext="edit" aspectratio="t"/>
            <w10:wrap type="none"/>
            <w10:anchorlock/>
          </v:shape>
          <o:OLEObject Type="Embed" ProgID="Equation.3" ShapeID="_x0000_i1036" DrawAspect="Content" ObjectID="_1468075736" r:id="rId28">
            <o:LockedField>false</o:LockedField>
          </o:OLEObject>
        </w:object>
      </w:r>
      <w:r>
        <w:rPr>
          <w:rFonts w:hint="eastAsia" w:ascii="宋体" w:hAnsi="宋体"/>
          <w:sz w:val="24"/>
        </w:rPr>
        <w:t>=</w:t>
      </w:r>
      <w:r>
        <w:rPr>
          <w:rFonts w:hint="eastAsia" w:ascii="宋体" w:hAnsi="宋体"/>
          <w:sz w:val="24"/>
          <w:lang w:val="en-US" w:eastAsia="zh-CN"/>
        </w:rPr>
        <w:t>10</w:t>
      </w:r>
      <w:r>
        <w:rPr>
          <w:rFonts w:hint="eastAsia" w:ascii="宋体" w:hAnsi="宋体"/>
          <w:sz w:val="24"/>
        </w:rPr>
        <w:t>），</w:t>
      </w:r>
      <w:r>
        <w:rPr>
          <w:rFonts w:hint="eastAsia" w:ascii="宋体" w:hAnsi="宋体"/>
          <w:sz w:val="24"/>
          <w:lang w:val="en-US" w:eastAsia="zh-CN"/>
        </w:rPr>
        <w:t>则测的结果的重复性引入的不确定度</w:t>
      </w:r>
      <w:r>
        <w:rPr>
          <w:rFonts w:ascii="宋体" w:hAnsi="宋体"/>
          <w:position w:val="-28"/>
          <w:sz w:val="24"/>
        </w:rPr>
        <w:object>
          <v:shape id="_x0000_i1037" o:spt="75" type="#_x0000_t75" style="height:33.25pt;width:66.35pt;" o:ole="t" filled="f" o:preferrelative="t" stroked="f" coordsize="21600,21600">
            <v:path/>
            <v:fill on="f" focussize="0,0"/>
            <v:stroke on="f"/>
            <v:imagedata r:id="rId31" o:title=""/>
            <o:lock v:ext="edit" aspectratio="t"/>
            <w10:wrap type="none"/>
            <w10:anchorlock/>
          </v:shape>
          <o:OLEObject Type="Embed" ProgID="Equation.3" ShapeID="_x0000_i1037" DrawAspect="Content" ObjectID="_1468075737" r:id="rId30">
            <o:LockedField>false</o:LockedField>
          </o:OLEObject>
        </w:object>
      </w: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position w:val="-6"/>
        </w:rPr>
        <w:object>
          <v:shape id="_x0000_i1038" o:spt="75" type="#_x0000_t75" style="height:11.4pt;width:10.8pt;" o:ole="t" filled="f" o:preferrelative="t" stroked="f" coordsize="21600,21600">
            <v:path/>
            <v:fill on="f" focussize="0,0"/>
            <v:stroke on="f" joinstyle="miter"/>
            <v:imagedata r:id="rId29" embosscolor="#FFFFFF" o:title=""/>
            <o:lock v:ext="edit" aspectratio="t"/>
            <w10:wrap type="none"/>
            <w10:anchorlock/>
          </v:shape>
          <o:OLEObject Type="Embed" ProgID="Equation.3" ShapeID="_x0000_i1038" DrawAspect="Content" ObjectID="_1468075738" r:id="rId32">
            <o:LockedField>false</o:LockedField>
          </o:OLEObject>
        </w:object>
      </w:r>
      <w:r>
        <w:rPr>
          <w:rFonts w:hint="eastAsia" w:ascii="宋体" w:hAnsi="宋体"/>
          <w:sz w:val="24"/>
        </w:rPr>
        <w:t>=</w:t>
      </w:r>
      <w:r>
        <w:rPr>
          <w:rFonts w:hint="eastAsia" w:ascii="宋体" w:hAnsi="宋体"/>
          <w:sz w:val="24"/>
          <w:lang w:val="en-US" w:eastAsia="zh-CN"/>
        </w:rPr>
        <w:t>10</w:t>
      </w:r>
      <w:r>
        <w:rPr>
          <w:rFonts w:hint="eastAsia" w:ascii="宋体" w:hAnsi="宋体"/>
          <w:sz w:val="24"/>
        </w:rPr>
        <w:t>），因此计算示值误差重复测量引入的标准不确定度</w:t>
      </w:r>
      <w:r>
        <w:rPr>
          <w:rFonts w:hint="eastAsia"/>
          <w:sz w:val="24"/>
        </w:rPr>
        <w:t>见表2：</w:t>
      </w:r>
    </w:p>
    <w:p w14:paraId="67BCB1EE">
      <w:pPr>
        <w:spacing w:line="360" w:lineRule="auto"/>
        <w:ind w:right="119" w:firstLine="482"/>
        <w:jc w:val="center"/>
        <w:rPr>
          <w:rFonts w:ascii="黑体" w:hAnsi="黑体" w:eastAsia="黑体"/>
          <w:b/>
          <w:position w:val="-10"/>
          <w:sz w:val="21"/>
          <w:szCs w:val="21"/>
        </w:rPr>
      </w:pPr>
      <w:r>
        <w:rPr>
          <w:rFonts w:hint="eastAsia" w:ascii="黑体" w:hAnsi="黑体" w:eastAsia="黑体"/>
          <w:sz w:val="21"/>
          <w:szCs w:val="21"/>
        </w:rPr>
        <w:t>表2</w:t>
      </w:r>
      <w:r>
        <w:rPr>
          <w:rFonts w:hint="eastAsia" w:ascii="黑体" w:hAnsi="黑体" w:eastAsia="黑体" w:cs="Times New Roman"/>
          <w:sz w:val="21"/>
          <w:szCs w:val="21"/>
          <w:lang w:eastAsia="zh-CN"/>
        </w:rPr>
        <w:t>气温测量仪</w:t>
      </w:r>
      <w:r>
        <w:rPr>
          <w:rFonts w:hint="eastAsia" w:ascii="黑体" w:hAnsi="黑体" w:eastAsia="黑体"/>
          <w:sz w:val="21"/>
          <w:szCs w:val="21"/>
        </w:rPr>
        <w:t>测量重复性引入的不确定度</w:t>
      </w:r>
      <w:r>
        <w:rPr>
          <w:rFonts w:ascii="黑体" w:hAnsi="黑体" w:eastAsia="黑体"/>
          <w:b/>
          <w:position w:val="-10"/>
          <w:sz w:val="21"/>
          <w:szCs w:val="21"/>
        </w:rPr>
        <w:object>
          <v:shape id="_x0000_i1039" o:spt="75" type="#_x0000_t75" style="height:15.6pt;width:28.65pt;" o:ole="t" filled="f" o:preferrelative="t" stroked="f" coordsize="21600,21600">
            <v:path/>
            <v:fill on="f" focussize="0,0"/>
            <v:stroke on="f"/>
            <v:imagedata r:id="rId34" o:title=""/>
            <o:lock v:ext="edit" aspectratio="t"/>
            <w10:wrap type="none"/>
            <w10:anchorlock/>
          </v:shape>
          <o:OLEObject Type="Embed" ProgID="Equation.3" ShapeID="_x0000_i1039" DrawAspect="Content" ObjectID="_1468075739" r:id="rId33">
            <o:LockedField>false</o:LockedField>
          </o:OLEObject>
        </w:object>
      </w:r>
    </w:p>
    <w:tbl>
      <w:tblPr>
        <w:tblStyle w:val="48"/>
        <w:tblW w:w="67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0"/>
        <w:gridCol w:w="882"/>
        <w:gridCol w:w="882"/>
        <w:gridCol w:w="882"/>
        <w:gridCol w:w="882"/>
        <w:gridCol w:w="883"/>
      </w:tblGrid>
      <w:tr w14:paraId="3102C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2380" w:type="dxa"/>
            <w:vMerge w:val="restart"/>
            <w:noWrap/>
            <w:vAlign w:val="center"/>
          </w:tcPr>
          <w:p w14:paraId="10132F24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项目</w:t>
            </w:r>
          </w:p>
        </w:tc>
        <w:tc>
          <w:tcPr>
            <w:tcW w:w="4411" w:type="dxa"/>
            <w:gridSpan w:val="5"/>
            <w:noWrap/>
          </w:tcPr>
          <w:p w14:paraId="6696026C">
            <w:pPr>
              <w:spacing w:line="288" w:lineRule="auto"/>
              <w:ind w:left="0" w:right="0" w:firstLine="0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校准点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℃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）</w:t>
            </w:r>
          </w:p>
        </w:tc>
      </w:tr>
      <w:tr w14:paraId="4646E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380" w:type="dxa"/>
            <w:vMerge w:val="continue"/>
            <w:noWrap/>
            <w:vAlign w:val="center"/>
          </w:tcPr>
          <w:p w14:paraId="74C9A1CF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14:paraId="377717B5">
            <w:pPr>
              <w:spacing w:line="288" w:lineRule="auto"/>
              <w:ind w:left="0" w:right="0" w:firstLine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-50</w:t>
            </w:r>
          </w:p>
        </w:tc>
        <w:tc>
          <w:tcPr>
            <w:tcW w:w="882" w:type="dxa"/>
            <w:noWrap/>
            <w:vAlign w:val="center"/>
          </w:tcPr>
          <w:p w14:paraId="6389E88C">
            <w:pPr>
              <w:spacing w:line="288" w:lineRule="auto"/>
              <w:ind w:left="0" w:right="0" w:firstLine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-20</w:t>
            </w:r>
          </w:p>
        </w:tc>
        <w:tc>
          <w:tcPr>
            <w:tcW w:w="882" w:type="dxa"/>
            <w:noWrap/>
            <w:vAlign w:val="center"/>
          </w:tcPr>
          <w:p w14:paraId="6CD6E762">
            <w:pPr>
              <w:spacing w:line="288" w:lineRule="auto"/>
              <w:ind w:left="0" w:right="0" w:firstLine="0"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82" w:type="dxa"/>
            <w:noWrap/>
            <w:vAlign w:val="center"/>
          </w:tcPr>
          <w:p w14:paraId="2287D54A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20</w:t>
            </w:r>
          </w:p>
        </w:tc>
        <w:tc>
          <w:tcPr>
            <w:tcW w:w="883" w:type="dxa"/>
            <w:noWrap/>
            <w:vAlign w:val="center"/>
          </w:tcPr>
          <w:p w14:paraId="173812DA">
            <w:pPr>
              <w:spacing w:line="288" w:lineRule="auto"/>
              <w:ind w:left="0" w:right="0" w:firstLine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50</w:t>
            </w:r>
          </w:p>
        </w:tc>
      </w:tr>
      <w:tr w14:paraId="408AF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2380" w:type="dxa"/>
            <w:noWrap/>
            <w:vAlign w:val="center"/>
          </w:tcPr>
          <w:p w14:paraId="087E8B40">
            <w:pPr>
              <w:spacing w:line="288" w:lineRule="auto"/>
              <w:ind w:left="0" w:right="0" w:firstLine="0"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平均值</w:t>
            </w:r>
            <m:oMath>
              <m:r>
                <m:rPr>
                  <m:sty m:val="p"/>
                </m:rPr>
                <w:rPr>
                  <w:rFonts w:hint="default" w:ascii="Cambria Math" w:hAnsi="Cambria Math" w:eastAsia="宋体"/>
                  <w:position w:val="-12"/>
                  <w:sz w:val="24"/>
                </w:rPr>
                <w:object>
                  <v:shape id="_x0000_i1040" o:spt="75" type="#_x0000_t75" style="height:19.15pt;width:13.85pt;" o:ole="t" filled="f" o:preferrelative="t" stroked="f" coordsize="21600,21600">
                    <v:path/>
                    <v:fill on="f" focussize="0,0"/>
                    <v:stroke on="f"/>
                    <v:imagedata r:id="rId25" o:title=""/>
                    <o:lock v:ext="edit" aspectratio="t"/>
                    <w10:wrap type="none"/>
                    <w10:anchorlock/>
                  </v:shape>
                  <o:OLEObject Type="Embed" ProgID="Equation.3" ShapeID="_x0000_i1040" DrawAspect="Content" ObjectID="_1468075740" r:id="rId35">
                    <o:LockedField>false</o:LockedField>
                  </o:OLEObject>
                </w:object>
              </m:r>
            </m:oMath>
          </w:p>
        </w:tc>
        <w:tc>
          <w:tcPr>
            <w:tcW w:w="882" w:type="dxa"/>
            <w:noWrap/>
            <w:vAlign w:val="center"/>
          </w:tcPr>
          <w:p w14:paraId="12AADC73">
            <w:pPr>
              <w:spacing w:line="288" w:lineRule="auto"/>
              <w:ind w:left="0" w:right="0" w:firstLine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-50.01</w:t>
            </w:r>
          </w:p>
        </w:tc>
        <w:tc>
          <w:tcPr>
            <w:tcW w:w="882" w:type="dxa"/>
            <w:noWrap/>
            <w:vAlign w:val="center"/>
          </w:tcPr>
          <w:p w14:paraId="2273B124">
            <w:pPr>
              <w:spacing w:line="288" w:lineRule="auto"/>
              <w:ind w:left="0" w:right="0" w:firstLine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-19.98</w:t>
            </w:r>
          </w:p>
        </w:tc>
        <w:tc>
          <w:tcPr>
            <w:tcW w:w="882" w:type="dxa"/>
            <w:noWrap/>
            <w:vAlign w:val="center"/>
          </w:tcPr>
          <w:p w14:paraId="15F521FF">
            <w:pPr>
              <w:spacing w:line="288" w:lineRule="auto"/>
              <w:ind w:left="0" w:right="0" w:firstLine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0.02</w:t>
            </w:r>
          </w:p>
        </w:tc>
        <w:tc>
          <w:tcPr>
            <w:tcW w:w="882" w:type="dxa"/>
            <w:noWrap/>
            <w:vAlign w:val="center"/>
          </w:tcPr>
          <w:p w14:paraId="2C2A120C">
            <w:pPr>
              <w:spacing w:line="288" w:lineRule="auto"/>
              <w:ind w:left="0" w:right="0" w:firstLine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19.94</w:t>
            </w:r>
          </w:p>
        </w:tc>
        <w:tc>
          <w:tcPr>
            <w:tcW w:w="883" w:type="dxa"/>
            <w:noWrap/>
            <w:vAlign w:val="center"/>
          </w:tcPr>
          <w:p w14:paraId="6F00E913">
            <w:pPr>
              <w:spacing w:line="288" w:lineRule="auto"/>
              <w:ind w:left="0" w:right="0" w:firstLine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49.96</w:t>
            </w:r>
          </w:p>
        </w:tc>
      </w:tr>
      <w:tr w14:paraId="3D2D3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2380" w:type="dxa"/>
            <w:noWrap/>
            <w:vAlign w:val="center"/>
          </w:tcPr>
          <w:p w14:paraId="75E1A5DA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/>
                <w:sz w:val="24"/>
                <w:lang w:val="en-US" w:eastAsia="zh-CN"/>
              </w:rPr>
              <w:t>标准偏差</w:t>
            </w:r>
            <w:r>
              <w:rPr>
                <w:rFonts w:ascii="宋体" w:hAnsi="宋体"/>
                <w:b/>
                <w:position w:val="-12"/>
                <w:sz w:val="21"/>
                <w:szCs w:val="21"/>
              </w:rPr>
              <w:object>
                <v:shape id="_x0000_i1041" o:spt="75" type="#_x0000_t75" style="height:17.55pt;width:28.65pt;" o:ole="t" filled="f" o:preferrelative="t" stroked="f" coordsize="21600,21600">
                  <v:path/>
                  <v:fill on="f" focussize="0,0"/>
                  <v:stroke on="f"/>
                  <v:imagedata r:id="rId37" o:title=""/>
                  <o:lock v:ext="edit" aspectratio="t"/>
                  <w10:wrap type="none"/>
                  <w10:anchorlock/>
                </v:shape>
                <o:OLEObject Type="Embed" ProgID="Equation.3" ShapeID="_x0000_i1041" DrawAspect="Content" ObjectID="_1468075741" r:id="rId36">
                  <o:LockedField>false</o:LockedField>
                </o:OLEObject>
              </w:object>
            </w:r>
          </w:p>
        </w:tc>
        <w:tc>
          <w:tcPr>
            <w:tcW w:w="882" w:type="dxa"/>
            <w:noWrap/>
            <w:vAlign w:val="center"/>
          </w:tcPr>
          <w:p w14:paraId="341FE061">
            <w:pPr>
              <w:spacing w:line="288" w:lineRule="auto"/>
              <w:ind w:left="0" w:right="0" w:firstLine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0.0047</w:t>
            </w:r>
          </w:p>
        </w:tc>
        <w:tc>
          <w:tcPr>
            <w:tcW w:w="882" w:type="dxa"/>
            <w:noWrap/>
            <w:vAlign w:val="center"/>
          </w:tcPr>
          <w:p w14:paraId="39B38476">
            <w:pPr>
              <w:spacing w:line="288" w:lineRule="auto"/>
              <w:ind w:left="0" w:right="0" w:firstLine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0.0070</w:t>
            </w:r>
          </w:p>
        </w:tc>
        <w:tc>
          <w:tcPr>
            <w:tcW w:w="882" w:type="dxa"/>
            <w:noWrap/>
            <w:vAlign w:val="center"/>
          </w:tcPr>
          <w:p w14:paraId="21BA2FC4">
            <w:pPr>
              <w:spacing w:line="288" w:lineRule="auto"/>
              <w:ind w:left="0" w:right="0" w:firstLine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0.0070</w:t>
            </w:r>
          </w:p>
        </w:tc>
        <w:tc>
          <w:tcPr>
            <w:tcW w:w="882" w:type="dxa"/>
            <w:noWrap/>
            <w:vAlign w:val="center"/>
          </w:tcPr>
          <w:p w14:paraId="47F15BC8">
            <w:pPr>
              <w:spacing w:line="288" w:lineRule="auto"/>
              <w:ind w:left="0" w:right="0" w:firstLine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0.0054</w:t>
            </w:r>
          </w:p>
        </w:tc>
        <w:tc>
          <w:tcPr>
            <w:tcW w:w="883" w:type="dxa"/>
            <w:noWrap/>
            <w:vAlign w:val="center"/>
          </w:tcPr>
          <w:p w14:paraId="10F47BB0">
            <w:pPr>
              <w:spacing w:line="288" w:lineRule="auto"/>
              <w:ind w:left="0" w:right="0" w:firstLine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0.0063</w:t>
            </w:r>
          </w:p>
        </w:tc>
      </w:tr>
      <w:tr w14:paraId="69F09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2380" w:type="dxa"/>
            <w:shd w:val="clear" w:color="auto" w:fill="auto"/>
            <w:noWrap/>
            <w:vAlign w:val="center"/>
          </w:tcPr>
          <w:p w14:paraId="7389FED6">
            <w:pPr>
              <w:spacing w:line="288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bookmarkStart w:id="13" w:name="_Toc511284865"/>
            <w:bookmarkStart w:id="14" w:name="_Toc511284863"/>
            <w:bookmarkStart w:id="15" w:name="_Toc534535100"/>
            <w:r>
              <w:rPr>
                <w:rFonts w:hint="eastAsia"/>
                <w:sz w:val="24"/>
                <w:lang w:val="en-US" w:eastAsia="zh-CN"/>
              </w:rPr>
              <w:t>标准不确定度</w:t>
            </w:r>
            <w:r>
              <w:rPr>
                <w:rFonts w:ascii="宋体" w:hAnsi="宋体"/>
                <w:b/>
                <w:position w:val="-10"/>
                <w:sz w:val="21"/>
                <w:szCs w:val="21"/>
              </w:rPr>
              <w:object>
                <v:shape id="_x0000_i1042" o:spt="75" type="#_x0000_t75" style="height:15.6pt;width:28.65pt;" o:ole="t" filled="f" o:preferrelative="t" stroked="f" coordsize="21600,21600">
                  <v:path/>
                  <v:fill on="f" focussize="0,0"/>
                  <v:stroke on="f"/>
                  <v:imagedata r:id="rId39" o:title=""/>
                  <o:lock v:ext="edit" aspectratio="t"/>
                  <w10:wrap type="none"/>
                  <w10:anchorlock/>
                </v:shape>
                <o:OLEObject Type="Embed" ProgID="Equation.3" ShapeID="_x0000_i1042" DrawAspect="Content" ObjectID="_1468075742" r:id="rId38">
                  <o:LockedField>false</o:LockedField>
                </o:OLEObject>
              </w:object>
            </w:r>
          </w:p>
        </w:tc>
        <w:tc>
          <w:tcPr>
            <w:tcW w:w="882" w:type="dxa"/>
            <w:noWrap/>
            <w:vAlign w:val="center"/>
          </w:tcPr>
          <w:p w14:paraId="33D945FC">
            <w:pPr>
              <w:spacing w:line="288" w:lineRule="auto"/>
              <w:ind w:left="0" w:right="0" w:firstLine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0.0015</w:t>
            </w:r>
          </w:p>
        </w:tc>
        <w:tc>
          <w:tcPr>
            <w:tcW w:w="882" w:type="dxa"/>
            <w:noWrap/>
            <w:vAlign w:val="center"/>
          </w:tcPr>
          <w:p w14:paraId="7696BD46">
            <w:pPr>
              <w:spacing w:line="288" w:lineRule="auto"/>
              <w:ind w:left="0" w:right="0" w:firstLine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0.0022</w:t>
            </w:r>
          </w:p>
        </w:tc>
        <w:tc>
          <w:tcPr>
            <w:tcW w:w="882" w:type="dxa"/>
            <w:noWrap/>
            <w:vAlign w:val="center"/>
          </w:tcPr>
          <w:p w14:paraId="700CFA19">
            <w:pPr>
              <w:spacing w:line="288" w:lineRule="auto"/>
              <w:ind w:left="0" w:right="0" w:firstLine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0.0022</w:t>
            </w:r>
          </w:p>
        </w:tc>
        <w:tc>
          <w:tcPr>
            <w:tcW w:w="882" w:type="dxa"/>
            <w:noWrap/>
            <w:vAlign w:val="center"/>
          </w:tcPr>
          <w:p w14:paraId="3412840A">
            <w:pPr>
              <w:spacing w:line="288" w:lineRule="auto"/>
              <w:ind w:left="0" w:right="0" w:firstLine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0.0017</w:t>
            </w:r>
          </w:p>
        </w:tc>
        <w:tc>
          <w:tcPr>
            <w:tcW w:w="883" w:type="dxa"/>
            <w:noWrap/>
            <w:vAlign w:val="center"/>
          </w:tcPr>
          <w:p w14:paraId="3C797D97">
            <w:pPr>
              <w:spacing w:line="288" w:lineRule="auto"/>
              <w:ind w:left="0" w:right="0" w:firstLine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0.0020</w:t>
            </w:r>
          </w:p>
        </w:tc>
      </w:tr>
    </w:tbl>
    <w:p w14:paraId="4CBE0C2F">
      <w:pPr>
        <w:tabs>
          <w:tab w:val="left" w:pos="360"/>
          <w:tab w:val="left" w:pos="1931"/>
        </w:tabs>
        <w:spacing w:line="360" w:lineRule="auto"/>
        <w:ind w:left="0" w:firstLine="0"/>
        <w:outlineLvl w:val="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  <w:lang w:val="en-US" w:eastAsia="zh-CN"/>
        </w:rPr>
        <w:t>5</w:t>
      </w:r>
      <w:r>
        <w:rPr>
          <w:rFonts w:hint="eastAsia" w:ascii="黑体" w:hAnsi="黑体" w:eastAsia="黑体"/>
          <w:sz w:val="24"/>
        </w:rPr>
        <w:t>.2</w:t>
      </w:r>
      <w:r>
        <w:rPr>
          <w:rFonts w:hint="eastAsia" w:ascii="黑体" w:hAnsi="黑体" w:eastAsia="黑体"/>
          <w:sz w:val="24"/>
          <w:lang w:val="en-US" w:eastAsia="zh-CN"/>
        </w:rPr>
        <w:t>标准铂电阻温度计</w:t>
      </w:r>
      <w:r>
        <w:rPr>
          <w:rFonts w:hint="eastAsia" w:ascii="黑体" w:hAnsi="黑体" w:eastAsia="黑体"/>
          <w:sz w:val="24"/>
        </w:rPr>
        <w:t>引入的标准不确定度</w:t>
      </w:r>
      <w:bookmarkEnd w:id="13"/>
      <w:r>
        <w:rPr>
          <w:rFonts w:ascii="黑体" w:hAnsi="黑体" w:eastAsia="黑体"/>
          <w:position w:val="-12"/>
          <w:sz w:val="24"/>
        </w:rPr>
        <w:object>
          <v:shape id="_x0000_i1043" o:spt="75" type="#_x0000_t75" style="height:17.55pt;width:28.45pt;" o:ole="t" filled="f" o:preferrelative="t" stroked="f" coordsize="21600,21600">
            <v:path/>
            <v:fill on="f" focussize="0,0"/>
            <v:stroke on="f"/>
            <v:imagedata r:id="rId41" o:title=""/>
            <o:lock v:ext="edit" aspectratio="t"/>
            <w10:wrap type="none"/>
            <w10:anchorlock/>
          </v:shape>
          <o:OLEObject Type="Embed" ProgID="Equation.3" ShapeID="_x0000_i1043" DrawAspect="Content" ObjectID="_1468075743" r:id="rId40">
            <o:LockedField>false</o:LockedField>
          </o:OLEObject>
        </w:object>
      </w:r>
    </w:p>
    <w:p w14:paraId="2A429A9B">
      <w:pPr>
        <w:spacing w:line="360" w:lineRule="auto"/>
        <w:ind w:left="0" w:right="0"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一等标准铂电阻的不稳定性引入的分量，取不稳定性最大的</w:t>
      </w:r>
      <w:r>
        <w:rPr>
          <w:rFonts w:hint="eastAsia" w:ascii="宋体" w:hAnsi="宋体"/>
          <w:sz w:val="24"/>
          <w:lang w:val="en-US" w:eastAsia="zh-CN"/>
        </w:rPr>
        <w:t>Ar</w:t>
      </w:r>
      <w:r>
        <w:rPr>
          <w:rFonts w:hint="eastAsia" w:ascii="宋体" w:hAnsi="宋体"/>
          <w:sz w:val="24"/>
        </w:rPr>
        <w:t>点</w:t>
      </w:r>
      <w:r>
        <w:rPr>
          <w:rFonts w:hint="eastAsia" w:ascii="宋体" w:hAnsi="宋体"/>
          <w:sz w:val="24"/>
          <w:lang w:val="en-US" w:eastAsia="zh-CN"/>
        </w:rPr>
        <w:t>0.008℃</w:t>
      </w:r>
      <w:r>
        <w:rPr>
          <w:rFonts w:hint="eastAsia" w:ascii="宋体" w:hAnsi="宋体"/>
          <w:sz w:val="24"/>
        </w:rPr>
        <w:t>，</w:t>
      </w:r>
      <w:r>
        <w:rPr>
          <w:rFonts w:hint="eastAsia" w:ascii="宋体" w:hAnsi="宋体"/>
          <w:sz w:val="24"/>
          <w:lang w:val="en-US" w:eastAsia="zh-CN"/>
        </w:rPr>
        <w:t>取</w:t>
      </w:r>
      <w:r>
        <w:rPr>
          <w:rFonts w:hint="eastAsia" w:ascii="宋体" w:hAnsi="宋体"/>
          <w:sz w:val="24"/>
        </w:rPr>
        <w:t>正态分布k=2，</w:t>
      </w:r>
      <w:r>
        <w:rPr>
          <w:rFonts w:hint="eastAsia"/>
          <w:sz w:val="24"/>
        </w:rPr>
        <w:t>则</w:t>
      </w:r>
      <w:r>
        <w:rPr>
          <w:rFonts w:hint="eastAsia" w:ascii="宋体" w:hAnsi="宋体"/>
          <w:sz w:val="24"/>
        </w:rPr>
        <w:t>一等标准铂电阻引入的标准不确定度：</w:t>
      </w:r>
    </w:p>
    <w:p w14:paraId="764D0B52">
      <w:pPr>
        <w:spacing w:line="360" w:lineRule="auto"/>
        <w:ind w:left="0" w:right="0" w:firstLine="480" w:firstLineChars="200"/>
        <w:jc w:val="center"/>
        <w:rPr>
          <w:rFonts w:hint="eastAsia" w:ascii="宋体" w:hAnsi="宋体"/>
          <w:sz w:val="24"/>
        </w:rPr>
      </w:pPr>
      <w:r>
        <w:rPr>
          <w:rFonts w:ascii="黑体" w:hAnsi="黑体" w:eastAsia="黑体"/>
          <w:position w:val="-12"/>
          <w:sz w:val="24"/>
        </w:rPr>
        <w:object>
          <v:shape id="_x0000_i1044" o:spt="75" type="#_x0000_t75" style="height:17.55pt;width:28.45pt;" o:ole="t" filled="f" o:preferrelative="t" stroked="f" coordsize="21600,21600">
            <v:path/>
            <v:fill on="f" focussize="0,0"/>
            <v:stroke on="f"/>
            <v:imagedata r:id="rId41" o:title=""/>
            <o:lock v:ext="edit" aspectratio="t"/>
            <w10:wrap type="none"/>
            <w10:anchorlock/>
          </v:shape>
          <o:OLEObject Type="Embed" ProgID="Equation.3" ShapeID="_x0000_i1044" DrawAspect="Content" ObjectID="_1468075744" r:id="rId42">
            <o:LockedField>false</o:LockedField>
          </o:OLEObject>
        </w:object>
      </w:r>
      <w:r>
        <w:rPr>
          <w:rFonts w:hint="eastAsia" w:ascii="宋体" w:hAnsi="宋体"/>
          <w:sz w:val="24"/>
        </w:rPr>
        <w:t>=</w:t>
      </w:r>
      <w:r>
        <w:rPr>
          <w:rFonts w:hint="eastAsia" w:ascii="宋体" w:hAnsi="宋体"/>
          <w:sz w:val="24"/>
          <w:lang w:val="en-US" w:eastAsia="zh-CN"/>
        </w:rPr>
        <w:t>0.008/2=0.004℃</w:t>
      </w:r>
    </w:p>
    <w:p w14:paraId="7669350E">
      <w:pPr>
        <w:tabs>
          <w:tab w:val="left" w:pos="360"/>
          <w:tab w:val="left" w:pos="1931"/>
        </w:tabs>
        <w:spacing w:line="360" w:lineRule="auto"/>
        <w:ind w:left="0" w:firstLine="0"/>
        <w:outlineLvl w:val="0"/>
        <w:rPr>
          <w:rFonts w:ascii="黑体" w:hAnsi="黑体" w:eastAsia="黑体"/>
          <w:sz w:val="24"/>
        </w:rPr>
      </w:pPr>
      <w:bookmarkStart w:id="16" w:name="_Toc511284866"/>
      <w:r>
        <w:rPr>
          <w:rFonts w:hint="eastAsia" w:ascii="黑体" w:hAnsi="黑体" w:eastAsia="黑体"/>
          <w:sz w:val="24"/>
          <w:lang w:val="en-US" w:eastAsia="zh-CN"/>
        </w:rPr>
        <w:t>5</w:t>
      </w:r>
      <w:r>
        <w:rPr>
          <w:rFonts w:hint="eastAsia" w:ascii="黑体" w:hAnsi="黑体" w:eastAsia="黑体"/>
          <w:sz w:val="24"/>
        </w:rPr>
        <w:t>.3</w:t>
      </w:r>
      <w:r>
        <w:rPr>
          <w:rFonts w:hint="eastAsia" w:ascii="黑体" w:hAnsi="黑体" w:eastAsia="黑体"/>
          <w:sz w:val="24"/>
          <w:lang w:val="en-US" w:eastAsia="zh-CN"/>
        </w:rPr>
        <w:t>高精度低温检定箱波动度</w:t>
      </w:r>
      <w:r>
        <w:rPr>
          <w:rFonts w:hint="eastAsia" w:ascii="黑体" w:hAnsi="黑体" w:eastAsia="黑体"/>
          <w:sz w:val="24"/>
        </w:rPr>
        <w:t>引入的标准不确定度</w:t>
      </w:r>
      <w:bookmarkEnd w:id="16"/>
      <w:r>
        <w:rPr>
          <w:rFonts w:ascii="黑体" w:hAnsi="黑体" w:eastAsia="黑体"/>
          <w:position w:val="-14"/>
          <w:sz w:val="24"/>
        </w:rPr>
        <w:object>
          <v:shape id="_x0000_i1045" o:spt="75" type="#_x0000_t75" style="height:18.55pt;width:29.85pt;" o:ole="t" filled="f" o:preferrelative="t" stroked="f" coordsize="21600,21600">
            <v:path/>
            <v:fill on="f" focussize="0,0"/>
            <v:stroke on="f"/>
            <v:imagedata r:id="rId44" o:title=""/>
            <o:lock v:ext="edit" aspectratio="t"/>
            <w10:wrap type="none"/>
            <w10:anchorlock/>
          </v:shape>
          <o:OLEObject Type="Embed" ProgID="Equation.3" ShapeID="_x0000_i1045" DrawAspect="Content" ObjectID="_1468075745" r:id="rId43">
            <o:LockedField>false</o:LockedField>
          </o:OLEObject>
        </w:object>
      </w:r>
    </w:p>
    <w:p w14:paraId="31CF9A64">
      <w:pPr>
        <w:spacing w:line="360" w:lineRule="auto"/>
        <w:ind w:left="0" w:right="0"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高精度低温检定箱的波动度引入分量，高精度低温检定箱的波动度为:±0.1℃（-50℃～0℃）；±0.05℃（0℃～50℃），按均匀分布，则高精度低温检定箱在-50℃～0℃范围内波动度引入的标准不确定度：</w:t>
      </w:r>
    </w:p>
    <w:p w14:paraId="11012E74">
      <w:pPr>
        <w:spacing w:line="360" w:lineRule="auto"/>
        <w:ind w:left="0" w:right="0" w:firstLine="480" w:firstLineChars="200"/>
        <w:jc w:val="center"/>
        <w:rPr>
          <w:rFonts w:ascii="黑体" w:hAnsi="黑体" w:eastAsia="黑体"/>
          <w:position w:val="-28"/>
          <w:sz w:val="24"/>
        </w:rPr>
      </w:pPr>
      <w:r>
        <w:rPr>
          <w:rFonts w:ascii="黑体" w:hAnsi="黑体" w:eastAsia="黑体"/>
          <w:position w:val="-28"/>
          <w:sz w:val="24"/>
        </w:rPr>
        <w:object>
          <v:shape id="_x0000_i1046" o:spt="75" type="#_x0000_t75" style="height:32.25pt;width:88.6pt;" o:ole="t" filled="f" o:preferrelative="t" stroked="f" coordsize="21600,21600">
            <v:path/>
            <v:fill on="f" focussize="0,0"/>
            <v:stroke on="f"/>
            <v:imagedata r:id="rId46" o:title=""/>
            <o:lock v:ext="edit" aspectratio="t"/>
            <w10:wrap type="none"/>
            <w10:anchorlock/>
          </v:shape>
          <o:OLEObject Type="Embed" ProgID="Equation.3" ShapeID="_x0000_i1046" DrawAspect="Content" ObjectID="_1468075746" r:id="rId45">
            <o:LockedField>false</o:LockedField>
          </o:OLEObject>
        </w:object>
      </w:r>
    </w:p>
    <w:p w14:paraId="59C2F0B9">
      <w:pPr>
        <w:spacing w:line="360" w:lineRule="auto"/>
        <w:ind w:left="0" w:right="0"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高精度低温检定箱在0℃～50℃范围内波动度引入的标准不确定度：</w:t>
      </w:r>
    </w:p>
    <w:p w14:paraId="7D6A2B01">
      <w:pPr>
        <w:spacing w:line="360" w:lineRule="auto"/>
        <w:ind w:left="0" w:right="0" w:firstLine="480" w:firstLineChars="200"/>
        <w:jc w:val="center"/>
        <w:rPr>
          <w:rFonts w:hint="eastAsia" w:ascii="黑体" w:hAnsi="黑体" w:eastAsia="黑体"/>
          <w:position w:val="-28"/>
          <w:sz w:val="24"/>
          <w:lang w:val="en-US" w:eastAsia="zh-CN"/>
        </w:rPr>
      </w:pPr>
      <w:r>
        <w:rPr>
          <w:rFonts w:ascii="黑体" w:hAnsi="黑体" w:eastAsia="黑体"/>
          <w:position w:val="-28"/>
          <w:sz w:val="24"/>
        </w:rPr>
        <w:object>
          <v:shape id="_x0000_i1075" o:spt="75" alt="" type="#_x0000_t75" style="height:32.25pt;width:94.4pt;" o:ole="t" filled="f" o:preferrelative="t" stroked="f" coordsize="21600,21600">
            <v:path/>
            <v:fill on="f" focussize="0,0"/>
            <v:stroke on="f"/>
            <v:imagedata r:id="rId48" o:title=""/>
            <o:lock v:ext="edit" aspectratio="t"/>
            <w10:wrap type="none"/>
            <w10:anchorlock/>
          </v:shape>
          <o:OLEObject Type="Embed" ProgID="Equation.3" ShapeID="_x0000_i1075" DrawAspect="Content" ObjectID="_1468075747" r:id="rId47">
            <o:LockedField>false</o:LockedField>
          </o:OLEObject>
        </w:object>
      </w:r>
    </w:p>
    <w:p w14:paraId="024923D2">
      <w:pPr>
        <w:tabs>
          <w:tab w:val="left" w:pos="360"/>
          <w:tab w:val="left" w:pos="1931"/>
        </w:tabs>
        <w:spacing w:line="360" w:lineRule="auto"/>
        <w:ind w:left="0" w:firstLine="0"/>
        <w:outlineLvl w:val="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  <w:lang w:val="en-US" w:eastAsia="zh-CN"/>
        </w:rPr>
        <w:t>5</w:t>
      </w:r>
      <w:r>
        <w:rPr>
          <w:rFonts w:hint="eastAsia" w:ascii="黑体" w:hAnsi="黑体" w:eastAsia="黑体"/>
          <w:sz w:val="24"/>
        </w:rPr>
        <w:t xml:space="preserve">.4 </w:t>
      </w:r>
      <w:bookmarkEnd w:id="14"/>
      <w:bookmarkEnd w:id="15"/>
      <w:r>
        <w:rPr>
          <w:rFonts w:hint="eastAsia" w:ascii="黑体" w:hAnsi="黑体" w:eastAsia="黑体"/>
          <w:sz w:val="24"/>
          <w:lang w:val="en-US" w:eastAsia="zh-CN"/>
        </w:rPr>
        <w:t>高精度低温检定箱均匀度</w:t>
      </w:r>
      <w:r>
        <w:rPr>
          <w:rFonts w:hint="eastAsia" w:ascii="黑体" w:hAnsi="黑体" w:eastAsia="黑体"/>
          <w:sz w:val="24"/>
        </w:rPr>
        <w:t>引入的标准不确定度</w:t>
      </w:r>
      <w:r>
        <w:rPr>
          <w:rFonts w:ascii="黑体" w:hAnsi="黑体" w:eastAsia="黑体"/>
          <w:position w:val="-12"/>
          <w:sz w:val="24"/>
        </w:rPr>
        <w:object>
          <v:shape id="_x0000_i1047" o:spt="75" type="#_x0000_t75" style="height:17.6pt;width:28.9pt;" o:ole="t" filled="f" o:preferrelative="t" stroked="f" coordsize="21600,21600">
            <v:path/>
            <v:fill on="f" focussize="0,0"/>
            <v:stroke on="f"/>
            <v:imagedata r:id="rId50" o:title=""/>
            <o:lock v:ext="edit" aspectratio="t"/>
            <w10:wrap type="none"/>
            <w10:anchorlock/>
          </v:shape>
          <o:OLEObject Type="Embed" ProgID="Equation.3" ShapeID="_x0000_i1047" DrawAspect="Content" ObjectID="_1468075748" r:id="rId49">
            <o:LockedField>false</o:LockedField>
          </o:OLEObject>
        </w:object>
      </w:r>
    </w:p>
    <w:p w14:paraId="4156CB07">
      <w:pPr>
        <w:spacing w:line="360" w:lineRule="auto"/>
        <w:ind w:left="0" w:right="0"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高精度低温检定箱的均匀度引入分量，高精度低温检定箱的波动度为0.02℃，按均匀分布，则高精度低温检定箱均匀度引入的标准不确定度：</w:t>
      </w:r>
    </w:p>
    <w:p w14:paraId="5DAFFCCB">
      <w:pPr>
        <w:spacing w:line="360" w:lineRule="auto"/>
        <w:ind w:left="0" w:right="0" w:firstLine="480" w:firstLineChars="200"/>
        <w:jc w:val="center"/>
        <w:rPr>
          <w:rFonts w:hint="eastAsia" w:ascii="宋体" w:hAnsi="宋体"/>
          <w:sz w:val="24"/>
          <w:lang w:val="en-US" w:eastAsia="zh-CN"/>
        </w:rPr>
      </w:pPr>
      <w:r>
        <w:rPr>
          <w:rFonts w:ascii="黑体" w:hAnsi="黑体" w:eastAsia="黑体"/>
          <w:position w:val="-28"/>
          <w:sz w:val="24"/>
        </w:rPr>
        <w:object>
          <v:shape id="_x0000_i1048" o:spt="75" type="#_x0000_t75" style="height:32.25pt;width:99.2pt;" o:ole="t" filled="f" o:preferrelative="t" stroked="f" coordsize="21600,21600">
            <v:path/>
            <v:fill on="f" focussize="0,0"/>
            <v:stroke on="f"/>
            <v:imagedata r:id="rId52" o:title=""/>
            <o:lock v:ext="edit" aspectratio="t"/>
            <w10:wrap type="none"/>
            <w10:anchorlock/>
          </v:shape>
          <o:OLEObject Type="Embed" ProgID="Equation.3" ShapeID="_x0000_i1048" DrawAspect="Content" ObjectID="_1468075749" r:id="rId51">
            <o:LockedField>false</o:LockedField>
          </o:OLEObject>
        </w:object>
      </w:r>
    </w:p>
    <w:p w14:paraId="5A1B62BD">
      <w:pPr>
        <w:spacing w:beforeLines="50" w:line="360" w:lineRule="auto"/>
        <w:ind w:left="0" w:firstLine="0"/>
        <w:rPr>
          <w:rFonts w:ascii="黑体" w:hAnsi="黑体" w:eastAsia="黑体"/>
          <w:sz w:val="24"/>
        </w:rPr>
      </w:pPr>
      <w:bookmarkStart w:id="17" w:name="_Toc511284870"/>
      <w:bookmarkStart w:id="18" w:name="_Toc534535102"/>
      <w:r>
        <w:rPr>
          <w:rFonts w:hint="eastAsia" w:ascii="黑体" w:hAnsi="黑体" w:eastAsia="黑体"/>
          <w:sz w:val="24"/>
          <w:lang w:val="en-US" w:eastAsia="zh-CN"/>
        </w:rPr>
        <w:t>6</w:t>
      </w:r>
      <w:r>
        <w:rPr>
          <w:rFonts w:hint="eastAsia" w:ascii="黑体" w:hAnsi="黑体" w:eastAsia="黑体"/>
          <w:sz w:val="24"/>
        </w:rPr>
        <w:t xml:space="preserve"> 合成标准不确定度</w:t>
      </w:r>
      <w:bookmarkEnd w:id="17"/>
      <w:bookmarkEnd w:id="18"/>
    </w:p>
    <w:p w14:paraId="71B09DB1">
      <w:pPr>
        <w:spacing w:line="360" w:lineRule="auto"/>
        <w:rPr>
          <w:bCs/>
          <w:sz w:val="24"/>
        </w:rPr>
      </w:pPr>
      <w:r>
        <w:rPr>
          <w:rFonts w:hint="eastAsia"/>
          <w:bCs/>
          <w:sz w:val="24"/>
        </w:rPr>
        <w:t xml:space="preserve"> 标准不确定度分量汇总见表4。</w:t>
      </w:r>
    </w:p>
    <w:p w14:paraId="796B0A05">
      <w:pPr>
        <w:spacing w:line="360" w:lineRule="auto"/>
        <w:ind w:left="430" w:hanging="430" w:hangingChars="205"/>
        <w:jc w:val="center"/>
        <w:rPr>
          <w:rFonts w:ascii="黑体" w:hAnsi="黑体" w:eastAsia="黑体"/>
          <w:sz w:val="21"/>
          <w:szCs w:val="21"/>
        </w:rPr>
      </w:pPr>
      <w:r>
        <w:rPr>
          <w:rFonts w:hint="eastAsia" w:ascii="黑体" w:hAnsi="黑体" w:eastAsia="黑体"/>
          <w:sz w:val="21"/>
          <w:szCs w:val="21"/>
        </w:rPr>
        <w:t>表4  标准不确定度一览表</w:t>
      </w:r>
    </w:p>
    <w:tbl>
      <w:tblPr>
        <w:tblStyle w:val="48"/>
        <w:tblW w:w="82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1"/>
        <w:gridCol w:w="2005"/>
      </w:tblGrid>
      <w:tr w14:paraId="5CB7E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6211" w:type="dxa"/>
            <w:noWrap/>
            <w:vAlign w:val="center"/>
          </w:tcPr>
          <w:p w14:paraId="55414DAE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标准不确定度来源</w:t>
            </w:r>
          </w:p>
        </w:tc>
        <w:tc>
          <w:tcPr>
            <w:tcW w:w="2005" w:type="dxa"/>
            <w:noWrap/>
            <w:vAlign w:val="center"/>
          </w:tcPr>
          <w:p w14:paraId="454DBB29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灵敏度系数</w:t>
            </w:r>
          </w:p>
        </w:tc>
      </w:tr>
      <w:tr w14:paraId="123E7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6211" w:type="dxa"/>
            <w:noWrap/>
            <w:vAlign w:val="center"/>
          </w:tcPr>
          <w:p w14:paraId="61B0734F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气温测量</w:t>
            </w:r>
            <w:r>
              <w:rPr>
                <w:rFonts w:hint="eastAsia" w:ascii="宋体" w:hAnsi="宋体"/>
                <w:sz w:val="21"/>
                <w:szCs w:val="21"/>
              </w:rPr>
              <w:t>仪测量重复性引入的标准不确定度</w:t>
            </w:r>
            <w:r>
              <w:rPr>
                <w:rFonts w:ascii="黑体" w:hAnsi="黑体" w:eastAsia="黑体"/>
                <w:position w:val="-10"/>
                <w:sz w:val="24"/>
              </w:rPr>
              <w:object>
                <v:shape id="_x0000_i1049" o:spt="75" type="#_x0000_t75" style="height:15.6pt;width:28.45pt;" o:ole="t" filled="f" o:preferrelative="t" stroked="f" coordsize="21600,21600">
                  <v:path/>
                  <v:fill on="f" focussize="0,0"/>
                  <v:stroke on="f"/>
                  <v:imagedata r:id="rId23" o:title=""/>
                  <o:lock v:ext="edit" aspectratio="t"/>
                  <w10:wrap type="none"/>
                  <w10:anchorlock/>
                </v:shape>
                <o:OLEObject Type="Embed" ProgID="Equation.3" ShapeID="_x0000_i1049" DrawAspect="Content" ObjectID="_1468075750" r:id="rId53">
                  <o:LockedField>false</o:LockedField>
                </o:OLEObject>
              </w:object>
            </w:r>
          </w:p>
        </w:tc>
        <w:tc>
          <w:tcPr>
            <w:tcW w:w="2005" w:type="dxa"/>
            <w:noWrap/>
            <w:vAlign w:val="center"/>
          </w:tcPr>
          <w:p w14:paraId="6F6DE295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10"/>
                <w:sz w:val="21"/>
                <w:szCs w:val="21"/>
              </w:rPr>
              <w:object>
                <v:shape id="_x0000_i1050" o:spt="75" type="#_x0000_t75" style="height:17pt;width:14.2pt;" o:ole="t" filled="f" o:preferrelative="t" stroked="f" coordsize="21600,21600">
                  <v:path/>
                  <v:fill on="f" focussize="0,0"/>
                  <v:stroke on="f"/>
                  <v:imagedata r:id="rId55" o:title=""/>
                  <o:lock v:ext="edit" aspectratio="t"/>
                  <w10:wrap type="none"/>
                  <w10:anchorlock/>
                </v:shape>
                <o:OLEObject Type="Embed" ProgID="Equation.3" ShapeID="_x0000_i1050" DrawAspect="Content" ObjectID="_1468075751" r:id="rId54">
                  <o:LockedField>false</o:LockedField>
                </o:OLEObject>
              </w:object>
            </w:r>
          </w:p>
        </w:tc>
      </w:tr>
      <w:tr w14:paraId="13F50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6211" w:type="dxa"/>
            <w:noWrap/>
            <w:vAlign w:val="center"/>
          </w:tcPr>
          <w:p w14:paraId="5CC5B690">
            <w:pPr>
              <w:spacing w:line="288" w:lineRule="auto"/>
              <w:ind w:left="0" w:right="0" w:firstLine="0"/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标准铂电阻温度计引入的标准不确定度</w:t>
            </w:r>
            <w:r>
              <w:rPr>
                <w:rFonts w:ascii="黑体" w:hAnsi="黑体" w:eastAsia="黑体"/>
                <w:position w:val="-12"/>
                <w:sz w:val="24"/>
              </w:rPr>
              <w:object>
                <v:shape id="_x0000_i1051" o:spt="75" type="#_x0000_t75" style="height:17.55pt;width:28.45pt;" o:ole="t" filled="f" o:preferrelative="t" stroked="f" coordsize="21600,21600">
                  <v:path/>
                  <v:fill on="f" focussize="0,0"/>
                  <v:stroke on="f"/>
                  <v:imagedata r:id="rId41" o:title=""/>
                  <o:lock v:ext="edit" aspectratio="t"/>
                  <w10:wrap type="none"/>
                  <w10:anchorlock/>
                </v:shape>
                <o:OLEObject Type="Embed" ProgID="Equation.3" ShapeID="_x0000_i1051" DrawAspect="Content" ObjectID="_1468075752" r:id="rId56">
                  <o:LockedField>false</o:LockedField>
                </o:OLEObject>
              </w:object>
            </w:r>
          </w:p>
        </w:tc>
        <w:tc>
          <w:tcPr>
            <w:tcW w:w="2005" w:type="dxa"/>
            <w:noWrap/>
            <w:vAlign w:val="center"/>
          </w:tcPr>
          <w:p w14:paraId="650FB901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14"/>
                <w:sz w:val="21"/>
                <w:szCs w:val="21"/>
              </w:rPr>
              <w:object>
                <v:shape id="_x0000_i1052" o:spt="75" type="#_x0000_t75" style="height:19pt;width:14.2pt;" o:ole="t" filled="f" o:preferrelative="t" stroked="f" coordsize="21600,21600">
                  <v:path/>
                  <v:fill on="f" focussize="0,0"/>
                  <v:stroke on="f"/>
                  <v:imagedata r:id="rId58" o:title=""/>
                  <o:lock v:ext="edit" aspectratio="t"/>
                  <w10:wrap type="none"/>
                  <w10:anchorlock/>
                </v:shape>
                <o:OLEObject Type="Embed" ProgID="Equation.3" ShapeID="_x0000_i1052" DrawAspect="Content" ObjectID="_1468075753" r:id="rId57">
                  <o:LockedField>false</o:LockedField>
                </o:OLEObject>
              </w:object>
            </w:r>
          </w:p>
        </w:tc>
      </w:tr>
      <w:tr w14:paraId="37842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6211" w:type="dxa"/>
            <w:noWrap/>
            <w:vAlign w:val="center"/>
          </w:tcPr>
          <w:p w14:paraId="11DF1717">
            <w:pPr>
              <w:spacing w:line="288" w:lineRule="auto"/>
              <w:ind w:left="0" w:right="0" w:firstLine="0"/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高精度低温检定箱波动度引入的标准不确定度</w:t>
            </w:r>
            <w:r>
              <w:rPr>
                <w:rFonts w:ascii="黑体" w:hAnsi="黑体" w:eastAsia="黑体"/>
                <w:position w:val="-14"/>
                <w:sz w:val="24"/>
              </w:rPr>
              <w:object>
                <v:shape id="_x0000_i1053" o:spt="75" type="#_x0000_t75" style="height:18.55pt;width:29.85pt;" o:ole="t" filled="f" o:preferrelative="t" stroked="f" coordsize="21600,21600">
                  <v:path/>
                  <v:fill on="f" focussize="0,0"/>
                  <v:stroke on="f"/>
                  <v:imagedata r:id="rId44" o:title=""/>
                  <o:lock v:ext="edit" aspectratio="t"/>
                  <w10:wrap type="none"/>
                  <w10:anchorlock/>
                </v:shape>
                <o:OLEObject Type="Embed" ProgID="Equation.3" ShapeID="_x0000_i1053" DrawAspect="Content" ObjectID="_1468075754" r:id="rId59">
                  <o:LockedField>false</o:LockedField>
                </o:OLEObject>
              </w:object>
            </w:r>
          </w:p>
        </w:tc>
        <w:tc>
          <w:tcPr>
            <w:tcW w:w="2005" w:type="dxa"/>
            <w:noWrap/>
            <w:vAlign w:val="center"/>
          </w:tcPr>
          <w:p w14:paraId="5CD15788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14"/>
                <w:sz w:val="21"/>
                <w:szCs w:val="21"/>
              </w:rPr>
              <w:object>
                <v:shape id="_x0000_i1054" o:spt="75" type="#_x0000_t75" style="height:19pt;width:15.15pt;" o:ole="t" filled="f" o:preferrelative="t" stroked="f" coordsize="21600,21600">
                  <v:path/>
                  <v:fill on="f" focussize="0,0"/>
                  <v:stroke on="f"/>
                  <v:imagedata r:id="rId61" o:title=""/>
                  <o:lock v:ext="edit" aspectratio="t"/>
                  <w10:wrap type="none"/>
                  <w10:anchorlock/>
                </v:shape>
                <o:OLEObject Type="Embed" ProgID="Equation.3" ShapeID="_x0000_i1054" DrawAspect="Content" ObjectID="_1468075755" r:id="rId60">
                  <o:LockedField>false</o:LockedField>
                </o:OLEObject>
              </w:object>
            </w:r>
          </w:p>
        </w:tc>
      </w:tr>
      <w:tr w14:paraId="389A2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6211" w:type="dxa"/>
            <w:noWrap/>
            <w:vAlign w:val="bottom"/>
          </w:tcPr>
          <w:p w14:paraId="16EEB342">
            <w:pPr>
              <w:spacing w:line="288" w:lineRule="auto"/>
              <w:ind w:left="0" w:right="0" w:firstLine="0"/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高精度低温检定箱均匀度引入的标准不确定度</w:t>
            </w:r>
            <w:r>
              <w:rPr>
                <w:rFonts w:ascii="黑体" w:hAnsi="黑体" w:eastAsia="黑体"/>
                <w:position w:val="-12"/>
                <w:sz w:val="24"/>
              </w:rPr>
              <w:object>
                <v:shape id="_x0000_i1055" o:spt="75" type="#_x0000_t75" style="height:17.6pt;width:28.9pt;" o:ole="t" filled="f" o:preferrelative="t" stroked="f" coordsize="21600,21600">
                  <v:path/>
                  <v:fill on="f" focussize="0,0"/>
                  <v:stroke on="f"/>
                  <v:imagedata r:id="rId50" o:title=""/>
                  <o:lock v:ext="edit" aspectratio="t"/>
                  <w10:wrap type="none"/>
                  <w10:anchorlock/>
                </v:shape>
                <o:OLEObject Type="Embed" ProgID="Equation.3" ShapeID="_x0000_i1055" DrawAspect="Content" ObjectID="_1468075756" r:id="rId62">
                  <o:LockedField>false</o:LockedField>
                </o:OLEObject>
              </w:object>
            </w:r>
          </w:p>
        </w:tc>
        <w:tc>
          <w:tcPr>
            <w:tcW w:w="2005" w:type="dxa"/>
            <w:noWrap/>
            <w:vAlign w:val="center"/>
          </w:tcPr>
          <w:p w14:paraId="7208B8ED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14"/>
                <w:sz w:val="21"/>
                <w:szCs w:val="21"/>
              </w:rPr>
              <w:object>
                <v:shape id="_x0000_i1056" o:spt="75" type="#_x0000_t75" style="height:19pt;width:15.15pt;" o:ole="t" filled="f" o:preferrelative="t" stroked="f" coordsize="21600,21600">
                  <v:path/>
                  <v:fill on="f" focussize="0,0"/>
                  <v:stroke on="f"/>
                  <v:imagedata r:id="rId64" o:title=""/>
                  <o:lock v:ext="edit" aspectratio="t"/>
                  <w10:wrap type="none"/>
                  <w10:anchorlock/>
                </v:shape>
                <o:OLEObject Type="Embed" ProgID="Equation.3" ShapeID="_x0000_i1056" DrawAspect="Content" ObjectID="_1468075757" r:id="rId63">
                  <o:LockedField>false</o:LockedField>
                </o:OLEObject>
              </w:object>
            </w:r>
          </w:p>
        </w:tc>
      </w:tr>
    </w:tbl>
    <w:p w14:paraId="65D14D2E">
      <w:pPr>
        <w:spacing w:line="360" w:lineRule="auto"/>
        <w:ind w:left="0" w:firstLine="0"/>
        <w:rPr>
          <w:sz w:val="24"/>
        </w:rPr>
      </w:pPr>
      <w:r>
        <w:rPr>
          <w:rFonts w:hint="eastAsia"/>
          <w:sz w:val="24"/>
        </w:rPr>
        <w:t xml:space="preserve">    其中，灵敏度系数可由公式</w:t>
      </w:r>
      <w:r>
        <w:rPr>
          <w:rFonts w:hint="eastAsia" w:ascii="宋体" w:hAnsi="宋体"/>
          <w:sz w:val="24"/>
        </w:rPr>
        <w:t>（2）</w:t>
      </w:r>
      <w:r>
        <w:rPr>
          <w:rFonts w:hint="eastAsia"/>
          <w:sz w:val="24"/>
        </w:rPr>
        <w:t>求偏导得出，具体如下：</w:t>
      </w:r>
    </w:p>
    <w:p w14:paraId="59F7CB27">
      <w:pPr>
        <w:spacing w:line="360" w:lineRule="auto"/>
        <w:ind w:left="0" w:firstLine="0"/>
        <w:jc w:val="center"/>
        <w:rPr>
          <w:rFonts w:ascii="宋体" w:hAnsi="宋体"/>
          <w:position w:val="-24"/>
          <w:sz w:val="24"/>
        </w:rPr>
      </w:pPr>
      <w:r>
        <w:rPr>
          <w:rFonts w:ascii="宋体" w:hAnsi="宋体"/>
          <w:position w:val="-24"/>
          <w:sz w:val="24"/>
        </w:rPr>
        <w:object>
          <v:shape id="_x0000_i1057" o:spt="75" type="#_x0000_t75" style="height:30.6pt;width:65.45pt;" o:ole="t" filled="f" o:preferrelative="t" stroked="f" coordsize="21600,21600">
            <v:path/>
            <v:fill on="f" focussize="0,0"/>
            <v:stroke on="f"/>
            <v:imagedata r:id="rId66" o:title=""/>
            <o:lock v:ext="edit" aspectratio="t"/>
            <w10:wrap type="none"/>
            <w10:anchorlock/>
          </v:shape>
          <o:OLEObject Type="Embed" ProgID="Equation.3" ShapeID="_x0000_i1057" DrawAspect="Content" ObjectID="_1468075758" r:id="rId65">
            <o:LockedField>false</o:LockedField>
          </o:OLEObject>
        </w:object>
      </w:r>
    </w:p>
    <w:p w14:paraId="1D73EBC9">
      <w:pPr>
        <w:spacing w:line="360" w:lineRule="auto"/>
        <w:ind w:left="0" w:firstLine="0"/>
        <w:jc w:val="center"/>
        <w:rPr>
          <w:rFonts w:ascii="宋体" w:hAnsi="宋体"/>
          <w:position w:val="-24"/>
          <w:sz w:val="24"/>
        </w:rPr>
      </w:pPr>
      <w:r>
        <w:rPr>
          <w:rFonts w:ascii="宋体" w:hAnsi="宋体"/>
          <w:position w:val="-30"/>
          <w:sz w:val="24"/>
        </w:rPr>
        <w:object>
          <v:shape id="_x0000_i1058" o:spt="75" type="#_x0000_t75" style="height:33.6pt;width:73.3pt;" o:ole="t" filled="f" o:preferrelative="t" stroked="f" coordsize="21600,21600">
            <v:path/>
            <v:fill on="f" focussize="0,0"/>
            <v:stroke on="f"/>
            <v:imagedata r:id="rId68" o:title=""/>
            <o:lock v:ext="edit" aspectratio="t"/>
            <w10:wrap type="none"/>
            <w10:anchorlock/>
          </v:shape>
          <o:OLEObject Type="Embed" ProgID="Equation.3" ShapeID="_x0000_i1058" DrawAspect="Content" ObjectID="_1468075759" r:id="rId67">
            <o:LockedField>false</o:LockedField>
          </o:OLEObject>
        </w:object>
      </w:r>
    </w:p>
    <w:p w14:paraId="4F19CCC2">
      <w:pPr>
        <w:spacing w:line="360" w:lineRule="auto"/>
        <w:ind w:left="0" w:firstLine="0"/>
        <w:jc w:val="center"/>
        <w:rPr>
          <w:rFonts w:ascii="宋体" w:hAnsi="宋体"/>
          <w:position w:val="-24"/>
          <w:sz w:val="24"/>
        </w:rPr>
      </w:pPr>
      <w:r>
        <w:rPr>
          <w:rFonts w:ascii="宋体" w:hAnsi="宋体"/>
          <w:position w:val="-36"/>
          <w:sz w:val="24"/>
        </w:rPr>
        <w:object>
          <v:shape id="_x0000_i1059" o:spt="75" type="#_x0000_t75" style="height:36.55pt;width:75.3pt;" o:ole="t" filled="f" o:preferrelative="t" stroked="f" coordsize="21600,21600">
            <v:path/>
            <v:fill on="f" focussize="0,0"/>
            <v:stroke on="f"/>
            <v:imagedata r:id="rId70" o:title=""/>
            <o:lock v:ext="edit" aspectratio="t"/>
            <w10:wrap type="none"/>
            <w10:anchorlock/>
          </v:shape>
          <o:OLEObject Type="Embed" ProgID="Equation.3" ShapeID="_x0000_i1059" DrawAspect="Content" ObjectID="_1468075760" r:id="rId69">
            <o:LockedField>false</o:LockedField>
          </o:OLEObject>
        </w:object>
      </w:r>
    </w:p>
    <w:p w14:paraId="20F8D5A9">
      <w:pPr>
        <w:spacing w:line="360" w:lineRule="auto"/>
        <w:ind w:left="0" w:firstLine="0"/>
        <w:jc w:val="center"/>
        <w:rPr>
          <w:rFonts w:ascii="宋体" w:hAnsi="宋体"/>
          <w:position w:val="-24"/>
          <w:sz w:val="24"/>
        </w:rPr>
      </w:pPr>
      <w:r>
        <w:rPr>
          <w:rFonts w:ascii="宋体" w:hAnsi="宋体"/>
          <w:position w:val="-34"/>
          <w:sz w:val="24"/>
        </w:rPr>
        <w:object>
          <v:shape id="_x0000_i1060" o:spt="75" type="#_x0000_t75" style="height:35.55pt;width:74.3pt;" o:ole="t" filled="f" o:preferrelative="t" stroked="f" coordsize="21600,21600">
            <v:path/>
            <v:fill on="f" focussize="0,0"/>
            <v:stroke on="f"/>
            <v:imagedata r:id="rId72" o:title=""/>
            <o:lock v:ext="edit" aspectratio="t"/>
            <w10:wrap type="none"/>
            <w10:anchorlock/>
          </v:shape>
          <o:OLEObject Type="Embed" ProgID="Equation.3" ShapeID="_x0000_i1060" DrawAspect="Content" ObjectID="_1468075761" r:id="rId71">
            <o:LockedField>false</o:LockedField>
          </o:OLEObject>
        </w:object>
      </w:r>
    </w:p>
    <w:p w14:paraId="2C833601">
      <w:pPr>
        <w:spacing w:line="360" w:lineRule="auto"/>
        <w:ind w:left="0" w:firstLine="0"/>
        <w:jc w:val="left"/>
        <w:rPr>
          <w:sz w:val="24"/>
        </w:rPr>
      </w:pPr>
      <w:r>
        <w:rPr>
          <w:rFonts w:hint="eastAsia"/>
          <w:sz w:val="24"/>
        </w:rPr>
        <w:t xml:space="preserve">    本次试验环境：</w:t>
      </w:r>
      <w:r>
        <w:rPr>
          <w:rFonts w:hint="eastAsia" w:ascii="宋体" w:hAnsi="宋体"/>
          <w:sz w:val="24"/>
        </w:rPr>
        <w:t>温度为19.4℃，气压为1005.5hPa，相对湿度为20.6%</w:t>
      </w:r>
      <w:r>
        <w:rPr>
          <w:rFonts w:hint="eastAsia"/>
          <w:sz w:val="24"/>
        </w:rPr>
        <w:t>，则各灵敏度系数计算如下：</w:t>
      </w:r>
    </w:p>
    <w:p w14:paraId="27D7773D">
      <w:pPr>
        <w:spacing w:line="360" w:lineRule="auto"/>
        <w:jc w:val="center"/>
        <w:rPr>
          <w:rFonts w:ascii="黑体" w:hAnsi="黑体" w:eastAsia="黑体"/>
          <w:sz w:val="21"/>
          <w:szCs w:val="21"/>
        </w:rPr>
      </w:pPr>
      <w:r>
        <w:rPr>
          <w:rFonts w:hint="eastAsia" w:ascii="黑体" w:hAnsi="黑体" w:eastAsia="黑体"/>
          <w:sz w:val="21"/>
          <w:szCs w:val="21"/>
        </w:rPr>
        <w:t>表5 各灵敏度系数</w:t>
      </w:r>
    </w:p>
    <w:tbl>
      <w:tblPr>
        <w:tblStyle w:val="48"/>
        <w:tblW w:w="6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082"/>
        <w:gridCol w:w="1082"/>
        <w:gridCol w:w="1082"/>
        <w:gridCol w:w="1082"/>
        <w:gridCol w:w="1082"/>
      </w:tblGrid>
      <w:tr w14:paraId="7AD1B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380" w:type="dxa"/>
            <w:noWrap/>
            <w:vAlign w:val="center"/>
          </w:tcPr>
          <w:p w14:paraId="312513A1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position w:val="-4"/>
                <w:sz w:val="21"/>
                <w:szCs w:val="21"/>
              </w:rPr>
              <w:object>
                <v:shape id="_x0000_i1061" o:spt="75" type="#_x0000_t75" style="height:13.5pt;width:13.2pt;" o:ole="t" filled="f" o:preferrelative="t" stroked="f" coordsize="21600,21600">
                  <v:path/>
                  <v:fill on="f" focussize="0,0"/>
                  <v:stroke on="f"/>
                  <v:imagedata r:id="rId74" o:title=""/>
                  <o:lock v:ext="edit" aspectratio="t"/>
                  <w10:wrap type="none"/>
                  <w10:anchorlock/>
                </v:shape>
                <o:OLEObject Type="Embed" ProgID="Equation.3" ShapeID="_x0000_i1061" DrawAspect="Content" ObjectID="_1468075762" r:id="rId73">
                  <o:LockedField>false</o:LockedField>
                </o:OLEObject>
              </w:object>
            </w:r>
            <w:r>
              <w:rPr>
                <w:rFonts w:hint="eastAsia" w:ascii="宋体" w:hAnsi="宋体"/>
                <w:sz w:val="21"/>
                <w:szCs w:val="21"/>
              </w:rPr>
              <w:t>（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℃</w:t>
            </w:r>
            <w:r>
              <w:rPr>
                <w:rFonts w:hint="eastAsia" w:ascii="宋体" w:hAnsi="宋体"/>
                <w:sz w:val="21"/>
                <w:szCs w:val="21"/>
              </w:rPr>
              <w:t>）</w:t>
            </w:r>
          </w:p>
        </w:tc>
        <w:tc>
          <w:tcPr>
            <w:tcW w:w="1082" w:type="dxa"/>
            <w:noWrap/>
            <w:vAlign w:val="center"/>
          </w:tcPr>
          <w:p w14:paraId="1A21A329">
            <w:pPr>
              <w:spacing w:line="288" w:lineRule="auto"/>
              <w:ind w:left="0" w:right="0" w:firstLine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-50</w:t>
            </w:r>
          </w:p>
        </w:tc>
        <w:tc>
          <w:tcPr>
            <w:tcW w:w="1082" w:type="dxa"/>
            <w:noWrap/>
            <w:vAlign w:val="center"/>
          </w:tcPr>
          <w:p w14:paraId="0BEF2C49">
            <w:pPr>
              <w:spacing w:line="288" w:lineRule="auto"/>
              <w:ind w:left="0" w:right="0" w:firstLine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-20</w:t>
            </w:r>
          </w:p>
        </w:tc>
        <w:tc>
          <w:tcPr>
            <w:tcW w:w="1082" w:type="dxa"/>
            <w:noWrap/>
            <w:vAlign w:val="center"/>
          </w:tcPr>
          <w:p w14:paraId="16B96432">
            <w:pPr>
              <w:spacing w:line="288" w:lineRule="auto"/>
              <w:ind w:left="0" w:right="0" w:firstLine="0"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082" w:type="dxa"/>
            <w:noWrap/>
            <w:vAlign w:val="center"/>
          </w:tcPr>
          <w:p w14:paraId="36DCD8B2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20</w:t>
            </w:r>
          </w:p>
        </w:tc>
        <w:tc>
          <w:tcPr>
            <w:tcW w:w="1082" w:type="dxa"/>
            <w:noWrap/>
            <w:vAlign w:val="center"/>
          </w:tcPr>
          <w:p w14:paraId="6534D25A">
            <w:pPr>
              <w:spacing w:line="288" w:lineRule="auto"/>
              <w:ind w:left="0" w:right="0" w:firstLine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50</w:t>
            </w:r>
          </w:p>
        </w:tc>
      </w:tr>
      <w:tr w14:paraId="29050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380" w:type="dxa"/>
            <w:noWrap/>
            <w:vAlign w:val="center"/>
          </w:tcPr>
          <w:p w14:paraId="05098CB3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10"/>
                <w:sz w:val="21"/>
                <w:szCs w:val="21"/>
              </w:rPr>
              <w:object>
                <v:shape id="_x0000_i1062" o:spt="75" type="#_x0000_t75" style="height:17pt;width:14.2pt;" o:ole="t" filled="f" o:preferrelative="t" stroked="f" coordsize="21600,21600">
                  <v:path/>
                  <v:fill on="f" focussize="0,0"/>
                  <v:stroke on="f"/>
                  <v:imagedata r:id="rId55" o:title=""/>
                  <o:lock v:ext="edit" aspectratio="t"/>
                  <w10:wrap type="none"/>
                  <w10:anchorlock/>
                </v:shape>
                <o:OLEObject Type="Embed" ProgID="Equation.3" ShapeID="_x0000_i1062" DrawAspect="Content" ObjectID="_1468075763" r:id="rId75">
                  <o:LockedField>false</o:LockedField>
                </o:OLEObject>
              </w:object>
            </w:r>
          </w:p>
        </w:tc>
        <w:tc>
          <w:tcPr>
            <w:tcW w:w="1082" w:type="dxa"/>
            <w:noWrap/>
            <w:vAlign w:val="center"/>
          </w:tcPr>
          <w:p w14:paraId="60BDFAA2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</w:t>
            </w:r>
          </w:p>
        </w:tc>
        <w:tc>
          <w:tcPr>
            <w:tcW w:w="1082" w:type="dxa"/>
            <w:noWrap/>
            <w:vAlign w:val="center"/>
          </w:tcPr>
          <w:p w14:paraId="0A5B4BF9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</w:t>
            </w:r>
          </w:p>
        </w:tc>
        <w:tc>
          <w:tcPr>
            <w:tcW w:w="1082" w:type="dxa"/>
            <w:noWrap/>
            <w:vAlign w:val="center"/>
          </w:tcPr>
          <w:p w14:paraId="4D9265D8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</w:t>
            </w:r>
          </w:p>
        </w:tc>
        <w:tc>
          <w:tcPr>
            <w:tcW w:w="1082" w:type="dxa"/>
            <w:noWrap/>
            <w:vAlign w:val="center"/>
          </w:tcPr>
          <w:p w14:paraId="22FF122D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</w:t>
            </w:r>
          </w:p>
        </w:tc>
        <w:tc>
          <w:tcPr>
            <w:tcW w:w="1082" w:type="dxa"/>
            <w:noWrap/>
            <w:vAlign w:val="center"/>
          </w:tcPr>
          <w:p w14:paraId="7C6F7456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</w:t>
            </w:r>
          </w:p>
        </w:tc>
      </w:tr>
      <w:tr w14:paraId="4651F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380" w:type="dxa"/>
            <w:noWrap/>
            <w:vAlign w:val="center"/>
          </w:tcPr>
          <w:p w14:paraId="64B7B585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14"/>
                <w:sz w:val="21"/>
                <w:szCs w:val="21"/>
              </w:rPr>
              <w:object>
                <v:shape id="_x0000_i1063" o:spt="75" type="#_x0000_t75" style="height:19pt;width:14.2pt;" o:ole="t" filled="f" o:preferrelative="t" stroked="f" coordsize="21600,21600">
                  <v:path/>
                  <v:fill on="f" focussize="0,0"/>
                  <v:stroke on="f"/>
                  <v:imagedata r:id="rId58" o:title=""/>
                  <o:lock v:ext="edit" aspectratio="t"/>
                  <w10:wrap type="none"/>
                  <w10:anchorlock/>
                </v:shape>
                <o:OLEObject Type="Embed" ProgID="Equation.3" ShapeID="_x0000_i1063" DrawAspect="Content" ObjectID="_1468075764" r:id="rId76">
                  <o:LockedField>false</o:LockedField>
                </o:OLEObject>
              </w:object>
            </w:r>
          </w:p>
        </w:tc>
        <w:tc>
          <w:tcPr>
            <w:tcW w:w="1082" w:type="dxa"/>
            <w:noWrap/>
            <w:vAlign w:val="center"/>
          </w:tcPr>
          <w:p w14:paraId="35EB04A2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-1</w:t>
            </w:r>
            <w:r>
              <w:rPr>
                <w:rFonts w:ascii="宋体" w:hAnsi="宋体"/>
                <w:sz w:val="21"/>
                <w:szCs w:val="21"/>
              </w:rPr>
              <w:t xml:space="preserve"> </w:t>
            </w:r>
          </w:p>
        </w:tc>
        <w:tc>
          <w:tcPr>
            <w:tcW w:w="1082" w:type="dxa"/>
            <w:noWrap/>
            <w:vAlign w:val="center"/>
          </w:tcPr>
          <w:p w14:paraId="21F10957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-1</w:t>
            </w:r>
          </w:p>
        </w:tc>
        <w:tc>
          <w:tcPr>
            <w:tcW w:w="1082" w:type="dxa"/>
            <w:noWrap/>
            <w:vAlign w:val="center"/>
          </w:tcPr>
          <w:p w14:paraId="100DCF53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-1</w:t>
            </w:r>
          </w:p>
        </w:tc>
        <w:tc>
          <w:tcPr>
            <w:tcW w:w="1082" w:type="dxa"/>
            <w:noWrap/>
            <w:vAlign w:val="center"/>
          </w:tcPr>
          <w:p w14:paraId="71E7875B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-1</w:t>
            </w:r>
          </w:p>
        </w:tc>
        <w:tc>
          <w:tcPr>
            <w:tcW w:w="1082" w:type="dxa"/>
            <w:noWrap/>
            <w:vAlign w:val="center"/>
          </w:tcPr>
          <w:p w14:paraId="4921C4F9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-1</w:t>
            </w:r>
            <w:r>
              <w:rPr>
                <w:rFonts w:ascii="宋体" w:hAnsi="宋体"/>
                <w:sz w:val="21"/>
                <w:szCs w:val="21"/>
              </w:rPr>
              <w:t xml:space="preserve"> </w:t>
            </w:r>
          </w:p>
        </w:tc>
      </w:tr>
      <w:tr w14:paraId="42BEB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380" w:type="dxa"/>
            <w:noWrap/>
            <w:vAlign w:val="center"/>
          </w:tcPr>
          <w:p w14:paraId="37D4591B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14"/>
                <w:sz w:val="21"/>
                <w:szCs w:val="21"/>
              </w:rPr>
              <w:object>
                <v:shape id="_x0000_i1064" o:spt="75" type="#_x0000_t75" style="height:19pt;width:15.15pt;" o:ole="t" filled="f" o:preferrelative="t" stroked="f" coordsize="21600,21600">
                  <v:path/>
                  <v:fill on="f" focussize="0,0"/>
                  <v:stroke on="f"/>
                  <v:imagedata r:id="rId61" o:title=""/>
                  <o:lock v:ext="edit" aspectratio="t"/>
                  <w10:wrap type="none"/>
                  <w10:anchorlock/>
                </v:shape>
                <o:OLEObject Type="Embed" ProgID="Equation.3" ShapeID="_x0000_i1064" DrawAspect="Content" ObjectID="_1468075765" r:id="rId77">
                  <o:LockedField>false</o:LockedField>
                </o:OLEObject>
              </w:objec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1B714BF0">
            <w:pPr>
              <w:spacing w:line="288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-1</w:t>
            </w:r>
            <w:r>
              <w:rPr>
                <w:rFonts w:ascii="宋体" w:hAnsi="宋体"/>
                <w:sz w:val="21"/>
                <w:szCs w:val="21"/>
              </w:rPr>
              <w:t xml:space="preserve"> 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3F81F24D">
            <w:pPr>
              <w:spacing w:line="288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-1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2A400F68">
            <w:pPr>
              <w:spacing w:line="288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-1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203B3564">
            <w:pPr>
              <w:spacing w:line="288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-1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0E9B5CA0">
            <w:pPr>
              <w:spacing w:line="288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-1</w:t>
            </w:r>
            <w:r>
              <w:rPr>
                <w:rFonts w:ascii="宋体" w:hAnsi="宋体"/>
                <w:sz w:val="21"/>
                <w:szCs w:val="21"/>
              </w:rPr>
              <w:t xml:space="preserve"> </w:t>
            </w:r>
          </w:p>
        </w:tc>
      </w:tr>
      <w:tr w14:paraId="46CA8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380" w:type="dxa"/>
            <w:noWrap/>
            <w:vAlign w:val="center"/>
          </w:tcPr>
          <w:p w14:paraId="429797DD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14"/>
                <w:sz w:val="21"/>
                <w:szCs w:val="21"/>
              </w:rPr>
              <w:object>
                <v:shape id="_x0000_i1065" o:spt="75" type="#_x0000_t75" style="height:19pt;width:15.15pt;" o:ole="t" filled="f" o:preferrelative="t" stroked="f" coordsize="21600,21600">
                  <v:path/>
                  <v:fill on="f" focussize="0,0"/>
                  <v:stroke on="f"/>
                  <v:imagedata r:id="rId64" o:title=""/>
                  <o:lock v:ext="edit" aspectratio="t"/>
                  <w10:wrap type="none"/>
                  <w10:anchorlock/>
                </v:shape>
                <o:OLEObject Type="Embed" ProgID="Equation.3" ShapeID="_x0000_i1065" DrawAspect="Content" ObjectID="_1468075766" r:id="rId78">
                  <o:LockedField>false</o:LockedField>
                </o:OLEObject>
              </w:objec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15223C6E">
            <w:pPr>
              <w:spacing w:line="288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-1</w:t>
            </w:r>
            <w:r>
              <w:rPr>
                <w:rFonts w:ascii="宋体" w:hAnsi="宋体"/>
                <w:sz w:val="21"/>
                <w:szCs w:val="21"/>
              </w:rPr>
              <w:t xml:space="preserve"> 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35F75D7F">
            <w:pPr>
              <w:spacing w:line="288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-1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5E136F6F">
            <w:pPr>
              <w:spacing w:line="288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-1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5BBF4DD7">
            <w:pPr>
              <w:spacing w:line="288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-1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707366D5">
            <w:pPr>
              <w:spacing w:line="288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-1</w:t>
            </w:r>
            <w:r>
              <w:rPr>
                <w:rFonts w:ascii="宋体" w:hAnsi="宋体"/>
                <w:sz w:val="21"/>
                <w:szCs w:val="21"/>
              </w:rPr>
              <w:t xml:space="preserve"> </w:t>
            </w:r>
          </w:p>
        </w:tc>
      </w:tr>
    </w:tbl>
    <w:p w14:paraId="4578AEEA">
      <w:pPr>
        <w:pStyle w:val="83"/>
        <w:spacing w:afterLines="0" w:line="360" w:lineRule="atLeast"/>
        <w:ind w:left="0" w:right="0" w:firstLine="0" w:firstLineChars="0"/>
        <w:jc w:val="center"/>
        <w:rPr>
          <w:sz w:val="24"/>
        </w:rPr>
      </w:pPr>
      <w:r>
        <w:rPr>
          <w:rFonts w:hint="eastAsia"/>
          <w:sz w:val="24"/>
        </w:rPr>
        <w:t>由于各分量之间相互不相关，合成标准不确定度的计算公式如下式（3）所示：</w:t>
      </w:r>
    </w:p>
    <w:p w14:paraId="26F34285">
      <w:pPr>
        <w:pStyle w:val="83"/>
        <w:spacing w:afterLines="0" w:line="360" w:lineRule="atLeast"/>
        <w:ind w:left="0" w:right="0" w:firstLine="480"/>
        <w:jc w:val="center"/>
        <w:rPr>
          <w:rFonts w:ascii="黑体" w:hAnsi="黑体" w:eastAsia="黑体"/>
          <w:position w:val="-10"/>
          <w:sz w:val="24"/>
        </w:rPr>
      </w:pPr>
      <w:r>
        <w:rPr>
          <w:rFonts w:ascii="黑体" w:hAnsi="黑体" w:eastAsia="黑体"/>
          <w:position w:val="-18"/>
          <w:sz w:val="24"/>
        </w:rPr>
        <w:object>
          <v:shape id="_x0000_i1066" o:spt="75" type="#_x0000_t75" style="height:24.4pt;width:256.3pt;" o:ole="t" filled="f" o:preferrelative="t" stroked="f" coordsize="21600,21600">
            <v:path/>
            <v:fill on="f" focussize="0,0"/>
            <v:stroke on="f"/>
            <v:imagedata r:id="rId80" o:title=""/>
            <o:lock v:ext="edit" aspectratio="t"/>
            <w10:wrap type="none"/>
            <w10:anchorlock/>
          </v:shape>
          <o:OLEObject Type="Embed" ProgID="Equation.3" ShapeID="_x0000_i1066" DrawAspect="Content" ObjectID="_1468075767" r:id="rId79">
            <o:LockedField>false</o:LockedField>
          </o:OLEObject>
        </w:object>
      </w:r>
    </w:p>
    <w:p w14:paraId="78FAAD74">
      <w:pPr>
        <w:pStyle w:val="83"/>
        <w:spacing w:afterLines="0" w:line="360" w:lineRule="atLeast"/>
        <w:ind w:left="0" w:right="0" w:firstLine="480"/>
        <w:jc w:val="left"/>
        <w:rPr>
          <w:sz w:val="24"/>
        </w:rPr>
      </w:pPr>
      <w:r>
        <w:rPr>
          <w:rFonts w:hint="eastAsia"/>
          <w:sz w:val="24"/>
        </w:rPr>
        <w:t>其计算结果见表6。</w:t>
      </w:r>
    </w:p>
    <w:p w14:paraId="34BD5B45">
      <w:pPr>
        <w:spacing w:line="360" w:lineRule="auto"/>
        <w:jc w:val="center"/>
        <w:rPr>
          <w:rFonts w:hint="eastAsia" w:ascii="宋体" w:hAnsi="宋体" w:eastAsia="黑体"/>
          <w:b/>
          <w:position w:val="-12"/>
          <w:sz w:val="21"/>
          <w:szCs w:val="21"/>
          <w:lang w:val="en-US" w:eastAsia="zh-CN"/>
        </w:rPr>
      </w:pPr>
      <w:r>
        <w:rPr>
          <w:rFonts w:hint="eastAsia" w:ascii="黑体" w:hAnsi="黑体" w:eastAsia="黑体"/>
          <w:sz w:val="21"/>
          <w:szCs w:val="21"/>
        </w:rPr>
        <w:t>表6 合成标准不确定</w:t>
      </w:r>
      <w:r>
        <w:rPr>
          <w:rFonts w:hint="eastAsia" w:ascii="黑体" w:hAnsi="黑体" w:eastAsia="黑体"/>
          <w:sz w:val="21"/>
          <w:szCs w:val="21"/>
          <w:lang w:val="en-US" w:eastAsia="zh-CN"/>
        </w:rPr>
        <w:t>度</w:t>
      </w:r>
      <w:r>
        <w:rPr>
          <w:rFonts w:ascii="黑体" w:hAnsi="黑体" w:eastAsia="黑体"/>
          <w:position w:val="-12"/>
          <w:sz w:val="24"/>
        </w:rPr>
        <w:object>
          <v:shape id="_x0000_i1067" o:spt="75" type="#_x0000_t75" style="height:17.55pt;width:38.65pt;" o:ole="t" filled="f" o:preferrelative="t" stroked="f" coordsize="21600,21600">
            <v:path/>
            <v:fill on="f" focussize="0,0"/>
            <v:stroke on="f"/>
            <v:imagedata r:id="rId82" o:title=""/>
            <o:lock v:ext="edit" aspectratio="t"/>
            <w10:wrap type="none"/>
            <w10:anchorlock/>
          </v:shape>
          <o:OLEObject Type="Embed" ProgID="Equation.3" ShapeID="_x0000_i1067" DrawAspect="Content" ObjectID="_1468075768" r:id="rId81">
            <o:LockedField>false</o:LockedField>
          </o:OLEObject>
        </w:object>
      </w:r>
    </w:p>
    <w:tbl>
      <w:tblPr>
        <w:tblStyle w:val="48"/>
        <w:tblW w:w="64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6"/>
        <w:gridCol w:w="911"/>
        <w:gridCol w:w="911"/>
        <w:gridCol w:w="911"/>
        <w:gridCol w:w="911"/>
        <w:gridCol w:w="911"/>
      </w:tblGrid>
      <w:tr w14:paraId="391A1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886" w:type="dxa"/>
            <w:noWrap/>
            <w:vAlign w:val="center"/>
          </w:tcPr>
          <w:p w14:paraId="198D8210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position w:val="-4"/>
                <w:sz w:val="21"/>
                <w:szCs w:val="21"/>
              </w:rPr>
              <w:object>
                <v:shape id="_x0000_i1068" o:spt="75" type="#_x0000_t75" style="height:13.5pt;width:13.2pt;" o:ole="t" filled="f" o:preferrelative="t" stroked="f" coordsize="21600,21600">
                  <v:path/>
                  <v:fill on="f" focussize="0,0"/>
                  <v:stroke on="f"/>
                  <v:imagedata r:id="rId84" o:title=""/>
                  <o:lock v:ext="edit" aspectratio="t"/>
                  <w10:wrap type="none"/>
                  <w10:anchorlock/>
                </v:shape>
                <o:OLEObject Type="Embed" ProgID="Equation.3" ShapeID="_x0000_i1068" DrawAspect="Content" ObjectID="_1468075769" r:id="rId83">
                  <o:LockedField>false</o:LockedField>
                </o:OLEObject>
              </w:object>
            </w:r>
            <w:r>
              <w:rPr>
                <w:rFonts w:hint="eastAsia" w:ascii="宋体" w:hAnsi="宋体"/>
                <w:sz w:val="21"/>
                <w:szCs w:val="21"/>
              </w:rPr>
              <w:t>（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℃</w:t>
            </w:r>
            <w:r>
              <w:rPr>
                <w:rFonts w:hint="eastAsia" w:ascii="宋体" w:hAnsi="宋体"/>
                <w:sz w:val="21"/>
                <w:szCs w:val="21"/>
              </w:rPr>
              <w:t>）</w:t>
            </w:r>
          </w:p>
        </w:tc>
        <w:tc>
          <w:tcPr>
            <w:tcW w:w="911" w:type="dxa"/>
            <w:shd w:val="clear" w:color="auto" w:fill="auto"/>
            <w:noWrap/>
            <w:vAlign w:val="center"/>
          </w:tcPr>
          <w:p w14:paraId="6C67F27D">
            <w:pPr>
              <w:spacing w:line="288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-50</w:t>
            </w:r>
          </w:p>
        </w:tc>
        <w:tc>
          <w:tcPr>
            <w:tcW w:w="911" w:type="dxa"/>
            <w:shd w:val="clear" w:color="auto" w:fill="auto"/>
            <w:noWrap/>
            <w:vAlign w:val="center"/>
          </w:tcPr>
          <w:p w14:paraId="416FBA7A">
            <w:pPr>
              <w:spacing w:line="288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-20</w:t>
            </w:r>
          </w:p>
        </w:tc>
        <w:tc>
          <w:tcPr>
            <w:tcW w:w="911" w:type="dxa"/>
            <w:shd w:val="clear" w:color="auto" w:fill="auto"/>
            <w:noWrap/>
            <w:vAlign w:val="center"/>
          </w:tcPr>
          <w:p w14:paraId="0974B5C8">
            <w:pPr>
              <w:spacing w:line="288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11" w:type="dxa"/>
            <w:shd w:val="clear" w:color="auto" w:fill="auto"/>
            <w:noWrap/>
            <w:vAlign w:val="center"/>
          </w:tcPr>
          <w:p w14:paraId="01B9745C">
            <w:pPr>
              <w:spacing w:line="288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sz w:val="21"/>
                <w:szCs w:val="21"/>
              </w:rPr>
              <w:t>20</w:t>
            </w:r>
          </w:p>
        </w:tc>
        <w:tc>
          <w:tcPr>
            <w:tcW w:w="911" w:type="dxa"/>
            <w:shd w:val="clear" w:color="auto" w:fill="auto"/>
            <w:noWrap/>
            <w:vAlign w:val="center"/>
          </w:tcPr>
          <w:p w14:paraId="5861009F">
            <w:pPr>
              <w:spacing w:line="288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50</w:t>
            </w:r>
          </w:p>
        </w:tc>
      </w:tr>
      <w:tr w14:paraId="6D463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886" w:type="dxa"/>
            <w:noWrap/>
            <w:vAlign w:val="center"/>
          </w:tcPr>
          <w:p w14:paraId="51F6328C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黑体" w:hAnsi="黑体" w:eastAsia="黑体"/>
                <w:position w:val="-12"/>
                <w:sz w:val="24"/>
              </w:rPr>
              <w:object>
                <v:shape id="_x0000_i1069" o:spt="75" type="#_x0000_t75" style="height:17.55pt;width:38.65pt;" o:ole="t" filled="f" o:preferrelative="t" stroked="f" coordsize="21600,21600">
                  <v:path/>
                  <v:fill on="f" focussize="0,0"/>
                  <v:stroke on="f"/>
                  <v:imagedata r:id="rId82" o:title=""/>
                  <o:lock v:ext="edit" aspectratio="t"/>
                  <w10:wrap type="none"/>
                  <w10:anchorlock/>
                </v:shape>
                <o:OLEObject Type="Embed" ProgID="Equation.3" ShapeID="_x0000_i1069" DrawAspect="Content" ObjectID="_1468075770" r:id="rId85">
                  <o:LockedField>false</o:LockedField>
                </o:OLEObject>
              </w:object>
            </w:r>
            <w:r>
              <w:rPr>
                <w:rFonts w:hint="eastAsia" w:ascii="宋体" w:hAnsi="宋体"/>
                <w:sz w:val="21"/>
                <w:szCs w:val="21"/>
              </w:rPr>
              <w:t>（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℃</w:t>
            </w:r>
            <w:r>
              <w:rPr>
                <w:rFonts w:hint="eastAsia" w:ascii="宋体" w:hAnsi="宋体"/>
                <w:sz w:val="21"/>
                <w:szCs w:val="21"/>
              </w:rPr>
              <w:t>）</w:t>
            </w:r>
          </w:p>
        </w:tc>
        <w:tc>
          <w:tcPr>
            <w:tcW w:w="911" w:type="dxa"/>
            <w:noWrap/>
            <w:vAlign w:val="center"/>
          </w:tcPr>
          <w:p w14:paraId="63D845A0">
            <w:pPr>
              <w:spacing w:line="288" w:lineRule="auto"/>
              <w:ind w:left="0" w:right="0" w:firstLine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0.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06</w:t>
            </w:r>
          </w:p>
        </w:tc>
        <w:tc>
          <w:tcPr>
            <w:tcW w:w="911" w:type="dxa"/>
            <w:noWrap/>
            <w:vAlign w:val="center"/>
          </w:tcPr>
          <w:p w14:paraId="0ECF1C37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0.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06</w:t>
            </w:r>
          </w:p>
        </w:tc>
        <w:tc>
          <w:tcPr>
            <w:tcW w:w="911" w:type="dxa"/>
            <w:noWrap/>
            <w:vAlign w:val="center"/>
          </w:tcPr>
          <w:p w14:paraId="3E3C21EF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0.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03</w:t>
            </w:r>
          </w:p>
        </w:tc>
        <w:tc>
          <w:tcPr>
            <w:tcW w:w="911" w:type="dxa"/>
            <w:noWrap/>
            <w:vAlign w:val="center"/>
          </w:tcPr>
          <w:p w14:paraId="088A0B13">
            <w:pPr>
              <w:spacing w:line="288" w:lineRule="auto"/>
              <w:ind w:left="0" w:leftChars="0" w:right="0" w:rightChars="0"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0.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03</w:t>
            </w:r>
          </w:p>
        </w:tc>
        <w:tc>
          <w:tcPr>
            <w:tcW w:w="911" w:type="dxa"/>
            <w:noWrap/>
            <w:vAlign w:val="center"/>
          </w:tcPr>
          <w:p w14:paraId="08A8B9E0">
            <w:pPr>
              <w:spacing w:line="288" w:lineRule="auto"/>
              <w:ind w:left="0" w:leftChars="0" w:right="0" w:rightChars="0"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0.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03</w:t>
            </w:r>
          </w:p>
        </w:tc>
      </w:tr>
    </w:tbl>
    <w:p w14:paraId="60C11839">
      <w:pPr>
        <w:spacing w:line="360" w:lineRule="auto"/>
        <w:ind w:left="0" w:firstLine="0"/>
        <w:rPr>
          <w:rFonts w:ascii="黑体" w:hAnsi="黑体" w:eastAsia="黑体"/>
          <w:sz w:val="24"/>
        </w:rPr>
      </w:pPr>
      <w:bookmarkStart w:id="19" w:name="_Toc511284871"/>
      <w:bookmarkStart w:id="20" w:name="_Toc534535103"/>
      <w:r>
        <w:rPr>
          <w:rFonts w:hint="eastAsia" w:ascii="黑体" w:hAnsi="黑体" w:eastAsia="黑体"/>
          <w:sz w:val="24"/>
          <w:lang w:val="en-US" w:eastAsia="zh-CN"/>
        </w:rPr>
        <w:t>7</w:t>
      </w:r>
      <w:r>
        <w:rPr>
          <w:rFonts w:hint="eastAsia" w:ascii="黑体" w:hAnsi="黑体" w:eastAsia="黑体"/>
          <w:sz w:val="24"/>
        </w:rPr>
        <w:t xml:space="preserve"> 扩展不</w:t>
      </w:r>
      <w:r>
        <w:rPr>
          <w:rFonts w:ascii="黑体" w:hAnsi="黑体" w:eastAsia="黑体"/>
          <w:sz w:val="24"/>
        </w:rPr>
        <w:t>确定</w:t>
      </w:r>
      <w:r>
        <w:rPr>
          <w:rFonts w:hint="eastAsia" w:ascii="黑体" w:hAnsi="黑体" w:eastAsia="黑体"/>
          <w:sz w:val="24"/>
        </w:rPr>
        <w:t>度</w:t>
      </w:r>
      <w:bookmarkEnd w:id="19"/>
      <w:bookmarkEnd w:id="20"/>
    </w:p>
    <w:p w14:paraId="2B26CA0B">
      <w:pPr>
        <w:spacing w:line="360" w:lineRule="auto"/>
        <w:ind w:left="0" w:right="0" w:firstLine="480" w:firstLineChars="200"/>
        <w:rPr>
          <w:sz w:val="24"/>
        </w:rPr>
      </w:pPr>
      <w:r>
        <w:rPr>
          <w:rFonts w:hint="eastAsia"/>
          <w:sz w:val="24"/>
        </w:rPr>
        <w:t>取</w:t>
      </w:r>
      <w:r>
        <w:rPr>
          <w:b/>
          <w:position w:val="-6"/>
          <w:sz w:val="24"/>
        </w:rPr>
        <w:object>
          <v:shape id="_x0000_i1070" o:spt="75" type="#_x0000_t75" style="height:14.4pt;width:10.8pt;" o:ole="t" filled="f" o:preferrelative="t" stroked="f" coordsize="21600,21600">
            <v:path/>
            <v:fill on="f" focussize="0,0"/>
            <v:stroke on="f" joinstyle="miter"/>
            <v:imagedata r:id="rId87" embosscolor="#FFFFFF" o:title=""/>
            <o:lock v:ext="edit" aspectratio="t"/>
            <w10:wrap type="none"/>
            <w10:anchorlock/>
          </v:shape>
          <o:OLEObject Type="Embed" ProgID="Equation.3" ShapeID="_x0000_i1070" DrawAspect="Content" ObjectID="_1468075771" r:id="rId86">
            <o:LockedField>false</o:LockedField>
          </o:OLEObject>
        </w:object>
      </w:r>
      <w:r>
        <w:rPr>
          <w:rFonts w:hint="eastAsia"/>
          <w:sz w:val="24"/>
        </w:rPr>
        <w:t>=2,则扩展不确定度</w:t>
      </w:r>
      <w:r>
        <w:rPr>
          <w:rFonts w:ascii="黑体" w:hAnsi="黑体" w:eastAsia="黑体"/>
          <w:position w:val="-12"/>
          <w:sz w:val="24"/>
        </w:rPr>
        <w:object>
          <v:shape id="_x0000_i1071" o:spt="75" type="#_x0000_t75" style="height:17.55pt;width:67.15pt;" o:ole="t" filled="f" o:preferrelative="t" stroked="f" coordsize="21600,21600">
            <v:path/>
            <v:fill on="f" focussize="0,0"/>
            <v:stroke on="f"/>
            <v:imagedata r:id="rId89" o:title=""/>
            <o:lock v:ext="edit" aspectratio="t"/>
            <w10:wrap type="none"/>
            <w10:anchorlock/>
          </v:shape>
          <o:OLEObject Type="Embed" ProgID="Equation.3" ShapeID="_x0000_i1071" DrawAspect="Content" ObjectID="_1468075772" r:id="rId88">
            <o:LockedField>false</o:LockedField>
          </o:OLEObject>
        </w:object>
      </w:r>
      <w:r>
        <w:rPr>
          <w:rFonts w:hint="eastAsia"/>
          <w:b/>
          <w:sz w:val="24"/>
        </w:rPr>
        <w:t>,</w:t>
      </w:r>
      <w:r>
        <w:rPr>
          <w:rFonts w:hint="eastAsia"/>
          <w:sz w:val="24"/>
        </w:rPr>
        <w:t>则扩展不确定度计算结果见表7。</w:t>
      </w:r>
    </w:p>
    <w:p w14:paraId="739741FE">
      <w:pPr>
        <w:spacing w:line="360" w:lineRule="auto"/>
        <w:ind w:firstLine="432"/>
        <w:jc w:val="center"/>
        <w:rPr>
          <w:rFonts w:ascii="宋体" w:hAnsi="宋体"/>
          <w:b/>
          <w:sz w:val="21"/>
          <w:szCs w:val="21"/>
        </w:rPr>
      </w:pPr>
      <w:r>
        <w:rPr>
          <w:rFonts w:hint="eastAsia" w:ascii="黑体" w:hAnsi="黑体" w:eastAsia="黑体"/>
          <w:sz w:val="21"/>
          <w:szCs w:val="21"/>
        </w:rPr>
        <w:t>表7 扩展不确定度</w:t>
      </w:r>
      <w:r>
        <w:rPr>
          <w:rFonts w:ascii="黑体" w:hAnsi="黑体" w:eastAsia="黑体"/>
          <w:position w:val="-10"/>
          <w:sz w:val="21"/>
          <w:szCs w:val="21"/>
        </w:rPr>
        <w:object>
          <v:shape id="_x0000_i1072" o:spt="75" type="#_x0000_t75" style="height:15.6pt;width:48pt;" o:ole="t" filled="f" o:preferrelative="t" stroked="f" coordsize="21600,21600">
            <v:path/>
            <v:fill on="f" focussize="0,0"/>
            <v:stroke on="f" joinstyle="miter"/>
            <v:imagedata r:id="rId91" embosscolor="#FFFFFF" o:title=""/>
            <o:lock v:ext="edit" aspectratio="t"/>
            <w10:wrap type="none"/>
            <w10:anchorlock/>
          </v:shape>
          <o:OLEObject Type="Embed" ProgID="Equation.3" ShapeID="_x0000_i1072" DrawAspect="Content" ObjectID="_1468075773" r:id="rId90">
            <o:LockedField>false</o:LockedField>
          </o:OLEObject>
        </w:object>
      </w:r>
    </w:p>
    <w:tbl>
      <w:tblPr>
        <w:tblStyle w:val="48"/>
        <w:tblW w:w="54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780"/>
        <w:gridCol w:w="781"/>
        <w:gridCol w:w="781"/>
        <w:gridCol w:w="781"/>
        <w:gridCol w:w="781"/>
      </w:tblGrid>
      <w:tr w14:paraId="10185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531" w:type="dxa"/>
            <w:noWrap/>
            <w:vAlign w:val="center"/>
          </w:tcPr>
          <w:p w14:paraId="3DA9CBD8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position w:val="-4"/>
                <w:sz w:val="21"/>
                <w:szCs w:val="21"/>
              </w:rPr>
              <w:object>
                <v:shape id="_x0000_i1073" o:spt="75" type="#_x0000_t75" style="height:13.5pt;width:13.2pt;" o:ole="t" filled="f" o:preferrelative="t" stroked="f" coordsize="21600,21600">
                  <v:path/>
                  <v:fill on="f" focussize="0,0"/>
                  <v:stroke on="f"/>
                  <v:imagedata r:id="rId84" o:title=""/>
                  <o:lock v:ext="edit" aspectratio="t"/>
                  <w10:wrap type="none"/>
                  <w10:anchorlock/>
                </v:shape>
                <o:OLEObject Type="Embed" ProgID="Equation.3" ShapeID="_x0000_i1073" DrawAspect="Content" ObjectID="_1468075774" r:id="rId92">
                  <o:LockedField>false</o:LockedField>
                </o:OLEObject>
              </w:object>
            </w:r>
            <w:r>
              <w:rPr>
                <w:rFonts w:hint="eastAsia" w:ascii="宋体" w:hAnsi="宋体"/>
                <w:sz w:val="21"/>
                <w:szCs w:val="21"/>
              </w:rPr>
              <w:t>（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℃</w:t>
            </w:r>
            <w:r>
              <w:rPr>
                <w:rFonts w:hint="eastAsia" w:ascii="宋体" w:hAnsi="宋体"/>
                <w:sz w:val="21"/>
                <w:szCs w:val="21"/>
              </w:rPr>
              <w:t>）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C05BD06">
            <w:pPr>
              <w:spacing w:line="288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-50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58388A42">
            <w:pPr>
              <w:spacing w:line="288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-20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0DA5F141">
            <w:pPr>
              <w:spacing w:line="288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3BF91BAF">
            <w:pPr>
              <w:spacing w:line="288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sz w:val="21"/>
                <w:szCs w:val="21"/>
              </w:rPr>
              <w:t>20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392C5A4A">
            <w:pPr>
              <w:spacing w:line="288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50</w:t>
            </w:r>
          </w:p>
        </w:tc>
      </w:tr>
      <w:tr w14:paraId="69E83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531" w:type="dxa"/>
            <w:noWrap/>
            <w:vAlign w:val="center"/>
          </w:tcPr>
          <w:p w14:paraId="2FDCFA3B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object>
                <v:shape id="_x0000_i1074" o:spt="75" type="#_x0000_t75" style="height:15.6pt;width:48pt;" o:ole="t" filled="f" o:preferrelative="t" stroked="f" coordsize="21600,21600">
                  <v:path/>
                  <v:fill on="f" focussize="0,0"/>
                  <v:stroke on="f" joinstyle="miter"/>
                  <v:imagedata r:id="rId91" embosscolor="#FFFFFF" o:title=""/>
                  <o:lock v:ext="edit" aspectratio="t"/>
                  <w10:wrap type="none"/>
                  <w10:anchorlock/>
                </v:shape>
                <o:OLEObject Type="Embed" ProgID="Equation.3" ShapeID="_x0000_i1074" DrawAspect="Content" ObjectID="_1468075775" r:id="rId93">
                  <o:LockedField>false</o:LockedField>
                </o:OLEObject>
              </w:object>
            </w:r>
            <w:r>
              <w:rPr>
                <w:rFonts w:hint="eastAsia" w:ascii="宋体" w:hAnsi="宋体"/>
                <w:sz w:val="21"/>
                <w:szCs w:val="21"/>
              </w:rPr>
              <w:t>（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℃</w:t>
            </w:r>
            <w:r>
              <w:rPr>
                <w:rFonts w:hint="eastAsia" w:ascii="宋体" w:hAnsi="宋体"/>
                <w:sz w:val="21"/>
                <w:szCs w:val="21"/>
              </w:rPr>
              <w:t>）</w:t>
            </w:r>
          </w:p>
        </w:tc>
        <w:tc>
          <w:tcPr>
            <w:tcW w:w="780" w:type="dxa"/>
            <w:noWrap/>
            <w:vAlign w:val="center"/>
          </w:tcPr>
          <w:p w14:paraId="1B4DF4C8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0.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</w:t>
            </w:r>
          </w:p>
        </w:tc>
        <w:tc>
          <w:tcPr>
            <w:tcW w:w="781" w:type="dxa"/>
            <w:noWrap/>
            <w:vAlign w:val="center"/>
          </w:tcPr>
          <w:p w14:paraId="1A78B187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0.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781" w:type="dxa"/>
            <w:noWrap/>
            <w:vAlign w:val="center"/>
          </w:tcPr>
          <w:p w14:paraId="3A921BCD">
            <w:pPr>
              <w:spacing w:line="288" w:lineRule="auto"/>
              <w:ind w:left="0" w:right="0" w:firstLine="0"/>
              <w:jc w:val="center"/>
              <w:rPr>
                <w:rFonts w:hint="default" w:ascii="宋体" w:hAnsi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0.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06</w:t>
            </w:r>
          </w:p>
        </w:tc>
        <w:tc>
          <w:tcPr>
            <w:tcW w:w="781" w:type="dxa"/>
            <w:noWrap/>
            <w:vAlign w:val="center"/>
          </w:tcPr>
          <w:p w14:paraId="2428A234">
            <w:pPr>
              <w:spacing w:line="288" w:lineRule="auto"/>
              <w:ind w:left="0" w:right="0" w:firstLine="0"/>
              <w:jc w:val="center"/>
              <w:rPr>
                <w:rFonts w:hint="default" w:ascii="宋体" w:hAnsi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0.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06</w:t>
            </w:r>
          </w:p>
        </w:tc>
        <w:tc>
          <w:tcPr>
            <w:tcW w:w="781" w:type="dxa"/>
            <w:noWrap/>
            <w:vAlign w:val="center"/>
          </w:tcPr>
          <w:p w14:paraId="5EE715D8">
            <w:pPr>
              <w:spacing w:line="288" w:lineRule="auto"/>
              <w:ind w:left="0" w:right="0" w:firstLine="0"/>
              <w:jc w:val="center"/>
              <w:rPr>
                <w:rFonts w:hint="default" w:ascii="宋体" w:hAnsi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0.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06</w:t>
            </w:r>
          </w:p>
        </w:tc>
      </w:tr>
    </w:tbl>
    <w:p w14:paraId="67E92E69">
      <w:pPr>
        <w:pStyle w:val="2"/>
        <w:numPr>
          <w:ilvl w:val="0"/>
          <w:numId w:val="0"/>
        </w:numPr>
        <w:spacing w:after="0" w:line="360" w:lineRule="auto"/>
        <w:ind w:right="0"/>
        <w:jc w:val="left"/>
        <w:rPr>
          <w:rFonts w:hint="eastAsia" w:ascii="黑体" w:hAnsi="黑体" w:eastAsia="黑体"/>
          <w:b w:val="0"/>
          <w:bCs w:val="0"/>
          <w:kern w:val="0"/>
          <w:sz w:val="28"/>
          <w:szCs w:val="28"/>
        </w:rPr>
      </w:pPr>
    </w:p>
    <w:p w14:paraId="7FA34C4C">
      <w:pPr>
        <w:rPr>
          <w:rFonts w:hint="eastAsia" w:ascii="黑体" w:hAnsi="黑体" w:eastAsia="黑体"/>
          <w:b w:val="0"/>
          <w:bCs w:val="0"/>
          <w:kern w:val="0"/>
          <w:sz w:val="28"/>
          <w:szCs w:val="28"/>
        </w:rPr>
      </w:pPr>
    </w:p>
    <w:p w14:paraId="64FF054D">
      <w:pPr>
        <w:rPr>
          <w:rFonts w:hint="eastAsia" w:ascii="黑体" w:hAnsi="黑体" w:eastAsia="黑体"/>
          <w:b w:val="0"/>
          <w:bCs w:val="0"/>
          <w:kern w:val="0"/>
          <w:sz w:val="28"/>
          <w:szCs w:val="28"/>
        </w:rPr>
      </w:pPr>
    </w:p>
    <w:p w14:paraId="760EC6E4">
      <w:pPr>
        <w:rPr>
          <w:rFonts w:hint="eastAsia" w:ascii="黑体" w:hAnsi="黑体" w:eastAsia="黑体"/>
          <w:b w:val="0"/>
          <w:bCs w:val="0"/>
          <w:kern w:val="0"/>
          <w:sz w:val="28"/>
          <w:szCs w:val="28"/>
        </w:rPr>
      </w:pPr>
      <w:bookmarkStart w:id="21" w:name="_GoBack"/>
      <w:bookmarkEnd w:id="21"/>
    </w:p>
    <w:p w14:paraId="636D38D7">
      <w:pPr>
        <w:rPr>
          <w:rFonts w:hint="eastAsia" w:ascii="黑体" w:hAnsi="黑体" w:eastAsia="黑体"/>
          <w:b w:val="0"/>
          <w:bCs w:val="0"/>
          <w:kern w:val="0"/>
          <w:sz w:val="28"/>
          <w:szCs w:val="28"/>
        </w:rPr>
      </w:pPr>
    </w:p>
    <w:p w14:paraId="136F7E7E">
      <w:pPr>
        <w:rPr>
          <w:rFonts w:hint="eastAsia" w:ascii="黑体" w:hAnsi="黑体" w:eastAsia="黑体"/>
          <w:b w:val="0"/>
          <w:bCs w:val="0"/>
          <w:kern w:val="0"/>
          <w:sz w:val="28"/>
          <w:szCs w:val="28"/>
        </w:rPr>
      </w:pPr>
    </w:p>
    <w:p w14:paraId="5F3D161E">
      <w:pPr>
        <w:rPr>
          <w:rFonts w:hint="eastAsia" w:ascii="黑体" w:hAnsi="黑体" w:eastAsia="黑体"/>
          <w:b w:val="0"/>
          <w:bCs w:val="0"/>
          <w:kern w:val="0"/>
          <w:sz w:val="28"/>
          <w:szCs w:val="28"/>
        </w:rPr>
      </w:pPr>
    </w:p>
    <w:p w14:paraId="0655CAD3">
      <w:pPr>
        <w:spacing w:line="360" w:lineRule="auto"/>
        <w:outlineLvl w:val="1"/>
        <w:rPr>
          <w:sz w:val="24"/>
        </w:rPr>
      </w:pPr>
    </w:p>
    <w:sectPr>
      <w:footerReference r:id="rId4" w:type="default"/>
      <w:pgSz w:w="11906" w:h="16838"/>
      <w:pgMar w:top="1758" w:right="1134" w:bottom="1361" w:left="1418" w:header="1355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9BDCDF5-033A-40BC-ABB2-37D7CB690FC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  <w:embedRegular r:id="rId2" w:fontKey="{FABEB763-BB8C-4E55-B8AA-651CFB8477B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12CF6F4-0C14-4D98-B455-9E496EFE4201}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4" w:fontKey="{F2999A9F-2059-4B41-A7A4-413243D34F6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E3134F">
    <w:pPr>
      <w:pStyle w:val="3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363094">
    <w:pPr>
      <w:pStyle w:val="30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23841C">
                          <w:pPr>
                            <w:pStyle w:val="30"/>
                            <w:rPr>
                              <w:rStyle w:val="53"/>
                            </w:rPr>
                          </w:pPr>
                          <w:r>
                            <w:rPr>
                              <w:rStyle w:val="53"/>
                            </w:rPr>
                            <w:fldChar w:fldCharType="begin"/>
                          </w:r>
                          <w:r>
                            <w:rPr>
                              <w:rStyle w:val="53"/>
                            </w:rPr>
                            <w:instrText xml:space="preserve">PAGE  </w:instrText>
                          </w:r>
                          <w:r>
                            <w:rPr>
                              <w:rStyle w:val="53"/>
                            </w:rPr>
                            <w:fldChar w:fldCharType="separate"/>
                          </w:r>
                          <w:r>
                            <w:rPr>
                              <w:rStyle w:val="53"/>
                            </w:rPr>
                            <w:t>11</w:t>
                          </w:r>
                          <w:r>
                            <w:rPr>
                              <w:rStyle w:val="5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AaxfIyAgAAYwQAAA4AAABkcnMvZTJvRG9jLnhtbK1UzY7TMBC+I/EO&#10;lu80bVes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BrF8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23841C">
                    <w:pPr>
                      <w:pStyle w:val="30"/>
                      <w:rPr>
                        <w:rStyle w:val="53"/>
                      </w:rPr>
                    </w:pPr>
                    <w:r>
                      <w:rPr>
                        <w:rStyle w:val="53"/>
                      </w:rPr>
                      <w:fldChar w:fldCharType="begin"/>
                    </w:r>
                    <w:r>
                      <w:rPr>
                        <w:rStyle w:val="53"/>
                      </w:rPr>
                      <w:instrText xml:space="preserve">PAGE  </w:instrText>
                    </w:r>
                    <w:r>
                      <w:rPr>
                        <w:rStyle w:val="53"/>
                      </w:rPr>
                      <w:fldChar w:fldCharType="separate"/>
                    </w:r>
                    <w:r>
                      <w:rPr>
                        <w:rStyle w:val="53"/>
                      </w:rPr>
                      <w:t>11</w:t>
                    </w:r>
                    <w:r>
                      <w:rPr>
                        <w:rStyle w:val="5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A3428"/>
    <w:multiLevelType w:val="multilevel"/>
    <w:tmpl w:val="005A3428"/>
    <w:lvl w:ilvl="0" w:tentative="0">
      <w:start w:val="1"/>
      <w:numFmt w:val="decimal"/>
      <w:pStyle w:val="152"/>
      <w:lvlText w:val="%1"/>
      <w:lvlJc w:val="left"/>
      <w:pPr>
        <w:tabs>
          <w:tab w:val="left" w:pos="425"/>
        </w:tabs>
        <w:ind w:left="425" w:hanging="425"/>
      </w:pPr>
    </w:lvl>
    <w:lvl w:ilvl="1" w:tentative="0">
      <w:start w:val="1"/>
      <w:numFmt w:val="decimal"/>
      <w:lvlText w:val="%1.%2"/>
      <w:lvlJc w:val="left"/>
      <w:pPr>
        <w:tabs>
          <w:tab w:val="left" w:pos="992"/>
        </w:tabs>
        <w:ind w:left="992" w:hanging="567"/>
      </w:pPr>
    </w:lvl>
    <w:lvl w:ilvl="2" w:tentative="0">
      <w:start w:val="1"/>
      <w:numFmt w:val="decimal"/>
      <w:lvlText w:val="%1.%2.%3"/>
      <w:lvlJc w:val="left"/>
      <w:pPr>
        <w:tabs>
          <w:tab w:val="left" w:pos="1418"/>
        </w:tabs>
        <w:ind w:left="1418" w:hanging="567"/>
      </w:pPr>
    </w:lvl>
    <w:lvl w:ilvl="3" w:tentative="0">
      <w:start w:val="1"/>
      <w:numFmt w:val="decimal"/>
      <w:lvlText w:val="%1.%2.%3.%4"/>
      <w:lvlJc w:val="left"/>
      <w:pPr>
        <w:tabs>
          <w:tab w:val="left" w:pos="2356"/>
        </w:tabs>
        <w:ind w:left="1984" w:hanging="708"/>
      </w:pPr>
    </w:lvl>
    <w:lvl w:ilvl="4" w:tentative="0">
      <w:start w:val="1"/>
      <w:numFmt w:val="decimal"/>
      <w:lvlText w:val="%1.%2.%3.%4.%5"/>
      <w:lvlJc w:val="left"/>
      <w:pPr>
        <w:tabs>
          <w:tab w:val="left" w:pos="2781"/>
        </w:tabs>
        <w:ind w:left="2551" w:hanging="850"/>
      </w:pPr>
    </w:lvl>
    <w:lvl w:ilvl="5" w:tentative="0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tabs>
          <w:tab w:val="left" w:pos="3991"/>
        </w:tabs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776"/>
        </w:tabs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5202"/>
        </w:tabs>
        <w:ind w:left="5102" w:hanging="1700"/>
      </w:pPr>
    </w:lvl>
  </w:abstractNum>
  <w:abstractNum w:abstractNumId="1">
    <w:nsid w:val="040A15CD"/>
    <w:multiLevelType w:val="multilevel"/>
    <w:tmpl w:val="040A15CD"/>
    <w:lvl w:ilvl="0" w:tentative="0">
      <w:start w:val="1"/>
      <w:numFmt w:val="none"/>
      <w:suff w:val="nothing"/>
      <w:lvlText w:val="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isLgl/>
      <w:suff w:val="nothing"/>
      <w:lvlText w:val="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pacing w:val="0"/>
        <w:w w:val="100"/>
        <w:kern w:val="21"/>
        <w:sz w:val="21"/>
      </w:rPr>
    </w:lvl>
    <w:lvl w:ilvl="2" w:tentative="0">
      <w:start w:val="1"/>
      <w:numFmt w:val="decimal"/>
      <w:pStyle w:val="192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188"/>
      <w:suff w:val="nothing"/>
      <w:lvlText w:val="%1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189"/>
      <w:suff w:val="nothing"/>
      <w:lvlText w:val="%1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190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pStyle w:val="191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2">
    <w:nsid w:val="093C6778"/>
    <w:multiLevelType w:val="multilevel"/>
    <w:tmpl w:val="093C6778"/>
    <w:lvl w:ilvl="0" w:tentative="0">
      <w:start w:val="1"/>
      <w:numFmt w:val="decimal"/>
      <w:pStyle w:val="173"/>
      <w:suff w:val="nothing"/>
      <w:lvlText w:val="示例%1："/>
      <w:lvlJc w:val="left"/>
      <w:pPr>
        <w:ind w:left="0" w:firstLine="397"/>
      </w:pPr>
      <w:rPr>
        <w:rFonts w:hint="eastAsia" w:ascii="黑体" w:eastAsia="黑体"/>
        <w:sz w:val="18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3">
    <w:nsid w:val="1DBF583A"/>
    <w:multiLevelType w:val="multilevel"/>
    <w:tmpl w:val="1DBF583A"/>
    <w:lvl w:ilvl="0" w:tentative="0">
      <w:start w:val="1"/>
      <w:numFmt w:val="decimal"/>
      <w:pStyle w:val="153"/>
      <w:suff w:val="nothing"/>
      <w:lvlText w:val="注%1："/>
      <w:lvlJc w:val="left"/>
      <w:pPr>
        <w:ind w:left="811" w:hanging="448"/>
      </w:pPr>
      <w:rPr>
        <w:rFonts w:hint="eastAsia" w:ascii="黑体" w:eastAsia="黑体"/>
        <w:b w:val="0"/>
        <w:i w:val="0"/>
        <w:sz w:val="18"/>
        <w:szCs w:val="18"/>
      </w:rPr>
    </w:lvl>
    <w:lvl w:ilvl="1" w:tentative="0">
      <w:start w:val="1"/>
      <w:numFmt w:val="lowerLetter"/>
      <w:lvlText w:val="%2)"/>
      <w:lvlJc w:val="left"/>
      <w:pPr>
        <w:tabs>
          <w:tab w:val="left" w:pos="180"/>
        </w:tabs>
        <w:ind w:left="1172" w:hanging="629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80"/>
        </w:tabs>
        <w:ind w:left="1172" w:hanging="629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80"/>
        </w:tabs>
        <w:ind w:left="1172" w:hanging="62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180"/>
        </w:tabs>
        <w:ind w:left="1172" w:hanging="62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180"/>
        </w:tabs>
        <w:ind w:left="1172" w:hanging="62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180"/>
        </w:tabs>
        <w:ind w:left="1172" w:hanging="62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180"/>
        </w:tabs>
        <w:ind w:left="1172" w:hanging="62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180"/>
        </w:tabs>
        <w:ind w:left="1172" w:hanging="629"/>
      </w:pPr>
      <w:rPr>
        <w:rFonts w:hint="eastAsia"/>
      </w:rPr>
    </w:lvl>
  </w:abstractNum>
  <w:abstractNum w:abstractNumId="4">
    <w:nsid w:val="33B450AB"/>
    <w:multiLevelType w:val="multilevel"/>
    <w:tmpl w:val="33B450AB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ind w:left="630" w:hanging="576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ind w:left="705" w:hanging="720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ind w:left="1344" w:hanging="864"/>
      </w:pPr>
      <w:rPr>
        <w:rFonts w:hint="eastAsia" w:ascii="黑体" w:hAnsi="Times New Roman" w:eastAsia="黑体" w:cs="Times New Roman"/>
      </w:r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5">
    <w:nsid w:val="4387541F"/>
    <w:multiLevelType w:val="multilevel"/>
    <w:tmpl w:val="4387541F"/>
    <w:lvl w:ilvl="0" w:tentative="0">
      <w:start w:val="1"/>
      <w:numFmt w:val="decimal"/>
      <w:pStyle w:val="150"/>
      <w:lvlText w:val="%1．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496E4D7B"/>
    <w:multiLevelType w:val="multilevel"/>
    <w:tmpl w:val="496E4D7B"/>
    <w:lvl w:ilvl="0" w:tentative="0">
      <w:start w:val="1"/>
      <w:numFmt w:val="none"/>
      <w:pStyle w:val="172"/>
      <w:lvlText w:val="%1注"/>
      <w:lvlJc w:val="left"/>
      <w:pPr>
        <w:tabs>
          <w:tab w:val="left" w:pos="900"/>
        </w:tabs>
        <w:ind w:left="900" w:hanging="500"/>
      </w:pPr>
      <w:rPr>
        <w:rFonts w:hint="eastAsia" w:ascii="宋体" w:hAnsi="Times New Roman" w:eastAsia="宋体"/>
        <w:b w:val="0"/>
        <w:i w:val="0"/>
        <w:sz w:val="18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7">
    <w:nsid w:val="557C2AF5"/>
    <w:multiLevelType w:val="multilevel"/>
    <w:tmpl w:val="557C2AF5"/>
    <w:lvl w:ilvl="0" w:tentative="0">
      <w:start w:val="1"/>
      <w:numFmt w:val="decimal"/>
      <w:pStyle w:val="175"/>
      <w:suff w:val="nothing"/>
      <w:lvlText w:val="图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suff w:val="nothing"/>
      <w:lvlText w:val="%1%2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8">
    <w:nsid w:val="6350366A"/>
    <w:multiLevelType w:val="multilevel"/>
    <w:tmpl w:val="6350366A"/>
    <w:lvl w:ilvl="0" w:tentative="0">
      <w:start w:val="1"/>
      <w:numFmt w:val="none"/>
      <w:pStyle w:val="165"/>
      <w:lvlText w:val="%1●　"/>
      <w:lvlJc w:val="left"/>
      <w:pPr>
        <w:tabs>
          <w:tab w:val="left" w:pos="760"/>
        </w:tabs>
        <w:ind w:left="717" w:hanging="317"/>
      </w:pPr>
      <w:rPr>
        <w:rFonts w:hint="eastAsia" w:ascii="宋体" w:hAnsi="Times New Roman" w:eastAsia="宋体"/>
        <w:b w:val="0"/>
        <w:i w:val="0"/>
        <w:position w:val="4"/>
        <w:sz w:val="13"/>
      </w:rPr>
    </w:lvl>
    <w:lvl w:ilvl="1" w:tentative="0">
      <w:start w:val="1"/>
      <w:numFmt w:val="lowerLetter"/>
      <w:lvlText w:val="%2)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 w:tentative="0">
      <w:start w:val="1"/>
      <w:numFmt w:val="decimal"/>
      <w:lvlText w:val="%3)"/>
      <w:lvlJc w:val="left"/>
      <w:pPr>
        <w:tabs>
          <w:tab w:val="left" w:pos="1200"/>
        </w:tabs>
        <w:ind w:left="1200" w:hanging="36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9">
    <w:nsid w:val="657D3FBC"/>
    <w:multiLevelType w:val="multilevel"/>
    <w:tmpl w:val="657D3FBC"/>
    <w:lvl w:ilvl="0" w:tentative="0">
      <w:start w:val="1"/>
      <w:numFmt w:val="upperLetter"/>
      <w:pStyle w:val="108"/>
      <w:suff w:val="nothing"/>
      <w:lvlText w:val="附录 %1"/>
      <w:lvlJc w:val="left"/>
      <w:pPr>
        <w:ind w:left="851" w:firstLine="0"/>
      </w:pPr>
      <w:rPr>
        <w:rFonts w:hint="eastAsia" w:ascii="黑体" w:hAnsi="Times New Roman" w:eastAsia="黑体"/>
        <w:b w:val="0"/>
        <w:i w:val="0"/>
        <w:sz w:val="28"/>
        <w:lang w:val="en-US"/>
      </w:rPr>
    </w:lvl>
    <w:lvl w:ilvl="1" w:tentative="0">
      <w:start w:val="1"/>
      <w:numFmt w:val="decimal"/>
      <w:pStyle w:val="109"/>
      <w:suff w:val="nothing"/>
      <w:lvlText w:val="%1.%2　"/>
      <w:lvlJc w:val="left"/>
      <w:pPr>
        <w:ind w:left="7182" w:firstLine="0"/>
      </w:pPr>
      <w:rPr>
        <w:rFonts w:hint="eastAsia" w:ascii="Times New Roman" w:hAnsi="Times New Roman" w:eastAsia="黑体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21"/>
        <w:position w:val="0"/>
        <w:sz w:val="28"/>
        <w:u w:val="none"/>
        <w:shd w:val="clear" w:color="auto" w:fill="auto"/>
      </w:rPr>
    </w:lvl>
    <w:lvl w:ilvl="2" w:tentative="0">
      <w:start w:val="1"/>
      <w:numFmt w:val="decimal"/>
      <w:pStyle w:val="110"/>
      <w:suff w:val="nothing"/>
      <w:lvlText w:val="%1.%2.%3　"/>
      <w:lvlJc w:val="left"/>
      <w:pPr>
        <w:ind w:left="7182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111"/>
      <w:suff w:val="nothing"/>
      <w:lvlText w:val="%1.%2.%3.%4　"/>
      <w:lvlJc w:val="left"/>
      <w:pPr>
        <w:ind w:left="7182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112"/>
      <w:suff w:val="nothing"/>
      <w:lvlText w:val="%1.%2.%3.%4.%5　"/>
      <w:lvlJc w:val="left"/>
      <w:pPr>
        <w:ind w:left="7182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113"/>
      <w:suff w:val="nothing"/>
      <w:lvlText w:val="%1.%2.%3.%4.%5.%6　"/>
      <w:lvlJc w:val="left"/>
      <w:pPr>
        <w:ind w:left="7182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pStyle w:val="114"/>
      <w:suff w:val="nothing"/>
      <w:lvlText w:val="%1.%2.%3.%4.%5.%6.%7　"/>
      <w:lvlJc w:val="left"/>
      <w:pPr>
        <w:ind w:left="7182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1576"/>
        </w:tabs>
        <w:ind w:left="11576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2284"/>
        </w:tabs>
        <w:ind w:left="12284" w:hanging="1700"/>
      </w:pPr>
      <w:rPr>
        <w:rFonts w:hint="eastAsia"/>
      </w:rPr>
    </w:lvl>
  </w:abstractNum>
  <w:abstractNum w:abstractNumId="10">
    <w:nsid w:val="6CEA2025"/>
    <w:multiLevelType w:val="multilevel"/>
    <w:tmpl w:val="6CEA2025"/>
    <w:lvl w:ilvl="0" w:tentative="0">
      <w:start w:val="1"/>
      <w:numFmt w:val="none"/>
      <w:pStyle w:val="97"/>
      <w:suff w:val="nothing"/>
      <w:lvlText w:val="%1"/>
      <w:lvlJc w:val="left"/>
      <w:pPr>
        <w:ind w:left="0" w:firstLine="0"/>
      </w:pPr>
      <w:rPr>
        <w:rFonts w:hint="default" w:ascii="Times New Roman" w:hAnsi="Times New Roman"/>
        <w:b/>
        <w:i w:val="0"/>
        <w:sz w:val="21"/>
      </w:rPr>
    </w:lvl>
    <w:lvl w:ilvl="1" w:tentative="0">
      <w:start w:val="1"/>
      <w:numFmt w:val="decimal"/>
      <w:pStyle w:val="98"/>
      <w:suff w:val="nothing"/>
      <w:lvlText w:val="%1%2　"/>
      <w:lvlJc w:val="left"/>
      <w:pPr>
        <w:ind w:left="105" w:firstLine="0"/>
      </w:pPr>
      <w:rPr>
        <w:rFonts w:hint="eastAsia" w:ascii="黑体" w:hAnsi="Times New Roman" w:eastAsia="黑体"/>
        <w:b w:val="0"/>
        <w:i w:val="0"/>
        <w:sz w:val="21"/>
      </w:rPr>
    </w:lvl>
    <w:lvl w:ilvl="2" w:tentative="0">
      <w:start w:val="1"/>
      <w:numFmt w:val="decimal"/>
      <w:pStyle w:val="151"/>
      <w:suff w:val="nothing"/>
      <w:lvlText w:val="%1%2.%3　"/>
      <w:lvlJc w:val="left"/>
      <w:pPr>
        <w:ind w:left="315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170"/>
      <w:suff w:val="nothing"/>
      <w:lvlText w:val="%1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101"/>
      <w:suff w:val="nothing"/>
      <w:lvlText w:val="%1%2.%3.%4.%5　"/>
      <w:lvlJc w:val="left"/>
      <w:pPr>
        <w:ind w:left="945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177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pStyle w:val="103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1">
    <w:nsid w:val="6D6C07CD"/>
    <w:multiLevelType w:val="multilevel"/>
    <w:tmpl w:val="6D6C07CD"/>
    <w:lvl w:ilvl="0" w:tentative="0">
      <w:start w:val="1"/>
      <w:numFmt w:val="lowerLetter"/>
      <w:pStyle w:val="166"/>
      <w:lvlText w:val="%1)"/>
      <w:lvlJc w:val="left"/>
      <w:pPr>
        <w:tabs>
          <w:tab w:val="left" w:pos="839"/>
        </w:tabs>
        <w:ind w:left="839" w:hanging="419"/>
      </w:pPr>
      <w:rPr>
        <w:rFonts w:hint="eastAsia" w:ascii="宋体" w:eastAsia="宋体"/>
        <w:b w:val="0"/>
        <w:i w:val="0"/>
        <w:sz w:val="21"/>
      </w:rPr>
    </w:lvl>
    <w:lvl w:ilvl="1" w:tentative="0">
      <w:start w:val="1"/>
      <w:numFmt w:val="decimal"/>
      <w:pStyle w:val="161"/>
      <w:lvlText w:val="%2)"/>
      <w:lvlJc w:val="left"/>
      <w:pPr>
        <w:tabs>
          <w:tab w:val="left" w:pos="840"/>
        </w:tabs>
        <w:ind w:left="839" w:hanging="419"/>
      </w:pPr>
      <w:rPr>
        <w:rFonts w:hint="eastAsia" w:ascii="宋体" w:eastAsia="宋体"/>
        <w:b w:val="0"/>
        <w:i w:val="0"/>
        <w:sz w:val="21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59" w:hanging="419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79" w:hanging="41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19" w:hanging="41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39" w:hanging="41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79" w:hanging="419"/>
      </w:pPr>
      <w:rPr>
        <w:rFonts w:hint="eastAsia"/>
      </w:rPr>
    </w:lvl>
  </w:abstractNum>
  <w:abstractNum w:abstractNumId="12">
    <w:nsid w:val="6DBF04F4"/>
    <w:multiLevelType w:val="multilevel"/>
    <w:tmpl w:val="6DBF04F4"/>
    <w:lvl w:ilvl="0" w:tentative="0">
      <w:start w:val="1"/>
      <w:numFmt w:val="none"/>
      <w:pStyle w:val="105"/>
      <w:lvlText w:val="%1注："/>
      <w:lvlJc w:val="left"/>
      <w:pPr>
        <w:tabs>
          <w:tab w:val="left" w:pos="1140"/>
        </w:tabs>
        <w:ind w:left="840" w:hanging="420"/>
      </w:pPr>
      <w:rPr>
        <w:rFonts w:hint="eastAsia" w:ascii="宋体" w:hAnsi="Times New Roman" w:eastAsia="宋体"/>
        <w:b w:val="0"/>
        <w:i w:val="0"/>
        <w:sz w:val="18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9"/>
  </w:num>
  <w:num w:numId="5">
    <w:abstractNumId w:val="5"/>
  </w:num>
  <w:num w:numId="6">
    <w:abstractNumId w:val="0"/>
  </w:num>
  <w:num w:numId="7">
    <w:abstractNumId w:val="3"/>
  </w:num>
  <w:num w:numId="8">
    <w:abstractNumId w:val="11"/>
  </w:num>
  <w:num w:numId="9">
    <w:abstractNumId w:val="8"/>
  </w:num>
  <w:num w:numId="10">
    <w:abstractNumId w:val="6"/>
  </w:num>
  <w:num w:numId="11">
    <w:abstractNumId w:val="2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B3C"/>
    <w:rsid w:val="0000657F"/>
    <w:rsid w:val="00007745"/>
    <w:rsid w:val="000106AE"/>
    <w:rsid w:val="0001466D"/>
    <w:rsid w:val="00021431"/>
    <w:rsid w:val="000239BC"/>
    <w:rsid w:val="00026757"/>
    <w:rsid w:val="0002787A"/>
    <w:rsid w:val="00031DEB"/>
    <w:rsid w:val="00034ADD"/>
    <w:rsid w:val="00035E29"/>
    <w:rsid w:val="00036916"/>
    <w:rsid w:val="00046E27"/>
    <w:rsid w:val="0005053C"/>
    <w:rsid w:val="000537FD"/>
    <w:rsid w:val="00054BC9"/>
    <w:rsid w:val="00054BF9"/>
    <w:rsid w:val="000576A3"/>
    <w:rsid w:val="000623A8"/>
    <w:rsid w:val="000713CC"/>
    <w:rsid w:val="000729F0"/>
    <w:rsid w:val="000777B2"/>
    <w:rsid w:val="00084113"/>
    <w:rsid w:val="000863EB"/>
    <w:rsid w:val="00097DAA"/>
    <w:rsid w:val="000A2C64"/>
    <w:rsid w:val="000A5472"/>
    <w:rsid w:val="000A61AA"/>
    <w:rsid w:val="000A6EA6"/>
    <w:rsid w:val="000B12A5"/>
    <w:rsid w:val="000B466C"/>
    <w:rsid w:val="000B5661"/>
    <w:rsid w:val="000B5E7D"/>
    <w:rsid w:val="000C0A24"/>
    <w:rsid w:val="000C26D8"/>
    <w:rsid w:val="000C302D"/>
    <w:rsid w:val="000D1C6D"/>
    <w:rsid w:val="000D215F"/>
    <w:rsid w:val="000D6FB2"/>
    <w:rsid w:val="000E5C04"/>
    <w:rsid w:val="000E6283"/>
    <w:rsid w:val="001005F3"/>
    <w:rsid w:val="00101E03"/>
    <w:rsid w:val="001027C2"/>
    <w:rsid w:val="00104FE1"/>
    <w:rsid w:val="001132C0"/>
    <w:rsid w:val="0011706A"/>
    <w:rsid w:val="001248D7"/>
    <w:rsid w:val="00131DB8"/>
    <w:rsid w:val="0013398D"/>
    <w:rsid w:val="00141300"/>
    <w:rsid w:val="001425DF"/>
    <w:rsid w:val="00143F73"/>
    <w:rsid w:val="00146A89"/>
    <w:rsid w:val="00147308"/>
    <w:rsid w:val="001507F9"/>
    <w:rsid w:val="001516A2"/>
    <w:rsid w:val="0015197A"/>
    <w:rsid w:val="0016374E"/>
    <w:rsid w:val="00170537"/>
    <w:rsid w:val="001727B4"/>
    <w:rsid w:val="00172A27"/>
    <w:rsid w:val="00174713"/>
    <w:rsid w:val="00175904"/>
    <w:rsid w:val="0017729F"/>
    <w:rsid w:val="00177439"/>
    <w:rsid w:val="00181013"/>
    <w:rsid w:val="0018348A"/>
    <w:rsid w:val="00185044"/>
    <w:rsid w:val="001861EC"/>
    <w:rsid w:val="0019091C"/>
    <w:rsid w:val="001935B1"/>
    <w:rsid w:val="00194F87"/>
    <w:rsid w:val="001A3BE3"/>
    <w:rsid w:val="001A7396"/>
    <w:rsid w:val="001B1C8C"/>
    <w:rsid w:val="001C0F93"/>
    <w:rsid w:val="001C62B6"/>
    <w:rsid w:val="001C735C"/>
    <w:rsid w:val="001D0A76"/>
    <w:rsid w:val="001D360C"/>
    <w:rsid w:val="001D6A4B"/>
    <w:rsid w:val="001E6C55"/>
    <w:rsid w:val="001F3351"/>
    <w:rsid w:val="001F4251"/>
    <w:rsid w:val="001F6579"/>
    <w:rsid w:val="0020007C"/>
    <w:rsid w:val="00213449"/>
    <w:rsid w:val="00216751"/>
    <w:rsid w:val="00216ABD"/>
    <w:rsid w:val="00220B79"/>
    <w:rsid w:val="00225FF7"/>
    <w:rsid w:val="002340F9"/>
    <w:rsid w:val="00241D79"/>
    <w:rsid w:val="00247821"/>
    <w:rsid w:val="00250C62"/>
    <w:rsid w:val="00250FE5"/>
    <w:rsid w:val="00251C52"/>
    <w:rsid w:val="00251E8C"/>
    <w:rsid w:val="00252A77"/>
    <w:rsid w:val="00255F03"/>
    <w:rsid w:val="00262B85"/>
    <w:rsid w:val="00262B90"/>
    <w:rsid w:val="00271E09"/>
    <w:rsid w:val="00272008"/>
    <w:rsid w:val="00281158"/>
    <w:rsid w:val="00282E3E"/>
    <w:rsid w:val="002848DE"/>
    <w:rsid w:val="00285912"/>
    <w:rsid w:val="00294103"/>
    <w:rsid w:val="002A27C0"/>
    <w:rsid w:val="002A3DD5"/>
    <w:rsid w:val="002A69F4"/>
    <w:rsid w:val="002B1029"/>
    <w:rsid w:val="002B187D"/>
    <w:rsid w:val="002B531F"/>
    <w:rsid w:val="002B7237"/>
    <w:rsid w:val="002C01B5"/>
    <w:rsid w:val="002C705E"/>
    <w:rsid w:val="002C7826"/>
    <w:rsid w:val="002D69C5"/>
    <w:rsid w:val="002D6AA9"/>
    <w:rsid w:val="002E3FAE"/>
    <w:rsid w:val="002F1A64"/>
    <w:rsid w:val="002F3065"/>
    <w:rsid w:val="002F4C0B"/>
    <w:rsid w:val="002F6A03"/>
    <w:rsid w:val="0030019F"/>
    <w:rsid w:val="00303813"/>
    <w:rsid w:val="0030509E"/>
    <w:rsid w:val="00314E94"/>
    <w:rsid w:val="00315997"/>
    <w:rsid w:val="00315ACA"/>
    <w:rsid w:val="00323D7B"/>
    <w:rsid w:val="003367D7"/>
    <w:rsid w:val="003404A8"/>
    <w:rsid w:val="00342829"/>
    <w:rsid w:val="003602AA"/>
    <w:rsid w:val="003603E0"/>
    <w:rsid w:val="0036271F"/>
    <w:rsid w:val="003702A0"/>
    <w:rsid w:val="00371328"/>
    <w:rsid w:val="00372294"/>
    <w:rsid w:val="003725D7"/>
    <w:rsid w:val="00373909"/>
    <w:rsid w:val="00374266"/>
    <w:rsid w:val="00375FF9"/>
    <w:rsid w:val="0037641D"/>
    <w:rsid w:val="00383457"/>
    <w:rsid w:val="003849B6"/>
    <w:rsid w:val="0039001C"/>
    <w:rsid w:val="00391C7E"/>
    <w:rsid w:val="00394879"/>
    <w:rsid w:val="00396FE3"/>
    <w:rsid w:val="00397968"/>
    <w:rsid w:val="003A00E2"/>
    <w:rsid w:val="003A1782"/>
    <w:rsid w:val="003A1B33"/>
    <w:rsid w:val="003A20AC"/>
    <w:rsid w:val="003A3117"/>
    <w:rsid w:val="003A3173"/>
    <w:rsid w:val="003A745B"/>
    <w:rsid w:val="003B0B8B"/>
    <w:rsid w:val="003B1AD7"/>
    <w:rsid w:val="003C0209"/>
    <w:rsid w:val="003C1496"/>
    <w:rsid w:val="003C269D"/>
    <w:rsid w:val="003D5541"/>
    <w:rsid w:val="003D61F5"/>
    <w:rsid w:val="003D6F43"/>
    <w:rsid w:val="003D6FAA"/>
    <w:rsid w:val="003F2822"/>
    <w:rsid w:val="003F4468"/>
    <w:rsid w:val="003F4F25"/>
    <w:rsid w:val="004007E6"/>
    <w:rsid w:val="004064AB"/>
    <w:rsid w:val="004118CB"/>
    <w:rsid w:val="0041224C"/>
    <w:rsid w:val="00414FBC"/>
    <w:rsid w:val="00420246"/>
    <w:rsid w:val="00421434"/>
    <w:rsid w:val="00427778"/>
    <w:rsid w:val="00433F62"/>
    <w:rsid w:val="0043717D"/>
    <w:rsid w:val="00440E3A"/>
    <w:rsid w:val="004463B9"/>
    <w:rsid w:val="00451DBB"/>
    <w:rsid w:val="00460738"/>
    <w:rsid w:val="00465FC8"/>
    <w:rsid w:val="00466627"/>
    <w:rsid w:val="00472BCA"/>
    <w:rsid w:val="00476DD5"/>
    <w:rsid w:val="00477DF2"/>
    <w:rsid w:val="00480C65"/>
    <w:rsid w:val="004815AC"/>
    <w:rsid w:val="00481F14"/>
    <w:rsid w:val="00483381"/>
    <w:rsid w:val="00483DFF"/>
    <w:rsid w:val="00485D38"/>
    <w:rsid w:val="00487E87"/>
    <w:rsid w:val="00492489"/>
    <w:rsid w:val="00494472"/>
    <w:rsid w:val="004A0051"/>
    <w:rsid w:val="004A104A"/>
    <w:rsid w:val="004A13BF"/>
    <w:rsid w:val="004A2CF1"/>
    <w:rsid w:val="004A326A"/>
    <w:rsid w:val="004C42FA"/>
    <w:rsid w:val="004E0921"/>
    <w:rsid w:val="004E370B"/>
    <w:rsid w:val="004E38BC"/>
    <w:rsid w:val="004F15E3"/>
    <w:rsid w:val="004F3EA9"/>
    <w:rsid w:val="00511B0C"/>
    <w:rsid w:val="00512150"/>
    <w:rsid w:val="00524C2A"/>
    <w:rsid w:val="00525715"/>
    <w:rsid w:val="005367EA"/>
    <w:rsid w:val="0053784D"/>
    <w:rsid w:val="00540235"/>
    <w:rsid w:val="00542689"/>
    <w:rsid w:val="00542D1D"/>
    <w:rsid w:val="0054354C"/>
    <w:rsid w:val="00543840"/>
    <w:rsid w:val="00550813"/>
    <w:rsid w:val="005631F1"/>
    <w:rsid w:val="00567461"/>
    <w:rsid w:val="00567BC3"/>
    <w:rsid w:val="00575A5B"/>
    <w:rsid w:val="00582A5C"/>
    <w:rsid w:val="00586D0C"/>
    <w:rsid w:val="00592067"/>
    <w:rsid w:val="0059789E"/>
    <w:rsid w:val="00597F17"/>
    <w:rsid w:val="005A0A19"/>
    <w:rsid w:val="005A290B"/>
    <w:rsid w:val="005A2FB9"/>
    <w:rsid w:val="005A3ECC"/>
    <w:rsid w:val="005B04AE"/>
    <w:rsid w:val="005B28DB"/>
    <w:rsid w:val="005B4DE5"/>
    <w:rsid w:val="005B63C5"/>
    <w:rsid w:val="005D3317"/>
    <w:rsid w:val="005D3E11"/>
    <w:rsid w:val="005D54FC"/>
    <w:rsid w:val="005E0BC8"/>
    <w:rsid w:val="005E6515"/>
    <w:rsid w:val="005E6767"/>
    <w:rsid w:val="005F1CE8"/>
    <w:rsid w:val="005F1D4D"/>
    <w:rsid w:val="005F7105"/>
    <w:rsid w:val="005F7480"/>
    <w:rsid w:val="0060268D"/>
    <w:rsid w:val="00607BFD"/>
    <w:rsid w:val="00612B37"/>
    <w:rsid w:val="00617F92"/>
    <w:rsid w:val="006303A0"/>
    <w:rsid w:val="0064033E"/>
    <w:rsid w:val="006406B2"/>
    <w:rsid w:val="00646FEE"/>
    <w:rsid w:val="006473E6"/>
    <w:rsid w:val="00647DBA"/>
    <w:rsid w:val="00651A13"/>
    <w:rsid w:val="00654B6A"/>
    <w:rsid w:val="006613B2"/>
    <w:rsid w:val="006630E2"/>
    <w:rsid w:val="006645E8"/>
    <w:rsid w:val="00667120"/>
    <w:rsid w:val="00671CB4"/>
    <w:rsid w:val="006746B7"/>
    <w:rsid w:val="00677ED3"/>
    <w:rsid w:val="00681942"/>
    <w:rsid w:val="0068731B"/>
    <w:rsid w:val="00694281"/>
    <w:rsid w:val="006B0692"/>
    <w:rsid w:val="006B2C8E"/>
    <w:rsid w:val="006B5FDA"/>
    <w:rsid w:val="006B63B5"/>
    <w:rsid w:val="006C1064"/>
    <w:rsid w:val="006C452F"/>
    <w:rsid w:val="006C456B"/>
    <w:rsid w:val="006C4CD1"/>
    <w:rsid w:val="006C7C61"/>
    <w:rsid w:val="006D113F"/>
    <w:rsid w:val="006D2C40"/>
    <w:rsid w:val="006E4DE4"/>
    <w:rsid w:val="006E59F2"/>
    <w:rsid w:val="006E6B80"/>
    <w:rsid w:val="006E7480"/>
    <w:rsid w:val="006F1335"/>
    <w:rsid w:val="006F71F9"/>
    <w:rsid w:val="007001F5"/>
    <w:rsid w:val="00703704"/>
    <w:rsid w:val="007044A3"/>
    <w:rsid w:val="00710C32"/>
    <w:rsid w:val="00710D97"/>
    <w:rsid w:val="007209C1"/>
    <w:rsid w:val="00726DDB"/>
    <w:rsid w:val="00727837"/>
    <w:rsid w:val="00730B3E"/>
    <w:rsid w:val="00734537"/>
    <w:rsid w:val="0073786F"/>
    <w:rsid w:val="00741E13"/>
    <w:rsid w:val="00743031"/>
    <w:rsid w:val="00744D6C"/>
    <w:rsid w:val="00752B9F"/>
    <w:rsid w:val="00763D94"/>
    <w:rsid w:val="007742A2"/>
    <w:rsid w:val="0078686B"/>
    <w:rsid w:val="007879D6"/>
    <w:rsid w:val="007947B7"/>
    <w:rsid w:val="007A5CA3"/>
    <w:rsid w:val="007A7488"/>
    <w:rsid w:val="007B13A1"/>
    <w:rsid w:val="007B1FCC"/>
    <w:rsid w:val="007C02B0"/>
    <w:rsid w:val="007C5C38"/>
    <w:rsid w:val="007C618B"/>
    <w:rsid w:val="007C67FD"/>
    <w:rsid w:val="007C751A"/>
    <w:rsid w:val="007D03AB"/>
    <w:rsid w:val="007D2761"/>
    <w:rsid w:val="007D279E"/>
    <w:rsid w:val="007E2489"/>
    <w:rsid w:val="007E417E"/>
    <w:rsid w:val="007F3678"/>
    <w:rsid w:val="007F4D54"/>
    <w:rsid w:val="007F7F9A"/>
    <w:rsid w:val="00803736"/>
    <w:rsid w:val="00815393"/>
    <w:rsid w:val="00815D9F"/>
    <w:rsid w:val="00822905"/>
    <w:rsid w:val="008246F9"/>
    <w:rsid w:val="008251AF"/>
    <w:rsid w:val="00830051"/>
    <w:rsid w:val="00833694"/>
    <w:rsid w:val="00833A42"/>
    <w:rsid w:val="00835A47"/>
    <w:rsid w:val="00841041"/>
    <w:rsid w:val="00841157"/>
    <w:rsid w:val="00842BBA"/>
    <w:rsid w:val="008518DC"/>
    <w:rsid w:val="008621E1"/>
    <w:rsid w:val="00877A74"/>
    <w:rsid w:val="00881B95"/>
    <w:rsid w:val="00885C70"/>
    <w:rsid w:val="008903DA"/>
    <w:rsid w:val="00890738"/>
    <w:rsid w:val="0089082A"/>
    <w:rsid w:val="00893C0D"/>
    <w:rsid w:val="008A3667"/>
    <w:rsid w:val="008B3463"/>
    <w:rsid w:val="008B390A"/>
    <w:rsid w:val="008B5748"/>
    <w:rsid w:val="008C035B"/>
    <w:rsid w:val="008C0543"/>
    <w:rsid w:val="008C0A9F"/>
    <w:rsid w:val="008C0C71"/>
    <w:rsid w:val="008C3F7B"/>
    <w:rsid w:val="008C78E2"/>
    <w:rsid w:val="008E3CCA"/>
    <w:rsid w:val="008E49DD"/>
    <w:rsid w:val="008E5146"/>
    <w:rsid w:val="008E5E78"/>
    <w:rsid w:val="008E6995"/>
    <w:rsid w:val="008E7A42"/>
    <w:rsid w:val="008F0F5A"/>
    <w:rsid w:val="008F3D4E"/>
    <w:rsid w:val="008F442B"/>
    <w:rsid w:val="008F69C6"/>
    <w:rsid w:val="00902336"/>
    <w:rsid w:val="00902CBF"/>
    <w:rsid w:val="00902D86"/>
    <w:rsid w:val="00904D91"/>
    <w:rsid w:val="00905B59"/>
    <w:rsid w:val="009069EE"/>
    <w:rsid w:val="0091066F"/>
    <w:rsid w:val="00911F14"/>
    <w:rsid w:val="00912D4A"/>
    <w:rsid w:val="0091533F"/>
    <w:rsid w:val="00921EB5"/>
    <w:rsid w:val="0092470A"/>
    <w:rsid w:val="00925231"/>
    <w:rsid w:val="009252CD"/>
    <w:rsid w:val="00932B7E"/>
    <w:rsid w:val="009334C9"/>
    <w:rsid w:val="009369DB"/>
    <w:rsid w:val="00941C81"/>
    <w:rsid w:val="00942820"/>
    <w:rsid w:val="0094673F"/>
    <w:rsid w:val="009530AC"/>
    <w:rsid w:val="00954AD4"/>
    <w:rsid w:val="0095743D"/>
    <w:rsid w:val="0095774B"/>
    <w:rsid w:val="00965AE5"/>
    <w:rsid w:val="00966706"/>
    <w:rsid w:val="009669AD"/>
    <w:rsid w:val="009705E7"/>
    <w:rsid w:val="00973ECD"/>
    <w:rsid w:val="0097466A"/>
    <w:rsid w:val="00976EC4"/>
    <w:rsid w:val="00980790"/>
    <w:rsid w:val="00984E23"/>
    <w:rsid w:val="00990052"/>
    <w:rsid w:val="009903D8"/>
    <w:rsid w:val="00992114"/>
    <w:rsid w:val="00997457"/>
    <w:rsid w:val="009A0B65"/>
    <w:rsid w:val="009A169C"/>
    <w:rsid w:val="009A18A2"/>
    <w:rsid w:val="009A34D6"/>
    <w:rsid w:val="009A34F3"/>
    <w:rsid w:val="009B4AD7"/>
    <w:rsid w:val="009B4C15"/>
    <w:rsid w:val="009B540B"/>
    <w:rsid w:val="009B58D3"/>
    <w:rsid w:val="009C1CE5"/>
    <w:rsid w:val="009D692B"/>
    <w:rsid w:val="009E5F28"/>
    <w:rsid w:val="009F248C"/>
    <w:rsid w:val="009F4E95"/>
    <w:rsid w:val="009F5197"/>
    <w:rsid w:val="009F6555"/>
    <w:rsid w:val="009F6FB2"/>
    <w:rsid w:val="00A00D0D"/>
    <w:rsid w:val="00A0476B"/>
    <w:rsid w:val="00A047D8"/>
    <w:rsid w:val="00A11A2A"/>
    <w:rsid w:val="00A11F18"/>
    <w:rsid w:val="00A135A0"/>
    <w:rsid w:val="00A14A03"/>
    <w:rsid w:val="00A15410"/>
    <w:rsid w:val="00A16375"/>
    <w:rsid w:val="00A2035C"/>
    <w:rsid w:val="00A21625"/>
    <w:rsid w:val="00A30E85"/>
    <w:rsid w:val="00A30E91"/>
    <w:rsid w:val="00A3124F"/>
    <w:rsid w:val="00A31928"/>
    <w:rsid w:val="00A3268A"/>
    <w:rsid w:val="00A32789"/>
    <w:rsid w:val="00A41A87"/>
    <w:rsid w:val="00A42D27"/>
    <w:rsid w:val="00A4564A"/>
    <w:rsid w:val="00A52537"/>
    <w:rsid w:val="00A52B5D"/>
    <w:rsid w:val="00A57BE5"/>
    <w:rsid w:val="00A60D6A"/>
    <w:rsid w:val="00A60D80"/>
    <w:rsid w:val="00A626B3"/>
    <w:rsid w:val="00A62F02"/>
    <w:rsid w:val="00A63AD2"/>
    <w:rsid w:val="00A66769"/>
    <w:rsid w:val="00A712ED"/>
    <w:rsid w:val="00A72D15"/>
    <w:rsid w:val="00A73637"/>
    <w:rsid w:val="00A738B9"/>
    <w:rsid w:val="00A82AB2"/>
    <w:rsid w:val="00A87923"/>
    <w:rsid w:val="00A900A2"/>
    <w:rsid w:val="00A94F06"/>
    <w:rsid w:val="00AA1D17"/>
    <w:rsid w:val="00AB0842"/>
    <w:rsid w:val="00AC2B6E"/>
    <w:rsid w:val="00AD1EE3"/>
    <w:rsid w:val="00AE0276"/>
    <w:rsid w:val="00AE16BE"/>
    <w:rsid w:val="00AE37B8"/>
    <w:rsid w:val="00AE3888"/>
    <w:rsid w:val="00AF172F"/>
    <w:rsid w:val="00AF17D4"/>
    <w:rsid w:val="00AF37DF"/>
    <w:rsid w:val="00AF756C"/>
    <w:rsid w:val="00AF7816"/>
    <w:rsid w:val="00B1492E"/>
    <w:rsid w:val="00B1687A"/>
    <w:rsid w:val="00B269E9"/>
    <w:rsid w:val="00B273F3"/>
    <w:rsid w:val="00B27C7B"/>
    <w:rsid w:val="00B3123E"/>
    <w:rsid w:val="00B3218A"/>
    <w:rsid w:val="00B330C6"/>
    <w:rsid w:val="00B3375F"/>
    <w:rsid w:val="00B422AF"/>
    <w:rsid w:val="00B433F9"/>
    <w:rsid w:val="00B43507"/>
    <w:rsid w:val="00B44346"/>
    <w:rsid w:val="00B513AD"/>
    <w:rsid w:val="00B51B23"/>
    <w:rsid w:val="00B51DA3"/>
    <w:rsid w:val="00B552A0"/>
    <w:rsid w:val="00B55871"/>
    <w:rsid w:val="00B55C81"/>
    <w:rsid w:val="00B620B4"/>
    <w:rsid w:val="00B64D82"/>
    <w:rsid w:val="00B77A10"/>
    <w:rsid w:val="00B80E21"/>
    <w:rsid w:val="00B928C7"/>
    <w:rsid w:val="00B92D6F"/>
    <w:rsid w:val="00B93300"/>
    <w:rsid w:val="00B93A1D"/>
    <w:rsid w:val="00B940D1"/>
    <w:rsid w:val="00B94C5B"/>
    <w:rsid w:val="00BA3842"/>
    <w:rsid w:val="00BA3E15"/>
    <w:rsid w:val="00BA6305"/>
    <w:rsid w:val="00BB0099"/>
    <w:rsid w:val="00BB051C"/>
    <w:rsid w:val="00BB15CA"/>
    <w:rsid w:val="00BB260C"/>
    <w:rsid w:val="00BB2BFB"/>
    <w:rsid w:val="00BB40EA"/>
    <w:rsid w:val="00BB5876"/>
    <w:rsid w:val="00BB7961"/>
    <w:rsid w:val="00BC36EA"/>
    <w:rsid w:val="00BD3CD7"/>
    <w:rsid w:val="00BD66BA"/>
    <w:rsid w:val="00BE3793"/>
    <w:rsid w:val="00BE388A"/>
    <w:rsid w:val="00BE4BD8"/>
    <w:rsid w:val="00BE5181"/>
    <w:rsid w:val="00BE691E"/>
    <w:rsid w:val="00BF562E"/>
    <w:rsid w:val="00C10173"/>
    <w:rsid w:val="00C11934"/>
    <w:rsid w:val="00C12A40"/>
    <w:rsid w:val="00C14B7A"/>
    <w:rsid w:val="00C21D89"/>
    <w:rsid w:val="00C242F6"/>
    <w:rsid w:val="00C355EF"/>
    <w:rsid w:val="00C358E0"/>
    <w:rsid w:val="00C35988"/>
    <w:rsid w:val="00C37B00"/>
    <w:rsid w:val="00C40AFF"/>
    <w:rsid w:val="00C42A15"/>
    <w:rsid w:val="00C42F1F"/>
    <w:rsid w:val="00C500F8"/>
    <w:rsid w:val="00C50AE1"/>
    <w:rsid w:val="00C5723C"/>
    <w:rsid w:val="00C576C6"/>
    <w:rsid w:val="00C61CAD"/>
    <w:rsid w:val="00C65B24"/>
    <w:rsid w:val="00C706A6"/>
    <w:rsid w:val="00C75329"/>
    <w:rsid w:val="00C753EB"/>
    <w:rsid w:val="00C80478"/>
    <w:rsid w:val="00C81390"/>
    <w:rsid w:val="00C81F6D"/>
    <w:rsid w:val="00C93CEE"/>
    <w:rsid w:val="00CA1C8E"/>
    <w:rsid w:val="00CA26BC"/>
    <w:rsid w:val="00CB005A"/>
    <w:rsid w:val="00CB08B5"/>
    <w:rsid w:val="00CB0D4D"/>
    <w:rsid w:val="00CB1157"/>
    <w:rsid w:val="00CB44BD"/>
    <w:rsid w:val="00CB496A"/>
    <w:rsid w:val="00CB4EEE"/>
    <w:rsid w:val="00CC31D9"/>
    <w:rsid w:val="00CC36C6"/>
    <w:rsid w:val="00CD3C25"/>
    <w:rsid w:val="00CD7AB7"/>
    <w:rsid w:val="00CD7AD2"/>
    <w:rsid w:val="00CF0CDA"/>
    <w:rsid w:val="00D0149D"/>
    <w:rsid w:val="00D02D3B"/>
    <w:rsid w:val="00D0328C"/>
    <w:rsid w:val="00D03518"/>
    <w:rsid w:val="00D1331D"/>
    <w:rsid w:val="00D15602"/>
    <w:rsid w:val="00D1718C"/>
    <w:rsid w:val="00D352CA"/>
    <w:rsid w:val="00D3535E"/>
    <w:rsid w:val="00D357E6"/>
    <w:rsid w:val="00D36F9A"/>
    <w:rsid w:val="00D377F4"/>
    <w:rsid w:val="00D37FCE"/>
    <w:rsid w:val="00D40966"/>
    <w:rsid w:val="00D42076"/>
    <w:rsid w:val="00D43B54"/>
    <w:rsid w:val="00D450FA"/>
    <w:rsid w:val="00D451E7"/>
    <w:rsid w:val="00D46DB0"/>
    <w:rsid w:val="00D55247"/>
    <w:rsid w:val="00D643ED"/>
    <w:rsid w:val="00D71F8B"/>
    <w:rsid w:val="00D771D2"/>
    <w:rsid w:val="00D77526"/>
    <w:rsid w:val="00D776DA"/>
    <w:rsid w:val="00D80AD3"/>
    <w:rsid w:val="00D84A0C"/>
    <w:rsid w:val="00D84AFF"/>
    <w:rsid w:val="00D85FCF"/>
    <w:rsid w:val="00D90044"/>
    <w:rsid w:val="00D9109D"/>
    <w:rsid w:val="00D93A47"/>
    <w:rsid w:val="00D94598"/>
    <w:rsid w:val="00D94EEC"/>
    <w:rsid w:val="00DA305B"/>
    <w:rsid w:val="00DB5151"/>
    <w:rsid w:val="00DC12D8"/>
    <w:rsid w:val="00DC19E2"/>
    <w:rsid w:val="00DC225D"/>
    <w:rsid w:val="00DC3491"/>
    <w:rsid w:val="00DC3D3A"/>
    <w:rsid w:val="00DC3EC1"/>
    <w:rsid w:val="00DC7A21"/>
    <w:rsid w:val="00DE18E3"/>
    <w:rsid w:val="00DE20D1"/>
    <w:rsid w:val="00DE2CB3"/>
    <w:rsid w:val="00DE3732"/>
    <w:rsid w:val="00DE59D3"/>
    <w:rsid w:val="00DE71C7"/>
    <w:rsid w:val="00DF124D"/>
    <w:rsid w:val="00DF2E54"/>
    <w:rsid w:val="00DF4180"/>
    <w:rsid w:val="00DF6B4C"/>
    <w:rsid w:val="00DF794F"/>
    <w:rsid w:val="00E00B50"/>
    <w:rsid w:val="00E02E9A"/>
    <w:rsid w:val="00E0355E"/>
    <w:rsid w:val="00E16D2D"/>
    <w:rsid w:val="00E24755"/>
    <w:rsid w:val="00E274A7"/>
    <w:rsid w:val="00E37EA3"/>
    <w:rsid w:val="00E457AA"/>
    <w:rsid w:val="00E50562"/>
    <w:rsid w:val="00E51526"/>
    <w:rsid w:val="00E52C07"/>
    <w:rsid w:val="00E60970"/>
    <w:rsid w:val="00E61C88"/>
    <w:rsid w:val="00E669ED"/>
    <w:rsid w:val="00E70A51"/>
    <w:rsid w:val="00E74F57"/>
    <w:rsid w:val="00E81342"/>
    <w:rsid w:val="00E82510"/>
    <w:rsid w:val="00E863AE"/>
    <w:rsid w:val="00E8725B"/>
    <w:rsid w:val="00E90D5A"/>
    <w:rsid w:val="00E930FF"/>
    <w:rsid w:val="00EA12FA"/>
    <w:rsid w:val="00EA17FC"/>
    <w:rsid w:val="00EB0719"/>
    <w:rsid w:val="00EC0140"/>
    <w:rsid w:val="00EC131C"/>
    <w:rsid w:val="00EC7CC2"/>
    <w:rsid w:val="00ED36CE"/>
    <w:rsid w:val="00ED3A3B"/>
    <w:rsid w:val="00ED4086"/>
    <w:rsid w:val="00ED4FBB"/>
    <w:rsid w:val="00ED58D7"/>
    <w:rsid w:val="00ED7687"/>
    <w:rsid w:val="00EE6B87"/>
    <w:rsid w:val="00EE7C71"/>
    <w:rsid w:val="00EF1090"/>
    <w:rsid w:val="00EF1341"/>
    <w:rsid w:val="00EF1979"/>
    <w:rsid w:val="00EF4CBE"/>
    <w:rsid w:val="00EF7A25"/>
    <w:rsid w:val="00F13A95"/>
    <w:rsid w:val="00F13E49"/>
    <w:rsid w:val="00F22DFE"/>
    <w:rsid w:val="00F26B07"/>
    <w:rsid w:val="00F34474"/>
    <w:rsid w:val="00F362F0"/>
    <w:rsid w:val="00F368A4"/>
    <w:rsid w:val="00F37F82"/>
    <w:rsid w:val="00F47BDF"/>
    <w:rsid w:val="00F53685"/>
    <w:rsid w:val="00F53B83"/>
    <w:rsid w:val="00F54E0D"/>
    <w:rsid w:val="00F5525B"/>
    <w:rsid w:val="00F61666"/>
    <w:rsid w:val="00F62956"/>
    <w:rsid w:val="00F64774"/>
    <w:rsid w:val="00F7326E"/>
    <w:rsid w:val="00F77048"/>
    <w:rsid w:val="00F83593"/>
    <w:rsid w:val="00F86E62"/>
    <w:rsid w:val="00F90A4B"/>
    <w:rsid w:val="00F91980"/>
    <w:rsid w:val="00F9415B"/>
    <w:rsid w:val="00FA0AB8"/>
    <w:rsid w:val="00FA26BC"/>
    <w:rsid w:val="00FA5E15"/>
    <w:rsid w:val="00FC10E7"/>
    <w:rsid w:val="00FC22F0"/>
    <w:rsid w:val="00FC291A"/>
    <w:rsid w:val="00FC2B79"/>
    <w:rsid w:val="00FC37F3"/>
    <w:rsid w:val="00FD4C00"/>
    <w:rsid w:val="00FD4FF6"/>
    <w:rsid w:val="00FD53D7"/>
    <w:rsid w:val="00FE1B82"/>
    <w:rsid w:val="00FE2B61"/>
    <w:rsid w:val="00FE5EBB"/>
    <w:rsid w:val="00FF166B"/>
    <w:rsid w:val="00FF70C8"/>
    <w:rsid w:val="015A6111"/>
    <w:rsid w:val="01BE7323"/>
    <w:rsid w:val="025439C1"/>
    <w:rsid w:val="08EE53BD"/>
    <w:rsid w:val="09403243"/>
    <w:rsid w:val="0B4A640A"/>
    <w:rsid w:val="0F8307C5"/>
    <w:rsid w:val="0FFD3839"/>
    <w:rsid w:val="12C16C73"/>
    <w:rsid w:val="15BD7BC5"/>
    <w:rsid w:val="18194E5B"/>
    <w:rsid w:val="19BB696D"/>
    <w:rsid w:val="1B1C2DC8"/>
    <w:rsid w:val="1B6151ED"/>
    <w:rsid w:val="24871127"/>
    <w:rsid w:val="2558247D"/>
    <w:rsid w:val="2E4431A0"/>
    <w:rsid w:val="2F3C1653"/>
    <w:rsid w:val="2F463696"/>
    <w:rsid w:val="345924FC"/>
    <w:rsid w:val="3F833352"/>
    <w:rsid w:val="4077259B"/>
    <w:rsid w:val="47AF4D11"/>
    <w:rsid w:val="4E5B65EB"/>
    <w:rsid w:val="4F4A485E"/>
    <w:rsid w:val="4F5933E2"/>
    <w:rsid w:val="523A5B1F"/>
    <w:rsid w:val="549D76B8"/>
    <w:rsid w:val="59631F3B"/>
    <w:rsid w:val="5A891D2C"/>
    <w:rsid w:val="5B33768F"/>
    <w:rsid w:val="5C79653C"/>
    <w:rsid w:val="5CDF51C2"/>
    <w:rsid w:val="5DF13B5F"/>
    <w:rsid w:val="61FC06FB"/>
    <w:rsid w:val="72CE0D3D"/>
    <w:rsid w:val="796D2080"/>
    <w:rsid w:val="7C122B9D"/>
    <w:rsid w:val="7E55146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0" w:semiHidden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qFormat="1" w:unhideWhenUsed="0" w:uiPriority="0" w:name="toc 8"/>
    <w:lsdException w:qFormat="1" w:unhideWhenUsed="0" w:uiPriority="0" w:name="toc 9"/>
    <w:lsdException w:uiPriority="99" w:name="Normal Indent"/>
    <w:lsdException w:qFormat="1" w:unhideWhenUsed="0"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iPriority="0" w:name="annotation reference"/>
    <w:lsdException w:uiPriority="99" w:name="line number"/>
    <w:lsdException w:qFormat="1" w:unhideWhenUsed="0" w:uiPriority="0" w:semiHidden="0" w:name="page number"/>
    <w:lsdException w:qFormat="1" w:unhideWhenUsed="0" w:uiPriority="0" w:name="endnote reference"/>
    <w:lsdException w:qFormat="1" w:unhideWhenUsed="0" w:uiPriority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qFormat="1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4"/>
    <w:qFormat/>
    <w:uiPriority w:val="0"/>
    <w:pPr>
      <w:keepNext/>
      <w:keepLines/>
      <w:numPr>
        <w:ilvl w:val="0"/>
        <w:numId w:val="1"/>
      </w:numPr>
      <w:spacing w:after="120" w:line="500" w:lineRule="exact"/>
      <w:ind w:right="-17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75"/>
    <w:qFormat/>
    <w:uiPriority w:val="0"/>
    <w:pPr>
      <w:keepNext/>
      <w:keepLines/>
      <w:numPr>
        <w:ilvl w:val="1"/>
        <w:numId w:val="1"/>
      </w:numPr>
      <w:tabs>
        <w:tab w:val="left" w:pos="560"/>
      </w:tabs>
      <w:spacing w:before="260" w:after="260" w:line="416" w:lineRule="auto"/>
      <w:ind w:right="-17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76"/>
    <w:qFormat/>
    <w:uiPriority w:val="0"/>
    <w:pPr>
      <w:keepNext/>
      <w:keepLines/>
      <w:numPr>
        <w:ilvl w:val="2"/>
        <w:numId w:val="1"/>
      </w:numPr>
      <w:spacing w:line="415" w:lineRule="auto"/>
      <w:ind w:right="-17"/>
      <w:outlineLvl w:val="2"/>
    </w:pPr>
    <w:rPr>
      <w:b/>
      <w:bCs/>
      <w:color w:val="000000"/>
      <w:sz w:val="28"/>
      <w:szCs w:val="28"/>
    </w:rPr>
  </w:style>
  <w:style w:type="paragraph" w:styleId="5">
    <w:name w:val="heading 4"/>
    <w:basedOn w:val="1"/>
    <w:next w:val="1"/>
    <w:link w:val="77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ind w:right="-17"/>
      <w:outlineLvl w:val="3"/>
    </w:pPr>
    <w:rPr>
      <w:rFonts w:eastAsia="黑体"/>
      <w:b/>
      <w:bCs/>
      <w:sz w:val="28"/>
      <w:szCs w:val="28"/>
    </w:rPr>
  </w:style>
  <w:style w:type="paragraph" w:styleId="6">
    <w:name w:val="heading 5"/>
    <w:basedOn w:val="1"/>
    <w:next w:val="1"/>
    <w:link w:val="78"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ind w:right="-17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79"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ind w:right="-17"/>
      <w:outlineLvl w:val="5"/>
    </w:pPr>
    <w:rPr>
      <w:rFonts w:ascii="Arial" w:hAnsi="Arial" w:eastAsia="黑体"/>
      <w:b/>
      <w:bCs/>
      <w:sz w:val="24"/>
    </w:rPr>
  </w:style>
  <w:style w:type="paragraph" w:styleId="8">
    <w:name w:val="heading 7"/>
    <w:basedOn w:val="1"/>
    <w:next w:val="1"/>
    <w:link w:val="80"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ind w:right="-17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81"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ind w:right="-17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link w:val="82"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ind w:right="-17"/>
      <w:outlineLvl w:val="8"/>
    </w:pPr>
    <w:rPr>
      <w:rFonts w:ascii="Arial" w:hAnsi="Arial" w:eastAsia="黑体"/>
      <w:sz w:val="28"/>
      <w:szCs w:val="21"/>
    </w:rPr>
  </w:style>
  <w:style w:type="character" w:default="1" w:styleId="50">
    <w:name w:val="Default Paragraph Font"/>
    <w:semiHidden/>
    <w:unhideWhenUsed/>
    <w:qFormat/>
    <w:uiPriority w:val="1"/>
  </w:style>
  <w:style w:type="table" w:default="1" w:styleId="4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semiHidden/>
    <w:qFormat/>
    <w:uiPriority w:val="0"/>
    <w:pPr>
      <w:spacing w:line="400" w:lineRule="exact"/>
      <w:ind w:left="1680" w:right="-17" w:hanging="431"/>
      <w:jc w:val="left"/>
    </w:pPr>
    <w:rPr>
      <w:rFonts w:ascii="Calibri" w:hAnsi="Calibri"/>
      <w:sz w:val="18"/>
      <w:szCs w:val="18"/>
    </w:rPr>
  </w:style>
  <w:style w:type="paragraph" w:styleId="12">
    <w:name w:val="index 8"/>
    <w:basedOn w:val="1"/>
    <w:next w:val="1"/>
    <w:qFormat/>
    <w:uiPriority w:val="0"/>
    <w:pPr>
      <w:spacing w:line="400" w:lineRule="exact"/>
      <w:ind w:left="1680" w:right="-17" w:hanging="210"/>
      <w:jc w:val="left"/>
    </w:pPr>
    <w:rPr>
      <w:rFonts w:ascii="Calibri" w:hAnsi="Calibri"/>
      <w:sz w:val="20"/>
      <w:szCs w:val="20"/>
    </w:rPr>
  </w:style>
  <w:style w:type="paragraph" w:styleId="13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 w:cs="Arial"/>
      <w:sz w:val="20"/>
      <w:szCs w:val="20"/>
    </w:rPr>
  </w:style>
  <w:style w:type="paragraph" w:styleId="14">
    <w:name w:val="index 5"/>
    <w:basedOn w:val="1"/>
    <w:next w:val="1"/>
    <w:qFormat/>
    <w:uiPriority w:val="0"/>
    <w:pPr>
      <w:spacing w:line="400" w:lineRule="exact"/>
      <w:ind w:left="1050" w:right="-17" w:hanging="210"/>
      <w:jc w:val="left"/>
    </w:pPr>
    <w:rPr>
      <w:rFonts w:ascii="Calibri" w:hAnsi="Calibri"/>
      <w:sz w:val="20"/>
      <w:szCs w:val="20"/>
    </w:rPr>
  </w:style>
  <w:style w:type="paragraph" w:styleId="15">
    <w:name w:val="Document Map"/>
    <w:basedOn w:val="1"/>
    <w:link w:val="86"/>
    <w:qFormat/>
    <w:uiPriority w:val="0"/>
    <w:pPr>
      <w:shd w:val="clear" w:color="auto" w:fill="000080"/>
      <w:spacing w:line="400" w:lineRule="exact"/>
      <w:ind w:left="856" w:right="-17" w:hanging="431"/>
    </w:pPr>
    <w:rPr>
      <w:sz w:val="28"/>
    </w:rPr>
  </w:style>
  <w:style w:type="paragraph" w:styleId="16">
    <w:name w:val="annotation text"/>
    <w:basedOn w:val="1"/>
    <w:link w:val="84"/>
    <w:semiHidden/>
    <w:unhideWhenUsed/>
    <w:qFormat/>
    <w:uiPriority w:val="0"/>
    <w:pPr>
      <w:spacing w:line="400" w:lineRule="exact"/>
      <w:ind w:left="856" w:right="-17" w:hanging="431"/>
      <w:jc w:val="left"/>
    </w:pPr>
    <w:rPr>
      <w:sz w:val="28"/>
    </w:rPr>
  </w:style>
  <w:style w:type="paragraph" w:styleId="17">
    <w:name w:val="index 6"/>
    <w:basedOn w:val="1"/>
    <w:next w:val="1"/>
    <w:qFormat/>
    <w:uiPriority w:val="0"/>
    <w:pPr>
      <w:spacing w:line="400" w:lineRule="exact"/>
      <w:ind w:left="1260" w:right="-17" w:hanging="210"/>
      <w:jc w:val="left"/>
    </w:pPr>
    <w:rPr>
      <w:rFonts w:ascii="Calibri" w:hAnsi="Calibri"/>
      <w:sz w:val="20"/>
      <w:szCs w:val="20"/>
    </w:rPr>
  </w:style>
  <w:style w:type="paragraph" w:styleId="18">
    <w:name w:val="Body Text"/>
    <w:basedOn w:val="1"/>
    <w:link w:val="87"/>
    <w:qFormat/>
    <w:uiPriority w:val="0"/>
    <w:rPr>
      <w:sz w:val="24"/>
    </w:rPr>
  </w:style>
  <w:style w:type="paragraph" w:styleId="19">
    <w:name w:val="Body Text Indent"/>
    <w:basedOn w:val="1"/>
    <w:link w:val="88"/>
    <w:qFormat/>
    <w:uiPriority w:val="0"/>
    <w:pPr>
      <w:spacing w:line="400" w:lineRule="exact"/>
      <w:ind w:left="856" w:right="-17" w:firstLine="435" w:firstLineChars="207"/>
    </w:pPr>
    <w:rPr>
      <w:sz w:val="24"/>
    </w:rPr>
  </w:style>
  <w:style w:type="paragraph" w:styleId="20">
    <w:name w:val="HTML Address"/>
    <w:basedOn w:val="1"/>
    <w:link w:val="89"/>
    <w:qFormat/>
    <w:uiPriority w:val="0"/>
    <w:pPr>
      <w:spacing w:line="400" w:lineRule="exact"/>
      <w:ind w:left="856" w:right="-17" w:hanging="431"/>
    </w:pPr>
    <w:rPr>
      <w:i/>
      <w:iCs/>
      <w:sz w:val="28"/>
    </w:rPr>
  </w:style>
  <w:style w:type="paragraph" w:styleId="21">
    <w:name w:val="index 4"/>
    <w:basedOn w:val="1"/>
    <w:next w:val="1"/>
    <w:qFormat/>
    <w:uiPriority w:val="0"/>
    <w:pPr>
      <w:spacing w:line="400" w:lineRule="exact"/>
      <w:ind w:left="840" w:right="-17" w:hanging="210"/>
      <w:jc w:val="left"/>
    </w:pPr>
    <w:rPr>
      <w:rFonts w:ascii="Calibri" w:hAnsi="Calibri"/>
      <w:sz w:val="20"/>
      <w:szCs w:val="20"/>
    </w:rPr>
  </w:style>
  <w:style w:type="paragraph" w:styleId="22">
    <w:name w:val="toc 5"/>
    <w:basedOn w:val="1"/>
    <w:next w:val="1"/>
    <w:semiHidden/>
    <w:qFormat/>
    <w:uiPriority w:val="0"/>
    <w:pPr>
      <w:spacing w:line="400" w:lineRule="exact"/>
      <w:ind w:left="1120" w:right="-17" w:hanging="431"/>
      <w:jc w:val="left"/>
    </w:pPr>
    <w:rPr>
      <w:rFonts w:ascii="Calibri" w:hAnsi="Calibri"/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840" w:leftChars="400"/>
    </w:pPr>
  </w:style>
  <w:style w:type="paragraph" w:styleId="24">
    <w:name w:val="Plain Text"/>
    <w:basedOn w:val="1"/>
    <w:link w:val="90"/>
    <w:qFormat/>
    <w:uiPriority w:val="0"/>
    <w:pPr>
      <w:spacing w:line="400" w:lineRule="exact"/>
      <w:ind w:left="856" w:right="-17" w:hanging="431"/>
    </w:pPr>
    <w:rPr>
      <w:rFonts w:ascii="宋体" w:hAnsi="Courier New"/>
      <w:sz w:val="28"/>
      <w:szCs w:val="20"/>
    </w:rPr>
  </w:style>
  <w:style w:type="paragraph" w:styleId="25">
    <w:name w:val="toc 8"/>
    <w:basedOn w:val="1"/>
    <w:next w:val="1"/>
    <w:semiHidden/>
    <w:qFormat/>
    <w:uiPriority w:val="0"/>
    <w:pPr>
      <w:spacing w:line="400" w:lineRule="exact"/>
      <w:ind w:left="1960" w:right="-17" w:hanging="431"/>
      <w:jc w:val="left"/>
    </w:pPr>
    <w:rPr>
      <w:rFonts w:ascii="Calibri" w:hAnsi="Calibri"/>
      <w:sz w:val="18"/>
      <w:szCs w:val="18"/>
    </w:rPr>
  </w:style>
  <w:style w:type="paragraph" w:styleId="26">
    <w:name w:val="index 3"/>
    <w:basedOn w:val="1"/>
    <w:next w:val="1"/>
    <w:qFormat/>
    <w:uiPriority w:val="0"/>
    <w:pPr>
      <w:spacing w:line="400" w:lineRule="exact"/>
      <w:ind w:left="630" w:right="-17" w:hanging="210"/>
      <w:jc w:val="left"/>
    </w:pPr>
    <w:rPr>
      <w:rFonts w:ascii="Calibri" w:hAnsi="Calibri"/>
      <w:sz w:val="20"/>
      <w:szCs w:val="20"/>
    </w:rPr>
  </w:style>
  <w:style w:type="paragraph" w:styleId="27">
    <w:name w:val="Date"/>
    <w:basedOn w:val="1"/>
    <w:next w:val="1"/>
    <w:qFormat/>
    <w:uiPriority w:val="0"/>
    <w:pPr>
      <w:ind w:left="100" w:leftChars="2500"/>
    </w:pPr>
  </w:style>
  <w:style w:type="paragraph" w:styleId="28">
    <w:name w:val="endnote text"/>
    <w:basedOn w:val="1"/>
    <w:link w:val="91"/>
    <w:semiHidden/>
    <w:qFormat/>
    <w:uiPriority w:val="0"/>
    <w:pPr>
      <w:snapToGrid w:val="0"/>
      <w:spacing w:line="400" w:lineRule="exact"/>
      <w:ind w:left="856" w:right="-17" w:hanging="431"/>
      <w:jc w:val="left"/>
    </w:pPr>
    <w:rPr>
      <w:sz w:val="28"/>
    </w:rPr>
  </w:style>
  <w:style w:type="paragraph" w:styleId="29">
    <w:name w:val="Balloon Text"/>
    <w:basedOn w:val="1"/>
    <w:link w:val="85"/>
    <w:unhideWhenUsed/>
    <w:qFormat/>
    <w:uiPriority w:val="0"/>
    <w:rPr>
      <w:sz w:val="18"/>
      <w:szCs w:val="18"/>
    </w:rPr>
  </w:style>
  <w:style w:type="paragraph" w:styleId="30">
    <w:name w:val="footer"/>
    <w:basedOn w:val="1"/>
    <w:link w:val="2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2">
    <w:name w:val="toc 1"/>
    <w:basedOn w:val="1"/>
    <w:next w:val="1"/>
    <w:qFormat/>
    <w:uiPriority w:val="39"/>
    <w:pPr>
      <w:tabs>
        <w:tab w:val="left" w:pos="420"/>
        <w:tab w:val="right" w:leader="dot" w:pos="8296"/>
      </w:tabs>
      <w:jc w:val="center"/>
    </w:pPr>
  </w:style>
  <w:style w:type="paragraph" w:styleId="33">
    <w:name w:val="toc 4"/>
    <w:basedOn w:val="23"/>
    <w:next w:val="1"/>
    <w:semiHidden/>
    <w:qFormat/>
    <w:uiPriority w:val="0"/>
    <w:pPr>
      <w:spacing w:line="400" w:lineRule="exact"/>
      <w:ind w:left="0" w:leftChars="0" w:right="-17" w:hanging="431"/>
      <w:jc w:val="left"/>
    </w:pPr>
    <w:rPr>
      <w:rFonts w:ascii="Calibri" w:hAnsi="Calibri"/>
      <w:sz w:val="18"/>
      <w:szCs w:val="18"/>
    </w:rPr>
  </w:style>
  <w:style w:type="paragraph" w:styleId="34">
    <w:name w:val="index heading"/>
    <w:basedOn w:val="1"/>
    <w:next w:val="35"/>
    <w:qFormat/>
    <w:uiPriority w:val="0"/>
    <w:pPr>
      <w:spacing w:before="120" w:after="120" w:line="400" w:lineRule="exact"/>
      <w:ind w:left="856" w:right="-17" w:hanging="431"/>
      <w:jc w:val="center"/>
    </w:pPr>
    <w:rPr>
      <w:rFonts w:ascii="Calibri" w:hAnsi="Calibri"/>
      <w:b/>
      <w:bCs/>
      <w:iCs/>
      <w:sz w:val="28"/>
      <w:szCs w:val="20"/>
    </w:rPr>
  </w:style>
  <w:style w:type="paragraph" w:styleId="35">
    <w:name w:val="index 1"/>
    <w:basedOn w:val="1"/>
    <w:next w:val="1"/>
    <w:unhideWhenUsed/>
    <w:qFormat/>
    <w:uiPriority w:val="0"/>
  </w:style>
  <w:style w:type="paragraph" w:styleId="36">
    <w:name w:val="Subtitle"/>
    <w:basedOn w:val="1"/>
    <w:next w:val="1"/>
    <w:link w:val="92"/>
    <w:qFormat/>
    <w:uiPriority w:val="11"/>
    <w:pPr>
      <w:spacing w:before="240" w:after="60" w:line="312" w:lineRule="atLeast"/>
      <w:ind w:left="856" w:right="-17" w:hanging="431"/>
      <w:jc w:val="center"/>
      <w:outlineLvl w:val="1"/>
    </w:pPr>
    <w:rPr>
      <w:rFonts w:ascii="Cambria" w:hAnsi="Cambria" w:cs="黑体"/>
      <w:b/>
      <w:bCs/>
      <w:kern w:val="28"/>
      <w:sz w:val="32"/>
      <w:szCs w:val="32"/>
    </w:rPr>
  </w:style>
  <w:style w:type="paragraph" w:styleId="37">
    <w:name w:val="footnote text"/>
    <w:basedOn w:val="1"/>
    <w:link w:val="93"/>
    <w:semiHidden/>
    <w:qFormat/>
    <w:uiPriority w:val="0"/>
    <w:pPr>
      <w:snapToGrid w:val="0"/>
      <w:spacing w:line="400" w:lineRule="exact"/>
      <w:ind w:left="856" w:right="-17" w:hanging="431"/>
      <w:jc w:val="left"/>
    </w:pPr>
    <w:rPr>
      <w:sz w:val="18"/>
      <w:szCs w:val="18"/>
    </w:rPr>
  </w:style>
  <w:style w:type="paragraph" w:styleId="38">
    <w:name w:val="toc 6"/>
    <w:basedOn w:val="1"/>
    <w:next w:val="1"/>
    <w:semiHidden/>
    <w:qFormat/>
    <w:uiPriority w:val="0"/>
    <w:pPr>
      <w:spacing w:line="400" w:lineRule="exact"/>
      <w:ind w:left="1400" w:right="-17" w:hanging="431"/>
      <w:jc w:val="left"/>
    </w:pPr>
    <w:rPr>
      <w:rFonts w:ascii="Calibri" w:hAnsi="Calibri"/>
      <w:sz w:val="18"/>
      <w:szCs w:val="18"/>
    </w:rPr>
  </w:style>
  <w:style w:type="paragraph" w:styleId="39">
    <w:name w:val="Body Text Indent 3"/>
    <w:basedOn w:val="1"/>
    <w:link w:val="94"/>
    <w:qFormat/>
    <w:uiPriority w:val="0"/>
    <w:pPr>
      <w:spacing w:after="120" w:line="400" w:lineRule="exact"/>
      <w:ind w:left="420" w:leftChars="200" w:right="-17" w:hanging="431"/>
    </w:pPr>
    <w:rPr>
      <w:sz w:val="16"/>
      <w:szCs w:val="16"/>
    </w:rPr>
  </w:style>
  <w:style w:type="paragraph" w:styleId="40">
    <w:name w:val="index 7"/>
    <w:basedOn w:val="1"/>
    <w:next w:val="1"/>
    <w:qFormat/>
    <w:uiPriority w:val="0"/>
    <w:pPr>
      <w:spacing w:line="400" w:lineRule="exact"/>
      <w:ind w:left="1470" w:right="-17" w:hanging="210"/>
      <w:jc w:val="left"/>
    </w:pPr>
    <w:rPr>
      <w:rFonts w:ascii="Calibri" w:hAnsi="Calibri"/>
      <w:sz w:val="20"/>
      <w:szCs w:val="20"/>
    </w:rPr>
  </w:style>
  <w:style w:type="paragraph" w:styleId="41">
    <w:name w:val="index 9"/>
    <w:basedOn w:val="1"/>
    <w:next w:val="1"/>
    <w:qFormat/>
    <w:uiPriority w:val="0"/>
    <w:pPr>
      <w:spacing w:line="400" w:lineRule="exact"/>
      <w:ind w:left="1890" w:right="-17" w:hanging="210"/>
      <w:jc w:val="left"/>
    </w:pPr>
    <w:rPr>
      <w:rFonts w:ascii="Calibri" w:hAnsi="Calibri"/>
      <w:sz w:val="20"/>
      <w:szCs w:val="20"/>
    </w:rPr>
  </w:style>
  <w:style w:type="paragraph" w:styleId="42">
    <w:name w:val="toc 2"/>
    <w:basedOn w:val="1"/>
    <w:next w:val="1"/>
    <w:qFormat/>
    <w:uiPriority w:val="39"/>
    <w:pPr>
      <w:ind w:left="420" w:leftChars="200"/>
    </w:pPr>
  </w:style>
  <w:style w:type="paragraph" w:styleId="43">
    <w:name w:val="toc 9"/>
    <w:basedOn w:val="1"/>
    <w:next w:val="1"/>
    <w:semiHidden/>
    <w:qFormat/>
    <w:uiPriority w:val="0"/>
    <w:pPr>
      <w:spacing w:line="400" w:lineRule="exact"/>
      <w:ind w:left="2240" w:right="-17" w:hanging="431"/>
      <w:jc w:val="left"/>
    </w:pPr>
    <w:rPr>
      <w:rFonts w:ascii="Calibri" w:hAnsi="Calibri"/>
      <w:sz w:val="18"/>
      <w:szCs w:val="18"/>
    </w:rPr>
  </w:style>
  <w:style w:type="paragraph" w:styleId="44">
    <w:name w:val="HTML Preformatted"/>
    <w:basedOn w:val="1"/>
    <w:link w:val="95"/>
    <w:qFormat/>
    <w:uiPriority w:val="0"/>
    <w:pPr>
      <w:spacing w:line="400" w:lineRule="exact"/>
      <w:ind w:left="856" w:right="-17" w:hanging="431"/>
    </w:pPr>
    <w:rPr>
      <w:rFonts w:ascii="Courier New" w:hAnsi="Courier New" w:cs="Courier New"/>
      <w:sz w:val="20"/>
      <w:szCs w:val="20"/>
    </w:rPr>
  </w:style>
  <w:style w:type="paragraph" w:styleId="45">
    <w:name w:val="Normal (Web)"/>
    <w:basedOn w:val="1"/>
    <w:unhideWhenUsed/>
    <w:qFormat/>
    <w:uiPriority w:val="0"/>
    <w:pPr>
      <w:spacing w:line="400" w:lineRule="exact"/>
      <w:ind w:left="856" w:right="-17" w:hanging="431"/>
    </w:pPr>
    <w:rPr>
      <w:sz w:val="24"/>
    </w:rPr>
  </w:style>
  <w:style w:type="paragraph" w:styleId="46">
    <w:name w:val="index 2"/>
    <w:basedOn w:val="1"/>
    <w:next w:val="1"/>
    <w:qFormat/>
    <w:uiPriority w:val="0"/>
    <w:pPr>
      <w:spacing w:line="400" w:lineRule="exact"/>
      <w:ind w:left="420" w:right="-17" w:hanging="210"/>
      <w:jc w:val="left"/>
    </w:pPr>
    <w:rPr>
      <w:rFonts w:ascii="Calibri" w:hAnsi="Calibri"/>
      <w:sz w:val="20"/>
      <w:szCs w:val="20"/>
    </w:rPr>
  </w:style>
  <w:style w:type="paragraph" w:styleId="47">
    <w:name w:val="Title"/>
    <w:basedOn w:val="1"/>
    <w:link w:val="96"/>
    <w:qFormat/>
    <w:uiPriority w:val="0"/>
    <w:pPr>
      <w:spacing w:before="240" w:after="60" w:line="400" w:lineRule="exact"/>
      <w:ind w:left="856" w:right="-17" w:hanging="431"/>
      <w:jc w:val="center"/>
      <w:outlineLvl w:val="0"/>
    </w:pPr>
    <w:rPr>
      <w:rFonts w:ascii="Arial" w:hAnsi="Arial" w:cs="Arial"/>
      <w:b/>
      <w:bCs/>
      <w:sz w:val="32"/>
      <w:szCs w:val="32"/>
    </w:rPr>
  </w:style>
  <w:style w:type="table" w:styleId="49">
    <w:name w:val="Table Grid"/>
    <w:basedOn w:val="4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1">
    <w:name w:val="Strong"/>
    <w:qFormat/>
    <w:uiPriority w:val="22"/>
    <w:rPr>
      <w:b/>
      <w:bCs/>
    </w:rPr>
  </w:style>
  <w:style w:type="character" w:styleId="52">
    <w:name w:val="endnote reference"/>
    <w:semiHidden/>
    <w:qFormat/>
    <w:uiPriority w:val="0"/>
    <w:rPr>
      <w:vertAlign w:val="superscript"/>
    </w:rPr>
  </w:style>
  <w:style w:type="character" w:styleId="53">
    <w:name w:val="page number"/>
    <w:basedOn w:val="50"/>
    <w:qFormat/>
    <w:uiPriority w:val="0"/>
    <w:rPr>
      <w:rFonts w:ascii="Times New Roman" w:hAnsi="Times New Roman" w:eastAsia="宋体" w:cs="Times New Roman"/>
    </w:rPr>
  </w:style>
  <w:style w:type="character" w:styleId="54">
    <w:name w:val="FollowedHyperlink"/>
    <w:basedOn w:val="50"/>
    <w:unhideWhenUsed/>
    <w:qFormat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55">
    <w:name w:val="Emphasis"/>
    <w:basedOn w:val="50"/>
    <w:qFormat/>
    <w:uiPriority w:val="0"/>
    <w:rPr>
      <w:i/>
    </w:rPr>
  </w:style>
  <w:style w:type="character" w:styleId="56">
    <w:name w:val="HTML Definition"/>
    <w:qFormat/>
    <w:uiPriority w:val="0"/>
    <w:rPr>
      <w:i/>
      <w:iCs/>
    </w:rPr>
  </w:style>
  <w:style w:type="character" w:styleId="57">
    <w:name w:val="HTML Typewriter"/>
    <w:qFormat/>
    <w:uiPriority w:val="0"/>
    <w:rPr>
      <w:rFonts w:ascii="Courier New" w:hAnsi="Courier New"/>
      <w:sz w:val="20"/>
      <w:szCs w:val="20"/>
    </w:rPr>
  </w:style>
  <w:style w:type="character" w:styleId="58">
    <w:name w:val="HTML Acronym"/>
    <w:basedOn w:val="50"/>
    <w:qFormat/>
    <w:uiPriority w:val="0"/>
  </w:style>
  <w:style w:type="character" w:styleId="59">
    <w:name w:val="HTML Variable"/>
    <w:qFormat/>
    <w:uiPriority w:val="0"/>
    <w:rPr>
      <w:i/>
      <w:iCs/>
    </w:rPr>
  </w:style>
  <w:style w:type="character" w:styleId="60">
    <w:name w:val="Hyperlink"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character" w:styleId="61">
    <w:name w:val="HTML Code"/>
    <w:qFormat/>
    <w:uiPriority w:val="0"/>
    <w:rPr>
      <w:rFonts w:ascii="Courier New" w:hAnsi="Courier New"/>
      <w:sz w:val="20"/>
      <w:szCs w:val="20"/>
    </w:rPr>
  </w:style>
  <w:style w:type="character" w:styleId="62">
    <w:name w:val="annotation reference"/>
    <w:basedOn w:val="50"/>
    <w:semiHidden/>
    <w:unhideWhenUsed/>
    <w:qFormat/>
    <w:uiPriority w:val="0"/>
    <w:rPr>
      <w:sz w:val="21"/>
      <w:szCs w:val="21"/>
    </w:rPr>
  </w:style>
  <w:style w:type="character" w:styleId="63">
    <w:name w:val="HTML Cite"/>
    <w:qFormat/>
    <w:uiPriority w:val="0"/>
    <w:rPr>
      <w:i/>
      <w:iCs/>
    </w:rPr>
  </w:style>
  <w:style w:type="character" w:styleId="64">
    <w:name w:val="footnote reference"/>
    <w:semiHidden/>
    <w:qFormat/>
    <w:uiPriority w:val="0"/>
    <w:rPr>
      <w:vertAlign w:val="superscript"/>
    </w:rPr>
  </w:style>
  <w:style w:type="character" w:styleId="65">
    <w:name w:val="HTML Keyboard"/>
    <w:qFormat/>
    <w:uiPriority w:val="0"/>
    <w:rPr>
      <w:rFonts w:ascii="Courier New" w:hAnsi="Courier New"/>
      <w:sz w:val="20"/>
      <w:szCs w:val="20"/>
    </w:rPr>
  </w:style>
  <w:style w:type="character" w:styleId="66">
    <w:name w:val="HTML Sample"/>
    <w:qFormat/>
    <w:uiPriority w:val="0"/>
    <w:rPr>
      <w:rFonts w:ascii="Courier New" w:hAnsi="Courier New"/>
    </w:rPr>
  </w:style>
  <w:style w:type="paragraph" w:customStyle="1" w:styleId="67">
    <w:name w:val="封面标准英文名称"/>
    <w:qFormat/>
    <w:uiPriority w:val="0"/>
    <w:pPr>
      <w:widowControl w:val="0"/>
      <w:spacing w:before="370" w:line="400" w:lineRule="exact"/>
      <w:jc w:val="center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68">
    <w:name w:val="封面标准文稿编辑信息"/>
    <w:qFormat/>
    <w:uiPriority w:val="0"/>
    <w:pPr>
      <w:spacing w:before="180" w:line="180" w:lineRule="exact"/>
      <w:jc w:val="center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69">
    <w:name w:val="段 Char"/>
    <w:link w:val="70"/>
    <w:qFormat/>
    <w:uiPriority w:val="0"/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70">
    <w:name w:val="段"/>
    <w:link w:val="69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71">
    <w:name w:val="正文公式编号制表符"/>
    <w:basedOn w:val="70"/>
    <w:next w:val="70"/>
    <w:qFormat/>
    <w:uiPriority w:val="0"/>
    <w:pPr>
      <w:ind w:firstLine="0" w:firstLineChars="0"/>
    </w:pPr>
    <w:rPr>
      <w:rFonts w:ascii="Times New Roman"/>
    </w:rPr>
  </w:style>
  <w:style w:type="paragraph" w:customStyle="1" w:styleId="72">
    <w:name w:val="封面标准名称"/>
    <w:qFormat/>
    <w:uiPriority w:val="0"/>
    <w:pPr>
      <w:framePr w:w="9638" w:h="6917" w:hRule="exact" w:wrap="around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styleId="73">
    <w:name w:val="List Paragraph"/>
    <w:basedOn w:val="1"/>
    <w:qFormat/>
    <w:uiPriority w:val="34"/>
    <w:pPr>
      <w:ind w:firstLine="420" w:firstLineChars="200"/>
    </w:pPr>
  </w:style>
  <w:style w:type="character" w:customStyle="1" w:styleId="74">
    <w:name w:val="标题 1 Char"/>
    <w:basedOn w:val="50"/>
    <w:link w:val="2"/>
    <w:qFormat/>
    <w:uiPriority w:val="0"/>
    <w:rPr>
      <w:b/>
      <w:bCs/>
      <w:kern w:val="44"/>
      <w:sz w:val="44"/>
      <w:szCs w:val="44"/>
    </w:rPr>
  </w:style>
  <w:style w:type="character" w:customStyle="1" w:styleId="75">
    <w:name w:val="标题 2 Char"/>
    <w:basedOn w:val="50"/>
    <w:link w:val="3"/>
    <w:qFormat/>
    <w:uiPriority w:val="0"/>
    <w:rPr>
      <w:rFonts w:ascii="Arial" w:hAnsi="Arial" w:eastAsia="黑体"/>
      <w:b/>
      <w:bCs/>
      <w:kern w:val="2"/>
      <w:sz w:val="32"/>
      <w:szCs w:val="32"/>
    </w:rPr>
  </w:style>
  <w:style w:type="character" w:customStyle="1" w:styleId="76">
    <w:name w:val="标题 3 Char"/>
    <w:basedOn w:val="50"/>
    <w:link w:val="4"/>
    <w:qFormat/>
    <w:uiPriority w:val="0"/>
    <w:rPr>
      <w:b/>
      <w:bCs/>
      <w:color w:val="000000"/>
      <w:kern w:val="2"/>
      <w:sz w:val="28"/>
      <w:szCs w:val="28"/>
    </w:rPr>
  </w:style>
  <w:style w:type="character" w:customStyle="1" w:styleId="77">
    <w:name w:val="标题 4 Char"/>
    <w:basedOn w:val="50"/>
    <w:link w:val="5"/>
    <w:qFormat/>
    <w:uiPriority w:val="0"/>
    <w:rPr>
      <w:rFonts w:eastAsia="黑体"/>
      <w:b/>
      <w:bCs/>
      <w:kern w:val="2"/>
      <w:sz w:val="28"/>
      <w:szCs w:val="28"/>
    </w:rPr>
  </w:style>
  <w:style w:type="character" w:customStyle="1" w:styleId="78">
    <w:name w:val="标题 5 Char"/>
    <w:basedOn w:val="50"/>
    <w:link w:val="6"/>
    <w:qFormat/>
    <w:uiPriority w:val="0"/>
    <w:rPr>
      <w:b/>
      <w:bCs/>
      <w:kern w:val="2"/>
      <w:sz w:val="28"/>
      <w:szCs w:val="28"/>
    </w:rPr>
  </w:style>
  <w:style w:type="character" w:customStyle="1" w:styleId="79">
    <w:name w:val="标题 6 Char"/>
    <w:basedOn w:val="50"/>
    <w:link w:val="7"/>
    <w:qFormat/>
    <w:uiPriority w:val="0"/>
    <w:rPr>
      <w:rFonts w:ascii="Arial" w:hAnsi="Arial" w:eastAsia="黑体"/>
      <w:b/>
      <w:bCs/>
      <w:kern w:val="2"/>
      <w:sz w:val="24"/>
      <w:szCs w:val="24"/>
    </w:rPr>
  </w:style>
  <w:style w:type="character" w:customStyle="1" w:styleId="80">
    <w:name w:val="标题 7 Char"/>
    <w:basedOn w:val="50"/>
    <w:link w:val="8"/>
    <w:qFormat/>
    <w:uiPriority w:val="0"/>
    <w:rPr>
      <w:b/>
      <w:bCs/>
      <w:kern w:val="2"/>
      <w:sz w:val="24"/>
      <w:szCs w:val="24"/>
    </w:rPr>
  </w:style>
  <w:style w:type="character" w:customStyle="1" w:styleId="81">
    <w:name w:val="标题 8 Char"/>
    <w:basedOn w:val="50"/>
    <w:link w:val="9"/>
    <w:qFormat/>
    <w:uiPriority w:val="0"/>
    <w:rPr>
      <w:rFonts w:ascii="Arial" w:hAnsi="Arial" w:eastAsia="黑体"/>
      <w:kern w:val="2"/>
      <w:sz w:val="24"/>
      <w:szCs w:val="24"/>
    </w:rPr>
  </w:style>
  <w:style w:type="character" w:customStyle="1" w:styleId="82">
    <w:name w:val="标题 9 Char"/>
    <w:basedOn w:val="50"/>
    <w:link w:val="10"/>
    <w:qFormat/>
    <w:uiPriority w:val="0"/>
    <w:rPr>
      <w:rFonts w:ascii="Arial" w:hAnsi="Arial" w:eastAsia="黑体"/>
      <w:kern w:val="2"/>
      <w:sz w:val="28"/>
      <w:szCs w:val="21"/>
    </w:rPr>
  </w:style>
  <w:style w:type="paragraph" w:customStyle="1" w:styleId="83">
    <w:name w:val="！正文"/>
    <w:basedOn w:val="1"/>
    <w:qFormat/>
    <w:uiPriority w:val="0"/>
    <w:pPr>
      <w:spacing w:afterLines="50"/>
      <w:ind w:right="210" w:firstLine="420" w:firstLineChars="200"/>
    </w:pPr>
    <w:rPr>
      <w:rFonts w:ascii="宋体" w:hAnsi="宋体"/>
      <w:kern w:val="0"/>
    </w:rPr>
  </w:style>
  <w:style w:type="character" w:customStyle="1" w:styleId="84">
    <w:name w:val="批注文字 Char"/>
    <w:basedOn w:val="50"/>
    <w:link w:val="16"/>
    <w:semiHidden/>
    <w:qFormat/>
    <w:uiPriority w:val="0"/>
    <w:rPr>
      <w:kern w:val="2"/>
      <w:sz w:val="28"/>
      <w:szCs w:val="24"/>
    </w:rPr>
  </w:style>
  <w:style w:type="character" w:customStyle="1" w:styleId="85">
    <w:name w:val="批注框文本 Char"/>
    <w:basedOn w:val="50"/>
    <w:link w:val="29"/>
    <w:semiHidden/>
    <w:qFormat/>
    <w:uiPriority w:val="0"/>
    <w:rPr>
      <w:kern w:val="2"/>
      <w:sz w:val="18"/>
      <w:szCs w:val="18"/>
    </w:rPr>
  </w:style>
  <w:style w:type="character" w:customStyle="1" w:styleId="86">
    <w:name w:val="文档结构图 Char"/>
    <w:basedOn w:val="50"/>
    <w:link w:val="15"/>
    <w:qFormat/>
    <w:uiPriority w:val="0"/>
    <w:rPr>
      <w:kern w:val="2"/>
      <w:sz w:val="28"/>
      <w:szCs w:val="24"/>
      <w:shd w:val="clear" w:color="auto" w:fill="000080"/>
    </w:rPr>
  </w:style>
  <w:style w:type="character" w:customStyle="1" w:styleId="87">
    <w:name w:val="正文文本 Char"/>
    <w:basedOn w:val="50"/>
    <w:link w:val="18"/>
    <w:qFormat/>
    <w:uiPriority w:val="0"/>
    <w:rPr>
      <w:kern w:val="2"/>
      <w:sz w:val="24"/>
      <w:szCs w:val="24"/>
    </w:rPr>
  </w:style>
  <w:style w:type="character" w:customStyle="1" w:styleId="88">
    <w:name w:val="正文文本缩进 Char"/>
    <w:basedOn w:val="50"/>
    <w:link w:val="19"/>
    <w:qFormat/>
    <w:uiPriority w:val="0"/>
    <w:rPr>
      <w:kern w:val="2"/>
      <w:sz w:val="24"/>
      <w:szCs w:val="24"/>
    </w:rPr>
  </w:style>
  <w:style w:type="character" w:customStyle="1" w:styleId="89">
    <w:name w:val="HTML 地址 Char"/>
    <w:basedOn w:val="50"/>
    <w:link w:val="20"/>
    <w:qFormat/>
    <w:uiPriority w:val="0"/>
    <w:rPr>
      <w:i/>
      <w:iCs/>
      <w:kern w:val="2"/>
      <w:sz w:val="28"/>
      <w:szCs w:val="24"/>
    </w:rPr>
  </w:style>
  <w:style w:type="character" w:customStyle="1" w:styleId="90">
    <w:name w:val="纯文本 Char"/>
    <w:basedOn w:val="50"/>
    <w:link w:val="24"/>
    <w:qFormat/>
    <w:uiPriority w:val="0"/>
    <w:rPr>
      <w:rFonts w:ascii="宋体" w:hAnsi="Courier New"/>
      <w:kern w:val="2"/>
      <w:sz w:val="28"/>
    </w:rPr>
  </w:style>
  <w:style w:type="character" w:customStyle="1" w:styleId="91">
    <w:name w:val="尾注文本 Char"/>
    <w:basedOn w:val="50"/>
    <w:link w:val="28"/>
    <w:semiHidden/>
    <w:qFormat/>
    <w:uiPriority w:val="0"/>
    <w:rPr>
      <w:kern w:val="2"/>
      <w:sz w:val="28"/>
      <w:szCs w:val="24"/>
    </w:rPr>
  </w:style>
  <w:style w:type="character" w:customStyle="1" w:styleId="92">
    <w:name w:val="副标题 Char"/>
    <w:basedOn w:val="50"/>
    <w:link w:val="36"/>
    <w:qFormat/>
    <w:uiPriority w:val="11"/>
    <w:rPr>
      <w:rFonts w:ascii="Cambria" w:hAnsi="Cambria" w:cs="黑体"/>
      <w:b/>
      <w:bCs/>
      <w:kern w:val="28"/>
      <w:sz w:val="32"/>
      <w:szCs w:val="32"/>
    </w:rPr>
  </w:style>
  <w:style w:type="character" w:customStyle="1" w:styleId="93">
    <w:name w:val="脚注文本 Char"/>
    <w:basedOn w:val="50"/>
    <w:link w:val="37"/>
    <w:semiHidden/>
    <w:qFormat/>
    <w:uiPriority w:val="0"/>
    <w:rPr>
      <w:kern w:val="2"/>
      <w:sz w:val="18"/>
      <w:szCs w:val="18"/>
    </w:rPr>
  </w:style>
  <w:style w:type="character" w:customStyle="1" w:styleId="94">
    <w:name w:val="正文文本缩进 3 Char"/>
    <w:basedOn w:val="50"/>
    <w:link w:val="39"/>
    <w:qFormat/>
    <w:uiPriority w:val="0"/>
    <w:rPr>
      <w:kern w:val="2"/>
      <w:sz w:val="16"/>
      <w:szCs w:val="16"/>
    </w:rPr>
  </w:style>
  <w:style w:type="character" w:customStyle="1" w:styleId="95">
    <w:name w:val="HTML 预设格式 Char"/>
    <w:basedOn w:val="50"/>
    <w:link w:val="44"/>
    <w:qFormat/>
    <w:uiPriority w:val="0"/>
    <w:rPr>
      <w:rFonts w:ascii="Courier New" w:hAnsi="Courier New" w:cs="Courier New"/>
      <w:kern w:val="2"/>
    </w:rPr>
  </w:style>
  <w:style w:type="character" w:customStyle="1" w:styleId="96">
    <w:name w:val="标题 Char"/>
    <w:basedOn w:val="50"/>
    <w:link w:val="47"/>
    <w:qFormat/>
    <w:uiPriority w:val="0"/>
    <w:rPr>
      <w:rFonts w:ascii="Arial" w:hAnsi="Arial" w:cs="Arial"/>
      <w:b/>
      <w:bCs/>
      <w:kern w:val="2"/>
      <w:sz w:val="32"/>
      <w:szCs w:val="32"/>
    </w:rPr>
  </w:style>
  <w:style w:type="paragraph" w:customStyle="1" w:styleId="97">
    <w:name w:val="前言、引言标题"/>
    <w:next w:val="1"/>
    <w:qFormat/>
    <w:uiPriority w:val="0"/>
    <w:pPr>
      <w:numPr>
        <w:ilvl w:val="0"/>
        <w:numId w:val="2"/>
      </w:numPr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98">
    <w:name w:val="章标题"/>
    <w:next w:val="1"/>
    <w:qFormat/>
    <w:uiPriority w:val="0"/>
    <w:pPr>
      <w:numPr>
        <w:ilvl w:val="1"/>
        <w:numId w:val="2"/>
      </w:numPr>
      <w:spacing w:beforeLines="50" w:afterLines="5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99">
    <w:name w:val="一级条标题"/>
    <w:next w:val="1"/>
    <w:link w:val="214"/>
    <w:qFormat/>
    <w:uiPriority w:val="0"/>
    <w:pPr>
      <w:ind w:left="315"/>
      <w:outlineLvl w:val="2"/>
    </w:pPr>
    <w:rPr>
      <w:rFonts w:ascii="Times New Roman" w:hAnsi="Times New Roman" w:eastAsia="黑体" w:cs="Times New Roman"/>
      <w:sz w:val="21"/>
      <w:lang w:val="en-US" w:eastAsia="zh-CN" w:bidi="ar-SA"/>
    </w:rPr>
  </w:style>
  <w:style w:type="paragraph" w:customStyle="1" w:styleId="100">
    <w:name w:val="二级条标题"/>
    <w:basedOn w:val="99"/>
    <w:next w:val="1"/>
    <w:qFormat/>
    <w:uiPriority w:val="0"/>
    <w:pPr>
      <w:ind w:left="0"/>
      <w:outlineLvl w:val="3"/>
    </w:pPr>
  </w:style>
  <w:style w:type="paragraph" w:customStyle="1" w:styleId="101">
    <w:name w:val="三级条标题"/>
    <w:basedOn w:val="100"/>
    <w:next w:val="1"/>
    <w:qFormat/>
    <w:uiPriority w:val="0"/>
    <w:pPr>
      <w:numPr>
        <w:ilvl w:val="4"/>
        <w:numId w:val="2"/>
      </w:numPr>
      <w:tabs>
        <w:tab w:val="left" w:pos="2100"/>
      </w:tabs>
      <w:ind w:left="2100" w:hanging="420"/>
      <w:outlineLvl w:val="4"/>
    </w:pPr>
  </w:style>
  <w:style w:type="paragraph" w:customStyle="1" w:styleId="102">
    <w:name w:val="四级条标题"/>
    <w:basedOn w:val="101"/>
    <w:next w:val="1"/>
    <w:qFormat/>
    <w:uiPriority w:val="0"/>
    <w:pPr>
      <w:numPr>
        <w:numId w:val="0"/>
      </w:numPr>
      <w:outlineLvl w:val="5"/>
    </w:pPr>
  </w:style>
  <w:style w:type="paragraph" w:customStyle="1" w:styleId="103">
    <w:name w:val="五级条标题"/>
    <w:basedOn w:val="102"/>
    <w:next w:val="1"/>
    <w:qFormat/>
    <w:uiPriority w:val="0"/>
    <w:pPr>
      <w:numPr>
        <w:ilvl w:val="6"/>
        <w:numId w:val="2"/>
      </w:numPr>
      <w:tabs>
        <w:tab w:val="left" w:pos="2940"/>
      </w:tabs>
      <w:ind w:left="2940" w:hanging="420"/>
      <w:outlineLvl w:val="6"/>
    </w:pPr>
  </w:style>
  <w:style w:type="paragraph" w:customStyle="1" w:styleId="104">
    <w:name w:val="样式1"/>
    <w:basedOn w:val="47"/>
    <w:qFormat/>
    <w:uiPriority w:val="0"/>
    <w:pPr>
      <w:spacing w:beforeLines="50" w:afterLines="50"/>
      <w:ind w:firstLine="482" w:firstLineChars="200"/>
      <w:jc w:val="both"/>
    </w:pPr>
    <w:rPr>
      <w:rFonts w:ascii="宋体" w:hAnsi="宋体"/>
      <w:sz w:val="24"/>
    </w:rPr>
  </w:style>
  <w:style w:type="paragraph" w:customStyle="1" w:styleId="105">
    <w:name w:val="注："/>
    <w:next w:val="70"/>
    <w:qFormat/>
    <w:uiPriority w:val="0"/>
    <w:pPr>
      <w:widowControl w:val="0"/>
      <w:numPr>
        <w:ilvl w:val="0"/>
        <w:numId w:val="3"/>
      </w:numPr>
      <w:autoSpaceDE w:val="0"/>
      <w:autoSpaceDN w:val="0"/>
      <w:jc w:val="both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106">
    <w:name w:val="样式 新宋体 二号"/>
    <w:basedOn w:val="1"/>
    <w:qFormat/>
    <w:uiPriority w:val="0"/>
    <w:pPr>
      <w:spacing w:line="400" w:lineRule="exact"/>
      <w:ind w:left="856" w:right="-17" w:firstLine="880" w:firstLineChars="200"/>
    </w:pPr>
    <w:rPr>
      <w:rFonts w:ascii="新宋体" w:hAnsi="新宋体" w:eastAsia="新宋体" w:cs="宋体"/>
      <w:sz w:val="44"/>
      <w:szCs w:val="20"/>
    </w:rPr>
  </w:style>
  <w:style w:type="paragraph" w:customStyle="1" w:styleId="107">
    <w:name w:val="目次、标准名称标题"/>
    <w:basedOn w:val="97"/>
    <w:next w:val="70"/>
    <w:qFormat/>
    <w:uiPriority w:val="0"/>
    <w:pPr>
      <w:numPr>
        <w:numId w:val="0"/>
      </w:numPr>
      <w:tabs>
        <w:tab w:val="left" w:pos="425"/>
      </w:tabs>
      <w:spacing w:line="460" w:lineRule="exact"/>
      <w:ind w:left="425" w:hanging="425"/>
    </w:pPr>
  </w:style>
  <w:style w:type="paragraph" w:customStyle="1" w:styleId="108">
    <w:name w:val="附录标识"/>
    <w:basedOn w:val="97"/>
    <w:qFormat/>
    <w:uiPriority w:val="0"/>
    <w:pPr>
      <w:numPr>
        <w:ilvl w:val="0"/>
        <w:numId w:val="4"/>
      </w:numPr>
      <w:tabs>
        <w:tab w:val="left" w:pos="6405"/>
      </w:tabs>
      <w:spacing w:after="200"/>
    </w:pPr>
    <w:rPr>
      <w:sz w:val="21"/>
    </w:rPr>
  </w:style>
  <w:style w:type="paragraph" w:customStyle="1" w:styleId="109">
    <w:name w:val="附录章标题"/>
    <w:next w:val="70"/>
    <w:qFormat/>
    <w:uiPriority w:val="0"/>
    <w:pPr>
      <w:numPr>
        <w:ilvl w:val="1"/>
        <w:numId w:val="4"/>
      </w:numPr>
      <w:wordWrap w:val="0"/>
      <w:overflowPunct w:val="0"/>
      <w:autoSpaceDE w:val="0"/>
      <w:spacing w:beforeLines="50" w:afterLines="50"/>
      <w:jc w:val="both"/>
      <w:textAlignment w:val="baseline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110">
    <w:name w:val="附录一级条标题"/>
    <w:basedOn w:val="109"/>
    <w:next w:val="70"/>
    <w:qFormat/>
    <w:uiPriority w:val="0"/>
    <w:pPr>
      <w:numPr>
        <w:ilvl w:val="2"/>
      </w:numPr>
      <w:autoSpaceDN w:val="0"/>
      <w:spacing w:beforeLines="0" w:afterLines="0"/>
      <w:outlineLvl w:val="2"/>
    </w:pPr>
  </w:style>
  <w:style w:type="paragraph" w:customStyle="1" w:styleId="111">
    <w:name w:val="附录二级条标题"/>
    <w:basedOn w:val="110"/>
    <w:next w:val="70"/>
    <w:qFormat/>
    <w:uiPriority w:val="0"/>
    <w:pPr>
      <w:numPr>
        <w:ilvl w:val="3"/>
      </w:numPr>
      <w:outlineLvl w:val="3"/>
    </w:pPr>
  </w:style>
  <w:style w:type="paragraph" w:customStyle="1" w:styleId="112">
    <w:name w:val="附录三级条标题"/>
    <w:basedOn w:val="111"/>
    <w:next w:val="70"/>
    <w:qFormat/>
    <w:uiPriority w:val="0"/>
    <w:pPr>
      <w:numPr>
        <w:ilvl w:val="4"/>
      </w:numPr>
      <w:outlineLvl w:val="4"/>
    </w:pPr>
  </w:style>
  <w:style w:type="paragraph" w:customStyle="1" w:styleId="113">
    <w:name w:val="附录四级条标题"/>
    <w:basedOn w:val="112"/>
    <w:next w:val="70"/>
    <w:qFormat/>
    <w:uiPriority w:val="0"/>
    <w:pPr>
      <w:numPr>
        <w:ilvl w:val="5"/>
      </w:numPr>
      <w:outlineLvl w:val="5"/>
    </w:pPr>
  </w:style>
  <w:style w:type="paragraph" w:customStyle="1" w:styleId="114">
    <w:name w:val="附录五级条标题"/>
    <w:basedOn w:val="113"/>
    <w:next w:val="70"/>
    <w:qFormat/>
    <w:uiPriority w:val="0"/>
    <w:pPr>
      <w:numPr>
        <w:ilvl w:val="6"/>
      </w:numPr>
      <w:outlineLvl w:val="6"/>
    </w:pPr>
  </w:style>
  <w:style w:type="paragraph" w:customStyle="1" w:styleId="115">
    <w:name w:val="封面标准文稿类别"/>
    <w:qFormat/>
    <w:uiPriority w:val="0"/>
    <w:pPr>
      <w:spacing w:before="440" w:line="400" w:lineRule="exact"/>
      <w:jc w:val="center"/>
    </w:pPr>
    <w:rPr>
      <w:rFonts w:ascii="宋体" w:hAnsi="Times New Roman" w:eastAsia="宋体" w:cs="Times New Roman"/>
      <w:sz w:val="24"/>
      <w:lang w:val="en-US" w:eastAsia="zh-CN" w:bidi="ar-SA"/>
    </w:rPr>
  </w:style>
  <w:style w:type="paragraph" w:customStyle="1" w:styleId="116">
    <w:name w:val="附录表标题"/>
    <w:next w:val="70"/>
    <w:qFormat/>
    <w:uiPriority w:val="0"/>
    <w:pPr>
      <w:jc w:val="center"/>
      <w:textAlignment w:val="baseline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117">
    <w:name w:val="附录图标题"/>
    <w:next w:val="70"/>
    <w:qFormat/>
    <w:uiPriority w:val="0"/>
    <w:pPr>
      <w:tabs>
        <w:tab w:val="left" w:pos="360"/>
      </w:tabs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18">
    <w:name w:val="列项——（一级）"/>
    <w:qFormat/>
    <w:uiPriority w:val="0"/>
    <w:pPr>
      <w:widowControl w:val="0"/>
      <w:tabs>
        <w:tab w:val="left" w:pos="360"/>
        <w:tab w:val="left" w:pos="854"/>
      </w:tabs>
      <w:ind w:left="360" w:leftChars="200" w:hanging="360" w:hanging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19">
    <w:name w:val="列项●（二级）"/>
    <w:qFormat/>
    <w:uiPriority w:val="0"/>
    <w:pPr>
      <w:tabs>
        <w:tab w:val="left" w:pos="840"/>
        <w:tab w:val="left" w:pos="1140"/>
      </w:tabs>
      <w:ind w:left="600" w:leftChars="400" w:hanging="200" w:hanging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20">
    <w:name w:val="示例"/>
    <w:next w:val="70"/>
    <w:qFormat/>
    <w:uiPriority w:val="0"/>
    <w:pPr>
      <w:tabs>
        <w:tab w:val="left" w:pos="760"/>
        <w:tab w:val="left" w:pos="816"/>
      </w:tabs>
      <w:ind w:left="717" w:firstLine="419" w:firstLineChars="233"/>
      <w:jc w:val="both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121">
    <w:name w:val="正文表标题"/>
    <w:next w:val="70"/>
    <w:qFormat/>
    <w:uiPriority w:val="0"/>
    <w:pPr>
      <w:tabs>
        <w:tab w:val="left" w:pos="900"/>
      </w:tabs>
      <w:ind w:left="900" w:hanging="50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22">
    <w:name w:val="正文图标题"/>
    <w:next w:val="70"/>
    <w:qFormat/>
    <w:uiPriority w:val="0"/>
    <w:pPr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23">
    <w:name w:val="注×："/>
    <w:qFormat/>
    <w:uiPriority w:val="0"/>
    <w:pPr>
      <w:widowControl w:val="0"/>
      <w:tabs>
        <w:tab w:val="left" w:pos="630"/>
        <w:tab w:val="left" w:pos="1120"/>
      </w:tabs>
      <w:autoSpaceDE w:val="0"/>
      <w:autoSpaceDN w:val="0"/>
      <w:ind w:firstLine="400"/>
      <w:jc w:val="both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124">
    <w:name w:val="列项◆（三级）"/>
    <w:qFormat/>
    <w:uiPriority w:val="0"/>
    <w:pPr>
      <w:tabs>
        <w:tab w:val="left" w:pos="360"/>
      </w:tabs>
      <w:ind w:left="800" w:leftChars="600" w:hanging="200" w:hangingChars="200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25">
    <w:name w:val="标准标志"/>
    <w:next w:val="1"/>
    <w:qFormat/>
    <w:uiPriority w:val="0"/>
    <w:pPr>
      <w:framePr w:w="2268" w:h="1392" w:hRule="exact" w:wrap="around" w:vAnchor="margin" w:hAnchor="margin" w:x="6748" w:y="171" w:anchorLock="1"/>
      <w:shd w:val="solid" w:color="FFFFFF" w:fill="FFFFFF"/>
      <w:spacing w:line="0" w:lineRule="atLeast"/>
      <w:jc w:val="right"/>
    </w:pPr>
    <w:rPr>
      <w:rFonts w:ascii="Times New Roman" w:hAnsi="Times New Roman" w:eastAsia="宋体" w:cs="Times New Roman"/>
      <w:b/>
      <w:w w:val="130"/>
      <w:sz w:val="96"/>
      <w:lang w:val="en-US" w:eastAsia="zh-CN" w:bidi="ar-SA"/>
    </w:rPr>
  </w:style>
  <w:style w:type="paragraph" w:customStyle="1" w:styleId="126">
    <w:name w:val="标准称谓"/>
    <w:next w:val="1"/>
    <w:qFormat/>
    <w:uiPriority w:val="0"/>
    <w:pPr>
      <w:framePr w:w="9638" w:h="754" w:hRule="exact" w:hSpace="180" w:vSpace="180" w:wrap="around" w:vAnchor="page" w:hAnchor="margin" w:xAlign="center" w:y="2128" w:anchorLock="1"/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宋体" w:hAnsi="Times New Roman" w:eastAsia="宋体" w:cs="Times New Roman"/>
      <w:b/>
      <w:bCs/>
      <w:spacing w:val="20"/>
      <w:w w:val="148"/>
      <w:sz w:val="52"/>
      <w:lang w:val="en-US" w:eastAsia="zh-CN" w:bidi="ar-SA"/>
    </w:rPr>
  </w:style>
  <w:style w:type="paragraph" w:customStyle="1" w:styleId="127">
    <w:name w:val="标准书脚_偶数页"/>
    <w:qFormat/>
    <w:uiPriority w:val="0"/>
    <w:pPr>
      <w:spacing w:before="120"/>
    </w:pPr>
    <w:rPr>
      <w:rFonts w:ascii="Times New Roman" w:hAnsi="Times New Roman" w:eastAsia="宋体" w:cs="Times New Roman"/>
      <w:sz w:val="18"/>
      <w:lang w:val="en-US" w:eastAsia="zh-CN" w:bidi="ar-SA"/>
    </w:rPr>
  </w:style>
  <w:style w:type="paragraph" w:customStyle="1" w:styleId="128">
    <w:name w:val="标准书脚_奇数页"/>
    <w:qFormat/>
    <w:uiPriority w:val="0"/>
    <w:pPr>
      <w:spacing w:before="120"/>
      <w:jc w:val="right"/>
    </w:pPr>
    <w:rPr>
      <w:rFonts w:ascii="Times New Roman" w:hAnsi="Times New Roman" w:eastAsia="宋体" w:cs="Times New Roman"/>
      <w:sz w:val="18"/>
      <w:lang w:val="en-US" w:eastAsia="zh-CN" w:bidi="ar-SA"/>
    </w:rPr>
  </w:style>
  <w:style w:type="paragraph" w:customStyle="1" w:styleId="129">
    <w:name w:val="标准书眉_奇数页"/>
    <w:next w:val="1"/>
    <w:qFormat/>
    <w:uiPriority w:val="0"/>
    <w:pPr>
      <w:tabs>
        <w:tab w:val="center" w:pos="4154"/>
        <w:tab w:val="right" w:pos="8306"/>
      </w:tabs>
      <w:spacing w:after="120"/>
      <w:jc w:val="right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130">
    <w:name w:val="标准书眉_偶数页"/>
    <w:basedOn w:val="129"/>
    <w:next w:val="1"/>
    <w:qFormat/>
    <w:uiPriority w:val="0"/>
    <w:pPr>
      <w:jc w:val="left"/>
    </w:pPr>
  </w:style>
  <w:style w:type="paragraph" w:customStyle="1" w:styleId="131">
    <w:name w:val="标准书眉一"/>
    <w:qFormat/>
    <w:uiPriority w:val="0"/>
    <w:pPr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32">
    <w:name w:val="参考文献、索引标题"/>
    <w:basedOn w:val="97"/>
    <w:next w:val="1"/>
    <w:qFormat/>
    <w:uiPriority w:val="0"/>
    <w:pPr>
      <w:numPr>
        <w:numId w:val="0"/>
      </w:numPr>
      <w:spacing w:after="200"/>
    </w:pPr>
    <w:rPr>
      <w:sz w:val="21"/>
    </w:rPr>
  </w:style>
  <w:style w:type="paragraph" w:customStyle="1" w:styleId="133">
    <w:name w:val="发布部门"/>
    <w:next w:val="70"/>
    <w:qFormat/>
    <w:uiPriority w:val="0"/>
    <w:pPr>
      <w:framePr w:w="7433" w:h="585" w:hRule="exact" w:hSpace="180" w:vSpace="180" w:wrap="around" w:vAnchor="margin" w:hAnchor="margin" w:xAlign="center" w:y="14401" w:anchorLock="1"/>
      <w:jc w:val="center"/>
    </w:pPr>
    <w:rPr>
      <w:rFonts w:ascii="宋体" w:hAnsi="Times New Roman" w:eastAsia="宋体" w:cs="Times New Roman"/>
      <w:b/>
      <w:spacing w:val="20"/>
      <w:w w:val="135"/>
      <w:sz w:val="36"/>
      <w:lang w:val="en-US" w:eastAsia="zh-CN" w:bidi="ar-SA"/>
    </w:rPr>
  </w:style>
  <w:style w:type="paragraph" w:customStyle="1" w:styleId="134">
    <w:name w:val="发布日期"/>
    <w:qFormat/>
    <w:uiPriority w:val="0"/>
    <w:rPr>
      <w:rFonts w:ascii="Times New Roman" w:hAnsi="Times New Roman" w:eastAsia="黑体" w:cs="Times New Roman"/>
      <w:sz w:val="28"/>
      <w:lang w:val="en-US" w:eastAsia="zh-CN" w:bidi="ar-SA"/>
    </w:rPr>
  </w:style>
  <w:style w:type="paragraph" w:customStyle="1" w:styleId="135">
    <w:name w:val="封面标准号1"/>
    <w:qFormat/>
    <w:uiPriority w:val="0"/>
    <w:pPr>
      <w:widowControl w:val="0"/>
      <w:kinsoku w:val="0"/>
      <w:overflowPunct w:val="0"/>
      <w:autoSpaceDE w:val="0"/>
      <w:autoSpaceDN w:val="0"/>
      <w:spacing w:before="308"/>
      <w:jc w:val="right"/>
      <w:textAlignment w:val="center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136">
    <w:name w:val="封面标准号2"/>
    <w:basedOn w:val="135"/>
    <w:qFormat/>
    <w:uiPriority w:val="0"/>
    <w:pPr>
      <w:framePr w:w="9138" w:h="1244" w:hRule="exact" w:wrap="around" w:vAnchor="page" w:hAnchor="margin" w:y="2908"/>
      <w:adjustRightInd w:val="0"/>
      <w:spacing w:before="357" w:line="280" w:lineRule="exact"/>
    </w:pPr>
  </w:style>
  <w:style w:type="paragraph" w:customStyle="1" w:styleId="137">
    <w:name w:val="封面标准代替信息"/>
    <w:basedOn w:val="136"/>
    <w:qFormat/>
    <w:uiPriority w:val="0"/>
    <w:pPr>
      <w:framePr w:wrap="around"/>
      <w:spacing w:before="57"/>
    </w:pPr>
    <w:rPr>
      <w:rFonts w:ascii="宋体"/>
      <w:sz w:val="21"/>
    </w:rPr>
  </w:style>
  <w:style w:type="paragraph" w:customStyle="1" w:styleId="138">
    <w:name w:val="封面一致性程度标识"/>
    <w:qFormat/>
    <w:uiPriority w:val="0"/>
    <w:pPr>
      <w:spacing w:before="440" w:line="400" w:lineRule="exact"/>
      <w:jc w:val="center"/>
    </w:pPr>
    <w:rPr>
      <w:rFonts w:ascii="宋体" w:hAnsi="Times New Roman" w:eastAsia="宋体" w:cs="Times New Roman"/>
      <w:sz w:val="28"/>
      <w:lang w:val="en-US" w:eastAsia="zh-CN" w:bidi="ar-SA"/>
    </w:rPr>
  </w:style>
  <w:style w:type="paragraph" w:customStyle="1" w:styleId="139">
    <w:name w:val="封面正文"/>
    <w:qFormat/>
    <w:uiPriority w:val="0"/>
    <w:pPr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40">
    <w:name w:val="目次、索引正文"/>
    <w:qFormat/>
    <w:uiPriority w:val="0"/>
    <w:pPr>
      <w:spacing w:line="320" w:lineRule="exact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41">
    <w:name w:val="其他标准称谓"/>
    <w:qFormat/>
    <w:uiPriority w:val="0"/>
    <w:pPr>
      <w:spacing w:line="0" w:lineRule="atLeast"/>
      <w:jc w:val="distribute"/>
    </w:pPr>
    <w:rPr>
      <w:rFonts w:ascii="黑体" w:hAnsi="宋体" w:eastAsia="黑体" w:cs="Times New Roman"/>
      <w:sz w:val="52"/>
      <w:lang w:val="en-US" w:eastAsia="zh-CN" w:bidi="ar-SA"/>
    </w:rPr>
  </w:style>
  <w:style w:type="paragraph" w:customStyle="1" w:styleId="142">
    <w:name w:val="其他发布部门"/>
    <w:basedOn w:val="133"/>
    <w:qFormat/>
    <w:uiPriority w:val="0"/>
    <w:pPr>
      <w:framePr w:wrap="around"/>
      <w:spacing w:line="0" w:lineRule="atLeast"/>
    </w:pPr>
    <w:rPr>
      <w:rFonts w:ascii="黑体" w:eastAsia="黑体"/>
      <w:b w:val="0"/>
    </w:rPr>
  </w:style>
  <w:style w:type="paragraph" w:customStyle="1" w:styleId="143">
    <w:name w:val="实施日期"/>
    <w:basedOn w:val="134"/>
    <w:qFormat/>
    <w:uiPriority w:val="0"/>
    <w:pPr>
      <w:framePr w:wrap="around" w:vAnchor="margin" w:hAnchor="text" w:xAlign="right" w:y="1"/>
      <w:jc w:val="right"/>
    </w:pPr>
  </w:style>
  <w:style w:type="paragraph" w:customStyle="1" w:styleId="144">
    <w:name w:val="数字编号列项（二级）"/>
    <w:qFormat/>
    <w:uiPriority w:val="0"/>
    <w:pPr>
      <w:ind w:left="1260" w:leftChars="400" w:hanging="420" w:hanging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45">
    <w:name w:val="条文脚注"/>
    <w:basedOn w:val="37"/>
    <w:qFormat/>
    <w:uiPriority w:val="0"/>
    <w:pPr>
      <w:ind w:left="780" w:leftChars="200" w:hanging="360" w:hangingChars="200"/>
      <w:jc w:val="both"/>
    </w:pPr>
    <w:rPr>
      <w:rFonts w:ascii="宋体"/>
    </w:rPr>
  </w:style>
  <w:style w:type="paragraph" w:customStyle="1" w:styleId="146">
    <w:name w:val="图表脚注"/>
    <w:next w:val="70"/>
    <w:qFormat/>
    <w:uiPriority w:val="0"/>
    <w:pPr>
      <w:ind w:left="300" w:leftChars="200" w:hanging="100" w:hangingChars="100"/>
      <w:jc w:val="both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147">
    <w:name w:val="文献分类号"/>
    <w:qFormat/>
    <w:uiPriority w:val="0"/>
    <w:pPr>
      <w:widowControl w:val="0"/>
      <w:textAlignment w:val="center"/>
    </w:pPr>
    <w:rPr>
      <w:rFonts w:ascii="Times New Roman" w:hAnsi="Times New Roman" w:eastAsia="黑体" w:cs="Times New Roman"/>
      <w:sz w:val="21"/>
      <w:lang w:val="en-US" w:eastAsia="zh-CN" w:bidi="ar-SA"/>
    </w:rPr>
  </w:style>
  <w:style w:type="paragraph" w:customStyle="1" w:styleId="148">
    <w:name w:val="字母编号列项（一级）"/>
    <w:qFormat/>
    <w:uiPriority w:val="0"/>
    <w:pPr>
      <w:ind w:left="840" w:leftChars="200" w:hanging="420" w:hanging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49">
    <w:name w:val="编号列项（三级）"/>
    <w:qFormat/>
    <w:uiPriority w:val="0"/>
    <w:pPr>
      <w:ind w:left="800" w:leftChars="600" w:hanging="200" w:hangingChars="200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50">
    <w:name w:val="示例×："/>
    <w:basedOn w:val="98"/>
    <w:qFormat/>
    <w:uiPriority w:val="0"/>
    <w:pPr>
      <w:numPr>
        <w:ilvl w:val="0"/>
        <w:numId w:val="5"/>
      </w:numPr>
      <w:spacing w:beforeLines="0" w:afterLines="0"/>
      <w:outlineLvl w:val="9"/>
    </w:pPr>
    <w:rPr>
      <w:rFonts w:ascii="宋体" w:eastAsia="宋体"/>
      <w:sz w:val="18"/>
      <w:szCs w:val="18"/>
    </w:rPr>
  </w:style>
  <w:style w:type="paragraph" w:customStyle="1" w:styleId="151">
    <w:name w:val="二级无"/>
    <w:basedOn w:val="100"/>
    <w:qFormat/>
    <w:uiPriority w:val="0"/>
    <w:pPr>
      <w:numPr>
        <w:ilvl w:val="2"/>
        <w:numId w:val="2"/>
      </w:numPr>
      <w:tabs>
        <w:tab w:val="left" w:pos="1260"/>
      </w:tabs>
      <w:ind w:left="0" w:hanging="420"/>
    </w:pPr>
    <w:rPr>
      <w:rFonts w:ascii="宋体" w:eastAsia="宋体"/>
      <w:szCs w:val="21"/>
    </w:rPr>
  </w:style>
  <w:style w:type="paragraph" w:customStyle="1" w:styleId="152">
    <w:name w:val="注：（正文）"/>
    <w:basedOn w:val="105"/>
    <w:next w:val="70"/>
    <w:qFormat/>
    <w:uiPriority w:val="0"/>
    <w:pPr>
      <w:numPr>
        <w:ilvl w:val="0"/>
        <w:numId w:val="6"/>
      </w:numPr>
      <w:tabs>
        <w:tab w:val="clear" w:pos="1140"/>
      </w:tabs>
    </w:pPr>
    <w:rPr>
      <w:szCs w:val="18"/>
    </w:rPr>
  </w:style>
  <w:style w:type="paragraph" w:customStyle="1" w:styleId="153">
    <w:name w:val="注×：（正文）"/>
    <w:qFormat/>
    <w:uiPriority w:val="0"/>
    <w:pPr>
      <w:numPr>
        <w:ilvl w:val="0"/>
        <w:numId w:val="7"/>
      </w:numPr>
      <w:jc w:val="both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154">
    <w:name w:val="参考文献"/>
    <w:basedOn w:val="1"/>
    <w:next w:val="70"/>
    <w:qFormat/>
    <w:uiPriority w:val="0"/>
    <w:pPr>
      <w:keepNext/>
      <w:pageBreakBefore/>
      <w:widowControl/>
      <w:shd w:val="clear" w:color="FFFFFF" w:fill="FFFFFF"/>
      <w:spacing w:before="640" w:after="200" w:line="400" w:lineRule="exact"/>
      <w:ind w:left="856" w:right="-17" w:hanging="431"/>
      <w:jc w:val="center"/>
      <w:outlineLvl w:val="0"/>
    </w:pPr>
    <w:rPr>
      <w:rFonts w:ascii="黑体" w:eastAsia="黑体"/>
      <w:kern w:val="0"/>
      <w:sz w:val="28"/>
      <w:szCs w:val="20"/>
    </w:rPr>
  </w:style>
  <w:style w:type="paragraph" w:customStyle="1" w:styleId="155">
    <w:name w:val="附录标题"/>
    <w:basedOn w:val="70"/>
    <w:next w:val="70"/>
    <w:qFormat/>
    <w:uiPriority w:val="0"/>
    <w:pPr>
      <w:ind w:firstLine="0" w:firstLineChars="0"/>
      <w:jc w:val="center"/>
    </w:pPr>
    <w:rPr>
      <w:rFonts w:ascii="黑体" w:eastAsia="黑体"/>
    </w:rPr>
  </w:style>
  <w:style w:type="paragraph" w:customStyle="1" w:styleId="156">
    <w:name w:val="附录表标号"/>
    <w:basedOn w:val="1"/>
    <w:next w:val="70"/>
    <w:qFormat/>
    <w:uiPriority w:val="0"/>
    <w:pPr>
      <w:tabs>
        <w:tab w:val="left" w:pos="839"/>
      </w:tabs>
      <w:spacing w:line="14" w:lineRule="exact"/>
      <w:ind w:left="811" w:right="-17" w:hanging="448"/>
      <w:jc w:val="center"/>
      <w:outlineLvl w:val="0"/>
    </w:pPr>
    <w:rPr>
      <w:color w:val="FFFFFF"/>
      <w:sz w:val="28"/>
    </w:rPr>
  </w:style>
  <w:style w:type="paragraph" w:customStyle="1" w:styleId="157">
    <w:name w:val="附录二级无"/>
    <w:basedOn w:val="111"/>
    <w:qFormat/>
    <w:uiPriority w:val="0"/>
    <w:pPr>
      <w:numPr>
        <w:numId w:val="0"/>
      </w:numPr>
      <w:tabs>
        <w:tab w:val="left" w:pos="760"/>
      </w:tabs>
      <w:ind w:left="717" w:hanging="317"/>
    </w:pPr>
    <w:rPr>
      <w:rFonts w:ascii="宋体" w:eastAsia="宋体"/>
      <w:szCs w:val="21"/>
    </w:rPr>
  </w:style>
  <w:style w:type="paragraph" w:customStyle="1" w:styleId="158">
    <w:name w:val="附录公式"/>
    <w:basedOn w:val="70"/>
    <w:next w:val="70"/>
    <w:link w:val="204"/>
    <w:qFormat/>
    <w:uiPriority w:val="0"/>
  </w:style>
  <w:style w:type="paragraph" w:customStyle="1" w:styleId="159">
    <w:name w:val="附录公式编号制表符"/>
    <w:basedOn w:val="1"/>
    <w:next w:val="70"/>
    <w:qFormat/>
    <w:uiPriority w:val="0"/>
    <w:pPr>
      <w:widowControl/>
      <w:tabs>
        <w:tab w:val="center" w:pos="4201"/>
        <w:tab w:val="right" w:leader="dot" w:pos="9298"/>
      </w:tabs>
      <w:autoSpaceDE w:val="0"/>
      <w:autoSpaceDN w:val="0"/>
      <w:spacing w:line="400" w:lineRule="exact"/>
      <w:ind w:left="856" w:right="-17" w:hanging="431"/>
    </w:pPr>
    <w:rPr>
      <w:rFonts w:ascii="宋体"/>
      <w:kern w:val="0"/>
      <w:sz w:val="28"/>
      <w:szCs w:val="20"/>
    </w:rPr>
  </w:style>
  <w:style w:type="paragraph" w:customStyle="1" w:styleId="160">
    <w:name w:val="附录三级无"/>
    <w:basedOn w:val="112"/>
    <w:qFormat/>
    <w:uiPriority w:val="0"/>
    <w:pPr>
      <w:numPr>
        <w:numId w:val="0"/>
      </w:numPr>
      <w:tabs>
        <w:tab w:val="left" w:pos="760"/>
      </w:tabs>
      <w:ind w:left="717" w:hanging="317"/>
    </w:pPr>
    <w:rPr>
      <w:rFonts w:ascii="宋体" w:eastAsia="宋体"/>
      <w:szCs w:val="21"/>
    </w:rPr>
  </w:style>
  <w:style w:type="paragraph" w:customStyle="1" w:styleId="161">
    <w:name w:val="附录数字编号列项（二级）"/>
    <w:qFormat/>
    <w:uiPriority w:val="0"/>
    <w:pPr>
      <w:numPr>
        <w:ilvl w:val="1"/>
        <w:numId w:val="8"/>
      </w:numPr>
      <w:tabs>
        <w:tab w:val="left" w:pos="839"/>
        <w:tab w:val="clear" w:pos="840"/>
      </w:tabs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62">
    <w:name w:val="附录四级无"/>
    <w:basedOn w:val="113"/>
    <w:qFormat/>
    <w:uiPriority w:val="0"/>
    <w:pPr>
      <w:numPr>
        <w:numId w:val="0"/>
      </w:numPr>
      <w:tabs>
        <w:tab w:val="left" w:pos="760"/>
      </w:tabs>
      <w:ind w:left="717" w:hanging="317"/>
    </w:pPr>
    <w:rPr>
      <w:rFonts w:ascii="宋体" w:eastAsia="宋体"/>
      <w:szCs w:val="21"/>
    </w:rPr>
  </w:style>
  <w:style w:type="paragraph" w:customStyle="1" w:styleId="163">
    <w:name w:val="附录图标号"/>
    <w:basedOn w:val="1"/>
    <w:qFormat/>
    <w:uiPriority w:val="0"/>
    <w:pPr>
      <w:keepNext/>
      <w:pageBreakBefore/>
      <w:widowControl/>
      <w:tabs>
        <w:tab w:val="left" w:pos="839"/>
      </w:tabs>
      <w:spacing w:line="14" w:lineRule="exact"/>
      <w:ind w:right="-17" w:firstLine="363"/>
      <w:jc w:val="center"/>
      <w:outlineLvl w:val="0"/>
    </w:pPr>
    <w:rPr>
      <w:color w:val="FFFFFF"/>
      <w:sz w:val="28"/>
    </w:rPr>
  </w:style>
  <w:style w:type="paragraph" w:customStyle="1" w:styleId="164">
    <w:name w:val="附录五级无"/>
    <w:basedOn w:val="114"/>
    <w:qFormat/>
    <w:uiPriority w:val="0"/>
    <w:pPr>
      <w:numPr>
        <w:numId w:val="0"/>
      </w:numPr>
      <w:tabs>
        <w:tab w:val="left" w:pos="760"/>
      </w:tabs>
      <w:ind w:left="717" w:hanging="317"/>
    </w:pPr>
    <w:rPr>
      <w:rFonts w:ascii="宋体" w:eastAsia="宋体"/>
      <w:szCs w:val="21"/>
    </w:rPr>
  </w:style>
  <w:style w:type="paragraph" w:customStyle="1" w:styleId="165">
    <w:name w:val="附录一级无"/>
    <w:basedOn w:val="110"/>
    <w:qFormat/>
    <w:uiPriority w:val="0"/>
    <w:pPr>
      <w:numPr>
        <w:ilvl w:val="0"/>
        <w:numId w:val="9"/>
      </w:numPr>
    </w:pPr>
    <w:rPr>
      <w:rFonts w:ascii="宋体" w:eastAsia="宋体"/>
      <w:szCs w:val="21"/>
    </w:rPr>
  </w:style>
  <w:style w:type="paragraph" w:customStyle="1" w:styleId="166">
    <w:name w:val="附录字母编号列项（一级）"/>
    <w:qFormat/>
    <w:uiPriority w:val="0"/>
    <w:pPr>
      <w:numPr>
        <w:ilvl w:val="0"/>
        <w:numId w:val="8"/>
      </w:numPr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67">
    <w:name w:val="列项说明"/>
    <w:basedOn w:val="1"/>
    <w:qFormat/>
    <w:uiPriority w:val="0"/>
    <w:pPr>
      <w:adjustRightInd w:val="0"/>
      <w:spacing w:line="320" w:lineRule="exact"/>
      <w:ind w:left="400" w:leftChars="200" w:right="-17" w:hanging="200" w:hangingChars="200"/>
      <w:jc w:val="left"/>
      <w:textAlignment w:val="baseline"/>
    </w:pPr>
    <w:rPr>
      <w:rFonts w:ascii="宋体"/>
      <w:kern w:val="0"/>
      <w:sz w:val="28"/>
      <w:szCs w:val="20"/>
    </w:rPr>
  </w:style>
  <w:style w:type="paragraph" w:customStyle="1" w:styleId="168">
    <w:name w:val="列项说明数字编号"/>
    <w:qFormat/>
    <w:uiPriority w:val="0"/>
    <w:pPr>
      <w:ind w:left="600" w:leftChars="400" w:hanging="200" w:hangingChars="200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69">
    <w:name w:val="其他标准标志"/>
    <w:basedOn w:val="125"/>
    <w:qFormat/>
    <w:uiPriority w:val="0"/>
    <w:pPr>
      <w:framePr w:w="6101" w:h="1389" w:hRule="exact" w:hSpace="181" w:vSpace="181" w:wrap="around" w:vAnchor="page" w:hAnchor="page" w:x="4673" w:y="942"/>
    </w:pPr>
    <w:rPr>
      <w:szCs w:val="96"/>
    </w:rPr>
  </w:style>
  <w:style w:type="paragraph" w:customStyle="1" w:styleId="170">
    <w:name w:val="三级无"/>
    <w:basedOn w:val="101"/>
    <w:qFormat/>
    <w:uiPriority w:val="0"/>
    <w:pPr>
      <w:numPr>
        <w:ilvl w:val="3"/>
      </w:numPr>
      <w:tabs>
        <w:tab w:val="left" w:pos="1680"/>
      </w:tabs>
      <w:ind w:left="1680" w:hanging="420"/>
    </w:pPr>
    <w:rPr>
      <w:rFonts w:ascii="宋体" w:eastAsia="宋体"/>
      <w:szCs w:val="21"/>
    </w:rPr>
  </w:style>
  <w:style w:type="paragraph" w:customStyle="1" w:styleId="171">
    <w:name w:val="示例后文字"/>
    <w:basedOn w:val="70"/>
    <w:next w:val="70"/>
    <w:qFormat/>
    <w:uiPriority w:val="0"/>
    <w:pPr>
      <w:ind w:firstLine="360"/>
    </w:pPr>
    <w:rPr>
      <w:sz w:val="18"/>
    </w:rPr>
  </w:style>
  <w:style w:type="paragraph" w:customStyle="1" w:styleId="172">
    <w:name w:val="首示例"/>
    <w:next w:val="70"/>
    <w:link w:val="205"/>
    <w:qFormat/>
    <w:uiPriority w:val="0"/>
    <w:pPr>
      <w:numPr>
        <w:ilvl w:val="0"/>
        <w:numId w:val="10"/>
      </w:numPr>
      <w:tabs>
        <w:tab w:val="left" w:pos="360"/>
      </w:tabs>
      <w:ind w:firstLine="0"/>
    </w:pPr>
    <w:rPr>
      <w:rFonts w:ascii="宋体" w:hAnsi="宋体" w:eastAsia="宋体" w:cs="Times New Roman"/>
      <w:kern w:val="2"/>
      <w:sz w:val="18"/>
      <w:szCs w:val="18"/>
      <w:lang w:val="en-US" w:eastAsia="zh-CN" w:bidi="ar-SA"/>
    </w:rPr>
  </w:style>
  <w:style w:type="paragraph" w:customStyle="1" w:styleId="173">
    <w:name w:val="四级无"/>
    <w:basedOn w:val="102"/>
    <w:qFormat/>
    <w:uiPriority w:val="0"/>
    <w:pPr>
      <w:numPr>
        <w:ilvl w:val="0"/>
        <w:numId w:val="11"/>
      </w:numPr>
      <w:tabs>
        <w:tab w:val="left" w:pos="360"/>
      </w:tabs>
      <w:ind w:firstLine="0"/>
    </w:pPr>
    <w:rPr>
      <w:rFonts w:ascii="宋体" w:eastAsia="宋体"/>
      <w:szCs w:val="21"/>
    </w:rPr>
  </w:style>
  <w:style w:type="paragraph" w:customStyle="1" w:styleId="174">
    <w:name w:val="图标脚注说明"/>
    <w:basedOn w:val="70"/>
    <w:qFormat/>
    <w:uiPriority w:val="0"/>
    <w:pPr>
      <w:ind w:left="840" w:hanging="420" w:firstLineChars="0"/>
    </w:pPr>
    <w:rPr>
      <w:sz w:val="18"/>
      <w:szCs w:val="18"/>
    </w:rPr>
  </w:style>
  <w:style w:type="paragraph" w:customStyle="1" w:styleId="175">
    <w:name w:val="图表脚注说明"/>
    <w:basedOn w:val="1"/>
    <w:qFormat/>
    <w:uiPriority w:val="0"/>
    <w:pPr>
      <w:numPr>
        <w:ilvl w:val="0"/>
        <w:numId w:val="12"/>
      </w:numPr>
      <w:spacing w:line="400" w:lineRule="exact"/>
      <w:ind w:right="-17"/>
    </w:pPr>
    <w:rPr>
      <w:rFonts w:ascii="宋体"/>
      <w:sz w:val="18"/>
      <w:szCs w:val="18"/>
    </w:rPr>
  </w:style>
  <w:style w:type="paragraph" w:customStyle="1" w:styleId="176">
    <w:name w:val="图的脚注"/>
    <w:next w:val="70"/>
    <w:qFormat/>
    <w:uiPriority w:val="0"/>
    <w:pPr>
      <w:widowControl w:val="0"/>
      <w:ind w:left="840" w:leftChars="200" w:hanging="420" w:hangingChars="200"/>
      <w:jc w:val="both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177">
    <w:name w:val="五级无"/>
    <w:basedOn w:val="103"/>
    <w:qFormat/>
    <w:uiPriority w:val="0"/>
    <w:pPr>
      <w:numPr>
        <w:ilvl w:val="5"/>
      </w:numPr>
      <w:tabs>
        <w:tab w:val="left" w:pos="2520"/>
      </w:tabs>
      <w:ind w:left="2520" w:hanging="420"/>
    </w:pPr>
    <w:rPr>
      <w:rFonts w:ascii="宋体" w:eastAsia="宋体"/>
      <w:szCs w:val="21"/>
    </w:rPr>
  </w:style>
  <w:style w:type="paragraph" w:customStyle="1" w:styleId="178">
    <w:name w:val="一级无"/>
    <w:basedOn w:val="99"/>
    <w:qFormat/>
    <w:uiPriority w:val="0"/>
    <w:rPr>
      <w:rFonts w:ascii="宋体" w:eastAsia="宋体"/>
      <w:szCs w:val="21"/>
    </w:rPr>
  </w:style>
  <w:style w:type="paragraph" w:customStyle="1" w:styleId="179">
    <w:name w:val="终结线"/>
    <w:basedOn w:val="1"/>
    <w:qFormat/>
    <w:uiPriority w:val="0"/>
    <w:pPr>
      <w:framePr w:hSpace="181" w:vSpace="181" w:wrap="around" w:vAnchor="text" w:hAnchor="margin" w:xAlign="center" w:y="285"/>
      <w:spacing w:line="400" w:lineRule="exact"/>
      <w:ind w:left="856" w:right="-17" w:hanging="431"/>
    </w:pPr>
    <w:rPr>
      <w:sz w:val="28"/>
    </w:rPr>
  </w:style>
  <w:style w:type="paragraph" w:customStyle="1" w:styleId="180">
    <w:name w:val="其他发布日期"/>
    <w:basedOn w:val="134"/>
    <w:qFormat/>
    <w:uiPriority w:val="0"/>
    <w:pPr>
      <w:framePr w:w="3997" w:h="471" w:hRule="exact" w:vSpace="181" w:wrap="around" w:vAnchor="page" w:hAnchor="page" w:x="1419" w:y="14097"/>
    </w:pPr>
  </w:style>
  <w:style w:type="paragraph" w:customStyle="1" w:styleId="181">
    <w:name w:val="其他实施日期"/>
    <w:basedOn w:val="143"/>
    <w:qFormat/>
    <w:uiPriority w:val="0"/>
    <w:pPr>
      <w:framePr w:w="3997" w:h="471" w:hRule="exact" w:vSpace="181" w:wrap="around" w:vAnchor="page" w:hAnchor="page" w:x="7089" w:y="14097"/>
    </w:pPr>
  </w:style>
  <w:style w:type="paragraph" w:customStyle="1" w:styleId="182">
    <w:name w:val="封面标准名称2"/>
    <w:basedOn w:val="72"/>
    <w:qFormat/>
    <w:uiPriority w:val="0"/>
    <w:pPr>
      <w:framePr w:w="9639" w:hRule="auto" w:wrap="around" w:vAnchor="page" w:hAnchor="page" w:xAlign="left" w:y="4469" w:anchorLock="0"/>
      <w:spacing w:beforeLines="630"/>
    </w:pPr>
  </w:style>
  <w:style w:type="paragraph" w:customStyle="1" w:styleId="183">
    <w:name w:val="封面标准英文名称2"/>
    <w:basedOn w:val="67"/>
    <w:qFormat/>
    <w:uiPriority w:val="0"/>
    <w:pPr>
      <w:framePr w:w="9639" w:h="6917" w:hRule="exact" w:wrap="around" w:vAnchor="page" w:hAnchor="page" w:xAlign="center" w:y="4469" w:anchorLock="1"/>
      <w:textAlignment w:val="center"/>
    </w:pPr>
    <w:rPr>
      <w:rFonts w:eastAsia="黑体"/>
      <w:szCs w:val="28"/>
    </w:rPr>
  </w:style>
  <w:style w:type="paragraph" w:customStyle="1" w:styleId="184">
    <w:name w:val="封面一致性程度标识2"/>
    <w:basedOn w:val="138"/>
    <w:qFormat/>
    <w:uiPriority w:val="0"/>
    <w:pPr>
      <w:framePr w:w="9639" w:h="6917" w:hRule="exact" w:wrap="around" w:vAnchor="page" w:hAnchor="page" w:xAlign="center" w:y="4469" w:anchorLock="1"/>
      <w:widowControl w:val="0"/>
      <w:textAlignment w:val="center"/>
    </w:pPr>
    <w:rPr>
      <w:szCs w:val="28"/>
    </w:rPr>
  </w:style>
  <w:style w:type="paragraph" w:customStyle="1" w:styleId="185">
    <w:name w:val="封面标准文稿类别2"/>
    <w:basedOn w:val="115"/>
    <w:qFormat/>
    <w:uiPriority w:val="0"/>
    <w:pPr>
      <w:framePr w:w="9639" w:h="6917" w:hRule="exact" w:wrap="around" w:vAnchor="page" w:hAnchor="page" w:xAlign="center" w:y="4469" w:anchorLock="1"/>
      <w:widowControl w:val="0"/>
      <w:spacing w:after="160" w:line="240" w:lineRule="auto"/>
      <w:textAlignment w:val="center"/>
    </w:pPr>
    <w:rPr>
      <w:szCs w:val="28"/>
    </w:rPr>
  </w:style>
  <w:style w:type="paragraph" w:customStyle="1" w:styleId="186">
    <w:name w:val="封面标准文稿编辑信息2"/>
    <w:basedOn w:val="68"/>
    <w:qFormat/>
    <w:uiPriority w:val="0"/>
    <w:pPr>
      <w:framePr w:w="9639" w:h="6917" w:hRule="exact" w:wrap="around" w:vAnchor="page" w:hAnchor="page" w:xAlign="center" w:y="4469" w:anchorLock="1"/>
      <w:widowControl w:val="0"/>
      <w:spacing w:after="160"/>
      <w:textAlignment w:val="center"/>
    </w:pPr>
    <w:rPr>
      <w:szCs w:val="28"/>
    </w:rPr>
  </w:style>
  <w:style w:type="paragraph" w:customStyle="1" w:styleId="187">
    <w:name w:val="示例内容"/>
    <w:qFormat/>
    <w:uiPriority w:val="0"/>
    <w:pPr>
      <w:ind w:firstLine="200" w:firstLineChars="200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188">
    <w:name w:val="二级无标题条"/>
    <w:basedOn w:val="1"/>
    <w:qFormat/>
    <w:uiPriority w:val="0"/>
    <w:pPr>
      <w:numPr>
        <w:ilvl w:val="3"/>
        <w:numId w:val="13"/>
      </w:numPr>
      <w:spacing w:line="400" w:lineRule="exact"/>
      <w:ind w:right="-17"/>
    </w:pPr>
    <w:rPr>
      <w:sz w:val="28"/>
    </w:rPr>
  </w:style>
  <w:style w:type="paragraph" w:customStyle="1" w:styleId="189">
    <w:name w:val="三级无标题条"/>
    <w:basedOn w:val="1"/>
    <w:qFormat/>
    <w:uiPriority w:val="0"/>
    <w:pPr>
      <w:numPr>
        <w:ilvl w:val="4"/>
        <w:numId w:val="13"/>
      </w:numPr>
      <w:spacing w:line="400" w:lineRule="exact"/>
      <w:ind w:right="-17"/>
    </w:pPr>
    <w:rPr>
      <w:sz w:val="28"/>
    </w:rPr>
  </w:style>
  <w:style w:type="paragraph" w:customStyle="1" w:styleId="190">
    <w:name w:val="四级无标题条"/>
    <w:basedOn w:val="1"/>
    <w:qFormat/>
    <w:uiPriority w:val="0"/>
    <w:pPr>
      <w:numPr>
        <w:ilvl w:val="5"/>
        <w:numId w:val="13"/>
      </w:numPr>
      <w:spacing w:line="400" w:lineRule="exact"/>
      <w:ind w:right="-17"/>
    </w:pPr>
    <w:rPr>
      <w:sz w:val="28"/>
    </w:rPr>
  </w:style>
  <w:style w:type="paragraph" w:customStyle="1" w:styleId="191">
    <w:name w:val="五级无标题条"/>
    <w:basedOn w:val="1"/>
    <w:qFormat/>
    <w:uiPriority w:val="0"/>
    <w:pPr>
      <w:numPr>
        <w:ilvl w:val="6"/>
        <w:numId w:val="13"/>
      </w:numPr>
      <w:spacing w:line="400" w:lineRule="exact"/>
      <w:ind w:right="-17"/>
    </w:pPr>
    <w:rPr>
      <w:sz w:val="28"/>
    </w:rPr>
  </w:style>
  <w:style w:type="paragraph" w:customStyle="1" w:styleId="192">
    <w:name w:val="一级无标题条"/>
    <w:basedOn w:val="1"/>
    <w:qFormat/>
    <w:uiPriority w:val="0"/>
    <w:pPr>
      <w:numPr>
        <w:ilvl w:val="2"/>
        <w:numId w:val="13"/>
      </w:numPr>
      <w:spacing w:line="400" w:lineRule="exact"/>
      <w:ind w:right="-17"/>
    </w:pPr>
    <w:rPr>
      <w:sz w:val="28"/>
    </w:rPr>
  </w:style>
  <w:style w:type="paragraph" w:customStyle="1" w:styleId="193">
    <w:name w:val="样式2"/>
    <w:basedOn w:val="1"/>
    <w:qFormat/>
    <w:uiPriority w:val="0"/>
    <w:pPr>
      <w:spacing w:line="400" w:lineRule="exact"/>
      <w:ind w:left="856" w:right="-17" w:hanging="431"/>
      <w:jc w:val="center"/>
    </w:pPr>
    <w:rPr>
      <w:sz w:val="32"/>
    </w:rPr>
  </w:style>
  <w:style w:type="paragraph" w:customStyle="1" w:styleId="194">
    <w:name w:val="列出段落1"/>
    <w:basedOn w:val="1"/>
    <w:qFormat/>
    <w:uiPriority w:val="34"/>
    <w:pPr>
      <w:spacing w:line="400" w:lineRule="exact"/>
      <w:ind w:left="856" w:right="-17" w:firstLine="420" w:firstLineChars="200"/>
    </w:pPr>
    <w:rPr>
      <w:sz w:val="28"/>
    </w:rPr>
  </w:style>
  <w:style w:type="paragraph" w:customStyle="1" w:styleId="195">
    <w:name w:val="无间隔1"/>
    <w:basedOn w:val="1"/>
    <w:qFormat/>
    <w:uiPriority w:val="1"/>
    <w:pPr>
      <w:ind w:left="856" w:right="-17" w:hanging="431"/>
    </w:pPr>
    <w:rPr>
      <w:sz w:val="28"/>
    </w:rPr>
  </w:style>
  <w:style w:type="paragraph" w:customStyle="1" w:styleId="196">
    <w:name w:val="引用1"/>
    <w:basedOn w:val="1"/>
    <w:next w:val="1"/>
    <w:link w:val="207"/>
    <w:qFormat/>
    <w:uiPriority w:val="29"/>
    <w:pPr>
      <w:spacing w:line="400" w:lineRule="exact"/>
      <w:ind w:left="856" w:right="-17" w:hanging="431"/>
    </w:pPr>
    <w:rPr>
      <w:i/>
      <w:iCs/>
      <w:color w:val="000000"/>
      <w:sz w:val="28"/>
    </w:rPr>
  </w:style>
  <w:style w:type="paragraph" w:customStyle="1" w:styleId="197">
    <w:name w:val="明显引用1"/>
    <w:basedOn w:val="1"/>
    <w:next w:val="1"/>
    <w:link w:val="208"/>
    <w:qFormat/>
    <w:uiPriority w:val="30"/>
    <w:pPr>
      <w:pBdr>
        <w:bottom w:val="single" w:color="4F81BD" w:sz="4" w:space="4"/>
      </w:pBdr>
      <w:spacing w:before="200" w:after="280" w:line="400" w:lineRule="exact"/>
      <w:ind w:left="936" w:right="936" w:hanging="431"/>
    </w:pPr>
    <w:rPr>
      <w:b/>
      <w:bCs/>
      <w:i/>
      <w:iCs/>
      <w:color w:val="4F81BD"/>
      <w:sz w:val="28"/>
    </w:rPr>
  </w:style>
  <w:style w:type="paragraph" w:customStyle="1" w:styleId="198">
    <w:name w:val="TOC 标题1"/>
    <w:basedOn w:val="2"/>
    <w:next w:val="1"/>
    <w:qFormat/>
    <w:uiPriority w:val="39"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="Cambria" w:hAnsi="Cambria" w:cs="黑体"/>
      <w:color w:val="365F91"/>
      <w:kern w:val="0"/>
      <w:sz w:val="28"/>
      <w:szCs w:val="28"/>
    </w:rPr>
  </w:style>
  <w:style w:type="paragraph" w:customStyle="1" w:styleId="199">
    <w:name w:val="标题2"/>
    <w:basedOn w:val="3"/>
    <w:next w:val="1"/>
    <w:qFormat/>
    <w:uiPriority w:val="0"/>
    <w:pPr>
      <w:numPr>
        <w:numId w:val="0"/>
      </w:numPr>
      <w:spacing w:before="60" w:afterLines="60" w:line="415" w:lineRule="auto"/>
    </w:pPr>
    <w:rPr>
      <w:rFonts w:ascii="黑体" w:hAnsi="Cambria" w:cs="黑体"/>
      <w:sz w:val="28"/>
    </w:rPr>
  </w:style>
  <w:style w:type="paragraph" w:customStyle="1" w:styleId="200">
    <w:name w:val="标题3"/>
    <w:basedOn w:val="4"/>
    <w:qFormat/>
    <w:uiPriority w:val="0"/>
    <w:pPr>
      <w:numPr>
        <w:numId w:val="0"/>
      </w:numPr>
      <w:spacing w:before="120" w:after="120"/>
    </w:pPr>
    <w:rPr>
      <w:rFonts w:cs="黑体"/>
    </w:rPr>
  </w:style>
  <w:style w:type="character" w:customStyle="1" w:styleId="201">
    <w:name w:val="发布"/>
    <w:qFormat/>
    <w:uiPriority w:val="0"/>
    <w:rPr>
      <w:rFonts w:ascii="黑体" w:eastAsia="黑体"/>
      <w:spacing w:val="22"/>
      <w:w w:val="100"/>
      <w:position w:val="3"/>
      <w:sz w:val="28"/>
    </w:rPr>
  </w:style>
  <w:style w:type="character" w:customStyle="1" w:styleId="202">
    <w:name w:val="个人答复风格"/>
    <w:qFormat/>
    <w:uiPriority w:val="0"/>
    <w:rPr>
      <w:rFonts w:ascii="Arial" w:hAnsi="Arial" w:eastAsia="宋体" w:cs="Arial"/>
      <w:color w:val="auto"/>
      <w:sz w:val="20"/>
    </w:rPr>
  </w:style>
  <w:style w:type="character" w:customStyle="1" w:styleId="203">
    <w:name w:val="个人撰写风格"/>
    <w:qFormat/>
    <w:uiPriority w:val="0"/>
    <w:rPr>
      <w:rFonts w:ascii="Arial" w:hAnsi="Arial" w:eastAsia="宋体" w:cs="Arial"/>
      <w:color w:val="auto"/>
      <w:sz w:val="20"/>
    </w:rPr>
  </w:style>
  <w:style w:type="character" w:customStyle="1" w:styleId="204">
    <w:name w:val="附录公式 Char"/>
    <w:basedOn w:val="69"/>
    <w:link w:val="158"/>
    <w:qFormat/>
    <w:uiPriority w:val="0"/>
  </w:style>
  <w:style w:type="character" w:customStyle="1" w:styleId="205">
    <w:name w:val="首示例 Char"/>
    <w:link w:val="172"/>
    <w:qFormat/>
    <w:uiPriority w:val="0"/>
    <w:rPr>
      <w:rFonts w:ascii="宋体" w:hAnsi="宋体"/>
      <w:kern w:val="2"/>
      <w:sz w:val="18"/>
      <w:szCs w:val="18"/>
    </w:rPr>
  </w:style>
  <w:style w:type="character" w:customStyle="1" w:styleId="206">
    <w:name w:val="访问过的超链接1"/>
    <w:qFormat/>
    <w:uiPriority w:val="0"/>
    <w:rPr>
      <w:color w:val="800080"/>
      <w:u w:val="single"/>
    </w:rPr>
  </w:style>
  <w:style w:type="character" w:customStyle="1" w:styleId="207">
    <w:name w:val="引用 Char"/>
    <w:basedOn w:val="50"/>
    <w:link w:val="196"/>
    <w:qFormat/>
    <w:uiPriority w:val="29"/>
    <w:rPr>
      <w:i/>
      <w:iCs/>
      <w:color w:val="000000"/>
      <w:kern w:val="2"/>
      <w:sz w:val="28"/>
      <w:szCs w:val="24"/>
    </w:rPr>
  </w:style>
  <w:style w:type="character" w:customStyle="1" w:styleId="208">
    <w:name w:val="明显引用 Char"/>
    <w:basedOn w:val="50"/>
    <w:link w:val="197"/>
    <w:qFormat/>
    <w:uiPriority w:val="30"/>
    <w:rPr>
      <w:b/>
      <w:bCs/>
      <w:i/>
      <w:iCs/>
      <w:color w:val="4F81BD"/>
      <w:kern w:val="2"/>
      <w:sz w:val="28"/>
      <w:szCs w:val="24"/>
    </w:rPr>
  </w:style>
  <w:style w:type="character" w:customStyle="1" w:styleId="209">
    <w:name w:val="不明显强调1"/>
    <w:qFormat/>
    <w:uiPriority w:val="19"/>
    <w:rPr>
      <w:i/>
      <w:iCs/>
      <w:color w:val="7F7F7F"/>
    </w:rPr>
  </w:style>
  <w:style w:type="character" w:customStyle="1" w:styleId="210">
    <w:name w:val="明显强调1"/>
    <w:qFormat/>
    <w:uiPriority w:val="21"/>
    <w:rPr>
      <w:b/>
      <w:bCs/>
      <w:i/>
      <w:iCs/>
      <w:color w:val="4F81BD"/>
    </w:rPr>
  </w:style>
  <w:style w:type="character" w:customStyle="1" w:styleId="211">
    <w:name w:val="不明显参考1"/>
    <w:qFormat/>
    <w:uiPriority w:val="31"/>
    <w:rPr>
      <w:smallCaps/>
      <w:color w:val="C0504D"/>
      <w:u w:val="single"/>
    </w:rPr>
  </w:style>
  <w:style w:type="character" w:customStyle="1" w:styleId="212">
    <w:name w:val="明显参考1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213">
    <w:name w:val="书籍标题1"/>
    <w:qFormat/>
    <w:uiPriority w:val="33"/>
    <w:rPr>
      <w:b/>
      <w:bCs/>
      <w:smallCaps/>
      <w:spacing w:val="5"/>
    </w:rPr>
  </w:style>
  <w:style w:type="character" w:customStyle="1" w:styleId="214">
    <w:name w:val="一级条标题 Char"/>
    <w:basedOn w:val="50"/>
    <w:link w:val="99"/>
    <w:qFormat/>
    <w:uiPriority w:val="0"/>
    <w:rPr>
      <w:rFonts w:eastAsia="黑体"/>
      <w:sz w:val="21"/>
    </w:rPr>
  </w:style>
  <w:style w:type="character" w:styleId="215">
    <w:name w:val="Placeholder Text"/>
    <w:basedOn w:val="50"/>
    <w:semiHidden/>
    <w:qFormat/>
    <w:uiPriority w:val="99"/>
    <w:rPr>
      <w:color w:val="808080"/>
    </w:rPr>
  </w:style>
  <w:style w:type="character" w:customStyle="1" w:styleId="216">
    <w:name w:val="页脚 Char"/>
    <w:basedOn w:val="50"/>
    <w:link w:val="30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6" Type="http://schemas.openxmlformats.org/officeDocument/2006/relationships/fontTable" Target="fontTable.xml"/><Relationship Id="rId95" Type="http://schemas.openxmlformats.org/officeDocument/2006/relationships/numbering" Target="numbering.xml"/><Relationship Id="rId94" Type="http://schemas.openxmlformats.org/officeDocument/2006/relationships/customXml" Target="../customXml/item1.xml"/><Relationship Id="rId93" Type="http://schemas.openxmlformats.org/officeDocument/2006/relationships/oleObject" Target="embeddings/oleObject51.bin"/><Relationship Id="rId92" Type="http://schemas.openxmlformats.org/officeDocument/2006/relationships/oleObject" Target="embeddings/oleObject50.bin"/><Relationship Id="rId91" Type="http://schemas.openxmlformats.org/officeDocument/2006/relationships/image" Target="media/image37.wmf"/><Relationship Id="rId90" Type="http://schemas.openxmlformats.org/officeDocument/2006/relationships/oleObject" Target="embeddings/oleObject49.bin"/><Relationship Id="rId9" Type="http://schemas.openxmlformats.org/officeDocument/2006/relationships/image" Target="media/image2.wmf"/><Relationship Id="rId89" Type="http://schemas.openxmlformats.org/officeDocument/2006/relationships/image" Target="media/image36.wmf"/><Relationship Id="rId88" Type="http://schemas.openxmlformats.org/officeDocument/2006/relationships/oleObject" Target="embeddings/oleObject48.bin"/><Relationship Id="rId87" Type="http://schemas.openxmlformats.org/officeDocument/2006/relationships/image" Target="media/image35.wmf"/><Relationship Id="rId86" Type="http://schemas.openxmlformats.org/officeDocument/2006/relationships/oleObject" Target="embeddings/oleObject47.bin"/><Relationship Id="rId85" Type="http://schemas.openxmlformats.org/officeDocument/2006/relationships/oleObject" Target="embeddings/oleObject46.bin"/><Relationship Id="rId84" Type="http://schemas.openxmlformats.org/officeDocument/2006/relationships/image" Target="media/image34.wmf"/><Relationship Id="rId83" Type="http://schemas.openxmlformats.org/officeDocument/2006/relationships/oleObject" Target="embeddings/oleObject45.bin"/><Relationship Id="rId82" Type="http://schemas.openxmlformats.org/officeDocument/2006/relationships/image" Target="media/image33.wmf"/><Relationship Id="rId81" Type="http://schemas.openxmlformats.org/officeDocument/2006/relationships/oleObject" Target="embeddings/oleObject44.bin"/><Relationship Id="rId80" Type="http://schemas.openxmlformats.org/officeDocument/2006/relationships/image" Target="media/image32.wmf"/><Relationship Id="rId8" Type="http://schemas.openxmlformats.org/officeDocument/2006/relationships/oleObject" Target="embeddings/oleObject2.bin"/><Relationship Id="rId79" Type="http://schemas.openxmlformats.org/officeDocument/2006/relationships/oleObject" Target="embeddings/oleObject43.bin"/><Relationship Id="rId78" Type="http://schemas.openxmlformats.org/officeDocument/2006/relationships/oleObject" Target="embeddings/oleObject42.bin"/><Relationship Id="rId77" Type="http://schemas.openxmlformats.org/officeDocument/2006/relationships/oleObject" Target="embeddings/oleObject41.bin"/><Relationship Id="rId76" Type="http://schemas.openxmlformats.org/officeDocument/2006/relationships/oleObject" Target="embeddings/oleObject40.bin"/><Relationship Id="rId75" Type="http://schemas.openxmlformats.org/officeDocument/2006/relationships/oleObject" Target="embeddings/oleObject39.bin"/><Relationship Id="rId74" Type="http://schemas.openxmlformats.org/officeDocument/2006/relationships/image" Target="media/image31.wmf"/><Relationship Id="rId73" Type="http://schemas.openxmlformats.org/officeDocument/2006/relationships/oleObject" Target="embeddings/oleObject38.bin"/><Relationship Id="rId72" Type="http://schemas.openxmlformats.org/officeDocument/2006/relationships/image" Target="media/image30.wmf"/><Relationship Id="rId71" Type="http://schemas.openxmlformats.org/officeDocument/2006/relationships/oleObject" Target="embeddings/oleObject37.bin"/><Relationship Id="rId70" Type="http://schemas.openxmlformats.org/officeDocument/2006/relationships/image" Target="media/image29.wmf"/><Relationship Id="rId7" Type="http://schemas.openxmlformats.org/officeDocument/2006/relationships/image" Target="media/image1.wmf"/><Relationship Id="rId69" Type="http://schemas.openxmlformats.org/officeDocument/2006/relationships/oleObject" Target="embeddings/oleObject36.bin"/><Relationship Id="rId68" Type="http://schemas.openxmlformats.org/officeDocument/2006/relationships/image" Target="media/image28.wmf"/><Relationship Id="rId67" Type="http://schemas.openxmlformats.org/officeDocument/2006/relationships/oleObject" Target="embeddings/oleObject35.bin"/><Relationship Id="rId66" Type="http://schemas.openxmlformats.org/officeDocument/2006/relationships/image" Target="media/image27.wmf"/><Relationship Id="rId65" Type="http://schemas.openxmlformats.org/officeDocument/2006/relationships/oleObject" Target="embeddings/oleObject34.bin"/><Relationship Id="rId64" Type="http://schemas.openxmlformats.org/officeDocument/2006/relationships/image" Target="media/image26.wmf"/><Relationship Id="rId63" Type="http://schemas.openxmlformats.org/officeDocument/2006/relationships/oleObject" Target="embeddings/oleObject33.bin"/><Relationship Id="rId62" Type="http://schemas.openxmlformats.org/officeDocument/2006/relationships/oleObject" Target="embeddings/oleObject32.bin"/><Relationship Id="rId61" Type="http://schemas.openxmlformats.org/officeDocument/2006/relationships/image" Target="media/image25.wmf"/><Relationship Id="rId60" Type="http://schemas.openxmlformats.org/officeDocument/2006/relationships/oleObject" Target="embeddings/oleObject31.bin"/><Relationship Id="rId6" Type="http://schemas.openxmlformats.org/officeDocument/2006/relationships/oleObject" Target="embeddings/oleObject1.bin"/><Relationship Id="rId59" Type="http://schemas.openxmlformats.org/officeDocument/2006/relationships/oleObject" Target="embeddings/oleObject30.bin"/><Relationship Id="rId58" Type="http://schemas.openxmlformats.org/officeDocument/2006/relationships/image" Target="media/image24.wmf"/><Relationship Id="rId57" Type="http://schemas.openxmlformats.org/officeDocument/2006/relationships/oleObject" Target="embeddings/oleObject29.bin"/><Relationship Id="rId56" Type="http://schemas.openxmlformats.org/officeDocument/2006/relationships/oleObject" Target="embeddings/oleObject28.bin"/><Relationship Id="rId55" Type="http://schemas.openxmlformats.org/officeDocument/2006/relationships/image" Target="media/image23.wmf"/><Relationship Id="rId54" Type="http://schemas.openxmlformats.org/officeDocument/2006/relationships/oleObject" Target="embeddings/oleObject27.bin"/><Relationship Id="rId53" Type="http://schemas.openxmlformats.org/officeDocument/2006/relationships/oleObject" Target="embeddings/oleObject26.bin"/><Relationship Id="rId52" Type="http://schemas.openxmlformats.org/officeDocument/2006/relationships/image" Target="media/image22.wmf"/><Relationship Id="rId51" Type="http://schemas.openxmlformats.org/officeDocument/2006/relationships/oleObject" Target="embeddings/oleObject25.bin"/><Relationship Id="rId50" Type="http://schemas.openxmlformats.org/officeDocument/2006/relationships/image" Target="media/image21.wmf"/><Relationship Id="rId5" Type="http://schemas.openxmlformats.org/officeDocument/2006/relationships/theme" Target="theme/theme1.xml"/><Relationship Id="rId49" Type="http://schemas.openxmlformats.org/officeDocument/2006/relationships/oleObject" Target="embeddings/oleObject24.bin"/><Relationship Id="rId48" Type="http://schemas.openxmlformats.org/officeDocument/2006/relationships/image" Target="media/image20.wmf"/><Relationship Id="rId47" Type="http://schemas.openxmlformats.org/officeDocument/2006/relationships/oleObject" Target="embeddings/oleObject23.bin"/><Relationship Id="rId46" Type="http://schemas.openxmlformats.org/officeDocument/2006/relationships/image" Target="media/image19.wmf"/><Relationship Id="rId45" Type="http://schemas.openxmlformats.org/officeDocument/2006/relationships/oleObject" Target="embeddings/oleObject22.bin"/><Relationship Id="rId44" Type="http://schemas.openxmlformats.org/officeDocument/2006/relationships/image" Target="media/image18.wmf"/><Relationship Id="rId43" Type="http://schemas.openxmlformats.org/officeDocument/2006/relationships/oleObject" Target="embeddings/oleObject21.bin"/><Relationship Id="rId42" Type="http://schemas.openxmlformats.org/officeDocument/2006/relationships/oleObject" Target="embeddings/oleObject20.bin"/><Relationship Id="rId41" Type="http://schemas.openxmlformats.org/officeDocument/2006/relationships/image" Target="media/image17.wmf"/><Relationship Id="rId40" Type="http://schemas.openxmlformats.org/officeDocument/2006/relationships/oleObject" Target="embeddings/oleObject19.bin"/><Relationship Id="rId4" Type="http://schemas.openxmlformats.org/officeDocument/2006/relationships/footer" Target="footer2.xml"/><Relationship Id="rId39" Type="http://schemas.openxmlformats.org/officeDocument/2006/relationships/image" Target="media/image16.wmf"/><Relationship Id="rId38" Type="http://schemas.openxmlformats.org/officeDocument/2006/relationships/oleObject" Target="embeddings/oleObject18.bin"/><Relationship Id="rId37" Type="http://schemas.openxmlformats.org/officeDocument/2006/relationships/image" Target="media/image15.wmf"/><Relationship Id="rId36" Type="http://schemas.openxmlformats.org/officeDocument/2006/relationships/oleObject" Target="embeddings/oleObject17.bin"/><Relationship Id="rId35" Type="http://schemas.openxmlformats.org/officeDocument/2006/relationships/oleObject" Target="embeddings/oleObject16.bin"/><Relationship Id="rId34" Type="http://schemas.openxmlformats.org/officeDocument/2006/relationships/image" Target="media/image14.wmf"/><Relationship Id="rId33" Type="http://schemas.openxmlformats.org/officeDocument/2006/relationships/oleObject" Target="embeddings/oleObject15.bin"/><Relationship Id="rId32" Type="http://schemas.openxmlformats.org/officeDocument/2006/relationships/oleObject" Target="embeddings/oleObject14.bin"/><Relationship Id="rId31" Type="http://schemas.openxmlformats.org/officeDocument/2006/relationships/image" Target="media/image13.wmf"/><Relationship Id="rId30" Type="http://schemas.openxmlformats.org/officeDocument/2006/relationships/oleObject" Target="embeddings/oleObject13.bin"/><Relationship Id="rId3" Type="http://schemas.openxmlformats.org/officeDocument/2006/relationships/footer" Target="footer1.xml"/><Relationship Id="rId29" Type="http://schemas.openxmlformats.org/officeDocument/2006/relationships/image" Target="media/image12.wmf"/><Relationship Id="rId28" Type="http://schemas.openxmlformats.org/officeDocument/2006/relationships/oleObject" Target="embeddings/oleObject12.bin"/><Relationship Id="rId27" Type="http://schemas.openxmlformats.org/officeDocument/2006/relationships/image" Target="media/image11.wmf"/><Relationship Id="rId26" Type="http://schemas.openxmlformats.org/officeDocument/2006/relationships/oleObject" Target="embeddings/oleObject11.bin"/><Relationship Id="rId25" Type="http://schemas.openxmlformats.org/officeDocument/2006/relationships/image" Target="media/image10.wmf"/><Relationship Id="rId24" Type="http://schemas.openxmlformats.org/officeDocument/2006/relationships/oleObject" Target="embeddings/oleObject10.bin"/><Relationship Id="rId23" Type="http://schemas.openxmlformats.org/officeDocument/2006/relationships/image" Target="media/image9.wmf"/><Relationship Id="rId22" Type="http://schemas.openxmlformats.org/officeDocument/2006/relationships/oleObject" Target="embeddings/oleObject9.bin"/><Relationship Id="rId21" Type="http://schemas.openxmlformats.org/officeDocument/2006/relationships/image" Target="media/image8.wmf"/><Relationship Id="rId20" Type="http://schemas.openxmlformats.org/officeDocument/2006/relationships/oleObject" Target="embeddings/oleObject8.bin"/><Relationship Id="rId2" Type="http://schemas.openxmlformats.org/officeDocument/2006/relationships/settings" Target="settings.xml"/><Relationship Id="rId19" Type="http://schemas.openxmlformats.org/officeDocument/2006/relationships/image" Target="media/image7.wmf"/><Relationship Id="rId18" Type="http://schemas.openxmlformats.org/officeDocument/2006/relationships/oleObject" Target="embeddings/oleObject7.bin"/><Relationship Id="rId17" Type="http://schemas.openxmlformats.org/officeDocument/2006/relationships/image" Target="media/image6.wmf"/><Relationship Id="rId16" Type="http://schemas.openxmlformats.org/officeDocument/2006/relationships/oleObject" Target="embeddings/oleObject6.bin"/><Relationship Id="rId15" Type="http://schemas.openxmlformats.org/officeDocument/2006/relationships/image" Target="media/image5.wmf"/><Relationship Id="rId14" Type="http://schemas.openxmlformats.org/officeDocument/2006/relationships/oleObject" Target="embeddings/oleObject5.bin"/><Relationship Id="rId13" Type="http://schemas.openxmlformats.org/officeDocument/2006/relationships/image" Target="media/image4.wmf"/><Relationship Id="rId12" Type="http://schemas.openxmlformats.org/officeDocument/2006/relationships/oleObject" Target="embeddings/oleObject4.bin"/><Relationship Id="rId11" Type="http://schemas.openxmlformats.org/officeDocument/2006/relationships/image" Target="media/image3.wmf"/><Relationship Id="rId10" Type="http://schemas.openxmlformats.org/officeDocument/2006/relationships/oleObject" Target="embeddings/oleObject3.bin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1480</Words>
  <Characters>1723</Characters>
  <Lines>51</Lines>
  <Paragraphs>14</Paragraphs>
  <TotalTime>4</TotalTime>
  <ScaleCrop>false</ScaleCrop>
  <LinksUpToDate>false</LinksUpToDate>
  <CharactersWithSpaces>1855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2020-10-12T07:26:00Z</dcterms:created>
  <dc:creator>zoglab-3ms4</dc:creator>
  <cp:lastModifiedBy>WPS_266446521</cp:lastModifiedBy>
  <cp:lastPrinted>2020-10-12T07:54:00Z</cp:lastPrinted>
  <dcterms:modified xsi:type="dcterms:W3CDTF">2026-07-17T06:15:02Z</dcterms:modified>
  <dc:title>杯式风速传感器校准结果的不确定度评定报告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85623791E56D4278BCD8ABD7FD797F07_13</vt:lpwstr>
  </property>
  <property fmtid="{D5CDD505-2E9C-101B-9397-08002B2CF9AE}" pid="4" name="KSOTemplateDocerSaveRecord">
    <vt:lpwstr>eyJoZGlkIjoiZThlMzA4MjIzMjJhMTA2OWMxNGE5MzJiOWRhM2YwZGYiLCJ1c2VySWQiOiIyNjY0NDY1MjEifQ==</vt:lpwstr>
  </property>
</Properties>
</file>