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9F5EF">
      <w:pPr>
        <w:spacing w:after="120" w:afterLines="50" w:line="300" w:lineRule="auto"/>
        <w:jc w:val="center"/>
        <w:rPr>
          <w:rFonts w:eastAsia="黑体"/>
          <w:color w:val="000000"/>
          <w:sz w:val="28"/>
          <w:szCs w:val="28"/>
        </w:rPr>
      </w:pPr>
      <w:r>
        <w:rPr>
          <w:rFonts w:hint="eastAsia" w:eastAsia="黑体"/>
          <w:color w:val="000000"/>
          <w:sz w:val="28"/>
          <w:szCs w:val="28"/>
          <w:lang w:val="en-US" w:eastAsia="zh-CN"/>
        </w:rPr>
        <w:t>光合有效辐射表校准结果</w:t>
      </w:r>
      <w:r>
        <w:rPr>
          <w:rFonts w:hint="eastAsia" w:eastAsia="黑体"/>
          <w:color w:val="000000"/>
          <w:sz w:val="28"/>
          <w:szCs w:val="28"/>
        </w:rPr>
        <w:t>不确定度评定</w:t>
      </w:r>
      <w:r>
        <w:rPr>
          <w:rFonts w:hint="eastAsia" w:eastAsia="黑体"/>
          <w:color w:val="000000"/>
          <w:sz w:val="28"/>
          <w:szCs w:val="28"/>
          <w:lang w:val="en-US" w:eastAsia="zh-CN"/>
        </w:rPr>
        <w:t>示例</w:t>
      </w:r>
    </w:p>
    <w:p w14:paraId="60E41876">
      <w:pPr>
        <w:spacing w:before="120" w:beforeLines="50" w:line="400" w:lineRule="exact"/>
        <w:rPr>
          <w:color w:val="000000"/>
          <w:sz w:val="24"/>
        </w:rPr>
      </w:pPr>
      <w:r>
        <w:rPr>
          <w:color w:val="000000"/>
          <w:sz w:val="24"/>
        </w:rPr>
        <w:t xml:space="preserve">1  </w:t>
      </w:r>
      <w:r>
        <w:rPr>
          <w:rFonts w:hint="eastAsia"/>
          <w:color w:val="000000"/>
          <w:sz w:val="24"/>
          <w:lang w:val="en-US" w:eastAsia="zh-CN"/>
        </w:rPr>
        <w:t>测量</w:t>
      </w:r>
      <w:r>
        <w:rPr>
          <w:rFonts w:hint="eastAsia"/>
          <w:color w:val="000000"/>
          <w:sz w:val="24"/>
        </w:rPr>
        <w:t>模型</w:t>
      </w:r>
    </w:p>
    <w:p w14:paraId="0181C4D1">
      <w:pPr>
        <w:spacing w:line="400" w:lineRule="exact"/>
        <w:ind w:firstLine="482"/>
        <w:rPr>
          <w:color w:val="000000"/>
          <w:sz w:val="24"/>
        </w:rPr>
      </w:pPr>
      <w:r>
        <w:rPr>
          <w:rFonts w:hint="eastAsia"/>
          <w:color w:val="000000"/>
          <w:sz w:val="24"/>
          <w:lang w:eastAsia="zh-CN"/>
        </w:rPr>
        <w:t>被校光合有效辐射表</w:t>
      </w:r>
      <w:r>
        <w:rPr>
          <w:rFonts w:hint="eastAsia"/>
          <w:color w:val="000000"/>
          <w:sz w:val="24"/>
        </w:rPr>
        <w:t>修正</w:t>
      </w:r>
      <w:r>
        <w:rPr>
          <w:rFonts w:hint="eastAsia"/>
          <w:color w:val="000000"/>
          <w:sz w:val="24"/>
          <w:lang w:val="en-US" w:eastAsia="zh-CN"/>
        </w:rPr>
        <w:t>系数</w:t>
      </w:r>
      <w:r>
        <w:rPr>
          <w:rFonts w:hint="eastAsia"/>
          <w:color w:val="000000"/>
          <w:sz w:val="24"/>
        </w:rPr>
        <w:t>的</w:t>
      </w:r>
      <w:r>
        <w:rPr>
          <w:rFonts w:hint="eastAsia"/>
          <w:color w:val="000000"/>
          <w:sz w:val="24"/>
          <w:lang w:val="en-US" w:eastAsia="zh-CN"/>
        </w:rPr>
        <w:t>测量</w:t>
      </w:r>
      <w:r>
        <w:rPr>
          <w:rFonts w:hint="eastAsia"/>
          <w:color w:val="000000"/>
          <w:sz w:val="24"/>
        </w:rPr>
        <w:t>模型为：</w:t>
      </w:r>
    </w:p>
    <w:tbl>
      <w:tblPr>
        <w:tblStyle w:val="4"/>
        <w:tblW w:w="0" w:type="dxa"/>
        <w:tblInd w:w="448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10"/>
        <w:gridCol w:w="6187"/>
        <w:gridCol w:w="1260"/>
      </w:tblGrid>
      <w:tr w14:paraId="53E1C885">
        <w:trPr>
          <w:trHeight w:val="420" w:hRule="atLeast"/>
        </w:trPr>
        <w:tc>
          <w:tcPr>
            <w:tcW w:w="1210" w:type="dxa"/>
            <w:noWrap w:val="0"/>
            <w:vAlign w:val="center"/>
          </w:tcPr>
          <w:p w14:paraId="6017E599">
            <w:pPr>
              <w:pStyle w:val="7"/>
              <w:spacing w:before="120" w:after="120" w:line="240" w:lineRule="auto"/>
              <w:jc w:val="center"/>
              <w:rPr>
                <w:spacing w:val="0"/>
              </w:rPr>
            </w:pPr>
          </w:p>
        </w:tc>
        <w:tc>
          <w:tcPr>
            <w:tcW w:w="6187" w:type="dxa"/>
            <w:noWrap w:val="0"/>
            <w:vAlign w:val="center"/>
          </w:tcPr>
          <w:p w14:paraId="09D71217">
            <w:pPr>
              <w:pStyle w:val="7"/>
              <w:spacing w:before="120" w:after="120" w:line="240" w:lineRule="auto"/>
              <w:ind w:firstLine="0"/>
              <w:jc w:val="center"/>
              <w:rPr>
                <w:spacing w:val="0"/>
              </w:rPr>
            </w:pPr>
            <w:r>
              <w:rPr>
                <w:position w:val="-32"/>
              </w:rPr>
              <w:object>
                <v:shape id="_x0000_i1025" o:spt="75" type="#_x0000_t75" style="height:36pt;width:52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DSMT4" ShapeID="_x0000_i1025" DrawAspect="Content" ObjectID="_1468075725" r:id="rId8">
                  <o:LockedField>false</o:LockedField>
                </o:OLEObject>
              </w:object>
            </w:r>
          </w:p>
        </w:tc>
        <w:tc>
          <w:tcPr>
            <w:tcW w:w="1260" w:type="dxa"/>
            <w:noWrap w:val="0"/>
            <w:vAlign w:val="center"/>
          </w:tcPr>
          <w:p w14:paraId="2A320AC6">
            <w:pPr>
              <w:pStyle w:val="7"/>
              <w:spacing w:before="120" w:after="120" w:line="240" w:lineRule="auto"/>
              <w:ind w:firstLine="2"/>
              <w:jc w:val="center"/>
              <w:rPr>
                <w:spacing w:val="0"/>
              </w:rPr>
            </w:pPr>
            <w:r>
              <w:rPr>
                <w:spacing w:val="0"/>
              </w:rPr>
              <w:t>(1)</w:t>
            </w:r>
          </w:p>
        </w:tc>
      </w:tr>
    </w:tbl>
    <w:p w14:paraId="3ED12C9E">
      <w:pPr>
        <w:spacing w:line="400" w:lineRule="exact"/>
        <w:ind w:firstLine="482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式中：</w:t>
      </w:r>
      <w:r>
        <w:rPr>
          <w:rFonts w:hint="eastAsia"/>
          <w:i/>
          <w:color w:val="000000"/>
          <w:sz w:val="24"/>
          <w:lang w:val="en-US" w:eastAsia="zh-CN"/>
        </w:rPr>
        <w:t>C</w:t>
      </w:r>
      <w:r>
        <w:rPr>
          <w:rFonts w:hint="eastAsia"/>
          <w:color w:val="000000"/>
          <w:sz w:val="24"/>
        </w:rPr>
        <w:t>为</w:t>
      </w:r>
      <w:r>
        <w:rPr>
          <w:rFonts w:hint="eastAsia"/>
          <w:color w:val="000000"/>
          <w:sz w:val="24"/>
          <w:lang w:eastAsia="zh-CN"/>
        </w:rPr>
        <w:t>被校光合有效辐射表</w:t>
      </w:r>
      <w:r>
        <w:rPr>
          <w:rFonts w:hint="eastAsia"/>
          <w:color w:val="000000"/>
          <w:sz w:val="24"/>
        </w:rPr>
        <w:t>的修正因子；</w:t>
      </w:r>
    </w:p>
    <w:p w14:paraId="381E11D4">
      <w:pPr>
        <w:spacing w:line="400" w:lineRule="exact"/>
        <w:ind w:firstLine="1155"/>
        <w:rPr>
          <w:color w:val="000000"/>
          <w:sz w:val="24"/>
        </w:rPr>
      </w:pPr>
      <w:r>
        <w:rPr>
          <w:rFonts w:hint="eastAsia"/>
          <w:i/>
          <w:color w:val="000000"/>
          <w:sz w:val="24"/>
          <w:lang w:val="en-US" w:eastAsia="zh-CN"/>
        </w:rPr>
        <w:t>E</w:t>
      </w:r>
      <w:r>
        <w:rPr>
          <w:rFonts w:hint="eastAsia"/>
          <w:color w:val="000000"/>
          <w:sz w:val="24"/>
          <w:vertAlign w:val="subscript"/>
        </w:rPr>
        <w:t>测量</w:t>
      </w:r>
      <w:r>
        <w:rPr>
          <w:rFonts w:hint="eastAsia"/>
          <w:color w:val="000000"/>
          <w:sz w:val="24"/>
        </w:rPr>
        <w:t>为</w:t>
      </w:r>
      <w:r>
        <w:rPr>
          <w:rFonts w:hint="eastAsia"/>
          <w:color w:val="000000"/>
          <w:sz w:val="24"/>
          <w:lang w:eastAsia="zh-CN"/>
        </w:rPr>
        <w:t>被校光合有效辐射表</w:t>
      </w:r>
      <w:r>
        <w:rPr>
          <w:rFonts w:hint="eastAsia"/>
          <w:color w:val="000000"/>
          <w:sz w:val="24"/>
        </w:rPr>
        <w:t>的示值；</w:t>
      </w:r>
    </w:p>
    <w:p w14:paraId="5037A70E">
      <w:pPr>
        <w:spacing w:line="400" w:lineRule="exact"/>
        <w:ind w:firstLine="1155"/>
        <w:rPr>
          <w:rFonts w:hint="eastAsia" w:eastAsia="宋体"/>
          <w:color w:val="000000"/>
          <w:sz w:val="24"/>
          <w:lang w:val="en-US" w:eastAsia="zh-CN"/>
        </w:rPr>
      </w:pPr>
      <w:r>
        <w:rPr>
          <w:rFonts w:hint="eastAsia"/>
          <w:i/>
          <w:sz w:val="24"/>
          <w:szCs w:val="24"/>
          <w:lang w:val="en-US" w:eastAsia="zh-CN"/>
        </w:rPr>
        <w:t>E</w:t>
      </w:r>
      <w:r>
        <w:rPr>
          <w:rFonts w:hint="eastAsia"/>
          <w:sz w:val="24"/>
          <w:szCs w:val="24"/>
          <w:vertAlign w:val="subscript"/>
        </w:rPr>
        <w:t>标准</w:t>
      </w:r>
      <w:r>
        <w:rPr>
          <w:rFonts w:hint="eastAsia"/>
          <w:sz w:val="24"/>
          <w:szCs w:val="24"/>
        </w:rPr>
        <w:t>为</w:t>
      </w:r>
      <w:r>
        <w:rPr>
          <w:rFonts w:hint="eastAsia"/>
          <w:sz w:val="24"/>
          <w:szCs w:val="24"/>
          <w:lang w:val="en-US" w:eastAsia="zh-CN"/>
        </w:rPr>
        <w:t>光合光子通量密度</w:t>
      </w:r>
      <w:r>
        <w:rPr>
          <w:rFonts w:hint="eastAsia"/>
          <w:sz w:val="24"/>
          <w:szCs w:val="24"/>
        </w:rPr>
        <w:t>标准</w:t>
      </w:r>
      <w:r>
        <w:rPr>
          <w:rFonts w:hint="eastAsia"/>
          <w:sz w:val="24"/>
          <w:szCs w:val="24"/>
          <w:lang w:val="en-US" w:eastAsia="zh-CN"/>
        </w:rPr>
        <w:t>值</w:t>
      </w:r>
      <w:r>
        <w:rPr>
          <w:rFonts w:hint="eastAsia"/>
          <w:sz w:val="24"/>
          <w:szCs w:val="24"/>
          <w:lang w:eastAsia="zh-CN"/>
        </w:rPr>
        <w:t>。</w:t>
      </w:r>
    </w:p>
    <w:p w14:paraId="7B639750">
      <w:pPr>
        <w:spacing w:line="400" w:lineRule="exact"/>
        <w:ind w:firstLine="482"/>
        <w:rPr>
          <w:color w:val="000000"/>
          <w:sz w:val="24"/>
        </w:rPr>
      </w:pP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不确定度来源包括：</w:t>
      </w:r>
      <w:r>
        <w:rPr>
          <w:rFonts w:hint="eastAsia" w:ascii="宋体"/>
          <w:color w:val="000000"/>
          <w:sz w:val="24"/>
          <w:lang w:val="en-US" w:eastAsia="zh-CN"/>
        </w:rPr>
        <w:t>上级标准量值溯源的</w:t>
      </w:r>
      <w:r>
        <w:rPr>
          <w:rFonts w:hint="eastAsia" w:ascii="宋体"/>
          <w:color w:val="000000"/>
          <w:sz w:val="24"/>
        </w:rPr>
        <w:t>不确定度，</w:t>
      </w:r>
      <w:r>
        <w:rPr>
          <w:rFonts w:hint="eastAsia" w:ascii="宋体"/>
          <w:color w:val="000000"/>
          <w:sz w:val="24"/>
          <w:lang w:val="en-US" w:eastAsia="zh-CN"/>
        </w:rPr>
        <w:t>被校光合有效辐射表修正因子的测量重复性，被校光合有效辐射表光谱失配误差、余弦</w:t>
      </w:r>
      <w:r>
        <w:rPr>
          <w:rFonts w:hint="eastAsia" w:ascii="宋体"/>
          <w:color w:val="000000"/>
          <w:sz w:val="24"/>
        </w:rPr>
        <w:t>误差</w:t>
      </w:r>
      <w:r>
        <w:rPr>
          <w:rFonts w:hint="eastAsia" w:ascii="宋体"/>
          <w:color w:val="000000"/>
          <w:sz w:val="24"/>
          <w:lang w:val="en-US" w:eastAsia="zh-CN"/>
        </w:rPr>
        <w:t>和非线性误差</w:t>
      </w:r>
      <w:r>
        <w:rPr>
          <w:rFonts w:hint="eastAsia" w:ascii="宋体"/>
          <w:color w:val="000000"/>
          <w:sz w:val="24"/>
        </w:rPr>
        <w:t>等。</w:t>
      </w:r>
    </w:p>
    <w:p w14:paraId="7407FC26">
      <w:pPr>
        <w:spacing w:before="120" w:beforeLines="50" w:line="40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不确定度计算公式可表示为：</w:t>
      </w:r>
    </w:p>
    <w:tbl>
      <w:tblPr>
        <w:tblStyle w:val="4"/>
        <w:tblW w:w="0" w:type="dxa"/>
        <w:tblInd w:w="448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10"/>
        <w:gridCol w:w="6187"/>
        <w:gridCol w:w="1260"/>
      </w:tblGrid>
      <w:tr w14:paraId="4F2F9A9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0" w:hRule="atLeast"/>
        </w:trPr>
        <w:tc>
          <w:tcPr>
            <w:tcW w:w="1210" w:type="dxa"/>
            <w:noWrap w:val="0"/>
            <w:vAlign w:val="center"/>
          </w:tcPr>
          <w:p w14:paraId="2A98C969">
            <w:pPr>
              <w:pStyle w:val="7"/>
              <w:spacing w:before="120" w:after="120" w:line="240" w:lineRule="auto"/>
              <w:jc w:val="center"/>
              <w:rPr>
                <w:spacing w:val="0"/>
              </w:rPr>
            </w:pPr>
          </w:p>
        </w:tc>
        <w:tc>
          <w:tcPr>
            <w:tcW w:w="6187" w:type="dxa"/>
            <w:noWrap w:val="0"/>
            <w:vAlign w:val="center"/>
          </w:tcPr>
          <w:p w14:paraId="17318283">
            <w:pPr>
              <w:pStyle w:val="7"/>
              <w:spacing w:before="120" w:after="120" w:line="240" w:lineRule="auto"/>
              <w:ind w:firstLine="0"/>
              <w:jc w:val="center"/>
              <w:rPr>
                <w:spacing w:val="0"/>
              </w:rPr>
            </w:pPr>
            <w:r>
              <w:rPr>
                <w:position w:val="-30"/>
              </w:rPr>
              <w:object>
                <v:shape id="_x0000_i1026" o:spt="75" type="#_x0000_t75" style="height:38pt;width:96.1pt;" o:ole="t" filled="f" o:preferrelative="t" stroked="f" coordsize="21600,21600">
                  <v:path/>
                  <v:fill on="f" focussize="0,0"/>
                  <v:stroke on="f"/>
                  <v:imagedata r:id="rId11" o:title=""/>
                  <o:lock v:ext="edit" aspectratio="t"/>
                  <w10:wrap type="none"/>
                  <w10:anchorlock/>
                </v:shape>
                <o:OLEObject Type="Embed" ProgID="Equation.DSMT4" ShapeID="_x0000_i1026" DrawAspect="Content" ObjectID="_1468075726" r:id="rId10">
                  <o:LockedField>false</o:LockedField>
                </o:OLEObject>
              </w:object>
            </w:r>
          </w:p>
        </w:tc>
        <w:tc>
          <w:tcPr>
            <w:tcW w:w="1260" w:type="dxa"/>
            <w:noWrap w:val="0"/>
            <w:vAlign w:val="center"/>
          </w:tcPr>
          <w:p w14:paraId="52AD046D">
            <w:pPr>
              <w:pStyle w:val="7"/>
              <w:spacing w:before="120" w:after="120" w:line="240" w:lineRule="auto"/>
              <w:ind w:firstLine="2"/>
              <w:jc w:val="center"/>
              <w:rPr>
                <w:spacing w:val="0"/>
              </w:rPr>
            </w:pPr>
            <w:r>
              <w:rPr>
                <w:spacing w:val="0"/>
              </w:rPr>
              <w:t>(</w:t>
            </w:r>
            <w:r>
              <w:rPr>
                <w:rFonts w:hint="eastAsia"/>
                <w:spacing w:val="0"/>
                <w:lang w:val="en-US" w:eastAsia="zh-CN"/>
              </w:rPr>
              <w:t>2</w:t>
            </w:r>
            <w:r>
              <w:rPr>
                <w:spacing w:val="0"/>
              </w:rPr>
              <w:t>)</w:t>
            </w:r>
          </w:p>
        </w:tc>
      </w:tr>
    </w:tbl>
    <w:p w14:paraId="150F1A0C">
      <w:pPr>
        <w:spacing w:before="120" w:beforeLines="50" w:line="400" w:lineRule="exact"/>
        <w:rPr>
          <w:color w:val="000000"/>
          <w:sz w:val="24"/>
        </w:rPr>
      </w:pPr>
      <w:r>
        <w:rPr>
          <w:color w:val="000000"/>
          <w:sz w:val="24"/>
        </w:rPr>
        <w:t xml:space="preserve">2  </w:t>
      </w:r>
      <w:r>
        <w:rPr>
          <w:rFonts w:hint="eastAsia"/>
          <w:color w:val="000000"/>
          <w:sz w:val="24"/>
        </w:rPr>
        <w:t>输入量的相对标准不确定度评定</w:t>
      </w:r>
    </w:p>
    <w:p w14:paraId="19917E4D">
      <w:pPr>
        <w:spacing w:line="400" w:lineRule="exact"/>
        <w:rPr>
          <w:rFonts w:hint="default" w:eastAsia="黑体"/>
          <w:color w:val="000000"/>
          <w:sz w:val="24"/>
          <w:lang w:val="en-US" w:eastAsia="zh-CN"/>
        </w:rPr>
      </w:pPr>
      <w:r>
        <w:rPr>
          <w:color w:val="000000"/>
          <w:sz w:val="24"/>
        </w:rPr>
        <w:t xml:space="preserve">2.1  </w:t>
      </w:r>
      <w:r>
        <w:rPr>
          <w:rFonts w:hint="eastAsia" w:ascii="黑体" w:eastAsia="黑体"/>
          <w:color w:val="000000"/>
          <w:sz w:val="24"/>
          <w:lang w:val="en-US" w:eastAsia="zh-CN"/>
        </w:rPr>
        <w:t>上级标准</w:t>
      </w:r>
      <w:r>
        <w:rPr>
          <w:rFonts w:hint="eastAsia" w:ascii="黑体" w:eastAsia="黑体"/>
          <w:color w:val="000000"/>
          <w:sz w:val="24"/>
        </w:rPr>
        <w:t>量值溯源的不确定度</w:t>
      </w:r>
      <w:r>
        <w:rPr>
          <w:rFonts w:eastAsia="黑体"/>
          <w:i/>
          <w:color w:val="000000"/>
          <w:sz w:val="24"/>
        </w:rPr>
        <w:t>u</w:t>
      </w:r>
      <w:r>
        <w:rPr>
          <w:rFonts w:eastAsia="黑体"/>
          <w:color w:val="000000"/>
          <w:sz w:val="24"/>
          <w:vertAlign w:val="subscript"/>
        </w:rPr>
        <w:t>1</w:t>
      </w:r>
      <w:r>
        <w:rPr>
          <w:rFonts w:hint="eastAsia" w:eastAsia="黑体"/>
          <w:color w:val="000000"/>
          <w:sz w:val="24"/>
          <w:vertAlign w:val="subscript"/>
          <w:lang w:val="en-US" w:eastAsia="zh-CN"/>
        </w:rPr>
        <w:t>, rel</w:t>
      </w:r>
    </w:p>
    <w:p w14:paraId="56F33DE2">
      <w:pPr>
        <w:spacing w:line="400" w:lineRule="exact"/>
        <w:ind w:firstLine="357"/>
        <w:rPr>
          <w:rFonts w:hint="default" w:ascii="宋体"/>
          <w:color w:val="000000"/>
          <w:sz w:val="24"/>
          <w:lang w:val="en-US" w:eastAsia="zh-CN"/>
        </w:rPr>
      </w:pPr>
      <w:r>
        <w:rPr>
          <w:rFonts w:hint="eastAsia" w:ascii="宋体"/>
          <w:color w:val="000000"/>
          <w:sz w:val="24"/>
        </w:rPr>
        <w:t>以</w:t>
      </w:r>
      <w:r>
        <w:rPr>
          <w:rFonts w:hint="eastAsia" w:ascii="宋体"/>
          <w:color w:val="000000"/>
          <w:sz w:val="24"/>
          <w:lang w:val="en-US" w:eastAsia="zh-CN"/>
        </w:rPr>
        <w:t>(400-700)nm</w:t>
      </w:r>
      <w:r>
        <w:rPr>
          <w:rFonts w:hint="eastAsia" w:ascii="宋体"/>
          <w:color w:val="000000"/>
          <w:sz w:val="24"/>
        </w:rPr>
        <w:t>波段的标准</w:t>
      </w:r>
      <w:r>
        <w:rPr>
          <w:rFonts w:hint="eastAsia" w:ascii="宋体"/>
          <w:color w:val="000000"/>
          <w:sz w:val="24"/>
          <w:lang w:val="en-US" w:eastAsia="zh-CN"/>
        </w:rPr>
        <w:t>光谱辐射计</w:t>
      </w:r>
      <w:r>
        <w:rPr>
          <w:rFonts w:hint="eastAsia" w:ascii="宋体"/>
          <w:color w:val="000000"/>
          <w:sz w:val="24"/>
        </w:rPr>
        <w:t>为例，量值溯源不确定度为</w:t>
      </w:r>
      <w:r>
        <w:rPr>
          <w:rFonts w:hint="eastAsia" w:eastAsia="黑体"/>
          <w:i/>
          <w:color w:val="000000"/>
          <w:sz w:val="24"/>
          <w:lang w:val="en-US" w:eastAsia="zh-CN"/>
        </w:rPr>
        <w:t>U</w:t>
      </w:r>
      <w:r>
        <w:rPr>
          <w:rFonts w:hint="eastAsia" w:eastAsia="黑体"/>
          <w:i w:val="0"/>
          <w:iCs/>
          <w:color w:val="000000"/>
          <w:sz w:val="24"/>
          <w:vertAlign w:val="subscript"/>
          <w:lang w:val="en-US" w:eastAsia="zh-CN"/>
        </w:rPr>
        <w:t xml:space="preserve">1, </w:t>
      </w:r>
      <w:r>
        <w:rPr>
          <w:rFonts w:hint="eastAsia" w:eastAsia="黑体"/>
          <w:color w:val="000000"/>
          <w:sz w:val="24"/>
          <w:vertAlign w:val="subscript"/>
          <w:lang w:val="en-US" w:eastAsia="zh-CN"/>
        </w:rPr>
        <w:t>rel</w:t>
      </w:r>
      <w:r>
        <w:rPr>
          <w:rFonts w:hint="eastAsia" w:ascii="宋体"/>
          <w:color w:val="000000"/>
          <w:sz w:val="24"/>
        </w:rPr>
        <w:t>=</w:t>
      </w:r>
      <w:r>
        <w:rPr>
          <w:rFonts w:hint="eastAsia" w:ascii="宋体"/>
          <w:color w:val="000000"/>
          <w:sz w:val="24"/>
          <w:lang w:val="en-US" w:eastAsia="zh-CN"/>
        </w:rPr>
        <w:t>3.0</w:t>
      </w:r>
      <w:r>
        <w:rPr>
          <w:rFonts w:hint="eastAsia" w:ascii="宋体"/>
          <w:color w:val="000000"/>
          <w:sz w:val="24"/>
        </w:rPr>
        <w:t>% (</w:t>
      </w:r>
      <w:r>
        <w:rPr>
          <w:rFonts w:hint="eastAsia" w:ascii="宋体"/>
          <w:i/>
          <w:iCs/>
          <w:color w:val="000000"/>
          <w:sz w:val="24"/>
        </w:rPr>
        <w:t>k</w:t>
      </w:r>
      <w:r>
        <w:rPr>
          <w:rFonts w:hint="eastAsia" w:ascii="宋体"/>
          <w:color w:val="000000"/>
          <w:sz w:val="24"/>
        </w:rPr>
        <w:t>=</w:t>
      </w:r>
      <w:r>
        <w:rPr>
          <w:rFonts w:hint="eastAsia" w:ascii="宋体"/>
          <w:color w:val="000000"/>
          <w:sz w:val="24"/>
          <w:lang w:val="en-US" w:eastAsia="zh-CN"/>
        </w:rPr>
        <w:t>2</w:t>
      </w:r>
      <w:r>
        <w:rPr>
          <w:rFonts w:hint="eastAsia" w:ascii="宋体"/>
          <w:color w:val="000000"/>
          <w:sz w:val="24"/>
        </w:rPr>
        <w:t>)</w:t>
      </w:r>
      <w:r>
        <w:rPr>
          <w:rFonts w:hint="eastAsia" w:ascii="宋体"/>
          <w:color w:val="000000"/>
          <w:sz w:val="24"/>
          <w:lang w:eastAsia="zh-CN"/>
        </w:rPr>
        <w:t>，</w:t>
      </w:r>
      <w:r>
        <w:rPr>
          <w:rFonts w:hint="eastAsia" w:ascii="宋体"/>
          <w:color w:val="000000"/>
          <w:sz w:val="24"/>
          <w:lang w:val="en-US" w:eastAsia="zh-CN"/>
        </w:rPr>
        <w:t>因此，上级标准引入的相对标准不确定度</w:t>
      </w:r>
      <w:r>
        <w:rPr>
          <w:rFonts w:eastAsia="黑体"/>
          <w:i/>
          <w:color w:val="000000"/>
          <w:sz w:val="24"/>
        </w:rPr>
        <w:t>u</w:t>
      </w:r>
      <w:r>
        <w:rPr>
          <w:rFonts w:eastAsia="黑体"/>
          <w:color w:val="000000"/>
          <w:sz w:val="24"/>
          <w:vertAlign w:val="subscript"/>
        </w:rPr>
        <w:t>1</w:t>
      </w:r>
      <w:r>
        <w:rPr>
          <w:rFonts w:hint="eastAsia" w:eastAsia="黑体"/>
          <w:color w:val="000000"/>
          <w:sz w:val="24"/>
          <w:vertAlign w:val="subscript"/>
          <w:lang w:val="en-US" w:eastAsia="zh-CN"/>
        </w:rPr>
        <w:t>, rel</w:t>
      </w:r>
      <w:r>
        <w:rPr>
          <w:rFonts w:hint="eastAsia" w:ascii="宋体"/>
          <w:color w:val="000000"/>
          <w:sz w:val="24"/>
          <w:lang w:val="en-US" w:eastAsia="zh-CN"/>
        </w:rPr>
        <w:t>=3.0% /2=1.5%，评定方法为B类不确定度评定。</w:t>
      </w:r>
    </w:p>
    <w:p w14:paraId="5F6F1F13">
      <w:pPr>
        <w:spacing w:line="400" w:lineRule="exact"/>
        <w:rPr>
          <w:rFonts w:hint="default" w:eastAsia="黑体"/>
          <w:color w:val="000000"/>
          <w:sz w:val="24"/>
          <w:lang w:val="en-US" w:eastAsia="zh-CN"/>
        </w:rPr>
      </w:pPr>
      <w:r>
        <w:rPr>
          <w:color w:val="000000"/>
          <w:sz w:val="24"/>
        </w:rPr>
        <w:t xml:space="preserve">2.2  </w:t>
      </w:r>
      <w:r>
        <w:rPr>
          <w:rFonts w:hint="eastAsia" w:ascii="黑体" w:eastAsia="黑体"/>
          <w:color w:val="000000"/>
          <w:sz w:val="24"/>
          <w:lang w:val="en-US" w:eastAsia="zh-CN"/>
        </w:rPr>
        <w:t>被校光合有效辐射表修正因子的测量重复性引入的测量不确定度</w:t>
      </w:r>
      <w:r>
        <w:rPr>
          <w:rFonts w:eastAsia="黑体"/>
          <w:i/>
          <w:color w:val="000000"/>
          <w:sz w:val="24"/>
        </w:rPr>
        <w:t>u</w:t>
      </w:r>
      <w:r>
        <w:rPr>
          <w:rFonts w:eastAsia="黑体"/>
          <w:color w:val="000000"/>
          <w:sz w:val="24"/>
          <w:vertAlign w:val="subscript"/>
        </w:rPr>
        <w:t>2</w:t>
      </w:r>
      <w:r>
        <w:rPr>
          <w:rFonts w:hint="eastAsia" w:eastAsia="黑体"/>
          <w:color w:val="000000"/>
          <w:sz w:val="24"/>
          <w:vertAlign w:val="subscript"/>
          <w:lang w:val="en-US" w:eastAsia="zh-CN"/>
        </w:rPr>
        <w:t>, rel</w:t>
      </w:r>
    </w:p>
    <w:p w14:paraId="3092E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88" w:lineRule="auto"/>
        <w:ind w:firstLine="357"/>
        <w:textAlignment w:val="auto"/>
        <w:rPr>
          <w:rFonts w:hint="eastAsia"/>
          <w:sz w:val="24"/>
          <w:szCs w:val="24"/>
        </w:rPr>
      </w:pPr>
      <w:r>
        <w:rPr>
          <w:rFonts w:hint="eastAsia" w:ascii="宋体"/>
          <w:color w:val="000000"/>
          <w:sz w:val="24"/>
          <w:szCs w:val="24"/>
        </w:rPr>
        <w:t>在</w:t>
      </w:r>
      <w:r>
        <w:rPr>
          <w:rFonts w:hint="eastAsia" w:ascii="宋体"/>
          <w:color w:val="000000"/>
          <w:sz w:val="24"/>
          <w:szCs w:val="24"/>
          <w:lang w:val="en-US" w:eastAsia="zh-CN"/>
        </w:rPr>
        <w:t>晴天条件下，对</w:t>
      </w:r>
      <w:r>
        <w:rPr>
          <w:rFonts w:hint="eastAsia"/>
          <w:sz w:val="24"/>
          <w:szCs w:val="24"/>
        </w:rPr>
        <w:t>HY-PAR1W</w:t>
      </w:r>
      <w:r>
        <w:rPr>
          <w:rFonts w:hint="eastAsia" w:ascii="宋体"/>
          <w:color w:val="000000"/>
          <w:sz w:val="24"/>
          <w:szCs w:val="24"/>
          <w:lang w:val="en-US" w:eastAsia="zh-CN"/>
        </w:rPr>
        <w:t>型编号为</w:t>
      </w:r>
      <w:r>
        <w:rPr>
          <w:rFonts w:hint="eastAsia"/>
          <w:sz w:val="24"/>
          <w:szCs w:val="24"/>
        </w:rPr>
        <w:t>G112090156936357001202603090056207</w:t>
      </w:r>
      <w:r>
        <w:rPr>
          <w:rFonts w:hint="eastAsia" w:ascii="宋体"/>
          <w:color w:val="000000"/>
          <w:sz w:val="24"/>
          <w:szCs w:val="24"/>
          <w:lang w:val="en-US" w:eastAsia="zh-CN"/>
        </w:rPr>
        <w:t>的光合有效辐射表进行修正</w:t>
      </w:r>
      <w:r>
        <w:rPr>
          <w:rFonts w:hint="eastAsia"/>
          <w:sz w:val="24"/>
          <w:szCs w:val="24"/>
          <w:lang w:val="en-US" w:eastAsia="zh-CN"/>
        </w:rPr>
        <w:t>系数</w:t>
      </w:r>
      <w:r>
        <w:rPr>
          <w:rFonts w:hint="eastAsia" w:ascii="宋体"/>
          <w:color w:val="000000"/>
          <w:sz w:val="24"/>
          <w:szCs w:val="24"/>
          <w:lang w:val="en-US" w:eastAsia="zh-CN"/>
        </w:rPr>
        <w:t>校准，测试时间为10:01-13:00，采样间隔5 min，有效测试数据个数共36个,得到3组修正系数</w:t>
      </w:r>
      <w:r>
        <w:rPr>
          <w:position w:val="-14"/>
          <w:sz w:val="24"/>
          <w:szCs w:val="24"/>
        </w:rPr>
        <w:object>
          <v:shape id="_x0000_i1027" o:spt="75" type="#_x0000_t75" style="height:19.25pt;width:67.3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Equation.DSMT4" ShapeID="_x0000_i1027" DrawAspect="Content" ObjectID="_1468075727" r:id="rId12">
            <o:LockedField>false</o:LockedField>
          </o:OLEObject>
        </w:objec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，</w:t>
      </w:r>
      <w:r>
        <w:rPr>
          <w:rFonts w:hint="eastAsia" w:cs="Times New Roman"/>
          <w:sz w:val="24"/>
          <w:szCs w:val="24"/>
          <w:lang w:val="en-US" w:eastAsia="zh-CN"/>
        </w:rPr>
        <w:t>见表1。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根据贝塞尔公式计算每组单次测量值标准偏差</w:t>
      </w:r>
      <w:r>
        <w:rPr>
          <w:rFonts w:hint="eastAsia"/>
          <w:sz w:val="24"/>
          <w:szCs w:val="24"/>
        </w:rPr>
        <w:t>，取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组</w:t>
      </w:r>
      <w:r>
        <w:rPr>
          <w:rFonts w:hint="eastAsia"/>
          <w:sz w:val="24"/>
          <w:szCs w:val="24"/>
          <w:lang w:val="en-US" w:eastAsia="zh-CN"/>
        </w:rPr>
        <w:t>修正系数</w:t>
      </w:r>
      <w:r>
        <w:rPr>
          <w:rFonts w:hint="eastAsia"/>
          <w:sz w:val="24"/>
          <w:szCs w:val="24"/>
        </w:rPr>
        <w:t>均值</w:t>
      </w:r>
      <w:r>
        <w:rPr>
          <w:position w:val="-6"/>
          <w:sz w:val="24"/>
          <w:szCs w:val="24"/>
        </w:rPr>
        <w:object>
          <v:shape id="_x0000_i1028" o:spt="75" type="#_x0000_t75" style="height:16.9pt;width:10.8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DSMT4" ShapeID="_x0000_i1028" DrawAspect="Content" ObjectID="_1468075728" r:id="rId14">
            <o:LockedField>false</o:LockedField>
          </o:OLEObject>
        </w:object>
      </w:r>
      <w:r>
        <w:rPr>
          <w:rFonts w:hint="eastAsia"/>
          <w:sz w:val="24"/>
          <w:szCs w:val="24"/>
        </w:rPr>
        <w:t>为最终</w:t>
      </w:r>
      <w:r>
        <w:rPr>
          <w:rFonts w:hint="eastAsia"/>
          <w:sz w:val="24"/>
          <w:szCs w:val="24"/>
          <w:lang w:eastAsia="zh-CN"/>
        </w:rPr>
        <w:t>修正系数</w:t>
      </w:r>
      <w:r>
        <w:rPr>
          <w:rFonts w:hint="eastAsia"/>
          <w:sz w:val="24"/>
          <w:szCs w:val="24"/>
          <w:lang w:val="en-US" w:eastAsia="zh-CN"/>
        </w:rPr>
        <w:t>校准</w:t>
      </w:r>
      <w:r>
        <w:rPr>
          <w:rFonts w:hint="eastAsia"/>
          <w:sz w:val="24"/>
          <w:szCs w:val="24"/>
        </w:rPr>
        <w:t>结果，</w:t>
      </w:r>
      <w:r>
        <w:rPr>
          <w:position w:val="-6"/>
          <w:sz w:val="24"/>
          <w:szCs w:val="24"/>
        </w:rPr>
        <w:object>
          <v:shape id="_x0000_i1029" o:spt="75" type="#_x0000_t75" style="height:16.9pt;width:10.8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DSMT4" ShapeID="_x0000_i1029" DrawAspect="Content" ObjectID="_1468075729" r:id="rId16">
            <o:LockedField>false</o:LockedField>
          </o:OLEObject>
        </w:object>
      </w:r>
      <w:r>
        <w:rPr>
          <w:rFonts w:hint="eastAsia"/>
          <w:sz w:val="24"/>
          <w:szCs w:val="24"/>
        </w:rPr>
        <w:t>为</w:t>
      </w:r>
      <w:r>
        <w:rPr>
          <w:rFonts w:hint="eastAsia"/>
          <w:bCs/>
          <w:sz w:val="24"/>
          <w:szCs w:val="24"/>
          <w:lang w:val="en-US" w:eastAsia="zh-CN"/>
        </w:rPr>
        <w:t>1.040</w:t>
      </w:r>
      <w:r>
        <w:rPr>
          <w:rFonts w:hint="eastAsia"/>
          <w:sz w:val="24"/>
          <w:szCs w:val="24"/>
        </w:rPr>
        <w:t>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按公式（3）计算</w:t>
      </w:r>
      <w:r>
        <w:rPr>
          <w:rFonts w:hint="eastAsia"/>
          <w:sz w:val="24"/>
          <w:szCs w:val="24"/>
          <w:lang w:val="en-US" w:eastAsia="zh-CN"/>
        </w:rPr>
        <w:t>合并样本标准偏差</w:t>
      </w:r>
      <w:r>
        <w:rPr>
          <w:position w:val="-14"/>
          <w:sz w:val="24"/>
          <w:szCs w:val="24"/>
        </w:rPr>
        <w:object>
          <v:shape id="_x0000_i1030" o:spt="75" type="#_x0000_t75" style="height:20.4pt;width:12.7pt;" o:ole="t" filled="f" o:preferrelative="t" stroked="f" coordsize="21600,21600">
            <v:path/>
            <v:fill on="f" focussize="0,0"/>
            <v:stroke on="f"/>
            <v:imagedata r:id="rId18" o:title=""/>
            <o:lock v:ext="edit" aspectratio="t"/>
            <w10:wrap type="none"/>
            <w10:anchorlock/>
          </v:shape>
          <o:OLEObject Type="Embed" ProgID="Equation.DSMT4" ShapeID="_x0000_i1030" DrawAspect="Content" ObjectID="_1468075730" r:id="rId17">
            <o:LockedField>false</o:LockedField>
          </o:OLEObject>
        </w:object>
      </w:r>
      <w:r>
        <w:rPr>
          <w:rFonts w:hint="eastAsia"/>
          <w:sz w:val="24"/>
          <w:szCs w:val="24"/>
          <w:lang w:val="en-US" w:eastAsia="zh-CN"/>
        </w:rPr>
        <w:t>为0.0186。按公式（4）计算</w:t>
      </w:r>
      <w:r>
        <w:rPr>
          <w:bCs/>
          <w:sz w:val="24"/>
          <w:szCs w:val="24"/>
        </w:rPr>
        <w:t>由测量重复性</w:t>
      </w:r>
      <w:r>
        <w:rPr>
          <w:rFonts w:hint="eastAsia"/>
          <w:bCs/>
          <w:sz w:val="24"/>
          <w:szCs w:val="24"/>
        </w:rPr>
        <w:t>引入的相对</w:t>
      </w:r>
      <w:r>
        <w:rPr>
          <w:bCs/>
          <w:sz w:val="24"/>
          <w:szCs w:val="24"/>
        </w:rPr>
        <w:t>标准不确定度</w:t>
      </w:r>
      <w:r>
        <w:rPr>
          <w:rFonts w:hint="eastAsia"/>
          <w:bCs/>
          <w:sz w:val="24"/>
          <w:szCs w:val="24"/>
        </w:rPr>
        <w:t>分量为</w:t>
      </w:r>
      <w:r>
        <w:rPr>
          <w:rFonts w:eastAsia="黑体"/>
          <w:i/>
          <w:color w:val="000000"/>
          <w:sz w:val="24"/>
          <w:szCs w:val="24"/>
        </w:rPr>
        <w:t>u</w:t>
      </w:r>
      <w:r>
        <w:rPr>
          <w:rFonts w:eastAsia="黑体"/>
          <w:color w:val="000000"/>
          <w:sz w:val="24"/>
          <w:szCs w:val="24"/>
          <w:vertAlign w:val="subscript"/>
        </w:rPr>
        <w:t>2</w:t>
      </w:r>
      <w:r>
        <w:rPr>
          <w:rFonts w:hint="eastAsia" w:eastAsia="黑体"/>
          <w:color w:val="000000"/>
          <w:sz w:val="24"/>
          <w:szCs w:val="24"/>
          <w:vertAlign w:val="subscript"/>
          <w:lang w:val="en-US" w:eastAsia="zh-CN"/>
        </w:rPr>
        <w:t>, rel</w:t>
      </w:r>
      <w:r>
        <w:rPr>
          <w:rFonts w:hint="eastAsia" w:eastAsia="黑体"/>
          <w:color w:val="000000"/>
          <w:sz w:val="24"/>
          <w:szCs w:val="24"/>
          <w:vertAlign w:val="baseline"/>
          <w:lang w:val="en-US" w:eastAsia="zh-CN"/>
        </w:rPr>
        <w:t>≈</w:t>
      </w:r>
      <w:r>
        <w:rPr>
          <w:rFonts w:hint="eastAsia" w:ascii="宋体" w:hAnsi="宋体"/>
          <w:sz w:val="24"/>
          <w:szCs w:val="24"/>
          <w:lang w:val="en-US" w:eastAsia="zh-CN"/>
        </w:rPr>
        <w:t>0.5</w:t>
      </w:r>
      <w:r>
        <w:rPr>
          <w:rFonts w:ascii="宋体" w:hAnsi="宋体"/>
          <w:sz w:val="24"/>
          <w:szCs w:val="24"/>
        </w:rPr>
        <w:t>%，</w:t>
      </w:r>
      <w:r>
        <w:rPr>
          <w:rFonts w:hint="eastAsia"/>
          <w:sz w:val="24"/>
          <w:szCs w:val="24"/>
        </w:rPr>
        <w:t>评定方法为A类不确定度评定。</w:t>
      </w:r>
    </w:p>
    <w:p w14:paraId="2888F06B">
      <w:pPr>
        <w:keepNext w:val="0"/>
        <w:keepLines w:val="0"/>
        <w:pageBreakBefore w:val="0"/>
        <w:widowControl w:val="0"/>
        <w:tabs>
          <w:tab w:val="left" w:pos="9240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288" w:lineRule="auto"/>
        <w:ind w:right="735" w:rightChars="350" w:firstLine="357"/>
        <w:jc w:val="right"/>
        <w:textAlignment w:val="auto"/>
        <w:rPr>
          <w:rFonts w:hint="default" w:eastAsia="宋体"/>
          <w:sz w:val="24"/>
          <w:szCs w:val="24"/>
          <w:lang w:val="en-US" w:eastAsia="zh-CN"/>
        </w:rPr>
      </w:pPr>
      <w:r>
        <w:rPr>
          <w:position w:val="-30"/>
        </w:rPr>
        <w:object>
          <v:shape id="_x0000_i1031" o:spt="75" type="#_x0000_t75" style="height:55pt;width:110pt;" o:ole="t" filled="f" o:preferrelative="t" stroked="f" coordsize="21600,21600">
            <v:path/>
            <v:fill on="f" focussize="0,0"/>
            <v:stroke on="f"/>
            <v:imagedata r:id="rId20" o:title=""/>
            <o:lock v:ext="edit" aspectratio="t"/>
            <w10:wrap type="none"/>
            <w10:anchorlock/>
          </v:shape>
          <o:OLEObject Type="Embed" ProgID="Equation.DSMT4" ShapeID="_x0000_i1031" DrawAspect="Content" ObjectID="_1468075731" r:id="rId19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                   </w:t>
      </w:r>
      <w:r>
        <w:rPr>
          <w:rFonts w:hint="eastAsia"/>
          <w:sz w:val="24"/>
          <w:szCs w:val="24"/>
          <w:lang w:val="en-US" w:eastAsia="zh-CN"/>
        </w:rPr>
        <w:t xml:space="preserve">   (3)</w:t>
      </w:r>
    </w:p>
    <w:p w14:paraId="44531FEB">
      <w:pPr>
        <w:keepNext w:val="0"/>
        <w:keepLines w:val="0"/>
        <w:pageBreakBefore w:val="0"/>
        <w:widowControl w:val="0"/>
        <w:tabs>
          <w:tab w:val="left" w:pos="9240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288" w:lineRule="auto"/>
        <w:ind w:right="735" w:rightChars="350" w:firstLine="357"/>
        <w:jc w:val="right"/>
        <w:textAlignment w:val="auto"/>
        <w:rPr>
          <w:rFonts w:hint="default" w:eastAsia="宋体"/>
          <w:sz w:val="24"/>
          <w:szCs w:val="24"/>
          <w:lang w:val="en-US" w:eastAsia="zh-CN"/>
        </w:rPr>
      </w:pPr>
      <w:r>
        <w:rPr>
          <w:position w:val="-28"/>
        </w:rPr>
        <w:object>
          <v:shape id="_x0000_i1032" o:spt="75" type="#_x0000_t75" style="height:35pt;width:173pt;" o:ole="t" filled="f" o:preferrelative="t" stroked="f" coordsize="21600,21600">
            <v:path/>
            <v:fill on="f" focussize="0,0"/>
            <v:stroke on="f"/>
            <v:imagedata r:id="rId22" o:title=""/>
            <o:lock v:ext="edit" aspectratio="t"/>
            <w10:wrap type="none"/>
            <w10:anchorlock/>
          </v:shape>
          <o:OLEObject Type="Embed" ProgID="Equation.DSMT4" ShapeID="_x0000_i1032" DrawAspect="Content" ObjectID="_1468075732" r:id="rId21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/>
          <w:sz w:val="24"/>
          <w:szCs w:val="24"/>
          <w:lang w:val="en-US" w:eastAsia="zh-CN"/>
        </w:rPr>
        <w:t xml:space="preserve">   (4)</w:t>
      </w:r>
    </w:p>
    <w:p w14:paraId="779EA3FA">
      <w:pPr>
        <w:spacing w:line="480" w:lineRule="auto"/>
        <w:ind w:firstLine="357"/>
        <w:jc w:val="center"/>
        <w:rPr>
          <w:rFonts w:hint="eastAsia"/>
          <w:sz w:val="24"/>
          <w:szCs w:val="24"/>
        </w:rPr>
      </w:pPr>
    </w:p>
    <w:p w14:paraId="15395391">
      <w:pPr>
        <w:ind w:firstLine="420"/>
        <w:jc w:val="center"/>
        <w:rPr>
          <w:rFonts w:hint="eastAsia" w:ascii="黑体" w:hAnsi="黑体" w:eastAsia="黑体"/>
          <w:sz w:val="21"/>
          <w:szCs w:val="21"/>
        </w:rPr>
      </w:pPr>
      <w:r>
        <w:rPr>
          <w:rFonts w:hint="eastAsia" w:ascii="黑体" w:hAnsi="黑体" w:eastAsia="黑体"/>
          <w:sz w:val="21"/>
          <w:szCs w:val="21"/>
        </w:rPr>
        <w:t>表1</w:t>
      </w:r>
      <w:r>
        <w:rPr>
          <w:rFonts w:ascii="黑体" w:hAnsi="黑体" w:eastAsia="黑体"/>
          <w:sz w:val="21"/>
          <w:szCs w:val="21"/>
        </w:rPr>
        <w:t xml:space="preserve"> </w:t>
      </w:r>
      <w:r>
        <w:rPr>
          <w:rFonts w:hint="eastAsia"/>
        </w:rPr>
        <w:t>HY-PAR1W</w:t>
      </w:r>
      <w:r>
        <w:rPr>
          <w:rFonts w:hint="eastAsia" w:ascii="黑体" w:hAnsi="黑体" w:eastAsia="黑体"/>
          <w:sz w:val="21"/>
          <w:szCs w:val="21"/>
          <w:lang w:val="en-US" w:eastAsia="zh-CN"/>
        </w:rPr>
        <w:t>光合有效辐射表</w:t>
      </w:r>
      <w:r>
        <w:rPr>
          <w:rFonts w:hint="eastAsia" w:ascii="黑体" w:hAnsi="黑体" w:eastAsia="黑体"/>
          <w:sz w:val="21"/>
          <w:szCs w:val="21"/>
          <w:lang w:eastAsia="zh-CN"/>
        </w:rPr>
        <w:t>修正系数</w:t>
      </w:r>
      <w:r>
        <w:rPr>
          <w:rFonts w:hint="eastAsia" w:ascii="黑体" w:hAnsi="黑体" w:eastAsia="黑体"/>
          <w:sz w:val="21"/>
          <w:szCs w:val="21"/>
          <w:lang w:val="en-US" w:eastAsia="zh-CN"/>
        </w:rPr>
        <w:t>校准</w:t>
      </w:r>
      <w:r>
        <w:rPr>
          <w:rFonts w:hint="eastAsia" w:ascii="黑体" w:hAnsi="黑体" w:eastAsia="黑体"/>
          <w:sz w:val="21"/>
          <w:szCs w:val="21"/>
        </w:rPr>
        <w:t>结果</w:t>
      </w:r>
    </w:p>
    <w:p w14:paraId="74300941">
      <w:pPr>
        <w:ind w:firstLine="420"/>
        <w:jc w:val="center"/>
        <w:rPr>
          <w:rFonts w:hint="eastAsia" w:ascii="黑体" w:hAnsi="黑体" w:eastAsia="黑体"/>
          <w:sz w:val="21"/>
          <w:szCs w:val="21"/>
          <w:lang w:eastAsia="zh-CN"/>
        </w:rPr>
      </w:pPr>
      <w:r>
        <w:rPr>
          <w:rFonts w:hint="eastAsia" w:ascii="黑体" w:hAnsi="黑体" w:eastAsia="黑体"/>
          <w:sz w:val="21"/>
          <w:szCs w:val="21"/>
          <w:lang w:eastAsia="zh-CN"/>
        </w:rPr>
        <w:t>（</w:t>
      </w:r>
      <w:r>
        <w:rPr>
          <w:rFonts w:hint="eastAsia" w:ascii="黑体" w:hAnsi="黑体" w:eastAsia="黑体"/>
          <w:sz w:val="21"/>
          <w:szCs w:val="21"/>
          <w:lang w:val="en-US" w:eastAsia="zh-CN"/>
        </w:rPr>
        <w:t>仪器编号</w:t>
      </w:r>
      <w:r>
        <w:rPr>
          <w:rFonts w:hint="eastAsia"/>
        </w:rPr>
        <w:t>G112090156936357001202603090056207</w:t>
      </w:r>
      <w:r>
        <w:rPr>
          <w:rFonts w:hint="eastAsia" w:ascii="黑体" w:hAnsi="黑体" w:eastAsia="黑体"/>
          <w:sz w:val="21"/>
          <w:szCs w:val="21"/>
          <w:lang w:eastAsia="zh-CN"/>
        </w:rPr>
        <w:t>）</w:t>
      </w:r>
    </w:p>
    <w:tbl>
      <w:tblPr>
        <w:tblStyle w:val="4"/>
        <w:tblW w:w="56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1718"/>
        <w:gridCol w:w="1983"/>
        <w:gridCol w:w="1083"/>
      </w:tblGrid>
      <w:tr w14:paraId="16A6E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5" w:hRule="atLeast"/>
          <w:jc w:val="center"/>
        </w:trPr>
        <w:tc>
          <w:tcPr>
            <w:tcW w:w="882" w:type="dxa"/>
            <w:shd w:val="clear" w:color="auto" w:fill="auto"/>
            <w:noWrap/>
            <w:vAlign w:val="center"/>
          </w:tcPr>
          <w:p w14:paraId="726BA27A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组数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26451078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时间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42957FAB"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宋体"/>
                <w:color w:val="000000"/>
                <w:kern w:val="0"/>
                <w:sz w:val="21"/>
                <w:szCs w:val="22"/>
                <w:lang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每组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eastAsia="zh-CN"/>
              </w:rPr>
              <w:t>修正系数</w:t>
            </w:r>
            <w:r>
              <w:rPr>
                <w:rFonts w:hint="eastAsia" w:eastAsia="宋体" w:cs="宋体"/>
                <w:color w:val="000000"/>
                <w:kern w:val="0"/>
                <w:position w:val="-14"/>
                <w:sz w:val="21"/>
                <w:szCs w:val="22"/>
                <w:lang w:eastAsia="zh-CN"/>
              </w:rPr>
              <w:object>
                <v:shape id="_x0000_i1033" o:spt="75" type="#_x0000_t75" style="height:19pt;width:15pt;" o:ole="t" filled="f" o:preferrelative="t" stroked="f" coordsize="21600,21600">
                  <v:path/>
                  <v:fill on="f" focussize="0,0"/>
                  <v:stroke on="f"/>
                  <v:imagedata r:id="rId24" o:title=""/>
                  <o:lock v:ext="edit" aspectratio="f"/>
                  <w10:wrap type="none"/>
                  <w10:anchorlock/>
                </v:shape>
                <o:OLEObject Type="Embed" ProgID="Equation.DSMT4" ShapeID="_x0000_i1033" DrawAspect="Content" ObjectID="_1468075733" r:id="rId23">
                  <o:LockedField>false</o:LockedField>
                </o:OLEObject>
              </w:objec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7C4FA62C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标准偏差</w:t>
            </w:r>
          </w:p>
        </w:tc>
      </w:tr>
      <w:tr w14:paraId="3467F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82" w:type="dxa"/>
            <w:shd w:val="clear" w:color="auto" w:fill="auto"/>
            <w:noWrap/>
            <w:vAlign w:val="center"/>
          </w:tcPr>
          <w:p w14:paraId="3C8B4695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461F99CC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0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:0</w:t>
            </w:r>
            <w:r>
              <w:rPr>
                <w:rFonts w:cs="宋体"/>
                <w:color w:val="000000"/>
                <w:kern w:val="0"/>
                <w:sz w:val="21"/>
                <w:szCs w:val="22"/>
              </w:rPr>
              <w:t>1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~1</w:t>
            </w:r>
            <w:r>
              <w:rPr>
                <w:rFonts w:cs="宋体"/>
                <w:color w:val="000000"/>
                <w:kern w:val="0"/>
                <w:sz w:val="21"/>
                <w:szCs w:val="22"/>
              </w:rPr>
              <w:t>1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00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455BEE84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1.0489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72DA1BC3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0.0046</w:t>
            </w:r>
          </w:p>
        </w:tc>
      </w:tr>
      <w:tr w14:paraId="70331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82" w:type="dxa"/>
            <w:shd w:val="clear" w:color="auto" w:fill="auto"/>
            <w:noWrap/>
            <w:vAlign w:val="center"/>
          </w:tcPr>
          <w:p w14:paraId="38D7EAA0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2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4E50D5E3">
            <w:pPr>
              <w:widowControl/>
              <w:spacing w:line="240" w:lineRule="auto"/>
              <w:ind w:firstLine="0" w:firstLineChars="0"/>
              <w:jc w:val="center"/>
              <w:rPr>
                <w:rFonts w:hint="default" w:cs="宋体"/>
                <w:color w:val="000000"/>
                <w:kern w:val="0"/>
                <w:sz w:val="21"/>
                <w:szCs w:val="22"/>
                <w:lang w:val="en-US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11: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01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~12: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00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0E2A5689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1.0369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09467CEC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0.0034</w:t>
            </w:r>
          </w:p>
        </w:tc>
      </w:tr>
      <w:tr w14:paraId="1C962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82" w:type="dxa"/>
            <w:shd w:val="clear" w:color="auto" w:fill="auto"/>
            <w:noWrap/>
            <w:vAlign w:val="center"/>
          </w:tcPr>
          <w:p w14:paraId="0BCAE145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3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0130BFC1">
            <w:pPr>
              <w:widowControl/>
              <w:spacing w:line="240" w:lineRule="auto"/>
              <w:ind w:firstLine="0" w:firstLineChars="0"/>
              <w:jc w:val="center"/>
              <w:rPr>
                <w:rFonts w:hint="default" w:cs="宋体"/>
                <w:color w:val="000000"/>
                <w:kern w:val="0"/>
                <w:sz w:val="21"/>
                <w:szCs w:val="22"/>
                <w:lang w:val="en-US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12: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01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~13: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00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4638FE9E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1.0354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138CD363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0.0317</w:t>
            </w:r>
          </w:p>
        </w:tc>
      </w:tr>
      <w:tr w14:paraId="0D6D1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00" w:type="dxa"/>
            <w:gridSpan w:val="2"/>
            <w:shd w:val="clear" w:color="auto" w:fill="auto"/>
            <w:noWrap/>
            <w:vAlign w:val="center"/>
          </w:tcPr>
          <w:p w14:paraId="18C58F52">
            <w:pPr>
              <w:widowControl/>
              <w:spacing w:line="240" w:lineRule="auto"/>
              <w:ind w:firstLine="0" w:firstLineChars="0"/>
              <w:jc w:val="right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均值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6E17FA87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1.040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28F300A9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</w:p>
        </w:tc>
      </w:tr>
      <w:tr w14:paraId="4C131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00" w:type="dxa"/>
            <w:gridSpan w:val="2"/>
            <w:shd w:val="clear" w:color="auto" w:fill="auto"/>
            <w:noWrap/>
            <w:vAlign w:val="center"/>
          </w:tcPr>
          <w:p w14:paraId="47706B6A">
            <w:pPr>
              <w:widowControl/>
              <w:spacing w:line="240" w:lineRule="auto"/>
              <w:ind w:firstLine="0" w:firstLineChars="0"/>
              <w:jc w:val="right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合并样本标准差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3ED5AC5B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0.0186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2641F9A6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</w:p>
        </w:tc>
      </w:tr>
      <w:tr w14:paraId="7D215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00" w:type="dxa"/>
            <w:gridSpan w:val="2"/>
            <w:shd w:val="clear" w:color="auto" w:fill="auto"/>
            <w:noWrap/>
            <w:vAlign w:val="center"/>
          </w:tcPr>
          <w:p w14:paraId="218AE700">
            <w:pPr>
              <w:widowControl/>
              <w:spacing w:line="240" w:lineRule="auto"/>
              <w:ind w:firstLine="0" w:firstLineChars="0"/>
              <w:jc w:val="right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每组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有效数据个数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68CCB840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12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10C55382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</w:p>
        </w:tc>
      </w:tr>
    </w:tbl>
    <w:p w14:paraId="1455A1CF">
      <w:pPr>
        <w:spacing w:line="400" w:lineRule="exact"/>
        <w:rPr>
          <w:color w:val="000000"/>
          <w:sz w:val="24"/>
        </w:rPr>
      </w:pPr>
    </w:p>
    <w:p w14:paraId="52F71B0C">
      <w:pPr>
        <w:spacing w:line="400" w:lineRule="exact"/>
        <w:rPr>
          <w:rFonts w:hint="eastAsia"/>
          <w:color w:val="000000"/>
          <w:sz w:val="24"/>
        </w:rPr>
      </w:pPr>
      <w:r>
        <w:rPr>
          <w:color w:val="000000"/>
          <w:sz w:val="24"/>
        </w:rPr>
        <w:t>2.</w:t>
      </w:r>
      <w:r>
        <w:rPr>
          <w:rFonts w:hint="eastAsia"/>
          <w:color w:val="000000"/>
          <w:sz w:val="24"/>
          <w:lang w:val="en-US" w:eastAsia="zh-CN"/>
        </w:rPr>
        <w:t>3</w:t>
      </w:r>
      <w:r>
        <w:rPr>
          <w:color w:val="000000"/>
          <w:sz w:val="24"/>
        </w:rPr>
        <w:t xml:space="preserve">  </w:t>
      </w:r>
      <w:r>
        <w:rPr>
          <w:rFonts w:hint="eastAsia" w:ascii="黑体" w:eastAsia="黑体"/>
          <w:color w:val="000000"/>
          <w:sz w:val="24"/>
          <w:lang w:val="en-US" w:eastAsia="zh-CN"/>
        </w:rPr>
        <w:t>被校光合有效辐射表光谱失配引入</w:t>
      </w:r>
      <w:r>
        <w:rPr>
          <w:rFonts w:hint="eastAsia" w:ascii="黑体" w:eastAsia="黑体"/>
          <w:color w:val="000000"/>
          <w:sz w:val="24"/>
        </w:rPr>
        <w:t>的</w:t>
      </w:r>
      <w:r>
        <w:rPr>
          <w:rFonts w:hint="eastAsia" w:ascii="黑体" w:eastAsia="黑体"/>
          <w:color w:val="000000"/>
          <w:sz w:val="24"/>
          <w:lang w:val="en-US" w:eastAsia="zh-CN"/>
        </w:rPr>
        <w:t>标准</w:t>
      </w:r>
      <w:r>
        <w:rPr>
          <w:rFonts w:hint="eastAsia" w:ascii="黑体" w:eastAsia="黑体"/>
          <w:color w:val="000000"/>
          <w:sz w:val="24"/>
        </w:rPr>
        <w:t>不确定度</w:t>
      </w:r>
      <w:r>
        <w:rPr>
          <w:rFonts w:hint="eastAsia" w:ascii="黑体" w:eastAsia="黑体"/>
          <w:color w:val="000000"/>
          <w:sz w:val="24"/>
          <w:lang w:val="en-US" w:eastAsia="zh-CN"/>
        </w:rPr>
        <w:t>分量</w:t>
      </w:r>
      <w:r>
        <w:rPr>
          <w:rFonts w:eastAsia="黑体"/>
          <w:i/>
          <w:color w:val="000000"/>
          <w:sz w:val="24"/>
        </w:rPr>
        <w:t>u</w:t>
      </w:r>
      <w:r>
        <w:rPr>
          <w:rFonts w:hint="eastAsia" w:eastAsia="黑体"/>
          <w:i/>
          <w:color w:val="000000"/>
          <w:sz w:val="24"/>
          <w:vertAlign w:val="subscript"/>
          <w:lang w:val="en-US" w:eastAsia="zh-CN"/>
        </w:rPr>
        <w:t>3</w:t>
      </w:r>
      <w:r>
        <w:rPr>
          <w:rFonts w:hint="eastAsia" w:eastAsia="黑体"/>
          <w:color w:val="000000"/>
          <w:sz w:val="24"/>
          <w:vertAlign w:val="subscript"/>
          <w:lang w:val="en-US" w:eastAsia="zh-CN"/>
        </w:rPr>
        <w:t>, rel</w:t>
      </w:r>
    </w:p>
    <w:p w14:paraId="3796C120">
      <w:pPr>
        <w:spacing w:line="300" w:lineRule="auto"/>
        <w:ind w:firstLine="484"/>
        <w:rPr>
          <w:rFonts w:hint="default" w:eastAsia="宋体"/>
          <w:color w:val="000000"/>
          <w:sz w:val="24"/>
          <w:lang w:val="en-US" w:eastAsia="zh-CN"/>
        </w:rPr>
      </w:pPr>
      <w:r>
        <w:rPr>
          <w:rFonts w:hint="eastAsia"/>
          <w:color w:val="000000"/>
          <w:sz w:val="24"/>
          <w:lang w:val="en-US" w:eastAsia="zh-CN"/>
        </w:rPr>
        <w:t>由于被校光合有效辐射表核心元器件光电二极管、滤光片等器件物理特性局限，导致被校光合有效辐射表的光谱响应与理论定义间存在一定差异。被校光合有效辐射表光谱失配</w:t>
      </w:r>
      <w:r>
        <w:rPr>
          <w:rFonts w:hint="eastAsia" w:ascii="宋体"/>
          <w:color w:val="000000"/>
          <w:sz w:val="24"/>
        </w:rPr>
        <w:t>误差</w:t>
      </w:r>
      <w:r>
        <w:rPr>
          <w:rFonts w:hint="eastAsia" w:ascii="宋体"/>
          <w:color w:val="000000"/>
          <w:sz w:val="24"/>
          <w:lang w:val="en-US" w:eastAsia="zh-CN"/>
        </w:rPr>
        <w:t>估计值为3%，按正态分布，置信因子</w:t>
      </w:r>
      <w:r>
        <w:rPr>
          <w:bCs/>
          <w:position w:val="-6"/>
        </w:rPr>
        <w:object>
          <v:shape id="_x0000_i1034" o:spt="75" type="#_x0000_t75" style="height:14.95pt;width:27.3pt;" o:ole="t" filled="f" o:preferrelative="t" stroked="f" coordsize="21600,21600">
            <v:path/>
            <v:fill on="f" focussize="0,0"/>
            <v:stroke on="f"/>
            <v:imagedata r:id="rId26" o:title=""/>
            <o:lock v:ext="edit" aspectratio="t"/>
            <w10:wrap type="none"/>
            <w10:anchorlock/>
          </v:shape>
          <o:OLEObject Type="Embed" ProgID="Equation.DSMT4" ShapeID="_x0000_i1034" DrawAspect="Content" ObjectID="_1468075734" r:id="rId25">
            <o:LockedField>false</o:LockedField>
          </o:OLEObject>
        </w:object>
      </w:r>
      <w:r>
        <w:rPr>
          <w:rFonts w:hint="eastAsia" w:ascii="宋体"/>
          <w:color w:val="000000"/>
          <w:sz w:val="24"/>
          <w:lang w:val="en-US" w:eastAsia="zh-CN"/>
        </w:rPr>
        <w:t>，光谱失配误差</w:t>
      </w:r>
      <w:r>
        <w:rPr>
          <w:rFonts w:hint="eastAsia" w:ascii="宋体"/>
          <w:color w:val="000000"/>
          <w:sz w:val="24"/>
        </w:rPr>
        <w:t>引</w:t>
      </w:r>
      <w:r>
        <w:rPr>
          <w:rFonts w:hint="eastAsia" w:ascii="宋体"/>
          <w:color w:val="000000"/>
          <w:sz w:val="24"/>
          <w:lang w:val="en-US" w:eastAsia="zh-CN"/>
        </w:rPr>
        <w:t>入</w:t>
      </w:r>
      <w:r>
        <w:rPr>
          <w:rFonts w:hint="eastAsia" w:ascii="宋体"/>
          <w:color w:val="000000"/>
          <w:sz w:val="24"/>
        </w:rPr>
        <w:t>的</w:t>
      </w:r>
      <w:r>
        <w:rPr>
          <w:rFonts w:hint="eastAsia" w:ascii="宋体"/>
          <w:color w:val="000000"/>
          <w:sz w:val="24"/>
          <w:lang w:val="en-US" w:eastAsia="zh-CN"/>
        </w:rPr>
        <w:t>标准</w:t>
      </w:r>
      <w:r>
        <w:rPr>
          <w:rFonts w:hint="eastAsia" w:ascii="宋体"/>
          <w:color w:val="000000"/>
          <w:sz w:val="24"/>
        </w:rPr>
        <w:t>不确定度</w:t>
      </w:r>
      <w:r>
        <w:rPr>
          <w:rFonts w:eastAsia="黑体"/>
          <w:i/>
          <w:color w:val="000000"/>
          <w:sz w:val="24"/>
        </w:rPr>
        <w:t>u</w:t>
      </w:r>
      <w:r>
        <w:rPr>
          <w:rFonts w:hint="eastAsia" w:eastAsia="黑体"/>
          <w:i w:val="0"/>
          <w:iCs/>
          <w:color w:val="000000"/>
          <w:sz w:val="24"/>
          <w:vertAlign w:val="subscript"/>
          <w:lang w:val="en-US" w:eastAsia="zh-CN"/>
        </w:rPr>
        <w:t>3</w:t>
      </w:r>
      <w:r>
        <w:rPr>
          <w:rFonts w:hint="eastAsia" w:eastAsia="黑体"/>
          <w:color w:val="000000"/>
          <w:sz w:val="24"/>
          <w:vertAlign w:val="subscript"/>
          <w:lang w:val="en-US" w:eastAsia="zh-CN"/>
        </w:rPr>
        <w:t>, rel</w:t>
      </w:r>
      <w:r>
        <w:rPr>
          <w:rFonts w:eastAsia="黑体"/>
          <w:color w:val="000000"/>
          <w:sz w:val="24"/>
        </w:rPr>
        <w:t>=</w:t>
      </w:r>
      <w:r>
        <w:rPr>
          <w:rFonts w:hint="eastAsia" w:eastAsia="黑体"/>
          <w:color w:val="000000"/>
          <w:sz w:val="24"/>
          <w:lang w:val="en-US" w:eastAsia="zh-CN"/>
        </w:rPr>
        <w:t>3</w:t>
      </w:r>
      <w:r>
        <w:rPr>
          <w:rFonts w:eastAsia="黑体"/>
          <w:color w:val="000000"/>
          <w:sz w:val="24"/>
        </w:rPr>
        <w:t>%</w:t>
      </w:r>
      <w:r>
        <w:rPr>
          <w:rFonts w:hint="eastAsia" w:ascii="宋体"/>
          <w:color w:val="000000"/>
          <w:sz w:val="24"/>
          <w:lang w:val="en-US" w:eastAsia="zh-CN"/>
        </w:rPr>
        <w:t xml:space="preserve"> /2 = 1.5%</w:t>
      </w:r>
      <w:r>
        <w:rPr>
          <w:rFonts w:ascii="宋体" w:hAnsi="宋体"/>
          <w:sz w:val="24"/>
          <w:szCs w:val="24"/>
        </w:rPr>
        <w:t>，</w:t>
      </w:r>
      <w:r>
        <w:rPr>
          <w:rFonts w:hint="eastAsia"/>
          <w:sz w:val="24"/>
          <w:szCs w:val="24"/>
        </w:rPr>
        <w:t>评定方法为</w:t>
      </w:r>
      <w:r>
        <w:rPr>
          <w:rFonts w:hint="eastAsia"/>
          <w:sz w:val="24"/>
          <w:szCs w:val="24"/>
          <w:lang w:val="en-US" w:eastAsia="zh-CN"/>
        </w:rPr>
        <w:t>B</w:t>
      </w:r>
      <w:r>
        <w:rPr>
          <w:rFonts w:hint="eastAsia"/>
          <w:sz w:val="24"/>
          <w:szCs w:val="24"/>
        </w:rPr>
        <w:t>类不确定度评定。</w:t>
      </w:r>
    </w:p>
    <w:p w14:paraId="5CEEBF30">
      <w:pPr>
        <w:spacing w:line="400" w:lineRule="exact"/>
        <w:rPr>
          <w:rFonts w:hint="eastAsia"/>
          <w:color w:val="000000"/>
          <w:sz w:val="24"/>
        </w:rPr>
      </w:pPr>
      <w:r>
        <w:rPr>
          <w:color w:val="000000"/>
          <w:sz w:val="24"/>
        </w:rPr>
        <w:t>2.</w:t>
      </w:r>
      <w:r>
        <w:rPr>
          <w:rFonts w:hint="eastAsia"/>
          <w:color w:val="000000"/>
          <w:sz w:val="24"/>
          <w:lang w:val="en-US" w:eastAsia="zh-CN"/>
        </w:rPr>
        <w:t>4</w:t>
      </w:r>
      <w:r>
        <w:rPr>
          <w:color w:val="000000"/>
          <w:sz w:val="24"/>
        </w:rPr>
        <w:t xml:space="preserve">  </w:t>
      </w:r>
      <w:r>
        <w:rPr>
          <w:rFonts w:hint="eastAsia" w:ascii="黑体" w:eastAsia="黑体"/>
          <w:color w:val="000000"/>
          <w:sz w:val="24"/>
          <w:lang w:val="en-US" w:eastAsia="zh-CN"/>
        </w:rPr>
        <w:t>被校光合有效辐射表余弦</w:t>
      </w:r>
      <w:r>
        <w:rPr>
          <w:rFonts w:hint="eastAsia" w:ascii="黑体" w:eastAsia="黑体"/>
          <w:color w:val="000000"/>
          <w:sz w:val="24"/>
        </w:rPr>
        <w:t>误差</w:t>
      </w:r>
      <w:r>
        <w:rPr>
          <w:rFonts w:hint="eastAsia" w:ascii="黑体" w:eastAsia="黑体"/>
          <w:color w:val="000000"/>
          <w:sz w:val="24"/>
          <w:lang w:val="en-US" w:eastAsia="zh-CN"/>
        </w:rPr>
        <w:t>引入</w:t>
      </w:r>
      <w:r>
        <w:rPr>
          <w:rFonts w:hint="eastAsia" w:ascii="黑体" w:eastAsia="黑体"/>
          <w:color w:val="000000"/>
          <w:sz w:val="24"/>
        </w:rPr>
        <w:t>的</w:t>
      </w:r>
      <w:r>
        <w:rPr>
          <w:rFonts w:hint="eastAsia" w:ascii="黑体" w:eastAsia="黑体"/>
          <w:color w:val="000000"/>
          <w:sz w:val="24"/>
          <w:lang w:val="en-US" w:eastAsia="zh-CN"/>
        </w:rPr>
        <w:t>标准</w:t>
      </w:r>
      <w:r>
        <w:rPr>
          <w:rFonts w:hint="eastAsia" w:ascii="黑体" w:eastAsia="黑体"/>
          <w:color w:val="000000"/>
          <w:sz w:val="24"/>
        </w:rPr>
        <w:t>不确定度</w:t>
      </w:r>
      <w:r>
        <w:rPr>
          <w:rFonts w:hint="eastAsia" w:ascii="黑体" w:eastAsia="黑体"/>
          <w:color w:val="000000"/>
          <w:sz w:val="24"/>
          <w:lang w:val="en-US" w:eastAsia="zh-CN"/>
        </w:rPr>
        <w:t>分量</w:t>
      </w:r>
      <w:r>
        <w:rPr>
          <w:rFonts w:eastAsia="黑体"/>
          <w:i/>
          <w:color w:val="000000"/>
          <w:sz w:val="24"/>
        </w:rPr>
        <w:t>u</w:t>
      </w:r>
      <w:r>
        <w:rPr>
          <w:rFonts w:hint="eastAsia" w:eastAsia="黑体"/>
          <w:i w:val="0"/>
          <w:iCs/>
          <w:color w:val="000000"/>
          <w:sz w:val="24"/>
          <w:vertAlign w:val="subscript"/>
          <w:lang w:val="en-US" w:eastAsia="zh-CN"/>
        </w:rPr>
        <w:t>4</w:t>
      </w:r>
      <w:r>
        <w:rPr>
          <w:rFonts w:hint="eastAsia" w:eastAsia="黑体"/>
          <w:color w:val="000000"/>
          <w:sz w:val="24"/>
          <w:vertAlign w:val="subscript"/>
          <w:lang w:val="en-US" w:eastAsia="zh-CN"/>
        </w:rPr>
        <w:t>, rel</w:t>
      </w:r>
    </w:p>
    <w:p w14:paraId="1363F5E6">
      <w:pPr>
        <w:spacing w:line="300" w:lineRule="auto"/>
        <w:ind w:firstLine="484"/>
        <w:rPr>
          <w:rFonts w:hint="eastAsia"/>
          <w:sz w:val="24"/>
          <w:szCs w:val="24"/>
        </w:rPr>
      </w:pPr>
      <w:r>
        <w:rPr>
          <w:rFonts w:hint="eastAsia" w:ascii="宋体"/>
          <w:color w:val="000000"/>
          <w:sz w:val="24"/>
          <w:lang w:val="en-US" w:eastAsia="zh-CN"/>
        </w:rPr>
        <w:t>测试期间太阳高度角大于30°，被校</w:t>
      </w:r>
      <w:r>
        <w:rPr>
          <w:rFonts w:hint="eastAsia"/>
          <w:color w:val="000000"/>
          <w:sz w:val="24"/>
          <w:lang w:val="en-US" w:eastAsia="zh-CN"/>
        </w:rPr>
        <w:t>光合有效辐射表</w:t>
      </w:r>
      <w:r>
        <w:rPr>
          <w:rFonts w:hint="eastAsia" w:ascii="宋体"/>
          <w:color w:val="000000"/>
          <w:sz w:val="24"/>
        </w:rPr>
        <w:t>的</w:t>
      </w:r>
      <w:r>
        <w:rPr>
          <w:rFonts w:hint="eastAsia" w:ascii="宋体"/>
          <w:color w:val="000000"/>
          <w:sz w:val="24"/>
          <w:lang w:val="en-US" w:eastAsia="zh-CN"/>
        </w:rPr>
        <w:t>余弦</w:t>
      </w:r>
      <w:r>
        <w:rPr>
          <w:rFonts w:hint="eastAsia" w:ascii="宋体"/>
          <w:color w:val="000000"/>
          <w:sz w:val="24"/>
        </w:rPr>
        <w:t>误差</w:t>
      </w:r>
      <w:r>
        <w:rPr>
          <w:rFonts w:hint="eastAsia" w:ascii="宋体"/>
          <w:color w:val="000000"/>
          <w:sz w:val="24"/>
          <w:lang w:val="en-US" w:eastAsia="zh-CN"/>
        </w:rPr>
        <w:t>估计值为3%，按正态分布，置信因子</w:t>
      </w:r>
      <w:r>
        <w:rPr>
          <w:bCs/>
          <w:position w:val="-6"/>
        </w:rPr>
        <w:object>
          <v:shape id="_x0000_i1035" o:spt="75" type="#_x0000_t75" style="height:14.95pt;width:27.3pt;" o:ole="t" filled="f" o:preferrelative="t" stroked="f" coordsize="21600,21600">
            <v:path/>
            <v:fill on="f" focussize="0,0"/>
            <v:stroke on="f"/>
            <v:imagedata r:id="rId26" o:title=""/>
            <o:lock v:ext="edit" aspectratio="t"/>
            <w10:wrap type="none"/>
            <w10:anchorlock/>
          </v:shape>
          <o:OLEObject Type="Embed" ProgID="Equation.DSMT4" ShapeID="_x0000_i1035" DrawAspect="Content" ObjectID="_1468075735" r:id="rId27">
            <o:LockedField>false</o:LockedField>
          </o:OLEObject>
        </w:object>
      </w:r>
      <w:r>
        <w:rPr>
          <w:rFonts w:hint="eastAsia" w:ascii="宋体"/>
          <w:color w:val="000000"/>
          <w:sz w:val="24"/>
          <w:lang w:val="en-US" w:eastAsia="zh-CN"/>
        </w:rPr>
        <w:t>，余弦误差</w:t>
      </w:r>
      <w:r>
        <w:rPr>
          <w:rFonts w:hint="eastAsia" w:ascii="宋体"/>
          <w:color w:val="000000"/>
          <w:sz w:val="24"/>
        </w:rPr>
        <w:t>引</w:t>
      </w:r>
      <w:r>
        <w:rPr>
          <w:rFonts w:hint="eastAsia" w:ascii="宋体"/>
          <w:color w:val="000000"/>
          <w:sz w:val="24"/>
          <w:lang w:val="en-US" w:eastAsia="zh-CN"/>
        </w:rPr>
        <w:t>入</w:t>
      </w:r>
      <w:r>
        <w:rPr>
          <w:rFonts w:hint="eastAsia" w:ascii="宋体"/>
          <w:color w:val="000000"/>
          <w:sz w:val="24"/>
        </w:rPr>
        <w:t>的</w:t>
      </w:r>
      <w:r>
        <w:rPr>
          <w:rFonts w:hint="eastAsia" w:ascii="宋体"/>
          <w:color w:val="000000"/>
          <w:sz w:val="24"/>
          <w:lang w:val="en-US" w:eastAsia="zh-CN"/>
        </w:rPr>
        <w:t>标准</w:t>
      </w:r>
      <w:r>
        <w:rPr>
          <w:rFonts w:hint="eastAsia" w:ascii="宋体"/>
          <w:color w:val="000000"/>
          <w:sz w:val="24"/>
        </w:rPr>
        <w:t>不确定度</w:t>
      </w:r>
      <w:r>
        <w:rPr>
          <w:rFonts w:eastAsia="黑体"/>
          <w:i/>
          <w:color w:val="000000"/>
          <w:sz w:val="24"/>
        </w:rPr>
        <w:t>u</w:t>
      </w:r>
      <w:r>
        <w:rPr>
          <w:rFonts w:hint="eastAsia" w:eastAsia="黑体"/>
          <w:i w:val="0"/>
          <w:iCs/>
          <w:color w:val="000000"/>
          <w:sz w:val="24"/>
          <w:vertAlign w:val="subscript"/>
          <w:lang w:val="en-US" w:eastAsia="zh-CN"/>
        </w:rPr>
        <w:t>4</w:t>
      </w:r>
      <w:r>
        <w:rPr>
          <w:rFonts w:hint="eastAsia" w:eastAsia="黑体"/>
          <w:color w:val="000000"/>
          <w:sz w:val="24"/>
          <w:vertAlign w:val="subscript"/>
          <w:lang w:val="en-US" w:eastAsia="zh-CN"/>
        </w:rPr>
        <w:t>, rel</w:t>
      </w:r>
      <w:r>
        <w:rPr>
          <w:rFonts w:eastAsia="黑体"/>
          <w:color w:val="000000"/>
          <w:sz w:val="24"/>
        </w:rPr>
        <w:t>=</w:t>
      </w:r>
      <w:r>
        <w:rPr>
          <w:rFonts w:hint="eastAsia" w:eastAsia="黑体"/>
          <w:color w:val="000000"/>
          <w:sz w:val="24"/>
          <w:lang w:val="en-US" w:eastAsia="zh-CN"/>
        </w:rPr>
        <w:t>3</w:t>
      </w:r>
      <w:r>
        <w:rPr>
          <w:rFonts w:eastAsia="黑体"/>
          <w:color w:val="000000"/>
          <w:sz w:val="24"/>
        </w:rPr>
        <w:t>%</w:t>
      </w:r>
      <w:r>
        <w:rPr>
          <w:rFonts w:hint="eastAsia" w:ascii="宋体"/>
          <w:color w:val="000000"/>
          <w:sz w:val="24"/>
          <w:lang w:val="en-US" w:eastAsia="zh-CN"/>
        </w:rPr>
        <w:t xml:space="preserve"> /2 = 1.5%</w:t>
      </w:r>
      <w:r>
        <w:rPr>
          <w:rFonts w:ascii="宋体" w:hAnsi="宋体"/>
          <w:sz w:val="24"/>
          <w:szCs w:val="24"/>
        </w:rPr>
        <w:t>，</w:t>
      </w:r>
      <w:r>
        <w:rPr>
          <w:rFonts w:hint="eastAsia"/>
          <w:sz w:val="24"/>
          <w:szCs w:val="24"/>
        </w:rPr>
        <w:t>评定方法为</w:t>
      </w:r>
      <w:r>
        <w:rPr>
          <w:rFonts w:hint="eastAsia"/>
          <w:sz w:val="24"/>
          <w:szCs w:val="24"/>
          <w:lang w:val="en-US" w:eastAsia="zh-CN"/>
        </w:rPr>
        <w:t>B</w:t>
      </w:r>
      <w:r>
        <w:rPr>
          <w:rFonts w:hint="eastAsia"/>
          <w:sz w:val="24"/>
          <w:szCs w:val="24"/>
        </w:rPr>
        <w:t>类不确定度评定。</w:t>
      </w:r>
    </w:p>
    <w:p w14:paraId="171C069A">
      <w:pPr>
        <w:spacing w:line="400" w:lineRule="exact"/>
        <w:rPr>
          <w:rFonts w:hint="eastAsia"/>
          <w:color w:val="000000"/>
          <w:sz w:val="24"/>
        </w:rPr>
      </w:pPr>
      <w:r>
        <w:rPr>
          <w:color w:val="000000"/>
          <w:sz w:val="24"/>
        </w:rPr>
        <w:t>2.</w:t>
      </w:r>
      <w:r>
        <w:rPr>
          <w:rFonts w:hint="eastAsia"/>
          <w:color w:val="000000"/>
          <w:sz w:val="24"/>
          <w:lang w:val="en-US" w:eastAsia="zh-CN"/>
        </w:rPr>
        <w:t>5</w:t>
      </w:r>
      <w:r>
        <w:rPr>
          <w:color w:val="000000"/>
          <w:sz w:val="24"/>
        </w:rPr>
        <w:t xml:space="preserve">  </w:t>
      </w:r>
      <w:r>
        <w:rPr>
          <w:rFonts w:hint="eastAsia" w:ascii="黑体" w:eastAsia="黑体"/>
          <w:color w:val="000000"/>
          <w:sz w:val="24"/>
          <w:lang w:val="en-US" w:eastAsia="zh-CN"/>
        </w:rPr>
        <w:t>被校光合有效辐射表非线性</w:t>
      </w:r>
      <w:r>
        <w:rPr>
          <w:rFonts w:hint="eastAsia" w:ascii="黑体" w:eastAsia="黑体"/>
          <w:color w:val="000000"/>
          <w:sz w:val="24"/>
        </w:rPr>
        <w:t>误差</w:t>
      </w:r>
      <w:r>
        <w:rPr>
          <w:rFonts w:hint="eastAsia" w:ascii="黑体" w:eastAsia="黑体"/>
          <w:color w:val="000000"/>
          <w:sz w:val="24"/>
          <w:lang w:val="en-US" w:eastAsia="zh-CN"/>
        </w:rPr>
        <w:t>引入</w:t>
      </w:r>
      <w:r>
        <w:rPr>
          <w:rFonts w:hint="eastAsia" w:ascii="黑体" w:eastAsia="黑体"/>
          <w:color w:val="000000"/>
          <w:sz w:val="24"/>
        </w:rPr>
        <w:t>的</w:t>
      </w:r>
      <w:r>
        <w:rPr>
          <w:rFonts w:hint="eastAsia" w:ascii="黑体" w:eastAsia="黑体"/>
          <w:color w:val="000000"/>
          <w:sz w:val="24"/>
          <w:lang w:val="en-US" w:eastAsia="zh-CN"/>
        </w:rPr>
        <w:t>标准</w:t>
      </w:r>
      <w:r>
        <w:rPr>
          <w:rFonts w:hint="eastAsia" w:ascii="黑体" w:eastAsia="黑体"/>
          <w:color w:val="000000"/>
          <w:sz w:val="24"/>
        </w:rPr>
        <w:t>不确定度</w:t>
      </w:r>
      <w:r>
        <w:rPr>
          <w:rFonts w:hint="eastAsia" w:ascii="黑体" w:eastAsia="黑体"/>
          <w:color w:val="000000"/>
          <w:sz w:val="24"/>
          <w:lang w:val="en-US" w:eastAsia="zh-CN"/>
        </w:rPr>
        <w:t>分量</w:t>
      </w:r>
      <w:r>
        <w:rPr>
          <w:rFonts w:eastAsia="黑体"/>
          <w:i/>
          <w:color w:val="000000"/>
          <w:sz w:val="24"/>
        </w:rPr>
        <w:t>u</w:t>
      </w:r>
      <w:r>
        <w:rPr>
          <w:rFonts w:hint="eastAsia" w:eastAsia="黑体"/>
          <w:i w:val="0"/>
          <w:iCs/>
          <w:color w:val="000000"/>
          <w:sz w:val="24"/>
          <w:vertAlign w:val="subscript"/>
          <w:lang w:val="en-US" w:eastAsia="zh-CN"/>
        </w:rPr>
        <w:t>5</w:t>
      </w:r>
      <w:r>
        <w:rPr>
          <w:rFonts w:hint="eastAsia" w:eastAsia="黑体"/>
          <w:color w:val="000000"/>
          <w:sz w:val="24"/>
          <w:vertAlign w:val="subscript"/>
          <w:lang w:val="en-US" w:eastAsia="zh-CN"/>
        </w:rPr>
        <w:t>, rel</w:t>
      </w:r>
    </w:p>
    <w:p w14:paraId="6D6D9B5E">
      <w:pPr>
        <w:spacing w:line="300" w:lineRule="auto"/>
        <w:ind w:firstLine="484"/>
        <w:rPr>
          <w:rFonts w:hint="eastAsia"/>
          <w:color w:val="000000"/>
          <w:sz w:val="24"/>
        </w:rPr>
      </w:pPr>
      <w:r>
        <w:rPr>
          <w:rFonts w:hint="eastAsia" w:ascii="宋体"/>
          <w:color w:val="000000"/>
          <w:sz w:val="24"/>
          <w:lang w:val="en-US" w:eastAsia="zh-CN"/>
        </w:rPr>
        <w:t>测试期间光合光子通量密度变化范围在（1568-2250）</w:t>
      </w:r>
      <w:r>
        <w:rPr>
          <w:rFonts w:hint="default" w:ascii="Times New Roman" w:hAnsi="Times New Roman" w:eastAsia="宋体" w:cs="Times New Roman"/>
          <w:i w:val="0"/>
          <w:iCs w:val="0"/>
          <w:color w:val="333333"/>
          <w:kern w:val="0"/>
          <w:sz w:val="24"/>
          <w:szCs w:val="24"/>
          <w:u w:val="none"/>
          <w:lang w:val="en-US" w:eastAsia="zh-CN" w:bidi="ar"/>
        </w:rPr>
        <w:t>μmol·m</w:t>
      </w:r>
      <w:r>
        <w:rPr>
          <w:rFonts w:hint="default" w:ascii="Times New Roman" w:hAnsi="Times New Roman" w:eastAsia="宋体" w:cs="Times New Roman"/>
          <w:i w:val="0"/>
          <w:iCs w:val="0"/>
          <w:color w:val="333333"/>
          <w:kern w:val="0"/>
          <w:sz w:val="24"/>
          <w:szCs w:val="24"/>
          <w:u w:val="none"/>
          <w:vertAlign w:val="superscript"/>
          <w:lang w:val="en-US" w:eastAsia="zh-CN" w:bidi="ar"/>
        </w:rPr>
        <w:t>-2</w:t>
      </w:r>
      <w:r>
        <w:rPr>
          <w:rFonts w:hint="default" w:ascii="Times New Roman" w:hAnsi="Times New Roman" w:eastAsia="宋体" w:cs="Times New Roman"/>
          <w:i w:val="0"/>
          <w:iCs w:val="0"/>
          <w:color w:val="333333"/>
          <w:kern w:val="0"/>
          <w:sz w:val="24"/>
          <w:szCs w:val="24"/>
          <w:u w:val="none"/>
          <w:lang w:val="en-US" w:eastAsia="zh-CN" w:bidi="ar"/>
        </w:rPr>
        <w:t>·s</w:t>
      </w:r>
      <w:r>
        <w:rPr>
          <w:rFonts w:hint="default" w:ascii="Times New Roman" w:hAnsi="Times New Roman" w:eastAsia="宋体" w:cs="Times New Roman"/>
          <w:i w:val="0"/>
          <w:iCs w:val="0"/>
          <w:color w:val="333333"/>
          <w:kern w:val="0"/>
          <w:sz w:val="24"/>
          <w:szCs w:val="24"/>
          <w:u w:val="none"/>
          <w:vertAlign w:val="superscript"/>
          <w:lang w:val="en-US" w:eastAsia="zh-CN" w:bidi="ar"/>
        </w:rPr>
        <w:t>-1</w:t>
      </w:r>
      <w:bookmarkStart w:id="0" w:name="_GoBack"/>
      <w:bookmarkEnd w:id="0"/>
      <w:r>
        <w:rPr>
          <w:rFonts w:hint="eastAsia" w:ascii="宋体"/>
          <w:color w:val="000000"/>
          <w:sz w:val="24"/>
          <w:lang w:val="en-US" w:eastAsia="zh-CN"/>
        </w:rPr>
        <w:t>，被校</w:t>
      </w:r>
      <w:r>
        <w:rPr>
          <w:rFonts w:hint="eastAsia"/>
          <w:color w:val="000000"/>
          <w:sz w:val="24"/>
          <w:lang w:val="en-US" w:eastAsia="zh-CN"/>
        </w:rPr>
        <w:t>光合有效辐射表</w:t>
      </w:r>
      <w:r>
        <w:rPr>
          <w:rFonts w:hint="eastAsia" w:ascii="宋体"/>
          <w:color w:val="000000"/>
          <w:sz w:val="24"/>
        </w:rPr>
        <w:t>的</w:t>
      </w:r>
      <w:r>
        <w:rPr>
          <w:rFonts w:hint="eastAsia" w:ascii="宋体"/>
          <w:color w:val="000000"/>
          <w:sz w:val="24"/>
          <w:lang w:val="en-US" w:eastAsia="zh-CN"/>
        </w:rPr>
        <w:t>非线性</w:t>
      </w:r>
      <w:r>
        <w:rPr>
          <w:rFonts w:hint="eastAsia" w:ascii="宋体"/>
          <w:color w:val="000000"/>
          <w:sz w:val="24"/>
        </w:rPr>
        <w:t>误差</w:t>
      </w:r>
      <w:r>
        <w:rPr>
          <w:rFonts w:hint="eastAsia" w:ascii="宋体"/>
          <w:color w:val="000000"/>
          <w:sz w:val="24"/>
          <w:lang w:val="en-US" w:eastAsia="zh-CN"/>
        </w:rPr>
        <w:t>估计值为1%，按均匀分布，置信因子</w:t>
      </w:r>
      <w:r>
        <w:rPr>
          <w:bCs/>
          <w:position w:val="-8"/>
        </w:rPr>
        <w:object>
          <v:shape id="_x0000_i1036" o:spt="75" type="#_x0000_t75" style="height:19.25pt;width:35.05pt;" o:ole="t" filled="f" o:preferrelative="t" stroked="f" coordsize="21600,21600">
            <v:path/>
            <v:fill on="f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Equation.DSMT4" ShapeID="_x0000_i1036" DrawAspect="Content" ObjectID="_1468075736" r:id="rId28">
            <o:LockedField>false</o:LockedField>
          </o:OLEObject>
        </w:object>
      </w:r>
      <w:r>
        <w:rPr>
          <w:rFonts w:hint="eastAsia" w:ascii="宋体"/>
          <w:color w:val="000000"/>
          <w:sz w:val="24"/>
          <w:lang w:val="en-US" w:eastAsia="zh-CN"/>
        </w:rPr>
        <w:t>，温度响应误差</w:t>
      </w:r>
      <w:r>
        <w:rPr>
          <w:rFonts w:hint="eastAsia" w:ascii="宋体"/>
          <w:color w:val="000000"/>
          <w:sz w:val="24"/>
        </w:rPr>
        <w:t>引</w:t>
      </w:r>
      <w:r>
        <w:rPr>
          <w:rFonts w:hint="eastAsia" w:ascii="宋体"/>
          <w:color w:val="000000"/>
          <w:sz w:val="24"/>
          <w:lang w:val="en-US" w:eastAsia="zh-CN"/>
        </w:rPr>
        <w:t>入</w:t>
      </w:r>
      <w:r>
        <w:rPr>
          <w:rFonts w:hint="eastAsia" w:ascii="宋体"/>
          <w:color w:val="000000"/>
          <w:sz w:val="24"/>
        </w:rPr>
        <w:t>的</w:t>
      </w:r>
      <w:r>
        <w:rPr>
          <w:rFonts w:hint="eastAsia" w:ascii="宋体"/>
          <w:color w:val="000000"/>
          <w:sz w:val="24"/>
          <w:lang w:val="en-US" w:eastAsia="zh-CN"/>
        </w:rPr>
        <w:t>标准</w:t>
      </w:r>
      <w:r>
        <w:rPr>
          <w:rFonts w:hint="eastAsia" w:ascii="宋体"/>
          <w:color w:val="000000"/>
          <w:sz w:val="24"/>
        </w:rPr>
        <w:t>不确定度</w:t>
      </w:r>
      <w:r>
        <w:rPr>
          <w:rFonts w:eastAsia="黑体"/>
          <w:i/>
          <w:color w:val="000000"/>
          <w:sz w:val="24"/>
        </w:rPr>
        <w:t>u</w:t>
      </w:r>
      <w:r>
        <w:rPr>
          <w:rFonts w:hint="eastAsia" w:eastAsia="黑体"/>
          <w:i w:val="0"/>
          <w:iCs/>
          <w:color w:val="000000"/>
          <w:sz w:val="24"/>
          <w:vertAlign w:val="subscript"/>
          <w:lang w:val="en-US" w:eastAsia="zh-CN"/>
        </w:rPr>
        <w:t>5</w:t>
      </w:r>
      <w:r>
        <w:rPr>
          <w:rFonts w:hint="eastAsia" w:eastAsia="黑体"/>
          <w:color w:val="000000"/>
          <w:sz w:val="24"/>
          <w:vertAlign w:val="subscript"/>
          <w:lang w:val="en-US" w:eastAsia="zh-CN"/>
        </w:rPr>
        <w:t>, rel</w:t>
      </w:r>
      <w:r>
        <w:rPr>
          <w:rFonts w:eastAsia="黑体"/>
          <w:color w:val="000000"/>
          <w:sz w:val="24"/>
        </w:rPr>
        <w:t>=</w:t>
      </w:r>
      <w:r>
        <w:rPr>
          <w:rFonts w:hint="eastAsia" w:eastAsia="黑体"/>
          <w:color w:val="000000"/>
          <w:sz w:val="24"/>
          <w:lang w:val="en-US" w:eastAsia="zh-CN"/>
        </w:rPr>
        <w:t>1</w:t>
      </w:r>
      <w:r>
        <w:rPr>
          <w:rFonts w:eastAsia="黑体"/>
          <w:color w:val="000000"/>
          <w:sz w:val="24"/>
        </w:rPr>
        <w:t>%</w:t>
      </w:r>
      <w:r>
        <w:rPr>
          <w:rFonts w:hint="eastAsia" w:ascii="宋体"/>
          <w:color w:val="000000"/>
          <w:sz w:val="24"/>
          <w:lang w:val="en-US" w:eastAsia="zh-CN"/>
        </w:rPr>
        <w:t xml:space="preserve"> /</w:t>
      </w:r>
      <w:r>
        <w:rPr>
          <w:rFonts w:hint="eastAsia" w:ascii="宋体"/>
          <w:color w:val="000000"/>
          <w:position w:val="-8"/>
          <w:sz w:val="24"/>
          <w:lang w:val="en-US" w:eastAsia="zh-CN"/>
        </w:rPr>
        <w:object>
          <v:shape id="_x0000_i1037" o:spt="75" type="#_x0000_t75" style="height:18pt;width:18pt;" o:ole="t" filled="f" o:preferrelative="t" stroked="f" coordsize="21600,21600">
            <v:path/>
            <v:fill on="f" focussize="0,0"/>
            <v:stroke on="f"/>
            <v:imagedata r:id="rId31" o:title=""/>
            <o:lock v:ext="edit" aspectratio="f"/>
            <w10:wrap type="none"/>
            <w10:anchorlock/>
          </v:shape>
          <o:OLEObject Type="Embed" ProgID="Equation.DSMT4" ShapeID="_x0000_i1037" DrawAspect="Content" ObjectID="_1468075737" r:id="rId30">
            <o:LockedField>false</o:LockedField>
          </o:OLEObject>
        </w:object>
      </w:r>
      <w:r>
        <w:rPr>
          <w:rFonts w:hint="eastAsia" w:ascii="宋体"/>
          <w:color w:val="000000"/>
          <w:sz w:val="24"/>
          <w:lang w:val="en-US" w:eastAsia="zh-CN"/>
        </w:rPr>
        <w:t>≈0.6%</w:t>
      </w:r>
      <w:r>
        <w:rPr>
          <w:rFonts w:ascii="宋体" w:hAnsi="宋体"/>
          <w:sz w:val="24"/>
          <w:szCs w:val="24"/>
        </w:rPr>
        <w:t>，</w:t>
      </w:r>
      <w:r>
        <w:rPr>
          <w:rFonts w:hint="eastAsia"/>
          <w:sz w:val="24"/>
          <w:szCs w:val="24"/>
        </w:rPr>
        <w:t>评定方法为</w:t>
      </w:r>
      <w:r>
        <w:rPr>
          <w:rFonts w:hint="eastAsia"/>
          <w:sz w:val="24"/>
          <w:szCs w:val="24"/>
          <w:lang w:val="en-US" w:eastAsia="zh-CN"/>
        </w:rPr>
        <w:t>B</w:t>
      </w:r>
      <w:r>
        <w:rPr>
          <w:rFonts w:hint="eastAsia"/>
          <w:sz w:val="24"/>
          <w:szCs w:val="24"/>
        </w:rPr>
        <w:t>类不确定度评定。</w:t>
      </w:r>
    </w:p>
    <w:p w14:paraId="4430E518">
      <w:pPr>
        <w:spacing w:line="300" w:lineRule="auto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 xml:space="preserve">3  </w:t>
      </w:r>
      <w:r>
        <w:rPr>
          <w:rFonts w:hint="eastAsia"/>
          <w:b/>
          <w:bCs/>
          <w:color w:val="000000"/>
          <w:sz w:val="24"/>
        </w:rPr>
        <w:t>相对合成标准不确定度</w:t>
      </w:r>
    </w:p>
    <w:p w14:paraId="1A19B61A">
      <w:pPr>
        <w:pStyle w:val="2"/>
        <w:spacing w:line="300" w:lineRule="auto"/>
        <w:ind w:firstLine="480"/>
        <w:rPr>
          <w:rFonts w:ascii="Times New Roman"/>
          <w:color w:val="000000"/>
        </w:rPr>
      </w:pPr>
      <w:r>
        <w:rPr>
          <w:rFonts w:hint="eastAsia" w:ascii="Times New Roman"/>
          <w:color w:val="000000"/>
        </w:rPr>
        <w:t>相对合成标准不确定度的各分量如表</w:t>
      </w:r>
      <w:r>
        <w:rPr>
          <w:rFonts w:hint="eastAsia" w:ascii="Times New Roman"/>
          <w:color w:val="000000"/>
          <w:lang w:val="en-US" w:eastAsia="zh-CN"/>
        </w:rPr>
        <w:t>2</w:t>
      </w:r>
      <w:r>
        <w:rPr>
          <w:rFonts w:hint="eastAsia" w:ascii="Times New Roman"/>
          <w:color w:val="000000"/>
        </w:rPr>
        <w:t>所示。</w:t>
      </w:r>
    </w:p>
    <w:p w14:paraId="48C29FE9">
      <w:pPr>
        <w:widowControl/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表</w:t>
      </w:r>
      <w:r>
        <w:rPr>
          <w:rFonts w:hint="eastAsia" w:ascii="宋体" w:hAnsi="宋体"/>
          <w:color w:val="000000"/>
          <w:sz w:val="24"/>
          <w:lang w:val="en-US" w:eastAsia="zh-CN"/>
        </w:rPr>
        <w:t>2</w:t>
      </w:r>
      <w:r>
        <w:rPr>
          <w:rFonts w:hint="eastAsia" w:ascii="宋体" w:hAnsi="宋体"/>
          <w:color w:val="000000"/>
          <w:sz w:val="24"/>
        </w:rPr>
        <w:t xml:space="preserve"> 不确定度来源列表</w:t>
      </w:r>
    </w:p>
    <w:tbl>
      <w:tblPr>
        <w:tblStyle w:val="4"/>
        <w:tblW w:w="0" w:type="auto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4495"/>
        <w:gridCol w:w="1752"/>
        <w:gridCol w:w="715"/>
      </w:tblGrid>
      <w:tr w14:paraId="67286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E7A748">
            <w:pPr>
              <w:widowControl/>
              <w:jc w:val="center"/>
              <w:rPr>
                <w:rFonts w:hint="eastAsia" w:eastAsia="宋体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b/>
                <w:color w:val="000000"/>
                <w:sz w:val="24"/>
                <w:lang w:val="en-US" w:eastAsia="zh-CN"/>
              </w:rPr>
              <w:t>序号</w:t>
            </w:r>
          </w:p>
        </w:tc>
        <w:tc>
          <w:tcPr>
            <w:tcW w:w="4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A80439">
            <w:pPr>
              <w:widowControl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不确定度来源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E72FAF">
            <w:pPr>
              <w:widowControl/>
              <w:jc w:val="center"/>
              <w:rPr>
                <w:rFonts w:hint="eastAsia" w:eastAsia="宋体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hAnsi="宋体"/>
                <w:b/>
                <w:color w:val="000000"/>
                <w:sz w:val="24"/>
                <w:lang w:val="en-US" w:eastAsia="zh-CN"/>
              </w:rPr>
              <w:t>各分量标准</w:t>
            </w:r>
            <w:r>
              <w:rPr>
                <w:rFonts w:hint="eastAsia" w:hAnsi="宋体"/>
                <w:b/>
                <w:color w:val="000000"/>
                <w:sz w:val="24"/>
              </w:rPr>
              <w:t>不确定度</w:t>
            </w:r>
            <w:r>
              <w:rPr>
                <w:rFonts w:hint="eastAsia" w:hAnsi="宋体"/>
                <w:b/>
                <w:color w:val="000000"/>
                <w:sz w:val="24"/>
                <w:lang w:val="en-US" w:eastAsia="zh-CN"/>
              </w:rPr>
              <w:t>%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6A6252">
            <w:pPr>
              <w:widowControl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类型</w:t>
            </w:r>
          </w:p>
        </w:tc>
      </w:tr>
      <w:tr w14:paraId="0D5DA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8621E0">
            <w:pPr>
              <w:widowControl/>
              <w:jc w:val="center"/>
              <w:rPr>
                <w:b w:val="0"/>
                <w:bCs w:val="0"/>
                <w:color w:val="000000"/>
                <w:sz w:val="24"/>
              </w:rPr>
            </w:pPr>
            <w:r>
              <w:rPr>
                <w:b w:val="0"/>
                <w:bCs w:val="0"/>
                <w:color w:val="000000"/>
                <w:sz w:val="24"/>
              </w:rPr>
              <w:t>1</w:t>
            </w:r>
          </w:p>
        </w:tc>
        <w:tc>
          <w:tcPr>
            <w:tcW w:w="4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D8B846">
            <w:pPr>
              <w:widowControl/>
              <w:jc w:val="left"/>
              <w:rPr>
                <w:rFonts w:hint="default" w:eastAsia="宋体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上级标准</w:t>
            </w:r>
            <w:r>
              <w:rPr>
                <w:rFonts w:hint="eastAsia"/>
                <w:b w:val="0"/>
                <w:bCs w:val="0"/>
                <w:color w:val="000000"/>
                <w:sz w:val="24"/>
              </w:rPr>
              <w:t>量值溯源的不确定度</w:t>
            </w:r>
            <w:r>
              <w:rPr>
                <w:b w:val="0"/>
                <w:bCs w:val="0"/>
                <w:i/>
                <w:color w:val="000000"/>
                <w:sz w:val="24"/>
              </w:rPr>
              <w:t>u</w:t>
            </w:r>
            <w:r>
              <w:rPr>
                <w:b w:val="0"/>
                <w:bCs w:val="0"/>
                <w:color w:val="000000"/>
                <w:sz w:val="24"/>
                <w:vertAlign w:val="subscript"/>
              </w:rPr>
              <w:t>1</w:t>
            </w:r>
            <w:r>
              <w:rPr>
                <w:rFonts w:hint="eastAsia"/>
                <w:b w:val="0"/>
                <w:bCs w:val="0"/>
                <w:color w:val="000000"/>
                <w:sz w:val="24"/>
                <w:vertAlign w:val="subscript"/>
                <w:lang w:val="en-US" w:eastAsia="zh-CN"/>
              </w:rPr>
              <w:t>,rel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8CB05">
            <w:pPr>
              <w:jc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3.0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B4EE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B</w:t>
            </w:r>
          </w:p>
        </w:tc>
      </w:tr>
      <w:tr w14:paraId="3DBD6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712B1D">
            <w:pPr>
              <w:widowControl/>
              <w:jc w:val="center"/>
              <w:rPr>
                <w:b w:val="0"/>
                <w:bCs w:val="0"/>
                <w:color w:val="000000"/>
                <w:sz w:val="24"/>
              </w:rPr>
            </w:pPr>
            <w:r>
              <w:rPr>
                <w:b w:val="0"/>
                <w:bCs w:val="0"/>
                <w:color w:val="000000"/>
                <w:sz w:val="24"/>
              </w:rPr>
              <w:t>2</w:t>
            </w:r>
          </w:p>
        </w:tc>
        <w:tc>
          <w:tcPr>
            <w:tcW w:w="4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4B14DF">
            <w:pPr>
              <w:widowControl/>
              <w:rPr>
                <w:rFonts w:hint="default" w:eastAsia="宋体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被校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光合有效辐射表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修正因子的测量重复性</w:t>
            </w:r>
            <w:r>
              <w:rPr>
                <w:b w:val="0"/>
                <w:bCs w:val="0"/>
                <w:i/>
                <w:color w:val="000000"/>
                <w:sz w:val="24"/>
              </w:rPr>
              <w:t>u</w:t>
            </w:r>
            <w:r>
              <w:rPr>
                <w:b w:val="0"/>
                <w:bCs w:val="0"/>
                <w:color w:val="000000"/>
                <w:sz w:val="24"/>
                <w:vertAlign w:val="subscript"/>
              </w:rPr>
              <w:t>2</w:t>
            </w:r>
            <w:r>
              <w:rPr>
                <w:rFonts w:hint="eastAsia"/>
                <w:b w:val="0"/>
                <w:bCs w:val="0"/>
                <w:color w:val="000000"/>
                <w:sz w:val="24"/>
                <w:vertAlign w:val="subscript"/>
                <w:lang w:val="en-US" w:eastAsia="zh-CN"/>
              </w:rPr>
              <w:t>,rel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98B2A">
            <w:pPr>
              <w:jc w:val="center"/>
              <w:rPr>
                <w:rFonts w:hint="default"/>
                <w:color w:val="000000"/>
                <w:sz w:val="24"/>
                <w:lang w:val="en-US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0.5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2F76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A</w:t>
            </w:r>
          </w:p>
        </w:tc>
      </w:tr>
      <w:tr w14:paraId="52908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FBB150">
            <w:pPr>
              <w:widowControl/>
              <w:jc w:val="center"/>
              <w:rPr>
                <w:b w:val="0"/>
                <w:bCs w:val="0"/>
                <w:color w:val="000000"/>
                <w:sz w:val="24"/>
              </w:rPr>
            </w:pPr>
            <w:r>
              <w:rPr>
                <w:b w:val="0"/>
                <w:bCs w:val="0"/>
                <w:color w:val="000000"/>
                <w:sz w:val="24"/>
              </w:rPr>
              <w:t>3</w:t>
            </w:r>
          </w:p>
        </w:tc>
        <w:tc>
          <w:tcPr>
            <w:tcW w:w="4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77A600">
            <w:pPr>
              <w:widowControl/>
              <w:rPr>
                <w:rFonts w:hint="default" w:eastAsia="宋体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被校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光合有效辐射表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光谱失配引入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的</w:t>
            </w:r>
            <w:r>
              <w:rPr>
                <w:rFonts w:hint="eastAsia"/>
                <w:b w:val="0"/>
                <w:bCs w:val="0"/>
                <w:color w:val="000000"/>
                <w:sz w:val="24"/>
              </w:rPr>
              <w:t>测量不确定度</w:t>
            </w:r>
            <w:r>
              <w:rPr>
                <w:b w:val="0"/>
                <w:bCs w:val="0"/>
                <w:i/>
                <w:color w:val="000000"/>
                <w:sz w:val="24"/>
              </w:rPr>
              <w:t>u</w:t>
            </w:r>
            <w:r>
              <w:rPr>
                <w:b w:val="0"/>
                <w:bCs w:val="0"/>
                <w:color w:val="000000"/>
                <w:sz w:val="24"/>
                <w:vertAlign w:val="subscript"/>
              </w:rPr>
              <w:t>3</w:t>
            </w:r>
            <w:r>
              <w:rPr>
                <w:rFonts w:hint="eastAsia"/>
                <w:b w:val="0"/>
                <w:bCs w:val="0"/>
                <w:color w:val="000000"/>
                <w:sz w:val="24"/>
                <w:vertAlign w:val="subscript"/>
                <w:lang w:val="en-US" w:eastAsia="zh-CN"/>
              </w:rPr>
              <w:t>,rel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39A60">
            <w:pPr>
              <w:jc w:val="center"/>
              <w:rPr>
                <w:rFonts w:hint="default"/>
                <w:color w:val="000000"/>
                <w:sz w:val="24"/>
                <w:lang w:val="en-US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1.5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F186E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B</w:t>
            </w:r>
          </w:p>
        </w:tc>
      </w:tr>
      <w:tr w14:paraId="0144F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50C551">
            <w:pPr>
              <w:widowControl/>
              <w:jc w:val="center"/>
              <w:rPr>
                <w:b w:val="0"/>
                <w:bCs w:val="0"/>
                <w:color w:val="000000"/>
                <w:sz w:val="24"/>
              </w:rPr>
            </w:pPr>
            <w:r>
              <w:rPr>
                <w:b w:val="0"/>
                <w:bCs w:val="0"/>
                <w:color w:val="000000"/>
                <w:sz w:val="24"/>
              </w:rPr>
              <w:t>4</w:t>
            </w:r>
          </w:p>
        </w:tc>
        <w:tc>
          <w:tcPr>
            <w:tcW w:w="4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A30F99">
            <w:pPr>
              <w:widowControl/>
              <w:rPr>
                <w:rFonts w:hint="default" w:eastAsia="宋体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被校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光合有效辐射表余弦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误差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引入</w:t>
            </w:r>
            <w:r>
              <w:rPr>
                <w:b w:val="0"/>
                <w:bCs w:val="0"/>
                <w:i/>
                <w:color w:val="000000"/>
                <w:sz w:val="24"/>
              </w:rPr>
              <w:t>u</w:t>
            </w:r>
            <w:r>
              <w:rPr>
                <w:b w:val="0"/>
                <w:bCs w:val="0"/>
                <w:color w:val="000000"/>
                <w:sz w:val="24"/>
                <w:vertAlign w:val="subscript"/>
              </w:rPr>
              <w:t>4</w:t>
            </w:r>
            <w:r>
              <w:rPr>
                <w:rFonts w:hint="eastAsia"/>
                <w:b w:val="0"/>
                <w:bCs w:val="0"/>
                <w:color w:val="000000"/>
                <w:sz w:val="24"/>
                <w:vertAlign w:val="subscript"/>
                <w:lang w:val="en-US" w:eastAsia="zh-CN"/>
              </w:rPr>
              <w:t>,rel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3738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1.5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8A60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B</w:t>
            </w:r>
          </w:p>
        </w:tc>
      </w:tr>
      <w:tr w14:paraId="7BFDF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56C8AC0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b w:val="0"/>
                <w:bCs w:val="0"/>
                <w:color w:val="000000"/>
                <w:sz w:val="24"/>
              </w:rPr>
              <w:t>5</w:t>
            </w:r>
          </w:p>
        </w:tc>
        <w:tc>
          <w:tcPr>
            <w:tcW w:w="4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9026BCC">
            <w:pPr>
              <w:widowControl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被校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光合有效辐射表非线性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误差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引入</w:t>
            </w:r>
            <w:r>
              <w:rPr>
                <w:b w:val="0"/>
                <w:bCs w:val="0"/>
                <w:i/>
                <w:color w:val="000000"/>
                <w:sz w:val="24"/>
              </w:rPr>
              <w:t>u</w:t>
            </w:r>
            <w:r>
              <w:rPr>
                <w:b w:val="0"/>
                <w:bCs w:val="0"/>
                <w:color w:val="000000"/>
                <w:sz w:val="24"/>
                <w:vertAlign w:val="subscript"/>
              </w:rPr>
              <w:t>5</w:t>
            </w:r>
            <w:r>
              <w:rPr>
                <w:rFonts w:hint="eastAsia"/>
                <w:b w:val="0"/>
                <w:bCs w:val="0"/>
                <w:color w:val="000000"/>
                <w:sz w:val="24"/>
                <w:vertAlign w:val="subscript"/>
                <w:lang w:val="en-US" w:eastAsia="zh-CN"/>
              </w:rPr>
              <w:t>,rel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F5013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0.6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FB499F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color w:val="000000"/>
                <w:sz w:val="24"/>
              </w:rPr>
              <w:t>B</w:t>
            </w:r>
          </w:p>
        </w:tc>
      </w:tr>
      <w:tr w14:paraId="1A47C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6DEFF3">
            <w:pPr>
              <w:widowControl/>
              <w:jc w:val="right"/>
              <w:rPr>
                <w:rFonts w:hint="eastAsia"/>
                <w:b w:val="0"/>
                <w:bCs w:val="0"/>
                <w:color w:val="000000"/>
                <w:sz w:val="24"/>
                <w:lang w:eastAsia="zh-CN"/>
              </w:rPr>
            </w:pPr>
            <w:r>
              <w:rPr>
                <w:rFonts w:hint="eastAsia" w:hAnsi="宋体"/>
                <w:b w:val="0"/>
                <w:bCs w:val="0"/>
                <w:color w:val="000000"/>
                <w:sz w:val="24"/>
              </w:rPr>
              <w:t>合成相对标准不确定度</w:t>
            </w:r>
            <w:r>
              <w:rPr>
                <w:b w:val="0"/>
                <w:bCs w:val="0"/>
                <w:color w:val="000000"/>
                <w:sz w:val="24"/>
              </w:rPr>
              <w:t>%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1D0C3">
            <w:pPr>
              <w:jc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2.7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4C953">
            <w:pPr>
              <w:jc w:val="center"/>
              <w:rPr>
                <w:color w:val="000000"/>
                <w:sz w:val="24"/>
              </w:rPr>
            </w:pPr>
          </w:p>
        </w:tc>
      </w:tr>
    </w:tbl>
    <w:p w14:paraId="237D0DFD">
      <w:pPr>
        <w:widowControl/>
        <w:jc w:val="center"/>
        <w:rPr>
          <w:color w:val="000000"/>
          <w:sz w:val="24"/>
        </w:rPr>
        <w:sectPr>
          <w:headerReference r:id="rId5" w:type="default"/>
          <w:footerReference r:id="rId6" w:type="default"/>
          <w:pgSz w:w="11906" w:h="16838"/>
          <w:pgMar w:top="1871" w:right="1134" w:bottom="1417" w:left="1417" w:header="1417" w:footer="1077" w:gutter="0"/>
          <w:cols w:space="720" w:num="1"/>
          <w:docGrid w:linePitch="312" w:charSpace="0"/>
        </w:sectPr>
      </w:pPr>
    </w:p>
    <w:p w14:paraId="511BBC45">
      <w:pPr>
        <w:spacing w:before="120" w:beforeLines="50" w:line="300" w:lineRule="auto"/>
        <w:ind w:firstLine="482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以上各不确定度分量不相关，因此相对合成标准不确定度</w:t>
      </w:r>
      <w:r>
        <w:rPr>
          <w:i/>
          <w:color w:val="000000"/>
          <w:sz w:val="24"/>
        </w:rPr>
        <w:t>u</w:t>
      </w:r>
      <w:r>
        <w:rPr>
          <w:i/>
          <w:color w:val="000000"/>
          <w:sz w:val="24"/>
          <w:vertAlign w:val="subscript"/>
        </w:rPr>
        <w:t>c</w:t>
      </w:r>
      <w:r>
        <w:rPr>
          <w:rFonts w:hint="eastAsia"/>
          <w:i w:val="0"/>
          <w:iCs/>
          <w:color w:val="000000"/>
          <w:sz w:val="24"/>
          <w:vertAlign w:val="subscript"/>
          <w:lang w:val="en-US" w:eastAsia="zh-CN"/>
        </w:rPr>
        <w:t>,rel</w:t>
      </w:r>
      <w:r>
        <w:rPr>
          <w:rFonts w:hint="eastAsia"/>
          <w:color w:val="000000"/>
          <w:sz w:val="24"/>
        </w:rPr>
        <w:t>计算如下：</w:t>
      </w:r>
    </w:p>
    <w:p w14:paraId="4936C47F">
      <w:pPr>
        <w:spacing w:before="120" w:beforeLines="50" w:line="300" w:lineRule="auto"/>
        <w:ind w:firstLine="482"/>
        <w:jc w:val="center"/>
        <w:rPr>
          <w:color w:val="000000"/>
          <w:sz w:val="24"/>
        </w:rPr>
      </w:pPr>
      <w:r>
        <w:rPr>
          <w:rFonts w:hint="eastAsia" w:ascii="宋体" w:hAnsi="宋体"/>
          <w:color w:val="000000"/>
        </w:rPr>
        <w:t xml:space="preserve">                    </w:t>
      </w:r>
      <w:r>
        <w:rPr>
          <w:rFonts w:hint="eastAsia" w:ascii="宋体" w:hAnsi="宋体"/>
          <w:color w:val="000000"/>
          <w:position w:val="-22"/>
          <w:szCs w:val="24"/>
        </w:rPr>
        <w:object>
          <v:shape id="_x0000_i1038" o:spt="75" type="#_x0000_t75" style="height:37.7pt;width:130.25pt;" o:ole="t" filled="f" o:preferrelative="t" stroked="f" coordsize="21600,21600">
            <v:path/>
            <v:fill on="f" focussize="0,0"/>
            <v:stroke on="f"/>
            <v:imagedata r:id="rId33" o:title=""/>
            <o:lock v:ext="edit" aspectratio="t"/>
            <w10:wrap type="none"/>
            <w10:anchorlock/>
          </v:shape>
          <o:OLEObject Type="Embed" ProgID="Equation.DSMT4" ShapeID="_x0000_i1038" DrawAspect="Content" ObjectID="_1468075738" r:id="rId32">
            <o:LockedField>false</o:LockedField>
          </o:OLEObject>
        </w:object>
      </w:r>
      <w:r>
        <w:rPr>
          <w:color w:val="000000"/>
          <w:sz w:val="24"/>
        </w:rPr>
        <w:t xml:space="preserve">                 (</w:t>
      </w:r>
      <w:r>
        <w:rPr>
          <w:rFonts w:hint="eastAsia"/>
          <w:color w:val="000000"/>
          <w:sz w:val="24"/>
          <w:lang w:val="en-US" w:eastAsia="zh-CN"/>
        </w:rPr>
        <w:t>5</w:t>
      </w:r>
      <w:r>
        <w:rPr>
          <w:color w:val="000000"/>
          <w:sz w:val="24"/>
        </w:rPr>
        <w:t>)</w:t>
      </w:r>
    </w:p>
    <w:p w14:paraId="72FFBDBF">
      <w:pPr>
        <w:spacing w:before="120" w:beforeLines="50" w:line="300" w:lineRule="auto"/>
        <w:ind w:firstLine="482"/>
        <w:jc w:val="left"/>
        <w:rPr>
          <w:rFonts w:hint="eastAsia"/>
          <w:color w:val="000000"/>
          <w:sz w:val="24"/>
          <w:lang w:val="en-US" w:eastAsia="zh-CN"/>
        </w:rPr>
      </w:pPr>
      <w:r>
        <w:rPr>
          <w:rFonts w:hint="eastAsia"/>
          <w:color w:val="000000"/>
          <w:sz w:val="24"/>
          <w:lang w:val="en-US" w:eastAsia="zh-CN"/>
        </w:rPr>
        <w:t>相对扩展不确定度为：</w:t>
      </w:r>
    </w:p>
    <w:p w14:paraId="1551740A">
      <w:pPr>
        <w:tabs>
          <w:tab w:val="left" w:pos="7980"/>
        </w:tabs>
        <w:spacing w:before="120" w:beforeLines="50" w:line="300" w:lineRule="auto"/>
        <w:ind w:right="325" w:rightChars="155" w:firstLine="482"/>
        <w:jc w:val="right"/>
        <w:rPr>
          <w:color w:val="000000"/>
          <w:sz w:val="24"/>
        </w:rPr>
      </w:pPr>
      <w:r>
        <w:rPr>
          <w:rFonts w:hint="eastAsia" w:ascii="宋体" w:hAnsi="宋体"/>
          <w:color w:val="000000"/>
          <w:position w:val="-10"/>
          <w:szCs w:val="24"/>
        </w:rPr>
        <w:object>
          <v:shape id="_x0000_i1039" o:spt="75" type="#_x0000_t75" style="height:19.3pt;width:155.5pt;" o:ole="t" filled="f" o:preferrelative="t" stroked="f" coordsize="21600,21600">
            <v:path/>
            <v:fill on="f" focussize="0,0"/>
            <v:stroke on="f"/>
            <v:imagedata r:id="rId35" o:title=""/>
            <o:lock v:ext="edit" aspectratio="t"/>
            <w10:wrap type="none"/>
            <w10:anchorlock/>
          </v:shape>
          <o:OLEObject Type="Embed" ProgID="Equation.DSMT4" ShapeID="_x0000_i1039" DrawAspect="Content" ObjectID="_1468075739" r:id="rId34">
            <o:LockedField>false</o:LockedField>
          </o:OLEObject>
        </w:object>
      </w:r>
      <w:r>
        <w:rPr>
          <w:rFonts w:hint="eastAsia" w:ascii="宋体" w:hAnsi="宋体"/>
          <w:color w:val="000000"/>
          <w:position w:val="-10"/>
          <w:szCs w:val="24"/>
          <w:lang w:val="en-US" w:eastAsia="zh-CN"/>
        </w:rPr>
        <w:t xml:space="preserve">                  </w:t>
      </w:r>
      <w:r>
        <w:rPr>
          <w:color w:val="000000"/>
          <w:sz w:val="24"/>
        </w:rPr>
        <w:t xml:space="preserve"> (</w:t>
      </w:r>
      <w:r>
        <w:rPr>
          <w:rFonts w:hint="eastAsia"/>
          <w:color w:val="000000"/>
          <w:sz w:val="24"/>
          <w:lang w:val="en-US" w:eastAsia="zh-CN"/>
        </w:rPr>
        <w:t>6</w:t>
      </w:r>
      <w:r>
        <w:rPr>
          <w:color w:val="000000"/>
          <w:sz w:val="24"/>
        </w:rPr>
        <w:t>)</w:t>
      </w:r>
    </w:p>
    <w:p w14:paraId="2F43D46D">
      <w:pPr>
        <w:spacing w:before="120" w:beforeLines="50" w:line="300" w:lineRule="auto"/>
        <w:ind w:firstLine="482"/>
        <w:jc w:val="center"/>
        <w:rPr>
          <w:rFonts w:hint="eastAsia"/>
          <w:color w:val="000000"/>
          <w:sz w:val="24"/>
          <w:lang w:val="en-US" w:eastAsia="zh-CN"/>
        </w:rPr>
      </w:pPr>
    </w:p>
    <w:p w14:paraId="315E270D">
      <w:pPr>
        <w:spacing w:before="120" w:beforeLines="50" w:line="300" w:lineRule="auto"/>
        <w:ind w:firstLine="482"/>
        <w:jc w:val="center"/>
        <w:rPr>
          <w:rFonts w:hint="default"/>
          <w:color w:val="000000"/>
          <w:sz w:val="24"/>
          <w:lang w:val="en-US" w:eastAsia="zh-CN"/>
        </w:rPr>
      </w:pPr>
    </w:p>
    <w:p w14:paraId="3F33DE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1C153">
    <w:pPr>
      <w:pStyle w:val="8"/>
      <w:ind w:right="360" w:firstLine="360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 \* MERGEFORMAT</w:instrText>
    </w:r>
    <w:r>
      <w:rPr>
        <w:rStyle w:val="6"/>
      </w:rPr>
      <w:fldChar w:fldCharType="separate"/>
    </w:r>
    <w:r>
      <w:rPr>
        <w:rStyle w:val="6"/>
        <w:lang w:val="zh-CN"/>
      </w:rPr>
      <w:t>7</w:t>
    </w:r>
    <w:r>
      <w:rPr>
        <w:rStyle w:val="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5011C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C5B9B"/>
    <w:rsid w:val="00000E97"/>
    <w:rsid w:val="003E71C7"/>
    <w:rsid w:val="00827188"/>
    <w:rsid w:val="008A09E3"/>
    <w:rsid w:val="00CC28B0"/>
    <w:rsid w:val="010769D7"/>
    <w:rsid w:val="01332D3A"/>
    <w:rsid w:val="014F69D2"/>
    <w:rsid w:val="020D49AF"/>
    <w:rsid w:val="021F7725"/>
    <w:rsid w:val="025D6425"/>
    <w:rsid w:val="02936549"/>
    <w:rsid w:val="02C7112F"/>
    <w:rsid w:val="02D42702"/>
    <w:rsid w:val="02E50D50"/>
    <w:rsid w:val="02FC6899"/>
    <w:rsid w:val="03053FEF"/>
    <w:rsid w:val="03497B61"/>
    <w:rsid w:val="03706BC8"/>
    <w:rsid w:val="03781BFD"/>
    <w:rsid w:val="03915EB1"/>
    <w:rsid w:val="03A3649A"/>
    <w:rsid w:val="03B50681"/>
    <w:rsid w:val="03D0288F"/>
    <w:rsid w:val="03FC1ECA"/>
    <w:rsid w:val="043C7C6A"/>
    <w:rsid w:val="0464781B"/>
    <w:rsid w:val="0478214D"/>
    <w:rsid w:val="04B11291"/>
    <w:rsid w:val="04B86BA3"/>
    <w:rsid w:val="04F1362D"/>
    <w:rsid w:val="051253D5"/>
    <w:rsid w:val="052C5B2E"/>
    <w:rsid w:val="05525FB8"/>
    <w:rsid w:val="05595A4F"/>
    <w:rsid w:val="055D2387"/>
    <w:rsid w:val="05641C50"/>
    <w:rsid w:val="056761E8"/>
    <w:rsid w:val="057A31CB"/>
    <w:rsid w:val="05B65D0A"/>
    <w:rsid w:val="05EA2DDC"/>
    <w:rsid w:val="05EF2E6E"/>
    <w:rsid w:val="05FC33F1"/>
    <w:rsid w:val="06074513"/>
    <w:rsid w:val="06386A35"/>
    <w:rsid w:val="064B2201"/>
    <w:rsid w:val="0650735C"/>
    <w:rsid w:val="066C6C94"/>
    <w:rsid w:val="067C7EC5"/>
    <w:rsid w:val="06811BAA"/>
    <w:rsid w:val="06912B88"/>
    <w:rsid w:val="069E31BE"/>
    <w:rsid w:val="06C877D5"/>
    <w:rsid w:val="07054EBD"/>
    <w:rsid w:val="07094B36"/>
    <w:rsid w:val="07317965"/>
    <w:rsid w:val="073B1FCD"/>
    <w:rsid w:val="07604E7F"/>
    <w:rsid w:val="077C2E0C"/>
    <w:rsid w:val="07E24200"/>
    <w:rsid w:val="08394235"/>
    <w:rsid w:val="086B34EC"/>
    <w:rsid w:val="088428CF"/>
    <w:rsid w:val="08AB700D"/>
    <w:rsid w:val="08CE6FB5"/>
    <w:rsid w:val="08E646AE"/>
    <w:rsid w:val="08EF4C5D"/>
    <w:rsid w:val="08F206FA"/>
    <w:rsid w:val="09224EB3"/>
    <w:rsid w:val="09507416"/>
    <w:rsid w:val="095B2C54"/>
    <w:rsid w:val="098C1FB9"/>
    <w:rsid w:val="0A226DB0"/>
    <w:rsid w:val="0A400AC4"/>
    <w:rsid w:val="0A513302"/>
    <w:rsid w:val="0A5C2B4C"/>
    <w:rsid w:val="0A7A48B6"/>
    <w:rsid w:val="0AE2213C"/>
    <w:rsid w:val="0AE36732"/>
    <w:rsid w:val="0AF617B1"/>
    <w:rsid w:val="0B057803"/>
    <w:rsid w:val="0B3D18A6"/>
    <w:rsid w:val="0B827D42"/>
    <w:rsid w:val="0B9A7DB8"/>
    <w:rsid w:val="0BC33EB3"/>
    <w:rsid w:val="0BDA1294"/>
    <w:rsid w:val="0C09496D"/>
    <w:rsid w:val="0C3601FC"/>
    <w:rsid w:val="0C410848"/>
    <w:rsid w:val="0C426F99"/>
    <w:rsid w:val="0C5A1396"/>
    <w:rsid w:val="0CC43DF5"/>
    <w:rsid w:val="0CE3003F"/>
    <w:rsid w:val="0CEB5AB3"/>
    <w:rsid w:val="0D6B5140"/>
    <w:rsid w:val="0D945F75"/>
    <w:rsid w:val="0DA555BE"/>
    <w:rsid w:val="0DBA7AA8"/>
    <w:rsid w:val="0DDE79D8"/>
    <w:rsid w:val="0DDF4513"/>
    <w:rsid w:val="0DE04539"/>
    <w:rsid w:val="0DE6233D"/>
    <w:rsid w:val="0E247D64"/>
    <w:rsid w:val="0E5A2668"/>
    <w:rsid w:val="0EBC3D3E"/>
    <w:rsid w:val="0EC00AA9"/>
    <w:rsid w:val="0EF82F0D"/>
    <w:rsid w:val="0F35161D"/>
    <w:rsid w:val="0F64595C"/>
    <w:rsid w:val="0F9B096D"/>
    <w:rsid w:val="0FA13632"/>
    <w:rsid w:val="0FAD3CFE"/>
    <w:rsid w:val="0FC764A6"/>
    <w:rsid w:val="0FC81E9D"/>
    <w:rsid w:val="0FDA5DDB"/>
    <w:rsid w:val="0FDD5DB7"/>
    <w:rsid w:val="1003243B"/>
    <w:rsid w:val="105475BF"/>
    <w:rsid w:val="108324B0"/>
    <w:rsid w:val="108C7FC6"/>
    <w:rsid w:val="108F3D3A"/>
    <w:rsid w:val="10B77D5F"/>
    <w:rsid w:val="10FE531B"/>
    <w:rsid w:val="111679E1"/>
    <w:rsid w:val="111C5B61"/>
    <w:rsid w:val="1127309F"/>
    <w:rsid w:val="112E096D"/>
    <w:rsid w:val="1153488B"/>
    <w:rsid w:val="11804772"/>
    <w:rsid w:val="118E5CBA"/>
    <w:rsid w:val="11D04ECF"/>
    <w:rsid w:val="11DE42B0"/>
    <w:rsid w:val="1220211A"/>
    <w:rsid w:val="125245CC"/>
    <w:rsid w:val="12AA6F7F"/>
    <w:rsid w:val="12EC4178"/>
    <w:rsid w:val="12F86250"/>
    <w:rsid w:val="136F6E2B"/>
    <w:rsid w:val="13B57172"/>
    <w:rsid w:val="13B92713"/>
    <w:rsid w:val="13EE1010"/>
    <w:rsid w:val="14167C49"/>
    <w:rsid w:val="142C326F"/>
    <w:rsid w:val="14327073"/>
    <w:rsid w:val="1435354A"/>
    <w:rsid w:val="148B6AE3"/>
    <w:rsid w:val="149E3B3C"/>
    <w:rsid w:val="14C20636"/>
    <w:rsid w:val="14D364A9"/>
    <w:rsid w:val="14E1094E"/>
    <w:rsid w:val="153707C6"/>
    <w:rsid w:val="15B61106"/>
    <w:rsid w:val="15CA69F4"/>
    <w:rsid w:val="15F8220D"/>
    <w:rsid w:val="164C5FB2"/>
    <w:rsid w:val="16866209"/>
    <w:rsid w:val="169812B6"/>
    <w:rsid w:val="16A35188"/>
    <w:rsid w:val="16C04B3D"/>
    <w:rsid w:val="17040E9E"/>
    <w:rsid w:val="17664E35"/>
    <w:rsid w:val="17697DA7"/>
    <w:rsid w:val="176F6B09"/>
    <w:rsid w:val="17AC7D05"/>
    <w:rsid w:val="17B65EA2"/>
    <w:rsid w:val="17D87752"/>
    <w:rsid w:val="17E71912"/>
    <w:rsid w:val="17F82B3C"/>
    <w:rsid w:val="181C24EF"/>
    <w:rsid w:val="18316F48"/>
    <w:rsid w:val="18360A43"/>
    <w:rsid w:val="184E2ADE"/>
    <w:rsid w:val="1855321A"/>
    <w:rsid w:val="18FB3985"/>
    <w:rsid w:val="19001AC8"/>
    <w:rsid w:val="19167371"/>
    <w:rsid w:val="19347AB2"/>
    <w:rsid w:val="19481ED2"/>
    <w:rsid w:val="19890606"/>
    <w:rsid w:val="199C70D5"/>
    <w:rsid w:val="19A30E80"/>
    <w:rsid w:val="19A31E49"/>
    <w:rsid w:val="19B94DAE"/>
    <w:rsid w:val="1A2303AE"/>
    <w:rsid w:val="1A6B2D3F"/>
    <w:rsid w:val="1AEE691D"/>
    <w:rsid w:val="1B0B50BE"/>
    <w:rsid w:val="1B3823FB"/>
    <w:rsid w:val="1B6000BE"/>
    <w:rsid w:val="1B614A8F"/>
    <w:rsid w:val="1B840D27"/>
    <w:rsid w:val="1B970D69"/>
    <w:rsid w:val="1BAD7B4F"/>
    <w:rsid w:val="1C167390"/>
    <w:rsid w:val="1C4251EF"/>
    <w:rsid w:val="1CB05D8E"/>
    <w:rsid w:val="1CEF1C88"/>
    <w:rsid w:val="1D046750"/>
    <w:rsid w:val="1D4366CE"/>
    <w:rsid w:val="1D5244A4"/>
    <w:rsid w:val="1D562663"/>
    <w:rsid w:val="1D9B52E4"/>
    <w:rsid w:val="1DC13700"/>
    <w:rsid w:val="1DFB4415"/>
    <w:rsid w:val="1E0C5E0A"/>
    <w:rsid w:val="1E1616D0"/>
    <w:rsid w:val="1E1956EF"/>
    <w:rsid w:val="1E27495C"/>
    <w:rsid w:val="1E485F48"/>
    <w:rsid w:val="1E4E6239"/>
    <w:rsid w:val="1E7C2AFD"/>
    <w:rsid w:val="1EF108E0"/>
    <w:rsid w:val="1F310192"/>
    <w:rsid w:val="1F310D35"/>
    <w:rsid w:val="1F382C29"/>
    <w:rsid w:val="1F55300E"/>
    <w:rsid w:val="1F5841F2"/>
    <w:rsid w:val="1F6F3925"/>
    <w:rsid w:val="1F991D79"/>
    <w:rsid w:val="20465F0C"/>
    <w:rsid w:val="208E5F2C"/>
    <w:rsid w:val="20973FE3"/>
    <w:rsid w:val="20C53E26"/>
    <w:rsid w:val="20CB0CE2"/>
    <w:rsid w:val="210E7701"/>
    <w:rsid w:val="21130957"/>
    <w:rsid w:val="211A799A"/>
    <w:rsid w:val="21231588"/>
    <w:rsid w:val="215003A8"/>
    <w:rsid w:val="21AD354A"/>
    <w:rsid w:val="21B518CB"/>
    <w:rsid w:val="220C17B4"/>
    <w:rsid w:val="226B4C9A"/>
    <w:rsid w:val="229363F6"/>
    <w:rsid w:val="229E21E6"/>
    <w:rsid w:val="22BE592D"/>
    <w:rsid w:val="22C36CDE"/>
    <w:rsid w:val="22F14B2A"/>
    <w:rsid w:val="233549DC"/>
    <w:rsid w:val="23550BB6"/>
    <w:rsid w:val="23697B8B"/>
    <w:rsid w:val="236B6AE0"/>
    <w:rsid w:val="237D44C4"/>
    <w:rsid w:val="239A74EF"/>
    <w:rsid w:val="24082954"/>
    <w:rsid w:val="241072AE"/>
    <w:rsid w:val="24435EEE"/>
    <w:rsid w:val="245560C9"/>
    <w:rsid w:val="24625A1E"/>
    <w:rsid w:val="24BA6566"/>
    <w:rsid w:val="24CE3A99"/>
    <w:rsid w:val="24DF2E6C"/>
    <w:rsid w:val="25112D75"/>
    <w:rsid w:val="25895445"/>
    <w:rsid w:val="25D3046F"/>
    <w:rsid w:val="25D822CC"/>
    <w:rsid w:val="263602B9"/>
    <w:rsid w:val="26631991"/>
    <w:rsid w:val="26663287"/>
    <w:rsid w:val="27145EA1"/>
    <w:rsid w:val="27655F30"/>
    <w:rsid w:val="27740407"/>
    <w:rsid w:val="27897807"/>
    <w:rsid w:val="27987A8B"/>
    <w:rsid w:val="27D02A80"/>
    <w:rsid w:val="28594691"/>
    <w:rsid w:val="28615E02"/>
    <w:rsid w:val="286F0A1F"/>
    <w:rsid w:val="289442FF"/>
    <w:rsid w:val="28AD5878"/>
    <w:rsid w:val="28B61127"/>
    <w:rsid w:val="291201E0"/>
    <w:rsid w:val="291E2A13"/>
    <w:rsid w:val="29214450"/>
    <w:rsid w:val="2924442A"/>
    <w:rsid w:val="2934236E"/>
    <w:rsid w:val="296B0842"/>
    <w:rsid w:val="297679A0"/>
    <w:rsid w:val="29C03148"/>
    <w:rsid w:val="29E24F58"/>
    <w:rsid w:val="2A1D4F7A"/>
    <w:rsid w:val="2A2B2DF2"/>
    <w:rsid w:val="2A342591"/>
    <w:rsid w:val="2A4A4788"/>
    <w:rsid w:val="2A7032D5"/>
    <w:rsid w:val="2A801C89"/>
    <w:rsid w:val="2A871770"/>
    <w:rsid w:val="2A975965"/>
    <w:rsid w:val="2AB13102"/>
    <w:rsid w:val="2AB51A22"/>
    <w:rsid w:val="2ABE3D6C"/>
    <w:rsid w:val="2AC45355"/>
    <w:rsid w:val="2AFE2D42"/>
    <w:rsid w:val="2B736857"/>
    <w:rsid w:val="2B7D3612"/>
    <w:rsid w:val="2BA42BC5"/>
    <w:rsid w:val="2BB96A30"/>
    <w:rsid w:val="2BDA16DF"/>
    <w:rsid w:val="2BFF4891"/>
    <w:rsid w:val="2C7059F8"/>
    <w:rsid w:val="2C9869AC"/>
    <w:rsid w:val="2CB04A3A"/>
    <w:rsid w:val="2CBF66A4"/>
    <w:rsid w:val="2CC149AF"/>
    <w:rsid w:val="2CD32B1A"/>
    <w:rsid w:val="2D2712E1"/>
    <w:rsid w:val="2D500A8F"/>
    <w:rsid w:val="2D9C0E70"/>
    <w:rsid w:val="2D9D7B86"/>
    <w:rsid w:val="2DA057BB"/>
    <w:rsid w:val="2DF01B7E"/>
    <w:rsid w:val="2E1759A6"/>
    <w:rsid w:val="2E5B6763"/>
    <w:rsid w:val="2E5D0944"/>
    <w:rsid w:val="2E5D2E5C"/>
    <w:rsid w:val="2EA02A3D"/>
    <w:rsid w:val="2EAC0130"/>
    <w:rsid w:val="2EB30146"/>
    <w:rsid w:val="2EDF64F2"/>
    <w:rsid w:val="2EE44290"/>
    <w:rsid w:val="2EE55CF6"/>
    <w:rsid w:val="2EF563EF"/>
    <w:rsid w:val="2EFB2363"/>
    <w:rsid w:val="2F176654"/>
    <w:rsid w:val="2F46052A"/>
    <w:rsid w:val="2F4C13A5"/>
    <w:rsid w:val="2F970B0A"/>
    <w:rsid w:val="2FC275A2"/>
    <w:rsid w:val="2FEB5B06"/>
    <w:rsid w:val="301A4A13"/>
    <w:rsid w:val="30532356"/>
    <w:rsid w:val="30533213"/>
    <w:rsid w:val="30A66FB1"/>
    <w:rsid w:val="30B15152"/>
    <w:rsid w:val="30CF4E27"/>
    <w:rsid w:val="30D17C77"/>
    <w:rsid w:val="30D22376"/>
    <w:rsid w:val="310C5B9B"/>
    <w:rsid w:val="314633E9"/>
    <w:rsid w:val="31B91B6B"/>
    <w:rsid w:val="31E75998"/>
    <w:rsid w:val="32407ECB"/>
    <w:rsid w:val="32690F92"/>
    <w:rsid w:val="32922063"/>
    <w:rsid w:val="32B44A6A"/>
    <w:rsid w:val="32BF1BFE"/>
    <w:rsid w:val="32C53266"/>
    <w:rsid w:val="32C936DA"/>
    <w:rsid w:val="32D10F90"/>
    <w:rsid w:val="32D329D6"/>
    <w:rsid w:val="32E67875"/>
    <w:rsid w:val="331322D8"/>
    <w:rsid w:val="334D15D6"/>
    <w:rsid w:val="335C4F72"/>
    <w:rsid w:val="33733EA7"/>
    <w:rsid w:val="337E40C8"/>
    <w:rsid w:val="339C424C"/>
    <w:rsid w:val="33AD4268"/>
    <w:rsid w:val="33B234D2"/>
    <w:rsid w:val="33E03368"/>
    <w:rsid w:val="34096F1D"/>
    <w:rsid w:val="344E13D5"/>
    <w:rsid w:val="34645A13"/>
    <w:rsid w:val="347E34F7"/>
    <w:rsid w:val="348973D3"/>
    <w:rsid w:val="34965867"/>
    <w:rsid w:val="34E537B5"/>
    <w:rsid w:val="35033AB7"/>
    <w:rsid w:val="350A4214"/>
    <w:rsid w:val="35125A6A"/>
    <w:rsid w:val="355C10CA"/>
    <w:rsid w:val="356E6F2C"/>
    <w:rsid w:val="3573461E"/>
    <w:rsid w:val="35A71C84"/>
    <w:rsid w:val="35C1502F"/>
    <w:rsid w:val="35C249E0"/>
    <w:rsid w:val="35CE2B71"/>
    <w:rsid w:val="36440373"/>
    <w:rsid w:val="36B54F11"/>
    <w:rsid w:val="36B64E25"/>
    <w:rsid w:val="36EC28DF"/>
    <w:rsid w:val="3720046B"/>
    <w:rsid w:val="372B02AE"/>
    <w:rsid w:val="375F2A0C"/>
    <w:rsid w:val="376F2BA8"/>
    <w:rsid w:val="37794593"/>
    <w:rsid w:val="37835635"/>
    <w:rsid w:val="37893592"/>
    <w:rsid w:val="37B0672F"/>
    <w:rsid w:val="37B229EB"/>
    <w:rsid w:val="37B236AE"/>
    <w:rsid w:val="37E22942"/>
    <w:rsid w:val="37F32BF3"/>
    <w:rsid w:val="38182636"/>
    <w:rsid w:val="381F587D"/>
    <w:rsid w:val="38855B91"/>
    <w:rsid w:val="38971F19"/>
    <w:rsid w:val="38C17F95"/>
    <w:rsid w:val="391117B3"/>
    <w:rsid w:val="39417CA8"/>
    <w:rsid w:val="395A0112"/>
    <w:rsid w:val="396F2AE8"/>
    <w:rsid w:val="397B5F55"/>
    <w:rsid w:val="397C1D55"/>
    <w:rsid w:val="399018AC"/>
    <w:rsid w:val="39A10028"/>
    <w:rsid w:val="39A40161"/>
    <w:rsid w:val="39E4074D"/>
    <w:rsid w:val="3A067D15"/>
    <w:rsid w:val="3A1E29B9"/>
    <w:rsid w:val="3A370C4F"/>
    <w:rsid w:val="3A370D38"/>
    <w:rsid w:val="3A480AF9"/>
    <w:rsid w:val="3A5804EE"/>
    <w:rsid w:val="3A5E27AA"/>
    <w:rsid w:val="3A6D2666"/>
    <w:rsid w:val="3A894FAA"/>
    <w:rsid w:val="3A8B617B"/>
    <w:rsid w:val="3AAD2B29"/>
    <w:rsid w:val="3AE20DC3"/>
    <w:rsid w:val="3B1474E2"/>
    <w:rsid w:val="3B48781E"/>
    <w:rsid w:val="3B5B2326"/>
    <w:rsid w:val="3B76627C"/>
    <w:rsid w:val="3B842AA9"/>
    <w:rsid w:val="3BBD1E1E"/>
    <w:rsid w:val="3C2B3AF4"/>
    <w:rsid w:val="3C5E13DA"/>
    <w:rsid w:val="3C8B60E4"/>
    <w:rsid w:val="3C9A2949"/>
    <w:rsid w:val="3CC65B4C"/>
    <w:rsid w:val="3D153243"/>
    <w:rsid w:val="3D5D6897"/>
    <w:rsid w:val="3D646FAC"/>
    <w:rsid w:val="3DA07F80"/>
    <w:rsid w:val="3E2D2BE4"/>
    <w:rsid w:val="3E3C6D7C"/>
    <w:rsid w:val="3E5C76CC"/>
    <w:rsid w:val="3E874DD5"/>
    <w:rsid w:val="3E93702C"/>
    <w:rsid w:val="3EA454AF"/>
    <w:rsid w:val="3EB707BD"/>
    <w:rsid w:val="3EDA7A87"/>
    <w:rsid w:val="3EED09C1"/>
    <w:rsid w:val="3EFB5BB5"/>
    <w:rsid w:val="3F1E2DF6"/>
    <w:rsid w:val="3F6F44DC"/>
    <w:rsid w:val="3F727034"/>
    <w:rsid w:val="3FBD71AD"/>
    <w:rsid w:val="3FDC6E3F"/>
    <w:rsid w:val="403332E9"/>
    <w:rsid w:val="406A0197"/>
    <w:rsid w:val="40A06858"/>
    <w:rsid w:val="40E91C72"/>
    <w:rsid w:val="41025CE2"/>
    <w:rsid w:val="41095296"/>
    <w:rsid w:val="4113229E"/>
    <w:rsid w:val="41945362"/>
    <w:rsid w:val="41A12577"/>
    <w:rsid w:val="41C740C9"/>
    <w:rsid w:val="41CD35E3"/>
    <w:rsid w:val="42261875"/>
    <w:rsid w:val="42507548"/>
    <w:rsid w:val="42956B79"/>
    <w:rsid w:val="42BE3DAA"/>
    <w:rsid w:val="42E05A14"/>
    <w:rsid w:val="430E77F2"/>
    <w:rsid w:val="431D5218"/>
    <w:rsid w:val="43482333"/>
    <w:rsid w:val="43521B94"/>
    <w:rsid w:val="43FC6E97"/>
    <w:rsid w:val="44345E73"/>
    <w:rsid w:val="44666DA3"/>
    <w:rsid w:val="447D0998"/>
    <w:rsid w:val="44835C07"/>
    <w:rsid w:val="44AF52EB"/>
    <w:rsid w:val="44BA58B9"/>
    <w:rsid w:val="44DB6882"/>
    <w:rsid w:val="44EA034F"/>
    <w:rsid w:val="45417D3C"/>
    <w:rsid w:val="45A339EA"/>
    <w:rsid w:val="45C23A80"/>
    <w:rsid w:val="469763F0"/>
    <w:rsid w:val="46990DAC"/>
    <w:rsid w:val="46A7314A"/>
    <w:rsid w:val="46CD46E3"/>
    <w:rsid w:val="46DC0AFE"/>
    <w:rsid w:val="46DE19E4"/>
    <w:rsid w:val="46F957A6"/>
    <w:rsid w:val="47075E78"/>
    <w:rsid w:val="47450BDC"/>
    <w:rsid w:val="477D153B"/>
    <w:rsid w:val="47933422"/>
    <w:rsid w:val="47AD33DA"/>
    <w:rsid w:val="48080A38"/>
    <w:rsid w:val="484D1368"/>
    <w:rsid w:val="48516F07"/>
    <w:rsid w:val="487E41FD"/>
    <w:rsid w:val="48923AF9"/>
    <w:rsid w:val="48AD4028"/>
    <w:rsid w:val="48F747A7"/>
    <w:rsid w:val="491208DD"/>
    <w:rsid w:val="499E29FE"/>
    <w:rsid w:val="4A44307E"/>
    <w:rsid w:val="4A5B470F"/>
    <w:rsid w:val="4A6A6898"/>
    <w:rsid w:val="4AB25376"/>
    <w:rsid w:val="4AF67835"/>
    <w:rsid w:val="4B100164"/>
    <w:rsid w:val="4B7304A4"/>
    <w:rsid w:val="4B800619"/>
    <w:rsid w:val="4BC27B26"/>
    <w:rsid w:val="4BDC47FF"/>
    <w:rsid w:val="4BEB546B"/>
    <w:rsid w:val="4BF6107C"/>
    <w:rsid w:val="4C1F29D2"/>
    <w:rsid w:val="4C233BF5"/>
    <w:rsid w:val="4C3B2365"/>
    <w:rsid w:val="4C614BD3"/>
    <w:rsid w:val="4C87157A"/>
    <w:rsid w:val="4C88241C"/>
    <w:rsid w:val="4C9076F1"/>
    <w:rsid w:val="4C9B7808"/>
    <w:rsid w:val="4CC17D2B"/>
    <w:rsid w:val="4CC47697"/>
    <w:rsid w:val="4CD36917"/>
    <w:rsid w:val="4CDA58B1"/>
    <w:rsid w:val="4CED3C30"/>
    <w:rsid w:val="4D474192"/>
    <w:rsid w:val="4D604762"/>
    <w:rsid w:val="4D684279"/>
    <w:rsid w:val="4DA370C6"/>
    <w:rsid w:val="4DBB44AF"/>
    <w:rsid w:val="4DC32AFE"/>
    <w:rsid w:val="4DFF331A"/>
    <w:rsid w:val="4E4872DF"/>
    <w:rsid w:val="4E536FDE"/>
    <w:rsid w:val="4E5A7AA0"/>
    <w:rsid w:val="4E76360F"/>
    <w:rsid w:val="4EEF12A5"/>
    <w:rsid w:val="4F432E1F"/>
    <w:rsid w:val="4F4D44F7"/>
    <w:rsid w:val="4F6D17FA"/>
    <w:rsid w:val="4F760CA1"/>
    <w:rsid w:val="4F943F21"/>
    <w:rsid w:val="4FB31BF7"/>
    <w:rsid w:val="4FB51C6C"/>
    <w:rsid w:val="4FC87E38"/>
    <w:rsid w:val="4FD0420C"/>
    <w:rsid w:val="500B6609"/>
    <w:rsid w:val="50162B2D"/>
    <w:rsid w:val="507A4DC6"/>
    <w:rsid w:val="508A5A82"/>
    <w:rsid w:val="50AE5787"/>
    <w:rsid w:val="50D12025"/>
    <w:rsid w:val="51133623"/>
    <w:rsid w:val="51141B8F"/>
    <w:rsid w:val="511B4A86"/>
    <w:rsid w:val="514A5384"/>
    <w:rsid w:val="514E4366"/>
    <w:rsid w:val="51602AAB"/>
    <w:rsid w:val="5163004F"/>
    <w:rsid w:val="519A6771"/>
    <w:rsid w:val="51B868D8"/>
    <w:rsid w:val="51D54A68"/>
    <w:rsid w:val="51EE480F"/>
    <w:rsid w:val="521A4F94"/>
    <w:rsid w:val="52336B04"/>
    <w:rsid w:val="5283528F"/>
    <w:rsid w:val="52A53530"/>
    <w:rsid w:val="52AA4580"/>
    <w:rsid w:val="52B001A5"/>
    <w:rsid w:val="52B02962"/>
    <w:rsid w:val="52CD0EEB"/>
    <w:rsid w:val="52EF6097"/>
    <w:rsid w:val="531126D9"/>
    <w:rsid w:val="53324403"/>
    <w:rsid w:val="53335E41"/>
    <w:rsid w:val="53825177"/>
    <w:rsid w:val="53C7187A"/>
    <w:rsid w:val="540C76EC"/>
    <w:rsid w:val="54627DEF"/>
    <w:rsid w:val="54BE30D4"/>
    <w:rsid w:val="54F55329"/>
    <w:rsid w:val="552C593E"/>
    <w:rsid w:val="554B11C6"/>
    <w:rsid w:val="55701C7C"/>
    <w:rsid w:val="557D7575"/>
    <w:rsid w:val="557F6A14"/>
    <w:rsid w:val="55802553"/>
    <w:rsid w:val="559A6E08"/>
    <w:rsid w:val="55B147D5"/>
    <w:rsid w:val="561424D5"/>
    <w:rsid w:val="561705DD"/>
    <w:rsid w:val="562F0084"/>
    <w:rsid w:val="569C3548"/>
    <w:rsid w:val="56BE2F4A"/>
    <w:rsid w:val="57257087"/>
    <w:rsid w:val="575C4971"/>
    <w:rsid w:val="575E1B4C"/>
    <w:rsid w:val="582D1216"/>
    <w:rsid w:val="582E16E9"/>
    <w:rsid w:val="585F412D"/>
    <w:rsid w:val="586419DA"/>
    <w:rsid w:val="58B377E0"/>
    <w:rsid w:val="58B7014E"/>
    <w:rsid w:val="58D47498"/>
    <w:rsid w:val="58DD5103"/>
    <w:rsid w:val="58FF55F7"/>
    <w:rsid w:val="59492BB6"/>
    <w:rsid w:val="59494D90"/>
    <w:rsid w:val="59824DF4"/>
    <w:rsid w:val="59B06998"/>
    <w:rsid w:val="59B70BFC"/>
    <w:rsid w:val="59CF7350"/>
    <w:rsid w:val="59D15C51"/>
    <w:rsid w:val="5A34650D"/>
    <w:rsid w:val="5A474840"/>
    <w:rsid w:val="5A5413EE"/>
    <w:rsid w:val="5A55400B"/>
    <w:rsid w:val="5A695A0F"/>
    <w:rsid w:val="5A9D793A"/>
    <w:rsid w:val="5ADA4ACF"/>
    <w:rsid w:val="5B2007F1"/>
    <w:rsid w:val="5B487B97"/>
    <w:rsid w:val="5B65700B"/>
    <w:rsid w:val="5B967EAA"/>
    <w:rsid w:val="5BC1465B"/>
    <w:rsid w:val="5BC57B0C"/>
    <w:rsid w:val="5C195816"/>
    <w:rsid w:val="5C543837"/>
    <w:rsid w:val="5C7D2BEA"/>
    <w:rsid w:val="5C9E0309"/>
    <w:rsid w:val="5CB5710B"/>
    <w:rsid w:val="5CCC1A69"/>
    <w:rsid w:val="5CF361A4"/>
    <w:rsid w:val="5D285C98"/>
    <w:rsid w:val="5D3618FF"/>
    <w:rsid w:val="5D4618A1"/>
    <w:rsid w:val="5D5B5FD2"/>
    <w:rsid w:val="5D5C50FC"/>
    <w:rsid w:val="5D6E554C"/>
    <w:rsid w:val="5DD0693D"/>
    <w:rsid w:val="5DE02E10"/>
    <w:rsid w:val="5E0033F2"/>
    <w:rsid w:val="5E120AFE"/>
    <w:rsid w:val="5E206D5E"/>
    <w:rsid w:val="5E3371AD"/>
    <w:rsid w:val="5E54667B"/>
    <w:rsid w:val="5E6247E8"/>
    <w:rsid w:val="5E9273F2"/>
    <w:rsid w:val="5E94526E"/>
    <w:rsid w:val="5EDB6F01"/>
    <w:rsid w:val="5EF94D83"/>
    <w:rsid w:val="5EFB0A25"/>
    <w:rsid w:val="5F011F65"/>
    <w:rsid w:val="5F1D0642"/>
    <w:rsid w:val="5F644A90"/>
    <w:rsid w:val="5FF72F10"/>
    <w:rsid w:val="600B162A"/>
    <w:rsid w:val="602D0A71"/>
    <w:rsid w:val="603715B8"/>
    <w:rsid w:val="604F6389"/>
    <w:rsid w:val="606E6C48"/>
    <w:rsid w:val="608224A4"/>
    <w:rsid w:val="60AD0843"/>
    <w:rsid w:val="60AD7320"/>
    <w:rsid w:val="60BE20D9"/>
    <w:rsid w:val="60EA1083"/>
    <w:rsid w:val="60F6067C"/>
    <w:rsid w:val="610D0BCF"/>
    <w:rsid w:val="61406704"/>
    <w:rsid w:val="617D0235"/>
    <w:rsid w:val="61EA3BC7"/>
    <w:rsid w:val="620A4E16"/>
    <w:rsid w:val="620D2175"/>
    <w:rsid w:val="6239255B"/>
    <w:rsid w:val="62440DAC"/>
    <w:rsid w:val="625A5AD4"/>
    <w:rsid w:val="626F53BF"/>
    <w:rsid w:val="62772E9E"/>
    <w:rsid w:val="62895B8B"/>
    <w:rsid w:val="629D778B"/>
    <w:rsid w:val="62B17EF5"/>
    <w:rsid w:val="62C93BAB"/>
    <w:rsid w:val="62D662CF"/>
    <w:rsid w:val="62E00806"/>
    <w:rsid w:val="630D14EC"/>
    <w:rsid w:val="632B2667"/>
    <w:rsid w:val="633111C2"/>
    <w:rsid w:val="63320BA5"/>
    <w:rsid w:val="63374546"/>
    <w:rsid w:val="639F3FDE"/>
    <w:rsid w:val="63A02AEF"/>
    <w:rsid w:val="63D56259"/>
    <w:rsid w:val="64315711"/>
    <w:rsid w:val="64724906"/>
    <w:rsid w:val="648376E4"/>
    <w:rsid w:val="64AA4423"/>
    <w:rsid w:val="64AB111C"/>
    <w:rsid w:val="652C7867"/>
    <w:rsid w:val="6531101A"/>
    <w:rsid w:val="653D37C8"/>
    <w:rsid w:val="653D507A"/>
    <w:rsid w:val="65796058"/>
    <w:rsid w:val="65811237"/>
    <w:rsid w:val="65E0750F"/>
    <w:rsid w:val="65E32554"/>
    <w:rsid w:val="661C3577"/>
    <w:rsid w:val="66675D9D"/>
    <w:rsid w:val="66B87C12"/>
    <w:rsid w:val="66C5381E"/>
    <w:rsid w:val="66C569C8"/>
    <w:rsid w:val="66C67134"/>
    <w:rsid w:val="66F93939"/>
    <w:rsid w:val="671C64B3"/>
    <w:rsid w:val="671C671D"/>
    <w:rsid w:val="6733280B"/>
    <w:rsid w:val="679865C7"/>
    <w:rsid w:val="67E10A07"/>
    <w:rsid w:val="67E92E45"/>
    <w:rsid w:val="68057D6D"/>
    <w:rsid w:val="6875177B"/>
    <w:rsid w:val="687E313D"/>
    <w:rsid w:val="68B86C07"/>
    <w:rsid w:val="691412C8"/>
    <w:rsid w:val="69244E96"/>
    <w:rsid w:val="69676E5B"/>
    <w:rsid w:val="69974A6F"/>
    <w:rsid w:val="69A27BED"/>
    <w:rsid w:val="69A81AB7"/>
    <w:rsid w:val="69B40FBB"/>
    <w:rsid w:val="69BA68C5"/>
    <w:rsid w:val="69F54F29"/>
    <w:rsid w:val="69F912A3"/>
    <w:rsid w:val="69FB5480"/>
    <w:rsid w:val="6A10755F"/>
    <w:rsid w:val="6A3345F4"/>
    <w:rsid w:val="6A4E1413"/>
    <w:rsid w:val="6A6A4510"/>
    <w:rsid w:val="6A721E57"/>
    <w:rsid w:val="6A7310D9"/>
    <w:rsid w:val="6A7D1098"/>
    <w:rsid w:val="6B2A52F0"/>
    <w:rsid w:val="6B476BC1"/>
    <w:rsid w:val="6B8F6B37"/>
    <w:rsid w:val="6BC976D0"/>
    <w:rsid w:val="6BD35F36"/>
    <w:rsid w:val="6BE23A33"/>
    <w:rsid w:val="6C0D4989"/>
    <w:rsid w:val="6C2F4671"/>
    <w:rsid w:val="6C446E34"/>
    <w:rsid w:val="6C82634D"/>
    <w:rsid w:val="6CCD28D7"/>
    <w:rsid w:val="6D036825"/>
    <w:rsid w:val="6D447F87"/>
    <w:rsid w:val="6D5F1367"/>
    <w:rsid w:val="6D782168"/>
    <w:rsid w:val="6D802ED2"/>
    <w:rsid w:val="6D9F3CB5"/>
    <w:rsid w:val="6E1E62E6"/>
    <w:rsid w:val="6E3856A9"/>
    <w:rsid w:val="6E435F6B"/>
    <w:rsid w:val="6EAB16EE"/>
    <w:rsid w:val="6EAD6BB7"/>
    <w:rsid w:val="6EBC4FD6"/>
    <w:rsid w:val="6EDA564D"/>
    <w:rsid w:val="6EE43555"/>
    <w:rsid w:val="6F1A593D"/>
    <w:rsid w:val="6F1B368C"/>
    <w:rsid w:val="6F6977E2"/>
    <w:rsid w:val="6F7E0A8D"/>
    <w:rsid w:val="6F7E2FFF"/>
    <w:rsid w:val="6F91196C"/>
    <w:rsid w:val="6FC03798"/>
    <w:rsid w:val="6FC176A5"/>
    <w:rsid w:val="6FF34306"/>
    <w:rsid w:val="7001452B"/>
    <w:rsid w:val="703B15A4"/>
    <w:rsid w:val="707F008E"/>
    <w:rsid w:val="708C6387"/>
    <w:rsid w:val="70942C2E"/>
    <w:rsid w:val="70E226F0"/>
    <w:rsid w:val="712423B9"/>
    <w:rsid w:val="71671F16"/>
    <w:rsid w:val="716B71D7"/>
    <w:rsid w:val="71843F54"/>
    <w:rsid w:val="71BB42DF"/>
    <w:rsid w:val="71D06AFA"/>
    <w:rsid w:val="7211037A"/>
    <w:rsid w:val="72154001"/>
    <w:rsid w:val="721F23F4"/>
    <w:rsid w:val="722B7EEC"/>
    <w:rsid w:val="722F2362"/>
    <w:rsid w:val="72387514"/>
    <w:rsid w:val="72417EDF"/>
    <w:rsid w:val="724F3FA9"/>
    <w:rsid w:val="72750BF8"/>
    <w:rsid w:val="728F798E"/>
    <w:rsid w:val="72EF22A0"/>
    <w:rsid w:val="73045A05"/>
    <w:rsid w:val="7311277F"/>
    <w:rsid w:val="73124D57"/>
    <w:rsid w:val="732076E1"/>
    <w:rsid w:val="73313B35"/>
    <w:rsid w:val="735F26DF"/>
    <w:rsid w:val="73672FAA"/>
    <w:rsid w:val="740E4983"/>
    <w:rsid w:val="741975BC"/>
    <w:rsid w:val="74293025"/>
    <w:rsid w:val="742D29C0"/>
    <w:rsid w:val="74547C4E"/>
    <w:rsid w:val="745F2071"/>
    <w:rsid w:val="74882CB0"/>
    <w:rsid w:val="74E87A16"/>
    <w:rsid w:val="74E906F4"/>
    <w:rsid w:val="74F107B3"/>
    <w:rsid w:val="75103CA8"/>
    <w:rsid w:val="752A221C"/>
    <w:rsid w:val="75466A20"/>
    <w:rsid w:val="75494EB4"/>
    <w:rsid w:val="7559628F"/>
    <w:rsid w:val="757E49F4"/>
    <w:rsid w:val="75810820"/>
    <w:rsid w:val="75847BE9"/>
    <w:rsid w:val="75C21A8A"/>
    <w:rsid w:val="75C6006F"/>
    <w:rsid w:val="75DC2D81"/>
    <w:rsid w:val="75F062E0"/>
    <w:rsid w:val="75FA48BF"/>
    <w:rsid w:val="762630A4"/>
    <w:rsid w:val="762D373F"/>
    <w:rsid w:val="763D5EEC"/>
    <w:rsid w:val="764F4EF4"/>
    <w:rsid w:val="766C6926"/>
    <w:rsid w:val="7683170B"/>
    <w:rsid w:val="769C0AC1"/>
    <w:rsid w:val="76A36708"/>
    <w:rsid w:val="76C2720C"/>
    <w:rsid w:val="76E05526"/>
    <w:rsid w:val="77083A8F"/>
    <w:rsid w:val="77383E7F"/>
    <w:rsid w:val="77461F42"/>
    <w:rsid w:val="778E5982"/>
    <w:rsid w:val="77B46856"/>
    <w:rsid w:val="77B77ACC"/>
    <w:rsid w:val="77BE5F09"/>
    <w:rsid w:val="77F737BB"/>
    <w:rsid w:val="78007EDC"/>
    <w:rsid w:val="78037DF6"/>
    <w:rsid w:val="783B74A5"/>
    <w:rsid w:val="78551C1E"/>
    <w:rsid w:val="78773377"/>
    <w:rsid w:val="788511F1"/>
    <w:rsid w:val="788662A3"/>
    <w:rsid w:val="78BD2D41"/>
    <w:rsid w:val="7920734F"/>
    <w:rsid w:val="795259F4"/>
    <w:rsid w:val="79CE5662"/>
    <w:rsid w:val="79FF2BDD"/>
    <w:rsid w:val="7A0F5BAF"/>
    <w:rsid w:val="7A49289A"/>
    <w:rsid w:val="7A512853"/>
    <w:rsid w:val="7A6C3944"/>
    <w:rsid w:val="7A866CC0"/>
    <w:rsid w:val="7A920E1A"/>
    <w:rsid w:val="7ACC4B3D"/>
    <w:rsid w:val="7AD678D7"/>
    <w:rsid w:val="7B215822"/>
    <w:rsid w:val="7B3E262D"/>
    <w:rsid w:val="7B7B4230"/>
    <w:rsid w:val="7BBC2B13"/>
    <w:rsid w:val="7BD31348"/>
    <w:rsid w:val="7C037C03"/>
    <w:rsid w:val="7C197861"/>
    <w:rsid w:val="7C2715A4"/>
    <w:rsid w:val="7C3A564B"/>
    <w:rsid w:val="7C3B081E"/>
    <w:rsid w:val="7C802FD3"/>
    <w:rsid w:val="7D1507D3"/>
    <w:rsid w:val="7D6C778E"/>
    <w:rsid w:val="7D8A7E86"/>
    <w:rsid w:val="7D9064BC"/>
    <w:rsid w:val="7DD93025"/>
    <w:rsid w:val="7DFF3858"/>
    <w:rsid w:val="7E5961C5"/>
    <w:rsid w:val="7E6E69A4"/>
    <w:rsid w:val="7E88725B"/>
    <w:rsid w:val="7F060667"/>
    <w:rsid w:val="7F190501"/>
    <w:rsid w:val="7F1D297D"/>
    <w:rsid w:val="7F787A35"/>
    <w:rsid w:val="7F7A6210"/>
    <w:rsid w:val="7F86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0" w:lineRule="exact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semiHidden/>
    <w:unhideWhenUsed/>
    <w:qFormat/>
    <w:uiPriority w:val="0"/>
    <w:pPr>
      <w:adjustRightInd/>
      <w:spacing w:line="240" w:lineRule="auto"/>
    </w:pPr>
    <w:rPr>
      <w:rFonts w:ascii="宋体"/>
      <w:sz w:val="24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adjustRightInd/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  <w:rPr>
      <w:rFonts w:ascii="宋体" w:hAnsi="Times New Roman" w:eastAsia="宋体"/>
      <w:sz w:val="18"/>
    </w:rPr>
  </w:style>
  <w:style w:type="paragraph" w:customStyle="1" w:styleId="7">
    <w:name w:val="公式"/>
    <w:basedOn w:val="1"/>
    <w:qFormat/>
    <w:uiPriority w:val="0"/>
    <w:pPr>
      <w:spacing w:before="160" w:beforeLines="0" w:after="40" w:afterLines="0" w:line="420" w:lineRule="atLeast"/>
      <w:ind w:firstLine="522"/>
      <w:jc w:val="left"/>
      <w:textAlignment w:val="baseline"/>
    </w:pPr>
    <w:rPr>
      <w:color w:val="000000"/>
      <w:spacing w:val="10"/>
      <w:kern w:val="0"/>
      <w:sz w:val="24"/>
    </w:rPr>
  </w:style>
  <w:style w:type="paragraph" w:customStyle="1" w:styleId="8">
    <w:name w:val="标准书脚_奇数页"/>
    <w:qFormat/>
    <w:uiPriority w:val="0"/>
    <w:pPr>
      <w:jc w:val="right"/>
    </w:pPr>
    <w:rPr>
      <w:rFonts w:ascii="宋体" w:hAnsi="Times New Roman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wmf"/><Relationship Id="rId8" Type="http://schemas.openxmlformats.org/officeDocument/2006/relationships/oleObject" Target="embeddings/oleObject1.bin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6" Type="http://schemas.openxmlformats.org/officeDocument/2006/relationships/fontTable" Target="fontTable.xml"/><Relationship Id="rId35" Type="http://schemas.openxmlformats.org/officeDocument/2006/relationships/image" Target="media/image13.wmf"/><Relationship Id="rId34" Type="http://schemas.openxmlformats.org/officeDocument/2006/relationships/oleObject" Target="embeddings/oleObject15.bin"/><Relationship Id="rId33" Type="http://schemas.openxmlformats.org/officeDocument/2006/relationships/image" Target="media/image12.wmf"/><Relationship Id="rId32" Type="http://schemas.openxmlformats.org/officeDocument/2006/relationships/oleObject" Target="embeddings/oleObject14.bin"/><Relationship Id="rId31" Type="http://schemas.openxmlformats.org/officeDocument/2006/relationships/image" Target="media/image11.wmf"/><Relationship Id="rId30" Type="http://schemas.openxmlformats.org/officeDocument/2006/relationships/oleObject" Target="embeddings/oleObject13.bin"/><Relationship Id="rId3" Type="http://schemas.openxmlformats.org/officeDocument/2006/relationships/footnotes" Target="footnotes.xml"/><Relationship Id="rId29" Type="http://schemas.openxmlformats.org/officeDocument/2006/relationships/image" Target="media/image10.wmf"/><Relationship Id="rId28" Type="http://schemas.openxmlformats.org/officeDocument/2006/relationships/oleObject" Target="embeddings/oleObject12.bin"/><Relationship Id="rId27" Type="http://schemas.openxmlformats.org/officeDocument/2006/relationships/oleObject" Target="embeddings/oleObject11.bin"/><Relationship Id="rId26" Type="http://schemas.openxmlformats.org/officeDocument/2006/relationships/image" Target="media/image9.wmf"/><Relationship Id="rId25" Type="http://schemas.openxmlformats.org/officeDocument/2006/relationships/oleObject" Target="embeddings/oleObject10.bin"/><Relationship Id="rId24" Type="http://schemas.openxmlformats.org/officeDocument/2006/relationships/image" Target="media/image8.wmf"/><Relationship Id="rId23" Type="http://schemas.openxmlformats.org/officeDocument/2006/relationships/oleObject" Target="embeddings/oleObject9.bin"/><Relationship Id="rId22" Type="http://schemas.openxmlformats.org/officeDocument/2006/relationships/image" Target="media/image7.wmf"/><Relationship Id="rId21" Type="http://schemas.openxmlformats.org/officeDocument/2006/relationships/oleObject" Target="embeddings/oleObject8.bin"/><Relationship Id="rId20" Type="http://schemas.openxmlformats.org/officeDocument/2006/relationships/image" Target="media/image6.wmf"/><Relationship Id="rId2" Type="http://schemas.openxmlformats.org/officeDocument/2006/relationships/settings" Target="settings.xml"/><Relationship Id="rId19" Type="http://schemas.openxmlformats.org/officeDocument/2006/relationships/oleObject" Target="embeddings/oleObject7.bin"/><Relationship Id="rId18" Type="http://schemas.openxmlformats.org/officeDocument/2006/relationships/image" Target="media/image5.wmf"/><Relationship Id="rId17" Type="http://schemas.openxmlformats.org/officeDocument/2006/relationships/oleObject" Target="embeddings/oleObject6.bin"/><Relationship Id="rId16" Type="http://schemas.openxmlformats.org/officeDocument/2006/relationships/oleObject" Target="embeddings/oleObject5.bin"/><Relationship Id="rId15" Type="http://schemas.openxmlformats.org/officeDocument/2006/relationships/image" Target="media/image4.wmf"/><Relationship Id="rId14" Type="http://schemas.openxmlformats.org/officeDocument/2006/relationships/oleObject" Target="embeddings/oleObject4.bin"/><Relationship Id="rId13" Type="http://schemas.openxmlformats.org/officeDocument/2006/relationships/image" Target="media/image3.wmf"/><Relationship Id="rId12" Type="http://schemas.openxmlformats.org/officeDocument/2006/relationships/oleObject" Target="embeddings/oleObject3.bin"/><Relationship Id="rId11" Type="http://schemas.openxmlformats.org/officeDocument/2006/relationships/image" Target="media/image2.wmf"/><Relationship Id="rId10" Type="http://schemas.openxmlformats.org/officeDocument/2006/relationships/oleObject" Target="embeddings/oleObject2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1142</Words>
  <Characters>1479</Characters>
  <Lines>0</Lines>
  <Paragraphs>0</Paragraphs>
  <TotalTime>0</TotalTime>
  <ScaleCrop>false</ScaleCrop>
  <LinksUpToDate>false</LinksUpToDate>
  <CharactersWithSpaces>1617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2026-07-15T08:31:00Z</dcterms:created>
  <dc:creator>DL</dc:creator>
  <cp:lastModifiedBy>DL</cp:lastModifiedBy>
  <dcterms:modified xsi:type="dcterms:W3CDTF">2026-07-19T15:09:34Z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4D674253C3F94A29AE9AFFFE1A99AC1C_11</vt:lpwstr>
  </property>
  <property fmtid="{D5CDD505-2E9C-101B-9397-08002B2CF9AE}" pid="4" name="KSOTemplateDocerSaveRecord">
    <vt:lpwstr>eyJoZGlkIjoiODAyZjFlZGQyZDgxZDNjNWM4NzlhZThlY2MzMDg1MTEiLCJ1c2VySWQiOiI0MzU4OTg5NjYifQ==</vt:lpwstr>
  </property>
</Properties>
</file>