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F4867">
      <w:pPr>
        <w:pStyle w:val="17"/>
        <w:numPr>
          <w:ilvl w:val="0"/>
          <w:numId w:val="0"/>
        </w:numPr>
        <w:spacing w:before="0" w:after="0" w:line="300" w:lineRule="auto"/>
        <w:jc w:val="center"/>
        <w:rPr>
          <w:rFonts w:ascii="Times New Roman"/>
          <w:sz w:val="32"/>
          <w:szCs w:val="32"/>
        </w:rPr>
      </w:pPr>
      <w:r>
        <w:rPr>
          <w:rFonts w:hint="eastAsia" w:ascii="Times New Roman"/>
          <w:bCs/>
          <w:sz w:val="32"/>
          <w:szCs w:val="32"/>
        </w:rPr>
        <w:t xml:space="preserve"> </w:t>
      </w:r>
      <w:r>
        <w:rPr>
          <w:rFonts w:ascii="Times New Roman"/>
          <w:bCs/>
          <w:sz w:val="32"/>
          <w:szCs w:val="32"/>
        </w:rPr>
        <w:t>《</w:t>
      </w:r>
      <w:r>
        <w:rPr>
          <w:rFonts w:hint="eastAsia" w:ascii="Times New Roman"/>
          <w:bCs/>
          <w:sz w:val="32"/>
          <w:szCs w:val="32"/>
          <w:lang w:val="en-US" w:eastAsia="zh-CN"/>
        </w:rPr>
        <w:t>宽波段</w:t>
      </w:r>
      <w:r>
        <w:rPr>
          <w:rFonts w:hint="eastAsia" w:ascii="Times New Roman" w:hAnsi="Times New Roman" w:eastAsia="黑体" w:cs="Times New Roman"/>
          <w:bCs/>
          <w:sz w:val="32"/>
          <w:szCs w:val="32"/>
          <w:lang w:val="en-US" w:eastAsia="zh-CN" w:bidi="ar-SA"/>
        </w:rPr>
        <w:t>紫外辐射表校准</w:t>
      </w:r>
      <w:r>
        <w:rPr>
          <w:rFonts w:hint="eastAsia" w:ascii="Times New Roman" w:cs="Times New Roman"/>
          <w:bCs/>
          <w:sz w:val="32"/>
          <w:szCs w:val="32"/>
          <w:lang w:val="en-US" w:eastAsia="zh-CN" w:bidi="ar-SA"/>
        </w:rPr>
        <w:t>规范</w:t>
      </w:r>
      <w:r>
        <w:rPr>
          <w:rFonts w:ascii="Times New Roman"/>
          <w:bCs/>
          <w:sz w:val="32"/>
          <w:szCs w:val="32"/>
        </w:rPr>
        <w:t>》</w:t>
      </w:r>
      <w:r>
        <w:rPr>
          <w:rFonts w:hint="eastAsia" w:ascii="Times New Roman"/>
          <w:sz w:val="32"/>
          <w:szCs w:val="32"/>
        </w:rPr>
        <w:t>编制</w:t>
      </w:r>
      <w:r>
        <w:rPr>
          <w:rFonts w:ascii="Times New Roman"/>
          <w:sz w:val="32"/>
          <w:szCs w:val="32"/>
        </w:rPr>
        <w:t>说明</w:t>
      </w:r>
    </w:p>
    <w:p w14:paraId="4F71C9DD">
      <w:pPr>
        <w:rPr>
          <w:rFonts w:hint="eastAsia"/>
        </w:rPr>
      </w:pPr>
    </w:p>
    <w:p w14:paraId="7D297BE5">
      <w:pPr>
        <w:numPr>
          <w:ilvl w:val="0"/>
          <w:numId w:val="2"/>
        </w:numPr>
        <w:tabs>
          <w:tab w:val="left" w:pos="720"/>
          <w:tab w:val="clear" w:pos="917"/>
        </w:tabs>
        <w:spacing w:line="300" w:lineRule="auto"/>
        <w:ind w:right="21" w:hanging="917"/>
        <w:rPr>
          <w:rFonts w:eastAsia="黑体"/>
          <w:sz w:val="28"/>
        </w:rPr>
      </w:pPr>
      <w:r>
        <w:rPr>
          <w:rFonts w:eastAsia="黑体"/>
          <w:sz w:val="28"/>
        </w:rPr>
        <w:t>任务来源</w:t>
      </w:r>
    </w:p>
    <w:p w14:paraId="3B82F049">
      <w:pPr>
        <w:pStyle w:val="3"/>
        <w:spacing w:line="300" w:lineRule="auto"/>
        <w:ind w:firstLine="540"/>
        <w:rPr>
          <w:rFonts w:ascii="Times New Roman"/>
          <w:b w:val="0"/>
        </w:rPr>
      </w:pPr>
      <w:r>
        <w:rPr>
          <w:rFonts w:ascii="Times New Roman"/>
          <w:b w:val="0"/>
          <w:highlight w:val="none"/>
        </w:rPr>
        <w:t>根据国家</w:t>
      </w:r>
      <w:r>
        <w:rPr>
          <w:rFonts w:hint="eastAsia" w:ascii="Times New Roman"/>
          <w:b w:val="0"/>
          <w:highlight w:val="none"/>
        </w:rPr>
        <w:t>市场监督管理总</w:t>
      </w:r>
      <w:r>
        <w:rPr>
          <w:rFonts w:ascii="Times New Roman"/>
          <w:b w:val="0"/>
          <w:highlight w:val="none"/>
        </w:rPr>
        <w:t>局</w:t>
      </w:r>
      <w:r>
        <w:rPr>
          <w:rFonts w:hint="eastAsia" w:ascii="Times New Roman"/>
          <w:b w:val="0"/>
          <w:highlight w:val="none"/>
        </w:rPr>
        <w:t>办公厅</w:t>
      </w:r>
      <w:r>
        <w:rPr>
          <w:rFonts w:ascii="Times New Roman"/>
          <w:b w:val="0"/>
          <w:highlight w:val="none"/>
        </w:rPr>
        <w:t>文件和全国</w:t>
      </w:r>
      <w:r>
        <w:rPr>
          <w:rFonts w:hint="eastAsia" w:ascii="Times New Roman"/>
          <w:b w:val="0"/>
          <w:highlight w:val="none"/>
          <w:lang w:val="en-US" w:eastAsia="zh-CN"/>
        </w:rPr>
        <w:t>气象专用</w:t>
      </w:r>
      <w:r>
        <w:rPr>
          <w:rFonts w:ascii="Times New Roman"/>
          <w:b w:val="0"/>
          <w:highlight w:val="none"/>
        </w:rPr>
        <w:t>计量</w:t>
      </w:r>
      <w:r>
        <w:rPr>
          <w:rFonts w:hint="eastAsia" w:ascii="Times New Roman"/>
          <w:b w:val="0"/>
          <w:highlight w:val="none"/>
          <w:lang w:val="en-US" w:eastAsia="zh-CN"/>
        </w:rPr>
        <w:t>器具计量</w:t>
      </w:r>
      <w:r>
        <w:rPr>
          <w:rFonts w:ascii="Times New Roman"/>
          <w:b w:val="0"/>
          <w:highlight w:val="none"/>
        </w:rPr>
        <w:t>技术委员会文件，由</w:t>
      </w:r>
      <w:r>
        <w:rPr>
          <w:rFonts w:hint="eastAsia" w:ascii="Times New Roman"/>
          <w:b w:val="0"/>
          <w:highlight w:val="none"/>
          <w:lang w:val="en-US" w:eastAsia="zh-CN"/>
        </w:rPr>
        <w:t>国家</w:t>
      </w:r>
      <w:r>
        <w:rPr>
          <w:rFonts w:hint="eastAsia" w:ascii="Times New Roman"/>
          <w:b w:val="0"/>
          <w:lang w:val="en-US" w:eastAsia="zh-CN"/>
        </w:rPr>
        <w:t>气象计量站</w:t>
      </w:r>
      <w:r>
        <w:rPr>
          <w:rFonts w:ascii="Times New Roman"/>
          <w:b w:val="0"/>
        </w:rPr>
        <w:t>负责</w:t>
      </w:r>
      <w:r>
        <w:rPr>
          <w:rFonts w:hint="eastAsia" w:ascii="Times New Roman"/>
          <w:b w:val="0"/>
        </w:rPr>
        <w:t>编制</w:t>
      </w:r>
      <w:r>
        <w:rPr>
          <w:rFonts w:ascii="Times New Roman"/>
          <w:b w:val="0"/>
        </w:rPr>
        <w:t>《</w:t>
      </w:r>
      <w:r>
        <w:rPr>
          <w:rFonts w:hint="eastAsia" w:ascii="Times New Roman" w:hAnsi="Times New Roman" w:eastAsia="宋体" w:cs="Times New Roman"/>
          <w:b w:val="0"/>
          <w:kern w:val="2"/>
          <w:sz w:val="24"/>
          <w:lang w:val="en-US" w:eastAsia="zh-CN" w:bidi="ar-SA"/>
        </w:rPr>
        <w:t>宽波段紫外辐射表校准规范</w:t>
      </w:r>
      <w:r>
        <w:rPr>
          <w:rFonts w:ascii="Times New Roman"/>
          <w:b w:val="0"/>
        </w:rPr>
        <w:t>》。</w:t>
      </w:r>
    </w:p>
    <w:p w14:paraId="6AD1F948">
      <w:pPr>
        <w:widowControl w:val="0"/>
        <w:spacing w:line="300" w:lineRule="auto"/>
        <w:ind w:right="21" w:rightChars="0" w:firstLine="540" w:firstLineChars="0"/>
        <w:jc w:val="both"/>
        <w:rPr>
          <w:rFonts w:ascii="Times New Roman" w:hAnsi="Times New Roman" w:eastAsia="宋体" w:cs="Times New Roman"/>
          <w:b w:val="0"/>
          <w:kern w:val="2"/>
          <w:sz w:val="24"/>
          <w:lang w:val="en-US" w:eastAsia="zh-CN" w:bidi="ar-SA"/>
        </w:rPr>
      </w:pPr>
      <w:r>
        <w:rPr>
          <w:rFonts w:ascii="Times New Roman" w:hAnsi="Times New Roman" w:eastAsia="宋体" w:cs="Times New Roman"/>
          <w:b w:val="0"/>
          <w:kern w:val="2"/>
          <w:sz w:val="24"/>
          <w:highlight w:val="none"/>
          <w:lang w:val="en-US" w:eastAsia="zh-CN" w:bidi="ar-SA"/>
        </w:rPr>
        <w:t>本规范</w:t>
      </w:r>
      <w:r>
        <w:rPr>
          <w:rFonts w:hint="eastAsia" w:cs="Times New Roman"/>
          <w:b w:val="0"/>
          <w:kern w:val="2"/>
          <w:sz w:val="24"/>
          <w:highlight w:val="none"/>
          <w:lang w:val="en-US" w:eastAsia="zh-CN" w:bidi="ar-SA"/>
        </w:rPr>
        <w:t>前</w:t>
      </w:r>
      <w:r>
        <w:rPr>
          <w:rFonts w:ascii="Times New Roman" w:hAnsi="Times New Roman" w:eastAsia="宋体" w:cs="Times New Roman"/>
          <w:b w:val="0"/>
          <w:kern w:val="2"/>
          <w:sz w:val="24"/>
          <w:highlight w:val="none"/>
          <w:lang w:val="en-US" w:eastAsia="zh-CN" w:bidi="ar-SA"/>
        </w:rPr>
        <w:t>期归口于全国气象专用计量器具计量技术委员会</w:t>
      </w:r>
      <w:r>
        <w:rPr>
          <w:rFonts w:hint="eastAsia" w:cs="Times New Roman"/>
          <w:b w:val="0"/>
          <w:kern w:val="2"/>
          <w:sz w:val="24"/>
          <w:highlight w:val="none"/>
          <w:lang w:val="en-US" w:eastAsia="zh-CN" w:bidi="ar-SA"/>
        </w:rPr>
        <w:t>，</w:t>
      </w:r>
      <w:bookmarkStart w:id="0" w:name="_GoBack"/>
      <w:bookmarkEnd w:id="0"/>
      <w:r>
        <w:rPr>
          <w:rFonts w:hint="eastAsia" w:ascii="Times New Roman" w:hAnsi="Times New Roman" w:eastAsia="宋体" w:cs="Times New Roman"/>
          <w:b w:val="0"/>
          <w:kern w:val="2"/>
          <w:sz w:val="24"/>
          <w:highlight w:val="none"/>
          <w:lang w:val="en-US" w:eastAsia="zh-CN" w:bidi="ar-SA"/>
        </w:rPr>
        <w:t>因</w:t>
      </w:r>
      <w:r>
        <w:rPr>
          <w:rFonts w:ascii="Times New Roman" w:hAnsi="Times New Roman" w:eastAsia="宋体" w:cs="Times New Roman"/>
          <w:b w:val="0"/>
          <w:kern w:val="2"/>
          <w:sz w:val="24"/>
          <w:highlight w:val="none"/>
          <w:lang w:val="en-US" w:eastAsia="zh-CN" w:bidi="ar-SA"/>
        </w:rPr>
        <w:t>气象计量领域专业细分与优化的工作需要，目前本规范的管理与技术归口工作已调整至其下</w:t>
      </w:r>
      <w:r>
        <w:rPr>
          <w:rFonts w:hint="eastAsia" w:ascii="Times New Roman" w:hAnsi="Times New Roman" w:eastAsia="宋体" w:cs="Times New Roman"/>
          <w:b w:val="0"/>
          <w:kern w:val="2"/>
          <w:sz w:val="24"/>
          <w:highlight w:val="none"/>
          <w:lang w:val="en-US" w:eastAsia="zh-CN" w:bidi="ar-SA"/>
        </w:rPr>
        <w:t>设</w:t>
      </w:r>
      <w:r>
        <w:rPr>
          <w:rFonts w:ascii="Times New Roman" w:hAnsi="Times New Roman" w:eastAsia="宋体" w:cs="Times New Roman"/>
          <w:b w:val="0"/>
          <w:kern w:val="2"/>
          <w:sz w:val="24"/>
          <w:highlight w:val="none"/>
          <w:lang w:val="en-US" w:eastAsia="zh-CN" w:bidi="ar-SA"/>
        </w:rPr>
        <w:t>的“全国气象专用计量器具计量技术委员会原位观测计量分技术委员会”。此次归口单位的调整旨在更精准地对接原位观测领域的计量技术需求，确保本规范的技术路线更加科学合理，后续审定及实施等工作由该分技术委员会负责组织。</w:t>
      </w:r>
    </w:p>
    <w:p w14:paraId="2948F02C">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编制</w:t>
      </w:r>
      <w:r>
        <w:rPr>
          <w:rFonts w:eastAsia="黑体"/>
          <w:sz w:val="28"/>
        </w:rPr>
        <w:t>依据</w:t>
      </w:r>
    </w:p>
    <w:p w14:paraId="6E327EAE">
      <w:pPr>
        <w:pStyle w:val="4"/>
        <w:spacing w:after="0" w:line="400" w:lineRule="exact"/>
        <w:ind w:left="-2" w:leftChars="-1" w:firstLine="428"/>
        <w:rPr>
          <w:sz w:val="24"/>
          <w:szCs w:val="24"/>
        </w:rPr>
      </w:pPr>
      <w:r>
        <w:rPr>
          <w:sz w:val="24"/>
          <w:szCs w:val="24"/>
        </w:rPr>
        <w:t>JJF 1001       通用计量名词术语</w:t>
      </w:r>
    </w:p>
    <w:p w14:paraId="2232C9FB">
      <w:pPr>
        <w:pStyle w:val="5"/>
        <w:spacing w:after="0" w:line="400" w:lineRule="exact"/>
        <w:ind w:left="-2" w:leftChars="-1" w:firstLine="428"/>
        <w:rPr>
          <w:sz w:val="24"/>
          <w:szCs w:val="24"/>
        </w:rPr>
      </w:pPr>
      <w:r>
        <w:rPr>
          <w:sz w:val="24"/>
          <w:szCs w:val="24"/>
        </w:rPr>
        <w:t>JJF 1071       国家计量校准规范编写规则</w:t>
      </w:r>
    </w:p>
    <w:p w14:paraId="117B63E6">
      <w:pPr>
        <w:pStyle w:val="5"/>
        <w:spacing w:after="0" w:line="400" w:lineRule="exact"/>
        <w:ind w:left="-2" w:leftChars="-1" w:firstLine="428"/>
        <w:rPr>
          <w:sz w:val="24"/>
          <w:szCs w:val="24"/>
        </w:rPr>
      </w:pPr>
      <w:r>
        <w:fldChar w:fldCharType="begin"/>
      </w:r>
      <w:r>
        <w:instrText xml:space="preserve"> HYPERLINK "http://www.so.com/link?m=aiiz013HghxhXalPBWsJ8%2BywH0H%2FkA7bnO9uoHsckET9Unawa3RhByDGecfBJ3MYUbymymSO1k5hUVFdkkePJO6CPC0tWpaiE7OKbfqKaO%2FL29713zeTZbA%3D%3D" \t "_blank" </w:instrText>
      </w:r>
      <w:r>
        <w:fldChar w:fldCharType="separate"/>
      </w:r>
      <w:r>
        <w:rPr>
          <w:sz w:val="24"/>
          <w:szCs w:val="24"/>
        </w:rPr>
        <w:t>JJF 1032       光学辐射计量名词术语及定义</w:t>
      </w:r>
      <w:r>
        <w:rPr>
          <w:sz w:val="24"/>
          <w:szCs w:val="24"/>
        </w:rPr>
        <w:fldChar w:fldCharType="end"/>
      </w:r>
    </w:p>
    <w:p w14:paraId="45B42D7F">
      <w:pPr>
        <w:pStyle w:val="3"/>
        <w:spacing w:line="400" w:lineRule="exact"/>
        <w:ind w:left="-2" w:leftChars="-1" w:firstLine="428"/>
        <w:rPr>
          <w:rFonts w:ascii="Times New Roman"/>
          <w:b w:val="0"/>
          <w:szCs w:val="24"/>
        </w:rPr>
      </w:pPr>
      <w:r>
        <w:rPr>
          <w:rFonts w:ascii="Times New Roman"/>
          <w:b w:val="0"/>
          <w:szCs w:val="24"/>
        </w:rPr>
        <w:t>JJF 1059.1     测量不确定度评定与表示</w:t>
      </w:r>
    </w:p>
    <w:p w14:paraId="56E5DF2C">
      <w:pPr>
        <w:widowControl w:val="0"/>
        <w:spacing w:line="400" w:lineRule="exact"/>
        <w:ind w:left="-2" w:leftChars="-1" w:right="21" w:rightChars="0" w:firstLine="428" w:firstLineChars="0"/>
        <w:jc w:val="both"/>
        <w:rPr>
          <w:rFonts w:ascii="Times New Roman" w:hAnsi="Times New Roman" w:eastAsia="宋体" w:cs="Times New Roman"/>
          <w:b w:val="0"/>
          <w:kern w:val="2"/>
          <w:sz w:val="24"/>
          <w:szCs w:val="24"/>
          <w:lang w:val="en-US" w:eastAsia="zh-CN" w:bidi="ar-SA"/>
        </w:rPr>
      </w:pPr>
      <w:r>
        <w:rPr>
          <w:rFonts w:ascii="Times New Roman" w:hAnsi="Times New Roman" w:eastAsia="宋体" w:cs="Times New Roman"/>
          <w:b w:val="0"/>
          <w:kern w:val="2"/>
          <w:sz w:val="24"/>
          <w:szCs w:val="24"/>
          <w:lang w:val="en-US" w:eastAsia="zh-CN" w:bidi="ar-SA"/>
        </w:rPr>
        <w:t>GB/T 3</w:t>
      </w:r>
      <w:r>
        <w:rPr>
          <w:rFonts w:hint="eastAsia" w:ascii="Times New Roman" w:hAnsi="Times New Roman" w:eastAsia="宋体" w:cs="Times New Roman"/>
          <w:b w:val="0"/>
          <w:kern w:val="2"/>
          <w:sz w:val="24"/>
          <w:szCs w:val="24"/>
          <w:lang w:val="en-US" w:eastAsia="zh-CN" w:bidi="ar-SA"/>
        </w:rPr>
        <w:t>1163―</w:t>
      </w:r>
      <w:r>
        <w:rPr>
          <w:rFonts w:ascii="Times New Roman" w:hAnsi="Times New Roman" w:eastAsia="宋体" w:cs="Times New Roman"/>
          <w:b w:val="0"/>
          <w:kern w:val="2"/>
          <w:sz w:val="24"/>
          <w:szCs w:val="24"/>
          <w:lang w:val="en-US" w:eastAsia="zh-CN" w:bidi="ar-SA"/>
        </w:rPr>
        <w:t>20</w:t>
      </w:r>
      <w:r>
        <w:rPr>
          <w:rFonts w:hint="eastAsia" w:ascii="Times New Roman" w:hAnsi="Times New Roman" w:eastAsia="宋体" w:cs="Times New Roman"/>
          <w:b w:val="0"/>
          <w:kern w:val="2"/>
          <w:sz w:val="24"/>
          <w:szCs w:val="24"/>
          <w:lang w:val="en-US" w:eastAsia="zh-CN" w:bidi="ar-SA"/>
        </w:rPr>
        <w:t>14</w:t>
      </w:r>
      <w:r>
        <w:rPr>
          <w:rFonts w:ascii="Times New Roman" w:hAnsi="Times New Roman" w:eastAsia="宋体" w:cs="Times New Roman"/>
          <w:b w:val="0"/>
          <w:kern w:val="2"/>
          <w:sz w:val="24"/>
          <w:szCs w:val="24"/>
          <w:lang w:val="en-US" w:eastAsia="zh-CN" w:bidi="ar-SA"/>
        </w:rPr>
        <w:t xml:space="preserve"> </w:t>
      </w:r>
      <w:r>
        <w:rPr>
          <w:rFonts w:hint="eastAsia" w:ascii="Times New Roman" w:hAnsi="Times New Roman" w:eastAsia="宋体" w:cs="Times New Roman"/>
          <w:b w:val="0"/>
          <w:kern w:val="2"/>
          <w:sz w:val="24"/>
          <w:szCs w:val="24"/>
          <w:lang w:val="en-US" w:eastAsia="zh-CN" w:bidi="ar-SA"/>
        </w:rPr>
        <w:t>太阳能资源</w:t>
      </w:r>
      <w:r>
        <w:rPr>
          <w:rFonts w:ascii="Times New Roman" w:hAnsi="Times New Roman" w:eastAsia="宋体" w:cs="Times New Roman"/>
          <w:b w:val="0"/>
          <w:kern w:val="2"/>
          <w:sz w:val="24"/>
          <w:szCs w:val="24"/>
          <w:lang w:val="en-US" w:eastAsia="zh-CN" w:bidi="ar-SA"/>
        </w:rPr>
        <w:t>术语</w:t>
      </w:r>
    </w:p>
    <w:p w14:paraId="5A6BDBE7">
      <w:pPr>
        <w:widowControl w:val="0"/>
        <w:spacing w:line="400" w:lineRule="exact"/>
        <w:ind w:left="-2" w:leftChars="0" w:right="21" w:rightChars="0" w:firstLine="428" w:firstLineChars="0"/>
        <w:jc w:val="both"/>
        <w:rPr>
          <w:rFonts w:ascii="Times New Roman" w:hAnsi="Times New Roman" w:eastAsia="宋体" w:cs="Times New Roman"/>
          <w:b w:val="0"/>
          <w:kern w:val="2"/>
          <w:sz w:val="24"/>
          <w:szCs w:val="24"/>
          <w:lang w:val="en-US" w:eastAsia="zh-CN" w:bidi="ar-SA"/>
        </w:rPr>
      </w:pPr>
      <w:r>
        <w:rPr>
          <w:rFonts w:ascii="Times New Roman" w:hAnsi="Times New Roman" w:eastAsia="宋体" w:cs="Times New Roman"/>
          <w:b w:val="0"/>
          <w:kern w:val="2"/>
          <w:sz w:val="24"/>
          <w:szCs w:val="24"/>
          <w:lang w:val="en-US" w:eastAsia="zh-CN" w:bidi="ar-SA"/>
        </w:rPr>
        <w:t>GB/T 33</w:t>
      </w:r>
      <w:r>
        <w:rPr>
          <w:rFonts w:hint="eastAsia" w:ascii="Times New Roman" w:hAnsi="Times New Roman" w:eastAsia="宋体" w:cs="Times New Roman"/>
          <w:b w:val="0"/>
          <w:kern w:val="2"/>
          <w:sz w:val="24"/>
          <w:szCs w:val="24"/>
          <w:lang w:val="en-US" w:eastAsia="zh-CN" w:bidi="ar-SA"/>
        </w:rPr>
        <w:t>868―</w:t>
      </w:r>
      <w:r>
        <w:rPr>
          <w:rFonts w:ascii="Times New Roman" w:hAnsi="Times New Roman" w:eastAsia="宋体" w:cs="Times New Roman"/>
          <w:b w:val="0"/>
          <w:kern w:val="2"/>
          <w:sz w:val="24"/>
          <w:szCs w:val="24"/>
          <w:lang w:val="en-US" w:eastAsia="zh-CN" w:bidi="ar-SA"/>
        </w:rPr>
        <w:t>201</w:t>
      </w:r>
      <w:r>
        <w:rPr>
          <w:rFonts w:hint="eastAsia" w:ascii="Times New Roman" w:hAnsi="Times New Roman" w:eastAsia="宋体" w:cs="Times New Roman"/>
          <w:b w:val="0"/>
          <w:kern w:val="2"/>
          <w:sz w:val="24"/>
          <w:szCs w:val="24"/>
          <w:lang w:val="en-US" w:eastAsia="zh-CN" w:bidi="ar-SA"/>
        </w:rPr>
        <w:t>7 紫外辐射表校准方法</w:t>
      </w:r>
    </w:p>
    <w:p w14:paraId="527C14C7">
      <w:pPr>
        <w:pStyle w:val="4"/>
        <w:spacing w:after="0" w:line="400" w:lineRule="exact"/>
        <w:ind w:left="2552" w:leftChars="202" w:hanging="2128" w:hangingChars="887"/>
        <w:rPr>
          <w:sz w:val="24"/>
          <w:szCs w:val="24"/>
        </w:rPr>
      </w:pPr>
      <w:r>
        <w:rPr>
          <w:rFonts w:hint="eastAsia"/>
          <w:color w:val="000000"/>
          <w:sz w:val="24"/>
        </w:rPr>
        <w:t>使用本校准规范时，应注意使用上述引用文件的现行有效版本。</w:t>
      </w:r>
    </w:p>
    <w:p w14:paraId="7D3606AF">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与</w:t>
      </w:r>
      <w:r>
        <w:rPr>
          <w:rFonts w:eastAsia="黑体"/>
          <w:sz w:val="28"/>
        </w:rPr>
        <w:t>国际建议、标准的关系</w:t>
      </w:r>
    </w:p>
    <w:p w14:paraId="1CAB5E90">
      <w:pPr>
        <w:spacing w:line="300" w:lineRule="auto"/>
        <w:ind w:right="21" w:firstLine="424" w:firstLineChars="177"/>
        <w:rPr>
          <w:rFonts w:hint="default" w:eastAsia="宋体"/>
          <w:sz w:val="24"/>
          <w:lang w:val="en-US" w:eastAsia="zh-CN"/>
        </w:rPr>
      </w:pPr>
      <w:r>
        <w:rPr>
          <w:rFonts w:hint="eastAsia"/>
          <w:sz w:val="24"/>
          <w:lang w:val="en-US" w:eastAsia="zh-CN"/>
        </w:rPr>
        <w:t>无。</w:t>
      </w:r>
    </w:p>
    <w:p w14:paraId="6BDCE423">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编制背景</w:t>
      </w:r>
    </w:p>
    <w:p w14:paraId="4101C106">
      <w:pPr>
        <w:spacing w:line="360" w:lineRule="auto"/>
        <w:ind w:firstLine="480" w:firstLineChars="200"/>
        <w:rPr>
          <w:rFonts w:hint="eastAsia" w:ascii="Times New Roman" w:hAnsi="Times New Roman" w:eastAsia="宋体" w:cs="Times New Roman"/>
          <w:kern w:val="2"/>
          <w:sz w:val="24"/>
          <w:szCs w:val="24"/>
          <w:highlight w:val="none"/>
          <w:lang w:val="en-US" w:eastAsia="zh-CN" w:bidi="ar-SA"/>
        </w:rPr>
      </w:pPr>
      <w:r>
        <w:rPr>
          <w:rFonts w:hint="eastAsia"/>
          <w:sz w:val="24"/>
          <w:szCs w:val="24"/>
        </w:rPr>
        <w:t>随着</w:t>
      </w:r>
      <w:r>
        <w:rPr>
          <w:rFonts w:hint="eastAsia"/>
          <w:sz w:val="24"/>
          <w:szCs w:val="24"/>
          <w:lang w:val="en-US" w:eastAsia="zh-CN"/>
        </w:rPr>
        <w:t>气象观测、环境监测、预防医学</w:t>
      </w:r>
      <w:r>
        <w:rPr>
          <w:rFonts w:hint="eastAsia"/>
          <w:sz w:val="24"/>
          <w:szCs w:val="24"/>
          <w:highlight w:val="none"/>
          <w:lang w:val="en-US" w:eastAsia="zh-CN"/>
        </w:rPr>
        <w:t>等领域对太阳紫外辐射测量</w:t>
      </w:r>
      <w:r>
        <w:rPr>
          <w:rFonts w:hint="eastAsia"/>
          <w:sz w:val="24"/>
          <w:szCs w:val="24"/>
          <w:highlight w:val="none"/>
        </w:rPr>
        <w:t>的</w:t>
      </w:r>
      <w:r>
        <w:rPr>
          <w:rFonts w:hint="eastAsia"/>
          <w:sz w:val="24"/>
          <w:szCs w:val="24"/>
          <w:highlight w:val="none"/>
          <w:lang w:val="en-US" w:eastAsia="zh-CN"/>
        </w:rPr>
        <w:t>日益关注</w:t>
      </w:r>
      <w:r>
        <w:rPr>
          <w:rFonts w:hint="eastAsia"/>
          <w:sz w:val="24"/>
          <w:szCs w:val="24"/>
          <w:highlight w:val="none"/>
        </w:rPr>
        <w:t>，</w:t>
      </w:r>
      <w:r>
        <w:rPr>
          <w:rFonts w:hint="eastAsia"/>
          <w:sz w:val="24"/>
          <w:szCs w:val="24"/>
          <w:highlight w:val="none"/>
          <w:lang w:val="en-US" w:eastAsia="zh-CN"/>
        </w:rPr>
        <w:t>宽波段紫外辐射表被</w:t>
      </w:r>
      <w:r>
        <w:rPr>
          <w:rFonts w:hint="eastAsia"/>
          <w:sz w:val="24"/>
          <w:szCs w:val="24"/>
          <w:highlight w:val="none"/>
        </w:rPr>
        <w:t>广泛</w:t>
      </w:r>
      <w:r>
        <w:rPr>
          <w:rFonts w:hint="eastAsia"/>
          <w:sz w:val="24"/>
          <w:szCs w:val="24"/>
          <w:highlight w:val="none"/>
          <w:lang w:val="en-US" w:eastAsia="zh-CN"/>
        </w:rPr>
        <w:t>应</w:t>
      </w:r>
      <w:r>
        <w:rPr>
          <w:rFonts w:hint="eastAsia"/>
          <w:sz w:val="24"/>
          <w:szCs w:val="24"/>
          <w:highlight w:val="none"/>
        </w:rPr>
        <w:t>用于</w:t>
      </w:r>
      <w:r>
        <w:rPr>
          <w:rFonts w:hint="eastAsia"/>
          <w:sz w:val="24"/>
          <w:szCs w:val="24"/>
          <w:highlight w:val="none"/>
          <w:lang w:val="en-US" w:eastAsia="zh-CN"/>
        </w:rPr>
        <w:t>这些领域</w:t>
      </w:r>
      <w:r>
        <w:rPr>
          <w:rFonts w:hint="eastAsia"/>
          <w:sz w:val="24"/>
          <w:szCs w:val="24"/>
          <w:highlight w:val="none"/>
        </w:rPr>
        <w:t>中的</w:t>
      </w:r>
      <w:r>
        <w:rPr>
          <w:rFonts w:hint="eastAsia"/>
          <w:sz w:val="24"/>
          <w:szCs w:val="24"/>
          <w:highlight w:val="none"/>
          <w:lang w:val="en-US" w:eastAsia="zh-CN"/>
        </w:rPr>
        <w:t>太阳紫外辐射</w:t>
      </w:r>
      <w:r>
        <w:rPr>
          <w:rFonts w:hint="eastAsia"/>
          <w:sz w:val="24"/>
          <w:szCs w:val="24"/>
          <w:highlight w:val="none"/>
        </w:rPr>
        <w:t>测量。</w:t>
      </w:r>
      <w:r>
        <w:rPr>
          <w:rFonts w:hint="eastAsia"/>
          <w:sz w:val="24"/>
          <w:szCs w:val="24"/>
          <w:highlight w:val="none"/>
          <w:lang w:val="en-US" w:eastAsia="zh-CN"/>
        </w:rPr>
        <w:t>宽波段</w:t>
      </w:r>
      <w:r>
        <w:rPr>
          <w:rFonts w:hint="eastAsia" w:ascii="Times New Roman" w:hAnsi="Times New Roman" w:eastAsia="宋体" w:cs="Times New Roman"/>
          <w:kern w:val="2"/>
          <w:sz w:val="24"/>
          <w:szCs w:val="24"/>
          <w:highlight w:val="none"/>
          <w:lang w:val="en-US" w:eastAsia="zh-CN" w:bidi="ar-SA"/>
        </w:rPr>
        <w:t>紫外辐射表是</w:t>
      </w:r>
      <w:r>
        <w:rPr>
          <w:rFonts w:hint="eastAsia" w:cs="Times New Roman"/>
          <w:kern w:val="2"/>
          <w:sz w:val="24"/>
          <w:szCs w:val="24"/>
          <w:highlight w:val="none"/>
          <w:lang w:val="en-US" w:eastAsia="zh-CN" w:bidi="ar-SA"/>
        </w:rPr>
        <w:t>一种</w:t>
      </w:r>
      <w:r>
        <w:rPr>
          <w:rFonts w:hint="eastAsia" w:ascii="Times New Roman" w:hAnsi="Times New Roman" w:eastAsia="宋体" w:cs="Times New Roman"/>
          <w:kern w:val="2"/>
          <w:sz w:val="24"/>
          <w:szCs w:val="24"/>
          <w:highlight w:val="none"/>
          <w:lang w:val="en-US" w:eastAsia="zh-CN" w:bidi="ar-SA"/>
        </w:rPr>
        <w:t>用于测量波长范围</w:t>
      </w:r>
      <w:r>
        <w:rPr>
          <w:rFonts w:hint="eastAsia" w:cs="Times New Roman"/>
          <w:kern w:val="2"/>
          <w:sz w:val="24"/>
          <w:szCs w:val="24"/>
          <w:highlight w:val="none"/>
          <w:lang w:val="en-US" w:eastAsia="zh-CN" w:bidi="ar-SA"/>
        </w:rPr>
        <w:t>为</w:t>
      </w:r>
      <w:r>
        <w:rPr>
          <w:rFonts w:hint="eastAsia" w:ascii="Times New Roman" w:hAnsi="Times New Roman" w:eastAsia="宋体" w:cs="Times New Roman"/>
          <w:kern w:val="2"/>
          <w:sz w:val="24"/>
          <w:szCs w:val="24"/>
          <w:highlight w:val="none"/>
          <w:lang w:val="en-US" w:eastAsia="zh-CN" w:bidi="ar-SA"/>
        </w:rPr>
        <w:t>（280-400）nm之间太阳紫外辐射的仪器，按波长测量范围的不同，可分为UV-A、UV-B和总紫外辐射表。</w:t>
      </w:r>
    </w:p>
    <w:p w14:paraId="225077A1">
      <w:pPr>
        <w:spacing w:line="360" w:lineRule="auto"/>
        <w:ind w:firstLine="480" w:firstLineChars="200"/>
        <w:rPr>
          <w:sz w:val="24"/>
          <w:szCs w:val="24"/>
        </w:rPr>
      </w:pPr>
      <w:r>
        <w:rPr>
          <w:rFonts w:hint="eastAsia" w:ascii="Times New Roman" w:hAnsi="Times New Roman" w:eastAsia="宋体" w:cs="Times New Roman"/>
          <w:kern w:val="2"/>
          <w:sz w:val="24"/>
          <w:szCs w:val="24"/>
          <w:highlight w:val="none"/>
          <w:lang w:val="en-US" w:eastAsia="zh-CN" w:bidi="ar-SA"/>
        </w:rPr>
        <w:t>紫外辐射表由石英窗</w:t>
      </w:r>
      <w:r>
        <w:rPr>
          <w:rFonts w:hint="eastAsia" w:cs="Times New Roman"/>
          <w:kern w:val="2"/>
          <w:sz w:val="24"/>
          <w:szCs w:val="24"/>
          <w:highlight w:val="none"/>
          <w:lang w:val="en-US" w:eastAsia="zh-CN" w:bidi="ar-SA"/>
        </w:rPr>
        <w:t>罩</w:t>
      </w:r>
      <w:r>
        <w:rPr>
          <w:rFonts w:hint="eastAsia" w:ascii="Times New Roman" w:hAnsi="Times New Roman" w:eastAsia="宋体" w:cs="Times New Roman"/>
          <w:kern w:val="2"/>
          <w:sz w:val="24"/>
          <w:szCs w:val="24"/>
          <w:highlight w:val="none"/>
          <w:lang w:val="en-US" w:eastAsia="zh-CN" w:bidi="ar-SA"/>
        </w:rPr>
        <w:t>密封</w:t>
      </w:r>
      <w:r>
        <w:rPr>
          <w:rFonts w:hint="eastAsia" w:cs="Times New Roman"/>
          <w:kern w:val="2"/>
          <w:sz w:val="24"/>
          <w:szCs w:val="24"/>
          <w:highlight w:val="none"/>
          <w:lang w:val="en-US" w:eastAsia="zh-CN" w:bidi="ar-SA"/>
        </w:rPr>
        <w:t>，内部有</w:t>
      </w:r>
      <w:r>
        <w:rPr>
          <w:rFonts w:hint="eastAsia" w:ascii="Times New Roman" w:hAnsi="Times New Roman" w:eastAsia="宋体" w:cs="Times New Roman"/>
          <w:kern w:val="2"/>
          <w:sz w:val="24"/>
          <w:szCs w:val="24"/>
          <w:highlight w:val="none"/>
          <w:lang w:val="en-US" w:eastAsia="zh-CN" w:bidi="ar-SA"/>
        </w:rPr>
        <w:t>光电池</w:t>
      </w:r>
      <w:r>
        <w:rPr>
          <w:rFonts w:hint="eastAsia"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紫外滤光片和聚四氟乙烯散射片组成</w:t>
      </w:r>
      <w:r>
        <w:rPr>
          <w:rFonts w:hint="eastAsia"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光电管的终端与精密电阻相连接</w:t>
      </w:r>
      <w:r>
        <w:rPr>
          <w:rFonts w:hint="eastAsia"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通过测量电阻的压降实现</w:t>
      </w:r>
      <w:r>
        <w:rPr>
          <w:rFonts w:hint="eastAsia" w:cs="Times New Roman"/>
          <w:kern w:val="2"/>
          <w:sz w:val="24"/>
          <w:szCs w:val="24"/>
          <w:highlight w:val="none"/>
          <w:lang w:val="en-US" w:eastAsia="zh-CN" w:bidi="ar-SA"/>
        </w:rPr>
        <w:t>信号测量。根据滤光片特性不同，</w:t>
      </w:r>
      <w:r>
        <w:rPr>
          <w:rFonts w:hint="eastAsia" w:ascii="Times New Roman" w:hAnsi="Times New Roman" w:eastAsia="宋体" w:cs="Times New Roman"/>
          <w:kern w:val="2"/>
          <w:sz w:val="24"/>
          <w:szCs w:val="24"/>
          <w:highlight w:val="none"/>
          <w:lang w:val="en-US" w:eastAsia="zh-CN" w:bidi="ar-SA"/>
        </w:rPr>
        <w:t>其测量范围</w:t>
      </w:r>
      <w:r>
        <w:rPr>
          <w:rFonts w:hint="eastAsia" w:cs="Times New Roman"/>
          <w:kern w:val="2"/>
          <w:sz w:val="24"/>
          <w:szCs w:val="24"/>
          <w:highlight w:val="none"/>
          <w:lang w:val="en-US" w:eastAsia="zh-CN" w:bidi="ar-SA"/>
        </w:rPr>
        <w:t>也有所差异</w:t>
      </w:r>
      <w:r>
        <w:rPr>
          <w:rFonts w:hint="eastAsia" w:ascii="Times New Roman" w:hAnsi="Times New Roman"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由于到达地球表面的紫外辐射量值很小，且易受大气层中的臭氧、云等大气要素的影响，因此对紫外辐射表的计量工作尤为重要。</w:t>
      </w:r>
    </w:p>
    <w:p w14:paraId="399DC7EB">
      <w:pPr>
        <w:spacing w:line="360" w:lineRule="auto"/>
        <w:ind w:firstLine="480" w:firstLineChars="200"/>
        <w:rPr>
          <w:sz w:val="24"/>
          <w:szCs w:val="24"/>
        </w:rPr>
      </w:pPr>
      <w:r>
        <w:rPr>
          <w:rFonts w:hint="eastAsia"/>
          <w:sz w:val="24"/>
          <w:szCs w:val="24"/>
        </w:rPr>
        <w:t>本</w:t>
      </w:r>
      <w:r>
        <w:rPr>
          <w:rFonts w:hint="eastAsia"/>
          <w:sz w:val="24"/>
          <w:szCs w:val="24"/>
          <w:lang w:val="en-US" w:eastAsia="zh-CN"/>
        </w:rPr>
        <w:t>规范</w:t>
      </w:r>
      <w:r>
        <w:rPr>
          <w:rFonts w:hint="eastAsia"/>
          <w:sz w:val="24"/>
          <w:szCs w:val="24"/>
        </w:rPr>
        <w:t>针对</w:t>
      </w:r>
      <w:r>
        <w:rPr>
          <w:rFonts w:hint="eastAsia"/>
          <w:sz w:val="24"/>
          <w:szCs w:val="24"/>
          <w:lang w:val="en-US" w:eastAsia="zh-CN"/>
        </w:rPr>
        <w:t>宽波段紫外辐射表</w:t>
      </w:r>
      <w:r>
        <w:rPr>
          <w:rFonts w:hint="eastAsia"/>
          <w:sz w:val="24"/>
          <w:szCs w:val="24"/>
        </w:rPr>
        <w:t>的计量问题，规定了</w:t>
      </w:r>
      <w:r>
        <w:rPr>
          <w:rFonts w:hint="eastAsia"/>
          <w:sz w:val="24"/>
          <w:szCs w:val="24"/>
          <w:lang w:val="en-US" w:eastAsia="zh-CN"/>
        </w:rPr>
        <w:t>其</w:t>
      </w:r>
      <w:r>
        <w:rPr>
          <w:rFonts w:hint="eastAsia"/>
          <w:sz w:val="24"/>
          <w:szCs w:val="24"/>
        </w:rPr>
        <w:t>关键参数的校准方法以及溯源路径，解决了</w:t>
      </w:r>
      <w:r>
        <w:rPr>
          <w:rFonts w:hint="eastAsia"/>
          <w:sz w:val="24"/>
          <w:szCs w:val="24"/>
          <w:lang w:val="en-US" w:eastAsia="zh-CN"/>
        </w:rPr>
        <w:t>室外太阳光条件下紫外辐射表溯源时</w:t>
      </w:r>
      <w:r>
        <w:rPr>
          <w:rFonts w:hint="eastAsia"/>
          <w:sz w:val="24"/>
          <w:szCs w:val="24"/>
        </w:rPr>
        <w:t>的</w:t>
      </w:r>
      <w:r>
        <w:rPr>
          <w:rFonts w:hint="eastAsia"/>
          <w:sz w:val="24"/>
          <w:szCs w:val="24"/>
          <w:lang w:val="en-US" w:eastAsia="zh-CN"/>
        </w:rPr>
        <w:t>难</w:t>
      </w:r>
      <w:r>
        <w:rPr>
          <w:rFonts w:hint="eastAsia"/>
          <w:sz w:val="24"/>
          <w:szCs w:val="24"/>
        </w:rPr>
        <w:t>点问题，</w:t>
      </w:r>
      <w:r>
        <w:rPr>
          <w:rFonts w:hint="eastAsia"/>
          <w:sz w:val="24"/>
          <w:szCs w:val="24"/>
          <w:lang w:val="en-US" w:eastAsia="zh-CN"/>
        </w:rPr>
        <w:t>从而</w:t>
      </w:r>
      <w:r>
        <w:rPr>
          <w:rFonts w:hint="eastAsia"/>
          <w:sz w:val="24"/>
          <w:szCs w:val="24"/>
        </w:rPr>
        <w:t>进一步保障此类仪器在</w:t>
      </w:r>
      <w:r>
        <w:rPr>
          <w:rFonts w:hint="eastAsia"/>
          <w:sz w:val="24"/>
          <w:szCs w:val="24"/>
          <w:lang w:val="en-US" w:eastAsia="zh-CN"/>
        </w:rPr>
        <w:t>气象观测等领域中的量值准确可靠</w:t>
      </w:r>
      <w:r>
        <w:rPr>
          <w:rFonts w:hint="eastAsia"/>
          <w:sz w:val="24"/>
          <w:szCs w:val="24"/>
          <w:lang w:eastAsia="zh-CN"/>
        </w:rPr>
        <w:t>。</w:t>
      </w:r>
      <w:r>
        <w:rPr>
          <w:rFonts w:hint="eastAsia"/>
          <w:sz w:val="24"/>
          <w:szCs w:val="24"/>
          <w:lang w:val="en-US" w:eastAsia="zh-CN"/>
        </w:rPr>
        <w:t>为此，特</w:t>
      </w:r>
      <w:r>
        <w:rPr>
          <w:rFonts w:hint="eastAsia"/>
          <w:sz w:val="24"/>
          <w:szCs w:val="24"/>
        </w:rPr>
        <w:t>制定《</w:t>
      </w:r>
      <w:r>
        <w:rPr>
          <w:rFonts w:hint="eastAsia"/>
          <w:sz w:val="24"/>
          <w:szCs w:val="24"/>
          <w:lang w:val="en-US" w:eastAsia="zh-CN"/>
        </w:rPr>
        <w:t>宽波段紫外辐射表</w:t>
      </w:r>
      <w:r>
        <w:rPr>
          <w:rFonts w:hint="eastAsia"/>
          <w:sz w:val="24"/>
          <w:szCs w:val="24"/>
        </w:rPr>
        <w:t>校准规范》。</w:t>
      </w:r>
    </w:p>
    <w:p w14:paraId="4E39A82C">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编制过程</w:t>
      </w:r>
    </w:p>
    <w:p w14:paraId="21FC6127">
      <w:pPr>
        <w:pStyle w:val="27"/>
        <w:spacing w:line="360" w:lineRule="auto"/>
        <w:ind w:firstLine="480" w:firstLineChars="200"/>
        <w:rPr>
          <w:rFonts w:hint="eastAsia" w:ascii="Times New Roman" w:hAnsi="Times New Roman" w:cs="Times New Roman"/>
          <w:color w:val="auto"/>
          <w:lang w:val="en-US" w:eastAsia="zh-CN"/>
        </w:rPr>
      </w:pPr>
      <w:r>
        <w:rPr>
          <w:rFonts w:hint="eastAsia" w:ascii="Times New Roman" w:hAnsi="Times New Roman" w:cs="Times New Roman"/>
          <w:color w:val="auto"/>
        </w:rPr>
        <w:t>起草小组接到任务后</w:t>
      </w:r>
      <w:r>
        <w:rPr>
          <w:rFonts w:hint="eastAsia" w:ascii="Times New Roman" w:hAnsi="Times New Roman" w:cs="Times New Roman"/>
          <w:color w:val="auto"/>
          <w:lang w:eastAsia="zh-CN"/>
        </w:rPr>
        <w:t>，</w:t>
      </w:r>
      <w:r>
        <w:rPr>
          <w:rFonts w:hint="eastAsia" w:ascii="Times New Roman" w:hAnsi="Times New Roman" w:cs="Times New Roman"/>
          <w:color w:val="auto"/>
        </w:rPr>
        <w:t>制定了规范起草计划，拟定了编写提纲，</w:t>
      </w:r>
      <w:r>
        <w:rPr>
          <w:rFonts w:hint="eastAsia" w:ascii="Times New Roman" w:hAnsi="Times New Roman" w:cs="Times New Roman"/>
          <w:color w:val="auto"/>
          <w:lang w:val="en-US" w:eastAsia="zh-CN"/>
        </w:rPr>
        <w:t>并</w:t>
      </w:r>
      <w:r>
        <w:rPr>
          <w:rFonts w:hint="eastAsia" w:ascii="Times New Roman" w:hAnsi="Times New Roman" w:cs="Times New Roman"/>
          <w:color w:val="auto"/>
        </w:rPr>
        <w:t>按计划进行了校准规范的编写</w:t>
      </w:r>
      <w:r>
        <w:rPr>
          <w:rFonts w:hint="eastAsia" w:ascii="Times New Roman" w:hAnsi="Times New Roman" w:cs="Times New Roman"/>
          <w:color w:val="auto"/>
          <w:lang w:val="en-US" w:eastAsia="zh-CN"/>
        </w:rPr>
        <w:t>工作</w:t>
      </w:r>
      <w:r>
        <w:rPr>
          <w:rFonts w:hint="eastAsia" w:ascii="Times New Roman" w:hAnsi="Times New Roman" w:cs="Times New Roman"/>
          <w:color w:val="auto"/>
        </w:rPr>
        <w:t>。</w:t>
      </w:r>
      <w:r>
        <w:rPr>
          <w:rFonts w:hint="eastAsia" w:ascii="Times New Roman" w:hAnsi="Times New Roman" w:cs="Times New Roman"/>
          <w:color w:val="auto"/>
          <w:lang w:val="en-US" w:eastAsia="zh-CN"/>
        </w:rPr>
        <w:t>国家气象计量站前期已开展了“紫外辐射气象行业标准建设”工作，在该项目支持下，购置了气象行业标准（DTMc300光谱辐射计）及其配套设备，并对国外宽波段紫外辐射表的校准方法进行了研究。</w:t>
      </w:r>
      <w:r>
        <w:rPr>
          <w:rFonts w:hint="eastAsia" w:ascii="Times New Roman" w:hAnsi="Times New Roman" w:cs="Times New Roman"/>
          <w:color w:val="auto"/>
        </w:rPr>
        <w:t>起草小组查阅了大量</w:t>
      </w:r>
      <w:r>
        <w:rPr>
          <w:rFonts w:hint="eastAsia" w:ascii="Times New Roman" w:hAnsi="Times New Roman" w:cs="Times New Roman"/>
          <w:color w:val="auto"/>
          <w:lang w:val="en-US" w:eastAsia="zh-CN"/>
        </w:rPr>
        <w:t>相</w:t>
      </w:r>
      <w:r>
        <w:rPr>
          <w:rFonts w:hint="eastAsia" w:ascii="Times New Roman" w:hAnsi="Times New Roman" w:cs="Times New Roman"/>
          <w:color w:val="auto"/>
        </w:rPr>
        <w:t>关文献、标准</w:t>
      </w:r>
      <w:r>
        <w:rPr>
          <w:rFonts w:hint="eastAsia" w:ascii="Times New Roman" w:hAnsi="Times New Roman" w:cs="Times New Roman"/>
          <w:color w:val="auto"/>
          <w:lang w:val="en-US" w:eastAsia="zh-CN"/>
        </w:rPr>
        <w:t>和</w:t>
      </w:r>
      <w:r>
        <w:rPr>
          <w:rFonts w:hint="eastAsia" w:ascii="Times New Roman" w:hAnsi="Times New Roman" w:cs="Times New Roman"/>
          <w:color w:val="auto"/>
        </w:rPr>
        <w:t>文章，并与仪器生产商和用户进行了交流，对校准项目和校准方法的可行性进行了验证。</w:t>
      </w:r>
      <w:r>
        <w:rPr>
          <w:rFonts w:hint="eastAsia" w:ascii="Times New Roman" w:hAnsi="Times New Roman" w:cs="Times New Roman"/>
          <w:color w:val="auto"/>
          <w:lang w:eastAsia="zh-CN"/>
        </w:rPr>
        <w:t>在</w:t>
      </w:r>
      <w:r>
        <w:rPr>
          <w:rFonts w:hint="eastAsia" w:ascii="Times New Roman" w:hAnsi="Times New Roman" w:cs="Times New Roman"/>
          <w:color w:val="auto"/>
          <w:lang w:val="en-US" w:eastAsia="zh-CN"/>
        </w:rPr>
        <w:t>国家气象计量站</w:t>
      </w:r>
      <w:r>
        <w:rPr>
          <w:rFonts w:hint="eastAsia" w:ascii="Times New Roman" w:hAnsi="Times New Roman" w:cs="Times New Roman"/>
          <w:color w:val="auto"/>
        </w:rPr>
        <w:t>进行了实验验证，考察了</w:t>
      </w:r>
      <w:r>
        <w:rPr>
          <w:rFonts w:hint="eastAsia" w:ascii="Times New Roman" w:hAnsi="Times New Roman" w:cs="Times New Roman"/>
          <w:color w:val="auto"/>
          <w:lang w:val="en-US" w:eastAsia="zh-CN"/>
        </w:rPr>
        <w:t>宽波段紫外辐射表</w:t>
      </w:r>
      <w:r>
        <w:rPr>
          <w:rFonts w:hint="eastAsia" w:ascii="Times New Roman" w:hAnsi="Times New Roman" w:cs="Times New Roman"/>
          <w:color w:val="auto"/>
        </w:rPr>
        <w:t>的计量特性。通过大量的实验工作</w:t>
      </w:r>
      <w:r>
        <w:rPr>
          <w:rFonts w:hint="eastAsia" w:ascii="Times New Roman" w:hAnsi="Times New Roman" w:cs="Times New Roman"/>
          <w:color w:val="auto"/>
          <w:lang w:eastAsia="zh-CN"/>
        </w:rPr>
        <w:t>，</w:t>
      </w:r>
      <w:r>
        <w:rPr>
          <w:rFonts w:hint="eastAsia" w:ascii="Times New Roman" w:hAnsi="Times New Roman" w:cs="Times New Roman"/>
          <w:color w:val="auto"/>
        </w:rPr>
        <w:t>起草小组对于计量特性、量值传递方法、</w:t>
      </w:r>
      <w:r>
        <w:rPr>
          <w:rFonts w:hint="eastAsia" w:ascii="Times New Roman" w:hAnsi="Times New Roman" w:cs="Times New Roman"/>
          <w:color w:val="auto"/>
          <w:lang w:val="en-US" w:eastAsia="zh-CN"/>
        </w:rPr>
        <w:t>校准</w:t>
      </w:r>
      <w:r>
        <w:rPr>
          <w:rFonts w:hint="eastAsia" w:ascii="Times New Roman" w:hAnsi="Times New Roman" w:cs="Times New Roman"/>
          <w:color w:val="auto"/>
        </w:rPr>
        <w:t>设备要求、主要不确定度来源等方面积累了丰富的经验，于</w:t>
      </w:r>
      <w:r>
        <w:rPr>
          <w:rFonts w:ascii="Times New Roman" w:hAnsi="Times New Roman" w:cs="Times New Roman"/>
          <w:color w:val="auto"/>
        </w:rPr>
        <w:t>202</w:t>
      </w:r>
      <w:r>
        <w:rPr>
          <w:rFonts w:hint="eastAsia" w:ascii="Times New Roman" w:hAnsi="Times New Roman" w:cs="Times New Roman"/>
          <w:color w:val="auto"/>
          <w:lang w:val="en-US" w:eastAsia="zh-CN"/>
        </w:rPr>
        <w:t>6</w:t>
      </w:r>
      <w:r>
        <w:rPr>
          <w:rFonts w:hint="eastAsia" w:ascii="Times New Roman" w:hAnsi="Times New Roman" w:cs="Times New Roman"/>
          <w:color w:val="auto"/>
        </w:rPr>
        <w:t>年</w:t>
      </w:r>
      <w:r>
        <w:rPr>
          <w:rFonts w:hint="eastAsia" w:ascii="Times New Roman" w:hAnsi="Times New Roman" w:cs="Times New Roman"/>
          <w:color w:val="auto"/>
          <w:lang w:val="en-US" w:eastAsia="zh-CN"/>
        </w:rPr>
        <w:t>5</w:t>
      </w:r>
      <w:r>
        <w:rPr>
          <w:rFonts w:hint="eastAsia" w:ascii="Times New Roman" w:hAnsi="Times New Roman" w:cs="Times New Roman"/>
          <w:color w:val="auto"/>
        </w:rPr>
        <w:t>月形成校准规范的征求意见稿。</w:t>
      </w:r>
    </w:p>
    <w:p w14:paraId="266C7B0E">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主要内容和说明</w:t>
      </w:r>
    </w:p>
    <w:p w14:paraId="2AB97CE9">
      <w:pPr>
        <w:spacing w:line="336" w:lineRule="auto"/>
        <w:ind w:firstLine="480" w:firstLineChars="200"/>
        <w:rPr>
          <w:sz w:val="24"/>
        </w:rPr>
      </w:pPr>
      <w:r>
        <w:rPr>
          <w:rFonts w:hint="eastAsia"/>
          <w:sz w:val="24"/>
        </w:rPr>
        <w:t>本规范主要由范围、引用文件、术语和计量单位、概述、计量特性、校准条件、校准项目和校准方法、校准结果表达、复校时间间隔和附录等</w:t>
      </w:r>
      <w:r>
        <w:rPr>
          <w:sz w:val="24"/>
        </w:rPr>
        <w:t>9</w:t>
      </w:r>
      <w:r>
        <w:rPr>
          <w:rFonts w:hint="eastAsia"/>
          <w:sz w:val="24"/>
        </w:rPr>
        <w:t>个部分组成。</w:t>
      </w:r>
    </w:p>
    <w:p w14:paraId="28F9D2A9">
      <w:pPr>
        <w:spacing w:line="336" w:lineRule="auto"/>
        <w:ind w:firstLine="480" w:firstLineChars="200"/>
        <w:rPr>
          <w:sz w:val="24"/>
        </w:rPr>
      </w:pPr>
      <w:r>
        <w:rPr>
          <w:rFonts w:hint="eastAsia"/>
          <w:sz w:val="24"/>
        </w:rPr>
        <w:t>具体包括的内容和说明如下：</w:t>
      </w:r>
    </w:p>
    <w:p w14:paraId="6762C90F">
      <w:pPr>
        <w:numPr>
          <w:ilvl w:val="0"/>
          <w:numId w:val="3"/>
        </w:numPr>
        <w:spacing w:line="336" w:lineRule="auto"/>
        <w:rPr>
          <w:sz w:val="24"/>
        </w:rPr>
      </w:pPr>
      <w:r>
        <w:rPr>
          <w:rFonts w:hint="eastAsia"/>
          <w:sz w:val="24"/>
        </w:rPr>
        <w:t>范围 定了本校准规范的适用范围。</w:t>
      </w:r>
    </w:p>
    <w:p w14:paraId="44E1CDA2">
      <w:pPr>
        <w:numPr>
          <w:ilvl w:val="0"/>
          <w:numId w:val="3"/>
        </w:numPr>
        <w:spacing w:line="336" w:lineRule="auto"/>
        <w:rPr>
          <w:sz w:val="24"/>
        </w:rPr>
      </w:pPr>
      <w:r>
        <w:rPr>
          <w:rFonts w:hint="eastAsia"/>
          <w:sz w:val="24"/>
        </w:rPr>
        <w:t xml:space="preserve">引用文件 </w:t>
      </w:r>
      <w:r>
        <w:rPr>
          <w:sz w:val="24"/>
        </w:rPr>
        <w:t xml:space="preserve"> </w:t>
      </w:r>
      <w:r>
        <w:rPr>
          <w:rFonts w:hint="eastAsia"/>
          <w:sz w:val="24"/>
        </w:rPr>
        <w:t>引用了国</w:t>
      </w:r>
      <w:r>
        <w:rPr>
          <w:rFonts w:hint="eastAsia"/>
          <w:sz w:val="24"/>
          <w:lang w:val="en-US" w:eastAsia="zh-CN"/>
        </w:rPr>
        <w:t>家</w:t>
      </w:r>
      <w:r>
        <w:rPr>
          <w:rFonts w:hint="eastAsia"/>
          <w:sz w:val="24"/>
        </w:rPr>
        <w:t>标准</w:t>
      </w:r>
      <w:r>
        <w:rPr>
          <w:sz w:val="24"/>
        </w:rPr>
        <w:t>1</w:t>
      </w:r>
      <w:r>
        <w:rPr>
          <w:rFonts w:hint="eastAsia"/>
          <w:sz w:val="24"/>
        </w:rPr>
        <w:t>个。</w:t>
      </w:r>
    </w:p>
    <w:p w14:paraId="3762E8D6">
      <w:pPr>
        <w:numPr>
          <w:ilvl w:val="0"/>
          <w:numId w:val="3"/>
        </w:numPr>
        <w:spacing w:line="336" w:lineRule="auto"/>
        <w:rPr>
          <w:color w:val="FF0000"/>
          <w:sz w:val="24"/>
        </w:rPr>
      </w:pPr>
      <w:r>
        <w:rPr>
          <w:rFonts w:hint="eastAsia"/>
          <w:sz w:val="24"/>
        </w:rPr>
        <w:t>术语和计量单位 引用术语</w:t>
      </w:r>
      <w:r>
        <w:rPr>
          <w:rFonts w:hint="eastAsia"/>
          <w:sz w:val="24"/>
          <w:lang w:val="en-US" w:eastAsia="zh-CN"/>
        </w:rPr>
        <w:t>1</w:t>
      </w:r>
      <w:r>
        <w:rPr>
          <w:rFonts w:hint="eastAsia"/>
          <w:sz w:val="24"/>
        </w:rPr>
        <w:t>个：</w:t>
      </w:r>
      <w:r>
        <w:rPr>
          <w:rFonts w:hint="eastAsia"/>
          <w:sz w:val="24"/>
          <w:lang w:val="en-US" w:eastAsia="zh-CN"/>
        </w:rPr>
        <w:t>紫外辐射表、灵敏度、修正系数</w:t>
      </w:r>
      <w:r>
        <w:rPr>
          <w:rFonts w:hint="eastAsia"/>
          <w:sz w:val="24"/>
        </w:rPr>
        <w:t>。</w:t>
      </w:r>
    </w:p>
    <w:p w14:paraId="3CB18A8C">
      <w:pPr>
        <w:numPr>
          <w:ilvl w:val="0"/>
          <w:numId w:val="3"/>
        </w:numPr>
        <w:spacing w:line="336" w:lineRule="auto"/>
        <w:rPr>
          <w:sz w:val="24"/>
        </w:rPr>
      </w:pPr>
      <w:r>
        <w:rPr>
          <w:rFonts w:hint="eastAsia"/>
          <w:sz w:val="24"/>
        </w:rPr>
        <w:t xml:space="preserve">概述 </w:t>
      </w:r>
      <w:r>
        <w:rPr>
          <w:sz w:val="24"/>
        </w:rPr>
        <w:t xml:space="preserve"> </w:t>
      </w:r>
      <w:r>
        <w:rPr>
          <w:rFonts w:hint="eastAsia"/>
          <w:sz w:val="24"/>
        </w:rPr>
        <w:t>简要说明被校计量器具的用途和原理。</w:t>
      </w:r>
    </w:p>
    <w:p w14:paraId="38821C78">
      <w:pPr>
        <w:numPr>
          <w:ilvl w:val="0"/>
          <w:numId w:val="3"/>
        </w:numPr>
        <w:tabs>
          <w:tab w:val="left" w:pos="60"/>
          <w:tab w:val="clear" w:pos="360"/>
        </w:tabs>
        <w:adjustRightInd w:val="0"/>
        <w:spacing w:line="400" w:lineRule="exact"/>
        <w:ind w:left="420" w:leftChars="0" w:hanging="420" w:firstLineChars="0"/>
        <w:textAlignment w:val="baseline"/>
        <w:outlineLvl w:val="1"/>
        <w:rPr>
          <w:sz w:val="24"/>
        </w:rPr>
      </w:pPr>
      <w:r>
        <w:rPr>
          <w:rFonts w:hint="eastAsia"/>
          <w:sz w:val="24"/>
        </w:rPr>
        <w:t xml:space="preserve">计量特性 </w:t>
      </w:r>
      <w:r>
        <w:rPr>
          <w:sz w:val="24"/>
        </w:rPr>
        <w:t xml:space="preserve"> </w:t>
      </w:r>
      <w:r>
        <w:rPr>
          <w:rFonts w:hint="eastAsia"/>
          <w:sz w:val="24"/>
          <w:lang w:val="en-US" w:eastAsia="zh-CN"/>
        </w:rPr>
        <w:t>灵敏度与修正系数</w:t>
      </w:r>
      <w:r>
        <w:rPr>
          <w:rFonts w:hint="eastAsia"/>
          <w:sz w:val="24"/>
        </w:rPr>
        <w:t>；</w:t>
      </w:r>
      <w:r>
        <w:rPr>
          <w:rFonts w:hint="eastAsia"/>
          <w:sz w:val="24"/>
          <w:lang w:val="en-US" w:eastAsia="zh-CN"/>
        </w:rPr>
        <w:t>稳定性。</w:t>
      </w:r>
    </w:p>
    <w:p w14:paraId="2BF6A5F5">
      <w:pPr>
        <w:numPr>
          <w:ilvl w:val="0"/>
          <w:numId w:val="3"/>
        </w:numPr>
        <w:tabs>
          <w:tab w:val="left" w:pos="142"/>
          <w:tab w:val="clear" w:pos="360"/>
        </w:tabs>
        <w:spacing w:line="400" w:lineRule="exact"/>
        <w:ind w:left="-2" w:leftChars="-1" w:firstLine="2"/>
        <w:rPr>
          <w:sz w:val="24"/>
        </w:rPr>
      </w:pPr>
      <w:r>
        <w:rPr>
          <w:rFonts w:hint="eastAsia"/>
          <w:sz w:val="24"/>
        </w:rPr>
        <w:t>校准条件 规定了环境条件和</w:t>
      </w:r>
      <w:r>
        <w:rPr>
          <w:rFonts w:hint="eastAsia"/>
          <w:sz w:val="24"/>
          <w:lang w:val="en-US" w:eastAsia="zh-CN"/>
        </w:rPr>
        <w:t>校准用设备</w:t>
      </w:r>
      <w:r>
        <w:rPr>
          <w:rFonts w:hint="eastAsia"/>
          <w:sz w:val="24"/>
        </w:rPr>
        <w:t>。</w:t>
      </w:r>
    </w:p>
    <w:p w14:paraId="30496D3D">
      <w:pPr>
        <w:spacing w:line="400" w:lineRule="exact"/>
        <w:ind w:firstLine="480" w:firstLineChars="200"/>
        <w:rPr>
          <w:sz w:val="24"/>
        </w:rPr>
      </w:pPr>
      <w:r>
        <w:rPr>
          <w:rFonts w:hint="eastAsia"/>
          <w:sz w:val="24"/>
          <w:lang w:val="en-US" w:eastAsia="zh-CN"/>
        </w:rPr>
        <w:t>规定了光谱辐射计</w:t>
      </w:r>
      <w:r>
        <w:rPr>
          <w:rFonts w:hint="eastAsia"/>
          <w:sz w:val="24"/>
        </w:rPr>
        <w:t>的特性与扩展不确定度，</w:t>
      </w:r>
      <w:r>
        <w:rPr>
          <w:rFonts w:hint="eastAsia"/>
          <w:sz w:val="24"/>
          <w:lang w:val="en-US" w:eastAsia="zh-CN"/>
        </w:rPr>
        <w:t>同时</w:t>
      </w:r>
      <w:r>
        <w:rPr>
          <w:rFonts w:hint="eastAsia"/>
          <w:sz w:val="24"/>
        </w:rPr>
        <w:t>对配套设备的性能做了</w:t>
      </w:r>
      <w:r>
        <w:rPr>
          <w:rFonts w:hint="eastAsia"/>
          <w:sz w:val="24"/>
          <w:lang w:val="en-US" w:eastAsia="zh-CN"/>
        </w:rPr>
        <w:t>要求</w:t>
      </w:r>
      <w:r>
        <w:rPr>
          <w:rFonts w:hint="eastAsia"/>
          <w:sz w:val="24"/>
        </w:rPr>
        <w:t>。</w:t>
      </w:r>
    </w:p>
    <w:p w14:paraId="0BF090B5">
      <w:pPr>
        <w:numPr>
          <w:ilvl w:val="0"/>
          <w:numId w:val="3"/>
        </w:numPr>
        <w:spacing w:line="400" w:lineRule="exact"/>
        <w:rPr>
          <w:sz w:val="24"/>
        </w:rPr>
      </w:pPr>
      <w:r>
        <w:rPr>
          <w:rFonts w:hint="eastAsia"/>
          <w:sz w:val="24"/>
        </w:rPr>
        <w:t>校准项目和校准方法</w:t>
      </w:r>
    </w:p>
    <w:p w14:paraId="26EC3789">
      <w:pPr>
        <w:widowControl w:val="0"/>
        <w:numPr>
          <w:ilvl w:val="0"/>
          <w:numId w:val="0"/>
        </w:numPr>
        <w:spacing w:line="400" w:lineRule="exact"/>
        <w:ind w:leftChars="0" w:firstLine="480" w:firstLineChars="200"/>
        <w:jc w:val="both"/>
        <w:rPr>
          <w:rFonts w:hint="eastAsia" w:ascii="Times New Roman" w:hAnsi="Times New Roman" w:eastAsia="宋体" w:cs="Times New Roman"/>
          <w:kern w:val="2"/>
          <w:sz w:val="24"/>
          <w:lang w:val="en-US" w:eastAsia="zh-CN" w:bidi="ar-SA"/>
        </w:rPr>
      </w:pPr>
      <w:r>
        <w:rPr>
          <w:rFonts w:hint="eastAsia" w:ascii="Times New Roman" w:hAnsi="Times New Roman" w:eastAsia="宋体" w:cs="Times New Roman"/>
          <w:kern w:val="2"/>
          <w:sz w:val="24"/>
          <w:lang w:val="en-US" w:eastAsia="zh-CN" w:bidi="ar-SA"/>
        </w:rPr>
        <w:t>模拟电压信号输出的紫外辐射表校准项目为灵敏度。数字辐射量输出的紫外辐射表校准项目为修正系数。</w:t>
      </w:r>
    </w:p>
    <w:p w14:paraId="4F1B5D0F">
      <w:pPr>
        <w:numPr>
          <w:ilvl w:val="0"/>
          <w:numId w:val="3"/>
        </w:numPr>
        <w:spacing w:line="400" w:lineRule="exact"/>
        <w:rPr>
          <w:sz w:val="24"/>
        </w:rPr>
      </w:pPr>
      <w:r>
        <w:rPr>
          <w:rFonts w:hint="eastAsia"/>
          <w:sz w:val="24"/>
        </w:rPr>
        <w:t>校准结果</w:t>
      </w:r>
    </w:p>
    <w:p w14:paraId="67CDDD91">
      <w:pPr>
        <w:spacing w:line="400" w:lineRule="exact"/>
        <w:ind w:left="360"/>
        <w:rPr>
          <w:sz w:val="24"/>
        </w:rPr>
      </w:pPr>
      <w:r>
        <w:rPr>
          <w:rFonts w:hint="eastAsia"/>
          <w:sz w:val="24"/>
        </w:rPr>
        <w:t>校准结果应以校准证书的形式给出，对证书应至少包含的信息进行了规定。</w:t>
      </w:r>
    </w:p>
    <w:p w14:paraId="7A6DCBDC">
      <w:pPr>
        <w:numPr>
          <w:ilvl w:val="0"/>
          <w:numId w:val="3"/>
        </w:numPr>
        <w:spacing w:line="400" w:lineRule="exact"/>
        <w:rPr>
          <w:sz w:val="24"/>
        </w:rPr>
      </w:pPr>
      <w:r>
        <w:rPr>
          <w:rFonts w:hint="eastAsia"/>
          <w:sz w:val="24"/>
        </w:rPr>
        <w:t>复校时间间隔建议了</w:t>
      </w:r>
      <w:r>
        <w:rPr>
          <w:rFonts w:hint="eastAsia"/>
          <w:sz w:val="24"/>
          <w:lang w:val="en-US" w:eastAsia="zh-CN"/>
        </w:rPr>
        <w:t>宽波段紫外辐射表</w:t>
      </w:r>
      <w:r>
        <w:rPr>
          <w:rFonts w:hint="eastAsia"/>
          <w:sz w:val="24"/>
        </w:rPr>
        <w:t>的校准周期，并对其进行了说明和解释。</w:t>
      </w:r>
    </w:p>
    <w:p w14:paraId="6132BA45">
      <w:pPr>
        <w:pStyle w:val="29"/>
        <w:numPr>
          <w:ilvl w:val="0"/>
          <w:numId w:val="4"/>
        </w:numPr>
        <w:spacing w:line="336" w:lineRule="auto"/>
        <w:ind w:firstLineChars="0"/>
        <w:rPr>
          <w:sz w:val="24"/>
        </w:rPr>
      </w:pPr>
      <w:r>
        <w:rPr>
          <w:rFonts w:hint="eastAsia"/>
          <w:sz w:val="24"/>
        </w:rPr>
        <w:t>附录</w:t>
      </w:r>
    </w:p>
    <w:p w14:paraId="7220D2F0">
      <w:pPr>
        <w:spacing w:line="360" w:lineRule="auto"/>
        <w:ind w:firstLine="490"/>
        <w:rPr>
          <w:rFonts w:ascii="黑体" w:eastAsia="黑体"/>
          <w:b/>
          <w:sz w:val="24"/>
        </w:rPr>
      </w:pPr>
      <w:r>
        <w:rPr>
          <w:rFonts w:hint="eastAsia"/>
          <w:sz w:val="24"/>
        </w:rPr>
        <w:t>给出了作为参考的原始</w:t>
      </w:r>
      <w:r>
        <w:rPr>
          <w:rFonts w:hint="eastAsia"/>
          <w:sz w:val="24"/>
          <w:lang w:val="en-US" w:eastAsia="zh-CN"/>
        </w:rPr>
        <w:t>记录</w:t>
      </w:r>
      <w:r>
        <w:rPr>
          <w:rFonts w:hint="eastAsia"/>
          <w:sz w:val="24"/>
        </w:rPr>
        <w:t>格式，并对</w:t>
      </w:r>
      <w:r>
        <w:rPr>
          <w:rFonts w:hint="eastAsia"/>
          <w:sz w:val="24"/>
          <w:lang w:val="en-US" w:eastAsia="zh-CN"/>
        </w:rPr>
        <w:t>宽波段紫外辐射表</w:t>
      </w:r>
      <w:r>
        <w:rPr>
          <w:rFonts w:hint="eastAsia"/>
          <w:sz w:val="24"/>
        </w:rPr>
        <w:t>的校准结果进行了不确定度评定。</w:t>
      </w:r>
    </w:p>
    <w:p w14:paraId="0A119AA7">
      <w:pPr>
        <w:numPr>
          <w:ilvl w:val="0"/>
          <w:numId w:val="2"/>
        </w:numPr>
        <w:tabs>
          <w:tab w:val="left" w:pos="720"/>
          <w:tab w:val="clear" w:pos="917"/>
        </w:tabs>
        <w:spacing w:before="156" w:beforeLines="50" w:line="300" w:lineRule="auto"/>
        <w:ind w:left="919" w:right="23" w:hanging="919"/>
        <w:rPr>
          <w:rFonts w:eastAsia="黑体"/>
          <w:sz w:val="28"/>
        </w:rPr>
      </w:pPr>
      <w:r>
        <w:rPr>
          <w:rFonts w:hint="eastAsia" w:eastAsia="黑体"/>
          <w:sz w:val="28"/>
        </w:rPr>
        <w:t>总结</w:t>
      </w:r>
    </w:p>
    <w:p w14:paraId="6066A8C5">
      <w:pPr>
        <w:spacing w:line="360" w:lineRule="auto"/>
        <w:ind w:firstLine="490"/>
        <w:rPr>
          <w:sz w:val="24"/>
        </w:rPr>
      </w:pPr>
      <w:r>
        <w:rPr>
          <w:rFonts w:hint="eastAsia"/>
          <w:sz w:val="24"/>
        </w:rPr>
        <w:t>本校准规范适应了</w:t>
      </w:r>
      <w:r>
        <w:rPr>
          <w:rFonts w:hint="eastAsia"/>
          <w:sz w:val="24"/>
          <w:lang w:val="en-US" w:eastAsia="zh-CN"/>
        </w:rPr>
        <w:t>宽波段紫外辐射表</w:t>
      </w:r>
      <w:r>
        <w:rPr>
          <w:rFonts w:hint="eastAsia"/>
          <w:sz w:val="24"/>
        </w:rPr>
        <w:t>的发展现状与计量需求，同时进行了大量的实验，对规范中所提出的校准方法、不确定度评定进行了验证。</w:t>
      </w:r>
    </w:p>
    <w:p w14:paraId="3C1D95ED">
      <w:pPr>
        <w:spacing w:line="360" w:lineRule="auto"/>
        <w:ind w:firstLine="490"/>
        <w:rPr>
          <w:rFonts w:hint="eastAsia"/>
          <w:sz w:val="24"/>
        </w:rPr>
      </w:pPr>
    </w:p>
    <w:p w14:paraId="4AE814E9">
      <w:pPr>
        <w:spacing w:line="300" w:lineRule="auto"/>
        <w:ind w:right="21" w:firstLine="4680" w:firstLineChars="1950"/>
        <w:rPr>
          <w:color w:val="000000"/>
          <w:sz w:val="24"/>
          <w:szCs w:val="24"/>
        </w:rPr>
      </w:pPr>
      <w:r>
        <w:rPr>
          <w:rFonts w:hint="eastAsia"/>
          <w:color w:val="000000"/>
          <w:sz w:val="24"/>
          <w:szCs w:val="24"/>
        </w:rPr>
        <w:t>《</w:t>
      </w:r>
      <w:r>
        <w:rPr>
          <w:rFonts w:hint="eastAsia"/>
          <w:sz w:val="24"/>
          <w:szCs w:val="24"/>
          <w:lang w:val="en-US" w:eastAsia="zh-CN"/>
        </w:rPr>
        <w:t>宽波段紫外辐射表</w:t>
      </w:r>
      <w:r>
        <w:rPr>
          <w:rFonts w:hint="eastAsia"/>
          <w:sz w:val="24"/>
          <w:szCs w:val="24"/>
        </w:rPr>
        <w:t>校准规范</w:t>
      </w:r>
      <w:r>
        <w:rPr>
          <w:rFonts w:hint="eastAsia"/>
          <w:color w:val="000000"/>
          <w:sz w:val="24"/>
          <w:szCs w:val="24"/>
        </w:rPr>
        <w:t>》编制小组</w:t>
      </w:r>
    </w:p>
    <w:p w14:paraId="4476FC6C">
      <w:pPr>
        <w:spacing w:line="300" w:lineRule="auto"/>
        <w:ind w:right="21" w:firstLine="2400" w:firstLineChars="1000"/>
        <w:rPr>
          <w:color w:val="000000"/>
          <w:sz w:val="24"/>
          <w:szCs w:val="24"/>
        </w:rPr>
      </w:pPr>
    </w:p>
    <w:p w14:paraId="23BE838B">
      <w:pPr>
        <w:spacing w:line="300" w:lineRule="auto"/>
        <w:ind w:right="21" w:firstLine="7200" w:firstLineChars="3000"/>
        <w:rPr>
          <w:rFonts w:hint="default" w:eastAsia="宋体"/>
          <w:color w:val="000000"/>
          <w:sz w:val="24"/>
          <w:szCs w:val="24"/>
          <w:lang w:val="en-US" w:eastAsia="zh-CN"/>
        </w:rPr>
      </w:pPr>
      <w:r>
        <w:rPr>
          <w:rFonts w:hint="eastAsia"/>
          <w:color w:val="000000"/>
          <w:sz w:val="24"/>
          <w:szCs w:val="24"/>
        </w:rPr>
        <w:t>编制</w:t>
      </w:r>
      <w:r>
        <w:rPr>
          <w:color w:val="000000"/>
          <w:sz w:val="24"/>
          <w:szCs w:val="24"/>
        </w:rPr>
        <w:t>日期：202</w:t>
      </w:r>
      <w:r>
        <w:rPr>
          <w:rFonts w:hint="eastAsia"/>
          <w:color w:val="000000"/>
          <w:sz w:val="24"/>
          <w:szCs w:val="24"/>
          <w:lang w:val="en-US" w:eastAsia="zh-CN"/>
        </w:rPr>
        <w:t>6</w:t>
      </w:r>
      <w:r>
        <w:rPr>
          <w:color w:val="000000"/>
          <w:sz w:val="24"/>
          <w:szCs w:val="24"/>
        </w:rPr>
        <w:t>.</w:t>
      </w:r>
      <w:r>
        <w:rPr>
          <w:rFonts w:hint="eastAsia"/>
          <w:color w:val="000000"/>
          <w:sz w:val="24"/>
          <w:szCs w:val="24"/>
          <w:lang w:val="en-US" w:eastAsia="zh-CN"/>
        </w:rPr>
        <w:t>6</w:t>
      </w:r>
      <w:r>
        <w:rPr>
          <w:color w:val="000000"/>
          <w:sz w:val="24"/>
          <w:szCs w:val="24"/>
        </w:rPr>
        <w:t>.</w:t>
      </w:r>
      <w:r>
        <w:rPr>
          <w:rFonts w:hint="eastAsia"/>
          <w:color w:val="000000"/>
          <w:sz w:val="24"/>
          <w:szCs w:val="24"/>
          <w:lang w:val="en-US" w:eastAsia="zh-CN"/>
        </w:rPr>
        <w:t>15</w:t>
      </w:r>
    </w:p>
    <w:sectPr>
      <w:headerReference r:id="rId3" w:type="first"/>
      <w:footerReference r:id="rId4" w:type="default"/>
      <w:footerReference r:id="rId5" w:type="even"/>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D6736">
    <w:pPr>
      <w:pStyle w:val="6"/>
      <w:framePr w:wrap="around" w:vAnchor="text" w:hAnchor="margin" w:xAlign="right"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14:paraId="59BD761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87FB4">
    <w:pPr>
      <w:pStyle w:val="6"/>
      <w:framePr w:wrap="around" w:vAnchor="text" w:hAnchor="margin" w:xAlign="right" w:y="1"/>
      <w:rPr>
        <w:rStyle w:val="13"/>
      </w:rPr>
    </w:pPr>
    <w:r>
      <w:rPr>
        <w:rStyle w:val="13"/>
      </w:rPr>
      <w:fldChar w:fldCharType="begin"/>
    </w:r>
    <w:r>
      <w:rPr>
        <w:rStyle w:val="13"/>
      </w:rPr>
      <w:instrText xml:space="preserve">PAGE  </w:instrText>
    </w:r>
    <w:r>
      <w:rPr>
        <w:rStyle w:val="13"/>
      </w:rPr>
      <w:fldChar w:fldCharType="end"/>
    </w:r>
  </w:p>
  <w:p w14:paraId="30A81D32">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0FC58">
    <w:pPr>
      <w:pStyle w:val="7"/>
    </w:pPr>
    <w:r>
      <w:rPr>
        <w:rFonts w:hint="eastAsia" w:ascii="黑体"/>
      </w:rPr>
      <w:t>JJF</w:t>
    </w:r>
    <w:r>
      <w:rPr>
        <w:rFonts w:ascii="黑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422325"/>
    <w:multiLevelType w:val="singleLevel"/>
    <w:tmpl w:val="2F422325"/>
    <w:lvl w:ilvl="0" w:tentative="0">
      <w:start w:val="1"/>
      <w:numFmt w:val="japaneseCounting"/>
      <w:lvlText w:val="%1、"/>
      <w:lvlJc w:val="left"/>
      <w:pPr>
        <w:tabs>
          <w:tab w:val="left" w:pos="917"/>
        </w:tabs>
        <w:ind w:left="917" w:hanging="600"/>
      </w:pPr>
      <w:rPr>
        <w:rFonts w:hint="eastAsia"/>
      </w:rPr>
    </w:lvl>
  </w:abstractNum>
  <w:abstractNum w:abstractNumId="1">
    <w:nsid w:val="3E237BD4"/>
    <w:multiLevelType w:val="multilevel"/>
    <w:tmpl w:val="3E237BD4"/>
    <w:lvl w:ilvl="0" w:tentative="0">
      <w:start w:val="1"/>
      <w:numFmt w:val="decimal"/>
      <w:lvlText w:val="%1．"/>
      <w:lvlJc w:val="left"/>
      <w:pPr>
        <w:tabs>
          <w:tab w:val="left" w:pos="360"/>
        </w:tabs>
        <w:ind w:left="360" w:hanging="360"/>
      </w:pPr>
      <w:rPr>
        <w:color w:val="auto"/>
      </w:rPr>
    </w:lvl>
    <w:lvl w:ilvl="1" w:tentative="0">
      <w:start w:val="10"/>
      <w:numFmt w:val="decimal"/>
      <w:lvlText w:val="%2."/>
      <w:lvlJc w:val="left"/>
      <w:pPr>
        <w:tabs>
          <w:tab w:val="left" w:pos="780"/>
        </w:tabs>
        <w:ind w:left="780" w:hanging="36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CEA2025"/>
    <w:multiLevelType w:val="multilevel"/>
    <w:tmpl w:val="6CEA2025"/>
    <w:lvl w:ilvl="0" w:tentative="0">
      <w:start w:val="1"/>
      <w:numFmt w:val="none"/>
      <w:pStyle w:val="16"/>
      <w:suff w:val="nothing"/>
      <w:lvlText w:val="%1"/>
      <w:lvlJc w:val="left"/>
      <w:pPr>
        <w:ind w:left="0" w:firstLine="0"/>
      </w:pPr>
      <w:rPr>
        <w:rFonts w:hint="default" w:ascii="Times New Roman" w:hAnsi="Times New Roman"/>
        <w:b/>
        <w:i w:val="0"/>
        <w:sz w:val="21"/>
      </w:rPr>
    </w:lvl>
    <w:lvl w:ilvl="1" w:tentative="0">
      <w:start w:val="1"/>
      <w:numFmt w:val="decimal"/>
      <w:pStyle w:val="17"/>
      <w:suff w:val="nothing"/>
      <w:lvlText w:val="%1%2　"/>
      <w:lvlJc w:val="left"/>
      <w:pPr>
        <w:ind w:left="0" w:firstLine="0"/>
      </w:pPr>
      <w:rPr>
        <w:rFonts w:hint="eastAsia" w:ascii="黑体" w:hAnsi="Times New Roman" w:eastAsia="黑体"/>
        <w:b w:val="0"/>
        <w:i w:val="0"/>
        <w:sz w:val="21"/>
      </w:rPr>
    </w:lvl>
    <w:lvl w:ilvl="2" w:tentative="0">
      <w:start w:val="1"/>
      <w:numFmt w:val="decimal"/>
      <w:pStyle w:val="18"/>
      <w:suff w:val="nothing"/>
      <w:lvlText w:val="%1%2.%3　"/>
      <w:lvlJc w:val="left"/>
      <w:pPr>
        <w:ind w:left="0" w:firstLine="0"/>
      </w:pPr>
      <w:rPr>
        <w:rFonts w:hint="eastAsia" w:ascii="黑体" w:hAnsi="Times New Roman" w:eastAsia="黑体"/>
        <w:b w:val="0"/>
        <w:i w:val="0"/>
        <w:sz w:val="21"/>
      </w:rPr>
    </w:lvl>
    <w:lvl w:ilvl="3" w:tentative="0">
      <w:start w:val="1"/>
      <w:numFmt w:val="decimal"/>
      <w:pStyle w:val="19"/>
      <w:suff w:val="nothing"/>
      <w:lvlText w:val="%1%2.%3.%4　"/>
      <w:lvlJc w:val="left"/>
      <w:pPr>
        <w:ind w:left="0" w:firstLine="0"/>
      </w:pPr>
      <w:rPr>
        <w:rFonts w:hint="eastAsia" w:ascii="黑体" w:hAnsi="Times New Roman" w:eastAsia="黑体"/>
        <w:b w:val="0"/>
        <w:i w:val="0"/>
        <w:sz w:val="21"/>
      </w:rPr>
    </w:lvl>
    <w:lvl w:ilvl="4" w:tentative="0">
      <w:start w:val="1"/>
      <w:numFmt w:val="decimal"/>
      <w:pStyle w:val="20"/>
      <w:suff w:val="nothing"/>
      <w:lvlText w:val="%1%2.%3.%4.%5　"/>
      <w:lvlJc w:val="left"/>
      <w:pPr>
        <w:ind w:left="0" w:firstLine="0"/>
      </w:pPr>
      <w:rPr>
        <w:rFonts w:hint="eastAsia" w:ascii="黑体" w:hAnsi="Times New Roman" w:eastAsia="黑体"/>
        <w:b w:val="0"/>
        <w:i w:val="0"/>
        <w:sz w:val="21"/>
      </w:rPr>
    </w:lvl>
    <w:lvl w:ilvl="5" w:tentative="0">
      <w:start w:val="1"/>
      <w:numFmt w:val="decimal"/>
      <w:pStyle w:val="21"/>
      <w:suff w:val="nothing"/>
      <w:lvlText w:val="%1%2.%3.%4.%5.%6　"/>
      <w:lvlJc w:val="left"/>
      <w:pPr>
        <w:ind w:left="0" w:firstLine="0"/>
      </w:pPr>
      <w:rPr>
        <w:rFonts w:hint="eastAsia" w:ascii="黑体" w:hAnsi="Times New Roman" w:eastAsia="黑体"/>
        <w:b w:val="0"/>
        <w:i w:val="0"/>
        <w:sz w:val="21"/>
      </w:rPr>
    </w:lvl>
    <w:lvl w:ilvl="6" w:tentative="0">
      <w:start w:val="1"/>
      <w:numFmt w:val="decimal"/>
      <w:pStyle w:val="2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DAF33D7"/>
    <w:multiLevelType w:val="multilevel"/>
    <w:tmpl w:val="6DAF33D7"/>
    <w:lvl w:ilvl="0" w:tentative="0">
      <w:start w:val="10"/>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A2"/>
    <w:rsid w:val="00000F0E"/>
    <w:rsid w:val="00010CA3"/>
    <w:rsid w:val="000117CD"/>
    <w:rsid w:val="00015305"/>
    <w:rsid w:val="0002248C"/>
    <w:rsid w:val="000228B8"/>
    <w:rsid w:val="000279CA"/>
    <w:rsid w:val="000421BA"/>
    <w:rsid w:val="0004241A"/>
    <w:rsid w:val="00050223"/>
    <w:rsid w:val="00053472"/>
    <w:rsid w:val="00055496"/>
    <w:rsid w:val="00055FEB"/>
    <w:rsid w:val="0006122B"/>
    <w:rsid w:val="00062106"/>
    <w:rsid w:val="00062771"/>
    <w:rsid w:val="000655B9"/>
    <w:rsid w:val="00073494"/>
    <w:rsid w:val="00073B40"/>
    <w:rsid w:val="00075CFA"/>
    <w:rsid w:val="00084B35"/>
    <w:rsid w:val="00085DC6"/>
    <w:rsid w:val="00085F76"/>
    <w:rsid w:val="00090A52"/>
    <w:rsid w:val="000A0D6C"/>
    <w:rsid w:val="000A49FF"/>
    <w:rsid w:val="000A5A67"/>
    <w:rsid w:val="000B186C"/>
    <w:rsid w:val="000B7E97"/>
    <w:rsid w:val="000C3A3F"/>
    <w:rsid w:val="000C78B8"/>
    <w:rsid w:val="000D0340"/>
    <w:rsid w:val="000D0549"/>
    <w:rsid w:val="000D0767"/>
    <w:rsid w:val="000D4B3C"/>
    <w:rsid w:val="000D583B"/>
    <w:rsid w:val="000D5D30"/>
    <w:rsid w:val="000D6059"/>
    <w:rsid w:val="000E34C2"/>
    <w:rsid w:val="000F1DA0"/>
    <w:rsid w:val="000F23B0"/>
    <w:rsid w:val="000F4E4F"/>
    <w:rsid w:val="000F7A81"/>
    <w:rsid w:val="0010532E"/>
    <w:rsid w:val="00114569"/>
    <w:rsid w:val="00117483"/>
    <w:rsid w:val="001200C9"/>
    <w:rsid w:val="001215A3"/>
    <w:rsid w:val="001259ED"/>
    <w:rsid w:val="00133BB0"/>
    <w:rsid w:val="00134490"/>
    <w:rsid w:val="00137201"/>
    <w:rsid w:val="0015219E"/>
    <w:rsid w:val="001542EA"/>
    <w:rsid w:val="00155C70"/>
    <w:rsid w:val="00164785"/>
    <w:rsid w:val="0016598E"/>
    <w:rsid w:val="001677B1"/>
    <w:rsid w:val="001705C7"/>
    <w:rsid w:val="00175E73"/>
    <w:rsid w:val="0018000C"/>
    <w:rsid w:val="00184EA6"/>
    <w:rsid w:val="0019607E"/>
    <w:rsid w:val="001A0DFA"/>
    <w:rsid w:val="001A410A"/>
    <w:rsid w:val="001A47E5"/>
    <w:rsid w:val="001A7AFC"/>
    <w:rsid w:val="001B14D4"/>
    <w:rsid w:val="001B35C8"/>
    <w:rsid w:val="001C2B3D"/>
    <w:rsid w:val="001E01C0"/>
    <w:rsid w:val="001E2CAF"/>
    <w:rsid w:val="001E59A4"/>
    <w:rsid w:val="001E6239"/>
    <w:rsid w:val="002044E1"/>
    <w:rsid w:val="00211059"/>
    <w:rsid w:val="00214731"/>
    <w:rsid w:val="002213E3"/>
    <w:rsid w:val="002228D8"/>
    <w:rsid w:val="00234779"/>
    <w:rsid w:val="00245697"/>
    <w:rsid w:val="00247098"/>
    <w:rsid w:val="00247D1C"/>
    <w:rsid w:val="00252C27"/>
    <w:rsid w:val="00254D47"/>
    <w:rsid w:val="002665EE"/>
    <w:rsid w:val="00271C5E"/>
    <w:rsid w:val="00285D3E"/>
    <w:rsid w:val="00287C3B"/>
    <w:rsid w:val="00291686"/>
    <w:rsid w:val="0029199F"/>
    <w:rsid w:val="00292646"/>
    <w:rsid w:val="00294EA2"/>
    <w:rsid w:val="00296483"/>
    <w:rsid w:val="002A67EA"/>
    <w:rsid w:val="002B0B67"/>
    <w:rsid w:val="002B2663"/>
    <w:rsid w:val="002B29DD"/>
    <w:rsid w:val="002B5517"/>
    <w:rsid w:val="002B613C"/>
    <w:rsid w:val="002B6D38"/>
    <w:rsid w:val="002C018A"/>
    <w:rsid w:val="002C28AC"/>
    <w:rsid w:val="002C2F0C"/>
    <w:rsid w:val="002D43A3"/>
    <w:rsid w:val="002E64CF"/>
    <w:rsid w:val="002F3C72"/>
    <w:rsid w:val="002F73CC"/>
    <w:rsid w:val="002F7AD5"/>
    <w:rsid w:val="00311B27"/>
    <w:rsid w:val="003141CA"/>
    <w:rsid w:val="00316CD3"/>
    <w:rsid w:val="00321B48"/>
    <w:rsid w:val="00323EB9"/>
    <w:rsid w:val="003340F3"/>
    <w:rsid w:val="00335869"/>
    <w:rsid w:val="00342A56"/>
    <w:rsid w:val="00344BB6"/>
    <w:rsid w:val="00345F45"/>
    <w:rsid w:val="00352B3B"/>
    <w:rsid w:val="00355886"/>
    <w:rsid w:val="00355E44"/>
    <w:rsid w:val="00361FCA"/>
    <w:rsid w:val="0036293A"/>
    <w:rsid w:val="00362B6F"/>
    <w:rsid w:val="003703A0"/>
    <w:rsid w:val="00371443"/>
    <w:rsid w:val="003715E2"/>
    <w:rsid w:val="0037604E"/>
    <w:rsid w:val="00377D0C"/>
    <w:rsid w:val="0038677F"/>
    <w:rsid w:val="0039261F"/>
    <w:rsid w:val="003A7B31"/>
    <w:rsid w:val="003C5A69"/>
    <w:rsid w:val="003D76D9"/>
    <w:rsid w:val="003E0E12"/>
    <w:rsid w:val="003E1611"/>
    <w:rsid w:val="003F506E"/>
    <w:rsid w:val="00403C93"/>
    <w:rsid w:val="00405E54"/>
    <w:rsid w:val="00411B9F"/>
    <w:rsid w:val="00412492"/>
    <w:rsid w:val="00422D84"/>
    <w:rsid w:val="00427318"/>
    <w:rsid w:val="004360E9"/>
    <w:rsid w:val="00447B5F"/>
    <w:rsid w:val="00453359"/>
    <w:rsid w:val="00457167"/>
    <w:rsid w:val="004571E7"/>
    <w:rsid w:val="00460ED3"/>
    <w:rsid w:val="0046689B"/>
    <w:rsid w:val="00466D3F"/>
    <w:rsid w:val="00467E60"/>
    <w:rsid w:val="00472469"/>
    <w:rsid w:val="00472F7F"/>
    <w:rsid w:val="00474462"/>
    <w:rsid w:val="00475D69"/>
    <w:rsid w:val="00476030"/>
    <w:rsid w:val="0047792C"/>
    <w:rsid w:val="00490AD7"/>
    <w:rsid w:val="00491A32"/>
    <w:rsid w:val="00492203"/>
    <w:rsid w:val="00492767"/>
    <w:rsid w:val="004A19D8"/>
    <w:rsid w:val="004A1E42"/>
    <w:rsid w:val="004A2DF7"/>
    <w:rsid w:val="004A41E9"/>
    <w:rsid w:val="004A55F4"/>
    <w:rsid w:val="004A5AD6"/>
    <w:rsid w:val="004A60F1"/>
    <w:rsid w:val="004A67E2"/>
    <w:rsid w:val="004A76E3"/>
    <w:rsid w:val="004B39AC"/>
    <w:rsid w:val="004C5B7E"/>
    <w:rsid w:val="004C6159"/>
    <w:rsid w:val="004C7864"/>
    <w:rsid w:val="004C7DD5"/>
    <w:rsid w:val="004D0E21"/>
    <w:rsid w:val="004D22FD"/>
    <w:rsid w:val="004D41C1"/>
    <w:rsid w:val="004E04DD"/>
    <w:rsid w:val="004E5538"/>
    <w:rsid w:val="004E5844"/>
    <w:rsid w:val="00502CD6"/>
    <w:rsid w:val="005051AA"/>
    <w:rsid w:val="00505720"/>
    <w:rsid w:val="00506BE6"/>
    <w:rsid w:val="00510344"/>
    <w:rsid w:val="00515992"/>
    <w:rsid w:val="00522D3F"/>
    <w:rsid w:val="00526032"/>
    <w:rsid w:val="00527868"/>
    <w:rsid w:val="00540CD8"/>
    <w:rsid w:val="00541865"/>
    <w:rsid w:val="005435FB"/>
    <w:rsid w:val="0055442C"/>
    <w:rsid w:val="00557CDF"/>
    <w:rsid w:val="00562032"/>
    <w:rsid w:val="0057728D"/>
    <w:rsid w:val="005774B6"/>
    <w:rsid w:val="005851A6"/>
    <w:rsid w:val="00585473"/>
    <w:rsid w:val="005854F7"/>
    <w:rsid w:val="00592A64"/>
    <w:rsid w:val="00597571"/>
    <w:rsid w:val="005A0320"/>
    <w:rsid w:val="005A09B9"/>
    <w:rsid w:val="005A765B"/>
    <w:rsid w:val="005B4C98"/>
    <w:rsid w:val="005B650C"/>
    <w:rsid w:val="005B6662"/>
    <w:rsid w:val="005C5B31"/>
    <w:rsid w:val="005C6FD2"/>
    <w:rsid w:val="005D1216"/>
    <w:rsid w:val="005D1E84"/>
    <w:rsid w:val="005D21E5"/>
    <w:rsid w:val="005D6E0B"/>
    <w:rsid w:val="005E1C1D"/>
    <w:rsid w:val="005E2D91"/>
    <w:rsid w:val="005E5EFE"/>
    <w:rsid w:val="006119BA"/>
    <w:rsid w:val="00611F9C"/>
    <w:rsid w:val="00612D49"/>
    <w:rsid w:val="00617ACF"/>
    <w:rsid w:val="00620980"/>
    <w:rsid w:val="006219C1"/>
    <w:rsid w:val="00630D39"/>
    <w:rsid w:val="00633DE9"/>
    <w:rsid w:val="00636B4B"/>
    <w:rsid w:val="00637C64"/>
    <w:rsid w:val="00640F22"/>
    <w:rsid w:val="00641C31"/>
    <w:rsid w:val="00651834"/>
    <w:rsid w:val="0066050B"/>
    <w:rsid w:val="00660C00"/>
    <w:rsid w:val="00662881"/>
    <w:rsid w:val="00665A77"/>
    <w:rsid w:val="00667A9D"/>
    <w:rsid w:val="00670529"/>
    <w:rsid w:val="00673BC1"/>
    <w:rsid w:val="006912A3"/>
    <w:rsid w:val="00693DC8"/>
    <w:rsid w:val="00697775"/>
    <w:rsid w:val="00697C6B"/>
    <w:rsid w:val="00697E4D"/>
    <w:rsid w:val="00697E6D"/>
    <w:rsid w:val="006A4A85"/>
    <w:rsid w:val="006A5B0D"/>
    <w:rsid w:val="006C3626"/>
    <w:rsid w:val="006C5E01"/>
    <w:rsid w:val="006D224A"/>
    <w:rsid w:val="006D3961"/>
    <w:rsid w:val="006E0C8B"/>
    <w:rsid w:val="006E39E9"/>
    <w:rsid w:val="006E504C"/>
    <w:rsid w:val="006E7AD7"/>
    <w:rsid w:val="006F1C6D"/>
    <w:rsid w:val="006F62EB"/>
    <w:rsid w:val="00702EC5"/>
    <w:rsid w:val="007032CF"/>
    <w:rsid w:val="00715B32"/>
    <w:rsid w:val="00717425"/>
    <w:rsid w:val="00727706"/>
    <w:rsid w:val="00743BE1"/>
    <w:rsid w:val="00743DEE"/>
    <w:rsid w:val="00744394"/>
    <w:rsid w:val="00745120"/>
    <w:rsid w:val="00745928"/>
    <w:rsid w:val="00756F2F"/>
    <w:rsid w:val="00767E2C"/>
    <w:rsid w:val="007727B6"/>
    <w:rsid w:val="00775351"/>
    <w:rsid w:val="00775C76"/>
    <w:rsid w:val="007826C8"/>
    <w:rsid w:val="007827AD"/>
    <w:rsid w:val="007851F2"/>
    <w:rsid w:val="0079005B"/>
    <w:rsid w:val="007927A5"/>
    <w:rsid w:val="007A1E5F"/>
    <w:rsid w:val="007B7289"/>
    <w:rsid w:val="007C5F7F"/>
    <w:rsid w:val="007C6898"/>
    <w:rsid w:val="007D08EE"/>
    <w:rsid w:val="007D6F6A"/>
    <w:rsid w:val="007E4075"/>
    <w:rsid w:val="007F480A"/>
    <w:rsid w:val="008001A1"/>
    <w:rsid w:val="008125E8"/>
    <w:rsid w:val="008168E4"/>
    <w:rsid w:val="008219C1"/>
    <w:rsid w:val="008244C0"/>
    <w:rsid w:val="008313A2"/>
    <w:rsid w:val="0084026C"/>
    <w:rsid w:val="00843DE6"/>
    <w:rsid w:val="0084785D"/>
    <w:rsid w:val="00847D82"/>
    <w:rsid w:val="00847D9A"/>
    <w:rsid w:val="008626B2"/>
    <w:rsid w:val="0086549D"/>
    <w:rsid w:val="00870E49"/>
    <w:rsid w:val="008717AA"/>
    <w:rsid w:val="008734DD"/>
    <w:rsid w:val="00875D5F"/>
    <w:rsid w:val="00886345"/>
    <w:rsid w:val="00887E50"/>
    <w:rsid w:val="00890BD7"/>
    <w:rsid w:val="00891FBE"/>
    <w:rsid w:val="0089610D"/>
    <w:rsid w:val="00897D7E"/>
    <w:rsid w:val="008A0E34"/>
    <w:rsid w:val="008A217A"/>
    <w:rsid w:val="008B22B5"/>
    <w:rsid w:val="008B5D41"/>
    <w:rsid w:val="008C3A9E"/>
    <w:rsid w:val="008C54A7"/>
    <w:rsid w:val="008C5D28"/>
    <w:rsid w:val="008C6951"/>
    <w:rsid w:val="008D0352"/>
    <w:rsid w:val="008D79B3"/>
    <w:rsid w:val="008E63D6"/>
    <w:rsid w:val="008E7412"/>
    <w:rsid w:val="008F51C0"/>
    <w:rsid w:val="0090073A"/>
    <w:rsid w:val="009016FF"/>
    <w:rsid w:val="00902125"/>
    <w:rsid w:val="00902179"/>
    <w:rsid w:val="009027C8"/>
    <w:rsid w:val="00902E2D"/>
    <w:rsid w:val="0090540B"/>
    <w:rsid w:val="00912E16"/>
    <w:rsid w:val="00914F48"/>
    <w:rsid w:val="00915F84"/>
    <w:rsid w:val="00916E8D"/>
    <w:rsid w:val="00917634"/>
    <w:rsid w:val="00922B9D"/>
    <w:rsid w:val="00931138"/>
    <w:rsid w:val="00931B1C"/>
    <w:rsid w:val="00931B21"/>
    <w:rsid w:val="00935596"/>
    <w:rsid w:val="00942E5C"/>
    <w:rsid w:val="00943283"/>
    <w:rsid w:val="00944E77"/>
    <w:rsid w:val="009455F4"/>
    <w:rsid w:val="00945655"/>
    <w:rsid w:val="00955B1D"/>
    <w:rsid w:val="00957CEE"/>
    <w:rsid w:val="00962D51"/>
    <w:rsid w:val="009646F7"/>
    <w:rsid w:val="00973840"/>
    <w:rsid w:val="00973E14"/>
    <w:rsid w:val="00975034"/>
    <w:rsid w:val="00977BCA"/>
    <w:rsid w:val="009862E5"/>
    <w:rsid w:val="00990121"/>
    <w:rsid w:val="009920EA"/>
    <w:rsid w:val="0099304A"/>
    <w:rsid w:val="00997999"/>
    <w:rsid w:val="009A5922"/>
    <w:rsid w:val="009A5BC3"/>
    <w:rsid w:val="009A6E66"/>
    <w:rsid w:val="009B2586"/>
    <w:rsid w:val="009B3E49"/>
    <w:rsid w:val="009C001E"/>
    <w:rsid w:val="009C3E7C"/>
    <w:rsid w:val="009C7B8E"/>
    <w:rsid w:val="009D1228"/>
    <w:rsid w:val="009D1FA6"/>
    <w:rsid w:val="009D544F"/>
    <w:rsid w:val="009D6B3A"/>
    <w:rsid w:val="009E3E7B"/>
    <w:rsid w:val="009E49B2"/>
    <w:rsid w:val="009E4CCB"/>
    <w:rsid w:val="00A0060E"/>
    <w:rsid w:val="00A01057"/>
    <w:rsid w:val="00A152A4"/>
    <w:rsid w:val="00A1603F"/>
    <w:rsid w:val="00A21261"/>
    <w:rsid w:val="00A31AAB"/>
    <w:rsid w:val="00A46731"/>
    <w:rsid w:val="00A46FA5"/>
    <w:rsid w:val="00A6011C"/>
    <w:rsid w:val="00A608F2"/>
    <w:rsid w:val="00A63D37"/>
    <w:rsid w:val="00A63E91"/>
    <w:rsid w:val="00A66B0E"/>
    <w:rsid w:val="00A71C0B"/>
    <w:rsid w:val="00A72ED2"/>
    <w:rsid w:val="00A740D0"/>
    <w:rsid w:val="00A84367"/>
    <w:rsid w:val="00A85D38"/>
    <w:rsid w:val="00A87A51"/>
    <w:rsid w:val="00A91685"/>
    <w:rsid w:val="00AA10CD"/>
    <w:rsid w:val="00AA3B87"/>
    <w:rsid w:val="00AA6D0F"/>
    <w:rsid w:val="00AB01C8"/>
    <w:rsid w:val="00AC1E5D"/>
    <w:rsid w:val="00AD1552"/>
    <w:rsid w:val="00AD5460"/>
    <w:rsid w:val="00AD6F47"/>
    <w:rsid w:val="00AF15F7"/>
    <w:rsid w:val="00AF3D83"/>
    <w:rsid w:val="00B032F4"/>
    <w:rsid w:val="00B03C5B"/>
    <w:rsid w:val="00B1552E"/>
    <w:rsid w:val="00B250CF"/>
    <w:rsid w:val="00B31348"/>
    <w:rsid w:val="00B34ED1"/>
    <w:rsid w:val="00B41938"/>
    <w:rsid w:val="00B439B5"/>
    <w:rsid w:val="00B45569"/>
    <w:rsid w:val="00B45C37"/>
    <w:rsid w:val="00B461EB"/>
    <w:rsid w:val="00B50F94"/>
    <w:rsid w:val="00B5520B"/>
    <w:rsid w:val="00B62955"/>
    <w:rsid w:val="00B70D38"/>
    <w:rsid w:val="00B72031"/>
    <w:rsid w:val="00B773DD"/>
    <w:rsid w:val="00B7778A"/>
    <w:rsid w:val="00B77E55"/>
    <w:rsid w:val="00B77F89"/>
    <w:rsid w:val="00B80C73"/>
    <w:rsid w:val="00B8445F"/>
    <w:rsid w:val="00B85344"/>
    <w:rsid w:val="00B8696C"/>
    <w:rsid w:val="00B878BA"/>
    <w:rsid w:val="00B91526"/>
    <w:rsid w:val="00B96657"/>
    <w:rsid w:val="00B9670E"/>
    <w:rsid w:val="00BB6248"/>
    <w:rsid w:val="00BC42F4"/>
    <w:rsid w:val="00BD414C"/>
    <w:rsid w:val="00C0783F"/>
    <w:rsid w:val="00C14FF4"/>
    <w:rsid w:val="00C15DEE"/>
    <w:rsid w:val="00C21ABF"/>
    <w:rsid w:val="00C227F6"/>
    <w:rsid w:val="00C2424C"/>
    <w:rsid w:val="00C27A89"/>
    <w:rsid w:val="00C27D2A"/>
    <w:rsid w:val="00C30636"/>
    <w:rsid w:val="00C33CFD"/>
    <w:rsid w:val="00C36C40"/>
    <w:rsid w:val="00C37AE1"/>
    <w:rsid w:val="00C37C79"/>
    <w:rsid w:val="00C46132"/>
    <w:rsid w:val="00C46EA9"/>
    <w:rsid w:val="00C47283"/>
    <w:rsid w:val="00C50EF0"/>
    <w:rsid w:val="00C52F94"/>
    <w:rsid w:val="00C541EB"/>
    <w:rsid w:val="00C55D29"/>
    <w:rsid w:val="00C568C7"/>
    <w:rsid w:val="00C72274"/>
    <w:rsid w:val="00C734DE"/>
    <w:rsid w:val="00C7549F"/>
    <w:rsid w:val="00C76061"/>
    <w:rsid w:val="00C76192"/>
    <w:rsid w:val="00C80E68"/>
    <w:rsid w:val="00CA02F3"/>
    <w:rsid w:val="00CA392E"/>
    <w:rsid w:val="00CA4420"/>
    <w:rsid w:val="00CA4CFD"/>
    <w:rsid w:val="00CC1242"/>
    <w:rsid w:val="00CC2951"/>
    <w:rsid w:val="00CD5042"/>
    <w:rsid w:val="00D0450B"/>
    <w:rsid w:val="00D04C84"/>
    <w:rsid w:val="00D05167"/>
    <w:rsid w:val="00D05E22"/>
    <w:rsid w:val="00D10881"/>
    <w:rsid w:val="00D173A0"/>
    <w:rsid w:val="00D209F6"/>
    <w:rsid w:val="00D23801"/>
    <w:rsid w:val="00D23947"/>
    <w:rsid w:val="00D23CF6"/>
    <w:rsid w:val="00D42D9A"/>
    <w:rsid w:val="00D50C7F"/>
    <w:rsid w:val="00D61448"/>
    <w:rsid w:val="00D6298B"/>
    <w:rsid w:val="00D64302"/>
    <w:rsid w:val="00D64352"/>
    <w:rsid w:val="00D66BAF"/>
    <w:rsid w:val="00D67125"/>
    <w:rsid w:val="00D6752E"/>
    <w:rsid w:val="00D72083"/>
    <w:rsid w:val="00D725B1"/>
    <w:rsid w:val="00D768DC"/>
    <w:rsid w:val="00D83007"/>
    <w:rsid w:val="00D959DF"/>
    <w:rsid w:val="00D96BB7"/>
    <w:rsid w:val="00DA28DE"/>
    <w:rsid w:val="00DA4758"/>
    <w:rsid w:val="00DC0085"/>
    <w:rsid w:val="00DC4DE4"/>
    <w:rsid w:val="00DD2C60"/>
    <w:rsid w:val="00DD4305"/>
    <w:rsid w:val="00DD52D7"/>
    <w:rsid w:val="00DD7CD1"/>
    <w:rsid w:val="00DF438D"/>
    <w:rsid w:val="00DF4861"/>
    <w:rsid w:val="00DF76CB"/>
    <w:rsid w:val="00E02562"/>
    <w:rsid w:val="00E03D3D"/>
    <w:rsid w:val="00E05777"/>
    <w:rsid w:val="00E11598"/>
    <w:rsid w:val="00E13F18"/>
    <w:rsid w:val="00E1427B"/>
    <w:rsid w:val="00E15DAF"/>
    <w:rsid w:val="00E161B2"/>
    <w:rsid w:val="00E167BF"/>
    <w:rsid w:val="00E35A9F"/>
    <w:rsid w:val="00E35B23"/>
    <w:rsid w:val="00E36289"/>
    <w:rsid w:val="00E40DEB"/>
    <w:rsid w:val="00E44775"/>
    <w:rsid w:val="00E468E3"/>
    <w:rsid w:val="00E60D6C"/>
    <w:rsid w:val="00E65D68"/>
    <w:rsid w:val="00E66A7B"/>
    <w:rsid w:val="00E71999"/>
    <w:rsid w:val="00E72599"/>
    <w:rsid w:val="00E854F0"/>
    <w:rsid w:val="00E85909"/>
    <w:rsid w:val="00E8602A"/>
    <w:rsid w:val="00E8745B"/>
    <w:rsid w:val="00E96935"/>
    <w:rsid w:val="00EA1D9C"/>
    <w:rsid w:val="00EA2B94"/>
    <w:rsid w:val="00EB78E3"/>
    <w:rsid w:val="00ED2D2E"/>
    <w:rsid w:val="00ED3D1F"/>
    <w:rsid w:val="00ED43D5"/>
    <w:rsid w:val="00ED5A85"/>
    <w:rsid w:val="00ED6F60"/>
    <w:rsid w:val="00EE1200"/>
    <w:rsid w:val="00EF5978"/>
    <w:rsid w:val="00F040D2"/>
    <w:rsid w:val="00F07834"/>
    <w:rsid w:val="00F12469"/>
    <w:rsid w:val="00F124E6"/>
    <w:rsid w:val="00F12DA1"/>
    <w:rsid w:val="00F15A42"/>
    <w:rsid w:val="00F24302"/>
    <w:rsid w:val="00F27FDD"/>
    <w:rsid w:val="00F33075"/>
    <w:rsid w:val="00F3780B"/>
    <w:rsid w:val="00F404DC"/>
    <w:rsid w:val="00F42FE5"/>
    <w:rsid w:val="00F45EFC"/>
    <w:rsid w:val="00F46BC1"/>
    <w:rsid w:val="00F51F86"/>
    <w:rsid w:val="00F525E6"/>
    <w:rsid w:val="00F538DC"/>
    <w:rsid w:val="00F53E48"/>
    <w:rsid w:val="00F60FD6"/>
    <w:rsid w:val="00F61926"/>
    <w:rsid w:val="00F67FE1"/>
    <w:rsid w:val="00F70DFB"/>
    <w:rsid w:val="00F74D2B"/>
    <w:rsid w:val="00F816C2"/>
    <w:rsid w:val="00FC16B7"/>
    <w:rsid w:val="00FC24E3"/>
    <w:rsid w:val="00FC28AD"/>
    <w:rsid w:val="00FC45C9"/>
    <w:rsid w:val="00FC79E9"/>
    <w:rsid w:val="00FC7A46"/>
    <w:rsid w:val="00FD3723"/>
    <w:rsid w:val="00FE07FE"/>
    <w:rsid w:val="00FE1EA4"/>
    <w:rsid w:val="00FE58AB"/>
    <w:rsid w:val="00FE7583"/>
    <w:rsid w:val="00FF36AA"/>
    <w:rsid w:val="033B4DFD"/>
    <w:rsid w:val="040F7D59"/>
    <w:rsid w:val="04774468"/>
    <w:rsid w:val="04F03C97"/>
    <w:rsid w:val="11240E99"/>
    <w:rsid w:val="1E982F7E"/>
    <w:rsid w:val="249F7E9E"/>
    <w:rsid w:val="25D30D3F"/>
    <w:rsid w:val="2A2008A8"/>
    <w:rsid w:val="2F5C7FF7"/>
    <w:rsid w:val="313E04A4"/>
    <w:rsid w:val="31FE2134"/>
    <w:rsid w:val="364C18DB"/>
    <w:rsid w:val="37500442"/>
    <w:rsid w:val="3F6E5909"/>
    <w:rsid w:val="42A95426"/>
    <w:rsid w:val="43713C1A"/>
    <w:rsid w:val="465A0995"/>
    <w:rsid w:val="4FBA4425"/>
    <w:rsid w:val="5A82412A"/>
    <w:rsid w:val="5BB34633"/>
    <w:rsid w:val="60912421"/>
    <w:rsid w:val="633C6388"/>
    <w:rsid w:val="68190258"/>
    <w:rsid w:val="69AE21EE"/>
    <w:rsid w:val="6E1C0BA4"/>
    <w:rsid w:val="6F6F5442"/>
    <w:rsid w:val="733A1083"/>
    <w:rsid w:val="75687157"/>
    <w:rsid w:val="78900F2E"/>
    <w:rsid w:val="79F20B92"/>
    <w:rsid w:val="7D5C1627"/>
    <w:rsid w:val="7F385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link w:val="26"/>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spacing w:line="440" w:lineRule="exact"/>
      <w:ind w:right="21"/>
    </w:pPr>
    <w:rPr>
      <w:rFonts w:ascii="宋体"/>
      <w:b/>
      <w:sz w:val="24"/>
    </w:rPr>
  </w:style>
  <w:style w:type="paragraph" w:styleId="4">
    <w:name w:val="Body Text Indent"/>
    <w:basedOn w:val="1"/>
    <w:link w:val="23"/>
    <w:qFormat/>
    <w:uiPriority w:val="0"/>
    <w:pPr>
      <w:spacing w:after="120"/>
      <w:ind w:left="420" w:leftChars="200"/>
    </w:pPr>
  </w:style>
  <w:style w:type="paragraph" w:styleId="5">
    <w:name w:val="Body Text Indent 2"/>
    <w:basedOn w:val="1"/>
    <w:link w:val="24"/>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Body Text Indent 3"/>
    <w:basedOn w:val="1"/>
    <w:link w:val="28"/>
    <w:semiHidden/>
    <w:unhideWhenUsed/>
    <w:qFormat/>
    <w:uiPriority w:val="0"/>
    <w:pPr>
      <w:spacing w:after="120"/>
      <w:ind w:left="420" w:leftChars="200"/>
    </w:pPr>
    <w:rPr>
      <w:sz w:val="16"/>
      <w:szCs w:val="16"/>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styleId="14">
    <w:name w:val="Emphasis"/>
    <w:basedOn w:val="11"/>
    <w:qFormat/>
    <w:uiPriority w:val="20"/>
    <w:rPr>
      <w:i/>
      <w:iCs/>
    </w:rPr>
  </w:style>
  <w:style w:type="character" w:styleId="15">
    <w:name w:val="Hyperlink"/>
    <w:basedOn w:val="11"/>
    <w:unhideWhenUsed/>
    <w:qFormat/>
    <w:uiPriority w:val="99"/>
    <w:rPr>
      <w:color w:val="0000FF"/>
      <w:u w:val="single"/>
    </w:rPr>
  </w:style>
  <w:style w:type="paragraph" w:customStyle="1" w:styleId="16">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7">
    <w:name w:val="章标题"/>
    <w:next w:val="1"/>
    <w:qFormat/>
    <w:uiPriority w:val="0"/>
    <w:pPr>
      <w:numPr>
        <w:ilvl w:val="1"/>
        <w:numId w:val="1"/>
      </w:numPr>
      <w:spacing w:before="50" w:after="50"/>
      <w:jc w:val="both"/>
      <w:outlineLvl w:val="1"/>
    </w:pPr>
    <w:rPr>
      <w:rFonts w:ascii="黑体" w:hAnsi="Times New Roman" w:eastAsia="黑体" w:cs="Times New Roman"/>
      <w:sz w:val="21"/>
      <w:lang w:val="en-US" w:eastAsia="zh-CN" w:bidi="ar-SA"/>
    </w:rPr>
  </w:style>
  <w:style w:type="paragraph" w:customStyle="1" w:styleId="18">
    <w:name w:val="一级条标题"/>
    <w:basedOn w:val="17"/>
    <w:next w:val="1"/>
    <w:qFormat/>
    <w:uiPriority w:val="0"/>
    <w:pPr>
      <w:numPr>
        <w:ilvl w:val="2"/>
      </w:numPr>
      <w:tabs>
        <w:tab w:val="left" w:pos="360"/>
      </w:tabs>
      <w:spacing w:before="0" w:after="0"/>
      <w:outlineLvl w:val="2"/>
    </w:pPr>
  </w:style>
  <w:style w:type="paragraph" w:customStyle="1" w:styleId="19">
    <w:name w:val="二级条标题"/>
    <w:basedOn w:val="18"/>
    <w:next w:val="1"/>
    <w:qFormat/>
    <w:uiPriority w:val="0"/>
    <w:pPr>
      <w:numPr>
        <w:ilvl w:val="3"/>
      </w:numPr>
      <w:outlineLvl w:val="3"/>
    </w:pPr>
  </w:style>
  <w:style w:type="paragraph" w:customStyle="1" w:styleId="20">
    <w:name w:val="三级条标题"/>
    <w:basedOn w:val="19"/>
    <w:next w:val="1"/>
    <w:qFormat/>
    <w:uiPriority w:val="0"/>
    <w:pPr>
      <w:numPr>
        <w:ilvl w:val="4"/>
      </w:numPr>
      <w:outlineLvl w:val="4"/>
    </w:pPr>
  </w:style>
  <w:style w:type="paragraph" w:customStyle="1" w:styleId="21">
    <w:name w:val="四级条标题"/>
    <w:basedOn w:val="20"/>
    <w:next w:val="1"/>
    <w:qFormat/>
    <w:uiPriority w:val="0"/>
    <w:pPr>
      <w:numPr>
        <w:ilvl w:val="5"/>
      </w:numPr>
      <w:outlineLvl w:val="5"/>
    </w:pPr>
  </w:style>
  <w:style w:type="paragraph" w:customStyle="1" w:styleId="22">
    <w:name w:val="五级条标题"/>
    <w:basedOn w:val="21"/>
    <w:next w:val="1"/>
    <w:qFormat/>
    <w:uiPriority w:val="0"/>
    <w:pPr>
      <w:numPr>
        <w:ilvl w:val="6"/>
      </w:numPr>
      <w:outlineLvl w:val="6"/>
    </w:pPr>
  </w:style>
  <w:style w:type="character" w:customStyle="1" w:styleId="23">
    <w:name w:val="正文文本缩进 字符"/>
    <w:basedOn w:val="11"/>
    <w:link w:val="4"/>
    <w:qFormat/>
    <w:uiPriority w:val="0"/>
    <w:rPr>
      <w:kern w:val="2"/>
      <w:sz w:val="21"/>
    </w:rPr>
  </w:style>
  <w:style w:type="character" w:customStyle="1" w:styleId="24">
    <w:name w:val="正文文本缩进 2 字符"/>
    <w:basedOn w:val="11"/>
    <w:link w:val="5"/>
    <w:qFormat/>
    <w:uiPriority w:val="0"/>
    <w:rPr>
      <w:kern w:val="2"/>
      <w:sz w:val="21"/>
    </w:rPr>
  </w:style>
  <w:style w:type="character" w:customStyle="1" w:styleId="25">
    <w:name w:val="card"/>
    <w:basedOn w:val="11"/>
    <w:qFormat/>
    <w:uiPriority w:val="0"/>
  </w:style>
  <w:style w:type="character" w:customStyle="1" w:styleId="26">
    <w:name w:val="标题 3 字符"/>
    <w:basedOn w:val="11"/>
    <w:link w:val="2"/>
    <w:qFormat/>
    <w:uiPriority w:val="9"/>
    <w:rPr>
      <w:rFonts w:ascii="宋体" w:hAnsi="宋体" w:cs="宋体"/>
      <w:b/>
      <w:bCs/>
      <w:sz w:val="27"/>
      <w:szCs w:val="27"/>
    </w:rPr>
  </w:style>
  <w:style w:type="paragraph" w:customStyle="1" w:styleId="2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8">
    <w:name w:val="正文文本缩进 3 字符"/>
    <w:basedOn w:val="11"/>
    <w:link w:val="8"/>
    <w:semiHidden/>
    <w:qFormat/>
    <w:uiPriority w:val="0"/>
    <w:rPr>
      <w:kern w:val="2"/>
      <w:sz w:val="16"/>
      <w:szCs w:val="16"/>
    </w:rPr>
  </w:style>
  <w:style w:type="paragraph"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 </Company>
  <Pages>3</Pages>
  <Words>1562</Words>
  <Characters>1634</Characters>
  <Lines>12</Lines>
  <Paragraphs>3</Paragraphs>
  <TotalTime>0</TotalTime>
  <ScaleCrop>false</ScaleCrop>
  <LinksUpToDate>false</LinksUpToDate>
  <CharactersWithSpaces>1678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2018-02-25T14:48:00Z</dcterms:created>
  <dc:creator>xiao</dc:creator>
  <cp:lastModifiedBy>丁蕾</cp:lastModifiedBy>
  <cp:lastPrinted>2006-08-25T02:17:00Z</cp:lastPrinted>
  <dcterms:modified xsi:type="dcterms:W3CDTF">2026-08-21T06:56:52Z</dcterms:modified>
  <dc:title>编写说明</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eyJoZGlkIjoiMTkyNDY4NzlmY2M1NjNjOWE1ODUzY2VhNTI5NWMzZDAiLCJ1c2VySWQiOiI0MzU4OTg5NjYifQ==</vt:lpwstr>
  </property>
  <property fmtid="{D5CDD505-2E9C-101B-9397-08002B2CF9AE}" pid="3" name="KSOProductBuildVer">
    <vt:lpwstr>2052-12.1.0.28043</vt:lpwstr>
  </property>
  <property fmtid="{D5CDD505-2E9C-101B-9397-08002B2CF9AE}" pid="4" name="ICV">
    <vt:lpwstr>3C0AE544904D44279B29CFEE46AD535E_12</vt:lpwstr>
  </property>
</Properties>
</file>