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26194" w14:textId="77777777" w:rsidR="00F6437D" w:rsidRDefault="00000000" w:rsidP="000B564A">
      <w:pPr>
        <w:spacing w:before="2600" w:after="600"/>
        <w:jc w:val="center"/>
      </w:pPr>
      <w:r>
        <w:rPr>
          <w:rFonts w:eastAsia="宋体"/>
          <w:b/>
          <w:bCs/>
          <w:sz w:val="44"/>
          <w:szCs w:val="44"/>
        </w:rPr>
        <w:t>电动汽车供电设备型式评价大纲</w:t>
      </w:r>
    </w:p>
    <w:p w14:paraId="40D66C2B" w14:textId="77777777" w:rsidR="00F6437D" w:rsidRDefault="00000000" w:rsidP="000B564A">
      <w:pPr>
        <w:spacing w:after="3600"/>
        <w:jc w:val="center"/>
      </w:pPr>
      <w:proofErr w:type="gramStart"/>
      <w:r>
        <w:rPr>
          <w:rFonts w:eastAsia="宋体"/>
          <w:b/>
          <w:bCs/>
          <w:sz w:val="60"/>
          <w:szCs w:val="60"/>
        </w:rPr>
        <w:t>编</w:t>
      </w:r>
      <w:r>
        <w:rPr>
          <w:rFonts w:eastAsia="宋体"/>
          <w:b/>
          <w:bCs/>
          <w:sz w:val="60"/>
          <w:szCs w:val="60"/>
        </w:rPr>
        <w:t xml:space="preserve">  </w:t>
      </w:r>
      <w:r>
        <w:rPr>
          <w:rFonts w:eastAsia="宋体"/>
          <w:b/>
          <w:bCs/>
          <w:sz w:val="60"/>
          <w:szCs w:val="60"/>
        </w:rPr>
        <w:t>制</w:t>
      </w:r>
      <w:proofErr w:type="gramEnd"/>
      <w:r>
        <w:rPr>
          <w:rFonts w:eastAsia="宋体"/>
          <w:b/>
          <w:bCs/>
          <w:sz w:val="60"/>
          <w:szCs w:val="60"/>
        </w:rPr>
        <w:t xml:space="preserve">  </w:t>
      </w:r>
      <w:proofErr w:type="gramStart"/>
      <w:r>
        <w:rPr>
          <w:rFonts w:eastAsia="宋体"/>
          <w:b/>
          <w:bCs/>
          <w:sz w:val="60"/>
          <w:szCs w:val="60"/>
        </w:rPr>
        <w:t>说</w:t>
      </w:r>
      <w:r>
        <w:rPr>
          <w:rFonts w:eastAsia="宋体"/>
          <w:b/>
          <w:bCs/>
          <w:sz w:val="60"/>
          <w:szCs w:val="60"/>
        </w:rPr>
        <w:t xml:space="preserve">  </w:t>
      </w:r>
      <w:r>
        <w:rPr>
          <w:rFonts w:eastAsia="宋体"/>
          <w:b/>
          <w:bCs/>
          <w:sz w:val="60"/>
          <w:szCs w:val="60"/>
        </w:rPr>
        <w:t>明</w:t>
      </w:r>
      <w:proofErr w:type="gramEnd"/>
    </w:p>
    <w:p w14:paraId="7D007BC5" w14:textId="77777777" w:rsidR="00F6437D" w:rsidRDefault="00000000" w:rsidP="000B564A">
      <w:pPr>
        <w:spacing w:after="240"/>
        <w:jc w:val="center"/>
      </w:pPr>
      <w:r>
        <w:rPr>
          <w:rFonts w:eastAsia="宋体"/>
          <w:sz w:val="28"/>
          <w:szCs w:val="28"/>
        </w:rPr>
        <w:t>《电动汽车供电设备型式评价大纲》编制工作组</w:t>
      </w:r>
    </w:p>
    <w:p w14:paraId="16991FB7" w14:textId="77777777" w:rsidR="00F6437D" w:rsidRDefault="00000000" w:rsidP="000B564A">
      <w:pPr>
        <w:spacing w:after="120" w:line="360" w:lineRule="auto"/>
        <w:jc w:val="center"/>
      </w:pPr>
      <w:r>
        <w:rPr>
          <w:rFonts w:eastAsia="宋体"/>
          <w:sz w:val="28"/>
          <w:szCs w:val="28"/>
        </w:rPr>
        <w:t>2026</w:t>
      </w:r>
      <w:r>
        <w:rPr>
          <w:rFonts w:eastAsia="宋体"/>
          <w:sz w:val="28"/>
          <w:szCs w:val="28"/>
        </w:rPr>
        <w:t>年</w:t>
      </w:r>
      <w:r>
        <w:rPr>
          <w:rFonts w:eastAsia="宋体"/>
          <w:sz w:val="28"/>
          <w:szCs w:val="28"/>
        </w:rPr>
        <w:t>9</w:t>
      </w:r>
      <w:r>
        <w:rPr>
          <w:rFonts w:eastAsia="宋体"/>
          <w:sz w:val="28"/>
          <w:szCs w:val="28"/>
        </w:rPr>
        <w:t>月</w:t>
      </w:r>
    </w:p>
    <w:p w14:paraId="413E8A00" w14:textId="77777777" w:rsidR="00F6437D" w:rsidRDefault="00F6437D" w:rsidP="00005EA8">
      <w:pPr>
        <w:pageBreakBefore/>
        <w:spacing w:after="120" w:line="360" w:lineRule="auto"/>
        <w:jc w:val="both"/>
        <w:rPr>
          <w:rFonts w:hint="eastAsia"/>
        </w:rPr>
      </w:pPr>
    </w:p>
    <w:p w14:paraId="1740EE21" w14:textId="77777777" w:rsidR="00F6437D" w:rsidRPr="00506F13" w:rsidRDefault="00000000" w:rsidP="00005EA8">
      <w:pPr>
        <w:pStyle w:val="1"/>
        <w:spacing w:before="360" w:after="200"/>
        <w:jc w:val="both"/>
        <w:rPr>
          <w:rFonts w:eastAsia="黑体"/>
          <w:b/>
          <w:bCs/>
          <w:color w:val="auto"/>
          <w:sz w:val="28"/>
          <w:szCs w:val="28"/>
        </w:rPr>
      </w:pPr>
      <w:bookmarkStart w:id="0" w:name="_Toc240793129"/>
      <w:proofErr w:type="gramStart"/>
      <w:r w:rsidRPr="00506F13">
        <w:rPr>
          <w:rFonts w:eastAsia="黑体"/>
          <w:b/>
          <w:bCs/>
          <w:color w:val="auto"/>
          <w:sz w:val="28"/>
          <w:szCs w:val="28"/>
        </w:rPr>
        <w:t xml:space="preserve">1  </w:t>
      </w:r>
      <w:r w:rsidRPr="00506F13">
        <w:rPr>
          <w:rFonts w:eastAsia="黑体"/>
          <w:b/>
          <w:bCs/>
          <w:color w:val="auto"/>
          <w:sz w:val="28"/>
          <w:szCs w:val="28"/>
        </w:rPr>
        <w:t>任务来源</w:t>
      </w:r>
      <w:bookmarkEnd w:id="0"/>
      <w:proofErr w:type="gramEnd"/>
    </w:p>
    <w:p w14:paraId="562EB9D7" w14:textId="6339A13B" w:rsidR="00B1521A" w:rsidRPr="008D1DD5" w:rsidRDefault="008D1DD5" w:rsidP="00005EA8">
      <w:pPr>
        <w:spacing w:line="360" w:lineRule="auto"/>
        <w:ind w:firstLineChars="192" w:firstLine="461"/>
        <w:jc w:val="both"/>
        <w:rPr>
          <w:rFonts w:ascii="宋体" w:eastAsia="宋体" w:hAnsi="宋体" w:hint="eastAsia"/>
          <w:sz w:val="24"/>
        </w:rPr>
      </w:pPr>
      <w:r w:rsidRPr="008D1DD5">
        <w:rPr>
          <w:rFonts w:ascii="宋体" w:eastAsia="宋体" w:hAnsi="宋体"/>
          <w:bCs/>
          <w:sz w:val="24"/>
        </w:rPr>
        <w:t>《</w:t>
      </w:r>
      <w:r>
        <w:rPr>
          <w:rFonts w:ascii="宋体" w:eastAsia="宋体" w:hAnsi="宋体" w:hint="eastAsia"/>
          <w:bCs/>
          <w:sz w:val="24"/>
        </w:rPr>
        <w:t>电动汽车供电设备型式评价大纲</w:t>
      </w:r>
      <w:r w:rsidRPr="008D1DD5">
        <w:rPr>
          <w:rFonts w:ascii="宋体" w:eastAsia="宋体" w:hAnsi="宋体"/>
          <w:bCs/>
          <w:sz w:val="24"/>
        </w:rPr>
        <w:t>》</w:t>
      </w:r>
      <w:r w:rsidRPr="008D1DD5">
        <w:rPr>
          <w:rFonts w:ascii="宋体" w:eastAsia="宋体" w:hAnsi="宋体" w:hint="eastAsia"/>
          <w:sz w:val="24"/>
        </w:rPr>
        <w:t>的</w:t>
      </w:r>
      <w:r w:rsidR="00506F13">
        <w:rPr>
          <w:rFonts w:ascii="宋体" w:eastAsia="宋体" w:hAnsi="宋体" w:hint="eastAsia"/>
          <w:sz w:val="24"/>
        </w:rPr>
        <w:t>编制</w:t>
      </w:r>
      <w:r w:rsidRPr="008D1DD5">
        <w:rPr>
          <w:rFonts w:ascii="宋体" w:eastAsia="宋体" w:hAnsi="宋体"/>
          <w:sz w:val="24"/>
        </w:rPr>
        <w:t>任务</w:t>
      </w:r>
      <w:r w:rsidRPr="008D1DD5">
        <w:rPr>
          <w:rFonts w:ascii="宋体" w:eastAsia="宋体" w:hAnsi="宋体" w:hint="eastAsia"/>
          <w:sz w:val="24"/>
        </w:rPr>
        <w:t>来源</w:t>
      </w:r>
      <w:r w:rsidR="00506F13">
        <w:rPr>
          <w:rFonts w:ascii="宋体" w:eastAsia="宋体" w:hAnsi="宋体" w:hint="eastAsia"/>
          <w:sz w:val="24"/>
        </w:rPr>
        <w:t>于</w:t>
      </w:r>
      <w:r w:rsidRPr="008D1DD5">
        <w:rPr>
          <w:rFonts w:ascii="宋体" w:eastAsia="宋体" w:hAnsi="宋体" w:hint="eastAsia"/>
          <w:sz w:val="24"/>
        </w:rPr>
        <w:t>国家市场监督管理总局，此</w:t>
      </w:r>
      <w:r>
        <w:rPr>
          <w:rFonts w:ascii="宋体" w:eastAsia="宋体" w:hAnsi="宋体" w:hint="eastAsia"/>
          <w:sz w:val="24"/>
        </w:rPr>
        <w:t>大纲</w:t>
      </w:r>
      <w:r w:rsidRPr="008D1DD5">
        <w:rPr>
          <w:rFonts w:ascii="宋体" w:eastAsia="宋体" w:hAnsi="宋体" w:hint="eastAsia"/>
          <w:sz w:val="24"/>
        </w:rPr>
        <w:t>为</w:t>
      </w:r>
      <w:r>
        <w:rPr>
          <w:rFonts w:ascii="宋体" w:eastAsia="宋体" w:hAnsi="宋体" w:hint="eastAsia"/>
          <w:sz w:val="24"/>
        </w:rPr>
        <w:t>首次</w:t>
      </w:r>
      <w:r w:rsidR="00506F13">
        <w:rPr>
          <w:rFonts w:ascii="宋体" w:eastAsia="宋体" w:hAnsi="宋体" w:hint="eastAsia"/>
          <w:sz w:val="24"/>
        </w:rPr>
        <w:t>制定</w:t>
      </w:r>
      <w:r w:rsidRPr="008D1DD5">
        <w:rPr>
          <w:rFonts w:ascii="宋体" w:eastAsia="宋体" w:hAnsi="宋体"/>
          <w:sz w:val="24"/>
          <w:szCs w:val="28"/>
        </w:rPr>
        <w:t>。</w:t>
      </w:r>
    </w:p>
    <w:p w14:paraId="30FC3072" w14:textId="77777777" w:rsidR="00F6437D" w:rsidRPr="00506F13" w:rsidRDefault="00000000" w:rsidP="00005EA8">
      <w:pPr>
        <w:pStyle w:val="1"/>
        <w:spacing w:before="360" w:after="200"/>
        <w:jc w:val="both"/>
        <w:rPr>
          <w:rFonts w:eastAsia="黑体"/>
          <w:b/>
          <w:bCs/>
          <w:color w:val="auto"/>
          <w:sz w:val="28"/>
          <w:szCs w:val="28"/>
        </w:rPr>
      </w:pPr>
      <w:bookmarkStart w:id="1" w:name="_Toc240793130"/>
      <w:proofErr w:type="gramStart"/>
      <w:r w:rsidRPr="00506F13">
        <w:rPr>
          <w:rFonts w:eastAsia="黑体"/>
          <w:b/>
          <w:bCs/>
          <w:color w:val="auto"/>
          <w:sz w:val="28"/>
          <w:szCs w:val="28"/>
        </w:rPr>
        <w:t xml:space="preserve">2  </w:t>
      </w:r>
      <w:r w:rsidRPr="00506F13">
        <w:rPr>
          <w:rFonts w:eastAsia="黑体"/>
          <w:b/>
          <w:bCs/>
          <w:color w:val="auto"/>
          <w:sz w:val="28"/>
          <w:szCs w:val="28"/>
        </w:rPr>
        <w:t>目的意义</w:t>
      </w:r>
      <w:bookmarkEnd w:id="1"/>
      <w:proofErr w:type="gramEnd"/>
    </w:p>
    <w:p w14:paraId="55DB51B1" w14:textId="77777777" w:rsidR="00F6437D" w:rsidRDefault="00000000" w:rsidP="00005EA8">
      <w:pPr>
        <w:spacing w:after="120" w:line="360" w:lineRule="auto"/>
        <w:ind w:firstLine="482"/>
        <w:jc w:val="both"/>
      </w:pPr>
      <w:r>
        <w:rPr>
          <w:rFonts w:eastAsia="宋体"/>
          <w:sz w:val="24"/>
          <w:szCs w:val="24"/>
        </w:rPr>
        <w:t>近年来，我国新能源汽车产业快速发展，充电基础设施规模持续扩大。据中国电动汽车充电基础设施促进联盟（中国充电联盟）统计，截至</w:t>
      </w:r>
      <w:r>
        <w:rPr>
          <w:rFonts w:eastAsia="宋体"/>
          <w:sz w:val="24"/>
          <w:szCs w:val="24"/>
        </w:rPr>
        <w:t>2025</w:t>
      </w:r>
      <w:r>
        <w:rPr>
          <w:rFonts w:eastAsia="宋体"/>
          <w:sz w:val="24"/>
          <w:szCs w:val="24"/>
        </w:rPr>
        <w:t>年</w:t>
      </w:r>
      <w:r>
        <w:rPr>
          <w:rFonts w:eastAsia="宋体"/>
          <w:sz w:val="24"/>
          <w:szCs w:val="24"/>
        </w:rPr>
        <w:t>12</w:t>
      </w:r>
      <w:r>
        <w:rPr>
          <w:rFonts w:eastAsia="宋体"/>
          <w:sz w:val="24"/>
          <w:szCs w:val="24"/>
        </w:rPr>
        <w:t>月底，全国充电基础设施总保有量达</w:t>
      </w:r>
      <w:r>
        <w:rPr>
          <w:rFonts w:eastAsia="宋体"/>
          <w:sz w:val="24"/>
          <w:szCs w:val="24"/>
        </w:rPr>
        <w:t>2009.2</w:t>
      </w:r>
      <w:r>
        <w:rPr>
          <w:rFonts w:eastAsia="宋体"/>
          <w:sz w:val="24"/>
          <w:szCs w:val="24"/>
        </w:rPr>
        <w:t>万台；截至</w:t>
      </w:r>
      <w:r>
        <w:rPr>
          <w:rFonts w:eastAsia="宋体"/>
          <w:sz w:val="24"/>
          <w:szCs w:val="24"/>
        </w:rPr>
        <w:t>2026</w:t>
      </w:r>
      <w:r>
        <w:rPr>
          <w:rFonts w:eastAsia="宋体"/>
          <w:sz w:val="24"/>
          <w:szCs w:val="24"/>
        </w:rPr>
        <w:t>年</w:t>
      </w:r>
      <w:r>
        <w:rPr>
          <w:rFonts w:eastAsia="宋体"/>
          <w:sz w:val="24"/>
          <w:szCs w:val="24"/>
        </w:rPr>
        <w:t>7</w:t>
      </w:r>
      <w:r>
        <w:rPr>
          <w:rFonts w:eastAsia="宋体"/>
          <w:sz w:val="24"/>
          <w:szCs w:val="24"/>
        </w:rPr>
        <w:t>月底，全国公共充电设施保有量达</w:t>
      </w:r>
      <w:r>
        <w:rPr>
          <w:rFonts w:eastAsia="宋体"/>
          <w:sz w:val="24"/>
          <w:szCs w:val="24"/>
        </w:rPr>
        <w:t>509.9</w:t>
      </w:r>
      <w:r>
        <w:rPr>
          <w:rFonts w:eastAsia="宋体"/>
          <w:sz w:val="24"/>
          <w:szCs w:val="24"/>
        </w:rPr>
        <w:t>万台，同比增长</w:t>
      </w:r>
      <w:r>
        <w:rPr>
          <w:rFonts w:eastAsia="宋体"/>
          <w:sz w:val="24"/>
          <w:szCs w:val="24"/>
        </w:rPr>
        <w:t>21.3%</w:t>
      </w:r>
      <w:r>
        <w:rPr>
          <w:rFonts w:eastAsia="宋体"/>
          <w:sz w:val="24"/>
          <w:szCs w:val="24"/>
        </w:rPr>
        <w:t>。电动汽车供电设备直接面向消费者提供充电服务并以充电电能进行贸易结算，其电能计量的准确、可靠，直接关系贸易结算公平和消费者合法权益，是民生计量的重要内容。</w:t>
      </w:r>
    </w:p>
    <w:p w14:paraId="59D9C9B1" w14:textId="77777777" w:rsidR="00F6437D" w:rsidRDefault="00000000" w:rsidP="00005EA8">
      <w:pPr>
        <w:spacing w:after="120" w:line="360" w:lineRule="auto"/>
        <w:ind w:firstLine="480"/>
        <w:jc w:val="both"/>
      </w:pPr>
      <w:r>
        <w:rPr>
          <w:rFonts w:eastAsia="宋体"/>
          <w:sz w:val="24"/>
          <w:szCs w:val="24"/>
        </w:rPr>
        <w:t>在计量监管方面，市场监管总局</w:t>
      </w:r>
      <w:r>
        <w:rPr>
          <w:rFonts w:eastAsia="宋体"/>
          <w:sz w:val="24"/>
          <w:szCs w:val="24"/>
        </w:rPr>
        <w:t>2020</w:t>
      </w:r>
      <w:r>
        <w:rPr>
          <w:rFonts w:eastAsia="宋体"/>
          <w:sz w:val="24"/>
          <w:szCs w:val="24"/>
        </w:rPr>
        <w:t>年第</w:t>
      </w:r>
      <w:r>
        <w:rPr>
          <w:rFonts w:eastAsia="宋体"/>
          <w:sz w:val="24"/>
          <w:szCs w:val="24"/>
        </w:rPr>
        <w:t>42</w:t>
      </w:r>
      <w:r>
        <w:rPr>
          <w:rFonts w:eastAsia="宋体"/>
          <w:sz w:val="24"/>
          <w:szCs w:val="24"/>
        </w:rPr>
        <w:t>号公告将电动汽车充电桩列入《实施强制管理的计量器具目录》，自</w:t>
      </w:r>
      <w:r>
        <w:rPr>
          <w:rFonts w:eastAsia="宋体"/>
          <w:sz w:val="24"/>
          <w:szCs w:val="24"/>
        </w:rPr>
        <w:t>2023</w:t>
      </w:r>
      <w:r>
        <w:rPr>
          <w:rFonts w:eastAsia="宋体"/>
          <w:sz w:val="24"/>
          <w:szCs w:val="24"/>
        </w:rPr>
        <w:t>年</w:t>
      </w:r>
      <w:r>
        <w:rPr>
          <w:rFonts w:eastAsia="宋体"/>
          <w:sz w:val="24"/>
          <w:szCs w:val="24"/>
        </w:rPr>
        <w:t>1</w:t>
      </w:r>
      <w:r>
        <w:rPr>
          <w:rFonts w:eastAsia="宋体"/>
          <w:sz w:val="24"/>
          <w:szCs w:val="24"/>
        </w:rPr>
        <w:t>月</w:t>
      </w:r>
      <w:r>
        <w:rPr>
          <w:rFonts w:eastAsia="宋体"/>
          <w:sz w:val="24"/>
          <w:szCs w:val="24"/>
        </w:rPr>
        <w:t>1</w:t>
      </w:r>
      <w:r>
        <w:rPr>
          <w:rFonts w:eastAsia="宋体"/>
          <w:sz w:val="24"/>
          <w:szCs w:val="24"/>
        </w:rPr>
        <w:t>日起实施强制检定；</w:t>
      </w:r>
      <w:r>
        <w:rPr>
          <w:rFonts w:eastAsia="宋体"/>
          <w:sz w:val="24"/>
          <w:szCs w:val="24"/>
        </w:rPr>
        <w:t>JJG 1148-2022</w:t>
      </w:r>
      <w:r>
        <w:rPr>
          <w:rFonts w:eastAsia="宋体"/>
          <w:sz w:val="24"/>
          <w:szCs w:val="24"/>
        </w:rPr>
        <w:t>《电动汽车交流充电桩检定规程（试行）》和</w:t>
      </w:r>
      <w:r>
        <w:rPr>
          <w:rFonts w:eastAsia="宋体"/>
          <w:sz w:val="24"/>
          <w:szCs w:val="24"/>
        </w:rPr>
        <w:t>JJG 1149-2022</w:t>
      </w:r>
      <w:r>
        <w:rPr>
          <w:rFonts w:eastAsia="宋体"/>
          <w:sz w:val="24"/>
          <w:szCs w:val="24"/>
        </w:rPr>
        <w:t>《电动汽车非车载充电机检定规程（试行）》已于</w:t>
      </w:r>
      <w:r>
        <w:rPr>
          <w:rFonts w:eastAsia="宋体"/>
          <w:sz w:val="24"/>
          <w:szCs w:val="24"/>
        </w:rPr>
        <w:t>2022</w:t>
      </w:r>
      <w:r>
        <w:rPr>
          <w:rFonts w:eastAsia="宋体"/>
          <w:sz w:val="24"/>
          <w:szCs w:val="24"/>
        </w:rPr>
        <w:t>年发布实施，为强制检定提供了技术依据。在产品准入方面，市场监管总局</w:t>
      </w:r>
      <w:r>
        <w:rPr>
          <w:rFonts w:eastAsia="宋体"/>
          <w:sz w:val="24"/>
          <w:szCs w:val="24"/>
        </w:rPr>
        <w:t>2024</w:t>
      </w:r>
      <w:r>
        <w:rPr>
          <w:rFonts w:eastAsia="宋体"/>
          <w:sz w:val="24"/>
          <w:szCs w:val="24"/>
        </w:rPr>
        <w:t>年第</w:t>
      </w:r>
      <w:r>
        <w:rPr>
          <w:rFonts w:eastAsia="宋体"/>
          <w:sz w:val="24"/>
          <w:szCs w:val="24"/>
        </w:rPr>
        <w:t>50</w:t>
      </w:r>
      <w:r>
        <w:rPr>
          <w:rFonts w:eastAsia="宋体"/>
          <w:sz w:val="24"/>
          <w:szCs w:val="24"/>
        </w:rPr>
        <w:t>号公告对电动汽车供电设备实施强制性产品认证管理，自</w:t>
      </w:r>
      <w:r>
        <w:rPr>
          <w:rFonts w:eastAsia="宋体"/>
          <w:sz w:val="24"/>
          <w:szCs w:val="24"/>
        </w:rPr>
        <w:t>2026</w:t>
      </w:r>
      <w:r>
        <w:rPr>
          <w:rFonts w:eastAsia="宋体"/>
          <w:sz w:val="24"/>
          <w:szCs w:val="24"/>
        </w:rPr>
        <w:t>年</w:t>
      </w:r>
      <w:r>
        <w:rPr>
          <w:rFonts w:eastAsia="宋体"/>
          <w:sz w:val="24"/>
          <w:szCs w:val="24"/>
        </w:rPr>
        <w:t>8</w:t>
      </w:r>
      <w:r>
        <w:rPr>
          <w:rFonts w:eastAsia="宋体"/>
          <w:sz w:val="24"/>
          <w:szCs w:val="24"/>
        </w:rPr>
        <w:t>月</w:t>
      </w:r>
      <w:r>
        <w:rPr>
          <w:rFonts w:eastAsia="宋体"/>
          <w:sz w:val="24"/>
          <w:szCs w:val="24"/>
        </w:rPr>
        <w:t>1</w:t>
      </w:r>
      <w:r>
        <w:rPr>
          <w:rFonts w:eastAsia="宋体"/>
          <w:sz w:val="24"/>
          <w:szCs w:val="24"/>
        </w:rPr>
        <w:t>日起，未获得强制性产品认证证书并标注认证标志的电动汽车供电设备，不得出厂、销售、进口或者在其他经营活动中使用。型式评价是计量器具法制管理的重要环节，是对计量器具型式的计量性能、通用技术要求进行全面系统评价的技术活动。目前，我国尚缺少与上述检定规程相配套、覆盖电动汽车供电设备型式评价环节的国家计量技术文件，无法对新产品型式开展统一、全面的计量技术评价，难以满足计量监管、产品认证和产业高质量发展的需要。</w:t>
      </w:r>
    </w:p>
    <w:p w14:paraId="131B75B4" w14:textId="77777777" w:rsidR="00F6437D" w:rsidRDefault="00000000" w:rsidP="00005EA8">
      <w:pPr>
        <w:spacing w:after="120" w:line="360" w:lineRule="auto"/>
        <w:ind w:firstLine="480"/>
        <w:jc w:val="both"/>
      </w:pPr>
      <w:r>
        <w:rPr>
          <w:rFonts w:eastAsia="宋体"/>
          <w:sz w:val="24"/>
          <w:szCs w:val="24"/>
        </w:rPr>
        <w:t>在产品技术方面，电动汽车供电设备正向高电压、大电流、大功率方向快速发展，大功率充电、超级充电产品不断推出，产品型式日趋多样，分体式充电机、多路输出（多枪）设备等新型结构广泛应用；同时，产品呈现数字化、网络化、智能化特征，软件在计量过程中的作用日益突出，远程监测、软件在线升级、分时计费、有序充电等功能不断普及。</w:t>
      </w:r>
      <w:r>
        <w:rPr>
          <w:rFonts w:eastAsia="宋体"/>
          <w:sz w:val="24"/>
          <w:szCs w:val="24"/>
        </w:rPr>
        <w:t>GB/T 28569-2024</w:t>
      </w:r>
      <w:r>
        <w:rPr>
          <w:rFonts w:eastAsia="宋体"/>
          <w:sz w:val="24"/>
          <w:szCs w:val="24"/>
        </w:rPr>
        <w:t>《电动汽车交流充电桩电能计量》和</w:t>
      </w:r>
      <w:r>
        <w:rPr>
          <w:rFonts w:eastAsia="宋体"/>
          <w:sz w:val="24"/>
          <w:szCs w:val="24"/>
        </w:rPr>
        <w:t>GB/T 29318-2024</w:t>
      </w:r>
      <w:r>
        <w:rPr>
          <w:rFonts w:eastAsia="宋体"/>
          <w:sz w:val="24"/>
          <w:szCs w:val="24"/>
        </w:rPr>
        <w:t>《电动汽车非车载充电机电能计量》已于</w:t>
      </w:r>
      <w:r>
        <w:rPr>
          <w:rFonts w:eastAsia="宋体"/>
          <w:sz w:val="24"/>
          <w:szCs w:val="24"/>
        </w:rPr>
        <w:t>2024</w:t>
      </w:r>
      <w:r>
        <w:rPr>
          <w:rFonts w:eastAsia="宋体"/>
          <w:sz w:val="24"/>
          <w:szCs w:val="24"/>
        </w:rPr>
        <w:t>年发布、</w:t>
      </w:r>
      <w:r>
        <w:rPr>
          <w:rFonts w:eastAsia="宋体"/>
          <w:sz w:val="24"/>
          <w:szCs w:val="24"/>
        </w:rPr>
        <w:t>2025</w:t>
      </w:r>
      <w:r>
        <w:rPr>
          <w:rFonts w:eastAsia="宋体"/>
          <w:sz w:val="24"/>
          <w:szCs w:val="24"/>
        </w:rPr>
        <w:t>年</w:t>
      </w:r>
      <w:r>
        <w:rPr>
          <w:rFonts w:eastAsia="宋体"/>
          <w:sz w:val="24"/>
          <w:szCs w:val="24"/>
        </w:rPr>
        <w:t>4</w:t>
      </w:r>
      <w:r>
        <w:rPr>
          <w:rFonts w:eastAsia="宋体"/>
          <w:sz w:val="24"/>
          <w:szCs w:val="24"/>
        </w:rPr>
        <w:t>月</w:t>
      </w:r>
      <w:r>
        <w:rPr>
          <w:rFonts w:eastAsia="宋体"/>
          <w:sz w:val="24"/>
          <w:szCs w:val="24"/>
        </w:rPr>
        <w:t>1</w:t>
      </w:r>
      <w:r>
        <w:rPr>
          <w:rFonts w:eastAsia="宋体"/>
          <w:sz w:val="24"/>
          <w:szCs w:val="24"/>
        </w:rPr>
        <w:t>日实施，对</w:t>
      </w:r>
      <w:r>
        <w:rPr>
          <w:rFonts w:eastAsia="宋体"/>
          <w:sz w:val="24"/>
          <w:szCs w:val="24"/>
        </w:rPr>
        <w:lastRenderedPageBreak/>
        <w:t>充电电能计量提出了新的技术要求。现行计量技术文件体系中，型式评价环节技术文件的缺失，已成为制约充电电能计量技术要求落地的短板。</w:t>
      </w:r>
    </w:p>
    <w:p w14:paraId="1F7F2B2C" w14:textId="77777777" w:rsidR="00F6437D" w:rsidRDefault="00000000" w:rsidP="00005EA8">
      <w:pPr>
        <w:spacing w:after="120" w:line="360" w:lineRule="auto"/>
        <w:ind w:firstLine="480"/>
        <w:jc w:val="both"/>
      </w:pPr>
      <w:r>
        <w:rPr>
          <w:rFonts w:eastAsia="宋体"/>
          <w:sz w:val="24"/>
          <w:szCs w:val="24"/>
        </w:rPr>
        <w:t>在国际技术协调方面，国际法制计量组织（</w:t>
      </w:r>
      <w:r>
        <w:rPr>
          <w:rFonts w:eastAsia="宋体"/>
          <w:sz w:val="24"/>
          <w:szCs w:val="24"/>
        </w:rPr>
        <w:t>OIML</w:t>
      </w:r>
      <w:r>
        <w:rPr>
          <w:rFonts w:eastAsia="宋体"/>
          <w:sz w:val="24"/>
          <w:szCs w:val="24"/>
        </w:rPr>
        <w:t>）于</w:t>
      </w:r>
      <w:r>
        <w:rPr>
          <w:rFonts w:eastAsia="宋体"/>
          <w:sz w:val="24"/>
          <w:szCs w:val="24"/>
        </w:rPr>
        <w:t>2022</w:t>
      </w:r>
      <w:r>
        <w:rPr>
          <w:rFonts w:eastAsia="宋体"/>
          <w:sz w:val="24"/>
          <w:szCs w:val="24"/>
        </w:rPr>
        <w:t>年发布了</w:t>
      </w:r>
      <w:r>
        <w:rPr>
          <w:rFonts w:eastAsia="宋体"/>
          <w:sz w:val="24"/>
          <w:szCs w:val="24"/>
        </w:rPr>
        <w:t>OIML G 22:2022</w:t>
      </w:r>
      <w:r>
        <w:rPr>
          <w:rFonts w:eastAsia="宋体"/>
          <w:sz w:val="24"/>
          <w:szCs w:val="24"/>
        </w:rPr>
        <w:t>《电动汽车供电设备</w:t>
      </w:r>
      <w:r>
        <w:rPr>
          <w:rFonts w:eastAsia="宋体"/>
          <w:sz w:val="24"/>
          <w:szCs w:val="24"/>
        </w:rPr>
        <w:t xml:space="preserve"> </w:t>
      </w:r>
      <w:r>
        <w:rPr>
          <w:rFonts w:eastAsia="宋体"/>
          <w:sz w:val="24"/>
          <w:szCs w:val="24"/>
        </w:rPr>
        <w:t>计量和技术要求》，并正在制定电动汽车供电设备国际建议</w:t>
      </w:r>
      <w:r>
        <w:rPr>
          <w:rFonts w:eastAsia="宋体"/>
          <w:sz w:val="24"/>
          <w:szCs w:val="24"/>
        </w:rPr>
        <w:t>OIML R 22</w:t>
      </w:r>
      <w:r>
        <w:rPr>
          <w:rFonts w:eastAsia="宋体"/>
          <w:sz w:val="24"/>
          <w:szCs w:val="24"/>
        </w:rPr>
        <w:t>（目前为第</w:t>
      </w:r>
      <w:r>
        <w:rPr>
          <w:rFonts w:eastAsia="宋体"/>
          <w:sz w:val="24"/>
          <w:szCs w:val="24"/>
        </w:rPr>
        <w:t>3</w:t>
      </w:r>
      <w:r>
        <w:rPr>
          <w:rFonts w:eastAsia="宋体"/>
          <w:sz w:val="24"/>
          <w:szCs w:val="24"/>
        </w:rPr>
        <w:t>工作组草案阶段），将充电电能计量纳入国际法制计量框架。制定与国际技术文件相协调的型式评价大纲，有利于我国充电计量技术要求与国际接轨，支撑我国充电产品出口和国际互认。</w:t>
      </w:r>
    </w:p>
    <w:p w14:paraId="6CA7F3F9" w14:textId="507E1C67" w:rsidR="00F6437D" w:rsidRDefault="00000000" w:rsidP="00005EA8">
      <w:pPr>
        <w:spacing w:after="120" w:line="360" w:lineRule="auto"/>
        <w:ind w:firstLine="480"/>
        <w:jc w:val="both"/>
      </w:pPr>
      <w:r>
        <w:rPr>
          <w:rFonts w:eastAsia="宋体"/>
          <w:sz w:val="24"/>
          <w:szCs w:val="24"/>
        </w:rPr>
        <w:t>因此，制定《电动汽车供电设备型式评价大纲》系列国家计量技术文件，采用</w:t>
      </w:r>
      <w:r w:rsidR="00005EA8">
        <w:rPr>
          <w:rFonts w:eastAsia="宋体" w:hint="eastAsia"/>
          <w:sz w:val="24"/>
          <w:szCs w:val="24"/>
        </w:rPr>
        <w:t>“</w:t>
      </w:r>
      <w:r w:rsidR="00005EA8">
        <w:rPr>
          <w:rFonts w:eastAsia="宋体"/>
          <w:sz w:val="24"/>
          <w:szCs w:val="24"/>
        </w:rPr>
        <w:t>通用要求＋专用要求</w:t>
      </w:r>
      <w:r w:rsidR="00005EA8">
        <w:rPr>
          <w:rFonts w:eastAsia="宋体" w:hint="eastAsia"/>
          <w:sz w:val="24"/>
          <w:szCs w:val="24"/>
        </w:rPr>
        <w:t>”</w:t>
      </w:r>
      <w:r>
        <w:rPr>
          <w:rFonts w:eastAsia="宋体"/>
          <w:sz w:val="24"/>
          <w:szCs w:val="24"/>
        </w:rPr>
        <w:t>的系列化架构，统一规定电动汽车供电设备的计量性能要求、通用技术要求、试验方法和判定准则，对完善我国充电计量技术规范体系、保障充电贸易结算公平、支撑计量监管和产品认证、引导和规范产业发展，都具有重要意义。</w:t>
      </w:r>
    </w:p>
    <w:p w14:paraId="0247921E" w14:textId="77777777" w:rsidR="00F6437D" w:rsidRPr="00506F13" w:rsidRDefault="00000000" w:rsidP="00005EA8">
      <w:pPr>
        <w:pStyle w:val="1"/>
        <w:spacing w:before="360" w:after="200"/>
        <w:jc w:val="both"/>
        <w:rPr>
          <w:color w:val="auto"/>
          <w:sz w:val="28"/>
          <w:szCs w:val="28"/>
        </w:rPr>
      </w:pPr>
      <w:bookmarkStart w:id="2" w:name="_Toc240793131"/>
      <w:proofErr w:type="gramStart"/>
      <w:r w:rsidRPr="00506F13">
        <w:rPr>
          <w:rFonts w:eastAsia="黑体"/>
          <w:b/>
          <w:bCs/>
          <w:color w:val="auto"/>
          <w:sz w:val="28"/>
          <w:szCs w:val="28"/>
        </w:rPr>
        <w:t xml:space="preserve">3  </w:t>
      </w:r>
      <w:r w:rsidRPr="00506F13">
        <w:rPr>
          <w:rFonts w:eastAsia="黑体"/>
          <w:b/>
          <w:bCs/>
          <w:color w:val="auto"/>
          <w:sz w:val="28"/>
          <w:szCs w:val="28"/>
        </w:rPr>
        <w:t>编制思路和原则</w:t>
      </w:r>
      <w:bookmarkEnd w:id="2"/>
      <w:proofErr w:type="gramEnd"/>
    </w:p>
    <w:p w14:paraId="0EBD49B7" w14:textId="77777777" w:rsidR="00F6437D" w:rsidRPr="00506F13" w:rsidRDefault="00000000" w:rsidP="00005EA8">
      <w:pPr>
        <w:pStyle w:val="2"/>
        <w:spacing w:before="280" w:after="160"/>
        <w:jc w:val="both"/>
        <w:rPr>
          <w:color w:val="auto"/>
          <w:sz w:val="28"/>
          <w:szCs w:val="28"/>
        </w:rPr>
      </w:pPr>
      <w:bookmarkStart w:id="3" w:name="_Toc240793132"/>
      <w:proofErr w:type="gramStart"/>
      <w:r w:rsidRPr="00506F13">
        <w:rPr>
          <w:rFonts w:eastAsia="黑体"/>
          <w:b/>
          <w:bCs/>
          <w:color w:val="auto"/>
          <w:sz w:val="28"/>
          <w:szCs w:val="28"/>
        </w:rPr>
        <w:t xml:space="preserve">3.1  </w:t>
      </w:r>
      <w:r w:rsidRPr="00506F13">
        <w:rPr>
          <w:rFonts w:eastAsia="黑体"/>
          <w:b/>
          <w:bCs/>
          <w:color w:val="auto"/>
          <w:sz w:val="28"/>
          <w:szCs w:val="28"/>
        </w:rPr>
        <w:t>编制思路</w:t>
      </w:r>
      <w:bookmarkEnd w:id="3"/>
      <w:proofErr w:type="gramEnd"/>
    </w:p>
    <w:p w14:paraId="0EC1A988" w14:textId="77777777" w:rsidR="00F6437D" w:rsidRDefault="00000000" w:rsidP="00005EA8">
      <w:pPr>
        <w:spacing w:after="120" w:line="360" w:lineRule="auto"/>
        <w:ind w:firstLine="480"/>
        <w:jc w:val="both"/>
      </w:pPr>
      <w:r>
        <w:rPr>
          <w:rFonts w:eastAsia="宋体"/>
          <w:sz w:val="24"/>
          <w:szCs w:val="24"/>
        </w:rPr>
        <w:t>本大纲的编制以解决电动汽车供电设备型式评价缺乏统一技术依据的问题为目标，以</w:t>
      </w:r>
      <w:r>
        <w:rPr>
          <w:rFonts w:eastAsia="宋体"/>
          <w:sz w:val="24"/>
          <w:szCs w:val="24"/>
        </w:rPr>
        <w:t>OIML R 22</w:t>
      </w:r>
      <w:r>
        <w:rPr>
          <w:rFonts w:eastAsia="宋体"/>
          <w:sz w:val="24"/>
          <w:szCs w:val="24"/>
        </w:rPr>
        <w:t>《电动汽车供电设备》（制定中）及</w:t>
      </w:r>
      <w:r>
        <w:rPr>
          <w:rFonts w:eastAsia="宋体"/>
          <w:sz w:val="24"/>
          <w:szCs w:val="24"/>
        </w:rPr>
        <w:t>OIML G 22:2022</w:t>
      </w:r>
      <w:r>
        <w:rPr>
          <w:rFonts w:eastAsia="宋体"/>
          <w:sz w:val="24"/>
          <w:szCs w:val="24"/>
        </w:rPr>
        <w:t>等国际法制计量文件为主要技术参考，跟踪国际法制计量的最新技术要求；以</w:t>
      </w:r>
      <w:r>
        <w:rPr>
          <w:rFonts w:eastAsia="宋体"/>
          <w:sz w:val="24"/>
          <w:szCs w:val="24"/>
        </w:rPr>
        <w:t>JJG 1148-2022</w:t>
      </w:r>
      <w:r>
        <w:rPr>
          <w:rFonts w:eastAsia="宋体"/>
          <w:sz w:val="24"/>
          <w:szCs w:val="24"/>
        </w:rPr>
        <w:t>、</w:t>
      </w:r>
      <w:r>
        <w:rPr>
          <w:rFonts w:eastAsia="宋体"/>
          <w:sz w:val="24"/>
          <w:szCs w:val="24"/>
        </w:rPr>
        <w:t>JJG 1149-2022</w:t>
      </w:r>
      <w:r>
        <w:rPr>
          <w:rFonts w:eastAsia="宋体"/>
          <w:sz w:val="24"/>
          <w:szCs w:val="24"/>
        </w:rPr>
        <w:t>、</w:t>
      </w:r>
      <w:r>
        <w:rPr>
          <w:rFonts w:eastAsia="宋体"/>
          <w:sz w:val="24"/>
          <w:szCs w:val="24"/>
        </w:rPr>
        <w:t>GB/T 28569-2024</w:t>
      </w:r>
      <w:r>
        <w:rPr>
          <w:rFonts w:eastAsia="宋体"/>
          <w:sz w:val="24"/>
          <w:szCs w:val="24"/>
        </w:rPr>
        <w:t>、</w:t>
      </w:r>
      <w:r>
        <w:rPr>
          <w:rFonts w:eastAsia="宋体"/>
          <w:sz w:val="24"/>
          <w:szCs w:val="24"/>
        </w:rPr>
        <w:t>GB/T 29318-2024</w:t>
      </w:r>
      <w:r>
        <w:rPr>
          <w:rFonts w:eastAsia="宋体"/>
          <w:sz w:val="24"/>
          <w:szCs w:val="24"/>
        </w:rPr>
        <w:t>等国内计量技术规范和标准为基础，保持与我国现行计量技术要求的协调一致。</w:t>
      </w:r>
    </w:p>
    <w:p w14:paraId="36918BCA" w14:textId="039BB11D" w:rsidR="00F6437D" w:rsidRDefault="00000000" w:rsidP="00005EA8">
      <w:pPr>
        <w:spacing w:after="120" w:line="360" w:lineRule="auto"/>
        <w:ind w:firstLine="480"/>
        <w:jc w:val="both"/>
      </w:pPr>
      <w:r>
        <w:rPr>
          <w:rFonts w:eastAsia="宋体"/>
          <w:sz w:val="24"/>
          <w:szCs w:val="24"/>
        </w:rPr>
        <w:t>在体系架构上，本大纲采用</w:t>
      </w:r>
      <w:r w:rsidR="00005EA8">
        <w:rPr>
          <w:rFonts w:eastAsia="宋体" w:hint="eastAsia"/>
          <w:sz w:val="24"/>
          <w:szCs w:val="24"/>
        </w:rPr>
        <w:t>“</w:t>
      </w:r>
      <w:r w:rsidR="00005EA8">
        <w:rPr>
          <w:rFonts w:eastAsia="宋体"/>
          <w:sz w:val="24"/>
          <w:szCs w:val="24"/>
        </w:rPr>
        <w:t>通用要求＋专用要求</w:t>
      </w:r>
      <w:r w:rsidR="00005EA8">
        <w:rPr>
          <w:rFonts w:eastAsia="宋体" w:hint="eastAsia"/>
          <w:sz w:val="24"/>
          <w:szCs w:val="24"/>
        </w:rPr>
        <w:t>”</w:t>
      </w:r>
      <w:r>
        <w:rPr>
          <w:rFonts w:eastAsia="宋体"/>
          <w:sz w:val="24"/>
          <w:szCs w:val="24"/>
        </w:rPr>
        <w:t>的系列化结构：第</w:t>
      </w:r>
      <w:r>
        <w:rPr>
          <w:rFonts w:eastAsia="宋体"/>
          <w:sz w:val="24"/>
          <w:szCs w:val="24"/>
        </w:rPr>
        <w:t>1</w:t>
      </w:r>
      <w:r>
        <w:rPr>
          <w:rFonts w:eastAsia="宋体"/>
          <w:sz w:val="24"/>
          <w:szCs w:val="24"/>
        </w:rPr>
        <w:t>部分《通用要求》规定两类产品共性的术语、法制管理要求、计量要求、通用技术要求、型式评价项目和通用试验程序；第</w:t>
      </w:r>
      <w:r>
        <w:rPr>
          <w:rFonts w:eastAsia="宋体"/>
          <w:sz w:val="24"/>
          <w:szCs w:val="24"/>
        </w:rPr>
        <w:t>2</w:t>
      </w:r>
      <w:r>
        <w:rPr>
          <w:rFonts w:eastAsia="宋体"/>
          <w:sz w:val="24"/>
          <w:szCs w:val="24"/>
        </w:rPr>
        <w:t>部分《电动汽车交流充电桩》和第</w:t>
      </w:r>
      <w:r>
        <w:rPr>
          <w:rFonts w:eastAsia="宋体"/>
          <w:sz w:val="24"/>
          <w:szCs w:val="24"/>
        </w:rPr>
        <w:t>3</w:t>
      </w:r>
      <w:r>
        <w:rPr>
          <w:rFonts w:eastAsia="宋体"/>
          <w:sz w:val="24"/>
          <w:szCs w:val="24"/>
        </w:rPr>
        <w:t>部分《电动汽车非车载充电机》分别规定两类产品的专用计量性能要求、影响量和干扰限值及试验方法。各部分相互引用、协调配套，形成完整的型式评价技术体系。</w:t>
      </w:r>
    </w:p>
    <w:p w14:paraId="08ACA5DE" w14:textId="77777777" w:rsidR="00F6437D" w:rsidRDefault="00000000" w:rsidP="00005EA8">
      <w:pPr>
        <w:spacing w:after="120" w:line="360" w:lineRule="auto"/>
        <w:ind w:firstLine="480"/>
        <w:jc w:val="both"/>
      </w:pPr>
      <w:r>
        <w:rPr>
          <w:rFonts w:eastAsia="宋体"/>
          <w:sz w:val="24"/>
          <w:szCs w:val="24"/>
        </w:rPr>
        <w:t>在技术路线上，本大纲不简单照搬国际文件，而是结合我国充电设施产业规模、产品型式（分体式、多枪输出）、功率等级、监管模式和实验室检测能力等实际情况，对国际文件的技术内容进行适应性转化；同时针对我国产品的技术特点和监管需求，增加必要的计量性能要求和评价项目，保证大纲技术要求的科学性、先进性和可操作</w:t>
      </w:r>
      <w:r>
        <w:rPr>
          <w:rFonts w:eastAsia="宋体"/>
          <w:sz w:val="24"/>
          <w:szCs w:val="24"/>
        </w:rPr>
        <w:lastRenderedPageBreak/>
        <w:t>性。</w:t>
      </w:r>
    </w:p>
    <w:p w14:paraId="6263F530" w14:textId="77777777" w:rsidR="00F6437D" w:rsidRDefault="00000000" w:rsidP="00005EA8">
      <w:pPr>
        <w:spacing w:after="120" w:line="360" w:lineRule="auto"/>
        <w:ind w:firstLine="480"/>
        <w:jc w:val="both"/>
      </w:pPr>
      <w:r>
        <w:rPr>
          <w:rFonts w:eastAsia="宋体"/>
          <w:sz w:val="24"/>
          <w:szCs w:val="24"/>
        </w:rPr>
        <w:t>在试验方法上，本大纲按照可实施、可重复、可判定的原则，对每个试验项目明确试验目的、试验条件、试验设备、试验程序、数据处理和合格判据，保证不同型式评价机构评价结果的一致性和可比性。</w:t>
      </w:r>
    </w:p>
    <w:p w14:paraId="2FC20D7A" w14:textId="77777777" w:rsidR="00F6437D" w:rsidRPr="00B1521A" w:rsidRDefault="00000000" w:rsidP="00005EA8">
      <w:pPr>
        <w:pStyle w:val="2"/>
        <w:spacing w:before="280" w:after="160"/>
        <w:jc w:val="both"/>
        <w:rPr>
          <w:color w:val="auto"/>
        </w:rPr>
      </w:pPr>
      <w:bookmarkStart w:id="4" w:name="_Toc240793133"/>
      <w:proofErr w:type="gramStart"/>
      <w:r w:rsidRPr="00B1521A">
        <w:rPr>
          <w:rFonts w:eastAsia="黑体"/>
          <w:b/>
          <w:bCs/>
          <w:color w:val="auto"/>
          <w:sz w:val="28"/>
          <w:szCs w:val="28"/>
        </w:rPr>
        <w:t xml:space="preserve">3.2  </w:t>
      </w:r>
      <w:r w:rsidRPr="00B1521A">
        <w:rPr>
          <w:rFonts w:eastAsia="黑体"/>
          <w:b/>
          <w:bCs/>
          <w:color w:val="auto"/>
          <w:sz w:val="28"/>
          <w:szCs w:val="28"/>
        </w:rPr>
        <w:t>编制原则</w:t>
      </w:r>
      <w:bookmarkEnd w:id="4"/>
      <w:proofErr w:type="gramEnd"/>
    </w:p>
    <w:p w14:paraId="428BCF65" w14:textId="77777777" w:rsidR="00F6437D" w:rsidRDefault="00000000" w:rsidP="00005EA8">
      <w:pPr>
        <w:spacing w:after="120" w:line="360" w:lineRule="auto"/>
        <w:ind w:firstLine="480"/>
        <w:jc w:val="both"/>
      </w:pPr>
      <w:r>
        <w:rPr>
          <w:rFonts w:eastAsia="宋体"/>
          <w:sz w:val="24"/>
          <w:szCs w:val="24"/>
        </w:rPr>
        <w:t>1</w:t>
      </w:r>
      <w:r>
        <w:rPr>
          <w:rFonts w:eastAsia="宋体"/>
          <w:sz w:val="24"/>
          <w:szCs w:val="24"/>
        </w:rPr>
        <w:t>、本大纲依据</w:t>
      </w:r>
      <w:r>
        <w:rPr>
          <w:rFonts w:eastAsia="宋体"/>
          <w:sz w:val="24"/>
          <w:szCs w:val="24"/>
        </w:rPr>
        <w:t>JJF 1015-2014</w:t>
      </w:r>
      <w:r>
        <w:rPr>
          <w:rFonts w:eastAsia="宋体"/>
          <w:sz w:val="24"/>
          <w:szCs w:val="24"/>
        </w:rPr>
        <w:t>《计量器具型式评价和型式批准通用规范》和</w:t>
      </w:r>
      <w:r>
        <w:rPr>
          <w:rFonts w:eastAsia="宋体"/>
          <w:sz w:val="24"/>
          <w:szCs w:val="24"/>
        </w:rPr>
        <w:t>JJF 1016-2014</w:t>
      </w:r>
      <w:r>
        <w:rPr>
          <w:rFonts w:eastAsia="宋体"/>
          <w:sz w:val="24"/>
          <w:szCs w:val="24"/>
        </w:rPr>
        <w:t>《计量器具型式评价大纲编写导则》的规定编写。</w:t>
      </w:r>
    </w:p>
    <w:p w14:paraId="08A039E0" w14:textId="77777777" w:rsidR="00F6437D" w:rsidRDefault="00000000" w:rsidP="00005EA8">
      <w:pPr>
        <w:spacing w:after="120" w:line="360" w:lineRule="auto"/>
        <w:ind w:firstLine="480"/>
        <w:jc w:val="both"/>
      </w:pPr>
      <w:r>
        <w:rPr>
          <w:rFonts w:eastAsia="宋体"/>
          <w:sz w:val="24"/>
          <w:szCs w:val="24"/>
        </w:rPr>
        <w:t>2</w:t>
      </w:r>
      <w:r>
        <w:rPr>
          <w:rFonts w:eastAsia="宋体"/>
          <w:sz w:val="24"/>
          <w:szCs w:val="24"/>
        </w:rPr>
        <w:t>、本大纲与</w:t>
      </w:r>
      <w:r>
        <w:rPr>
          <w:rFonts w:eastAsia="宋体"/>
          <w:sz w:val="24"/>
          <w:szCs w:val="24"/>
        </w:rPr>
        <w:t>JJG 1148-2022</w:t>
      </w:r>
      <w:r>
        <w:rPr>
          <w:rFonts w:eastAsia="宋体"/>
          <w:sz w:val="24"/>
          <w:szCs w:val="24"/>
        </w:rPr>
        <w:t>《电动汽车交流充电桩检定规程（试行）》、</w:t>
      </w:r>
      <w:r>
        <w:rPr>
          <w:rFonts w:eastAsia="宋体"/>
          <w:sz w:val="24"/>
          <w:szCs w:val="24"/>
        </w:rPr>
        <w:t>JJG 1149-2022</w:t>
      </w:r>
      <w:r>
        <w:rPr>
          <w:rFonts w:eastAsia="宋体"/>
          <w:sz w:val="24"/>
          <w:szCs w:val="24"/>
        </w:rPr>
        <w:t>《电动汽车非车载充电机检定规程（试行）》、</w:t>
      </w:r>
      <w:r>
        <w:rPr>
          <w:rFonts w:eastAsia="宋体"/>
          <w:sz w:val="24"/>
          <w:szCs w:val="24"/>
        </w:rPr>
        <w:t>JJF 1245.1-2019</w:t>
      </w:r>
      <w:r>
        <w:rPr>
          <w:rFonts w:eastAsia="宋体"/>
          <w:sz w:val="24"/>
          <w:szCs w:val="24"/>
        </w:rPr>
        <w:t>《安装式交流电能表型式评价大纲</w:t>
      </w:r>
      <w:r>
        <w:rPr>
          <w:rFonts w:eastAsia="宋体"/>
          <w:sz w:val="24"/>
          <w:szCs w:val="24"/>
        </w:rPr>
        <w:t xml:space="preserve"> </w:t>
      </w:r>
      <w:r>
        <w:rPr>
          <w:rFonts w:eastAsia="宋体"/>
          <w:sz w:val="24"/>
          <w:szCs w:val="24"/>
        </w:rPr>
        <w:t>有功电能表》等计量技术规范保持协调一致。</w:t>
      </w:r>
    </w:p>
    <w:p w14:paraId="05D8F43C" w14:textId="77777777" w:rsidR="00F6437D" w:rsidRDefault="00000000" w:rsidP="00005EA8">
      <w:pPr>
        <w:spacing w:after="120" w:line="360" w:lineRule="auto"/>
        <w:ind w:firstLine="480"/>
        <w:jc w:val="both"/>
      </w:pPr>
      <w:r>
        <w:rPr>
          <w:rFonts w:eastAsia="宋体"/>
          <w:sz w:val="24"/>
          <w:szCs w:val="24"/>
        </w:rPr>
        <w:t>3</w:t>
      </w:r>
      <w:r>
        <w:rPr>
          <w:rFonts w:eastAsia="宋体"/>
          <w:sz w:val="24"/>
          <w:szCs w:val="24"/>
        </w:rPr>
        <w:t>、本大纲参考</w:t>
      </w:r>
      <w:r>
        <w:rPr>
          <w:rFonts w:eastAsia="宋体"/>
          <w:sz w:val="24"/>
          <w:szCs w:val="24"/>
        </w:rPr>
        <w:t>OIML R 22</w:t>
      </w:r>
      <w:r>
        <w:rPr>
          <w:rFonts w:eastAsia="宋体"/>
          <w:sz w:val="24"/>
          <w:szCs w:val="24"/>
        </w:rPr>
        <w:t>《电动汽车供电设备》（制定中）、</w:t>
      </w:r>
      <w:r>
        <w:rPr>
          <w:rFonts w:eastAsia="宋体"/>
          <w:sz w:val="24"/>
          <w:szCs w:val="24"/>
        </w:rPr>
        <w:t>OIML G 22:2022</w:t>
      </w:r>
      <w:r>
        <w:rPr>
          <w:rFonts w:eastAsia="宋体"/>
          <w:sz w:val="24"/>
          <w:szCs w:val="24"/>
        </w:rPr>
        <w:t>《电动汽车供电设备</w:t>
      </w:r>
      <w:r>
        <w:rPr>
          <w:rFonts w:eastAsia="宋体"/>
          <w:sz w:val="24"/>
          <w:szCs w:val="24"/>
        </w:rPr>
        <w:t xml:space="preserve"> </w:t>
      </w:r>
      <w:r>
        <w:rPr>
          <w:rFonts w:eastAsia="宋体"/>
          <w:sz w:val="24"/>
          <w:szCs w:val="24"/>
        </w:rPr>
        <w:t>计量和技术要求》、</w:t>
      </w:r>
      <w:r>
        <w:rPr>
          <w:rFonts w:eastAsia="宋体"/>
          <w:sz w:val="24"/>
          <w:szCs w:val="24"/>
        </w:rPr>
        <w:t>OIML D 31:2023</w:t>
      </w:r>
      <w:r>
        <w:rPr>
          <w:rFonts w:eastAsia="宋体"/>
          <w:sz w:val="24"/>
          <w:szCs w:val="24"/>
        </w:rPr>
        <w:t>《计量器具软件通用要求》等国际法制计量文件，以及</w:t>
      </w:r>
      <w:r>
        <w:rPr>
          <w:rFonts w:eastAsia="宋体"/>
          <w:sz w:val="24"/>
          <w:szCs w:val="24"/>
        </w:rPr>
        <w:t>IEC 61000-4</w:t>
      </w:r>
      <w:r>
        <w:rPr>
          <w:rFonts w:eastAsia="宋体"/>
          <w:sz w:val="24"/>
          <w:szCs w:val="24"/>
        </w:rPr>
        <w:t>系列、</w:t>
      </w:r>
      <w:r>
        <w:rPr>
          <w:rFonts w:eastAsia="宋体"/>
          <w:sz w:val="24"/>
          <w:szCs w:val="24"/>
        </w:rPr>
        <w:t>IEC 60068</w:t>
      </w:r>
      <w:r>
        <w:rPr>
          <w:rFonts w:eastAsia="宋体"/>
          <w:sz w:val="24"/>
          <w:szCs w:val="24"/>
        </w:rPr>
        <w:t>系列、</w:t>
      </w:r>
      <w:r>
        <w:rPr>
          <w:rFonts w:eastAsia="宋体"/>
          <w:sz w:val="24"/>
          <w:szCs w:val="24"/>
        </w:rPr>
        <w:t>IEC 61851-21-2:2018</w:t>
      </w:r>
      <w:r>
        <w:rPr>
          <w:rFonts w:eastAsia="宋体"/>
          <w:sz w:val="24"/>
          <w:szCs w:val="24"/>
        </w:rPr>
        <w:t>等国际标准。</w:t>
      </w:r>
    </w:p>
    <w:p w14:paraId="6F1E5B90" w14:textId="77777777" w:rsidR="00F6437D" w:rsidRDefault="00000000" w:rsidP="00005EA8">
      <w:pPr>
        <w:spacing w:after="120" w:line="360" w:lineRule="auto"/>
        <w:ind w:firstLine="480"/>
        <w:jc w:val="both"/>
      </w:pPr>
      <w:r>
        <w:rPr>
          <w:rFonts w:eastAsia="宋体"/>
          <w:sz w:val="24"/>
          <w:szCs w:val="24"/>
        </w:rPr>
        <w:t>4</w:t>
      </w:r>
      <w:r>
        <w:rPr>
          <w:rFonts w:eastAsia="宋体"/>
          <w:sz w:val="24"/>
          <w:szCs w:val="24"/>
        </w:rPr>
        <w:t>、本大纲与</w:t>
      </w:r>
      <w:r>
        <w:rPr>
          <w:rFonts w:eastAsia="宋体"/>
          <w:sz w:val="24"/>
          <w:szCs w:val="24"/>
        </w:rPr>
        <w:t>GB/T 18487.1-2023</w:t>
      </w:r>
      <w:r>
        <w:rPr>
          <w:rFonts w:eastAsia="宋体"/>
          <w:sz w:val="24"/>
          <w:szCs w:val="24"/>
        </w:rPr>
        <w:t>《电动汽车传导充电系统</w:t>
      </w:r>
      <w:r>
        <w:rPr>
          <w:rFonts w:eastAsia="宋体"/>
          <w:sz w:val="24"/>
          <w:szCs w:val="24"/>
        </w:rPr>
        <w:t xml:space="preserve"> </w:t>
      </w:r>
      <w:r>
        <w:rPr>
          <w:rFonts w:eastAsia="宋体"/>
          <w:sz w:val="24"/>
          <w:szCs w:val="24"/>
        </w:rPr>
        <w:t>第</w:t>
      </w:r>
      <w:r>
        <w:rPr>
          <w:rFonts w:eastAsia="宋体"/>
          <w:sz w:val="24"/>
          <w:szCs w:val="24"/>
        </w:rPr>
        <w:t>1</w:t>
      </w:r>
      <w:r>
        <w:rPr>
          <w:rFonts w:eastAsia="宋体"/>
          <w:sz w:val="24"/>
          <w:szCs w:val="24"/>
        </w:rPr>
        <w:t>部分：通用要求》、</w:t>
      </w:r>
      <w:r>
        <w:rPr>
          <w:rFonts w:eastAsia="宋体"/>
          <w:sz w:val="24"/>
          <w:szCs w:val="24"/>
        </w:rPr>
        <w:t>GB/T 18487.2-2026</w:t>
      </w:r>
      <w:r>
        <w:rPr>
          <w:rFonts w:eastAsia="宋体"/>
          <w:sz w:val="24"/>
          <w:szCs w:val="24"/>
        </w:rPr>
        <w:t>《电动汽车传导充电系统</w:t>
      </w:r>
      <w:r>
        <w:rPr>
          <w:rFonts w:eastAsia="宋体"/>
          <w:sz w:val="24"/>
          <w:szCs w:val="24"/>
        </w:rPr>
        <w:t xml:space="preserve"> </w:t>
      </w:r>
      <w:r>
        <w:rPr>
          <w:rFonts w:eastAsia="宋体"/>
          <w:sz w:val="24"/>
          <w:szCs w:val="24"/>
        </w:rPr>
        <w:t>第</w:t>
      </w:r>
      <w:r>
        <w:rPr>
          <w:rFonts w:eastAsia="宋体"/>
          <w:sz w:val="24"/>
          <w:szCs w:val="24"/>
        </w:rPr>
        <w:t>2</w:t>
      </w:r>
      <w:r>
        <w:rPr>
          <w:rFonts w:eastAsia="宋体"/>
          <w:sz w:val="24"/>
          <w:szCs w:val="24"/>
        </w:rPr>
        <w:t>部分：非车载传导供电设备电磁兼容要求》、</w:t>
      </w:r>
      <w:r>
        <w:rPr>
          <w:rFonts w:eastAsia="宋体"/>
          <w:sz w:val="24"/>
          <w:szCs w:val="24"/>
        </w:rPr>
        <w:t>GB/T 20234.1-2023</w:t>
      </w:r>
      <w:r>
        <w:rPr>
          <w:rFonts w:eastAsia="宋体"/>
          <w:sz w:val="24"/>
          <w:szCs w:val="24"/>
        </w:rPr>
        <w:t>《电动汽车传导充电用连接装置</w:t>
      </w:r>
      <w:r>
        <w:rPr>
          <w:rFonts w:eastAsia="宋体"/>
          <w:sz w:val="24"/>
          <w:szCs w:val="24"/>
        </w:rPr>
        <w:t xml:space="preserve"> </w:t>
      </w:r>
      <w:r>
        <w:rPr>
          <w:rFonts w:eastAsia="宋体"/>
          <w:sz w:val="24"/>
          <w:szCs w:val="24"/>
        </w:rPr>
        <w:t>第</w:t>
      </w:r>
      <w:r>
        <w:rPr>
          <w:rFonts w:eastAsia="宋体"/>
          <w:sz w:val="24"/>
          <w:szCs w:val="24"/>
        </w:rPr>
        <w:t>1</w:t>
      </w:r>
      <w:r>
        <w:rPr>
          <w:rFonts w:eastAsia="宋体"/>
          <w:sz w:val="24"/>
          <w:szCs w:val="24"/>
        </w:rPr>
        <w:t>部分：通用要求》、</w:t>
      </w:r>
      <w:r>
        <w:rPr>
          <w:rFonts w:eastAsia="宋体"/>
          <w:sz w:val="24"/>
          <w:szCs w:val="24"/>
        </w:rPr>
        <w:t>GB/T 28569-2024</w:t>
      </w:r>
      <w:r>
        <w:rPr>
          <w:rFonts w:eastAsia="宋体"/>
          <w:sz w:val="24"/>
          <w:szCs w:val="24"/>
        </w:rPr>
        <w:t>《电动汽车交流充电桩电能计量》、</w:t>
      </w:r>
      <w:r>
        <w:rPr>
          <w:rFonts w:eastAsia="宋体"/>
          <w:sz w:val="24"/>
          <w:szCs w:val="24"/>
        </w:rPr>
        <w:t>GB/T 29318-2024</w:t>
      </w:r>
      <w:r>
        <w:rPr>
          <w:rFonts w:eastAsia="宋体"/>
          <w:sz w:val="24"/>
          <w:szCs w:val="24"/>
        </w:rPr>
        <w:t>《电动汽车非车载充电机电能计量》、</w:t>
      </w:r>
      <w:r>
        <w:rPr>
          <w:rFonts w:eastAsia="宋体"/>
          <w:sz w:val="24"/>
          <w:szCs w:val="24"/>
        </w:rPr>
        <w:t>NB/T 33001-2025</w:t>
      </w:r>
      <w:r>
        <w:rPr>
          <w:rFonts w:eastAsia="宋体"/>
          <w:sz w:val="24"/>
          <w:szCs w:val="24"/>
        </w:rPr>
        <w:t>《电动汽车非车载传导式充电机技术条件》等产品标准保持协调。</w:t>
      </w:r>
    </w:p>
    <w:p w14:paraId="7AABA53C" w14:textId="77777777" w:rsidR="00F6437D" w:rsidRDefault="00000000" w:rsidP="00005EA8">
      <w:pPr>
        <w:spacing w:after="120" w:line="360" w:lineRule="auto"/>
        <w:ind w:firstLine="480"/>
        <w:jc w:val="both"/>
      </w:pPr>
      <w:r>
        <w:rPr>
          <w:rFonts w:eastAsia="宋体"/>
          <w:sz w:val="24"/>
          <w:szCs w:val="24"/>
        </w:rPr>
        <w:t>5</w:t>
      </w:r>
      <w:r>
        <w:rPr>
          <w:rFonts w:eastAsia="宋体"/>
          <w:sz w:val="24"/>
          <w:szCs w:val="24"/>
        </w:rPr>
        <w:t>、本大纲充分考虑我国充电设施产业实际和型式评价机构检测能力，合理规定试验项目、试验条件和判定准则，保证大纲现阶段可实施。</w:t>
      </w:r>
    </w:p>
    <w:p w14:paraId="25EEEDCD" w14:textId="77777777" w:rsidR="00F6437D" w:rsidRDefault="00000000" w:rsidP="00005EA8">
      <w:pPr>
        <w:spacing w:after="120" w:line="360" w:lineRule="auto"/>
        <w:ind w:firstLine="480"/>
        <w:jc w:val="both"/>
      </w:pPr>
      <w:r>
        <w:rPr>
          <w:rFonts w:eastAsia="宋体"/>
          <w:sz w:val="24"/>
          <w:szCs w:val="24"/>
        </w:rPr>
        <w:t>6</w:t>
      </w:r>
      <w:r>
        <w:rPr>
          <w:rFonts w:eastAsia="宋体"/>
          <w:sz w:val="24"/>
          <w:szCs w:val="24"/>
        </w:rPr>
        <w:t>、本大纲的计量性能要求、通用技术要求、试验方法和判定准则相互对应，要求、试验项目、试验方法条款前后呼应，形成完整闭环的评价体系。</w:t>
      </w:r>
    </w:p>
    <w:p w14:paraId="5A25A6D1" w14:textId="77777777" w:rsidR="00F6437D" w:rsidRDefault="00000000" w:rsidP="00005EA8">
      <w:pPr>
        <w:spacing w:after="120" w:line="360" w:lineRule="auto"/>
        <w:ind w:firstLine="480"/>
        <w:jc w:val="both"/>
      </w:pPr>
      <w:r>
        <w:rPr>
          <w:rFonts w:eastAsia="宋体"/>
          <w:sz w:val="24"/>
          <w:szCs w:val="24"/>
        </w:rPr>
        <w:t>7</w:t>
      </w:r>
      <w:r>
        <w:rPr>
          <w:rFonts w:eastAsia="宋体"/>
          <w:sz w:val="24"/>
          <w:szCs w:val="24"/>
        </w:rPr>
        <w:t>、本大纲在与国际技术文件保持衔接的同时，立足我国现阶段充电计量技术和监管实际，对暂时不具备实施条件的国际文件要求不作简单采纳。</w:t>
      </w:r>
    </w:p>
    <w:p w14:paraId="717D757E" w14:textId="77777777" w:rsidR="00F6437D" w:rsidRDefault="00000000" w:rsidP="00005EA8">
      <w:pPr>
        <w:spacing w:after="120" w:line="360" w:lineRule="auto"/>
        <w:ind w:firstLine="480"/>
        <w:jc w:val="both"/>
      </w:pPr>
      <w:r>
        <w:rPr>
          <w:rFonts w:eastAsia="宋体"/>
          <w:sz w:val="24"/>
          <w:szCs w:val="24"/>
        </w:rPr>
        <w:t>本大纲编制过程中主要参考和引用的文件如下：</w:t>
      </w:r>
    </w:p>
    <w:p w14:paraId="75114D3E" w14:textId="77777777" w:rsidR="00F6437D" w:rsidRDefault="00000000" w:rsidP="00005EA8">
      <w:pPr>
        <w:spacing w:after="120" w:line="360" w:lineRule="auto"/>
        <w:ind w:firstLine="480"/>
        <w:jc w:val="both"/>
      </w:pPr>
      <w:r>
        <w:rPr>
          <w:rFonts w:eastAsia="宋体"/>
          <w:sz w:val="24"/>
          <w:szCs w:val="24"/>
        </w:rPr>
        <w:lastRenderedPageBreak/>
        <w:t>（</w:t>
      </w:r>
      <w:r>
        <w:rPr>
          <w:rFonts w:eastAsia="宋体"/>
          <w:sz w:val="24"/>
          <w:szCs w:val="24"/>
        </w:rPr>
        <w:t>1</w:t>
      </w:r>
      <w:r>
        <w:rPr>
          <w:rFonts w:eastAsia="宋体"/>
          <w:sz w:val="24"/>
          <w:szCs w:val="24"/>
        </w:rPr>
        <w:t>）</w:t>
      </w:r>
      <w:r>
        <w:rPr>
          <w:rFonts w:eastAsia="宋体"/>
          <w:sz w:val="24"/>
          <w:szCs w:val="24"/>
        </w:rPr>
        <w:t>OIML R 22</w:t>
      </w:r>
      <w:r>
        <w:rPr>
          <w:rFonts w:eastAsia="宋体"/>
          <w:sz w:val="24"/>
          <w:szCs w:val="24"/>
        </w:rPr>
        <w:t>《</w:t>
      </w:r>
      <w:r>
        <w:rPr>
          <w:rFonts w:eastAsia="宋体"/>
          <w:sz w:val="24"/>
          <w:szCs w:val="24"/>
        </w:rPr>
        <w:t>Electric vehicle supply equipment</w:t>
      </w:r>
      <w:r>
        <w:rPr>
          <w:rFonts w:eastAsia="宋体"/>
          <w:sz w:val="24"/>
          <w:szCs w:val="24"/>
        </w:rPr>
        <w:t>》（制定中，第</w:t>
      </w:r>
      <w:r>
        <w:rPr>
          <w:rFonts w:eastAsia="宋体"/>
          <w:sz w:val="24"/>
          <w:szCs w:val="24"/>
        </w:rPr>
        <w:t>3</w:t>
      </w:r>
      <w:r>
        <w:rPr>
          <w:rFonts w:eastAsia="宋体"/>
          <w:sz w:val="24"/>
          <w:szCs w:val="24"/>
        </w:rPr>
        <w:t>工作组草案）；</w:t>
      </w:r>
    </w:p>
    <w:p w14:paraId="33CD4813"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2</w:t>
      </w:r>
      <w:r>
        <w:rPr>
          <w:rFonts w:eastAsia="宋体"/>
          <w:sz w:val="24"/>
          <w:szCs w:val="24"/>
        </w:rPr>
        <w:t>）</w:t>
      </w:r>
      <w:r>
        <w:rPr>
          <w:rFonts w:eastAsia="宋体"/>
          <w:sz w:val="24"/>
          <w:szCs w:val="24"/>
        </w:rPr>
        <w:t>OIML G 22:2022</w:t>
      </w:r>
      <w:r>
        <w:rPr>
          <w:rFonts w:eastAsia="宋体"/>
          <w:sz w:val="24"/>
          <w:szCs w:val="24"/>
        </w:rPr>
        <w:t>《</w:t>
      </w:r>
      <w:r>
        <w:rPr>
          <w:rFonts w:eastAsia="宋体"/>
          <w:sz w:val="24"/>
          <w:szCs w:val="24"/>
        </w:rPr>
        <w:t>Electric vehicle supply equipment — Metrological and technical requirements</w:t>
      </w:r>
      <w:r>
        <w:rPr>
          <w:rFonts w:eastAsia="宋体"/>
          <w:sz w:val="24"/>
          <w:szCs w:val="24"/>
        </w:rPr>
        <w:t>》；</w:t>
      </w:r>
    </w:p>
    <w:p w14:paraId="6552C0D0"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3</w:t>
      </w:r>
      <w:r>
        <w:rPr>
          <w:rFonts w:eastAsia="宋体"/>
          <w:sz w:val="24"/>
          <w:szCs w:val="24"/>
        </w:rPr>
        <w:t>）</w:t>
      </w:r>
      <w:r>
        <w:rPr>
          <w:rFonts w:eastAsia="宋体"/>
          <w:sz w:val="24"/>
          <w:szCs w:val="24"/>
        </w:rPr>
        <w:t>OIML D 31:2023</w:t>
      </w:r>
      <w:r>
        <w:rPr>
          <w:rFonts w:eastAsia="宋体"/>
          <w:sz w:val="24"/>
          <w:szCs w:val="24"/>
        </w:rPr>
        <w:t>《</w:t>
      </w:r>
      <w:r>
        <w:rPr>
          <w:rFonts w:eastAsia="宋体"/>
          <w:sz w:val="24"/>
          <w:szCs w:val="24"/>
        </w:rPr>
        <w:t>General requirements for software-controlled measuring instruments</w:t>
      </w:r>
      <w:r>
        <w:rPr>
          <w:rFonts w:eastAsia="宋体"/>
          <w:sz w:val="24"/>
          <w:szCs w:val="24"/>
        </w:rPr>
        <w:t>》；</w:t>
      </w:r>
    </w:p>
    <w:p w14:paraId="32BBE971"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4</w:t>
      </w:r>
      <w:r>
        <w:rPr>
          <w:rFonts w:eastAsia="宋体"/>
          <w:sz w:val="24"/>
          <w:szCs w:val="24"/>
        </w:rPr>
        <w:t>）</w:t>
      </w:r>
      <w:r>
        <w:rPr>
          <w:rFonts w:eastAsia="宋体"/>
          <w:sz w:val="24"/>
          <w:szCs w:val="24"/>
        </w:rPr>
        <w:t>JJF 1015-2014</w:t>
      </w:r>
      <w:r>
        <w:rPr>
          <w:rFonts w:eastAsia="宋体"/>
          <w:sz w:val="24"/>
          <w:szCs w:val="24"/>
        </w:rPr>
        <w:t>《计量器具型式评价和型式批准通用规范》；</w:t>
      </w:r>
    </w:p>
    <w:p w14:paraId="6DF773E2"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5</w:t>
      </w:r>
      <w:r>
        <w:rPr>
          <w:rFonts w:eastAsia="宋体"/>
          <w:sz w:val="24"/>
          <w:szCs w:val="24"/>
        </w:rPr>
        <w:t>）</w:t>
      </w:r>
      <w:r>
        <w:rPr>
          <w:rFonts w:eastAsia="宋体"/>
          <w:sz w:val="24"/>
          <w:szCs w:val="24"/>
        </w:rPr>
        <w:t>JJF 1016-2014</w:t>
      </w:r>
      <w:r>
        <w:rPr>
          <w:rFonts w:eastAsia="宋体"/>
          <w:sz w:val="24"/>
          <w:szCs w:val="24"/>
        </w:rPr>
        <w:t>《计量器具型式评价大纲编写导则》；</w:t>
      </w:r>
    </w:p>
    <w:p w14:paraId="49258B27"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6</w:t>
      </w:r>
      <w:r>
        <w:rPr>
          <w:rFonts w:eastAsia="宋体"/>
          <w:sz w:val="24"/>
          <w:szCs w:val="24"/>
        </w:rPr>
        <w:t>）</w:t>
      </w:r>
      <w:r>
        <w:rPr>
          <w:rFonts w:eastAsia="宋体"/>
          <w:sz w:val="24"/>
          <w:szCs w:val="24"/>
        </w:rPr>
        <w:t>JJG 1148-2022</w:t>
      </w:r>
      <w:r>
        <w:rPr>
          <w:rFonts w:eastAsia="宋体"/>
          <w:sz w:val="24"/>
          <w:szCs w:val="24"/>
        </w:rPr>
        <w:t>《电动汽车交流充电桩检定规程（试行）》；</w:t>
      </w:r>
    </w:p>
    <w:p w14:paraId="4058404B"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7</w:t>
      </w:r>
      <w:r>
        <w:rPr>
          <w:rFonts w:eastAsia="宋体"/>
          <w:sz w:val="24"/>
          <w:szCs w:val="24"/>
        </w:rPr>
        <w:t>）</w:t>
      </w:r>
      <w:r>
        <w:rPr>
          <w:rFonts w:eastAsia="宋体"/>
          <w:sz w:val="24"/>
          <w:szCs w:val="24"/>
        </w:rPr>
        <w:t>JJG 1149-2022</w:t>
      </w:r>
      <w:r>
        <w:rPr>
          <w:rFonts w:eastAsia="宋体"/>
          <w:sz w:val="24"/>
          <w:szCs w:val="24"/>
        </w:rPr>
        <w:t>《电动汽车非车载充电机检定规程（试行）》；</w:t>
      </w:r>
    </w:p>
    <w:p w14:paraId="14A75105" w14:textId="77777777" w:rsidR="00F6437D" w:rsidRDefault="00000000" w:rsidP="00C932F0">
      <w:pPr>
        <w:spacing w:after="120" w:line="360" w:lineRule="auto"/>
        <w:ind w:firstLine="482"/>
        <w:jc w:val="both"/>
      </w:pPr>
      <w:r>
        <w:rPr>
          <w:rFonts w:eastAsia="宋体"/>
          <w:sz w:val="24"/>
          <w:szCs w:val="24"/>
        </w:rPr>
        <w:t>（</w:t>
      </w:r>
      <w:r>
        <w:rPr>
          <w:rFonts w:eastAsia="宋体"/>
          <w:sz w:val="24"/>
          <w:szCs w:val="24"/>
        </w:rPr>
        <w:t>8</w:t>
      </w:r>
      <w:r>
        <w:rPr>
          <w:rFonts w:eastAsia="宋体"/>
          <w:sz w:val="24"/>
          <w:szCs w:val="24"/>
        </w:rPr>
        <w:t>）</w:t>
      </w:r>
      <w:r>
        <w:rPr>
          <w:rFonts w:eastAsia="宋体"/>
          <w:sz w:val="24"/>
          <w:szCs w:val="24"/>
        </w:rPr>
        <w:t>JJF 1245.1-2019</w:t>
      </w:r>
      <w:r>
        <w:rPr>
          <w:rFonts w:eastAsia="宋体"/>
          <w:sz w:val="24"/>
          <w:szCs w:val="24"/>
        </w:rPr>
        <w:t>《安装式交流电能表型式评价大纲</w:t>
      </w:r>
      <w:r>
        <w:rPr>
          <w:rFonts w:eastAsia="宋体"/>
          <w:sz w:val="24"/>
          <w:szCs w:val="24"/>
        </w:rPr>
        <w:t xml:space="preserve"> </w:t>
      </w:r>
      <w:r>
        <w:rPr>
          <w:rFonts w:eastAsia="宋体"/>
          <w:sz w:val="24"/>
          <w:szCs w:val="24"/>
        </w:rPr>
        <w:t>有功电能表》；</w:t>
      </w:r>
    </w:p>
    <w:p w14:paraId="71DBE323" w14:textId="77777777" w:rsidR="00F6437D" w:rsidRDefault="00000000" w:rsidP="00C932F0">
      <w:pPr>
        <w:spacing w:after="120" w:line="360" w:lineRule="auto"/>
        <w:ind w:firstLine="482"/>
        <w:jc w:val="both"/>
      </w:pPr>
      <w:r>
        <w:rPr>
          <w:rFonts w:eastAsia="宋体"/>
          <w:sz w:val="24"/>
          <w:szCs w:val="24"/>
        </w:rPr>
        <w:t>（</w:t>
      </w:r>
      <w:r>
        <w:rPr>
          <w:rFonts w:eastAsia="宋体"/>
          <w:sz w:val="24"/>
          <w:szCs w:val="24"/>
        </w:rPr>
        <w:t>9</w:t>
      </w:r>
      <w:r>
        <w:rPr>
          <w:rFonts w:eastAsia="宋体"/>
          <w:sz w:val="24"/>
          <w:szCs w:val="24"/>
        </w:rPr>
        <w:t>）</w:t>
      </w:r>
      <w:r>
        <w:rPr>
          <w:rFonts w:eastAsia="宋体"/>
          <w:sz w:val="24"/>
          <w:szCs w:val="24"/>
        </w:rPr>
        <w:t>GB/T 28569-2024</w:t>
      </w:r>
      <w:r>
        <w:rPr>
          <w:rFonts w:eastAsia="宋体"/>
          <w:sz w:val="24"/>
          <w:szCs w:val="24"/>
        </w:rPr>
        <w:t>《电动汽车交流充电桩电能计量》；</w:t>
      </w:r>
    </w:p>
    <w:p w14:paraId="1BA5AA02" w14:textId="77777777" w:rsidR="00F6437D" w:rsidRDefault="00000000" w:rsidP="00C932F0">
      <w:pPr>
        <w:spacing w:after="120" w:line="360" w:lineRule="auto"/>
        <w:ind w:firstLine="482"/>
        <w:jc w:val="both"/>
      </w:pPr>
      <w:r>
        <w:rPr>
          <w:rFonts w:eastAsia="宋体"/>
          <w:sz w:val="24"/>
          <w:szCs w:val="24"/>
        </w:rPr>
        <w:t>（</w:t>
      </w:r>
      <w:r>
        <w:rPr>
          <w:rFonts w:eastAsia="宋体"/>
          <w:sz w:val="24"/>
          <w:szCs w:val="24"/>
        </w:rPr>
        <w:t>10</w:t>
      </w:r>
      <w:r>
        <w:rPr>
          <w:rFonts w:eastAsia="宋体"/>
          <w:sz w:val="24"/>
          <w:szCs w:val="24"/>
        </w:rPr>
        <w:t>）</w:t>
      </w:r>
      <w:r>
        <w:rPr>
          <w:rFonts w:eastAsia="宋体"/>
          <w:sz w:val="24"/>
          <w:szCs w:val="24"/>
        </w:rPr>
        <w:t>GB/T 29318-2024</w:t>
      </w:r>
      <w:r>
        <w:rPr>
          <w:rFonts w:eastAsia="宋体"/>
          <w:sz w:val="24"/>
          <w:szCs w:val="24"/>
        </w:rPr>
        <w:t>《电动汽车非车载充电机电能计量》；</w:t>
      </w:r>
    </w:p>
    <w:p w14:paraId="3D77BE9B"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11</w:t>
      </w:r>
      <w:r>
        <w:rPr>
          <w:rFonts w:eastAsia="宋体"/>
          <w:sz w:val="24"/>
          <w:szCs w:val="24"/>
        </w:rPr>
        <w:t>）</w:t>
      </w:r>
      <w:r>
        <w:rPr>
          <w:rFonts w:eastAsia="宋体"/>
          <w:sz w:val="24"/>
          <w:szCs w:val="24"/>
        </w:rPr>
        <w:t>GB/T 18487.1-2023</w:t>
      </w:r>
      <w:r>
        <w:rPr>
          <w:rFonts w:eastAsia="宋体"/>
          <w:sz w:val="24"/>
          <w:szCs w:val="24"/>
        </w:rPr>
        <w:t>《电动汽车传导充电系统</w:t>
      </w:r>
      <w:r>
        <w:rPr>
          <w:rFonts w:eastAsia="宋体"/>
          <w:sz w:val="24"/>
          <w:szCs w:val="24"/>
        </w:rPr>
        <w:t xml:space="preserve"> </w:t>
      </w:r>
      <w:r>
        <w:rPr>
          <w:rFonts w:eastAsia="宋体"/>
          <w:sz w:val="24"/>
          <w:szCs w:val="24"/>
        </w:rPr>
        <w:t>第</w:t>
      </w:r>
      <w:r>
        <w:rPr>
          <w:rFonts w:eastAsia="宋体"/>
          <w:sz w:val="24"/>
          <w:szCs w:val="24"/>
        </w:rPr>
        <w:t>1</w:t>
      </w:r>
      <w:r>
        <w:rPr>
          <w:rFonts w:eastAsia="宋体"/>
          <w:sz w:val="24"/>
          <w:szCs w:val="24"/>
        </w:rPr>
        <w:t>部分：通用要求》；</w:t>
      </w:r>
    </w:p>
    <w:p w14:paraId="35D81CC5"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12</w:t>
      </w:r>
      <w:r>
        <w:rPr>
          <w:rFonts w:eastAsia="宋体"/>
          <w:sz w:val="24"/>
          <w:szCs w:val="24"/>
        </w:rPr>
        <w:t>）</w:t>
      </w:r>
      <w:r>
        <w:rPr>
          <w:rFonts w:eastAsia="宋体"/>
          <w:sz w:val="24"/>
          <w:szCs w:val="24"/>
        </w:rPr>
        <w:t>GB/T 18487.2-2026</w:t>
      </w:r>
      <w:r>
        <w:rPr>
          <w:rFonts w:eastAsia="宋体"/>
          <w:sz w:val="24"/>
          <w:szCs w:val="24"/>
        </w:rPr>
        <w:t>《电动汽车传导充电系统</w:t>
      </w:r>
      <w:r>
        <w:rPr>
          <w:rFonts w:eastAsia="宋体"/>
          <w:sz w:val="24"/>
          <w:szCs w:val="24"/>
        </w:rPr>
        <w:t xml:space="preserve"> </w:t>
      </w:r>
      <w:r>
        <w:rPr>
          <w:rFonts w:eastAsia="宋体"/>
          <w:sz w:val="24"/>
          <w:szCs w:val="24"/>
        </w:rPr>
        <w:t>第</w:t>
      </w:r>
      <w:r>
        <w:rPr>
          <w:rFonts w:eastAsia="宋体"/>
          <w:sz w:val="24"/>
          <w:szCs w:val="24"/>
        </w:rPr>
        <w:t>2</w:t>
      </w:r>
      <w:r>
        <w:rPr>
          <w:rFonts w:eastAsia="宋体"/>
          <w:sz w:val="24"/>
          <w:szCs w:val="24"/>
        </w:rPr>
        <w:t>部分：非车载传导供电设备电磁兼容要求》；</w:t>
      </w:r>
    </w:p>
    <w:p w14:paraId="3ED490F3"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13</w:t>
      </w:r>
      <w:r>
        <w:rPr>
          <w:rFonts w:eastAsia="宋体"/>
          <w:sz w:val="24"/>
          <w:szCs w:val="24"/>
        </w:rPr>
        <w:t>）</w:t>
      </w:r>
      <w:r>
        <w:rPr>
          <w:rFonts w:eastAsia="宋体"/>
          <w:sz w:val="24"/>
          <w:szCs w:val="24"/>
        </w:rPr>
        <w:t>GB/T 20234.1-2023</w:t>
      </w:r>
      <w:r>
        <w:rPr>
          <w:rFonts w:eastAsia="宋体"/>
          <w:sz w:val="24"/>
          <w:szCs w:val="24"/>
        </w:rPr>
        <w:t>《电动汽车传导充电用连接装置</w:t>
      </w:r>
      <w:r>
        <w:rPr>
          <w:rFonts w:eastAsia="宋体"/>
          <w:sz w:val="24"/>
          <w:szCs w:val="24"/>
        </w:rPr>
        <w:t xml:space="preserve"> </w:t>
      </w:r>
      <w:r>
        <w:rPr>
          <w:rFonts w:eastAsia="宋体"/>
          <w:sz w:val="24"/>
          <w:szCs w:val="24"/>
        </w:rPr>
        <w:t>第</w:t>
      </w:r>
      <w:r>
        <w:rPr>
          <w:rFonts w:eastAsia="宋体"/>
          <w:sz w:val="24"/>
          <w:szCs w:val="24"/>
        </w:rPr>
        <w:t>1</w:t>
      </w:r>
      <w:r>
        <w:rPr>
          <w:rFonts w:eastAsia="宋体"/>
          <w:sz w:val="24"/>
          <w:szCs w:val="24"/>
        </w:rPr>
        <w:t>部分：通用要求》；</w:t>
      </w:r>
    </w:p>
    <w:p w14:paraId="7BC99CE1"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14</w:t>
      </w:r>
      <w:r>
        <w:rPr>
          <w:rFonts w:eastAsia="宋体"/>
          <w:sz w:val="24"/>
          <w:szCs w:val="24"/>
        </w:rPr>
        <w:t>）</w:t>
      </w:r>
      <w:r>
        <w:rPr>
          <w:rFonts w:eastAsia="宋体"/>
          <w:sz w:val="24"/>
          <w:szCs w:val="24"/>
        </w:rPr>
        <w:t>NB/T 33001-2025</w:t>
      </w:r>
      <w:r>
        <w:rPr>
          <w:rFonts w:eastAsia="宋体"/>
          <w:sz w:val="24"/>
          <w:szCs w:val="24"/>
        </w:rPr>
        <w:t>《电动汽车非车载传导式充电机技术条件》；</w:t>
      </w:r>
    </w:p>
    <w:p w14:paraId="00946571"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15</w:t>
      </w:r>
      <w:r>
        <w:rPr>
          <w:rFonts w:eastAsia="宋体"/>
          <w:sz w:val="24"/>
          <w:szCs w:val="24"/>
        </w:rPr>
        <w:t>）</w:t>
      </w:r>
      <w:r>
        <w:rPr>
          <w:rFonts w:eastAsia="宋体"/>
          <w:sz w:val="24"/>
          <w:szCs w:val="24"/>
        </w:rPr>
        <w:t>GB/T 17215.9321-2016</w:t>
      </w:r>
      <w:r>
        <w:rPr>
          <w:rFonts w:eastAsia="宋体"/>
          <w:sz w:val="24"/>
          <w:szCs w:val="24"/>
        </w:rPr>
        <w:t>《电测量设备</w:t>
      </w:r>
      <w:r>
        <w:rPr>
          <w:rFonts w:eastAsia="宋体"/>
          <w:sz w:val="24"/>
          <w:szCs w:val="24"/>
        </w:rPr>
        <w:t xml:space="preserve"> </w:t>
      </w:r>
      <w:r>
        <w:rPr>
          <w:rFonts w:eastAsia="宋体"/>
          <w:sz w:val="24"/>
          <w:szCs w:val="24"/>
        </w:rPr>
        <w:t>可信性</w:t>
      </w:r>
      <w:r>
        <w:rPr>
          <w:rFonts w:eastAsia="宋体"/>
          <w:sz w:val="24"/>
          <w:szCs w:val="24"/>
        </w:rPr>
        <w:t xml:space="preserve"> </w:t>
      </w:r>
      <w:r>
        <w:rPr>
          <w:rFonts w:eastAsia="宋体"/>
          <w:sz w:val="24"/>
          <w:szCs w:val="24"/>
        </w:rPr>
        <w:t>第</w:t>
      </w:r>
      <w:r>
        <w:rPr>
          <w:rFonts w:eastAsia="宋体"/>
          <w:sz w:val="24"/>
          <w:szCs w:val="24"/>
        </w:rPr>
        <w:t>321</w:t>
      </w:r>
      <w:r>
        <w:rPr>
          <w:rFonts w:eastAsia="宋体"/>
          <w:sz w:val="24"/>
          <w:szCs w:val="24"/>
        </w:rPr>
        <w:t>部分：耐久性</w:t>
      </w:r>
      <w:r>
        <w:rPr>
          <w:rFonts w:eastAsia="宋体"/>
          <w:sz w:val="24"/>
          <w:szCs w:val="24"/>
        </w:rPr>
        <w:t>-</w:t>
      </w:r>
      <w:r>
        <w:rPr>
          <w:rFonts w:eastAsia="宋体"/>
          <w:sz w:val="24"/>
          <w:szCs w:val="24"/>
        </w:rPr>
        <w:t>高温下的计量特性稳定性试验》；</w:t>
      </w:r>
    </w:p>
    <w:p w14:paraId="580463B6"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16</w:t>
      </w:r>
      <w:r>
        <w:rPr>
          <w:rFonts w:eastAsia="宋体"/>
          <w:sz w:val="24"/>
          <w:szCs w:val="24"/>
        </w:rPr>
        <w:t>）</w:t>
      </w:r>
      <w:r>
        <w:rPr>
          <w:rFonts w:eastAsia="宋体"/>
          <w:sz w:val="24"/>
          <w:szCs w:val="24"/>
        </w:rPr>
        <w:t>GB/T 42555-2023</w:t>
      </w:r>
      <w:r>
        <w:rPr>
          <w:rFonts w:eastAsia="宋体"/>
          <w:sz w:val="24"/>
          <w:szCs w:val="24"/>
        </w:rPr>
        <w:t>《计量器具控制软件的通用要求》；</w:t>
      </w:r>
    </w:p>
    <w:p w14:paraId="3B7217C8"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17</w:t>
      </w:r>
      <w:r>
        <w:rPr>
          <w:rFonts w:eastAsia="宋体"/>
          <w:sz w:val="24"/>
          <w:szCs w:val="24"/>
        </w:rPr>
        <w:t>）</w:t>
      </w:r>
      <w:r>
        <w:rPr>
          <w:rFonts w:eastAsia="宋体"/>
          <w:sz w:val="24"/>
          <w:szCs w:val="24"/>
        </w:rPr>
        <w:t>JJF 1182-2021</w:t>
      </w:r>
      <w:r>
        <w:rPr>
          <w:rFonts w:eastAsia="宋体"/>
          <w:sz w:val="24"/>
          <w:szCs w:val="24"/>
        </w:rPr>
        <w:t>《计量器具软件测评指南》；</w:t>
      </w:r>
    </w:p>
    <w:p w14:paraId="230730B8"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18</w:t>
      </w:r>
      <w:r>
        <w:rPr>
          <w:rFonts w:eastAsia="宋体"/>
          <w:sz w:val="24"/>
          <w:szCs w:val="24"/>
        </w:rPr>
        <w:t>）</w:t>
      </w:r>
      <w:r>
        <w:rPr>
          <w:rFonts w:eastAsia="宋体"/>
          <w:sz w:val="24"/>
          <w:szCs w:val="24"/>
        </w:rPr>
        <w:t>JJF 2356-2025</w:t>
      </w:r>
      <w:r>
        <w:rPr>
          <w:rFonts w:eastAsia="宋体"/>
          <w:sz w:val="24"/>
          <w:szCs w:val="24"/>
        </w:rPr>
        <w:t>《计量器具软件标识通用要求》；</w:t>
      </w:r>
    </w:p>
    <w:p w14:paraId="65E4CD3F"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19</w:t>
      </w:r>
      <w:r>
        <w:rPr>
          <w:rFonts w:eastAsia="宋体"/>
          <w:sz w:val="24"/>
          <w:szCs w:val="24"/>
        </w:rPr>
        <w:t>）</w:t>
      </w:r>
      <w:r>
        <w:rPr>
          <w:rFonts w:eastAsia="宋体"/>
          <w:sz w:val="24"/>
          <w:szCs w:val="24"/>
        </w:rPr>
        <w:t>IEC 61851-21-2:2018</w:t>
      </w:r>
      <w:r>
        <w:rPr>
          <w:rFonts w:eastAsia="宋体"/>
          <w:sz w:val="24"/>
          <w:szCs w:val="24"/>
        </w:rPr>
        <w:t>《</w:t>
      </w:r>
      <w:r>
        <w:rPr>
          <w:rFonts w:eastAsia="宋体"/>
          <w:sz w:val="24"/>
          <w:szCs w:val="24"/>
        </w:rPr>
        <w:t>Electric vehicle conductive charging system — Part 21-2: EMC requirements for OFF-board electric vehicle charging systems</w:t>
      </w:r>
      <w:r>
        <w:rPr>
          <w:rFonts w:eastAsia="宋体"/>
          <w:sz w:val="24"/>
          <w:szCs w:val="24"/>
        </w:rPr>
        <w:t>》；</w:t>
      </w:r>
    </w:p>
    <w:p w14:paraId="15A2D1E4"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20</w:t>
      </w:r>
      <w:r>
        <w:rPr>
          <w:rFonts w:eastAsia="宋体"/>
          <w:sz w:val="24"/>
          <w:szCs w:val="24"/>
        </w:rPr>
        <w:t>）</w:t>
      </w:r>
      <w:r>
        <w:rPr>
          <w:rFonts w:eastAsia="宋体"/>
          <w:sz w:val="24"/>
          <w:szCs w:val="24"/>
        </w:rPr>
        <w:t>IEC 60068</w:t>
      </w:r>
      <w:r>
        <w:rPr>
          <w:rFonts w:eastAsia="宋体"/>
          <w:sz w:val="24"/>
          <w:szCs w:val="24"/>
        </w:rPr>
        <w:t>系列《环境试验》和</w:t>
      </w:r>
      <w:r>
        <w:rPr>
          <w:rFonts w:eastAsia="宋体"/>
          <w:sz w:val="24"/>
          <w:szCs w:val="24"/>
        </w:rPr>
        <w:t>IEC 61000-4</w:t>
      </w:r>
      <w:r>
        <w:rPr>
          <w:rFonts w:eastAsia="宋体"/>
          <w:sz w:val="24"/>
          <w:szCs w:val="24"/>
        </w:rPr>
        <w:t>系列《电磁兼容</w:t>
      </w:r>
      <w:r>
        <w:rPr>
          <w:rFonts w:eastAsia="宋体"/>
          <w:sz w:val="24"/>
          <w:szCs w:val="24"/>
        </w:rPr>
        <w:t xml:space="preserve"> </w:t>
      </w:r>
      <w:r>
        <w:rPr>
          <w:rFonts w:eastAsia="宋体"/>
          <w:sz w:val="24"/>
          <w:szCs w:val="24"/>
        </w:rPr>
        <w:t>试验和测量技</w:t>
      </w:r>
      <w:r>
        <w:rPr>
          <w:rFonts w:eastAsia="宋体"/>
          <w:sz w:val="24"/>
          <w:szCs w:val="24"/>
        </w:rPr>
        <w:lastRenderedPageBreak/>
        <w:t>术》。</w:t>
      </w:r>
    </w:p>
    <w:p w14:paraId="225ACFCD" w14:textId="77777777" w:rsidR="00F6437D" w:rsidRDefault="00000000" w:rsidP="00005EA8">
      <w:pPr>
        <w:pStyle w:val="1"/>
        <w:spacing w:before="360" w:after="200"/>
        <w:jc w:val="both"/>
        <w:rPr>
          <w:rFonts w:eastAsia="黑体"/>
          <w:b/>
          <w:bCs/>
          <w:color w:val="auto"/>
          <w:sz w:val="28"/>
          <w:szCs w:val="28"/>
        </w:rPr>
      </w:pPr>
      <w:bookmarkStart w:id="5" w:name="_Toc240793134"/>
      <w:proofErr w:type="gramStart"/>
      <w:r w:rsidRPr="00506F13">
        <w:rPr>
          <w:rFonts w:eastAsia="黑体"/>
          <w:b/>
          <w:bCs/>
          <w:color w:val="auto"/>
          <w:sz w:val="28"/>
          <w:szCs w:val="28"/>
        </w:rPr>
        <w:t xml:space="preserve">4  </w:t>
      </w:r>
      <w:r w:rsidRPr="00506F13">
        <w:rPr>
          <w:rFonts w:eastAsia="黑体"/>
          <w:b/>
          <w:bCs/>
          <w:color w:val="auto"/>
          <w:sz w:val="28"/>
          <w:szCs w:val="28"/>
        </w:rPr>
        <w:t>编制过程</w:t>
      </w:r>
      <w:bookmarkEnd w:id="5"/>
      <w:proofErr w:type="gramEnd"/>
    </w:p>
    <w:p w14:paraId="057CBC1A" w14:textId="67FEDF9D" w:rsidR="005252A2" w:rsidRPr="005252A2" w:rsidRDefault="005252A2" w:rsidP="00005EA8">
      <w:pPr>
        <w:spacing w:line="360" w:lineRule="auto"/>
        <w:ind w:firstLineChars="200" w:firstLine="480"/>
        <w:jc w:val="both"/>
        <w:rPr>
          <w:rFonts w:ascii="宋体" w:eastAsia="宋体" w:hAnsi="宋体" w:hint="eastAsia"/>
          <w:sz w:val="24"/>
          <w:szCs w:val="24"/>
        </w:rPr>
      </w:pPr>
      <w:r w:rsidRPr="005252A2">
        <w:rPr>
          <w:rFonts w:ascii="宋体" w:eastAsia="宋体" w:hAnsi="宋体" w:hint="eastAsia"/>
          <w:sz w:val="24"/>
          <w:szCs w:val="24"/>
        </w:rPr>
        <w:t>核心专家组：</w:t>
      </w:r>
      <w:r w:rsidRPr="005252A2">
        <w:rPr>
          <w:rFonts w:ascii="宋体" w:eastAsia="宋体" w:hAnsi="宋体" w:hint="eastAsia"/>
          <w:sz w:val="24"/>
          <w:szCs w:val="24"/>
        </w:rPr>
        <w:t>中国计量院</w:t>
      </w:r>
      <w:r w:rsidRPr="005252A2">
        <w:rPr>
          <w:rFonts w:ascii="宋体" w:eastAsia="宋体" w:hAnsi="宋体" w:hint="eastAsia"/>
          <w:sz w:val="24"/>
          <w:szCs w:val="24"/>
        </w:rPr>
        <w:t>、</w:t>
      </w:r>
      <w:r w:rsidRPr="005252A2">
        <w:rPr>
          <w:rFonts w:ascii="宋体" w:eastAsia="宋体" w:hAnsi="宋体" w:hint="eastAsia"/>
          <w:sz w:val="24"/>
          <w:szCs w:val="24"/>
        </w:rPr>
        <w:t>浙江省质科院</w:t>
      </w:r>
      <w:r w:rsidRPr="005252A2">
        <w:rPr>
          <w:rFonts w:ascii="宋体" w:eastAsia="宋体" w:hAnsi="宋体" w:hint="eastAsia"/>
          <w:sz w:val="24"/>
          <w:szCs w:val="24"/>
        </w:rPr>
        <w:t>、</w:t>
      </w:r>
      <w:r w:rsidRPr="005252A2">
        <w:rPr>
          <w:rFonts w:ascii="宋体" w:eastAsia="宋体" w:hAnsi="宋体" w:hint="eastAsia"/>
          <w:sz w:val="24"/>
          <w:szCs w:val="24"/>
        </w:rPr>
        <w:t>河南省计量院</w:t>
      </w:r>
      <w:r w:rsidRPr="005252A2">
        <w:rPr>
          <w:rFonts w:ascii="宋体" w:eastAsia="宋体" w:hAnsi="宋体" w:hint="eastAsia"/>
          <w:sz w:val="24"/>
          <w:szCs w:val="24"/>
        </w:rPr>
        <w:t>、</w:t>
      </w:r>
      <w:r w:rsidRPr="005252A2">
        <w:rPr>
          <w:rFonts w:ascii="宋体" w:eastAsia="宋体" w:hAnsi="宋体" w:hint="eastAsia"/>
          <w:sz w:val="24"/>
          <w:szCs w:val="24"/>
        </w:rPr>
        <w:t>广东省计量院、充电桩厂家等</w:t>
      </w:r>
    </w:p>
    <w:p w14:paraId="1D48DC75" w14:textId="1E5B5D3E" w:rsidR="005252A2" w:rsidRPr="005252A2" w:rsidRDefault="005252A2" w:rsidP="00005EA8">
      <w:pPr>
        <w:spacing w:line="360" w:lineRule="auto"/>
        <w:ind w:firstLineChars="200" w:firstLine="480"/>
        <w:jc w:val="both"/>
        <w:rPr>
          <w:rFonts w:ascii="宋体" w:eastAsia="宋体" w:hAnsi="宋体" w:hint="eastAsia"/>
          <w:sz w:val="24"/>
          <w:szCs w:val="24"/>
        </w:rPr>
      </w:pPr>
      <w:r w:rsidRPr="005252A2">
        <w:rPr>
          <w:rFonts w:ascii="宋体" w:eastAsia="宋体" w:hAnsi="宋体" w:hint="eastAsia"/>
          <w:sz w:val="24"/>
          <w:szCs w:val="24"/>
        </w:rPr>
        <w:t>讨论形式：网络会议+集中会议</w:t>
      </w:r>
    </w:p>
    <w:p w14:paraId="0F3E3206" w14:textId="6A44C4A5" w:rsidR="005252A2" w:rsidRPr="005252A2" w:rsidRDefault="005252A2" w:rsidP="00005EA8">
      <w:pPr>
        <w:spacing w:line="360" w:lineRule="auto"/>
        <w:ind w:firstLineChars="200" w:firstLine="480"/>
        <w:jc w:val="both"/>
        <w:rPr>
          <w:rFonts w:ascii="宋体" w:eastAsia="宋体" w:hAnsi="宋体" w:hint="eastAsia"/>
          <w:sz w:val="24"/>
          <w:szCs w:val="24"/>
        </w:rPr>
      </w:pPr>
      <w:r w:rsidRPr="005252A2">
        <w:rPr>
          <w:rFonts w:ascii="宋体" w:eastAsia="宋体" w:hAnsi="宋体" w:hint="eastAsia"/>
          <w:sz w:val="24"/>
          <w:szCs w:val="24"/>
        </w:rPr>
        <w:t>每周例会</w:t>
      </w:r>
      <w:r w:rsidRPr="005252A2">
        <w:rPr>
          <w:rFonts w:ascii="宋体" w:eastAsia="宋体" w:hAnsi="宋体" w:hint="eastAsia"/>
          <w:sz w:val="24"/>
          <w:szCs w:val="24"/>
        </w:rPr>
        <w:t>：</w:t>
      </w:r>
      <w:r w:rsidRPr="005252A2">
        <w:rPr>
          <w:rFonts w:ascii="宋体" w:eastAsia="宋体" w:hAnsi="宋体" w:hint="eastAsia"/>
          <w:sz w:val="24"/>
          <w:szCs w:val="24"/>
        </w:rPr>
        <w:t>周</w:t>
      </w:r>
      <w:r w:rsidRPr="005252A2">
        <w:rPr>
          <w:rFonts w:ascii="宋体" w:eastAsia="宋体" w:hAnsi="宋体" w:hint="eastAsia"/>
          <w:sz w:val="24"/>
          <w:szCs w:val="24"/>
        </w:rPr>
        <w:t>五下</w:t>
      </w:r>
      <w:r w:rsidRPr="005252A2">
        <w:rPr>
          <w:rFonts w:ascii="宋体" w:eastAsia="宋体" w:hAnsi="宋体" w:hint="eastAsia"/>
          <w:sz w:val="24"/>
          <w:szCs w:val="24"/>
        </w:rPr>
        <w:t>午</w:t>
      </w:r>
    </w:p>
    <w:p w14:paraId="6011C886" w14:textId="317826AD" w:rsidR="005252A2" w:rsidRPr="005252A2" w:rsidRDefault="005252A2" w:rsidP="00005EA8">
      <w:pPr>
        <w:spacing w:line="360" w:lineRule="auto"/>
        <w:ind w:firstLineChars="200" w:firstLine="480"/>
        <w:jc w:val="both"/>
        <w:rPr>
          <w:rFonts w:ascii="宋体" w:eastAsia="宋体" w:hAnsi="宋体" w:hint="eastAsia"/>
          <w:sz w:val="24"/>
          <w:szCs w:val="24"/>
        </w:rPr>
      </w:pPr>
      <w:r w:rsidRPr="005252A2">
        <w:rPr>
          <w:rFonts w:ascii="宋体" w:eastAsia="宋体" w:hAnsi="宋体" w:hint="eastAsia"/>
          <w:sz w:val="24"/>
          <w:szCs w:val="24"/>
        </w:rPr>
        <w:t>专题会议：重点解决关键技术热点问题</w:t>
      </w:r>
    </w:p>
    <w:p w14:paraId="10E2B940" w14:textId="77777777" w:rsidR="00F6437D" w:rsidRPr="00506F13" w:rsidRDefault="00000000" w:rsidP="00005EA8">
      <w:pPr>
        <w:pStyle w:val="1"/>
        <w:spacing w:before="360" w:after="200"/>
        <w:jc w:val="both"/>
        <w:rPr>
          <w:color w:val="auto"/>
          <w:sz w:val="28"/>
          <w:szCs w:val="28"/>
        </w:rPr>
      </w:pPr>
      <w:bookmarkStart w:id="6" w:name="_Toc240793135"/>
      <w:proofErr w:type="gramStart"/>
      <w:r w:rsidRPr="00506F13">
        <w:rPr>
          <w:rFonts w:eastAsia="黑体"/>
          <w:b/>
          <w:bCs/>
          <w:color w:val="auto"/>
          <w:sz w:val="28"/>
          <w:szCs w:val="28"/>
        </w:rPr>
        <w:t xml:space="preserve">5  </w:t>
      </w:r>
      <w:r w:rsidRPr="00506F13">
        <w:rPr>
          <w:rFonts w:eastAsia="黑体"/>
          <w:b/>
          <w:bCs/>
          <w:color w:val="auto"/>
          <w:sz w:val="28"/>
          <w:szCs w:val="28"/>
        </w:rPr>
        <w:t>主要内容说明</w:t>
      </w:r>
      <w:bookmarkEnd w:id="6"/>
      <w:proofErr w:type="gramEnd"/>
    </w:p>
    <w:p w14:paraId="64E9948E" w14:textId="77777777" w:rsidR="00F6437D" w:rsidRPr="00506F13" w:rsidRDefault="00000000" w:rsidP="00005EA8">
      <w:pPr>
        <w:pStyle w:val="2"/>
        <w:spacing w:before="280" w:after="160"/>
        <w:jc w:val="both"/>
        <w:rPr>
          <w:color w:val="auto"/>
          <w:sz w:val="28"/>
          <w:szCs w:val="28"/>
        </w:rPr>
      </w:pPr>
      <w:bookmarkStart w:id="7" w:name="_Toc240793136"/>
      <w:proofErr w:type="gramStart"/>
      <w:r w:rsidRPr="00506F13">
        <w:rPr>
          <w:rFonts w:eastAsia="黑体"/>
          <w:b/>
          <w:bCs/>
          <w:color w:val="auto"/>
          <w:sz w:val="28"/>
          <w:szCs w:val="28"/>
        </w:rPr>
        <w:t xml:space="preserve">5.1  </w:t>
      </w:r>
      <w:r w:rsidRPr="00506F13">
        <w:rPr>
          <w:rFonts w:eastAsia="黑体"/>
          <w:b/>
          <w:bCs/>
          <w:color w:val="auto"/>
          <w:sz w:val="28"/>
          <w:szCs w:val="28"/>
        </w:rPr>
        <w:t>系列总体结构</w:t>
      </w:r>
      <w:bookmarkEnd w:id="7"/>
      <w:proofErr w:type="gramEnd"/>
    </w:p>
    <w:p w14:paraId="6FF4F049" w14:textId="77777777" w:rsidR="00F6437D" w:rsidRDefault="00000000" w:rsidP="00005EA8">
      <w:pPr>
        <w:spacing w:after="120" w:line="360" w:lineRule="auto"/>
        <w:ind w:firstLine="480"/>
        <w:jc w:val="both"/>
      </w:pPr>
      <w:r>
        <w:rPr>
          <w:rFonts w:eastAsia="宋体"/>
          <w:sz w:val="24"/>
          <w:szCs w:val="24"/>
        </w:rPr>
        <w:t>本大纲由三个部分构成：第</w:t>
      </w:r>
      <w:r>
        <w:rPr>
          <w:rFonts w:eastAsia="宋体"/>
          <w:sz w:val="24"/>
          <w:szCs w:val="24"/>
        </w:rPr>
        <w:t>1</w:t>
      </w:r>
      <w:r>
        <w:rPr>
          <w:rFonts w:eastAsia="宋体"/>
          <w:sz w:val="24"/>
          <w:szCs w:val="24"/>
        </w:rPr>
        <w:t>部分《通用要求》、第</w:t>
      </w:r>
      <w:r>
        <w:rPr>
          <w:rFonts w:eastAsia="宋体"/>
          <w:sz w:val="24"/>
          <w:szCs w:val="24"/>
        </w:rPr>
        <w:t>2</w:t>
      </w:r>
      <w:r>
        <w:rPr>
          <w:rFonts w:eastAsia="宋体"/>
          <w:sz w:val="24"/>
          <w:szCs w:val="24"/>
        </w:rPr>
        <w:t>部分《电动汽车交流充电桩》、第</w:t>
      </w:r>
      <w:r>
        <w:rPr>
          <w:rFonts w:eastAsia="宋体"/>
          <w:sz w:val="24"/>
          <w:szCs w:val="24"/>
        </w:rPr>
        <w:t>3</w:t>
      </w:r>
      <w:r>
        <w:rPr>
          <w:rFonts w:eastAsia="宋体"/>
          <w:sz w:val="24"/>
          <w:szCs w:val="24"/>
        </w:rPr>
        <w:t>部分《电动汽车非车载充电机》。</w:t>
      </w:r>
    </w:p>
    <w:p w14:paraId="22B32585" w14:textId="5C5B6EAF" w:rsidR="00F6437D" w:rsidRDefault="00000000" w:rsidP="00005EA8">
      <w:pPr>
        <w:spacing w:after="120" w:line="360" w:lineRule="auto"/>
        <w:ind w:firstLine="480"/>
        <w:jc w:val="both"/>
      </w:pPr>
      <w:r>
        <w:rPr>
          <w:rFonts w:eastAsia="宋体"/>
          <w:sz w:val="24"/>
          <w:szCs w:val="24"/>
        </w:rPr>
        <w:t>采用</w:t>
      </w:r>
      <w:r w:rsidR="00005EA8">
        <w:rPr>
          <w:rFonts w:eastAsia="宋体" w:hint="eastAsia"/>
          <w:sz w:val="24"/>
          <w:szCs w:val="24"/>
        </w:rPr>
        <w:t>“</w:t>
      </w:r>
      <w:r w:rsidR="00005EA8">
        <w:rPr>
          <w:rFonts w:eastAsia="宋体"/>
          <w:sz w:val="24"/>
          <w:szCs w:val="24"/>
        </w:rPr>
        <w:t>通用要求＋专用要求</w:t>
      </w:r>
      <w:r w:rsidR="00005EA8">
        <w:rPr>
          <w:rFonts w:eastAsia="宋体" w:hint="eastAsia"/>
          <w:sz w:val="24"/>
          <w:szCs w:val="24"/>
        </w:rPr>
        <w:t>”</w:t>
      </w:r>
      <w:r>
        <w:rPr>
          <w:rFonts w:eastAsia="宋体"/>
          <w:sz w:val="24"/>
          <w:szCs w:val="24"/>
        </w:rPr>
        <w:t>的系列化结构，主要考虑如下：一是交流充电桩和非车载充电机在法制管理要求、计量要求框架、通用技术要求（适用性、数据访问、软件、耐久性等）、型式评价项目设置和通用试验程序等方面存在大量共性内容，集中在第</w:t>
      </w:r>
      <w:r>
        <w:rPr>
          <w:rFonts w:eastAsia="宋体"/>
          <w:sz w:val="24"/>
          <w:szCs w:val="24"/>
        </w:rPr>
        <w:t>1</w:t>
      </w:r>
      <w:r>
        <w:rPr>
          <w:rFonts w:eastAsia="宋体"/>
          <w:sz w:val="24"/>
          <w:szCs w:val="24"/>
        </w:rPr>
        <w:t>部分规定，可以避免重复，保证两类产品技术要求的一致性；二是两类产品在电能计量原理、额定工作条件、计量性能指标、影响量和干扰项目及试验方法等方面存在明显差异，需要在专用部分分别规定；三是系列化结构便于与</w:t>
      </w:r>
      <w:r>
        <w:rPr>
          <w:rFonts w:eastAsia="宋体"/>
          <w:sz w:val="24"/>
          <w:szCs w:val="24"/>
        </w:rPr>
        <w:t>OIML R 22</w:t>
      </w:r>
      <w:r>
        <w:rPr>
          <w:rFonts w:eastAsia="宋体"/>
          <w:sz w:val="24"/>
          <w:szCs w:val="24"/>
        </w:rPr>
        <w:t>（制定中）</w:t>
      </w:r>
      <w:r w:rsidR="00005EA8">
        <w:rPr>
          <w:rFonts w:eastAsia="宋体" w:hint="eastAsia"/>
          <w:sz w:val="24"/>
          <w:szCs w:val="24"/>
        </w:rPr>
        <w:t>“</w:t>
      </w:r>
      <w:r w:rsidR="00005EA8">
        <w:rPr>
          <w:rFonts w:eastAsia="宋体"/>
          <w:sz w:val="24"/>
          <w:szCs w:val="24"/>
        </w:rPr>
        <w:t>通用要求＋专用要求</w:t>
      </w:r>
      <w:r w:rsidR="00005EA8">
        <w:rPr>
          <w:rFonts w:eastAsia="宋体" w:hint="eastAsia"/>
          <w:sz w:val="24"/>
          <w:szCs w:val="24"/>
        </w:rPr>
        <w:t>”</w:t>
      </w:r>
      <w:r>
        <w:rPr>
          <w:rFonts w:eastAsia="宋体"/>
          <w:sz w:val="24"/>
          <w:szCs w:val="24"/>
        </w:rPr>
        <w:t>的文件架构对应，也为今后扩展其他类型供电设备（如无线充电设备）预留了体系空间。</w:t>
      </w:r>
    </w:p>
    <w:p w14:paraId="4DB322AD" w14:textId="18EB9277" w:rsidR="00F6437D" w:rsidRDefault="00000000" w:rsidP="00005EA8">
      <w:pPr>
        <w:spacing w:after="120" w:line="360" w:lineRule="auto"/>
        <w:ind w:firstLine="480"/>
        <w:jc w:val="both"/>
      </w:pPr>
      <w:r>
        <w:rPr>
          <w:rFonts w:eastAsia="宋体"/>
          <w:sz w:val="24"/>
          <w:szCs w:val="24"/>
        </w:rPr>
        <w:t>三部分之间的引用关系为：专用部分中大量条款直接引用第</w:t>
      </w:r>
      <w:r>
        <w:rPr>
          <w:rFonts w:eastAsia="宋体"/>
          <w:sz w:val="24"/>
          <w:szCs w:val="24"/>
        </w:rPr>
        <w:t>1</w:t>
      </w:r>
      <w:r>
        <w:rPr>
          <w:rFonts w:eastAsia="宋体"/>
          <w:sz w:val="24"/>
          <w:szCs w:val="24"/>
        </w:rPr>
        <w:t>部分（表述为</w:t>
      </w:r>
      <w:r w:rsidR="00005EA8">
        <w:rPr>
          <w:rFonts w:eastAsia="宋体" w:hint="eastAsia"/>
          <w:sz w:val="24"/>
          <w:szCs w:val="24"/>
        </w:rPr>
        <w:t>“</w:t>
      </w:r>
      <w:r w:rsidR="00005EA8">
        <w:rPr>
          <w:rFonts w:eastAsia="宋体"/>
          <w:sz w:val="24"/>
          <w:szCs w:val="24"/>
        </w:rPr>
        <w:t>见</w:t>
      </w:r>
      <w:r w:rsidR="00005EA8">
        <w:rPr>
          <w:rFonts w:eastAsia="宋体"/>
          <w:sz w:val="24"/>
          <w:szCs w:val="24"/>
        </w:rPr>
        <w:t>JJF XXXX.1</w:t>
      </w:r>
      <w:r w:rsidR="00005EA8">
        <w:rPr>
          <w:rFonts w:eastAsia="宋体" w:hint="eastAsia"/>
          <w:sz w:val="24"/>
          <w:szCs w:val="24"/>
        </w:rPr>
        <w:t>”</w:t>
      </w:r>
      <w:r>
        <w:rPr>
          <w:rFonts w:eastAsia="宋体"/>
          <w:sz w:val="24"/>
          <w:szCs w:val="24"/>
        </w:rPr>
        <w:t>），专用部分仅规定差异化的专用要求和全部试验方法。型式评价时，第</w:t>
      </w:r>
      <w:r>
        <w:rPr>
          <w:rFonts w:eastAsia="宋体"/>
          <w:sz w:val="24"/>
          <w:szCs w:val="24"/>
        </w:rPr>
        <w:t>1</w:t>
      </w:r>
      <w:r>
        <w:rPr>
          <w:rFonts w:eastAsia="宋体"/>
          <w:sz w:val="24"/>
          <w:szCs w:val="24"/>
        </w:rPr>
        <w:t>部分与相应专用部分应配合使用。</w:t>
      </w:r>
    </w:p>
    <w:p w14:paraId="6C462C00" w14:textId="77777777" w:rsidR="00F6437D" w:rsidRPr="00B1521A" w:rsidRDefault="00000000" w:rsidP="00005EA8">
      <w:pPr>
        <w:pStyle w:val="2"/>
        <w:spacing w:before="280" w:after="160"/>
        <w:jc w:val="both"/>
        <w:rPr>
          <w:color w:val="auto"/>
        </w:rPr>
      </w:pPr>
      <w:bookmarkStart w:id="8" w:name="_Toc240793137"/>
      <w:proofErr w:type="gramStart"/>
      <w:r w:rsidRPr="00B1521A">
        <w:rPr>
          <w:rFonts w:eastAsia="黑体"/>
          <w:b/>
          <w:bCs/>
          <w:color w:val="auto"/>
          <w:sz w:val="28"/>
          <w:szCs w:val="28"/>
        </w:rPr>
        <w:t xml:space="preserve">5.2  </w:t>
      </w:r>
      <w:r w:rsidRPr="00B1521A">
        <w:rPr>
          <w:rFonts w:eastAsia="黑体"/>
          <w:b/>
          <w:bCs/>
          <w:color w:val="auto"/>
          <w:sz w:val="28"/>
          <w:szCs w:val="28"/>
        </w:rPr>
        <w:t>适用范围</w:t>
      </w:r>
      <w:bookmarkEnd w:id="8"/>
      <w:proofErr w:type="gramEnd"/>
    </w:p>
    <w:p w14:paraId="5B12DE14" w14:textId="77777777" w:rsidR="00F6437D" w:rsidRDefault="00000000" w:rsidP="00005EA8">
      <w:pPr>
        <w:spacing w:after="120" w:line="360" w:lineRule="auto"/>
        <w:ind w:firstLine="480"/>
        <w:jc w:val="both"/>
      </w:pPr>
      <w:r>
        <w:rPr>
          <w:rFonts w:eastAsia="宋体"/>
          <w:sz w:val="24"/>
          <w:szCs w:val="24"/>
        </w:rPr>
        <w:t>本大纲第</w:t>
      </w:r>
      <w:r>
        <w:rPr>
          <w:rFonts w:eastAsia="宋体"/>
          <w:sz w:val="24"/>
          <w:szCs w:val="24"/>
        </w:rPr>
        <w:t>1</w:t>
      </w:r>
      <w:r>
        <w:rPr>
          <w:rFonts w:eastAsia="宋体"/>
          <w:sz w:val="24"/>
          <w:szCs w:val="24"/>
        </w:rPr>
        <w:t>部分适用于分类编码为</w:t>
      </w:r>
      <w:r>
        <w:rPr>
          <w:rFonts w:eastAsia="宋体"/>
          <w:sz w:val="24"/>
          <w:szCs w:val="24"/>
        </w:rPr>
        <w:t>15900000</w:t>
      </w:r>
      <w:r>
        <w:rPr>
          <w:rFonts w:eastAsia="宋体"/>
          <w:sz w:val="24"/>
          <w:szCs w:val="24"/>
        </w:rPr>
        <w:t>的电动汽车供电设备（</w:t>
      </w:r>
      <w:r>
        <w:rPr>
          <w:rFonts w:eastAsia="宋体"/>
          <w:sz w:val="24"/>
          <w:szCs w:val="24"/>
        </w:rPr>
        <w:t>EVSE</w:t>
      </w:r>
      <w:r>
        <w:rPr>
          <w:rFonts w:eastAsia="宋体"/>
          <w:sz w:val="24"/>
          <w:szCs w:val="24"/>
        </w:rPr>
        <w:t>，包括非车载充电机和交流充电桩）的型式评价，规定仅适用于有功电能测量以及交易计费核算，不适用于电动汽车无线充电系统。第</w:t>
      </w:r>
      <w:r>
        <w:rPr>
          <w:rFonts w:eastAsia="宋体"/>
          <w:sz w:val="24"/>
          <w:szCs w:val="24"/>
        </w:rPr>
        <w:t>2</w:t>
      </w:r>
      <w:r>
        <w:rPr>
          <w:rFonts w:eastAsia="宋体"/>
          <w:sz w:val="24"/>
          <w:szCs w:val="24"/>
        </w:rPr>
        <w:t>部分适用于在频率为</w:t>
      </w:r>
      <w:r>
        <w:rPr>
          <w:rFonts w:eastAsia="宋体"/>
          <w:sz w:val="24"/>
          <w:szCs w:val="24"/>
        </w:rPr>
        <w:t>50 Hz</w:t>
      </w:r>
      <w:r>
        <w:rPr>
          <w:rFonts w:eastAsia="宋体"/>
          <w:sz w:val="24"/>
          <w:szCs w:val="24"/>
        </w:rPr>
        <w:t>或</w:t>
      </w:r>
      <w:r>
        <w:rPr>
          <w:rFonts w:eastAsia="宋体"/>
          <w:sz w:val="24"/>
          <w:szCs w:val="24"/>
        </w:rPr>
        <w:t>60 Hz</w:t>
      </w:r>
      <w:r>
        <w:rPr>
          <w:rFonts w:eastAsia="宋体"/>
          <w:sz w:val="24"/>
          <w:szCs w:val="24"/>
        </w:rPr>
        <w:t>电网</w:t>
      </w:r>
      <w:r>
        <w:rPr>
          <w:rFonts w:eastAsia="宋体"/>
          <w:sz w:val="24"/>
          <w:szCs w:val="24"/>
        </w:rPr>
        <w:lastRenderedPageBreak/>
        <w:t>中安装使用的电动汽车交流充电桩；第</w:t>
      </w:r>
      <w:r>
        <w:rPr>
          <w:rFonts w:eastAsia="宋体"/>
          <w:sz w:val="24"/>
          <w:szCs w:val="24"/>
        </w:rPr>
        <w:t>3</w:t>
      </w:r>
      <w:r>
        <w:rPr>
          <w:rFonts w:eastAsia="宋体"/>
          <w:sz w:val="24"/>
          <w:szCs w:val="24"/>
        </w:rPr>
        <w:t>部分适用于供电网侧额定电压不超过</w:t>
      </w:r>
      <w:r>
        <w:rPr>
          <w:rFonts w:eastAsia="宋体"/>
          <w:sz w:val="24"/>
          <w:szCs w:val="24"/>
        </w:rPr>
        <w:t>1000 V AC</w:t>
      </w:r>
      <w:r>
        <w:rPr>
          <w:rFonts w:eastAsia="宋体"/>
          <w:sz w:val="24"/>
          <w:szCs w:val="24"/>
        </w:rPr>
        <w:t>或</w:t>
      </w:r>
      <w:r>
        <w:rPr>
          <w:rFonts w:eastAsia="宋体"/>
          <w:sz w:val="24"/>
          <w:szCs w:val="24"/>
        </w:rPr>
        <w:t>1500 V DC</w:t>
      </w:r>
      <w:r>
        <w:rPr>
          <w:rFonts w:eastAsia="宋体"/>
          <w:sz w:val="24"/>
          <w:szCs w:val="24"/>
        </w:rPr>
        <w:t>、额定输出最大电压不超过</w:t>
      </w:r>
      <w:r>
        <w:rPr>
          <w:rFonts w:eastAsia="宋体"/>
          <w:sz w:val="24"/>
          <w:szCs w:val="24"/>
        </w:rPr>
        <w:t>1500 V DC</w:t>
      </w:r>
      <w:r>
        <w:rPr>
          <w:rFonts w:eastAsia="宋体"/>
          <w:sz w:val="24"/>
          <w:szCs w:val="24"/>
        </w:rPr>
        <w:t>的电动汽车非车载充电机。</w:t>
      </w:r>
    </w:p>
    <w:p w14:paraId="7DDE9C9F" w14:textId="77777777" w:rsidR="00F6437D" w:rsidRDefault="00000000" w:rsidP="00005EA8">
      <w:pPr>
        <w:spacing w:after="120" w:line="360" w:lineRule="auto"/>
        <w:ind w:firstLine="480"/>
        <w:jc w:val="both"/>
      </w:pPr>
      <w:r>
        <w:rPr>
          <w:rFonts w:eastAsia="宋体"/>
          <w:sz w:val="24"/>
          <w:szCs w:val="24"/>
        </w:rPr>
        <w:t>适用范围的界定主要考虑：一是与《实施强制管理的计量器具目录》中电动汽车充电桩的管理范围相衔接，按计量器具分类编码界定评价对象，便于型式评价工作的受理和实施；二是无线充电系统的计量原理、计量点设置和试验方法与传导式充电设备差异较大，国际上相关技术要求尚不成熟，现阶段不纳入本大纲；三是电压范围的设定覆盖了我国现行充电产品的主流电压等级，与</w:t>
      </w:r>
      <w:r>
        <w:rPr>
          <w:rFonts w:eastAsia="宋体"/>
          <w:sz w:val="24"/>
          <w:szCs w:val="24"/>
        </w:rPr>
        <w:t>GB/T 18487.1-2023</w:t>
      </w:r>
      <w:r>
        <w:rPr>
          <w:rFonts w:eastAsia="宋体"/>
          <w:sz w:val="24"/>
          <w:szCs w:val="24"/>
        </w:rPr>
        <w:t>等产品标准协调。</w:t>
      </w:r>
    </w:p>
    <w:p w14:paraId="602B8D86" w14:textId="77777777" w:rsidR="00F6437D" w:rsidRPr="00B1521A" w:rsidRDefault="00000000" w:rsidP="00005EA8">
      <w:pPr>
        <w:pStyle w:val="2"/>
        <w:spacing w:before="280" w:after="160"/>
        <w:jc w:val="both"/>
        <w:rPr>
          <w:color w:val="auto"/>
        </w:rPr>
      </w:pPr>
      <w:bookmarkStart w:id="9" w:name="_Toc240793138"/>
      <w:proofErr w:type="gramStart"/>
      <w:r w:rsidRPr="00B1521A">
        <w:rPr>
          <w:rFonts w:eastAsia="黑体"/>
          <w:b/>
          <w:bCs/>
          <w:color w:val="auto"/>
          <w:sz w:val="28"/>
          <w:szCs w:val="28"/>
        </w:rPr>
        <w:t xml:space="preserve">5.3  </w:t>
      </w:r>
      <w:r w:rsidRPr="00B1521A">
        <w:rPr>
          <w:rFonts w:eastAsia="黑体"/>
          <w:b/>
          <w:bCs/>
          <w:color w:val="auto"/>
          <w:sz w:val="28"/>
          <w:szCs w:val="28"/>
        </w:rPr>
        <w:t>术语和定义</w:t>
      </w:r>
      <w:bookmarkEnd w:id="9"/>
      <w:proofErr w:type="gramEnd"/>
    </w:p>
    <w:p w14:paraId="01E14100" w14:textId="77777777" w:rsidR="00F6437D" w:rsidRDefault="00000000" w:rsidP="00005EA8">
      <w:pPr>
        <w:spacing w:after="120" w:line="360" w:lineRule="auto"/>
        <w:ind w:firstLine="480"/>
        <w:jc w:val="both"/>
      </w:pPr>
      <w:r>
        <w:rPr>
          <w:rFonts w:eastAsia="宋体"/>
          <w:sz w:val="24"/>
          <w:szCs w:val="24"/>
        </w:rPr>
        <w:t>本大纲的术语体系主要参考</w:t>
      </w:r>
      <w:r>
        <w:rPr>
          <w:rFonts w:eastAsia="宋体"/>
          <w:sz w:val="24"/>
          <w:szCs w:val="24"/>
        </w:rPr>
        <w:t>OIML R 22</w:t>
      </w:r>
      <w:r>
        <w:rPr>
          <w:rFonts w:eastAsia="宋体"/>
          <w:sz w:val="24"/>
          <w:szCs w:val="24"/>
        </w:rPr>
        <w:t>（制定中）建立，包括电动汽车供电设备、充电终端、充电连接点、计量点、客户端界面、寄存器、交易、最小被测量、额定工作条件、参比条件、基本最大允许误差（</w:t>
      </w:r>
      <w:r>
        <w:rPr>
          <w:rFonts w:eastAsia="宋体"/>
          <w:sz w:val="24"/>
          <w:szCs w:val="24"/>
        </w:rPr>
        <w:t>BMPE</w:t>
      </w:r>
      <w:r>
        <w:rPr>
          <w:rFonts w:eastAsia="宋体"/>
          <w:sz w:val="24"/>
          <w:szCs w:val="24"/>
        </w:rPr>
        <w:t>）、误差偏移等术语，并在术语条目中标注了来源（如</w:t>
      </w:r>
      <w:r>
        <w:rPr>
          <w:rFonts w:eastAsia="宋体"/>
          <w:sz w:val="24"/>
          <w:szCs w:val="24"/>
        </w:rPr>
        <w:t>"[</w:t>
      </w:r>
      <w:r>
        <w:rPr>
          <w:rFonts w:eastAsia="宋体"/>
          <w:sz w:val="24"/>
          <w:szCs w:val="24"/>
        </w:rPr>
        <w:t>来源：</w:t>
      </w:r>
      <w:r>
        <w:rPr>
          <w:rFonts w:eastAsia="宋体"/>
          <w:sz w:val="24"/>
          <w:szCs w:val="24"/>
        </w:rPr>
        <w:t>OIML R22</w:t>
      </w:r>
      <w:r>
        <w:rPr>
          <w:rFonts w:eastAsia="宋体"/>
          <w:sz w:val="24"/>
          <w:szCs w:val="24"/>
        </w:rPr>
        <w:t>，</w:t>
      </w:r>
      <w:r>
        <w:rPr>
          <w:rFonts w:eastAsia="宋体"/>
          <w:sz w:val="24"/>
          <w:szCs w:val="24"/>
        </w:rPr>
        <w:t>2.3.1]"</w:t>
      </w:r>
      <w:r>
        <w:rPr>
          <w:rFonts w:eastAsia="宋体"/>
          <w:sz w:val="24"/>
          <w:szCs w:val="24"/>
        </w:rPr>
        <w:t>），便于与国际文件对照和后续修订维护。</w:t>
      </w:r>
    </w:p>
    <w:p w14:paraId="39873F05" w14:textId="77777777" w:rsidR="00F6437D" w:rsidRDefault="00000000" w:rsidP="00005EA8">
      <w:pPr>
        <w:spacing w:after="120" w:line="360" w:lineRule="auto"/>
        <w:ind w:firstLine="480"/>
        <w:jc w:val="both"/>
      </w:pPr>
      <w:r>
        <w:rPr>
          <w:rFonts w:eastAsia="宋体"/>
          <w:sz w:val="24"/>
          <w:szCs w:val="24"/>
        </w:rPr>
        <w:t>同时，结合我国计量技术规范体系，补充了与我国现行检定规程和产品标准相衔接的术语。术语定义与</w:t>
      </w:r>
      <w:r>
        <w:rPr>
          <w:rFonts w:eastAsia="宋体"/>
          <w:sz w:val="24"/>
          <w:szCs w:val="24"/>
        </w:rPr>
        <w:t>JJG 1148-2022</w:t>
      </w:r>
      <w:r>
        <w:rPr>
          <w:rFonts w:eastAsia="宋体"/>
          <w:sz w:val="24"/>
          <w:szCs w:val="24"/>
        </w:rPr>
        <w:t>、</w:t>
      </w:r>
      <w:r>
        <w:rPr>
          <w:rFonts w:eastAsia="宋体"/>
          <w:sz w:val="24"/>
          <w:szCs w:val="24"/>
        </w:rPr>
        <w:t>JJG 1149-2022</w:t>
      </w:r>
      <w:r>
        <w:rPr>
          <w:rFonts w:eastAsia="宋体"/>
          <w:sz w:val="24"/>
          <w:szCs w:val="24"/>
        </w:rPr>
        <w:t>及</w:t>
      </w:r>
      <w:r>
        <w:rPr>
          <w:rFonts w:eastAsia="宋体"/>
          <w:sz w:val="24"/>
          <w:szCs w:val="24"/>
        </w:rPr>
        <w:t>GB/T 28569-2024</w:t>
      </w:r>
      <w:r>
        <w:rPr>
          <w:rFonts w:eastAsia="宋体"/>
          <w:sz w:val="24"/>
          <w:szCs w:val="24"/>
        </w:rPr>
        <w:t>、</w:t>
      </w:r>
      <w:r>
        <w:rPr>
          <w:rFonts w:eastAsia="宋体"/>
          <w:sz w:val="24"/>
          <w:szCs w:val="24"/>
        </w:rPr>
        <w:t>GB/T 29318-2024</w:t>
      </w:r>
      <w:r>
        <w:rPr>
          <w:rFonts w:eastAsia="宋体"/>
          <w:sz w:val="24"/>
          <w:szCs w:val="24"/>
        </w:rPr>
        <w:t>保持一致，避免同一概念在不同技术文件中表述不一致。</w:t>
      </w:r>
    </w:p>
    <w:p w14:paraId="14896821" w14:textId="77777777" w:rsidR="00F6437D" w:rsidRPr="00B1521A" w:rsidRDefault="00000000" w:rsidP="00005EA8">
      <w:pPr>
        <w:pStyle w:val="2"/>
        <w:spacing w:before="280" w:after="160"/>
        <w:jc w:val="both"/>
        <w:rPr>
          <w:color w:val="auto"/>
        </w:rPr>
      </w:pPr>
      <w:bookmarkStart w:id="10" w:name="_Toc240793139"/>
      <w:proofErr w:type="gramStart"/>
      <w:r w:rsidRPr="00B1521A">
        <w:rPr>
          <w:rFonts w:eastAsia="黑体"/>
          <w:b/>
          <w:bCs/>
          <w:color w:val="auto"/>
          <w:sz w:val="28"/>
          <w:szCs w:val="28"/>
        </w:rPr>
        <w:t xml:space="preserve">5.4  </w:t>
      </w:r>
      <w:r w:rsidRPr="00B1521A">
        <w:rPr>
          <w:rFonts w:eastAsia="黑体"/>
          <w:b/>
          <w:bCs/>
          <w:color w:val="auto"/>
          <w:sz w:val="28"/>
          <w:szCs w:val="28"/>
        </w:rPr>
        <w:t>计量要求</w:t>
      </w:r>
      <w:bookmarkEnd w:id="10"/>
      <w:proofErr w:type="gramEnd"/>
    </w:p>
    <w:p w14:paraId="766C8523"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1</w:t>
      </w:r>
      <w:r>
        <w:rPr>
          <w:rFonts w:eastAsia="宋体"/>
          <w:sz w:val="24"/>
          <w:szCs w:val="24"/>
        </w:rPr>
        <w:t>）准确度等级。本大纲将电动汽车供电设备的准确度等级规定为</w:t>
      </w:r>
      <w:r>
        <w:rPr>
          <w:rFonts w:eastAsia="宋体"/>
          <w:sz w:val="24"/>
          <w:szCs w:val="24"/>
        </w:rPr>
        <w:t>A</w:t>
      </w:r>
      <w:r>
        <w:rPr>
          <w:rFonts w:eastAsia="宋体"/>
          <w:sz w:val="24"/>
          <w:szCs w:val="24"/>
        </w:rPr>
        <w:t>级（</w:t>
      </w:r>
      <w:r>
        <w:rPr>
          <w:rFonts w:eastAsia="宋体"/>
          <w:sz w:val="24"/>
          <w:szCs w:val="24"/>
        </w:rPr>
        <w:t>2</w:t>
      </w:r>
      <w:r>
        <w:rPr>
          <w:rFonts w:eastAsia="宋体"/>
          <w:sz w:val="24"/>
          <w:szCs w:val="24"/>
        </w:rPr>
        <w:t>级）、</w:t>
      </w:r>
      <w:r>
        <w:rPr>
          <w:rFonts w:eastAsia="宋体"/>
          <w:sz w:val="24"/>
          <w:szCs w:val="24"/>
        </w:rPr>
        <w:t>B</w:t>
      </w:r>
      <w:r>
        <w:rPr>
          <w:rFonts w:eastAsia="宋体"/>
          <w:sz w:val="24"/>
          <w:szCs w:val="24"/>
        </w:rPr>
        <w:t>级（</w:t>
      </w:r>
      <w:r>
        <w:rPr>
          <w:rFonts w:eastAsia="宋体"/>
          <w:sz w:val="24"/>
          <w:szCs w:val="24"/>
        </w:rPr>
        <w:t>1</w:t>
      </w:r>
      <w:r>
        <w:rPr>
          <w:rFonts w:eastAsia="宋体"/>
          <w:sz w:val="24"/>
          <w:szCs w:val="24"/>
        </w:rPr>
        <w:t>级）、</w:t>
      </w:r>
      <w:r>
        <w:rPr>
          <w:rFonts w:eastAsia="宋体"/>
          <w:sz w:val="24"/>
          <w:szCs w:val="24"/>
        </w:rPr>
        <w:t>C</w:t>
      </w:r>
      <w:r>
        <w:rPr>
          <w:rFonts w:eastAsia="宋体"/>
          <w:sz w:val="24"/>
          <w:szCs w:val="24"/>
        </w:rPr>
        <w:t>级（</w:t>
      </w:r>
      <w:r>
        <w:rPr>
          <w:rFonts w:eastAsia="宋体"/>
          <w:sz w:val="24"/>
          <w:szCs w:val="24"/>
        </w:rPr>
        <w:t>0.5</w:t>
      </w:r>
      <w:r>
        <w:rPr>
          <w:rFonts w:eastAsia="宋体"/>
          <w:sz w:val="24"/>
          <w:szCs w:val="24"/>
        </w:rPr>
        <w:t>级），与</w:t>
      </w:r>
      <w:r>
        <w:rPr>
          <w:rFonts w:eastAsia="宋体"/>
          <w:sz w:val="24"/>
          <w:szCs w:val="24"/>
        </w:rPr>
        <w:t>OIML R 22</w:t>
      </w:r>
      <w:r>
        <w:rPr>
          <w:rFonts w:eastAsia="宋体"/>
          <w:sz w:val="24"/>
          <w:szCs w:val="24"/>
        </w:rPr>
        <w:t>（制定中）的等级划分一致，也与</w:t>
      </w:r>
      <w:r>
        <w:rPr>
          <w:rFonts w:eastAsia="宋体"/>
          <w:sz w:val="24"/>
          <w:szCs w:val="24"/>
        </w:rPr>
        <w:t>JJG 1148-2022</w:t>
      </w:r>
      <w:r>
        <w:rPr>
          <w:rFonts w:eastAsia="宋体"/>
          <w:sz w:val="24"/>
          <w:szCs w:val="24"/>
        </w:rPr>
        <w:t>、</w:t>
      </w:r>
      <w:r>
        <w:rPr>
          <w:rFonts w:eastAsia="宋体"/>
          <w:sz w:val="24"/>
          <w:szCs w:val="24"/>
        </w:rPr>
        <w:t>JJG 1149-2022</w:t>
      </w:r>
      <w:r>
        <w:rPr>
          <w:rFonts w:eastAsia="宋体"/>
          <w:sz w:val="24"/>
          <w:szCs w:val="24"/>
        </w:rPr>
        <w:t>的等级设置协调，覆盖我国充电产品的主流准确度水平。</w:t>
      </w:r>
    </w:p>
    <w:p w14:paraId="3C3C9709" w14:textId="071D7DE3" w:rsidR="00F6437D" w:rsidRDefault="00000000" w:rsidP="00005EA8">
      <w:pPr>
        <w:spacing w:after="120" w:line="360" w:lineRule="auto"/>
        <w:ind w:firstLine="480"/>
        <w:jc w:val="both"/>
      </w:pPr>
      <w:r>
        <w:rPr>
          <w:rFonts w:eastAsia="宋体"/>
          <w:sz w:val="24"/>
          <w:szCs w:val="24"/>
        </w:rPr>
        <w:t>（</w:t>
      </w:r>
      <w:r>
        <w:rPr>
          <w:rFonts w:eastAsia="宋体"/>
          <w:sz w:val="24"/>
          <w:szCs w:val="24"/>
        </w:rPr>
        <w:t>2</w:t>
      </w:r>
      <w:r>
        <w:rPr>
          <w:rFonts w:eastAsia="宋体"/>
          <w:sz w:val="24"/>
          <w:szCs w:val="24"/>
        </w:rPr>
        <w:t>）基本最大允许误差（</w:t>
      </w:r>
      <w:r>
        <w:rPr>
          <w:rFonts w:eastAsia="宋体"/>
          <w:sz w:val="24"/>
          <w:szCs w:val="24"/>
        </w:rPr>
        <w:t>BMPE</w:t>
      </w:r>
      <w:r>
        <w:rPr>
          <w:rFonts w:eastAsia="宋体"/>
          <w:sz w:val="24"/>
          <w:szCs w:val="24"/>
        </w:rPr>
        <w:t>）。专用部分按电流区间（</w:t>
      </w:r>
      <w:proofErr w:type="spellStart"/>
      <w:r w:rsidRPr="00CF2F29">
        <w:rPr>
          <w:rFonts w:eastAsia="宋体"/>
          <w:i/>
          <w:iCs/>
          <w:sz w:val="24"/>
          <w:szCs w:val="24"/>
        </w:rPr>
        <w:t>I</w:t>
      </w:r>
      <w:r w:rsidRPr="00CF2F29">
        <w:rPr>
          <w:rFonts w:eastAsia="宋体"/>
          <w:sz w:val="24"/>
          <w:szCs w:val="24"/>
          <w:vertAlign w:val="subscript"/>
        </w:rPr>
        <w:t>min</w:t>
      </w:r>
      <w:proofErr w:type="spellEnd"/>
      <w:r w:rsidR="00CF2F29">
        <w:rPr>
          <w:rFonts w:eastAsia="宋体" w:hint="eastAsia"/>
          <w:sz w:val="24"/>
          <w:szCs w:val="24"/>
        </w:rPr>
        <w:t xml:space="preserve"> </w:t>
      </w:r>
      <w:r>
        <w:rPr>
          <w:rFonts w:eastAsia="宋体"/>
          <w:sz w:val="24"/>
          <w:szCs w:val="24"/>
        </w:rPr>
        <w:t>≤</w:t>
      </w:r>
      <w:r w:rsidR="00CF2F29">
        <w:rPr>
          <w:rFonts w:eastAsia="宋体" w:hint="eastAsia"/>
          <w:sz w:val="24"/>
          <w:szCs w:val="24"/>
        </w:rPr>
        <w:t xml:space="preserve"> </w:t>
      </w:r>
      <w:r w:rsidRPr="00CF2F29">
        <w:rPr>
          <w:rFonts w:eastAsia="宋体"/>
          <w:i/>
          <w:iCs/>
          <w:sz w:val="24"/>
          <w:szCs w:val="24"/>
        </w:rPr>
        <w:t>I</w:t>
      </w:r>
      <w:r w:rsidR="00CF2F29">
        <w:rPr>
          <w:rFonts w:eastAsia="宋体" w:hint="eastAsia"/>
          <w:sz w:val="24"/>
          <w:szCs w:val="24"/>
        </w:rPr>
        <w:t xml:space="preserve"> </w:t>
      </w:r>
      <w:r>
        <w:rPr>
          <w:rFonts w:eastAsia="宋体"/>
          <w:sz w:val="24"/>
          <w:szCs w:val="24"/>
        </w:rPr>
        <w:t>＜</w:t>
      </w:r>
      <w:proofErr w:type="spellStart"/>
      <w:r w:rsidRPr="00CF2F29">
        <w:rPr>
          <w:rFonts w:eastAsia="宋体"/>
          <w:i/>
          <w:iCs/>
          <w:sz w:val="24"/>
          <w:szCs w:val="24"/>
        </w:rPr>
        <w:t>I</w:t>
      </w:r>
      <w:r w:rsidRPr="00CF2F29">
        <w:rPr>
          <w:rFonts w:eastAsia="宋体"/>
          <w:sz w:val="24"/>
          <w:szCs w:val="24"/>
          <w:vertAlign w:val="subscript"/>
        </w:rPr>
        <w:t>tr</w:t>
      </w:r>
      <w:proofErr w:type="spellEnd"/>
      <w:r>
        <w:rPr>
          <w:rFonts w:eastAsia="宋体"/>
          <w:sz w:val="24"/>
          <w:szCs w:val="24"/>
        </w:rPr>
        <w:t>和</w:t>
      </w:r>
      <w:proofErr w:type="spellStart"/>
      <w:r w:rsidR="00CF2F29" w:rsidRPr="00CF2F29">
        <w:rPr>
          <w:rFonts w:eastAsia="宋体"/>
          <w:i/>
          <w:iCs/>
          <w:sz w:val="24"/>
          <w:szCs w:val="24"/>
        </w:rPr>
        <w:t>I</w:t>
      </w:r>
      <w:r w:rsidR="00CF2F29" w:rsidRPr="00CF2F29">
        <w:rPr>
          <w:rFonts w:eastAsia="宋体"/>
          <w:sz w:val="24"/>
          <w:szCs w:val="24"/>
          <w:vertAlign w:val="subscript"/>
        </w:rPr>
        <w:t>tr</w:t>
      </w:r>
      <w:proofErr w:type="spellEnd"/>
      <w:r w:rsidR="00CF2F29">
        <w:rPr>
          <w:rFonts w:eastAsia="宋体" w:hint="eastAsia"/>
          <w:sz w:val="24"/>
          <w:szCs w:val="24"/>
          <w:vertAlign w:val="subscript"/>
        </w:rPr>
        <w:t xml:space="preserve"> </w:t>
      </w:r>
      <w:r>
        <w:rPr>
          <w:rFonts w:eastAsia="宋体"/>
          <w:sz w:val="24"/>
          <w:szCs w:val="24"/>
        </w:rPr>
        <w:t>≤</w:t>
      </w:r>
      <w:r w:rsidR="00CF2F29">
        <w:rPr>
          <w:rFonts w:eastAsia="宋体" w:hint="eastAsia"/>
          <w:sz w:val="24"/>
          <w:szCs w:val="24"/>
        </w:rPr>
        <w:t xml:space="preserve"> </w:t>
      </w:r>
      <w:r w:rsidRPr="00CF2F29">
        <w:rPr>
          <w:rFonts w:eastAsia="宋体"/>
          <w:i/>
          <w:iCs/>
          <w:sz w:val="24"/>
          <w:szCs w:val="24"/>
        </w:rPr>
        <w:t>I</w:t>
      </w:r>
      <w:r w:rsidR="00CF2F29">
        <w:rPr>
          <w:rFonts w:eastAsia="宋体" w:hint="eastAsia"/>
          <w:i/>
          <w:iCs/>
          <w:sz w:val="24"/>
          <w:szCs w:val="24"/>
        </w:rPr>
        <w:t xml:space="preserve"> </w:t>
      </w:r>
      <w:r>
        <w:rPr>
          <w:rFonts w:eastAsia="宋体"/>
          <w:sz w:val="24"/>
          <w:szCs w:val="24"/>
        </w:rPr>
        <w:t>≤</w:t>
      </w:r>
      <w:r w:rsidR="00CF2F29">
        <w:rPr>
          <w:rFonts w:eastAsia="宋体" w:hint="eastAsia"/>
          <w:sz w:val="24"/>
          <w:szCs w:val="24"/>
        </w:rPr>
        <w:t xml:space="preserve"> </w:t>
      </w:r>
      <w:r w:rsidRPr="00CF2F29">
        <w:rPr>
          <w:rFonts w:eastAsia="宋体"/>
          <w:i/>
          <w:iCs/>
          <w:sz w:val="24"/>
          <w:szCs w:val="24"/>
        </w:rPr>
        <w:t>I</w:t>
      </w:r>
      <w:r w:rsidRPr="00CF2F29">
        <w:rPr>
          <w:rFonts w:eastAsia="宋体"/>
          <w:sz w:val="24"/>
          <w:szCs w:val="24"/>
          <w:vertAlign w:val="subscript"/>
        </w:rPr>
        <w:t>max</w:t>
      </w:r>
      <w:r>
        <w:rPr>
          <w:rFonts w:eastAsia="宋体"/>
          <w:sz w:val="24"/>
          <w:szCs w:val="24"/>
        </w:rPr>
        <w:t>）分别规定各准确度等级的</w:t>
      </w:r>
      <w:r>
        <w:rPr>
          <w:rFonts w:eastAsia="宋体"/>
          <w:sz w:val="24"/>
          <w:szCs w:val="24"/>
        </w:rPr>
        <w:t>BMPE</w:t>
      </w:r>
      <w:r>
        <w:rPr>
          <w:rFonts w:eastAsia="宋体"/>
          <w:sz w:val="24"/>
          <w:szCs w:val="24"/>
        </w:rPr>
        <w:t>，如交流充电桩表</w:t>
      </w:r>
      <w:r>
        <w:rPr>
          <w:rFonts w:eastAsia="宋体"/>
          <w:sz w:val="24"/>
          <w:szCs w:val="24"/>
        </w:rPr>
        <w:t>3</w:t>
      </w:r>
      <w:r>
        <w:rPr>
          <w:rFonts w:eastAsia="宋体"/>
          <w:sz w:val="24"/>
          <w:szCs w:val="24"/>
        </w:rPr>
        <w:t>规定：</w:t>
      </w:r>
      <w:proofErr w:type="spellStart"/>
      <w:r w:rsidR="00CF2F29" w:rsidRPr="00CF2F29">
        <w:rPr>
          <w:rFonts w:eastAsia="宋体"/>
          <w:i/>
          <w:iCs/>
          <w:sz w:val="24"/>
          <w:szCs w:val="24"/>
        </w:rPr>
        <w:t>I</w:t>
      </w:r>
      <w:r w:rsidR="00CF2F29" w:rsidRPr="00CF2F29">
        <w:rPr>
          <w:rFonts w:eastAsia="宋体"/>
          <w:sz w:val="24"/>
          <w:szCs w:val="24"/>
          <w:vertAlign w:val="subscript"/>
        </w:rPr>
        <w:t>min</w:t>
      </w:r>
      <w:proofErr w:type="spellEnd"/>
      <w:r w:rsidR="00CF2F29">
        <w:rPr>
          <w:rFonts w:eastAsia="宋体" w:hint="eastAsia"/>
          <w:sz w:val="24"/>
          <w:szCs w:val="24"/>
        </w:rPr>
        <w:t xml:space="preserve"> </w:t>
      </w:r>
      <w:r w:rsidR="00CF2F29">
        <w:rPr>
          <w:rFonts w:eastAsia="宋体"/>
          <w:sz w:val="24"/>
          <w:szCs w:val="24"/>
        </w:rPr>
        <w:t>≤</w:t>
      </w:r>
      <w:r w:rsidR="00CF2F29">
        <w:rPr>
          <w:rFonts w:eastAsia="宋体" w:hint="eastAsia"/>
          <w:sz w:val="24"/>
          <w:szCs w:val="24"/>
        </w:rPr>
        <w:t xml:space="preserve"> </w:t>
      </w:r>
      <w:r w:rsidR="00CF2F29" w:rsidRPr="00CF2F29">
        <w:rPr>
          <w:rFonts w:eastAsia="宋体"/>
          <w:i/>
          <w:iCs/>
          <w:sz w:val="24"/>
          <w:szCs w:val="24"/>
        </w:rPr>
        <w:t>I</w:t>
      </w:r>
      <w:r w:rsidR="00CF2F29">
        <w:rPr>
          <w:rFonts w:eastAsia="宋体" w:hint="eastAsia"/>
          <w:sz w:val="24"/>
          <w:szCs w:val="24"/>
        </w:rPr>
        <w:t xml:space="preserve"> </w:t>
      </w:r>
      <w:r w:rsidR="00CF2F29">
        <w:rPr>
          <w:rFonts w:eastAsia="宋体"/>
          <w:sz w:val="24"/>
          <w:szCs w:val="24"/>
        </w:rPr>
        <w:t>＜</w:t>
      </w:r>
      <w:proofErr w:type="spellStart"/>
      <w:r w:rsidR="00CF2F29" w:rsidRPr="00CF2F29">
        <w:rPr>
          <w:rFonts w:eastAsia="宋体"/>
          <w:i/>
          <w:iCs/>
          <w:sz w:val="24"/>
          <w:szCs w:val="24"/>
        </w:rPr>
        <w:t>I</w:t>
      </w:r>
      <w:r w:rsidR="00CF2F29" w:rsidRPr="00CF2F29">
        <w:rPr>
          <w:rFonts w:eastAsia="宋体"/>
          <w:sz w:val="24"/>
          <w:szCs w:val="24"/>
          <w:vertAlign w:val="subscript"/>
        </w:rPr>
        <w:t>tr</w:t>
      </w:r>
      <w:proofErr w:type="spellEnd"/>
      <w:r>
        <w:rPr>
          <w:rFonts w:eastAsia="宋体"/>
          <w:sz w:val="24"/>
          <w:szCs w:val="24"/>
        </w:rPr>
        <w:t>时，</w:t>
      </w:r>
      <w:r>
        <w:rPr>
          <w:rFonts w:eastAsia="宋体"/>
          <w:sz w:val="24"/>
          <w:szCs w:val="24"/>
        </w:rPr>
        <w:t>A</w:t>
      </w:r>
      <w:r>
        <w:rPr>
          <w:rFonts w:eastAsia="宋体"/>
          <w:sz w:val="24"/>
          <w:szCs w:val="24"/>
        </w:rPr>
        <w:t>、</w:t>
      </w:r>
      <w:r>
        <w:rPr>
          <w:rFonts w:eastAsia="宋体"/>
          <w:sz w:val="24"/>
          <w:szCs w:val="24"/>
        </w:rPr>
        <w:t>B</w:t>
      </w:r>
      <w:r>
        <w:rPr>
          <w:rFonts w:eastAsia="宋体"/>
          <w:sz w:val="24"/>
          <w:szCs w:val="24"/>
        </w:rPr>
        <w:t>、</w:t>
      </w:r>
      <w:r>
        <w:rPr>
          <w:rFonts w:eastAsia="宋体"/>
          <w:sz w:val="24"/>
          <w:szCs w:val="24"/>
        </w:rPr>
        <w:t>C</w:t>
      </w:r>
      <w:r>
        <w:rPr>
          <w:rFonts w:eastAsia="宋体"/>
          <w:sz w:val="24"/>
          <w:szCs w:val="24"/>
        </w:rPr>
        <w:t>级分别为</w:t>
      </w:r>
      <w:r>
        <w:rPr>
          <w:rFonts w:eastAsia="宋体"/>
          <w:sz w:val="24"/>
          <w:szCs w:val="24"/>
        </w:rPr>
        <w:t>±2.5%</w:t>
      </w:r>
      <w:r>
        <w:rPr>
          <w:rFonts w:eastAsia="宋体"/>
          <w:sz w:val="24"/>
          <w:szCs w:val="24"/>
        </w:rPr>
        <w:t>、</w:t>
      </w:r>
      <w:r>
        <w:rPr>
          <w:rFonts w:eastAsia="宋体"/>
          <w:sz w:val="24"/>
          <w:szCs w:val="24"/>
        </w:rPr>
        <w:t>±1.5%</w:t>
      </w:r>
      <w:r>
        <w:rPr>
          <w:rFonts w:eastAsia="宋体"/>
          <w:sz w:val="24"/>
          <w:szCs w:val="24"/>
        </w:rPr>
        <w:t>、</w:t>
      </w:r>
      <w:r>
        <w:rPr>
          <w:rFonts w:eastAsia="宋体"/>
          <w:sz w:val="24"/>
          <w:szCs w:val="24"/>
        </w:rPr>
        <w:t>±1.0%</w:t>
      </w:r>
      <w:r>
        <w:rPr>
          <w:rFonts w:eastAsia="宋体"/>
          <w:sz w:val="24"/>
          <w:szCs w:val="24"/>
        </w:rPr>
        <w:t>；</w:t>
      </w:r>
      <w:proofErr w:type="spellStart"/>
      <w:r w:rsidR="00CF2F29" w:rsidRPr="00CF2F29">
        <w:rPr>
          <w:rFonts w:eastAsia="宋体"/>
          <w:i/>
          <w:iCs/>
          <w:sz w:val="24"/>
          <w:szCs w:val="24"/>
        </w:rPr>
        <w:t>I</w:t>
      </w:r>
      <w:r w:rsidR="00CF2F29" w:rsidRPr="00CF2F29">
        <w:rPr>
          <w:rFonts w:eastAsia="宋体"/>
          <w:sz w:val="24"/>
          <w:szCs w:val="24"/>
          <w:vertAlign w:val="subscript"/>
        </w:rPr>
        <w:t>tr</w:t>
      </w:r>
      <w:proofErr w:type="spellEnd"/>
      <w:r w:rsidR="00CF2F29">
        <w:rPr>
          <w:rFonts w:eastAsia="宋体" w:hint="eastAsia"/>
          <w:sz w:val="24"/>
          <w:szCs w:val="24"/>
          <w:vertAlign w:val="subscript"/>
        </w:rPr>
        <w:t xml:space="preserve"> </w:t>
      </w:r>
      <w:r w:rsidR="00CF2F29">
        <w:rPr>
          <w:rFonts w:eastAsia="宋体"/>
          <w:sz w:val="24"/>
          <w:szCs w:val="24"/>
        </w:rPr>
        <w:t>≤</w:t>
      </w:r>
      <w:r w:rsidR="00CF2F29">
        <w:rPr>
          <w:rFonts w:eastAsia="宋体" w:hint="eastAsia"/>
          <w:sz w:val="24"/>
          <w:szCs w:val="24"/>
        </w:rPr>
        <w:t xml:space="preserve"> </w:t>
      </w:r>
      <w:r w:rsidR="00CF2F29" w:rsidRPr="00CF2F29">
        <w:rPr>
          <w:rFonts w:eastAsia="宋体"/>
          <w:i/>
          <w:iCs/>
          <w:sz w:val="24"/>
          <w:szCs w:val="24"/>
        </w:rPr>
        <w:t>I</w:t>
      </w:r>
      <w:r w:rsidR="00CF2F29">
        <w:rPr>
          <w:rFonts w:eastAsia="宋体" w:hint="eastAsia"/>
          <w:i/>
          <w:iCs/>
          <w:sz w:val="24"/>
          <w:szCs w:val="24"/>
        </w:rPr>
        <w:t xml:space="preserve"> </w:t>
      </w:r>
      <w:r w:rsidR="00CF2F29">
        <w:rPr>
          <w:rFonts w:eastAsia="宋体"/>
          <w:sz w:val="24"/>
          <w:szCs w:val="24"/>
        </w:rPr>
        <w:t>≤</w:t>
      </w:r>
      <w:r w:rsidR="00CF2F29">
        <w:rPr>
          <w:rFonts w:eastAsia="宋体" w:hint="eastAsia"/>
          <w:sz w:val="24"/>
          <w:szCs w:val="24"/>
        </w:rPr>
        <w:t xml:space="preserve"> </w:t>
      </w:r>
      <w:r w:rsidR="00CF2F29" w:rsidRPr="00CF2F29">
        <w:rPr>
          <w:rFonts w:eastAsia="宋体"/>
          <w:i/>
          <w:iCs/>
          <w:sz w:val="24"/>
          <w:szCs w:val="24"/>
        </w:rPr>
        <w:t>I</w:t>
      </w:r>
      <w:r w:rsidR="00CF2F29" w:rsidRPr="00CF2F29">
        <w:rPr>
          <w:rFonts w:eastAsia="宋体"/>
          <w:sz w:val="24"/>
          <w:szCs w:val="24"/>
          <w:vertAlign w:val="subscript"/>
        </w:rPr>
        <w:t>max</w:t>
      </w:r>
      <w:r>
        <w:rPr>
          <w:rFonts w:eastAsia="宋体"/>
          <w:sz w:val="24"/>
          <w:szCs w:val="24"/>
        </w:rPr>
        <w:t>时，分别为</w:t>
      </w:r>
      <w:r>
        <w:rPr>
          <w:rFonts w:eastAsia="宋体"/>
          <w:sz w:val="24"/>
          <w:szCs w:val="24"/>
        </w:rPr>
        <w:t>±2.0%</w:t>
      </w:r>
      <w:r>
        <w:rPr>
          <w:rFonts w:eastAsia="宋体"/>
          <w:sz w:val="24"/>
          <w:szCs w:val="24"/>
        </w:rPr>
        <w:t>、</w:t>
      </w:r>
      <w:r>
        <w:rPr>
          <w:rFonts w:eastAsia="宋体"/>
          <w:sz w:val="24"/>
          <w:szCs w:val="24"/>
        </w:rPr>
        <w:t>±1.0%</w:t>
      </w:r>
      <w:r>
        <w:rPr>
          <w:rFonts w:eastAsia="宋体"/>
          <w:sz w:val="24"/>
          <w:szCs w:val="24"/>
        </w:rPr>
        <w:t>、</w:t>
      </w:r>
      <w:r>
        <w:rPr>
          <w:rFonts w:eastAsia="宋体"/>
          <w:sz w:val="24"/>
          <w:szCs w:val="24"/>
        </w:rPr>
        <w:t>±0.5%</w:t>
      </w:r>
      <w:r>
        <w:rPr>
          <w:rFonts w:eastAsia="宋体"/>
          <w:sz w:val="24"/>
          <w:szCs w:val="24"/>
        </w:rPr>
        <w:t>（功率因数大于</w:t>
      </w:r>
      <w:r>
        <w:rPr>
          <w:rFonts w:eastAsia="宋体"/>
          <w:sz w:val="24"/>
          <w:szCs w:val="24"/>
        </w:rPr>
        <w:t>0.9</w:t>
      </w:r>
      <w:r>
        <w:rPr>
          <w:rFonts w:eastAsia="宋体"/>
          <w:sz w:val="24"/>
          <w:szCs w:val="24"/>
        </w:rPr>
        <w:t>）。该限值体系参考</w:t>
      </w:r>
      <w:r>
        <w:rPr>
          <w:rFonts w:eastAsia="宋体"/>
          <w:sz w:val="24"/>
          <w:szCs w:val="24"/>
        </w:rPr>
        <w:t>OIML R 22</w:t>
      </w:r>
      <w:r>
        <w:rPr>
          <w:rFonts w:eastAsia="宋体"/>
          <w:sz w:val="24"/>
          <w:szCs w:val="24"/>
        </w:rPr>
        <w:t>（制定中）表</w:t>
      </w:r>
      <w:r>
        <w:rPr>
          <w:rFonts w:eastAsia="宋体"/>
          <w:sz w:val="24"/>
          <w:szCs w:val="24"/>
        </w:rPr>
        <w:t>2</w:t>
      </w:r>
      <w:r>
        <w:rPr>
          <w:rFonts w:eastAsia="宋体"/>
          <w:sz w:val="24"/>
          <w:szCs w:val="24"/>
        </w:rPr>
        <w:t>，并结合我国产品实际删除了起动电流相关行。通用要求</w:t>
      </w:r>
      <w:r>
        <w:rPr>
          <w:rFonts w:eastAsia="宋体"/>
          <w:sz w:val="24"/>
          <w:szCs w:val="24"/>
        </w:rPr>
        <w:t>6.2.2</w:t>
      </w:r>
      <w:r>
        <w:rPr>
          <w:rFonts w:eastAsia="宋体"/>
          <w:sz w:val="24"/>
          <w:szCs w:val="24"/>
        </w:rPr>
        <w:t>同时规定相邻测试点误差变化不大于</w:t>
      </w:r>
      <w:r>
        <w:rPr>
          <w:rFonts w:eastAsia="宋体"/>
          <w:sz w:val="24"/>
          <w:szCs w:val="24"/>
        </w:rPr>
        <w:t>1/5 MPE</w:t>
      </w:r>
      <w:r>
        <w:rPr>
          <w:rFonts w:eastAsia="宋体"/>
          <w:sz w:val="24"/>
          <w:szCs w:val="24"/>
        </w:rPr>
        <w:t>，以控制误差曲线的平滑性，防止相邻负载点间出现突变。</w:t>
      </w:r>
    </w:p>
    <w:p w14:paraId="7B7B0FE7" w14:textId="410E5D2D" w:rsidR="00F6437D" w:rsidRDefault="00000000" w:rsidP="00005EA8">
      <w:pPr>
        <w:spacing w:after="120" w:line="360" w:lineRule="auto"/>
        <w:ind w:firstLine="480"/>
        <w:jc w:val="both"/>
      </w:pPr>
      <w:r>
        <w:rPr>
          <w:rFonts w:eastAsia="宋体"/>
          <w:sz w:val="24"/>
          <w:szCs w:val="24"/>
        </w:rPr>
        <w:t>（</w:t>
      </w:r>
      <w:r>
        <w:rPr>
          <w:rFonts w:eastAsia="宋体"/>
          <w:sz w:val="24"/>
          <w:szCs w:val="24"/>
        </w:rPr>
        <w:t>3</w:t>
      </w:r>
      <w:r>
        <w:rPr>
          <w:rFonts w:eastAsia="宋体"/>
          <w:sz w:val="24"/>
          <w:szCs w:val="24"/>
        </w:rPr>
        <w:t>）常数试验。规定脉冲输出与电能显示之间的一致性要求，常数试验误差</w:t>
      </w:r>
      <w:proofErr w:type="spellStart"/>
      <w:r w:rsidRPr="00CF2F29">
        <w:rPr>
          <w:rFonts w:eastAsia="宋体"/>
          <w:i/>
          <w:iCs/>
          <w:sz w:val="24"/>
          <w:szCs w:val="24"/>
        </w:rPr>
        <w:t>e</w:t>
      </w:r>
      <w:r w:rsidR="00CF2F29" w:rsidRPr="00CF2F29">
        <w:rPr>
          <w:rFonts w:eastAsia="宋体" w:hint="eastAsia"/>
          <w:sz w:val="24"/>
          <w:szCs w:val="24"/>
          <w:vertAlign w:val="subscript"/>
        </w:rPr>
        <w:t>c</w:t>
      </w:r>
      <w:proofErr w:type="spellEnd"/>
      <w:r>
        <w:rPr>
          <w:rFonts w:eastAsia="宋体"/>
          <w:sz w:val="24"/>
          <w:szCs w:val="24"/>
        </w:rPr>
        <w:t>不</w:t>
      </w:r>
      <w:r>
        <w:rPr>
          <w:rFonts w:eastAsia="宋体"/>
          <w:sz w:val="24"/>
          <w:szCs w:val="24"/>
        </w:rPr>
        <w:lastRenderedPageBreak/>
        <w:t>大于</w:t>
      </w:r>
      <w:r>
        <w:rPr>
          <w:rFonts w:eastAsia="宋体"/>
          <w:sz w:val="24"/>
          <w:szCs w:val="24"/>
        </w:rPr>
        <w:t>10% BMPE</w:t>
      </w:r>
      <w:r>
        <w:rPr>
          <w:rFonts w:eastAsia="宋体"/>
          <w:sz w:val="24"/>
          <w:szCs w:val="24"/>
        </w:rPr>
        <w:t>，与</w:t>
      </w:r>
      <w:r>
        <w:rPr>
          <w:rFonts w:eastAsia="宋体"/>
          <w:sz w:val="24"/>
          <w:szCs w:val="24"/>
        </w:rPr>
        <w:t>JJF 1245.1-2019</w:t>
      </w:r>
      <w:r>
        <w:rPr>
          <w:rFonts w:eastAsia="宋体"/>
          <w:sz w:val="24"/>
          <w:szCs w:val="24"/>
        </w:rPr>
        <w:t>及</w:t>
      </w:r>
      <w:r>
        <w:rPr>
          <w:rFonts w:eastAsia="宋体"/>
          <w:sz w:val="24"/>
          <w:szCs w:val="24"/>
        </w:rPr>
        <w:t>JJG 1148-2022</w:t>
      </w:r>
      <w:r>
        <w:rPr>
          <w:rFonts w:eastAsia="宋体"/>
          <w:sz w:val="24"/>
          <w:szCs w:val="24"/>
        </w:rPr>
        <w:t>、</w:t>
      </w:r>
      <w:r>
        <w:rPr>
          <w:rFonts w:eastAsia="宋体"/>
          <w:sz w:val="24"/>
          <w:szCs w:val="24"/>
        </w:rPr>
        <w:t>JJG 1149-2022</w:t>
      </w:r>
      <w:r>
        <w:rPr>
          <w:rFonts w:eastAsia="宋体"/>
          <w:sz w:val="24"/>
          <w:szCs w:val="24"/>
        </w:rPr>
        <w:t>的要求一致，保证脉冲当量与计度显示的一致。</w:t>
      </w:r>
    </w:p>
    <w:p w14:paraId="3B1E16BE" w14:textId="4A6D1BA9" w:rsidR="00F6437D" w:rsidRDefault="00000000" w:rsidP="00005EA8">
      <w:pPr>
        <w:spacing w:after="120" w:line="360" w:lineRule="auto"/>
        <w:ind w:firstLine="480"/>
        <w:jc w:val="both"/>
      </w:pPr>
      <w:r>
        <w:rPr>
          <w:rFonts w:eastAsia="宋体"/>
          <w:sz w:val="24"/>
          <w:szCs w:val="24"/>
        </w:rPr>
        <w:t>（</w:t>
      </w:r>
      <w:r>
        <w:rPr>
          <w:rFonts w:eastAsia="宋体"/>
          <w:sz w:val="24"/>
          <w:szCs w:val="24"/>
        </w:rPr>
        <w:t>4</w:t>
      </w:r>
      <w:r>
        <w:rPr>
          <w:rFonts w:eastAsia="宋体"/>
          <w:sz w:val="24"/>
          <w:szCs w:val="24"/>
        </w:rPr>
        <w:t>）重复性。本大纲增加了重复性要求（通用要求</w:t>
      </w:r>
      <w:r>
        <w:rPr>
          <w:rFonts w:eastAsia="宋体"/>
          <w:sz w:val="24"/>
          <w:szCs w:val="24"/>
        </w:rPr>
        <w:t>6.2.4</w:t>
      </w:r>
      <w:r>
        <w:rPr>
          <w:rFonts w:eastAsia="宋体"/>
          <w:sz w:val="24"/>
          <w:szCs w:val="24"/>
        </w:rPr>
        <w:t>）：在</w:t>
      </w:r>
      <w:r>
        <w:rPr>
          <w:rFonts w:eastAsia="宋体"/>
          <w:sz w:val="24"/>
          <w:szCs w:val="24"/>
        </w:rPr>
        <w:t>10</w:t>
      </w:r>
      <w:r w:rsidR="00CF2F29" w:rsidRPr="00CF2F29">
        <w:rPr>
          <w:rFonts w:eastAsia="宋体"/>
          <w:i/>
          <w:iCs/>
          <w:sz w:val="24"/>
          <w:szCs w:val="24"/>
        </w:rPr>
        <w:t>I</w:t>
      </w:r>
      <w:r w:rsidR="00CF2F29" w:rsidRPr="00CF2F29">
        <w:rPr>
          <w:rFonts w:eastAsia="宋体"/>
          <w:sz w:val="24"/>
          <w:szCs w:val="24"/>
          <w:vertAlign w:val="subscript"/>
        </w:rPr>
        <w:t>tr</w:t>
      </w:r>
      <w:r>
        <w:rPr>
          <w:rFonts w:eastAsia="宋体"/>
          <w:sz w:val="24"/>
          <w:szCs w:val="24"/>
        </w:rPr>
        <w:t>、</w:t>
      </w:r>
      <w:r>
        <w:rPr>
          <w:rFonts w:eastAsia="宋体"/>
          <w:sz w:val="24"/>
          <w:szCs w:val="24"/>
        </w:rPr>
        <w:t>0.5</w:t>
      </w:r>
      <w:r w:rsidR="00CF2F29" w:rsidRPr="00CF2F29">
        <w:rPr>
          <w:rFonts w:eastAsia="宋体"/>
          <w:i/>
          <w:iCs/>
          <w:sz w:val="24"/>
          <w:szCs w:val="24"/>
        </w:rPr>
        <w:t>I</w:t>
      </w:r>
      <w:r w:rsidR="00CF2F29">
        <w:rPr>
          <w:rFonts w:eastAsia="宋体" w:hint="eastAsia"/>
          <w:sz w:val="24"/>
          <w:szCs w:val="24"/>
          <w:vertAlign w:val="subscript"/>
        </w:rPr>
        <w:t>max</w:t>
      </w:r>
      <w:r>
        <w:rPr>
          <w:rFonts w:eastAsia="宋体"/>
          <w:sz w:val="24"/>
          <w:szCs w:val="24"/>
        </w:rPr>
        <w:t>和</w:t>
      </w:r>
      <w:r w:rsidR="00CF2F29" w:rsidRPr="00CF2F29">
        <w:rPr>
          <w:rFonts w:eastAsia="宋体"/>
          <w:i/>
          <w:iCs/>
          <w:sz w:val="24"/>
          <w:szCs w:val="24"/>
        </w:rPr>
        <w:t>I</w:t>
      </w:r>
      <w:r w:rsidR="00CF2F29">
        <w:rPr>
          <w:rFonts w:eastAsia="宋体" w:hint="eastAsia"/>
          <w:sz w:val="24"/>
          <w:szCs w:val="24"/>
          <w:vertAlign w:val="subscript"/>
        </w:rPr>
        <w:t>max</w:t>
      </w:r>
      <w:r>
        <w:rPr>
          <w:rFonts w:eastAsia="宋体"/>
          <w:sz w:val="24"/>
          <w:szCs w:val="24"/>
        </w:rPr>
        <w:t>试验点，断开供电</w:t>
      </w:r>
      <w:r>
        <w:rPr>
          <w:rFonts w:eastAsia="宋体"/>
          <w:sz w:val="24"/>
          <w:szCs w:val="24"/>
        </w:rPr>
        <w:t>5 min</w:t>
      </w:r>
      <w:r>
        <w:rPr>
          <w:rFonts w:eastAsia="宋体"/>
          <w:sz w:val="24"/>
          <w:szCs w:val="24"/>
        </w:rPr>
        <w:t>后重复测量不少于</w:t>
      </w:r>
      <w:r>
        <w:rPr>
          <w:rFonts w:eastAsia="宋体"/>
          <w:sz w:val="24"/>
          <w:szCs w:val="24"/>
        </w:rPr>
        <w:t>5</w:t>
      </w:r>
      <w:r>
        <w:rPr>
          <w:rFonts w:eastAsia="宋体"/>
          <w:sz w:val="24"/>
          <w:szCs w:val="24"/>
        </w:rPr>
        <w:t>次，实验标准差不大于</w:t>
      </w:r>
      <w:r>
        <w:rPr>
          <w:rFonts w:eastAsia="宋体"/>
          <w:sz w:val="24"/>
          <w:szCs w:val="24"/>
        </w:rPr>
        <w:t>1/5 BMPE</w:t>
      </w:r>
      <w:r>
        <w:rPr>
          <w:rFonts w:eastAsia="宋体"/>
          <w:sz w:val="24"/>
          <w:szCs w:val="24"/>
        </w:rPr>
        <w:t>。</w:t>
      </w:r>
      <w:r>
        <w:rPr>
          <w:rFonts w:eastAsia="宋体"/>
          <w:sz w:val="24"/>
          <w:szCs w:val="24"/>
        </w:rPr>
        <w:t>OIML R 22</w:t>
      </w:r>
      <w:r>
        <w:rPr>
          <w:rFonts w:eastAsia="宋体"/>
          <w:sz w:val="24"/>
          <w:szCs w:val="24"/>
        </w:rPr>
        <w:t>（制定中）未规定重复性试验，该要求为我国增加，用于评价设备在相同条件下测量结果的一致性，并间接考核断电恢复后的计量稳定性。</w:t>
      </w:r>
    </w:p>
    <w:p w14:paraId="0C5B3A63"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5</w:t>
      </w:r>
      <w:r>
        <w:rPr>
          <w:rFonts w:eastAsia="宋体"/>
          <w:sz w:val="24"/>
          <w:szCs w:val="24"/>
        </w:rPr>
        <w:t>）时间（时刻）示值误差。本大纲增加了内部时钟的要求（通用要求</w:t>
      </w:r>
      <w:r>
        <w:rPr>
          <w:rFonts w:eastAsia="宋体"/>
          <w:sz w:val="24"/>
          <w:szCs w:val="24"/>
        </w:rPr>
        <w:t>6.3</w:t>
      </w:r>
      <w:r>
        <w:rPr>
          <w:rFonts w:eastAsia="宋体"/>
          <w:sz w:val="24"/>
          <w:szCs w:val="24"/>
        </w:rPr>
        <w:t>）：参比条件下内部时钟日计时误差限为</w:t>
      </w:r>
      <w:r>
        <w:rPr>
          <w:rFonts w:eastAsia="宋体"/>
          <w:sz w:val="24"/>
          <w:szCs w:val="24"/>
        </w:rPr>
        <w:t>±0.5 s/d</w:t>
      </w:r>
      <w:r>
        <w:rPr>
          <w:rFonts w:eastAsia="宋体"/>
          <w:sz w:val="24"/>
          <w:szCs w:val="24"/>
        </w:rPr>
        <w:t>，显示时间（时刻）与标准时间的示值误差限为</w:t>
      </w:r>
      <w:r>
        <w:rPr>
          <w:rFonts w:eastAsia="宋体"/>
          <w:sz w:val="24"/>
          <w:szCs w:val="24"/>
        </w:rPr>
        <w:t>±5 s</w:t>
      </w:r>
      <w:r>
        <w:rPr>
          <w:rFonts w:eastAsia="宋体"/>
          <w:sz w:val="24"/>
          <w:szCs w:val="24"/>
        </w:rPr>
        <w:t>，并对具有网络授时功能的设备提出时间同步周期建议（不大于</w:t>
      </w:r>
      <w:r>
        <w:rPr>
          <w:rFonts w:eastAsia="宋体"/>
          <w:sz w:val="24"/>
          <w:szCs w:val="24"/>
        </w:rPr>
        <w:t>24 h</w:t>
      </w:r>
      <w:r>
        <w:rPr>
          <w:rFonts w:eastAsia="宋体"/>
          <w:sz w:val="24"/>
          <w:szCs w:val="24"/>
        </w:rPr>
        <w:t>）。该要求与</w:t>
      </w:r>
      <w:r>
        <w:rPr>
          <w:rFonts w:eastAsia="宋体"/>
          <w:sz w:val="24"/>
          <w:szCs w:val="24"/>
        </w:rPr>
        <w:t>JJG 1148-2022</w:t>
      </w:r>
      <w:r>
        <w:rPr>
          <w:rFonts w:eastAsia="宋体"/>
          <w:sz w:val="24"/>
          <w:szCs w:val="24"/>
        </w:rPr>
        <w:t>、</w:t>
      </w:r>
      <w:r>
        <w:rPr>
          <w:rFonts w:eastAsia="宋体"/>
          <w:sz w:val="24"/>
          <w:szCs w:val="24"/>
        </w:rPr>
        <w:t>JJG 1149-2022</w:t>
      </w:r>
      <w:r>
        <w:rPr>
          <w:rFonts w:eastAsia="宋体"/>
          <w:sz w:val="24"/>
          <w:szCs w:val="24"/>
        </w:rPr>
        <w:t>的相应指标一致，用于保证分时计费（多费率）功能的法制正确性；</w:t>
      </w:r>
      <w:r>
        <w:rPr>
          <w:rFonts w:eastAsia="宋体"/>
          <w:sz w:val="24"/>
          <w:szCs w:val="24"/>
        </w:rPr>
        <w:t>OIML R 22</w:t>
      </w:r>
      <w:r>
        <w:rPr>
          <w:rFonts w:eastAsia="宋体"/>
          <w:sz w:val="24"/>
          <w:szCs w:val="24"/>
        </w:rPr>
        <w:t>（制定中）仅规定了交易时间戳同步要求（</w:t>
      </w:r>
      <w:r>
        <w:rPr>
          <w:rFonts w:eastAsia="宋体"/>
          <w:sz w:val="24"/>
          <w:szCs w:val="24"/>
        </w:rPr>
        <w:t>±60 s</w:t>
      </w:r>
      <w:r>
        <w:rPr>
          <w:rFonts w:eastAsia="宋体"/>
          <w:sz w:val="24"/>
          <w:szCs w:val="24"/>
        </w:rPr>
        <w:t>），未规定时钟日计时误差。</w:t>
      </w:r>
    </w:p>
    <w:p w14:paraId="22DBA6C2" w14:textId="0A50D0FC" w:rsidR="00F6437D" w:rsidRDefault="00000000" w:rsidP="00005EA8">
      <w:pPr>
        <w:spacing w:after="120" w:line="360" w:lineRule="auto"/>
        <w:ind w:firstLine="480"/>
        <w:jc w:val="both"/>
        <w:rPr>
          <w:rFonts w:eastAsia="宋体"/>
          <w:sz w:val="24"/>
          <w:szCs w:val="24"/>
        </w:rPr>
      </w:pPr>
      <w:r>
        <w:rPr>
          <w:rFonts w:eastAsia="宋体"/>
          <w:sz w:val="24"/>
          <w:szCs w:val="24"/>
        </w:rPr>
        <w:t>（</w:t>
      </w:r>
      <w:r>
        <w:rPr>
          <w:rFonts w:eastAsia="宋体"/>
          <w:sz w:val="24"/>
          <w:szCs w:val="24"/>
        </w:rPr>
        <w:t>6</w:t>
      </w:r>
      <w:r>
        <w:rPr>
          <w:rFonts w:eastAsia="宋体"/>
          <w:sz w:val="24"/>
          <w:szCs w:val="24"/>
        </w:rPr>
        <w:t>）最小被测量（</w:t>
      </w:r>
      <w:r>
        <w:rPr>
          <w:rFonts w:eastAsia="宋体"/>
          <w:sz w:val="24"/>
          <w:szCs w:val="24"/>
        </w:rPr>
        <w:t>MMQ</w:t>
      </w:r>
      <w:r>
        <w:rPr>
          <w:rFonts w:eastAsia="宋体"/>
          <w:sz w:val="24"/>
          <w:szCs w:val="24"/>
        </w:rPr>
        <w:t>）。交流充电桩规定</w:t>
      </w:r>
      <w:r>
        <w:rPr>
          <w:rFonts w:eastAsia="宋体"/>
          <w:sz w:val="24"/>
          <w:szCs w:val="24"/>
        </w:rPr>
        <w:t>MMQ</w:t>
      </w:r>
      <w:r>
        <w:rPr>
          <w:rFonts w:eastAsia="宋体"/>
          <w:sz w:val="24"/>
          <w:szCs w:val="24"/>
        </w:rPr>
        <w:t>不超过</w:t>
      </w:r>
      <w:r>
        <w:rPr>
          <w:rFonts w:eastAsia="宋体"/>
          <w:sz w:val="24"/>
          <w:szCs w:val="24"/>
        </w:rPr>
        <w:t>0.1 kWh</w:t>
      </w:r>
      <w:r>
        <w:rPr>
          <w:rFonts w:eastAsia="宋体"/>
          <w:sz w:val="24"/>
          <w:szCs w:val="24"/>
        </w:rPr>
        <w:t>，与</w:t>
      </w:r>
      <w:r>
        <w:rPr>
          <w:rFonts w:eastAsia="宋体"/>
          <w:sz w:val="24"/>
          <w:szCs w:val="24"/>
        </w:rPr>
        <w:t>OIML R 22</w:t>
      </w:r>
      <w:r>
        <w:rPr>
          <w:rFonts w:eastAsia="宋体"/>
          <w:sz w:val="24"/>
          <w:szCs w:val="24"/>
        </w:rPr>
        <w:t>（制定中）一致，用于保证小额交易计量的分辨力和准确性。</w:t>
      </w:r>
      <w:r w:rsidR="008D3A47">
        <w:rPr>
          <w:rFonts w:eastAsia="宋体" w:hint="eastAsia"/>
          <w:sz w:val="24"/>
          <w:szCs w:val="24"/>
        </w:rPr>
        <w:t>非车载充电机则</w:t>
      </w:r>
      <w:r w:rsidR="008D3A47">
        <w:rPr>
          <w:rFonts w:eastAsia="宋体" w:hint="eastAsia"/>
          <w:sz w:val="24"/>
          <w:szCs w:val="24"/>
        </w:rPr>
        <w:t>按功率大小</w:t>
      </w:r>
      <w:r w:rsidR="008D3A47">
        <w:rPr>
          <w:rFonts w:eastAsia="宋体" w:hint="eastAsia"/>
          <w:sz w:val="24"/>
          <w:szCs w:val="24"/>
        </w:rPr>
        <w:t>来规定</w:t>
      </w:r>
      <w:r w:rsidR="008D3A47">
        <w:rPr>
          <w:rFonts w:eastAsia="宋体" w:hint="eastAsia"/>
          <w:sz w:val="24"/>
          <w:szCs w:val="24"/>
        </w:rPr>
        <w:t>MMQ</w:t>
      </w:r>
      <w:r w:rsidR="008D3A47">
        <w:rPr>
          <w:rFonts w:eastAsia="宋体" w:hint="eastAsia"/>
          <w:sz w:val="24"/>
          <w:szCs w:val="24"/>
        </w:rPr>
        <w:t>，详见下表。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4"/>
        <w:gridCol w:w="2016"/>
        <w:gridCol w:w="1877"/>
        <w:gridCol w:w="1828"/>
        <w:gridCol w:w="1661"/>
      </w:tblGrid>
      <w:tr w:rsidR="008D3A47" w:rsidRPr="004F0576" w14:paraId="2182A9FA" w14:textId="77777777" w:rsidTr="008D3A47">
        <w:tc>
          <w:tcPr>
            <w:tcW w:w="906" w:type="pct"/>
            <w:vAlign w:val="center"/>
          </w:tcPr>
          <w:p w14:paraId="3EC932D7" w14:textId="77777777" w:rsidR="008D3A47" w:rsidRPr="004F0576" w:rsidRDefault="008D3A47" w:rsidP="00E526AF">
            <w:pPr>
              <w:pStyle w:val="ac"/>
              <w:widowControl w:val="0"/>
              <w:spacing w:before="120" w:after="120"/>
              <w:ind w:firstLineChars="0" w:firstLine="0"/>
              <w:jc w:val="center"/>
              <w:rPr>
                <w:rFonts w:ascii="Times New Roman"/>
                <w:sz w:val="21"/>
                <w:szCs w:val="21"/>
              </w:rPr>
            </w:pPr>
            <w:r w:rsidRPr="004F0576">
              <w:rPr>
                <w:rFonts w:ascii="Times New Roman"/>
                <w:sz w:val="21"/>
                <w:szCs w:val="21"/>
              </w:rPr>
              <w:t>测试功率</w:t>
            </w:r>
            <w:r w:rsidRPr="004F0576">
              <w:rPr>
                <w:rFonts w:ascii="Times New Roman"/>
                <w:i/>
                <w:iCs/>
                <w:sz w:val="21"/>
                <w:szCs w:val="21"/>
              </w:rPr>
              <w:t>P</w:t>
            </w:r>
            <w:r w:rsidRPr="004F0576">
              <w:rPr>
                <w:rFonts w:ascii="Times New Roman"/>
                <w:sz w:val="21"/>
                <w:szCs w:val="21"/>
              </w:rPr>
              <w:t>（</w:t>
            </w:r>
            <w:r w:rsidRPr="004F0576">
              <w:rPr>
                <w:rFonts w:ascii="Times New Roman"/>
                <w:sz w:val="21"/>
                <w:szCs w:val="21"/>
              </w:rPr>
              <w:t>kW</w:t>
            </w:r>
            <w:r w:rsidRPr="004F0576">
              <w:rPr>
                <w:rFonts w:ascii="Times New Roman"/>
                <w:sz w:val="21"/>
                <w:szCs w:val="21"/>
              </w:rPr>
              <w:t>）</w:t>
            </w:r>
          </w:p>
        </w:tc>
        <w:tc>
          <w:tcPr>
            <w:tcW w:w="1118" w:type="pct"/>
            <w:vAlign w:val="center"/>
          </w:tcPr>
          <w:p w14:paraId="47B045D6" w14:textId="77777777" w:rsidR="008D3A47" w:rsidRPr="004F0576" w:rsidRDefault="008D3A47" w:rsidP="00E526AF">
            <w:pPr>
              <w:pStyle w:val="ac"/>
              <w:widowControl w:val="0"/>
              <w:spacing w:before="120" w:after="120"/>
              <w:ind w:firstLineChars="0" w:firstLine="0"/>
              <w:jc w:val="center"/>
              <w:rPr>
                <w:rFonts w:ascii="Times New Roman"/>
                <w:sz w:val="21"/>
                <w:szCs w:val="21"/>
              </w:rPr>
            </w:pPr>
            <w:r w:rsidRPr="004F0576">
              <w:rPr>
                <w:rFonts w:ascii="Times New Roman"/>
                <w:sz w:val="21"/>
                <w:szCs w:val="21"/>
              </w:rPr>
              <w:t>0</w:t>
            </w:r>
            <w:r w:rsidRPr="004F0576">
              <w:rPr>
                <w:rFonts w:ascii="Times New Roman"/>
                <w:sz w:val="21"/>
                <w:szCs w:val="21"/>
              </w:rPr>
              <w:t>＜</w:t>
            </w:r>
            <w:r w:rsidRPr="004F0576">
              <w:rPr>
                <w:rFonts w:ascii="Times New Roman"/>
                <w:i/>
                <w:iCs/>
                <w:sz w:val="21"/>
                <w:szCs w:val="21"/>
              </w:rPr>
              <w:t>P</w:t>
            </w:r>
            <w:r w:rsidRPr="004F0576">
              <w:rPr>
                <w:rFonts w:ascii="Times New Roman"/>
                <w:sz w:val="21"/>
                <w:szCs w:val="21"/>
              </w:rPr>
              <w:t>≤100</w:t>
            </w:r>
          </w:p>
        </w:tc>
        <w:tc>
          <w:tcPr>
            <w:tcW w:w="1041" w:type="pct"/>
            <w:vAlign w:val="center"/>
          </w:tcPr>
          <w:p w14:paraId="5073F384" w14:textId="77777777" w:rsidR="008D3A47" w:rsidRPr="004F0576" w:rsidRDefault="008D3A47" w:rsidP="00E526AF">
            <w:pPr>
              <w:pStyle w:val="ac"/>
              <w:widowControl w:val="0"/>
              <w:spacing w:before="120" w:after="120"/>
              <w:ind w:firstLineChars="0" w:firstLine="0"/>
              <w:jc w:val="center"/>
              <w:rPr>
                <w:rFonts w:ascii="Times New Roman"/>
                <w:sz w:val="21"/>
                <w:szCs w:val="21"/>
              </w:rPr>
            </w:pPr>
            <w:r w:rsidRPr="004F0576">
              <w:rPr>
                <w:rFonts w:ascii="Times New Roman"/>
                <w:sz w:val="21"/>
                <w:szCs w:val="21"/>
              </w:rPr>
              <w:t>100</w:t>
            </w:r>
            <w:r w:rsidRPr="004F0576">
              <w:rPr>
                <w:rFonts w:ascii="Times New Roman"/>
                <w:sz w:val="21"/>
                <w:szCs w:val="21"/>
              </w:rPr>
              <w:t>＜</w:t>
            </w:r>
            <w:r w:rsidRPr="004F0576">
              <w:rPr>
                <w:rFonts w:ascii="Times New Roman"/>
                <w:i/>
                <w:iCs/>
                <w:sz w:val="21"/>
                <w:szCs w:val="21"/>
              </w:rPr>
              <w:t>P</w:t>
            </w:r>
            <w:r w:rsidRPr="004F0576">
              <w:rPr>
                <w:rFonts w:ascii="Times New Roman"/>
                <w:sz w:val="21"/>
                <w:szCs w:val="21"/>
              </w:rPr>
              <w:t>≤200</w:t>
            </w:r>
          </w:p>
        </w:tc>
        <w:tc>
          <w:tcPr>
            <w:tcW w:w="1014" w:type="pct"/>
            <w:vAlign w:val="center"/>
          </w:tcPr>
          <w:p w14:paraId="0B51E174" w14:textId="77777777" w:rsidR="008D3A47" w:rsidRPr="004F0576" w:rsidRDefault="008D3A47" w:rsidP="00E526AF">
            <w:pPr>
              <w:pStyle w:val="ac"/>
              <w:widowControl w:val="0"/>
              <w:spacing w:before="120" w:after="120"/>
              <w:ind w:firstLineChars="0" w:firstLine="0"/>
              <w:jc w:val="center"/>
              <w:rPr>
                <w:rFonts w:ascii="Times New Roman"/>
                <w:sz w:val="21"/>
                <w:szCs w:val="21"/>
              </w:rPr>
            </w:pPr>
            <w:r w:rsidRPr="004F0576">
              <w:rPr>
                <w:rFonts w:ascii="Times New Roman"/>
                <w:sz w:val="21"/>
                <w:szCs w:val="21"/>
              </w:rPr>
              <w:t>200</w:t>
            </w:r>
            <w:r w:rsidRPr="004F0576">
              <w:rPr>
                <w:rFonts w:ascii="Times New Roman"/>
                <w:sz w:val="21"/>
                <w:szCs w:val="21"/>
              </w:rPr>
              <w:t>＜</w:t>
            </w:r>
            <w:r w:rsidRPr="004F0576">
              <w:rPr>
                <w:rFonts w:ascii="Times New Roman"/>
                <w:i/>
                <w:iCs/>
                <w:sz w:val="21"/>
                <w:szCs w:val="21"/>
              </w:rPr>
              <w:t>P</w:t>
            </w:r>
            <w:r w:rsidRPr="004F0576">
              <w:rPr>
                <w:rFonts w:ascii="Times New Roman"/>
                <w:sz w:val="21"/>
                <w:szCs w:val="21"/>
              </w:rPr>
              <w:t>≤400</w:t>
            </w:r>
          </w:p>
        </w:tc>
        <w:tc>
          <w:tcPr>
            <w:tcW w:w="921" w:type="pct"/>
            <w:vAlign w:val="center"/>
          </w:tcPr>
          <w:p w14:paraId="5F42D217" w14:textId="77777777" w:rsidR="008D3A47" w:rsidRPr="004F0576" w:rsidRDefault="008D3A47" w:rsidP="00E526AF">
            <w:pPr>
              <w:pStyle w:val="ac"/>
              <w:widowControl w:val="0"/>
              <w:spacing w:before="120" w:after="120"/>
              <w:ind w:firstLineChars="0" w:firstLine="0"/>
              <w:jc w:val="center"/>
              <w:rPr>
                <w:rFonts w:ascii="Times New Roman"/>
                <w:sz w:val="21"/>
                <w:szCs w:val="21"/>
              </w:rPr>
            </w:pPr>
            <w:r w:rsidRPr="004F0576">
              <w:rPr>
                <w:rFonts w:ascii="Times New Roman"/>
                <w:i/>
                <w:iCs/>
                <w:sz w:val="21"/>
                <w:szCs w:val="21"/>
              </w:rPr>
              <w:t>P</w:t>
            </w:r>
            <w:r w:rsidRPr="004F0576">
              <w:rPr>
                <w:rFonts w:ascii="Times New Roman"/>
                <w:sz w:val="21"/>
                <w:szCs w:val="21"/>
              </w:rPr>
              <w:t>＞</w:t>
            </w:r>
            <w:r w:rsidRPr="004F0576">
              <w:rPr>
                <w:rFonts w:ascii="Times New Roman"/>
                <w:sz w:val="21"/>
                <w:szCs w:val="21"/>
              </w:rPr>
              <w:t>400</w:t>
            </w:r>
          </w:p>
        </w:tc>
      </w:tr>
      <w:tr w:rsidR="008D3A47" w:rsidRPr="004F0576" w14:paraId="693000F2" w14:textId="77777777" w:rsidTr="008D3A47">
        <w:tc>
          <w:tcPr>
            <w:tcW w:w="906" w:type="pct"/>
            <w:vAlign w:val="center"/>
          </w:tcPr>
          <w:p w14:paraId="2CBFABB2" w14:textId="77777777" w:rsidR="008D3A47" w:rsidRPr="004F0576" w:rsidRDefault="008D3A47" w:rsidP="00E526AF">
            <w:pPr>
              <w:pStyle w:val="ac"/>
              <w:widowControl w:val="0"/>
              <w:spacing w:before="120" w:after="120"/>
              <w:ind w:firstLineChars="0" w:firstLine="0"/>
              <w:jc w:val="center"/>
              <w:rPr>
                <w:rFonts w:ascii="Times New Roman"/>
                <w:sz w:val="21"/>
                <w:szCs w:val="21"/>
              </w:rPr>
            </w:pPr>
            <w:r w:rsidRPr="004F0576">
              <w:rPr>
                <w:rFonts w:ascii="Times New Roman"/>
                <w:sz w:val="21"/>
                <w:szCs w:val="21"/>
              </w:rPr>
              <w:t>MMQ</w:t>
            </w:r>
            <w:r w:rsidRPr="004F0576">
              <w:rPr>
                <w:rFonts w:ascii="Times New Roman"/>
                <w:sz w:val="21"/>
                <w:szCs w:val="21"/>
              </w:rPr>
              <w:t>（</w:t>
            </w:r>
            <w:r w:rsidRPr="004F0576">
              <w:rPr>
                <w:rFonts w:ascii="Times New Roman"/>
                <w:sz w:val="21"/>
                <w:szCs w:val="21"/>
              </w:rPr>
              <w:t>kWh</w:t>
            </w:r>
            <w:r w:rsidRPr="004F0576">
              <w:rPr>
                <w:rFonts w:ascii="Times New Roman"/>
                <w:sz w:val="21"/>
                <w:szCs w:val="21"/>
              </w:rPr>
              <w:t>）</w:t>
            </w:r>
          </w:p>
        </w:tc>
        <w:tc>
          <w:tcPr>
            <w:tcW w:w="1118" w:type="pct"/>
            <w:vAlign w:val="center"/>
          </w:tcPr>
          <w:p w14:paraId="502A9744" w14:textId="77777777" w:rsidR="008D3A47" w:rsidRPr="004F0576" w:rsidRDefault="008D3A47" w:rsidP="00E526AF">
            <w:pPr>
              <w:pStyle w:val="ac"/>
              <w:widowControl w:val="0"/>
              <w:spacing w:before="120" w:after="120"/>
              <w:ind w:firstLineChars="0" w:firstLine="0"/>
              <w:jc w:val="center"/>
              <w:rPr>
                <w:rFonts w:ascii="Times New Roman"/>
                <w:sz w:val="21"/>
                <w:szCs w:val="21"/>
              </w:rPr>
            </w:pPr>
            <w:r w:rsidRPr="004F0576">
              <w:rPr>
                <w:rFonts w:ascii="Times New Roman"/>
                <w:sz w:val="21"/>
                <w:szCs w:val="21"/>
              </w:rPr>
              <w:t>1</w:t>
            </w:r>
          </w:p>
        </w:tc>
        <w:tc>
          <w:tcPr>
            <w:tcW w:w="1041" w:type="pct"/>
            <w:vAlign w:val="center"/>
          </w:tcPr>
          <w:p w14:paraId="0CF9F01C" w14:textId="77777777" w:rsidR="008D3A47" w:rsidRPr="004F0576" w:rsidRDefault="008D3A47" w:rsidP="00E526AF">
            <w:pPr>
              <w:pStyle w:val="ac"/>
              <w:widowControl w:val="0"/>
              <w:spacing w:before="120" w:after="120"/>
              <w:ind w:firstLineChars="0" w:firstLine="0"/>
              <w:jc w:val="center"/>
              <w:rPr>
                <w:rFonts w:ascii="Times New Roman"/>
                <w:sz w:val="21"/>
                <w:szCs w:val="21"/>
              </w:rPr>
            </w:pPr>
            <w:r w:rsidRPr="004F0576">
              <w:rPr>
                <w:rFonts w:ascii="Times New Roman"/>
                <w:sz w:val="21"/>
                <w:szCs w:val="21"/>
              </w:rPr>
              <w:t>2</w:t>
            </w:r>
          </w:p>
        </w:tc>
        <w:tc>
          <w:tcPr>
            <w:tcW w:w="1014" w:type="pct"/>
            <w:vAlign w:val="center"/>
          </w:tcPr>
          <w:p w14:paraId="6B7D24EE" w14:textId="77777777" w:rsidR="008D3A47" w:rsidRPr="004F0576" w:rsidRDefault="008D3A47" w:rsidP="00E526AF">
            <w:pPr>
              <w:pStyle w:val="ac"/>
              <w:widowControl w:val="0"/>
              <w:spacing w:before="120" w:after="120"/>
              <w:ind w:firstLineChars="0" w:firstLine="0"/>
              <w:jc w:val="center"/>
              <w:rPr>
                <w:rFonts w:ascii="Times New Roman"/>
                <w:sz w:val="21"/>
                <w:szCs w:val="21"/>
              </w:rPr>
            </w:pPr>
            <w:r w:rsidRPr="004F0576">
              <w:rPr>
                <w:rFonts w:ascii="Times New Roman"/>
                <w:sz w:val="21"/>
                <w:szCs w:val="21"/>
              </w:rPr>
              <w:t>4</w:t>
            </w:r>
          </w:p>
        </w:tc>
        <w:tc>
          <w:tcPr>
            <w:tcW w:w="921" w:type="pct"/>
            <w:vAlign w:val="center"/>
          </w:tcPr>
          <w:p w14:paraId="3AFEB898" w14:textId="77777777" w:rsidR="008D3A47" w:rsidRPr="004F0576" w:rsidRDefault="008D3A47" w:rsidP="00E526AF">
            <w:pPr>
              <w:pStyle w:val="ac"/>
              <w:widowControl w:val="0"/>
              <w:spacing w:before="120" w:after="120"/>
              <w:ind w:firstLineChars="0" w:firstLine="0"/>
              <w:jc w:val="center"/>
              <w:rPr>
                <w:rFonts w:ascii="Times New Roman"/>
                <w:sz w:val="21"/>
                <w:szCs w:val="21"/>
              </w:rPr>
            </w:pPr>
            <w:r w:rsidRPr="004F0576">
              <w:rPr>
                <w:rFonts w:ascii="Times New Roman"/>
                <w:sz w:val="21"/>
                <w:szCs w:val="21"/>
              </w:rPr>
              <w:t>P/100</w:t>
            </w:r>
          </w:p>
          <w:p w14:paraId="58FC7C0E" w14:textId="77777777" w:rsidR="008D3A47" w:rsidRPr="004F0576" w:rsidRDefault="008D3A47" w:rsidP="00E526AF">
            <w:pPr>
              <w:pStyle w:val="ac"/>
              <w:widowControl w:val="0"/>
              <w:spacing w:before="120" w:after="120"/>
              <w:ind w:firstLineChars="0" w:firstLine="0"/>
              <w:jc w:val="center"/>
              <w:rPr>
                <w:rFonts w:ascii="Times New Roman"/>
                <w:sz w:val="21"/>
                <w:szCs w:val="21"/>
              </w:rPr>
            </w:pPr>
            <w:r w:rsidRPr="004F0576">
              <w:rPr>
                <w:rFonts w:ascii="Times New Roman"/>
                <w:sz w:val="21"/>
                <w:szCs w:val="21"/>
              </w:rPr>
              <w:t>（有余数时，商</w:t>
            </w:r>
            <w:r w:rsidRPr="004F0576">
              <w:rPr>
                <w:rFonts w:ascii="Times New Roman" w:hint="eastAsia"/>
                <w:sz w:val="21"/>
                <w:szCs w:val="21"/>
              </w:rPr>
              <w:t>值</w:t>
            </w:r>
            <w:r w:rsidRPr="004F0576">
              <w:rPr>
                <w:rFonts w:ascii="Times New Roman"/>
                <w:sz w:val="21"/>
                <w:szCs w:val="21"/>
              </w:rPr>
              <w:t>向上取整）</w:t>
            </w:r>
          </w:p>
        </w:tc>
      </w:tr>
    </w:tbl>
    <w:p w14:paraId="7C680D0A" w14:textId="77777777" w:rsidR="008D3A47" w:rsidRPr="008D3A47" w:rsidRDefault="008D3A47" w:rsidP="00005EA8">
      <w:pPr>
        <w:spacing w:after="120" w:line="360" w:lineRule="auto"/>
        <w:ind w:firstLine="480"/>
        <w:jc w:val="both"/>
        <w:rPr>
          <w:rFonts w:hint="eastAsia"/>
        </w:rPr>
      </w:pPr>
    </w:p>
    <w:p w14:paraId="5F991C31"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7</w:t>
      </w:r>
      <w:r>
        <w:rPr>
          <w:rFonts w:eastAsia="宋体"/>
          <w:sz w:val="24"/>
          <w:szCs w:val="24"/>
        </w:rPr>
        <w:t>）电能潮流方向。本大纲现阶段仅规定正向电能计量（单寄存器</w:t>
      </w:r>
      <w:r>
        <w:rPr>
          <w:rFonts w:eastAsia="宋体"/>
          <w:sz w:val="24"/>
          <w:szCs w:val="24"/>
        </w:rPr>
        <w:t>-</w:t>
      </w:r>
      <w:r>
        <w:rPr>
          <w:rFonts w:eastAsia="宋体"/>
          <w:sz w:val="24"/>
          <w:szCs w:val="24"/>
        </w:rPr>
        <w:t>仅正向型），未采纳</w:t>
      </w:r>
      <w:r>
        <w:rPr>
          <w:rFonts w:eastAsia="宋体"/>
          <w:sz w:val="24"/>
          <w:szCs w:val="24"/>
        </w:rPr>
        <w:t>OIML R 22</w:t>
      </w:r>
      <w:r>
        <w:rPr>
          <w:rFonts w:eastAsia="宋体"/>
          <w:sz w:val="24"/>
          <w:szCs w:val="24"/>
        </w:rPr>
        <w:t>（制定中）中双向计量的要求，主要考虑我国充电设施现阶段以单向充电为主，车网互动（</w:t>
      </w:r>
      <w:r>
        <w:rPr>
          <w:rFonts w:eastAsia="宋体"/>
          <w:sz w:val="24"/>
          <w:szCs w:val="24"/>
        </w:rPr>
        <w:t>V2G</w:t>
      </w:r>
      <w:r>
        <w:rPr>
          <w:rFonts w:eastAsia="宋体"/>
          <w:sz w:val="24"/>
          <w:szCs w:val="24"/>
        </w:rPr>
        <w:t>）应用尚处于示范阶段，相关计量要求和监管规则有待进一步明确。</w:t>
      </w:r>
    </w:p>
    <w:p w14:paraId="0FDB7B17"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8</w:t>
      </w:r>
      <w:r>
        <w:rPr>
          <w:rFonts w:eastAsia="宋体"/>
          <w:sz w:val="24"/>
          <w:szCs w:val="24"/>
        </w:rPr>
        <w:t>）非车载充电机输出要求。第</w:t>
      </w:r>
      <w:r>
        <w:rPr>
          <w:rFonts w:eastAsia="宋体"/>
          <w:sz w:val="24"/>
          <w:szCs w:val="24"/>
        </w:rPr>
        <w:t>3</w:t>
      </w:r>
      <w:r>
        <w:rPr>
          <w:rFonts w:eastAsia="宋体"/>
          <w:sz w:val="24"/>
          <w:szCs w:val="24"/>
        </w:rPr>
        <w:t>部分增加了</w:t>
      </w:r>
      <w:r>
        <w:rPr>
          <w:rFonts w:eastAsia="宋体"/>
          <w:sz w:val="24"/>
          <w:szCs w:val="24"/>
        </w:rPr>
        <w:t>6.4</w:t>
      </w:r>
      <w:r>
        <w:rPr>
          <w:rFonts w:eastAsia="宋体"/>
          <w:sz w:val="24"/>
          <w:szCs w:val="24"/>
        </w:rPr>
        <w:t>输出要求，包括输出电压纹波峰值因数不大于</w:t>
      </w:r>
      <w:r>
        <w:rPr>
          <w:rFonts w:eastAsia="宋体"/>
          <w:sz w:val="24"/>
          <w:szCs w:val="24"/>
        </w:rPr>
        <w:t>1%</w:t>
      </w:r>
      <w:r>
        <w:rPr>
          <w:rFonts w:eastAsia="宋体"/>
          <w:sz w:val="24"/>
          <w:szCs w:val="24"/>
        </w:rPr>
        <w:t>、输出电流纹波限值（按频段和电流档分别规定推荐值和最大限值）、电流设定误差（</w:t>
      </w:r>
      <w:r>
        <w:rPr>
          <w:rFonts w:eastAsia="宋体"/>
          <w:sz w:val="24"/>
          <w:szCs w:val="24"/>
        </w:rPr>
        <w:t>±1%</w:t>
      </w:r>
      <w:r>
        <w:rPr>
          <w:rFonts w:eastAsia="宋体"/>
          <w:sz w:val="24"/>
          <w:szCs w:val="24"/>
        </w:rPr>
        <w:t>或</w:t>
      </w:r>
      <w:r>
        <w:rPr>
          <w:rFonts w:eastAsia="宋体"/>
          <w:sz w:val="24"/>
          <w:szCs w:val="24"/>
        </w:rPr>
        <w:t>±0.3 A</w:t>
      </w:r>
      <w:r>
        <w:rPr>
          <w:rFonts w:eastAsia="宋体"/>
          <w:sz w:val="24"/>
          <w:szCs w:val="24"/>
        </w:rPr>
        <w:t>）、电压设定误差（</w:t>
      </w:r>
      <w:r>
        <w:rPr>
          <w:rFonts w:eastAsia="宋体"/>
          <w:sz w:val="24"/>
          <w:szCs w:val="24"/>
        </w:rPr>
        <w:t>±0.5%</w:t>
      </w:r>
      <w:r>
        <w:rPr>
          <w:rFonts w:eastAsia="宋体"/>
          <w:sz w:val="24"/>
          <w:szCs w:val="24"/>
        </w:rPr>
        <w:t>或</w:t>
      </w:r>
      <w:r>
        <w:rPr>
          <w:rFonts w:eastAsia="宋体"/>
          <w:sz w:val="24"/>
          <w:szCs w:val="24"/>
        </w:rPr>
        <w:t>±2.5 V</w:t>
      </w:r>
      <w:r>
        <w:rPr>
          <w:rFonts w:eastAsia="宋体"/>
          <w:sz w:val="24"/>
          <w:szCs w:val="24"/>
        </w:rPr>
        <w:t>）、电压和电流测量误差及数据更新时间（不大于</w:t>
      </w:r>
      <w:r>
        <w:rPr>
          <w:rFonts w:eastAsia="宋体"/>
          <w:sz w:val="24"/>
          <w:szCs w:val="24"/>
        </w:rPr>
        <w:t>1 s</w:t>
      </w:r>
      <w:r>
        <w:rPr>
          <w:rFonts w:eastAsia="宋体"/>
          <w:sz w:val="24"/>
          <w:szCs w:val="24"/>
        </w:rPr>
        <w:t>）等。该部分要求源自</w:t>
      </w:r>
      <w:r>
        <w:rPr>
          <w:rFonts w:eastAsia="宋体"/>
          <w:sz w:val="24"/>
          <w:szCs w:val="24"/>
        </w:rPr>
        <w:t>NB/T 33001</w:t>
      </w:r>
      <w:r>
        <w:rPr>
          <w:rFonts w:eastAsia="宋体"/>
          <w:sz w:val="24"/>
          <w:szCs w:val="24"/>
        </w:rPr>
        <w:t>、</w:t>
      </w:r>
      <w:r>
        <w:rPr>
          <w:rFonts w:eastAsia="宋体"/>
          <w:sz w:val="24"/>
          <w:szCs w:val="24"/>
        </w:rPr>
        <w:t xml:space="preserve">GB/T </w:t>
      </w:r>
      <w:r>
        <w:rPr>
          <w:rFonts w:eastAsia="宋体"/>
          <w:sz w:val="24"/>
          <w:szCs w:val="24"/>
        </w:rPr>
        <w:lastRenderedPageBreak/>
        <w:t>29318</w:t>
      </w:r>
      <w:r>
        <w:rPr>
          <w:rFonts w:eastAsia="宋体"/>
          <w:sz w:val="24"/>
          <w:szCs w:val="24"/>
        </w:rPr>
        <w:t>等我国产品标准体系，</w:t>
      </w:r>
      <w:r>
        <w:rPr>
          <w:rFonts w:eastAsia="宋体"/>
          <w:sz w:val="24"/>
          <w:szCs w:val="24"/>
        </w:rPr>
        <w:t>OIML R 22</w:t>
      </w:r>
      <w:r>
        <w:rPr>
          <w:rFonts w:eastAsia="宋体"/>
          <w:sz w:val="24"/>
          <w:szCs w:val="24"/>
        </w:rPr>
        <w:t>（制定中）未作规定。增加输出要求主要考虑：输出纹波、设定误差和测量误差直接影响充电过程的兼容性和安全性，也影响电能计量的溯源条件和交易数据的可信性，将其纳入型式评价有利于从计量角度保障充电质量。</w:t>
      </w:r>
    </w:p>
    <w:p w14:paraId="720DDB6C" w14:textId="77777777" w:rsidR="00F6437D" w:rsidRPr="00B1521A" w:rsidRDefault="00000000" w:rsidP="00005EA8">
      <w:pPr>
        <w:pStyle w:val="2"/>
        <w:spacing w:before="280" w:after="160"/>
        <w:jc w:val="both"/>
        <w:rPr>
          <w:color w:val="auto"/>
        </w:rPr>
      </w:pPr>
      <w:bookmarkStart w:id="11" w:name="_Toc240793140"/>
      <w:proofErr w:type="gramStart"/>
      <w:r w:rsidRPr="00B1521A">
        <w:rPr>
          <w:rFonts w:eastAsia="黑体"/>
          <w:b/>
          <w:bCs/>
          <w:color w:val="auto"/>
          <w:sz w:val="28"/>
          <w:szCs w:val="28"/>
        </w:rPr>
        <w:t xml:space="preserve">5.5  </w:t>
      </w:r>
      <w:r w:rsidRPr="00B1521A">
        <w:rPr>
          <w:rFonts w:eastAsia="黑体"/>
          <w:b/>
          <w:bCs/>
          <w:color w:val="auto"/>
          <w:sz w:val="28"/>
          <w:szCs w:val="28"/>
        </w:rPr>
        <w:t>实负荷与虚负荷试验方法</w:t>
      </w:r>
      <w:bookmarkEnd w:id="11"/>
      <w:proofErr w:type="gramEnd"/>
    </w:p>
    <w:p w14:paraId="18A7B5AC" w14:textId="77777777" w:rsidR="00F6437D" w:rsidRDefault="00000000" w:rsidP="00005EA8">
      <w:pPr>
        <w:spacing w:after="120" w:line="360" w:lineRule="auto"/>
        <w:ind w:firstLine="480"/>
        <w:jc w:val="both"/>
      </w:pPr>
      <w:r>
        <w:rPr>
          <w:rFonts w:eastAsia="宋体"/>
          <w:sz w:val="24"/>
          <w:szCs w:val="24"/>
        </w:rPr>
        <w:t>实负荷与虚负荷试验方法的划分是本大纲的重点技术内容之一。</w:t>
      </w:r>
    </w:p>
    <w:p w14:paraId="74F14FA3" w14:textId="77777777" w:rsidR="00F6437D" w:rsidRDefault="00000000" w:rsidP="00005EA8">
      <w:pPr>
        <w:spacing w:after="120" w:line="360" w:lineRule="auto"/>
        <w:ind w:firstLine="480"/>
        <w:jc w:val="both"/>
      </w:pPr>
      <w:r>
        <w:rPr>
          <w:rFonts w:eastAsia="宋体"/>
          <w:sz w:val="24"/>
          <w:szCs w:val="24"/>
        </w:rPr>
        <w:t>实负荷试验能够真实反映设备在实际充电工况下的计量性能，特别是对非车载充电机，其内部功率变换单元可能引起输出电压、电流信号失真，虚负荷方法难以完全模拟实际输出特性，因此第</w:t>
      </w:r>
      <w:r>
        <w:rPr>
          <w:rFonts w:eastAsia="宋体"/>
          <w:sz w:val="24"/>
          <w:szCs w:val="24"/>
        </w:rPr>
        <w:t>3</w:t>
      </w:r>
      <w:r>
        <w:rPr>
          <w:rFonts w:eastAsia="宋体"/>
          <w:sz w:val="24"/>
          <w:szCs w:val="24"/>
        </w:rPr>
        <w:t>部分规定固有误差试验原则上应采用实负荷方法。但受大功率实负荷测试条件实现难度、实验室设备容量和检测效率等因素限制，对全部负载点采用实负荷试验现阶段存在困难。</w:t>
      </w:r>
    </w:p>
    <w:p w14:paraId="68891D58" w14:textId="3180AE15" w:rsidR="00F6437D" w:rsidRDefault="00000000" w:rsidP="00005EA8">
      <w:pPr>
        <w:spacing w:after="120" w:line="360" w:lineRule="auto"/>
        <w:ind w:firstLine="480"/>
        <w:jc w:val="both"/>
      </w:pPr>
      <w:r>
        <w:rPr>
          <w:rFonts w:eastAsia="宋体"/>
          <w:sz w:val="24"/>
          <w:szCs w:val="24"/>
        </w:rPr>
        <w:t>OIML R 22</w:t>
      </w:r>
      <w:r>
        <w:rPr>
          <w:rFonts w:eastAsia="宋体"/>
          <w:sz w:val="24"/>
          <w:szCs w:val="24"/>
        </w:rPr>
        <w:t>（制定中）</w:t>
      </w:r>
      <w:r>
        <w:rPr>
          <w:rFonts w:eastAsia="宋体"/>
          <w:sz w:val="24"/>
          <w:szCs w:val="24"/>
        </w:rPr>
        <w:t>7.1</w:t>
      </w:r>
      <w:r>
        <w:rPr>
          <w:rFonts w:eastAsia="宋体"/>
          <w:sz w:val="24"/>
          <w:szCs w:val="24"/>
        </w:rPr>
        <w:t>规定，直流供电设备固有误差试验至少在</w:t>
      </w:r>
      <w:r>
        <w:rPr>
          <w:rFonts w:eastAsia="宋体"/>
          <w:sz w:val="24"/>
          <w:szCs w:val="24"/>
        </w:rPr>
        <w:t>30%</w:t>
      </w:r>
      <w:r w:rsidR="00CF2F29" w:rsidRPr="00CF2F29">
        <w:rPr>
          <w:rFonts w:eastAsia="宋体"/>
          <w:i/>
          <w:iCs/>
          <w:sz w:val="24"/>
          <w:szCs w:val="24"/>
        </w:rPr>
        <w:t>I</w:t>
      </w:r>
      <w:r w:rsidR="00CF2F29">
        <w:rPr>
          <w:rFonts w:eastAsia="宋体" w:hint="eastAsia"/>
          <w:sz w:val="24"/>
          <w:szCs w:val="24"/>
          <w:vertAlign w:val="subscript"/>
        </w:rPr>
        <w:t>max</w:t>
      </w:r>
      <w:r>
        <w:rPr>
          <w:rFonts w:eastAsia="宋体"/>
          <w:sz w:val="24"/>
          <w:szCs w:val="24"/>
        </w:rPr>
        <w:t>以下电流范围采用实负荷（条件允许时扩展至</w:t>
      </w:r>
      <w:r>
        <w:rPr>
          <w:rFonts w:eastAsia="宋体"/>
          <w:sz w:val="24"/>
          <w:szCs w:val="24"/>
        </w:rPr>
        <w:t>50%</w:t>
      </w:r>
      <w:r w:rsidR="00CF2F29" w:rsidRPr="00CF2F29">
        <w:rPr>
          <w:rFonts w:eastAsia="宋体"/>
          <w:i/>
          <w:iCs/>
          <w:sz w:val="24"/>
          <w:szCs w:val="24"/>
        </w:rPr>
        <w:t>I</w:t>
      </w:r>
      <w:r w:rsidR="00CF2F29">
        <w:rPr>
          <w:rFonts w:eastAsia="宋体" w:hint="eastAsia"/>
          <w:sz w:val="24"/>
          <w:szCs w:val="24"/>
          <w:vertAlign w:val="subscript"/>
        </w:rPr>
        <w:t>max</w:t>
      </w:r>
      <w:r>
        <w:rPr>
          <w:rFonts w:eastAsia="宋体"/>
          <w:sz w:val="24"/>
          <w:szCs w:val="24"/>
        </w:rPr>
        <w:t>）。本大纲结合我国实验室以功率容量为主要约束条件的实际情况，将国际文件的电流比例准则转化为功率上限准则：第</w:t>
      </w:r>
      <w:r>
        <w:rPr>
          <w:rFonts w:eastAsia="宋体"/>
          <w:sz w:val="24"/>
          <w:szCs w:val="24"/>
        </w:rPr>
        <w:t>3</w:t>
      </w:r>
      <w:r>
        <w:rPr>
          <w:rFonts w:eastAsia="宋体"/>
          <w:sz w:val="24"/>
          <w:szCs w:val="24"/>
        </w:rPr>
        <w:t>部分</w:t>
      </w:r>
      <w:r>
        <w:rPr>
          <w:rFonts w:eastAsia="宋体"/>
          <w:sz w:val="24"/>
          <w:szCs w:val="24"/>
        </w:rPr>
        <w:t>10.1.1</w:t>
      </w:r>
      <w:r>
        <w:rPr>
          <w:rFonts w:eastAsia="宋体"/>
          <w:sz w:val="24"/>
          <w:szCs w:val="24"/>
        </w:rPr>
        <w:t>规定实负荷测试最大功率</w:t>
      </w:r>
      <w:r w:rsidRPr="00CF2F29">
        <w:rPr>
          <w:rFonts w:eastAsia="宋体"/>
          <w:i/>
          <w:iCs/>
          <w:sz w:val="24"/>
          <w:szCs w:val="24"/>
        </w:rPr>
        <w:t>P</w:t>
      </w:r>
      <w:r w:rsidRPr="00CF2F29">
        <w:rPr>
          <w:rFonts w:eastAsia="宋体"/>
          <w:sz w:val="24"/>
          <w:szCs w:val="24"/>
          <w:vertAlign w:val="subscript"/>
        </w:rPr>
        <w:t>RL</w:t>
      </w:r>
      <w:r>
        <w:rPr>
          <w:rFonts w:eastAsia="宋体"/>
          <w:sz w:val="24"/>
          <w:szCs w:val="24"/>
        </w:rPr>
        <w:t>取充电机最大输出功率与</w:t>
      </w:r>
      <w:r>
        <w:rPr>
          <w:rFonts w:eastAsia="宋体"/>
          <w:sz w:val="24"/>
          <w:szCs w:val="24"/>
        </w:rPr>
        <w:t>300 kW</w:t>
      </w:r>
      <w:r>
        <w:rPr>
          <w:rFonts w:eastAsia="宋体"/>
          <w:sz w:val="24"/>
          <w:szCs w:val="24"/>
        </w:rPr>
        <w:t>的较小者；最大输出功率不超过</w:t>
      </w:r>
      <w:r w:rsidRPr="00CF2F29">
        <w:rPr>
          <w:rFonts w:eastAsia="宋体"/>
          <w:i/>
          <w:iCs/>
          <w:sz w:val="24"/>
          <w:szCs w:val="24"/>
        </w:rPr>
        <w:t>P</w:t>
      </w:r>
      <w:r w:rsidRPr="00CF2F29">
        <w:rPr>
          <w:rFonts w:eastAsia="宋体"/>
          <w:sz w:val="24"/>
          <w:szCs w:val="24"/>
          <w:vertAlign w:val="subscript"/>
        </w:rPr>
        <w:t>RL</w:t>
      </w:r>
      <w:r>
        <w:rPr>
          <w:rFonts w:eastAsia="宋体"/>
          <w:sz w:val="24"/>
          <w:szCs w:val="24"/>
        </w:rPr>
        <w:t>的，全功率范围采用实负荷；超过</w:t>
      </w:r>
      <w:r w:rsidRPr="00CF2F29">
        <w:rPr>
          <w:rFonts w:eastAsia="宋体"/>
          <w:i/>
          <w:iCs/>
          <w:sz w:val="24"/>
          <w:szCs w:val="24"/>
        </w:rPr>
        <w:t>P</w:t>
      </w:r>
      <w:r w:rsidRPr="00CF2F29">
        <w:rPr>
          <w:rFonts w:eastAsia="宋体"/>
          <w:sz w:val="24"/>
          <w:szCs w:val="24"/>
          <w:vertAlign w:val="subscript"/>
        </w:rPr>
        <w:t>RL</w:t>
      </w:r>
      <w:r>
        <w:rPr>
          <w:rFonts w:eastAsia="宋体"/>
          <w:sz w:val="24"/>
          <w:szCs w:val="24"/>
        </w:rPr>
        <w:t>的，不超过</w:t>
      </w:r>
      <w:r w:rsidRPr="00CF2F29">
        <w:rPr>
          <w:rFonts w:eastAsia="宋体"/>
          <w:i/>
          <w:iCs/>
          <w:sz w:val="24"/>
          <w:szCs w:val="24"/>
        </w:rPr>
        <w:t>P</w:t>
      </w:r>
      <w:r w:rsidRPr="00CF2F29">
        <w:rPr>
          <w:rFonts w:eastAsia="宋体"/>
          <w:sz w:val="24"/>
          <w:szCs w:val="24"/>
          <w:vertAlign w:val="subscript"/>
        </w:rPr>
        <w:t>RL</w:t>
      </w:r>
      <w:r>
        <w:rPr>
          <w:rFonts w:eastAsia="宋体"/>
          <w:sz w:val="24"/>
          <w:szCs w:val="24"/>
        </w:rPr>
        <w:t>的负载点采用实负荷，超过</w:t>
      </w:r>
      <w:r w:rsidRPr="00CF2F29">
        <w:rPr>
          <w:rFonts w:eastAsia="宋体"/>
          <w:i/>
          <w:iCs/>
          <w:sz w:val="24"/>
          <w:szCs w:val="24"/>
        </w:rPr>
        <w:t>P</w:t>
      </w:r>
      <w:r w:rsidRPr="00CF2F29">
        <w:rPr>
          <w:rFonts w:eastAsia="宋体"/>
          <w:sz w:val="24"/>
          <w:szCs w:val="24"/>
          <w:vertAlign w:val="subscript"/>
        </w:rPr>
        <w:t>RL</w:t>
      </w:r>
      <w:r>
        <w:rPr>
          <w:rFonts w:eastAsia="宋体"/>
          <w:sz w:val="24"/>
          <w:szCs w:val="24"/>
        </w:rPr>
        <w:t>的测试点允许采用虚负荷。对</w:t>
      </w:r>
      <w:r w:rsidRPr="00CF2F29">
        <w:rPr>
          <w:rFonts w:eastAsia="宋体"/>
          <w:i/>
          <w:iCs/>
          <w:sz w:val="24"/>
          <w:szCs w:val="24"/>
        </w:rPr>
        <w:t>P</w:t>
      </w:r>
      <w:r w:rsidRPr="00CF2F29">
        <w:rPr>
          <w:rFonts w:eastAsia="宋体"/>
          <w:sz w:val="24"/>
          <w:szCs w:val="24"/>
          <w:vertAlign w:val="subscript"/>
        </w:rPr>
        <w:t>RL</w:t>
      </w:r>
      <w:r>
        <w:rPr>
          <w:rFonts w:eastAsia="宋体"/>
          <w:sz w:val="24"/>
          <w:szCs w:val="24"/>
        </w:rPr>
        <w:t>设</w:t>
      </w:r>
      <w:r>
        <w:rPr>
          <w:rFonts w:eastAsia="宋体"/>
          <w:sz w:val="24"/>
          <w:szCs w:val="24"/>
        </w:rPr>
        <w:t>300 kW</w:t>
      </w:r>
      <w:r>
        <w:rPr>
          <w:rFonts w:eastAsia="宋体"/>
          <w:sz w:val="24"/>
          <w:szCs w:val="24"/>
        </w:rPr>
        <w:t>上限，是考虑充电机最大输出功率持续提升及大功率实负荷测试条件的实现难度。</w:t>
      </w:r>
    </w:p>
    <w:p w14:paraId="6F379FFE" w14:textId="77777777" w:rsidR="00F6437D" w:rsidRDefault="00000000" w:rsidP="00005EA8">
      <w:pPr>
        <w:spacing w:after="120" w:line="360" w:lineRule="auto"/>
        <w:ind w:firstLine="480"/>
        <w:jc w:val="both"/>
      </w:pPr>
      <w:r>
        <w:rPr>
          <w:rFonts w:eastAsia="宋体"/>
          <w:sz w:val="24"/>
          <w:szCs w:val="24"/>
        </w:rPr>
        <w:t>对分体式充电机，考虑其功率变换部分（整流柜）与充电终端（计量部分）可分体安装、计量功能集中在充电终端实现的特点，第</w:t>
      </w:r>
      <w:r>
        <w:rPr>
          <w:rFonts w:eastAsia="宋体"/>
          <w:sz w:val="24"/>
          <w:szCs w:val="24"/>
        </w:rPr>
        <w:t>3</w:t>
      </w:r>
      <w:r>
        <w:rPr>
          <w:rFonts w:eastAsia="宋体"/>
          <w:sz w:val="24"/>
          <w:szCs w:val="24"/>
        </w:rPr>
        <w:t>部分规定可仅对充电终端进行固有误差试验，且允许采用虚负荷方法。</w:t>
      </w:r>
    </w:p>
    <w:p w14:paraId="4401CA1C" w14:textId="77777777" w:rsidR="00F6437D" w:rsidRDefault="00000000" w:rsidP="00005EA8">
      <w:pPr>
        <w:spacing w:after="120" w:line="360" w:lineRule="auto"/>
        <w:ind w:firstLine="480"/>
        <w:jc w:val="both"/>
      </w:pPr>
      <w:r>
        <w:rPr>
          <w:rFonts w:eastAsia="宋体"/>
          <w:sz w:val="24"/>
          <w:szCs w:val="24"/>
        </w:rPr>
        <w:t>为保证虚负荷试验结果与实负荷试验结果的等效性，本大纲规定虚负荷试验前应与实负荷试验进行比对，偏差不大于</w:t>
      </w:r>
      <w:r>
        <w:rPr>
          <w:rFonts w:eastAsia="宋体"/>
          <w:sz w:val="24"/>
          <w:szCs w:val="24"/>
        </w:rPr>
        <w:t>1/5 MPE</w:t>
      </w:r>
      <w:r>
        <w:rPr>
          <w:rFonts w:eastAsia="宋体"/>
          <w:sz w:val="24"/>
          <w:szCs w:val="24"/>
        </w:rPr>
        <w:t>；同时规定充电过程中升降功率阶段的电能不超过总电能的</w:t>
      </w:r>
      <w:r>
        <w:rPr>
          <w:rFonts w:eastAsia="宋体"/>
          <w:sz w:val="24"/>
          <w:szCs w:val="24"/>
        </w:rPr>
        <w:t>10%</w:t>
      </w:r>
      <w:r>
        <w:rPr>
          <w:rFonts w:eastAsia="宋体"/>
          <w:sz w:val="24"/>
          <w:szCs w:val="24"/>
        </w:rPr>
        <w:t>，保证试验工况与实际充电工况的一致性。第</w:t>
      </w:r>
      <w:r>
        <w:rPr>
          <w:rFonts w:eastAsia="宋体"/>
          <w:sz w:val="24"/>
          <w:szCs w:val="24"/>
        </w:rPr>
        <w:t>3</w:t>
      </w:r>
      <w:r>
        <w:rPr>
          <w:rFonts w:eastAsia="宋体"/>
          <w:sz w:val="24"/>
          <w:szCs w:val="24"/>
        </w:rPr>
        <w:t>部分附录</w:t>
      </w:r>
      <w:r>
        <w:rPr>
          <w:rFonts w:eastAsia="宋体"/>
          <w:sz w:val="24"/>
          <w:szCs w:val="24"/>
        </w:rPr>
        <w:t>A</w:t>
      </w:r>
      <w:r>
        <w:rPr>
          <w:rFonts w:eastAsia="宋体"/>
          <w:sz w:val="24"/>
          <w:szCs w:val="24"/>
        </w:rPr>
        <w:t>给出了虚负荷测试的接线方法（包括双极性独立电流源、电压获取方式、标准电能表接入充电连接点、脉冲比较法测量时间不少于</w:t>
      </w:r>
      <w:r>
        <w:rPr>
          <w:rFonts w:eastAsia="宋体"/>
          <w:sz w:val="24"/>
          <w:szCs w:val="24"/>
        </w:rPr>
        <w:t>10 s</w:t>
      </w:r>
      <w:r>
        <w:rPr>
          <w:rFonts w:eastAsia="宋体"/>
          <w:sz w:val="24"/>
          <w:szCs w:val="24"/>
        </w:rPr>
        <w:t>等），附录</w:t>
      </w:r>
      <w:r>
        <w:rPr>
          <w:rFonts w:eastAsia="宋体"/>
          <w:sz w:val="24"/>
          <w:szCs w:val="24"/>
        </w:rPr>
        <w:t>B</w:t>
      </w:r>
      <w:r>
        <w:rPr>
          <w:rFonts w:eastAsia="宋体"/>
          <w:sz w:val="24"/>
          <w:szCs w:val="24"/>
        </w:rPr>
        <w:t>给出了负载点示例，为虚负荷试验的实施提供技术支撑。</w:t>
      </w:r>
    </w:p>
    <w:p w14:paraId="13B37150" w14:textId="77777777" w:rsidR="00F6437D" w:rsidRDefault="00000000" w:rsidP="00005EA8">
      <w:pPr>
        <w:spacing w:after="120" w:line="360" w:lineRule="auto"/>
        <w:ind w:firstLine="480"/>
        <w:jc w:val="both"/>
      </w:pPr>
      <w:r>
        <w:rPr>
          <w:rFonts w:eastAsia="宋体"/>
          <w:sz w:val="24"/>
          <w:szCs w:val="24"/>
        </w:rPr>
        <w:t>对交流充电桩，其计量回路与交流电能表原理相同，电压、电流信号可直接取自</w:t>
      </w:r>
      <w:r>
        <w:rPr>
          <w:rFonts w:eastAsia="宋体"/>
          <w:sz w:val="24"/>
          <w:szCs w:val="24"/>
        </w:rPr>
        <w:lastRenderedPageBreak/>
        <w:t>电网，虚负荷方法的模拟等效性较好，因此第</w:t>
      </w:r>
      <w:r>
        <w:rPr>
          <w:rFonts w:eastAsia="宋体"/>
          <w:sz w:val="24"/>
          <w:szCs w:val="24"/>
        </w:rPr>
        <w:t>2</w:t>
      </w:r>
      <w:r>
        <w:rPr>
          <w:rFonts w:eastAsia="宋体"/>
          <w:sz w:val="24"/>
          <w:szCs w:val="24"/>
        </w:rPr>
        <w:t>部分规定所有影响量和干扰试验均可采用实负荷或虚负荷方法，虚负荷试验前同样应与实负荷比对，偏差不大于</w:t>
      </w:r>
      <w:r>
        <w:rPr>
          <w:rFonts w:eastAsia="宋体"/>
          <w:sz w:val="24"/>
          <w:szCs w:val="24"/>
        </w:rPr>
        <w:t>1/5 BMPE</w:t>
      </w:r>
      <w:r>
        <w:rPr>
          <w:rFonts w:eastAsia="宋体"/>
          <w:sz w:val="24"/>
          <w:szCs w:val="24"/>
        </w:rPr>
        <w:t>。</w:t>
      </w:r>
    </w:p>
    <w:p w14:paraId="660EB512" w14:textId="77777777" w:rsidR="00F6437D" w:rsidRPr="00B1521A" w:rsidRDefault="00000000" w:rsidP="00005EA8">
      <w:pPr>
        <w:pStyle w:val="2"/>
        <w:spacing w:before="280" w:after="160"/>
        <w:jc w:val="both"/>
        <w:rPr>
          <w:color w:val="auto"/>
        </w:rPr>
      </w:pPr>
      <w:bookmarkStart w:id="12" w:name="_Toc240793141"/>
      <w:proofErr w:type="gramStart"/>
      <w:r w:rsidRPr="00B1521A">
        <w:rPr>
          <w:rFonts w:eastAsia="黑体"/>
          <w:b/>
          <w:bCs/>
          <w:color w:val="auto"/>
          <w:sz w:val="28"/>
          <w:szCs w:val="28"/>
        </w:rPr>
        <w:t xml:space="preserve">5.6  </w:t>
      </w:r>
      <w:r w:rsidRPr="00B1521A">
        <w:rPr>
          <w:rFonts w:eastAsia="黑体"/>
          <w:b/>
          <w:bCs/>
          <w:color w:val="auto"/>
          <w:sz w:val="28"/>
          <w:szCs w:val="28"/>
        </w:rPr>
        <w:t>交流充电桩专用要求</w:t>
      </w:r>
      <w:bookmarkEnd w:id="12"/>
      <w:proofErr w:type="gramEnd"/>
    </w:p>
    <w:p w14:paraId="5D45576B" w14:textId="77777777" w:rsidR="00F6437D" w:rsidRDefault="00000000" w:rsidP="00005EA8">
      <w:pPr>
        <w:spacing w:after="120" w:line="360" w:lineRule="auto"/>
        <w:ind w:firstLine="480"/>
        <w:jc w:val="both"/>
      </w:pPr>
      <w:r>
        <w:rPr>
          <w:rFonts w:eastAsia="宋体"/>
          <w:sz w:val="24"/>
          <w:szCs w:val="24"/>
        </w:rPr>
        <w:t>第</w:t>
      </w:r>
      <w:r>
        <w:rPr>
          <w:rFonts w:eastAsia="宋体"/>
          <w:sz w:val="24"/>
          <w:szCs w:val="24"/>
        </w:rPr>
        <w:t>2</w:t>
      </w:r>
      <w:r>
        <w:rPr>
          <w:rFonts w:eastAsia="宋体"/>
          <w:sz w:val="24"/>
          <w:szCs w:val="24"/>
        </w:rPr>
        <w:t>部分规定了交流充电桩的额定工作条件（表</w:t>
      </w:r>
      <w:r>
        <w:rPr>
          <w:rFonts w:eastAsia="宋体"/>
          <w:sz w:val="24"/>
          <w:szCs w:val="24"/>
        </w:rPr>
        <w:t>2</w:t>
      </w:r>
      <w:r>
        <w:rPr>
          <w:rFonts w:eastAsia="宋体"/>
          <w:sz w:val="24"/>
          <w:szCs w:val="24"/>
        </w:rPr>
        <w:t>：标称频率偏差</w:t>
      </w:r>
      <w:r>
        <w:rPr>
          <w:rFonts w:eastAsia="宋体"/>
          <w:sz w:val="24"/>
          <w:szCs w:val="24"/>
        </w:rPr>
        <w:t>±2%</w:t>
      </w:r>
      <w:r>
        <w:rPr>
          <w:rFonts w:eastAsia="宋体"/>
          <w:sz w:val="24"/>
          <w:szCs w:val="24"/>
        </w:rPr>
        <w:t>、工作电压</w:t>
      </w:r>
      <w:r>
        <w:rPr>
          <w:rFonts w:eastAsia="宋体"/>
          <w:sz w:val="24"/>
          <w:szCs w:val="24"/>
        </w:rPr>
        <w:t>0.9</w:t>
      </w:r>
      <w:r w:rsidRPr="00CF2F29">
        <w:rPr>
          <w:rFonts w:eastAsia="宋体"/>
          <w:i/>
          <w:iCs/>
          <w:sz w:val="24"/>
          <w:szCs w:val="24"/>
        </w:rPr>
        <w:t>U</w:t>
      </w:r>
      <w:r w:rsidRPr="00CF2F29">
        <w:rPr>
          <w:rFonts w:eastAsia="宋体"/>
          <w:sz w:val="24"/>
          <w:szCs w:val="24"/>
          <w:vertAlign w:val="subscript"/>
        </w:rPr>
        <w:t>nom</w:t>
      </w:r>
      <w:r>
        <w:rPr>
          <w:rFonts w:eastAsia="宋体"/>
          <w:sz w:val="24"/>
          <w:szCs w:val="24"/>
        </w:rPr>
        <w:t>～</w:t>
      </w:r>
      <w:r>
        <w:rPr>
          <w:rFonts w:eastAsia="宋体"/>
          <w:sz w:val="24"/>
          <w:szCs w:val="24"/>
        </w:rPr>
        <w:t>1.1</w:t>
      </w:r>
      <w:r w:rsidRPr="00CF2F29">
        <w:rPr>
          <w:rFonts w:eastAsia="宋体"/>
          <w:i/>
          <w:iCs/>
          <w:sz w:val="24"/>
          <w:szCs w:val="24"/>
        </w:rPr>
        <w:t>U</w:t>
      </w:r>
      <w:r w:rsidRPr="00CF2F29">
        <w:rPr>
          <w:rFonts w:eastAsia="宋体"/>
          <w:sz w:val="24"/>
          <w:szCs w:val="24"/>
          <w:vertAlign w:val="subscript"/>
        </w:rPr>
        <w:t>nom</w:t>
      </w:r>
      <w:r>
        <w:rPr>
          <w:rFonts w:eastAsia="宋体"/>
          <w:sz w:val="24"/>
          <w:szCs w:val="24"/>
        </w:rPr>
        <w:t>、功率因数不小于</w:t>
      </w:r>
      <w:r>
        <w:rPr>
          <w:rFonts w:eastAsia="宋体"/>
          <w:sz w:val="24"/>
          <w:szCs w:val="24"/>
        </w:rPr>
        <w:t>0.9</w:t>
      </w:r>
      <w:r>
        <w:rPr>
          <w:rFonts w:eastAsia="宋体"/>
          <w:sz w:val="24"/>
          <w:szCs w:val="24"/>
        </w:rPr>
        <w:t>、温度限值系列、</w:t>
      </w:r>
      <w:r>
        <w:rPr>
          <w:rFonts w:eastAsia="宋体"/>
          <w:sz w:val="24"/>
          <w:szCs w:val="24"/>
        </w:rPr>
        <w:t>10 Hz</w:t>
      </w:r>
      <w:r>
        <w:rPr>
          <w:rFonts w:eastAsia="宋体"/>
          <w:sz w:val="24"/>
          <w:szCs w:val="24"/>
        </w:rPr>
        <w:t>～</w:t>
      </w:r>
      <w:r>
        <w:rPr>
          <w:rFonts w:eastAsia="宋体"/>
          <w:sz w:val="24"/>
          <w:szCs w:val="24"/>
        </w:rPr>
        <w:t>150 kHz</w:t>
      </w:r>
      <w:r>
        <w:rPr>
          <w:rFonts w:eastAsia="宋体"/>
          <w:sz w:val="24"/>
          <w:szCs w:val="24"/>
        </w:rPr>
        <w:t>差模电流适应性、</w:t>
      </w:r>
      <w:r>
        <w:rPr>
          <w:rFonts w:eastAsia="宋体"/>
          <w:sz w:val="24"/>
          <w:szCs w:val="24"/>
        </w:rPr>
        <w:t>MMQ</w:t>
      </w:r>
      <w:r>
        <w:rPr>
          <w:rFonts w:eastAsia="宋体"/>
          <w:sz w:val="24"/>
          <w:szCs w:val="24"/>
        </w:rPr>
        <w:t>不大于</w:t>
      </w:r>
      <w:r>
        <w:rPr>
          <w:rFonts w:eastAsia="宋体"/>
          <w:sz w:val="24"/>
          <w:szCs w:val="24"/>
        </w:rPr>
        <w:t>0.1 kWh</w:t>
      </w:r>
      <w:r>
        <w:rPr>
          <w:rFonts w:eastAsia="宋体"/>
          <w:sz w:val="24"/>
          <w:szCs w:val="24"/>
        </w:rPr>
        <w:t>）、</w:t>
      </w:r>
      <w:r>
        <w:rPr>
          <w:rFonts w:eastAsia="宋体"/>
          <w:sz w:val="24"/>
          <w:szCs w:val="24"/>
        </w:rPr>
        <w:t>BMPE</w:t>
      </w:r>
      <w:r>
        <w:rPr>
          <w:rFonts w:eastAsia="宋体"/>
          <w:sz w:val="24"/>
          <w:szCs w:val="24"/>
        </w:rPr>
        <w:t>（表</w:t>
      </w:r>
      <w:r>
        <w:rPr>
          <w:rFonts w:eastAsia="宋体"/>
          <w:sz w:val="24"/>
          <w:szCs w:val="24"/>
        </w:rPr>
        <w:t>3</w:t>
      </w:r>
      <w:r>
        <w:rPr>
          <w:rFonts w:eastAsia="宋体"/>
          <w:sz w:val="24"/>
          <w:szCs w:val="24"/>
        </w:rPr>
        <w:t>）、温度系数（表</w:t>
      </w:r>
      <w:r>
        <w:rPr>
          <w:rFonts w:eastAsia="宋体"/>
          <w:sz w:val="24"/>
          <w:szCs w:val="24"/>
        </w:rPr>
        <w:t>4</w:t>
      </w:r>
      <w:r>
        <w:rPr>
          <w:rFonts w:eastAsia="宋体"/>
          <w:sz w:val="24"/>
          <w:szCs w:val="24"/>
        </w:rPr>
        <w:t>：</w:t>
      </w:r>
      <w:r>
        <w:rPr>
          <w:rFonts w:eastAsia="宋体"/>
          <w:sz w:val="24"/>
          <w:szCs w:val="24"/>
        </w:rPr>
        <w:t>±0.1</w:t>
      </w:r>
      <w:r>
        <w:rPr>
          <w:rFonts w:eastAsia="宋体"/>
          <w:sz w:val="24"/>
          <w:szCs w:val="24"/>
        </w:rPr>
        <w:t>、</w:t>
      </w:r>
      <w:r>
        <w:rPr>
          <w:rFonts w:eastAsia="宋体"/>
          <w:sz w:val="24"/>
          <w:szCs w:val="24"/>
        </w:rPr>
        <w:t>±0.05</w:t>
      </w:r>
      <w:r>
        <w:rPr>
          <w:rFonts w:eastAsia="宋体"/>
          <w:sz w:val="24"/>
          <w:szCs w:val="24"/>
        </w:rPr>
        <w:t>、</w:t>
      </w:r>
      <w:r>
        <w:rPr>
          <w:rFonts w:eastAsia="宋体"/>
          <w:sz w:val="24"/>
          <w:szCs w:val="24"/>
        </w:rPr>
        <w:t>±0.03 %/℃</w:t>
      </w:r>
      <w:r>
        <w:rPr>
          <w:rFonts w:eastAsia="宋体"/>
          <w:sz w:val="24"/>
          <w:szCs w:val="24"/>
        </w:rPr>
        <w:t>）、影响量误差偏移限值（表</w:t>
      </w:r>
      <w:r>
        <w:rPr>
          <w:rFonts w:eastAsia="宋体"/>
          <w:sz w:val="24"/>
          <w:szCs w:val="24"/>
        </w:rPr>
        <w:t>5</w:t>
      </w:r>
      <w:r>
        <w:rPr>
          <w:rFonts w:eastAsia="宋体"/>
          <w:sz w:val="24"/>
          <w:szCs w:val="24"/>
        </w:rPr>
        <w:t>：自热、电压改变、频率改变、谐波、逆相序、外部恒定磁感应、工频磁场、射频电磁场、传导差模电流、射频传导骚扰、辅助装置等</w:t>
      </w:r>
      <w:r>
        <w:rPr>
          <w:rFonts w:eastAsia="宋体"/>
          <w:sz w:val="24"/>
          <w:szCs w:val="24"/>
        </w:rPr>
        <w:t>11</w:t>
      </w:r>
      <w:r>
        <w:rPr>
          <w:rFonts w:eastAsia="宋体"/>
          <w:sz w:val="24"/>
          <w:szCs w:val="24"/>
        </w:rPr>
        <w:t>项）、电气干扰（表</w:t>
      </w:r>
      <w:r>
        <w:rPr>
          <w:rFonts w:eastAsia="宋体"/>
          <w:sz w:val="24"/>
          <w:szCs w:val="24"/>
        </w:rPr>
        <w:t>6</w:t>
      </w:r>
      <w:r>
        <w:rPr>
          <w:rFonts w:eastAsia="宋体"/>
          <w:sz w:val="24"/>
          <w:szCs w:val="24"/>
        </w:rPr>
        <w:t>：静电放电、快速瞬变、电压暂降和中断、浪涌、短时过电流）和环境干扰（表</w:t>
      </w:r>
      <w:r>
        <w:rPr>
          <w:rFonts w:eastAsia="宋体"/>
          <w:sz w:val="24"/>
          <w:szCs w:val="24"/>
        </w:rPr>
        <w:t>7</w:t>
      </w:r>
      <w:r>
        <w:rPr>
          <w:rFonts w:eastAsia="宋体"/>
          <w:sz w:val="24"/>
          <w:szCs w:val="24"/>
        </w:rPr>
        <w:t>：阳光辐射、高温、低温、交变湿热）等专用要求，并规定了全部试验方法。</w:t>
      </w:r>
    </w:p>
    <w:p w14:paraId="48378295" w14:textId="77777777" w:rsidR="00F6437D" w:rsidRDefault="00000000" w:rsidP="00005EA8">
      <w:pPr>
        <w:spacing w:after="120" w:line="360" w:lineRule="auto"/>
        <w:ind w:firstLine="480"/>
        <w:jc w:val="both"/>
      </w:pPr>
      <w:r>
        <w:rPr>
          <w:rFonts w:eastAsia="宋体"/>
          <w:sz w:val="24"/>
          <w:szCs w:val="24"/>
        </w:rPr>
        <w:t>交流充电桩安装于交流电网，直接承受电网电压、频率、谐波、逆相序等影响量的作用，因此其影响量项目覆盖交流电网特性的各个方面；其电气干扰项目也按交流设备的实际电磁环境设置。影响量和干扰限值主要参考</w:t>
      </w:r>
      <w:r>
        <w:rPr>
          <w:rFonts w:eastAsia="宋体"/>
          <w:sz w:val="24"/>
          <w:szCs w:val="24"/>
        </w:rPr>
        <w:t>OIML R 22</w:t>
      </w:r>
      <w:r>
        <w:rPr>
          <w:rFonts w:eastAsia="宋体"/>
          <w:sz w:val="24"/>
          <w:szCs w:val="24"/>
        </w:rPr>
        <w:t>（制定中）表</w:t>
      </w:r>
      <w:r>
        <w:rPr>
          <w:rFonts w:eastAsia="宋体"/>
          <w:sz w:val="24"/>
          <w:szCs w:val="24"/>
        </w:rPr>
        <w:t>4</w:t>
      </w:r>
      <w:r>
        <w:rPr>
          <w:rFonts w:eastAsia="宋体"/>
          <w:sz w:val="24"/>
          <w:szCs w:val="24"/>
        </w:rPr>
        <w:t>、表</w:t>
      </w:r>
      <w:r>
        <w:rPr>
          <w:rFonts w:eastAsia="宋体"/>
          <w:sz w:val="24"/>
          <w:szCs w:val="24"/>
        </w:rPr>
        <w:t>5</w:t>
      </w:r>
      <w:r>
        <w:rPr>
          <w:rFonts w:eastAsia="宋体"/>
          <w:sz w:val="24"/>
          <w:szCs w:val="24"/>
        </w:rPr>
        <w:t>，并结合我国电网条件和产品实际确定。</w:t>
      </w:r>
    </w:p>
    <w:p w14:paraId="14995863" w14:textId="77777777" w:rsidR="00F6437D" w:rsidRPr="00B1521A" w:rsidRDefault="00000000" w:rsidP="00005EA8">
      <w:pPr>
        <w:pStyle w:val="2"/>
        <w:spacing w:before="280" w:after="160"/>
        <w:jc w:val="both"/>
        <w:rPr>
          <w:color w:val="auto"/>
        </w:rPr>
      </w:pPr>
      <w:bookmarkStart w:id="13" w:name="_Toc240793142"/>
      <w:proofErr w:type="gramStart"/>
      <w:r w:rsidRPr="00B1521A">
        <w:rPr>
          <w:rFonts w:eastAsia="黑体"/>
          <w:b/>
          <w:bCs/>
          <w:color w:val="auto"/>
          <w:sz w:val="28"/>
          <w:szCs w:val="28"/>
        </w:rPr>
        <w:t xml:space="preserve">5.7  </w:t>
      </w:r>
      <w:r w:rsidRPr="00B1521A">
        <w:rPr>
          <w:rFonts w:eastAsia="黑体"/>
          <w:b/>
          <w:bCs/>
          <w:color w:val="auto"/>
          <w:sz w:val="28"/>
          <w:szCs w:val="28"/>
        </w:rPr>
        <w:t>非车载充电机专用要求</w:t>
      </w:r>
      <w:bookmarkEnd w:id="13"/>
      <w:proofErr w:type="gramEnd"/>
    </w:p>
    <w:p w14:paraId="59E081AA" w14:textId="77777777" w:rsidR="00F6437D" w:rsidRDefault="00000000" w:rsidP="00005EA8">
      <w:pPr>
        <w:spacing w:after="120" w:line="360" w:lineRule="auto"/>
        <w:ind w:firstLine="480"/>
        <w:jc w:val="both"/>
      </w:pPr>
      <w:r>
        <w:rPr>
          <w:rFonts w:eastAsia="宋体"/>
          <w:sz w:val="24"/>
          <w:szCs w:val="24"/>
        </w:rPr>
        <w:t>第</w:t>
      </w:r>
      <w:r>
        <w:rPr>
          <w:rFonts w:eastAsia="宋体"/>
          <w:sz w:val="24"/>
          <w:szCs w:val="24"/>
        </w:rPr>
        <w:t>3</w:t>
      </w:r>
      <w:r>
        <w:rPr>
          <w:rFonts w:eastAsia="宋体"/>
          <w:sz w:val="24"/>
          <w:szCs w:val="24"/>
        </w:rPr>
        <w:t>部分规定了非车载充电机的额定工作条件（表</w:t>
      </w:r>
      <w:r>
        <w:rPr>
          <w:rFonts w:eastAsia="宋体"/>
          <w:sz w:val="24"/>
          <w:szCs w:val="24"/>
        </w:rPr>
        <w:t>2</w:t>
      </w:r>
      <w:r>
        <w:rPr>
          <w:rFonts w:eastAsia="宋体"/>
          <w:sz w:val="24"/>
          <w:szCs w:val="24"/>
        </w:rPr>
        <w:t>：输入电压</w:t>
      </w:r>
      <w:r>
        <w:rPr>
          <w:rFonts w:eastAsia="宋体"/>
          <w:sz w:val="24"/>
          <w:szCs w:val="24"/>
        </w:rPr>
        <w:t>220 V/380 V±5%</w:t>
      </w:r>
      <w:r>
        <w:rPr>
          <w:rFonts w:eastAsia="宋体"/>
          <w:sz w:val="24"/>
          <w:szCs w:val="24"/>
        </w:rPr>
        <w:t>、频率</w:t>
      </w:r>
      <w:r>
        <w:rPr>
          <w:rFonts w:eastAsia="宋体"/>
          <w:sz w:val="24"/>
          <w:szCs w:val="24"/>
        </w:rPr>
        <w:t>50 Hz±0.5 Hz</w:t>
      </w:r>
      <w:r>
        <w:rPr>
          <w:rFonts w:eastAsia="宋体"/>
          <w:sz w:val="24"/>
          <w:szCs w:val="24"/>
        </w:rPr>
        <w:t>、最小电流</w:t>
      </w:r>
      <w:proofErr w:type="spellStart"/>
      <w:r w:rsidRPr="00CF2F29">
        <w:rPr>
          <w:rFonts w:eastAsia="宋体"/>
          <w:i/>
          <w:iCs/>
          <w:sz w:val="24"/>
          <w:szCs w:val="24"/>
        </w:rPr>
        <w:t>I</w:t>
      </w:r>
      <w:r w:rsidRPr="00CF2F29">
        <w:rPr>
          <w:rFonts w:eastAsia="宋体"/>
          <w:sz w:val="24"/>
          <w:szCs w:val="24"/>
          <w:vertAlign w:val="subscript"/>
        </w:rPr>
        <w:t>min</w:t>
      </w:r>
      <w:proofErr w:type="spellEnd"/>
      <w:r>
        <w:rPr>
          <w:rFonts w:eastAsia="宋体"/>
          <w:sz w:val="24"/>
          <w:szCs w:val="24"/>
        </w:rPr>
        <w:t>不大于</w:t>
      </w:r>
      <w:r>
        <w:rPr>
          <w:rFonts w:eastAsia="宋体"/>
          <w:sz w:val="24"/>
          <w:szCs w:val="24"/>
        </w:rPr>
        <w:t>5 A</w:t>
      </w:r>
      <w:r>
        <w:rPr>
          <w:rFonts w:eastAsia="宋体"/>
          <w:sz w:val="24"/>
          <w:szCs w:val="24"/>
        </w:rPr>
        <w:t>、温度限值系列等）、</w:t>
      </w:r>
      <w:r>
        <w:rPr>
          <w:rFonts w:eastAsia="宋体"/>
          <w:sz w:val="24"/>
          <w:szCs w:val="24"/>
        </w:rPr>
        <w:t>BMPE</w:t>
      </w:r>
      <w:r>
        <w:rPr>
          <w:rFonts w:eastAsia="宋体"/>
          <w:sz w:val="24"/>
          <w:szCs w:val="24"/>
        </w:rPr>
        <w:t>（表</w:t>
      </w:r>
      <w:r>
        <w:rPr>
          <w:rFonts w:eastAsia="宋体"/>
          <w:sz w:val="24"/>
          <w:szCs w:val="24"/>
        </w:rPr>
        <w:t>3</w:t>
      </w:r>
      <w:r>
        <w:rPr>
          <w:rFonts w:eastAsia="宋体"/>
          <w:sz w:val="24"/>
          <w:szCs w:val="24"/>
        </w:rPr>
        <w:t>，按输出电压</w:t>
      </w:r>
      <w:r w:rsidRPr="00CF2F29">
        <w:rPr>
          <w:rFonts w:eastAsia="宋体"/>
          <w:i/>
          <w:iCs/>
          <w:sz w:val="24"/>
          <w:szCs w:val="24"/>
        </w:rPr>
        <w:t>U</w:t>
      </w:r>
      <w:r w:rsidRPr="00CF2F29">
        <w:rPr>
          <w:rFonts w:eastAsia="宋体"/>
          <w:sz w:val="24"/>
          <w:szCs w:val="24"/>
          <w:vertAlign w:val="subscript"/>
        </w:rPr>
        <w:t>min</w:t>
      </w:r>
      <w:r>
        <w:rPr>
          <w:rFonts w:eastAsia="宋体"/>
          <w:sz w:val="24"/>
          <w:szCs w:val="24"/>
        </w:rPr>
        <w:t>～</w:t>
      </w:r>
      <w:proofErr w:type="spellStart"/>
      <w:r w:rsidRPr="00CF2F29">
        <w:rPr>
          <w:rFonts w:eastAsia="宋体"/>
          <w:i/>
          <w:iCs/>
          <w:sz w:val="24"/>
          <w:szCs w:val="24"/>
        </w:rPr>
        <w:t>U</w:t>
      </w:r>
      <w:r w:rsidRPr="00CF2F29">
        <w:rPr>
          <w:rFonts w:eastAsia="宋体"/>
          <w:sz w:val="24"/>
          <w:szCs w:val="24"/>
          <w:vertAlign w:val="subscript"/>
        </w:rPr>
        <w:t>max</w:t>
      </w:r>
      <w:proofErr w:type="spellEnd"/>
      <w:r>
        <w:rPr>
          <w:rFonts w:eastAsia="宋体"/>
          <w:sz w:val="24"/>
          <w:szCs w:val="24"/>
        </w:rPr>
        <w:t>和电流区间规定）、输出要求（</w:t>
      </w:r>
      <w:r>
        <w:rPr>
          <w:rFonts w:eastAsia="宋体"/>
          <w:sz w:val="24"/>
          <w:szCs w:val="24"/>
        </w:rPr>
        <w:t>6.4</w:t>
      </w:r>
      <w:r>
        <w:rPr>
          <w:rFonts w:eastAsia="宋体"/>
          <w:sz w:val="24"/>
          <w:szCs w:val="24"/>
        </w:rPr>
        <w:t>，见</w:t>
      </w:r>
      <w:r>
        <w:rPr>
          <w:rFonts w:eastAsia="宋体"/>
          <w:sz w:val="24"/>
          <w:szCs w:val="24"/>
        </w:rPr>
        <w:t>5.4</w:t>
      </w:r>
      <w:r>
        <w:rPr>
          <w:rFonts w:eastAsia="宋体"/>
          <w:sz w:val="24"/>
          <w:szCs w:val="24"/>
        </w:rPr>
        <w:t>条）、温度系数（表</w:t>
      </w:r>
      <w:r>
        <w:rPr>
          <w:rFonts w:eastAsia="宋体"/>
          <w:sz w:val="24"/>
          <w:szCs w:val="24"/>
        </w:rPr>
        <w:t>5</w:t>
      </w:r>
      <w:r>
        <w:rPr>
          <w:rFonts w:eastAsia="宋体"/>
          <w:sz w:val="24"/>
          <w:szCs w:val="24"/>
        </w:rPr>
        <w:t>）、影响量误差偏移限值（表</w:t>
      </w:r>
      <w:r>
        <w:rPr>
          <w:rFonts w:eastAsia="宋体"/>
          <w:sz w:val="24"/>
          <w:szCs w:val="24"/>
        </w:rPr>
        <w:t>6</w:t>
      </w:r>
      <w:r>
        <w:rPr>
          <w:rFonts w:eastAsia="宋体"/>
          <w:sz w:val="24"/>
          <w:szCs w:val="24"/>
        </w:rPr>
        <w:t>：自热、外部恒定磁感应、工频磁场、射频电磁场、辅助装置等</w:t>
      </w:r>
      <w:r>
        <w:rPr>
          <w:rFonts w:eastAsia="宋体"/>
          <w:sz w:val="24"/>
          <w:szCs w:val="24"/>
        </w:rPr>
        <w:t>5</w:t>
      </w:r>
      <w:r>
        <w:rPr>
          <w:rFonts w:eastAsia="宋体"/>
          <w:sz w:val="24"/>
          <w:szCs w:val="24"/>
        </w:rPr>
        <w:t>项）、电气干扰（表</w:t>
      </w:r>
      <w:r>
        <w:rPr>
          <w:rFonts w:eastAsia="宋体"/>
          <w:sz w:val="24"/>
          <w:szCs w:val="24"/>
        </w:rPr>
        <w:t>7</w:t>
      </w:r>
      <w:r>
        <w:rPr>
          <w:rFonts w:eastAsia="宋体"/>
          <w:sz w:val="24"/>
          <w:szCs w:val="24"/>
        </w:rPr>
        <w:t>：静电放电）和环境干扰（表</w:t>
      </w:r>
      <w:r>
        <w:rPr>
          <w:rFonts w:eastAsia="宋体"/>
          <w:sz w:val="24"/>
          <w:szCs w:val="24"/>
        </w:rPr>
        <w:t>8</w:t>
      </w:r>
      <w:r>
        <w:rPr>
          <w:rFonts w:eastAsia="宋体"/>
          <w:sz w:val="24"/>
          <w:szCs w:val="24"/>
        </w:rPr>
        <w:t>：阳光辐射、高温、低温、恒定湿热和交变湿热）等专用要求，并规定了全部试验方法及充电连接装置更换试验（</w:t>
      </w:r>
      <w:r>
        <w:rPr>
          <w:rFonts w:eastAsia="宋体"/>
          <w:sz w:val="24"/>
          <w:szCs w:val="24"/>
        </w:rPr>
        <w:t>10.7</w:t>
      </w:r>
      <w:r>
        <w:rPr>
          <w:rFonts w:eastAsia="宋体"/>
          <w:sz w:val="24"/>
          <w:szCs w:val="24"/>
        </w:rPr>
        <w:t>）。</w:t>
      </w:r>
    </w:p>
    <w:p w14:paraId="14DB3D56" w14:textId="77777777" w:rsidR="00F6437D" w:rsidRDefault="00000000" w:rsidP="00005EA8">
      <w:pPr>
        <w:spacing w:after="120" w:line="360" w:lineRule="auto"/>
        <w:ind w:firstLine="480"/>
        <w:jc w:val="both"/>
      </w:pPr>
      <w:r>
        <w:rPr>
          <w:rFonts w:eastAsia="宋体"/>
          <w:sz w:val="24"/>
          <w:szCs w:val="24"/>
        </w:rPr>
        <w:t>非车载充电机的计量点在直流输出侧，电网侧的电压、频率、谐波等交流影响量经</w:t>
      </w:r>
      <w:r>
        <w:rPr>
          <w:rFonts w:eastAsia="宋体"/>
          <w:sz w:val="24"/>
          <w:szCs w:val="24"/>
        </w:rPr>
        <w:t>AC/DC</w:t>
      </w:r>
      <w:r>
        <w:rPr>
          <w:rFonts w:eastAsia="宋体"/>
          <w:sz w:val="24"/>
          <w:szCs w:val="24"/>
        </w:rPr>
        <w:t>功率变换环节滤除后对直流输出计量的影响显著减小，因此其影响量项目仅保留直接作用于直流计量环节的项目，未纳入电压改变、频率改变、谐波、逆相序、传导差模电流等交流电网侧项目；电气干扰项目也相应精简，仅保留静电放电。该处理方式与</w:t>
      </w:r>
      <w:r>
        <w:rPr>
          <w:rFonts w:eastAsia="宋体"/>
          <w:sz w:val="24"/>
          <w:szCs w:val="24"/>
        </w:rPr>
        <w:t>OIML R 22</w:t>
      </w:r>
      <w:r>
        <w:rPr>
          <w:rFonts w:eastAsia="宋体"/>
          <w:sz w:val="24"/>
          <w:szCs w:val="24"/>
        </w:rPr>
        <w:t>（制定中）表</w:t>
      </w:r>
      <w:r>
        <w:rPr>
          <w:rFonts w:eastAsia="宋体"/>
          <w:sz w:val="24"/>
          <w:szCs w:val="24"/>
        </w:rPr>
        <w:t>4</w:t>
      </w:r>
      <w:r>
        <w:rPr>
          <w:rFonts w:eastAsia="宋体"/>
          <w:sz w:val="24"/>
          <w:szCs w:val="24"/>
        </w:rPr>
        <w:t>注（</w:t>
      </w:r>
      <w:r>
        <w:rPr>
          <w:rFonts w:eastAsia="宋体"/>
          <w:sz w:val="24"/>
          <w:szCs w:val="24"/>
        </w:rPr>
        <w:t>1</w:t>
      </w:r>
      <w:r>
        <w:rPr>
          <w:rFonts w:eastAsia="宋体"/>
          <w:sz w:val="24"/>
          <w:szCs w:val="24"/>
        </w:rPr>
        <w:t>）中</w:t>
      </w:r>
      <w:proofErr w:type="gramStart"/>
      <w:r>
        <w:rPr>
          <w:rFonts w:eastAsia="宋体"/>
          <w:sz w:val="24"/>
          <w:szCs w:val="24"/>
        </w:rPr>
        <w:t>"</w:t>
      </w:r>
      <w:r>
        <w:rPr>
          <w:rFonts w:eastAsia="宋体"/>
          <w:sz w:val="24"/>
          <w:szCs w:val="24"/>
        </w:rPr>
        <w:t>对</w:t>
      </w:r>
      <w:proofErr w:type="gramEnd"/>
      <w:r>
        <w:rPr>
          <w:rFonts w:eastAsia="宋体"/>
          <w:sz w:val="24"/>
          <w:szCs w:val="24"/>
        </w:rPr>
        <w:t>具有</w:t>
      </w:r>
      <w:r>
        <w:rPr>
          <w:rFonts w:eastAsia="宋体"/>
          <w:sz w:val="24"/>
          <w:szCs w:val="24"/>
        </w:rPr>
        <w:t>AC/DC</w:t>
      </w:r>
      <w:r>
        <w:rPr>
          <w:rFonts w:eastAsia="宋体"/>
          <w:sz w:val="24"/>
          <w:szCs w:val="24"/>
        </w:rPr>
        <w:t>变换环节的设备，交流</w:t>
      </w:r>
      <w:r>
        <w:rPr>
          <w:rFonts w:eastAsia="宋体"/>
          <w:sz w:val="24"/>
          <w:szCs w:val="24"/>
        </w:rPr>
        <w:lastRenderedPageBreak/>
        <w:t>电网侧影响量可视为</w:t>
      </w:r>
      <w:proofErr w:type="gramStart"/>
      <w:r>
        <w:rPr>
          <w:rFonts w:eastAsia="宋体"/>
          <w:sz w:val="24"/>
          <w:szCs w:val="24"/>
        </w:rPr>
        <w:t>满足</w:t>
      </w:r>
      <w:r>
        <w:rPr>
          <w:rFonts w:eastAsia="宋体"/>
          <w:sz w:val="24"/>
          <w:szCs w:val="24"/>
        </w:rPr>
        <w:t>"</w:t>
      </w:r>
      <w:proofErr w:type="gramEnd"/>
      <w:r>
        <w:rPr>
          <w:rFonts w:eastAsia="宋体"/>
          <w:sz w:val="24"/>
          <w:szCs w:val="24"/>
        </w:rPr>
        <w:t>的技术思路一致。</w:t>
      </w:r>
    </w:p>
    <w:p w14:paraId="39CCD945" w14:textId="77777777" w:rsidR="00F6437D" w:rsidRPr="00B1521A" w:rsidRDefault="00000000" w:rsidP="00005EA8">
      <w:pPr>
        <w:pStyle w:val="2"/>
        <w:spacing w:before="280" w:after="160"/>
        <w:jc w:val="both"/>
        <w:rPr>
          <w:color w:val="auto"/>
        </w:rPr>
      </w:pPr>
      <w:bookmarkStart w:id="14" w:name="_Toc240793143"/>
      <w:proofErr w:type="gramStart"/>
      <w:r w:rsidRPr="00B1521A">
        <w:rPr>
          <w:rFonts w:eastAsia="黑体"/>
          <w:b/>
          <w:bCs/>
          <w:color w:val="auto"/>
          <w:sz w:val="28"/>
          <w:szCs w:val="28"/>
        </w:rPr>
        <w:t xml:space="preserve">5.8  </w:t>
      </w:r>
      <w:r w:rsidRPr="00B1521A">
        <w:rPr>
          <w:rFonts w:eastAsia="黑体"/>
          <w:b/>
          <w:bCs/>
          <w:color w:val="auto"/>
          <w:sz w:val="28"/>
          <w:szCs w:val="28"/>
        </w:rPr>
        <w:t>环境影响试验</w:t>
      </w:r>
      <w:bookmarkEnd w:id="14"/>
      <w:proofErr w:type="gramEnd"/>
    </w:p>
    <w:p w14:paraId="02B7FB6B" w14:textId="77777777" w:rsidR="00F6437D" w:rsidRDefault="00000000" w:rsidP="00005EA8">
      <w:pPr>
        <w:spacing w:after="120" w:line="360" w:lineRule="auto"/>
        <w:ind w:firstLine="480"/>
        <w:jc w:val="both"/>
      </w:pPr>
      <w:r>
        <w:rPr>
          <w:rFonts w:eastAsia="宋体"/>
          <w:sz w:val="24"/>
          <w:szCs w:val="24"/>
        </w:rPr>
        <w:t>本大纲按气候环境条件对设备进行分类（</w:t>
      </w:r>
      <w:r>
        <w:rPr>
          <w:rFonts w:eastAsia="宋体"/>
          <w:sz w:val="24"/>
          <w:szCs w:val="24"/>
        </w:rPr>
        <w:t>H1</w:t>
      </w:r>
      <w:r>
        <w:rPr>
          <w:rFonts w:eastAsia="宋体"/>
          <w:sz w:val="24"/>
          <w:szCs w:val="24"/>
        </w:rPr>
        <w:t>、</w:t>
      </w:r>
      <w:r>
        <w:rPr>
          <w:rFonts w:eastAsia="宋体"/>
          <w:sz w:val="24"/>
          <w:szCs w:val="24"/>
        </w:rPr>
        <w:t>H2</w:t>
      </w:r>
      <w:r>
        <w:rPr>
          <w:rFonts w:eastAsia="宋体"/>
          <w:sz w:val="24"/>
          <w:szCs w:val="24"/>
        </w:rPr>
        <w:t>、</w:t>
      </w:r>
      <w:r>
        <w:rPr>
          <w:rFonts w:eastAsia="宋体"/>
          <w:sz w:val="24"/>
          <w:szCs w:val="24"/>
        </w:rPr>
        <w:t>H3</w:t>
      </w:r>
      <w:r>
        <w:rPr>
          <w:rFonts w:eastAsia="宋体"/>
          <w:sz w:val="24"/>
          <w:szCs w:val="24"/>
        </w:rPr>
        <w:t>湿热严酷等级），规定高温、低温、湿热（交变湿热或恒定湿热）和阳光辐射等环境试验项目，试验方法依据</w:t>
      </w:r>
      <w:r>
        <w:rPr>
          <w:rFonts w:eastAsia="宋体"/>
          <w:sz w:val="24"/>
          <w:szCs w:val="24"/>
        </w:rPr>
        <w:t>IEC 60068</w:t>
      </w:r>
      <w:r>
        <w:rPr>
          <w:rFonts w:eastAsia="宋体"/>
          <w:sz w:val="24"/>
          <w:szCs w:val="24"/>
        </w:rPr>
        <w:t>系列标准（或与其对应的</w:t>
      </w:r>
      <w:r>
        <w:rPr>
          <w:rFonts w:eastAsia="宋体"/>
          <w:sz w:val="24"/>
          <w:szCs w:val="24"/>
        </w:rPr>
        <w:t>GB/T 2423</w:t>
      </w:r>
      <w:r>
        <w:rPr>
          <w:rFonts w:eastAsia="宋体"/>
          <w:sz w:val="24"/>
          <w:szCs w:val="24"/>
        </w:rPr>
        <w:t>系列）实施。环境试验后设备的误差偏移不大于</w:t>
      </w:r>
      <w:r>
        <w:rPr>
          <w:rFonts w:eastAsia="宋体"/>
          <w:sz w:val="24"/>
          <w:szCs w:val="24"/>
        </w:rPr>
        <w:t>1.0 BMPE</w:t>
      </w:r>
      <w:r>
        <w:rPr>
          <w:rFonts w:eastAsia="宋体"/>
          <w:sz w:val="24"/>
          <w:szCs w:val="24"/>
        </w:rPr>
        <w:t>。</w:t>
      </w:r>
    </w:p>
    <w:p w14:paraId="6734F90F" w14:textId="77777777" w:rsidR="00F6437D" w:rsidRDefault="00000000" w:rsidP="00005EA8">
      <w:pPr>
        <w:spacing w:after="120" w:line="360" w:lineRule="auto"/>
        <w:ind w:firstLine="480"/>
        <w:jc w:val="both"/>
      </w:pPr>
      <w:r>
        <w:rPr>
          <w:rFonts w:eastAsia="宋体"/>
          <w:sz w:val="24"/>
          <w:szCs w:val="24"/>
        </w:rPr>
        <w:t>阳光辐射试验方面，交流充电桩按</w:t>
      </w:r>
      <w:r>
        <w:rPr>
          <w:rFonts w:eastAsia="宋体"/>
          <w:sz w:val="24"/>
          <w:szCs w:val="24"/>
        </w:rPr>
        <w:t>GB/T 16422.3</w:t>
      </w:r>
      <w:r>
        <w:rPr>
          <w:rFonts w:eastAsia="宋体"/>
          <w:sz w:val="24"/>
          <w:szCs w:val="24"/>
        </w:rPr>
        <w:t>规定的方法（</w:t>
      </w:r>
      <w:r>
        <w:rPr>
          <w:rFonts w:eastAsia="宋体"/>
          <w:sz w:val="24"/>
          <w:szCs w:val="24"/>
        </w:rPr>
        <w:t>UVA-340</w:t>
      </w:r>
      <w:r>
        <w:rPr>
          <w:rFonts w:eastAsia="宋体"/>
          <w:sz w:val="24"/>
          <w:szCs w:val="24"/>
        </w:rPr>
        <w:t>荧光灯、黑板温度</w:t>
      </w:r>
      <w:r>
        <w:rPr>
          <w:rFonts w:eastAsia="宋体"/>
          <w:sz w:val="24"/>
          <w:szCs w:val="24"/>
        </w:rPr>
        <w:t>+55 ℃</w:t>
      </w:r>
      <w:r>
        <w:rPr>
          <w:rFonts w:eastAsia="宋体"/>
          <w:sz w:val="24"/>
          <w:szCs w:val="24"/>
        </w:rPr>
        <w:t>、</w:t>
      </w:r>
      <w:r>
        <w:rPr>
          <w:rFonts w:eastAsia="宋体"/>
          <w:sz w:val="24"/>
          <w:szCs w:val="24"/>
        </w:rPr>
        <w:t>10</w:t>
      </w:r>
      <w:r>
        <w:rPr>
          <w:rFonts w:eastAsia="宋体"/>
          <w:sz w:val="24"/>
          <w:szCs w:val="24"/>
        </w:rPr>
        <w:t>个循环）实施，非车载充电机按</w:t>
      </w:r>
      <w:r>
        <w:rPr>
          <w:rFonts w:eastAsia="宋体"/>
          <w:sz w:val="24"/>
          <w:szCs w:val="24"/>
        </w:rPr>
        <w:t>IEC 60068-2-5</w:t>
      </w:r>
      <w:r>
        <w:rPr>
          <w:rFonts w:eastAsia="宋体"/>
          <w:sz w:val="24"/>
          <w:szCs w:val="24"/>
        </w:rPr>
        <w:t>程序</w:t>
      </w:r>
      <w:r>
        <w:rPr>
          <w:rFonts w:eastAsia="宋体"/>
          <w:sz w:val="24"/>
          <w:szCs w:val="24"/>
        </w:rPr>
        <w:t>A</w:t>
      </w:r>
      <w:r>
        <w:rPr>
          <w:rFonts w:eastAsia="宋体"/>
          <w:sz w:val="24"/>
          <w:szCs w:val="24"/>
        </w:rPr>
        <w:t>（辐照温度</w:t>
      </w:r>
      <w:r>
        <w:rPr>
          <w:rFonts w:eastAsia="宋体"/>
          <w:sz w:val="24"/>
          <w:szCs w:val="24"/>
        </w:rPr>
        <w:t>+42 ℃</w:t>
      </w:r>
      <w:r>
        <w:rPr>
          <w:rFonts w:eastAsia="宋体"/>
          <w:sz w:val="24"/>
          <w:szCs w:val="24"/>
        </w:rPr>
        <w:t>）实施，主要考虑两类产品的安装使用环境和国内实验室试验条件的差异。</w:t>
      </w:r>
    </w:p>
    <w:p w14:paraId="76438F56" w14:textId="77777777" w:rsidR="00F6437D" w:rsidRDefault="00000000" w:rsidP="00005EA8">
      <w:pPr>
        <w:spacing w:after="120" w:line="360" w:lineRule="auto"/>
        <w:ind w:firstLine="480"/>
        <w:jc w:val="both"/>
      </w:pPr>
      <w:r>
        <w:rPr>
          <w:rFonts w:eastAsia="宋体"/>
          <w:sz w:val="24"/>
          <w:szCs w:val="24"/>
        </w:rPr>
        <w:t>环境试验项目的设置，主要考虑充电设备户外安装、长期暴露于高低温、湿热、太阳辐射等严酷气候环境的实际使用条件，考核气候环境对计量性能的影响，保证设备在全寿命周期内的计量准确性。</w:t>
      </w:r>
    </w:p>
    <w:p w14:paraId="18DED3C0" w14:textId="77777777" w:rsidR="00F6437D" w:rsidRPr="00B1521A" w:rsidRDefault="00000000" w:rsidP="00005EA8">
      <w:pPr>
        <w:pStyle w:val="2"/>
        <w:spacing w:before="280" w:after="160"/>
        <w:jc w:val="both"/>
        <w:rPr>
          <w:color w:val="auto"/>
        </w:rPr>
      </w:pPr>
      <w:bookmarkStart w:id="15" w:name="_Toc240793144"/>
      <w:proofErr w:type="gramStart"/>
      <w:r w:rsidRPr="00B1521A">
        <w:rPr>
          <w:rFonts w:eastAsia="黑体"/>
          <w:b/>
          <w:bCs/>
          <w:color w:val="auto"/>
          <w:sz w:val="28"/>
          <w:szCs w:val="28"/>
        </w:rPr>
        <w:t xml:space="preserve">5.9  </w:t>
      </w:r>
      <w:r w:rsidRPr="00B1521A">
        <w:rPr>
          <w:rFonts w:eastAsia="黑体"/>
          <w:b/>
          <w:bCs/>
          <w:color w:val="auto"/>
          <w:sz w:val="28"/>
          <w:szCs w:val="28"/>
        </w:rPr>
        <w:t>电磁兼容与电气干扰试验</w:t>
      </w:r>
      <w:bookmarkEnd w:id="15"/>
      <w:proofErr w:type="gramEnd"/>
    </w:p>
    <w:p w14:paraId="376E29D1" w14:textId="77777777" w:rsidR="00F6437D" w:rsidRDefault="00000000" w:rsidP="00005EA8">
      <w:pPr>
        <w:spacing w:after="120" w:line="360" w:lineRule="auto"/>
        <w:ind w:firstLine="480"/>
        <w:jc w:val="both"/>
      </w:pPr>
      <w:r>
        <w:rPr>
          <w:rFonts w:eastAsia="宋体"/>
          <w:sz w:val="24"/>
          <w:szCs w:val="24"/>
        </w:rPr>
        <w:t>本大纲规定静电放电、射频电磁场、射频传导骚扰、快速瞬变、电压暂降和中断、浪涌、短时过电流等电磁兼容和电气干扰试验项目，试验方法依据</w:t>
      </w:r>
      <w:r>
        <w:rPr>
          <w:rFonts w:eastAsia="宋体"/>
          <w:sz w:val="24"/>
          <w:szCs w:val="24"/>
        </w:rPr>
        <w:t>IEC 61000-4</w:t>
      </w:r>
      <w:r>
        <w:rPr>
          <w:rFonts w:eastAsia="宋体"/>
          <w:sz w:val="24"/>
          <w:szCs w:val="24"/>
        </w:rPr>
        <w:t>系列标准（或与其对应的</w:t>
      </w:r>
      <w:r>
        <w:rPr>
          <w:rFonts w:eastAsia="宋体"/>
          <w:sz w:val="24"/>
          <w:szCs w:val="24"/>
        </w:rPr>
        <w:t>GB/T 17626</w:t>
      </w:r>
      <w:r>
        <w:rPr>
          <w:rFonts w:eastAsia="宋体"/>
          <w:sz w:val="24"/>
          <w:szCs w:val="24"/>
        </w:rPr>
        <w:t>系列）及</w:t>
      </w:r>
      <w:r>
        <w:rPr>
          <w:rFonts w:eastAsia="宋体"/>
          <w:sz w:val="24"/>
          <w:szCs w:val="24"/>
        </w:rPr>
        <w:t>IEC 61851-21-2:2018</w:t>
      </w:r>
      <w:r>
        <w:rPr>
          <w:rFonts w:eastAsia="宋体"/>
          <w:sz w:val="24"/>
          <w:szCs w:val="24"/>
        </w:rPr>
        <w:t>实施。</w:t>
      </w:r>
    </w:p>
    <w:p w14:paraId="18471231" w14:textId="77777777" w:rsidR="00F6437D" w:rsidRDefault="00000000" w:rsidP="00005EA8">
      <w:pPr>
        <w:spacing w:after="120" w:line="360" w:lineRule="auto"/>
        <w:ind w:firstLine="480"/>
        <w:jc w:val="both"/>
      </w:pPr>
      <w:r>
        <w:rPr>
          <w:rFonts w:eastAsia="宋体"/>
          <w:sz w:val="24"/>
          <w:szCs w:val="24"/>
        </w:rPr>
        <w:t>干扰试验的基本判定原则为：试验中允许设备暂时丧失部分功能，但应能自动恢复；试验后误差偏移不大于</w:t>
      </w:r>
      <w:r>
        <w:rPr>
          <w:rFonts w:eastAsia="宋体"/>
          <w:sz w:val="24"/>
          <w:szCs w:val="24"/>
        </w:rPr>
        <w:t>1.0 BMPE</w:t>
      </w:r>
      <w:r>
        <w:rPr>
          <w:rFonts w:eastAsia="宋体"/>
          <w:sz w:val="24"/>
          <w:szCs w:val="24"/>
        </w:rPr>
        <w:t>（短时过电流试验后误差应在</w:t>
      </w:r>
      <w:r>
        <w:rPr>
          <w:rFonts w:eastAsia="宋体"/>
          <w:sz w:val="24"/>
          <w:szCs w:val="24"/>
        </w:rPr>
        <w:t>BMPE</w:t>
      </w:r>
      <w:r>
        <w:rPr>
          <w:rFonts w:eastAsia="宋体"/>
          <w:sz w:val="24"/>
          <w:szCs w:val="24"/>
        </w:rPr>
        <w:t>以内）；交易数据不应丢失或损坏。该判定原则与</w:t>
      </w:r>
      <w:r>
        <w:rPr>
          <w:rFonts w:eastAsia="宋体"/>
          <w:sz w:val="24"/>
          <w:szCs w:val="24"/>
        </w:rPr>
        <w:t>OIML R 22</w:t>
      </w:r>
      <w:r>
        <w:rPr>
          <w:rFonts w:eastAsia="宋体"/>
          <w:sz w:val="24"/>
          <w:szCs w:val="24"/>
        </w:rPr>
        <w:t>（制定中）</w:t>
      </w:r>
      <w:r>
        <w:rPr>
          <w:rFonts w:eastAsia="宋体"/>
          <w:sz w:val="24"/>
          <w:szCs w:val="24"/>
        </w:rPr>
        <w:t>3.3.5.1</w:t>
      </w:r>
      <w:r>
        <w:rPr>
          <w:rFonts w:eastAsia="宋体"/>
          <w:sz w:val="24"/>
          <w:szCs w:val="24"/>
        </w:rPr>
        <w:t>一致，既考核设备在电磁干扰下的计量稳定性，又保证交易计量数据的安全完整。</w:t>
      </w:r>
    </w:p>
    <w:p w14:paraId="79919E6A" w14:textId="77777777" w:rsidR="00F6437D" w:rsidRDefault="00000000" w:rsidP="00005EA8">
      <w:pPr>
        <w:spacing w:after="120" w:line="360" w:lineRule="auto"/>
        <w:ind w:firstLine="480"/>
        <w:jc w:val="both"/>
      </w:pPr>
      <w:r>
        <w:rPr>
          <w:rFonts w:eastAsia="宋体"/>
          <w:sz w:val="24"/>
          <w:szCs w:val="24"/>
        </w:rPr>
        <w:t>两类产品的干扰项目设置存在差异：交流充电桩直接连接交流电网，设置了快速瞬变、电压暂降和中断、浪涌、短时过电流等电网侧干扰项目；非车载充电机网侧干扰经</w:t>
      </w:r>
      <w:r>
        <w:rPr>
          <w:rFonts w:eastAsia="宋体"/>
          <w:sz w:val="24"/>
          <w:szCs w:val="24"/>
        </w:rPr>
        <w:t>AC/DC</w:t>
      </w:r>
      <w:r>
        <w:rPr>
          <w:rFonts w:eastAsia="宋体"/>
          <w:sz w:val="24"/>
          <w:szCs w:val="24"/>
        </w:rPr>
        <w:t>变换环节滤除，仅设置静电放电项目（见</w:t>
      </w:r>
      <w:r>
        <w:rPr>
          <w:rFonts w:eastAsia="宋体"/>
          <w:sz w:val="24"/>
          <w:szCs w:val="24"/>
        </w:rPr>
        <w:t>5.7</w:t>
      </w:r>
      <w:r>
        <w:rPr>
          <w:rFonts w:eastAsia="宋体"/>
          <w:sz w:val="24"/>
          <w:szCs w:val="24"/>
        </w:rPr>
        <w:t>条）。</w:t>
      </w:r>
    </w:p>
    <w:p w14:paraId="627746AF" w14:textId="77777777" w:rsidR="00F6437D" w:rsidRPr="00B1521A" w:rsidRDefault="00000000" w:rsidP="00005EA8">
      <w:pPr>
        <w:pStyle w:val="2"/>
        <w:spacing w:before="280" w:after="160"/>
        <w:jc w:val="both"/>
        <w:rPr>
          <w:color w:val="auto"/>
        </w:rPr>
      </w:pPr>
      <w:bookmarkStart w:id="16" w:name="_Toc240793145"/>
      <w:proofErr w:type="gramStart"/>
      <w:r w:rsidRPr="00B1521A">
        <w:rPr>
          <w:rFonts w:eastAsia="黑体"/>
          <w:b/>
          <w:bCs/>
          <w:color w:val="auto"/>
          <w:sz w:val="28"/>
          <w:szCs w:val="28"/>
        </w:rPr>
        <w:t xml:space="preserve">5.10  </w:t>
      </w:r>
      <w:r w:rsidRPr="00B1521A">
        <w:rPr>
          <w:rFonts w:eastAsia="黑体"/>
          <w:b/>
          <w:bCs/>
          <w:color w:val="auto"/>
          <w:sz w:val="28"/>
          <w:szCs w:val="28"/>
        </w:rPr>
        <w:t>电气安全及其他通用技术要求</w:t>
      </w:r>
      <w:bookmarkEnd w:id="16"/>
      <w:proofErr w:type="gramEnd"/>
    </w:p>
    <w:p w14:paraId="14DFA349"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1</w:t>
      </w:r>
      <w:r>
        <w:rPr>
          <w:rFonts w:eastAsia="宋体"/>
          <w:sz w:val="24"/>
          <w:szCs w:val="24"/>
        </w:rPr>
        <w:t>）外壳防护。室内使用的供电设备外壳防护等级不低于</w:t>
      </w:r>
      <w:r>
        <w:rPr>
          <w:rFonts w:eastAsia="宋体"/>
          <w:sz w:val="24"/>
          <w:szCs w:val="24"/>
        </w:rPr>
        <w:t>IP32</w:t>
      </w:r>
      <w:r>
        <w:rPr>
          <w:rFonts w:eastAsia="宋体"/>
          <w:sz w:val="24"/>
          <w:szCs w:val="24"/>
        </w:rPr>
        <w:t>，室外使用的不低于</w:t>
      </w:r>
      <w:r>
        <w:rPr>
          <w:rFonts w:eastAsia="宋体"/>
          <w:sz w:val="24"/>
          <w:szCs w:val="24"/>
        </w:rPr>
        <w:t>IP54</w:t>
      </w:r>
      <w:r>
        <w:rPr>
          <w:rFonts w:eastAsia="宋体"/>
          <w:sz w:val="24"/>
          <w:szCs w:val="24"/>
        </w:rPr>
        <w:t>。</w:t>
      </w:r>
      <w:r>
        <w:rPr>
          <w:rFonts w:eastAsia="宋体"/>
          <w:sz w:val="24"/>
          <w:szCs w:val="24"/>
        </w:rPr>
        <w:t>OIML R 22</w:t>
      </w:r>
      <w:r>
        <w:rPr>
          <w:rFonts w:eastAsia="宋体"/>
          <w:sz w:val="24"/>
          <w:szCs w:val="24"/>
        </w:rPr>
        <w:t>（制定中）规定室内不低于</w:t>
      </w:r>
      <w:r>
        <w:rPr>
          <w:rFonts w:eastAsia="宋体"/>
          <w:sz w:val="24"/>
          <w:szCs w:val="24"/>
        </w:rPr>
        <w:t>IP51</w:t>
      </w:r>
      <w:r>
        <w:rPr>
          <w:rFonts w:eastAsia="宋体"/>
          <w:sz w:val="24"/>
          <w:szCs w:val="24"/>
        </w:rPr>
        <w:t>，本大纲根据我国室内安装产品的实际防护水平调整为</w:t>
      </w:r>
      <w:r>
        <w:rPr>
          <w:rFonts w:eastAsia="宋体"/>
          <w:sz w:val="24"/>
          <w:szCs w:val="24"/>
        </w:rPr>
        <w:t>IP32</w:t>
      </w:r>
      <w:r>
        <w:rPr>
          <w:rFonts w:eastAsia="宋体"/>
          <w:sz w:val="24"/>
          <w:szCs w:val="24"/>
        </w:rPr>
        <w:t>。</w:t>
      </w:r>
    </w:p>
    <w:p w14:paraId="6287D6B9" w14:textId="77777777" w:rsidR="00F6437D" w:rsidRDefault="00000000" w:rsidP="00005EA8">
      <w:pPr>
        <w:spacing w:after="120" w:line="360" w:lineRule="auto"/>
        <w:ind w:firstLine="480"/>
        <w:jc w:val="both"/>
      </w:pPr>
      <w:r>
        <w:rPr>
          <w:rFonts w:eastAsia="宋体"/>
          <w:sz w:val="24"/>
          <w:szCs w:val="24"/>
        </w:rPr>
        <w:lastRenderedPageBreak/>
        <w:t>（</w:t>
      </w:r>
      <w:r>
        <w:rPr>
          <w:rFonts w:eastAsia="宋体"/>
          <w:sz w:val="24"/>
          <w:szCs w:val="24"/>
        </w:rPr>
        <w:t>2</w:t>
      </w:r>
      <w:r>
        <w:rPr>
          <w:rFonts w:eastAsia="宋体"/>
          <w:sz w:val="24"/>
          <w:szCs w:val="24"/>
        </w:rPr>
        <w:t>）适用性要求。规定充电连接装置更换（</w:t>
      </w:r>
      <w:r>
        <w:rPr>
          <w:rFonts w:eastAsia="宋体"/>
          <w:sz w:val="24"/>
          <w:szCs w:val="24"/>
        </w:rPr>
        <w:t>a</w:t>
      </w:r>
      <w:r>
        <w:rPr>
          <w:rFonts w:eastAsia="宋体"/>
          <w:sz w:val="24"/>
          <w:szCs w:val="24"/>
        </w:rPr>
        <w:t>、</w:t>
      </w:r>
      <w:r>
        <w:rPr>
          <w:rFonts w:eastAsia="宋体"/>
          <w:sz w:val="24"/>
          <w:szCs w:val="24"/>
        </w:rPr>
        <w:t>b</w:t>
      </w:r>
      <w:r>
        <w:rPr>
          <w:rFonts w:eastAsia="宋体"/>
          <w:sz w:val="24"/>
          <w:szCs w:val="24"/>
        </w:rPr>
        <w:t>两种情形）、计量点至充电连接点之间不得分流电能、交易要求、多费率要求和断电要求等，保证计量系统的完整性和交易数据的法制有效性。其中法制相关交易数据项与</w:t>
      </w:r>
      <w:r>
        <w:rPr>
          <w:rFonts w:eastAsia="宋体"/>
          <w:sz w:val="24"/>
          <w:szCs w:val="24"/>
        </w:rPr>
        <w:t>GB/T 28569-2024</w:t>
      </w:r>
      <w:r>
        <w:rPr>
          <w:rFonts w:eastAsia="宋体"/>
          <w:sz w:val="24"/>
          <w:szCs w:val="24"/>
        </w:rPr>
        <w:t>、</w:t>
      </w:r>
      <w:r>
        <w:rPr>
          <w:rFonts w:eastAsia="宋体"/>
          <w:sz w:val="24"/>
          <w:szCs w:val="24"/>
        </w:rPr>
        <w:t>GB/T 29318-2024</w:t>
      </w:r>
      <w:r>
        <w:rPr>
          <w:rFonts w:eastAsia="宋体"/>
          <w:sz w:val="24"/>
          <w:szCs w:val="24"/>
        </w:rPr>
        <w:t>的规定对应。</w:t>
      </w:r>
    </w:p>
    <w:p w14:paraId="104561AF"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3</w:t>
      </w:r>
      <w:r>
        <w:rPr>
          <w:rFonts w:eastAsia="宋体"/>
          <w:sz w:val="24"/>
          <w:szCs w:val="24"/>
        </w:rPr>
        <w:t>）数据访问。规定本地和非本地客户端界面要求（显示字符高度不小于</w:t>
      </w:r>
      <w:r>
        <w:rPr>
          <w:rFonts w:eastAsia="宋体"/>
          <w:sz w:val="24"/>
          <w:szCs w:val="24"/>
        </w:rPr>
        <w:t>4 mm</w:t>
      </w:r>
      <w:r>
        <w:rPr>
          <w:rFonts w:eastAsia="宋体"/>
          <w:sz w:val="24"/>
          <w:szCs w:val="24"/>
        </w:rPr>
        <w:t>、示值保持时间不少于</w:t>
      </w:r>
      <w:r>
        <w:rPr>
          <w:rFonts w:eastAsia="宋体"/>
          <w:sz w:val="24"/>
          <w:szCs w:val="24"/>
        </w:rPr>
        <w:t>30 s</w:t>
      </w:r>
      <w:r>
        <w:rPr>
          <w:rFonts w:eastAsia="宋体"/>
          <w:sz w:val="24"/>
          <w:szCs w:val="24"/>
        </w:rPr>
        <w:t>、密码学保护等）、客户端接口、寄存器、可测试性（交流设备测试分辨力不低于</w:t>
      </w:r>
      <w:r>
        <w:rPr>
          <w:rFonts w:eastAsia="宋体"/>
          <w:sz w:val="24"/>
          <w:szCs w:val="24"/>
        </w:rPr>
        <w:t>0.0001 kWh</w:t>
      </w:r>
      <w:r>
        <w:rPr>
          <w:rFonts w:eastAsia="宋体"/>
          <w:sz w:val="24"/>
          <w:szCs w:val="24"/>
        </w:rPr>
        <w:t>、直流设备不低于</w:t>
      </w:r>
      <w:r>
        <w:rPr>
          <w:rFonts w:eastAsia="宋体"/>
          <w:sz w:val="24"/>
          <w:szCs w:val="24"/>
        </w:rPr>
        <w:t>0.001 kWh</w:t>
      </w:r>
      <w:r>
        <w:rPr>
          <w:rFonts w:eastAsia="宋体"/>
          <w:sz w:val="24"/>
          <w:szCs w:val="24"/>
        </w:rPr>
        <w:t>；脉冲输出；光脉冲输出波长</w:t>
      </w:r>
      <w:r>
        <w:rPr>
          <w:rFonts w:eastAsia="宋体"/>
          <w:sz w:val="24"/>
          <w:szCs w:val="24"/>
        </w:rPr>
        <w:t>550 nm</w:t>
      </w:r>
      <w:r>
        <w:rPr>
          <w:rFonts w:eastAsia="宋体"/>
          <w:sz w:val="24"/>
          <w:szCs w:val="24"/>
        </w:rPr>
        <w:t>～</w:t>
      </w:r>
      <w:r>
        <w:rPr>
          <w:rFonts w:eastAsia="宋体"/>
          <w:sz w:val="24"/>
          <w:szCs w:val="24"/>
        </w:rPr>
        <w:t>1000 nm</w:t>
      </w:r>
      <w:r>
        <w:rPr>
          <w:rFonts w:eastAsia="宋体"/>
          <w:sz w:val="24"/>
          <w:szCs w:val="24"/>
        </w:rPr>
        <w:t>等；验证接口）等要求，保证计量数据可读取、可核查、可测试。</w:t>
      </w:r>
    </w:p>
    <w:p w14:paraId="50C12E52"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4</w:t>
      </w:r>
      <w:r>
        <w:rPr>
          <w:rFonts w:eastAsia="宋体"/>
          <w:sz w:val="24"/>
          <w:szCs w:val="24"/>
        </w:rPr>
        <w:t>）软件要求。通用要求</w:t>
      </w:r>
      <w:r>
        <w:rPr>
          <w:rFonts w:eastAsia="宋体"/>
          <w:sz w:val="24"/>
          <w:szCs w:val="24"/>
        </w:rPr>
        <w:t>7.7.1</w:t>
      </w:r>
      <w:r>
        <w:rPr>
          <w:rFonts w:eastAsia="宋体"/>
          <w:sz w:val="24"/>
          <w:szCs w:val="24"/>
        </w:rPr>
        <w:t>～</w:t>
      </w:r>
      <w:r>
        <w:rPr>
          <w:rFonts w:eastAsia="宋体"/>
          <w:sz w:val="24"/>
          <w:szCs w:val="24"/>
        </w:rPr>
        <w:t>7.7.17</w:t>
      </w:r>
      <w:r>
        <w:rPr>
          <w:rFonts w:eastAsia="宋体"/>
          <w:sz w:val="24"/>
          <w:szCs w:val="24"/>
        </w:rPr>
        <w:t>规定了软件标识、干预证据、审计日志、重大缺陷、时间戳、软件更新、远程验证、操作系统、参数保护、交易数据保护、接口、软件隔离、模块分离、存储保护、传输保护等要求，对应</w:t>
      </w:r>
      <w:r>
        <w:rPr>
          <w:rFonts w:eastAsia="宋体"/>
          <w:sz w:val="24"/>
          <w:szCs w:val="24"/>
        </w:rPr>
        <w:t>OIML D 31:2023</w:t>
      </w:r>
      <w:r>
        <w:rPr>
          <w:rFonts w:eastAsia="宋体"/>
          <w:sz w:val="24"/>
          <w:szCs w:val="24"/>
        </w:rPr>
        <w:t>及</w:t>
      </w:r>
      <w:r>
        <w:rPr>
          <w:rFonts w:eastAsia="宋体"/>
          <w:sz w:val="24"/>
          <w:szCs w:val="24"/>
        </w:rPr>
        <w:t>OIML R 22</w:t>
      </w:r>
      <w:r>
        <w:rPr>
          <w:rFonts w:eastAsia="宋体"/>
          <w:sz w:val="24"/>
          <w:szCs w:val="24"/>
        </w:rPr>
        <w:t>（制定中）第</w:t>
      </w:r>
      <w:r>
        <w:rPr>
          <w:rFonts w:eastAsia="宋体"/>
          <w:sz w:val="24"/>
          <w:szCs w:val="24"/>
        </w:rPr>
        <w:t>5</w:t>
      </w:r>
      <w:r>
        <w:rPr>
          <w:rFonts w:eastAsia="宋体"/>
          <w:sz w:val="24"/>
          <w:szCs w:val="24"/>
        </w:rPr>
        <w:t>章的软件要求体系，并与</w:t>
      </w:r>
      <w:r>
        <w:rPr>
          <w:rFonts w:eastAsia="宋体"/>
          <w:sz w:val="24"/>
          <w:szCs w:val="24"/>
        </w:rPr>
        <w:t>GB/T 42555-2023</w:t>
      </w:r>
      <w:r>
        <w:rPr>
          <w:rFonts w:eastAsia="宋体"/>
          <w:sz w:val="24"/>
          <w:szCs w:val="24"/>
        </w:rPr>
        <w:t>、</w:t>
      </w:r>
      <w:r>
        <w:rPr>
          <w:rFonts w:eastAsia="宋体"/>
          <w:sz w:val="24"/>
          <w:szCs w:val="24"/>
        </w:rPr>
        <w:t>JJF 1182-2021</w:t>
      </w:r>
      <w:r>
        <w:rPr>
          <w:rFonts w:eastAsia="宋体"/>
          <w:sz w:val="24"/>
          <w:szCs w:val="24"/>
        </w:rPr>
        <w:t>、</w:t>
      </w:r>
      <w:r>
        <w:rPr>
          <w:rFonts w:eastAsia="宋体"/>
          <w:sz w:val="24"/>
          <w:szCs w:val="24"/>
        </w:rPr>
        <w:t>JJF 2356-2025</w:t>
      </w:r>
      <w:r>
        <w:rPr>
          <w:rFonts w:eastAsia="宋体"/>
          <w:sz w:val="24"/>
          <w:szCs w:val="24"/>
        </w:rPr>
        <w:t>等国内软件计量技术文件协调。软件验证采用文档审查（</w:t>
      </w:r>
      <w:r>
        <w:rPr>
          <w:rFonts w:eastAsia="宋体"/>
          <w:sz w:val="24"/>
          <w:szCs w:val="24"/>
        </w:rPr>
        <w:t>AD</w:t>
      </w:r>
      <w:r>
        <w:rPr>
          <w:rFonts w:eastAsia="宋体"/>
          <w:sz w:val="24"/>
          <w:szCs w:val="24"/>
        </w:rPr>
        <w:t>）、功能验证（</w:t>
      </w:r>
      <w:r>
        <w:rPr>
          <w:rFonts w:eastAsia="宋体"/>
          <w:sz w:val="24"/>
          <w:szCs w:val="24"/>
        </w:rPr>
        <w:t>VFTM</w:t>
      </w:r>
      <w:r>
        <w:rPr>
          <w:rFonts w:eastAsia="宋体"/>
          <w:sz w:val="24"/>
          <w:szCs w:val="24"/>
        </w:rPr>
        <w:t>）和软件功能验证（</w:t>
      </w:r>
      <w:proofErr w:type="spellStart"/>
      <w:r>
        <w:rPr>
          <w:rFonts w:eastAsia="宋体"/>
          <w:sz w:val="24"/>
          <w:szCs w:val="24"/>
        </w:rPr>
        <w:t>VFTSw</w:t>
      </w:r>
      <w:proofErr w:type="spellEnd"/>
      <w:r>
        <w:rPr>
          <w:rFonts w:eastAsia="宋体"/>
          <w:sz w:val="24"/>
          <w:szCs w:val="24"/>
        </w:rPr>
        <w:t>）相结合的验证流程（通用要求</w:t>
      </w:r>
      <w:r>
        <w:rPr>
          <w:rFonts w:eastAsia="宋体"/>
          <w:sz w:val="24"/>
          <w:szCs w:val="24"/>
        </w:rPr>
        <w:t>10.6</w:t>
      </w:r>
      <w:r>
        <w:rPr>
          <w:rFonts w:eastAsia="宋体"/>
          <w:sz w:val="24"/>
          <w:szCs w:val="24"/>
        </w:rPr>
        <w:t>），依据</w:t>
      </w:r>
      <w:r>
        <w:rPr>
          <w:rFonts w:eastAsia="宋体"/>
          <w:sz w:val="24"/>
          <w:szCs w:val="24"/>
        </w:rPr>
        <w:t>OIML D 31:2023</w:t>
      </w:r>
      <w:r>
        <w:rPr>
          <w:rFonts w:eastAsia="宋体"/>
          <w:sz w:val="24"/>
          <w:szCs w:val="24"/>
        </w:rPr>
        <w:t>第</w:t>
      </w:r>
      <w:r>
        <w:rPr>
          <w:rFonts w:eastAsia="宋体"/>
          <w:sz w:val="24"/>
          <w:szCs w:val="24"/>
        </w:rPr>
        <w:t>7.3.1</w:t>
      </w:r>
      <w:r>
        <w:rPr>
          <w:rFonts w:eastAsia="宋体"/>
          <w:sz w:val="24"/>
          <w:szCs w:val="24"/>
        </w:rPr>
        <w:t>条的方法实施。</w:t>
      </w:r>
    </w:p>
    <w:p w14:paraId="1E1ADF06"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5</w:t>
      </w:r>
      <w:r>
        <w:rPr>
          <w:rFonts w:eastAsia="宋体"/>
          <w:sz w:val="24"/>
          <w:szCs w:val="24"/>
        </w:rPr>
        <w:t>）耐久性。规定设备经耐久性试验（最高工作温度、最高标称电压、</w:t>
      </w:r>
      <w:r>
        <w:rPr>
          <w:rFonts w:eastAsia="宋体"/>
          <w:sz w:val="24"/>
          <w:szCs w:val="24"/>
        </w:rPr>
        <w:t>50%</w:t>
      </w:r>
      <w:r w:rsidRPr="00CF2F29">
        <w:rPr>
          <w:rFonts w:eastAsia="宋体"/>
          <w:i/>
          <w:iCs/>
          <w:sz w:val="24"/>
          <w:szCs w:val="24"/>
        </w:rPr>
        <w:t>I</w:t>
      </w:r>
      <w:r w:rsidRPr="00CF2F29">
        <w:rPr>
          <w:rFonts w:eastAsia="宋体"/>
          <w:sz w:val="24"/>
          <w:szCs w:val="24"/>
          <w:vertAlign w:val="subscript"/>
        </w:rPr>
        <w:t>max</w:t>
      </w:r>
      <w:r>
        <w:rPr>
          <w:rFonts w:eastAsia="宋体"/>
          <w:sz w:val="24"/>
          <w:szCs w:val="24"/>
        </w:rPr>
        <w:t>负载，</w:t>
      </w:r>
      <w:r>
        <w:rPr>
          <w:rFonts w:eastAsia="宋体"/>
          <w:sz w:val="24"/>
          <w:szCs w:val="24"/>
        </w:rPr>
        <w:t>8 h</w:t>
      </w:r>
      <w:r>
        <w:rPr>
          <w:rFonts w:eastAsia="宋体"/>
          <w:sz w:val="24"/>
          <w:szCs w:val="24"/>
        </w:rPr>
        <w:t>工作＋</w:t>
      </w:r>
      <w:r>
        <w:rPr>
          <w:rFonts w:eastAsia="宋体"/>
          <w:sz w:val="24"/>
          <w:szCs w:val="24"/>
        </w:rPr>
        <w:t>16 h</w:t>
      </w:r>
      <w:r>
        <w:rPr>
          <w:rFonts w:eastAsia="宋体"/>
          <w:sz w:val="24"/>
          <w:szCs w:val="24"/>
        </w:rPr>
        <w:t>断电为</w:t>
      </w:r>
      <w:r>
        <w:rPr>
          <w:rFonts w:eastAsia="宋体"/>
          <w:sz w:val="24"/>
          <w:szCs w:val="24"/>
        </w:rPr>
        <w:t>1</w:t>
      </w:r>
      <w:r>
        <w:rPr>
          <w:rFonts w:eastAsia="宋体"/>
          <w:sz w:val="24"/>
          <w:szCs w:val="24"/>
        </w:rPr>
        <w:t>个周期，共</w:t>
      </w:r>
      <w:r>
        <w:rPr>
          <w:rFonts w:eastAsia="宋体"/>
          <w:sz w:val="24"/>
          <w:szCs w:val="24"/>
        </w:rPr>
        <w:t>10</w:t>
      </w:r>
      <w:r>
        <w:rPr>
          <w:rFonts w:eastAsia="宋体"/>
          <w:sz w:val="24"/>
          <w:szCs w:val="24"/>
        </w:rPr>
        <w:t>个周期）后，误差限为</w:t>
      </w:r>
      <w:r>
        <w:rPr>
          <w:rFonts w:eastAsia="宋体"/>
          <w:sz w:val="24"/>
          <w:szCs w:val="24"/>
        </w:rPr>
        <w:t>0.5 BMPE</w:t>
      </w:r>
      <w:r>
        <w:rPr>
          <w:rFonts w:eastAsia="宋体"/>
          <w:sz w:val="24"/>
          <w:szCs w:val="24"/>
        </w:rPr>
        <w:t>，试验方法参考</w:t>
      </w:r>
      <w:r>
        <w:rPr>
          <w:rFonts w:eastAsia="宋体"/>
          <w:sz w:val="24"/>
          <w:szCs w:val="24"/>
        </w:rPr>
        <w:t>GB/T 17215.9321-2016</w:t>
      </w:r>
      <w:r>
        <w:rPr>
          <w:rFonts w:eastAsia="宋体"/>
          <w:sz w:val="24"/>
          <w:szCs w:val="24"/>
        </w:rPr>
        <w:t>（等同采用</w:t>
      </w:r>
      <w:r>
        <w:rPr>
          <w:rFonts w:eastAsia="宋体"/>
          <w:sz w:val="24"/>
          <w:szCs w:val="24"/>
        </w:rPr>
        <w:t>IEC 62059-32-1</w:t>
      </w:r>
      <w:r>
        <w:rPr>
          <w:rFonts w:eastAsia="宋体"/>
          <w:sz w:val="24"/>
          <w:szCs w:val="24"/>
        </w:rPr>
        <w:t>）和</w:t>
      </w:r>
      <w:r>
        <w:rPr>
          <w:rFonts w:eastAsia="宋体"/>
          <w:sz w:val="24"/>
          <w:szCs w:val="24"/>
        </w:rPr>
        <w:t>OIML R 22</w:t>
      </w:r>
      <w:r>
        <w:rPr>
          <w:rFonts w:eastAsia="宋体"/>
          <w:sz w:val="24"/>
          <w:szCs w:val="24"/>
        </w:rPr>
        <w:t>（制定中）</w:t>
      </w:r>
      <w:r>
        <w:rPr>
          <w:rFonts w:eastAsia="宋体"/>
          <w:sz w:val="24"/>
          <w:szCs w:val="24"/>
        </w:rPr>
        <w:t>7.5.9</w:t>
      </w:r>
      <w:r>
        <w:rPr>
          <w:rFonts w:eastAsia="宋体"/>
          <w:sz w:val="24"/>
          <w:szCs w:val="24"/>
        </w:rPr>
        <w:t>，考核设备长期运行后计量性能的稳定性。</w:t>
      </w:r>
    </w:p>
    <w:p w14:paraId="07EABDDA"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6</w:t>
      </w:r>
      <w:r>
        <w:rPr>
          <w:rFonts w:eastAsia="宋体"/>
          <w:sz w:val="24"/>
          <w:szCs w:val="24"/>
        </w:rPr>
        <w:t>）标识和封印。标识要求在国际文件基础上结合我国实际调整：未采纳批准标志、批准编号等内容，增加了依据标准、电能常数、电流范围优选值等我国产品标识内容；封印要求与</w:t>
      </w:r>
      <w:r>
        <w:rPr>
          <w:rFonts w:eastAsia="宋体"/>
          <w:sz w:val="24"/>
          <w:szCs w:val="24"/>
        </w:rPr>
        <w:t>JJF 1015-2014</w:t>
      </w:r>
      <w:r>
        <w:rPr>
          <w:rFonts w:eastAsia="宋体"/>
          <w:sz w:val="24"/>
          <w:szCs w:val="24"/>
        </w:rPr>
        <w:t>的规定一致。</w:t>
      </w:r>
    </w:p>
    <w:p w14:paraId="53821169" w14:textId="77777777" w:rsidR="00F6437D" w:rsidRPr="00B1521A" w:rsidRDefault="00000000" w:rsidP="00005EA8">
      <w:pPr>
        <w:pStyle w:val="2"/>
        <w:spacing w:before="280" w:after="160"/>
        <w:jc w:val="both"/>
        <w:rPr>
          <w:color w:val="auto"/>
        </w:rPr>
      </w:pPr>
      <w:bookmarkStart w:id="17" w:name="_Toc240793146"/>
      <w:proofErr w:type="gramStart"/>
      <w:r w:rsidRPr="00B1521A">
        <w:rPr>
          <w:rFonts w:eastAsia="黑体"/>
          <w:b/>
          <w:bCs/>
          <w:color w:val="auto"/>
          <w:sz w:val="28"/>
          <w:szCs w:val="28"/>
        </w:rPr>
        <w:t xml:space="preserve">5.11  </w:t>
      </w:r>
      <w:r w:rsidRPr="00B1521A">
        <w:rPr>
          <w:rFonts w:eastAsia="黑体"/>
          <w:b/>
          <w:bCs/>
          <w:color w:val="auto"/>
          <w:sz w:val="28"/>
          <w:szCs w:val="28"/>
        </w:rPr>
        <w:t>试验条件与试验设备</w:t>
      </w:r>
      <w:bookmarkEnd w:id="17"/>
      <w:proofErr w:type="gramEnd"/>
    </w:p>
    <w:p w14:paraId="3FE2D258"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1</w:t>
      </w:r>
      <w:r>
        <w:rPr>
          <w:rFonts w:eastAsia="宋体"/>
          <w:sz w:val="24"/>
          <w:szCs w:val="24"/>
        </w:rPr>
        <w:t>）参比条件。本大纲规定环境温度</w:t>
      </w:r>
      <w:r>
        <w:rPr>
          <w:rFonts w:eastAsia="宋体"/>
          <w:sz w:val="24"/>
          <w:szCs w:val="24"/>
        </w:rPr>
        <w:t>15 ℃</w:t>
      </w:r>
      <w:r>
        <w:rPr>
          <w:rFonts w:eastAsia="宋体"/>
          <w:sz w:val="24"/>
          <w:szCs w:val="24"/>
        </w:rPr>
        <w:t>～</w:t>
      </w:r>
      <w:r>
        <w:rPr>
          <w:rFonts w:eastAsia="宋体"/>
          <w:sz w:val="24"/>
          <w:szCs w:val="24"/>
        </w:rPr>
        <w:t>35 ℃</w:t>
      </w:r>
      <w:r>
        <w:rPr>
          <w:rFonts w:eastAsia="宋体"/>
          <w:sz w:val="24"/>
          <w:szCs w:val="24"/>
        </w:rPr>
        <w:t>、相对湿度</w:t>
      </w:r>
      <w:r>
        <w:rPr>
          <w:rFonts w:eastAsia="宋体"/>
          <w:sz w:val="24"/>
          <w:szCs w:val="24"/>
        </w:rPr>
        <w:t>45%</w:t>
      </w:r>
      <w:r>
        <w:rPr>
          <w:rFonts w:eastAsia="宋体"/>
          <w:sz w:val="24"/>
          <w:szCs w:val="24"/>
        </w:rPr>
        <w:t>～</w:t>
      </w:r>
      <w:r>
        <w:rPr>
          <w:rFonts w:eastAsia="宋体"/>
          <w:sz w:val="24"/>
          <w:szCs w:val="24"/>
        </w:rPr>
        <w:t>75%</w:t>
      </w:r>
      <w:r>
        <w:rPr>
          <w:rFonts w:eastAsia="宋体"/>
          <w:sz w:val="24"/>
          <w:szCs w:val="24"/>
        </w:rPr>
        <w:t>的参比条件，较</w:t>
      </w:r>
      <w:r>
        <w:rPr>
          <w:rFonts w:eastAsia="宋体"/>
          <w:sz w:val="24"/>
          <w:szCs w:val="24"/>
        </w:rPr>
        <w:t>OIML R 22</w:t>
      </w:r>
      <w:r>
        <w:rPr>
          <w:rFonts w:eastAsia="宋体"/>
          <w:sz w:val="24"/>
          <w:szCs w:val="24"/>
        </w:rPr>
        <w:t>（制定中）的</w:t>
      </w:r>
      <w:r>
        <w:rPr>
          <w:rFonts w:eastAsia="宋体"/>
          <w:sz w:val="24"/>
          <w:szCs w:val="24"/>
        </w:rPr>
        <w:t>23 ℃±2 ℃</w:t>
      </w:r>
      <w:r>
        <w:rPr>
          <w:rFonts w:eastAsia="宋体"/>
          <w:sz w:val="24"/>
          <w:szCs w:val="24"/>
        </w:rPr>
        <w:t>适当放宽，主要考虑我国型式评价机构实验室的实际环境控制能力和运行成本，同时通过温度系数要求控制温度变化对计量性能的影响。非车载充电机的参比输出电压规定为</w:t>
      </w:r>
      <w:r>
        <w:rPr>
          <w:rFonts w:eastAsia="宋体"/>
          <w:sz w:val="24"/>
          <w:szCs w:val="24"/>
        </w:rPr>
        <w:t>375 V DC</w:t>
      </w:r>
      <w:r>
        <w:rPr>
          <w:rFonts w:eastAsia="宋体"/>
          <w:sz w:val="24"/>
          <w:szCs w:val="24"/>
        </w:rPr>
        <w:t>和</w:t>
      </w:r>
      <w:r>
        <w:rPr>
          <w:rFonts w:eastAsia="宋体"/>
          <w:sz w:val="24"/>
          <w:szCs w:val="24"/>
        </w:rPr>
        <w:t>750 V DC</w:t>
      </w:r>
      <w:r>
        <w:rPr>
          <w:rFonts w:eastAsia="宋体"/>
          <w:sz w:val="24"/>
          <w:szCs w:val="24"/>
        </w:rPr>
        <w:t>（</w:t>
      </w:r>
      <w:r>
        <w:rPr>
          <w:rFonts w:eastAsia="宋体"/>
          <w:sz w:val="24"/>
          <w:szCs w:val="24"/>
        </w:rPr>
        <w:t>±50 V</w:t>
      </w:r>
      <w:r>
        <w:rPr>
          <w:rFonts w:eastAsia="宋体"/>
          <w:sz w:val="24"/>
          <w:szCs w:val="24"/>
        </w:rPr>
        <w:t>），与</w:t>
      </w:r>
      <w:r>
        <w:rPr>
          <w:rFonts w:eastAsia="宋体"/>
          <w:sz w:val="24"/>
          <w:szCs w:val="24"/>
        </w:rPr>
        <w:lastRenderedPageBreak/>
        <w:t>OIML R 22</w:t>
      </w:r>
      <w:r>
        <w:rPr>
          <w:rFonts w:eastAsia="宋体"/>
          <w:sz w:val="24"/>
          <w:szCs w:val="24"/>
        </w:rPr>
        <w:t>（制定中）一致，覆盖我国主流充电电压平台。</w:t>
      </w:r>
    </w:p>
    <w:p w14:paraId="7BAC54B4"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2</w:t>
      </w:r>
      <w:r>
        <w:rPr>
          <w:rFonts w:eastAsia="宋体"/>
          <w:sz w:val="24"/>
          <w:szCs w:val="24"/>
        </w:rPr>
        <w:t>）试验设备。标准电能表和检验装置的准确度等级不低于</w:t>
      </w:r>
      <w:r>
        <w:rPr>
          <w:rFonts w:eastAsia="宋体"/>
          <w:sz w:val="24"/>
          <w:szCs w:val="24"/>
        </w:rPr>
        <w:t>0.05</w:t>
      </w:r>
      <w:r>
        <w:rPr>
          <w:rFonts w:eastAsia="宋体"/>
          <w:sz w:val="24"/>
          <w:szCs w:val="24"/>
        </w:rPr>
        <w:t>级，并配备电动汽车接口模拟器、可编程电源、阻性负载箱或电子负载、标准时钟测试仪等设备。设备要求与试验方法条款对应，保证试验的可实施性。</w:t>
      </w:r>
    </w:p>
    <w:p w14:paraId="1D3A7C52" w14:textId="77777777" w:rsidR="00F6437D" w:rsidRDefault="00000000" w:rsidP="00005EA8">
      <w:pPr>
        <w:spacing w:after="120" w:line="360" w:lineRule="auto"/>
        <w:ind w:firstLine="480"/>
        <w:jc w:val="both"/>
      </w:pPr>
      <w:r>
        <w:rPr>
          <w:rFonts w:eastAsia="宋体"/>
          <w:sz w:val="24"/>
          <w:szCs w:val="24"/>
        </w:rPr>
        <w:t>（</w:t>
      </w:r>
      <w:r>
        <w:rPr>
          <w:rFonts w:eastAsia="宋体"/>
          <w:sz w:val="24"/>
          <w:szCs w:val="24"/>
        </w:rPr>
        <w:t>3</w:t>
      </w:r>
      <w:r>
        <w:rPr>
          <w:rFonts w:eastAsia="宋体"/>
          <w:sz w:val="24"/>
          <w:szCs w:val="24"/>
        </w:rPr>
        <w:t>）通用试验程序。规定试验前预热</w:t>
      </w:r>
      <w:r>
        <w:rPr>
          <w:rFonts w:eastAsia="宋体"/>
          <w:sz w:val="24"/>
          <w:szCs w:val="24"/>
        </w:rPr>
        <w:t>15 min</w:t>
      </w:r>
      <w:r>
        <w:rPr>
          <w:rFonts w:eastAsia="宋体"/>
          <w:sz w:val="24"/>
          <w:szCs w:val="24"/>
        </w:rPr>
        <w:t>；采用交易式试验流程，即通过车辆接口模拟器完成充电握手、充电量不小于</w:t>
      </w:r>
      <w:r>
        <w:rPr>
          <w:rFonts w:eastAsia="宋体"/>
          <w:sz w:val="24"/>
          <w:szCs w:val="24"/>
        </w:rPr>
        <w:t>MMQ</w:t>
      </w:r>
      <w:r>
        <w:rPr>
          <w:rFonts w:eastAsia="宋体"/>
          <w:sz w:val="24"/>
          <w:szCs w:val="24"/>
        </w:rPr>
        <w:t>、正常结束充电后比对电能示值（或采用脉冲比较法），模拟实际充电交易过程；负载电流允差按准确度等级规定（</w:t>
      </w:r>
      <w:r>
        <w:rPr>
          <w:rFonts w:eastAsia="宋体"/>
          <w:sz w:val="24"/>
          <w:szCs w:val="24"/>
        </w:rPr>
        <w:t>1</w:t>
      </w:r>
      <w:r>
        <w:rPr>
          <w:rFonts w:eastAsia="宋体"/>
          <w:sz w:val="24"/>
          <w:szCs w:val="24"/>
        </w:rPr>
        <w:t>级、</w:t>
      </w:r>
      <w:r>
        <w:rPr>
          <w:rFonts w:eastAsia="宋体"/>
          <w:sz w:val="24"/>
          <w:szCs w:val="24"/>
        </w:rPr>
        <w:t>2</w:t>
      </w:r>
      <w:r>
        <w:rPr>
          <w:rFonts w:eastAsia="宋体"/>
          <w:sz w:val="24"/>
          <w:szCs w:val="24"/>
        </w:rPr>
        <w:t>级为</w:t>
      </w:r>
      <w:r>
        <w:rPr>
          <w:rFonts w:eastAsia="宋体"/>
          <w:sz w:val="24"/>
          <w:szCs w:val="24"/>
        </w:rPr>
        <w:t>±2%</w:t>
      </w:r>
      <w:r>
        <w:rPr>
          <w:rFonts w:eastAsia="宋体"/>
          <w:sz w:val="24"/>
          <w:szCs w:val="24"/>
        </w:rPr>
        <w:t>，</w:t>
      </w:r>
      <w:r>
        <w:rPr>
          <w:rFonts w:eastAsia="宋体"/>
          <w:sz w:val="24"/>
          <w:szCs w:val="24"/>
        </w:rPr>
        <w:t>0.5</w:t>
      </w:r>
      <w:r>
        <w:rPr>
          <w:rFonts w:eastAsia="宋体"/>
          <w:sz w:val="24"/>
          <w:szCs w:val="24"/>
        </w:rPr>
        <w:t>级为</w:t>
      </w:r>
      <w:r>
        <w:rPr>
          <w:rFonts w:eastAsia="宋体"/>
          <w:sz w:val="24"/>
          <w:szCs w:val="24"/>
        </w:rPr>
        <w:t>±1%</w:t>
      </w:r>
      <w:r>
        <w:rPr>
          <w:rFonts w:eastAsia="宋体"/>
          <w:sz w:val="24"/>
          <w:szCs w:val="24"/>
        </w:rPr>
        <w:t>）。上述程序与</w:t>
      </w:r>
      <w:r>
        <w:rPr>
          <w:rFonts w:eastAsia="宋体"/>
          <w:sz w:val="24"/>
          <w:szCs w:val="24"/>
        </w:rPr>
        <w:t>OIML R 22</w:t>
      </w:r>
      <w:r>
        <w:rPr>
          <w:rFonts w:eastAsia="宋体"/>
          <w:sz w:val="24"/>
          <w:szCs w:val="24"/>
        </w:rPr>
        <w:t>（制定中）</w:t>
      </w:r>
      <w:r>
        <w:rPr>
          <w:rFonts w:eastAsia="宋体"/>
          <w:sz w:val="24"/>
          <w:szCs w:val="24"/>
        </w:rPr>
        <w:t>7.1</w:t>
      </w:r>
      <w:r>
        <w:rPr>
          <w:rFonts w:eastAsia="宋体"/>
          <w:sz w:val="24"/>
          <w:szCs w:val="24"/>
        </w:rPr>
        <w:t>的规定一致。</w:t>
      </w:r>
    </w:p>
    <w:p w14:paraId="67C0243D" w14:textId="77777777" w:rsidR="00F6437D" w:rsidRPr="00506F13" w:rsidRDefault="00000000" w:rsidP="00005EA8">
      <w:pPr>
        <w:pStyle w:val="1"/>
        <w:spacing w:before="360" w:after="200"/>
        <w:jc w:val="both"/>
        <w:rPr>
          <w:color w:val="auto"/>
          <w:sz w:val="28"/>
          <w:szCs w:val="28"/>
        </w:rPr>
      </w:pPr>
      <w:bookmarkStart w:id="18" w:name="_Toc240793147"/>
      <w:proofErr w:type="gramStart"/>
      <w:r w:rsidRPr="00506F13">
        <w:rPr>
          <w:rFonts w:eastAsia="黑体"/>
          <w:b/>
          <w:bCs/>
          <w:color w:val="auto"/>
          <w:sz w:val="28"/>
          <w:szCs w:val="28"/>
        </w:rPr>
        <w:t xml:space="preserve">6  </w:t>
      </w:r>
      <w:r w:rsidRPr="00506F13">
        <w:rPr>
          <w:rFonts w:eastAsia="黑体"/>
          <w:b/>
          <w:bCs/>
          <w:color w:val="auto"/>
          <w:sz w:val="28"/>
          <w:szCs w:val="28"/>
        </w:rPr>
        <w:t>与国际技术文件的关系</w:t>
      </w:r>
      <w:bookmarkEnd w:id="18"/>
      <w:proofErr w:type="gramEnd"/>
    </w:p>
    <w:p w14:paraId="513B18D1" w14:textId="7D69A463" w:rsidR="00F6437D" w:rsidRDefault="00000000" w:rsidP="00005EA8">
      <w:pPr>
        <w:spacing w:after="120" w:line="360" w:lineRule="auto"/>
        <w:ind w:firstLine="480"/>
        <w:jc w:val="both"/>
      </w:pPr>
      <w:r>
        <w:rPr>
          <w:rFonts w:eastAsia="宋体"/>
          <w:sz w:val="24"/>
          <w:szCs w:val="24"/>
        </w:rPr>
        <w:t>本大纲编制过程中跟踪研究了</w:t>
      </w:r>
      <w:r>
        <w:rPr>
          <w:rFonts w:eastAsia="宋体"/>
          <w:sz w:val="24"/>
          <w:szCs w:val="24"/>
        </w:rPr>
        <w:t>OIML R 22</w:t>
      </w:r>
      <w:r>
        <w:rPr>
          <w:rFonts w:eastAsia="宋体"/>
          <w:sz w:val="24"/>
          <w:szCs w:val="24"/>
        </w:rPr>
        <w:t>《电动汽车供电设备》（制定中，当前为第</w:t>
      </w:r>
      <w:r>
        <w:rPr>
          <w:rFonts w:eastAsia="宋体"/>
          <w:sz w:val="24"/>
          <w:szCs w:val="24"/>
        </w:rPr>
        <w:t>3</w:t>
      </w:r>
      <w:r>
        <w:rPr>
          <w:rFonts w:eastAsia="宋体"/>
          <w:sz w:val="24"/>
          <w:szCs w:val="24"/>
        </w:rPr>
        <w:t>工作组草案）、</w:t>
      </w:r>
      <w:r>
        <w:rPr>
          <w:rFonts w:eastAsia="宋体"/>
          <w:sz w:val="24"/>
          <w:szCs w:val="24"/>
        </w:rPr>
        <w:t>OIML G 22:2022</w:t>
      </w:r>
      <w:r>
        <w:rPr>
          <w:rFonts w:eastAsia="宋体"/>
          <w:sz w:val="24"/>
          <w:szCs w:val="24"/>
        </w:rPr>
        <w:t>《电动汽车供电设备</w:t>
      </w:r>
      <w:r>
        <w:rPr>
          <w:rFonts w:eastAsia="宋体"/>
          <w:sz w:val="24"/>
          <w:szCs w:val="24"/>
        </w:rPr>
        <w:t xml:space="preserve"> </w:t>
      </w:r>
      <w:r>
        <w:rPr>
          <w:rFonts w:eastAsia="宋体"/>
          <w:sz w:val="24"/>
          <w:szCs w:val="24"/>
        </w:rPr>
        <w:t>计量和技术要求》、</w:t>
      </w:r>
      <w:r>
        <w:rPr>
          <w:rFonts w:eastAsia="宋体"/>
          <w:sz w:val="24"/>
          <w:szCs w:val="24"/>
        </w:rPr>
        <w:t>OIML D 31:2023</w:t>
      </w:r>
      <w:r>
        <w:rPr>
          <w:rFonts w:eastAsia="宋体"/>
          <w:sz w:val="24"/>
          <w:szCs w:val="24"/>
        </w:rPr>
        <w:t>《计量器具软件通用要求》等国际法制计量文件，以及</w:t>
      </w:r>
      <w:r>
        <w:rPr>
          <w:rFonts w:eastAsia="宋体"/>
          <w:sz w:val="24"/>
          <w:szCs w:val="24"/>
        </w:rPr>
        <w:t>IEC 61000-4</w:t>
      </w:r>
      <w:r>
        <w:rPr>
          <w:rFonts w:eastAsia="宋体"/>
          <w:sz w:val="24"/>
          <w:szCs w:val="24"/>
        </w:rPr>
        <w:t>系列、</w:t>
      </w:r>
      <w:r>
        <w:rPr>
          <w:rFonts w:eastAsia="宋体"/>
          <w:sz w:val="24"/>
          <w:szCs w:val="24"/>
        </w:rPr>
        <w:t>IEC 60068</w:t>
      </w:r>
      <w:r>
        <w:rPr>
          <w:rFonts w:eastAsia="宋体"/>
          <w:sz w:val="24"/>
          <w:szCs w:val="24"/>
        </w:rPr>
        <w:t>系列、</w:t>
      </w:r>
      <w:r>
        <w:rPr>
          <w:rFonts w:eastAsia="宋体"/>
          <w:sz w:val="24"/>
          <w:szCs w:val="24"/>
        </w:rPr>
        <w:t>IEC 61851-21-2:2018</w:t>
      </w:r>
      <w:r>
        <w:rPr>
          <w:rFonts w:eastAsia="宋体"/>
          <w:sz w:val="24"/>
          <w:szCs w:val="24"/>
        </w:rPr>
        <w:t>等国际标准。需要说明的是，</w:t>
      </w:r>
      <w:r>
        <w:rPr>
          <w:rFonts w:eastAsia="宋体"/>
          <w:sz w:val="24"/>
          <w:szCs w:val="24"/>
        </w:rPr>
        <w:t>OIML R 22</w:t>
      </w:r>
      <w:r>
        <w:rPr>
          <w:rFonts w:eastAsia="宋体"/>
          <w:sz w:val="24"/>
          <w:szCs w:val="24"/>
        </w:rPr>
        <w:t>尚处于制定阶段、尚未正式发布，本大纲参考其当前草案的技术内容，并将在其正式发布后持续保持协调。本大纲未采用</w:t>
      </w:r>
      <w:r w:rsidR="00B24440">
        <w:rPr>
          <w:rFonts w:eastAsia="宋体" w:hint="eastAsia"/>
          <w:sz w:val="24"/>
          <w:szCs w:val="24"/>
        </w:rPr>
        <w:t>“</w:t>
      </w:r>
      <w:r w:rsidR="00B24440">
        <w:rPr>
          <w:rFonts w:eastAsia="宋体"/>
          <w:sz w:val="24"/>
          <w:szCs w:val="24"/>
        </w:rPr>
        <w:t>等同采用</w:t>
      </w:r>
      <w:r w:rsidR="00B24440">
        <w:rPr>
          <w:rFonts w:eastAsia="宋体" w:hint="eastAsia"/>
          <w:sz w:val="24"/>
          <w:szCs w:val="24"/>
        </w:rPr>
        <w:t>”</w:t>
      </w:r>
      <w:r>
        <w:rPr>
          <w:rFonts w:eastAsia="宋体"/>
          <w:sz w:val="24"/>
          <w:szCs w:val="24"/>
        </w:rPr>
        <w:t>或</w:t>
      </w:r>
      <w:r w:rsidR="00B24440">
        <w:rPr>
          <w:rFonts w:eastAsia="宋体" w:hint="eastAsia"/>
          <w:sz w:val="24"/>
          <w:szCs w:val="24"/>
        </w:rPr>
        <w:t>“</w:t>
      </w:r>
      <w:r w:rsidR="00B24440">
        <w:rPr>
          <w:rFonts w:eastAsia="宋体"/>
          <w:sz w:val="24"/>
          <w:szCs w:val="24"/>
        </w:rPr>
        <w:t>修改采用</w:t>
      </w:r>
      <w:r w:rsidR="00B24440">
        <w:rPr>
          <w:rFonts w:eastAsia="宋体" w:hint="eastAsia"/>
          <w:sz w:val="24"/>
          <w:szCs w:val="24"/>
        </w:rPr>
        <w:t>”</w:t>
      </w:r>
      <w:r>
        <w:rPr>
          <w:rFonts w:eastAsia="宋体"/>
          <w:sz w:val="24"/>
          <w:szCs w:val="24"/>
        </w:rPr>
        <w:t>的采标表述，与国际技术文件的关系主要体现在以下三个层面。</w:t>
      </w:r>
    </w:p>
    <w:p w14:paraId="7E8B6A7E" w14:textId="0035F017" w:rsidR="00F6437D" w:rsidRDefault="00F6437D" w:rsidP="00005EA8">
      <w:pPr>
        <w:spacing w:after="120" w:line="360" w:lineRule="auto"/>
        <w:ind w:firstLine="480"/>
        <w:jc w:val="both"/>
      </w:pPr>
    </w:p>
    <w:p w14:paraId="45815F2E" w14:textId="77777777" w:rsidR="00F6437D" w:rsidRDefault="00000000" w:rsidP="00B24440">
      <w:pPr>
        <w:spacing w:before="720"/>
        <w:jc w:val="right"/>
      </w:pPr>
      <w:r>
        <w:rPr>
          <w:rFonts w:eastAsia="宋体"/>
          <w:sz w:val="24"/>
          <w:szCs w:val="24"/>
        </w:rPr>
        <w:t>编制工作组</w:t>
      </w:r>
    </w:p>
    <w:sectPr w:rsidR="00F6437D">
      <w:headerReference w:type="default" r:id="rId8"/>
      <w:footerReference w:type="default" r:id="rId9"/>
      <w:headerReference w:type="first" r:id="rId10"/>
      <w:footerReference w:type="first" r:id="rId1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0B656" w14:textId="77777777" w:rsidR="00D52E8C" w:rsidRDefault="00D52E8C">
      <w:r>
        <w:separator/>
      </w:r>
    </w:p>
  </w:endnote>
  <w:endnote w:type="continuationSeparator" w:id="0">
    <w:p w14:paraId="013222D0" w14:textId="77777777" w:rsidR="00D52E8C" w:rsidRDefault="00D52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CF1AC" w14:textId="77777777" w:rsidR="00F6437D" w:rsidRDefault="00000000">
    <w:pPr>
      <w:spacing w:after="120" w:line="360" w:lineRule="auto"/>
      <w:jc w:val="center"/>
    </w:pPr>
    <w:r>
      <w:rPr>
        <w:rFonts w:eastAsia="宋体"/>
        <w:sz w:val="18"/>
        <w:szCs w:val="18"/>
      </w:rPr>
      <w:fldChar w:fldCharType="begin"/>
    </w:r>
    <w:r>
      <w:rPr>
        <w:rFonts w:eastAsia="宋体"/>
        <w:sz w:val="18"/>
        <w:szCs w:val="18"/>
      </w:rPr>
      <w:instrText>PAGE</w:instrText>
    </w:r>
    <w:r>
      <w:rPr>
        <w:rFonts w:eastAsia="宋体"/>
        <w:sz w:val="18"/>
        <w:szCs w:val="18"/>
      </w:rPr>
      <w:fldChar w:fldCharType="separate"/>
    </w:r>
    <w:r w:rsidR="00B1521A">
      <w:rPr>
        <w:rFonts w:eastAsia="宋体"/>
        <w:noProof/>
        <w:sz w:val="18"/>
        <w:szCs w:val="18"/>
      </w:rPr>
      <w:t>1</w:t>
    </w:r>
    <w:r>
      <w:rPr>
        <w:rFonts w:eastAsia="宋体"/>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2D4D" w14:textId="77777777" w:rsidR="00F6437D" w:rsidRDefault="00F6437D">
    <w:pPr>
      <w:spacing w:after="120" w:line="36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4D7E1" w14:textId="77777777" w:rsidR="00D52E8C" w:rsidRDefault="00D52E8C">
      <w:r>
        <w:separator/>
      </w:r>
    </w:p>
  </w:footnote>
  <w:footnote w:type="continuationSeparator" w:id="0">
    <w:p w14:paraId="4E5AF2D5" w14:textId="77777777" w:rsidR="00D52E8C" w:rsidRDefault="00D52E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36CBE" w14:textId="06546901" w:rsidR="00F6437D" w:rsidRPr="000E3EF5" w:rsidRDefault="00F6437D" w:rsidP="000E3EF5">
    <w:pPr>
      <w:pStyle w:val="ad"/>
      <w:jc w:val="left"/>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CC961" w14:textId="77777777" w:rsidR="00F6437D" w:rsidRDefault="00F6437D">
    <w:pPr>
      <w:spacing w:after="120" w:line="36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B4D1F"/>
    <w:multiLevelType w:val="hybridMultilevel"/>
    <w:tmpl w:val="CA1AE5B2"/>
    <w:lvl w:ilvl="0" w:tplc="75DCFE9E">
      <w:start w:val="1"/>
      <w:numFmt w:val="bullet"/>
      <w:lvlText w:val="●"/>
      <w:lvlJc w:val="left"/>
      <w:pPr>
        <w:ind w:left="720" w:hanging="360"/>
      </w:pPr>
    </w:lvl>
    <w:lvl w:ilvl="1" w:tplc="8782E71C">
      <w:start w:val="1"/>
      <w:numFmt w:val="bullet"/>
      <w:lvlText w:val="○"/>
      <w:lvlJc w:val="left"/>
      <w:pPr>
        <w:ind w:left="1440" w:hanging="360"/>
      </w:pPr>
    </w:lvl>
    <w:lvl w:ilvl="2" w:tplc="E30E526C">
      <w:start w:val="1"/>
      <w:numFmt w:val="bullet"/>
      <w:lvlText w:val="■"/>
      <w:lvlJc w:val="left"/>
      <w:pPr>
        <w:ind w:left="2160" w:hanging="360"/>
      </w:pPr>
    </w:lvl>
    <w:lvl w:ilvl="3" w:tplc="71C4EF3A">
      <w:start w:val="1"/>
      <w:numFmt w:val="bullet"/>
      <w:lvlText w:val="●"/>
      <w:lvlJc w:val="left"/>
      <w:pPr>
        <w:ind w:left="2880" w:hanging="360"/>
      </w:pPr>
    </w:lvl>
    <w:lvl w:ilvl="4" w:tplc="3FFAE29C">
      <w:start w:val="1"/>
      <w:numFmt w:val="bullet"/>
      <w:lvlText w:val="○"/>
      <w:lvlJc w:val="left"/>
      <w:pPr>
        <w:ind w:left="3600" w:hanging="360"/>
      </w:pPr>
    </w:lvl>
    <w:lvl w:ilvl="5" w:tplc="1ABCFE2E">
      <w:start w:val="1"/>
      <w:numFmt w:val="bullet"/>
      <w:lvlText w:val="■"/>
      <w:lvlJc w:val="left"/>
      <w:pPr>
        <w:ind w:left="4320" w:hanging="360"/>
      </w:pPr>
    </w:lvl>
    <w:lvl w:ilvl="6" w:tplc="F0860192">
      <w:start w:val="1"/>
      <w:numFmt w:val="bullet"/>
      <w:lvlText w:val="●"/>
      <w:lvlJc w:val="left"/>
      <w:pPr>
        <w:ind w:left="5040" w:hanging="360"/>
      </w:pPr>
    </w:lvl>
    <w:lvl w:ilvl="7" w:tplc="9C387592">
      <w:start w:val="1"/>
      <w:numFmt w:val="bullet"/>
      <w:lvlText w:val="●"/>
      <w:lvlJc w:val="left"/>
      <w:pPr>
        <w:ind w:left="5760" w:hanging="360"/>
      </w:pPr>
    </w:lvl>
    <w:lvl w:ilvl="8" w:tplc="F3F20EC8">
      <w:start w:val="1"/>
      <w:numFmt w:val="bullet"/>
      <w:lvlText w:val="●"/>
      <w:lvlJc w:val="left"/>
      <w:pPr>
        <w:ind w:left="6480" w:hanging="360"/>
      </w:pPr>
    </w:lvl>
  </w:abstractNum>
  <w:num w:numId="1" w16cid:durableId="16918383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37D"/>
    <w:rsid w:val="00005EA8"/>
    <w:rsid w:val="0006134A"/>
    <w:rsid w:val="000B564A"/>
    <w:rsid w:val="000E3EF5"/>
    <w:rsid w:val="001F45A6"/>
    <w:rsid w:val="00506F13"/>
    <w:rsid w:val="005252A2"/>
    <w:rsid w:val="005B2A39"/>
    <w:rsid w:val="008D1DD5"/>
    <w:rsid w:val="008D3A47"/>
    <w:rsid w:val="00B1521A"/>
    <w:rsid w:val="00B24440"/>
    <w:rsid w:val="00C932F0"/>
    <w:rsid w:val="00CF2F29"/>
    <w:rsid w:val="00D52E8C"/>
    <w:rsid w:val="00EA2345"/>
    <w:rsid w:val="00F643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BF337"/>
  <w15:docId w15:val="{5E698A59-2225-416D-B9A8-C953A5CDD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尾注文本 字符"/>
    <w:link w:val="aa"/>
    <w:uiPriority w:val="99"/>
    <w:semiHidden/>
    <w:unhideWhenUsed/>
    <w:rPr>
      <w:sz w:val="20"/>
      <w:szCs w:val="20"/>
    </w:rPr>
  </w:style>
  <w:style w:type="paragraph" w:styleId="TOC1">
    <w:name w:val="toc 1"/>
    <w:uiPriority w:val="39"/>
    <w:pPr>
      <w:spacing w:after="80" w:line="300" w:lineRule="auto"/>
    </w:pPr>
    <w:rPr>
      <w:rFonts w:eastAsia="宋体"/>
      <w:sz w:val="24"/>
      <w:szCs w:val="24"/>
    </w:rPr>
  </w:style>
  <w:style w:type="paragraph" w:styleId="TOC2">
    <w:name w:val="toc 2"/>
    <w:uiPriority w:val="39"/>
    <w:pPr>
      <w:spacing w:after="60" w:line="300" w:lineRule="auto"/>
    </w:pPr>
    <w:rPr>
      <w:rFonts w:eastAsia="宋体"/>
      <w:sz w:val="24"/>
      <w:szCs w:val="24"/>
    </w:rPr>
  </w:style>
  <w:style w:type="paragraph" w:customStyle="1" w:styleId="ac">
    <w:name w:val="段"/>
    <w:link w:val="Char"/>
    <w:qFormat/>
    <w:rsid w:val="008D3A47"/>
    <w:pPr>
      <w:tabs>
        <w:tab w:val="center" w:pos="4201"/>
        <w:tab w:val="right" w:leader="dot" w:pos="9298"/>
      </w:tabs>
      <w:autoSpaceDE w:val="0"/>
      <w:autoSpaceDN w:val="0"/>
      <w:ind w:firstLineChars="200" w:firstLine="420"/>
      <w:jc w:val="both"/>
    </w:pPr>
    <w:rPr>
      <w:rFonts w:ascii="宋体" w:eastAsia="宋体"/>
      <w:sz w:val="22"/>
    </w:rPr>
  </w:style>
  <w:style w:type="character" w:customStyle="1" w:styleId="Char">
    <w:name w:val="段 Char"/>
    <w:link w:val="ac"/>
    <w:qFormat/>
    <w:locked/>
    <w:rsid w:val="008D3A47"/>
    <w:rPr>
      <w:rFonts w:ascii="宋体" w:eastAsia="宋体"/>
      <w:sz w:val="22"/>
    </w:rPr>
  </w:style>
  <w:style w:type="paragraph" w:styleId="ad">
    <w:name w:val="header"/>
    <w:basedOn w:val="a"/>
    <w:link w:val="ae"/>
    <w:uiPriority w:val="99"/>
    <w:unhideWhenUsed/>
    <w:rsid w:val="000E3EF5"/>
    <w:pPr>
      <w:tabs>
        <w:tab w:val="center" w:pos="4153"/>
        <w:tab w:val="right" w:pos="8306"/>
      </w:tabs>
      <w:snapToGrid w:val="0"/>
      <w:jc w:val="center"/>
    </w:pPr>
    <w:rPr>
      <w:sz w:val="18"/>
      <w:szCs w:val="18"/>
    </w:rPr>
  </w:style>
  <w:style w:type="character" w:customStyle="1" w:styleId="ae">
    <w:name w:val="页眉 字符"/>
    <w:basedOn w:val="a0"/>
    <w:link w:val="ad"/>
    <w:uiPriority w:val="99"/>
    <w:rsid w:val="000E3EF5"/>
    <w:rPr>
      <w:sz w:val="18"/>
      <w:szCs w:val="18"/>
    </w:rPr>
  </w:style>
  <w:style w:type="paragraph" w:styleId="af">
    <w:name w:val="footer"/>
    <w:basedOn w:val="a"/>
    <w:link w:val="af0"/>
    <w:uiPriority w:val="99"/>
    <w:unhideWhenUsed/>
    <w:rsid w:val="000E3EF5"/>
    <w:pPr>
      <w:tabs>
        <w:tab w:val="center" w:pos="4153"/>
        <w:tab w:val="right" w:pos="8306"/>
      </w:tabs>
      <w:snapToGrid w:val="0"/>
    </w:pPr>
    <w:rPr>
      <w:sz w:val="18"/>
      <w:szCs w:val="18"/>
    </w:rPr>
  </w:style>
  <w:style w:type="character" w:customStyle="1" w:styleId="af0">
    <w:name w:val="页脚 字符"/>
    <w:basedOn w:val="a0"/>
    <w:link w:val="af"/>
    <w:uiPriority w:val="99"/>
    <w:rsid w:val="000E3EF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FC7ED-3F86-4EB1-998C-76A69B31C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13</Pages>
  <Words>1647</Words>
  <Characters>9393</Characters>
  <Application>Microsoft Office Word</Application>
  <DocSecurity>0</DocSecurity>
  <Lines>78</Lines>
  <Paragraphs>22</Paragraphs>
  <ScaleCrop>false</ScaleCrop>
  <Company/>
  <LinksUpToDate>false</LinksUpToDate>
  <CharactersWithSpaces>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HYX 。</cp:lastModifiedBy>
  <cp:revision>14</cp:revision>
  <dcterms:created xsi:type="dcterms:W3CDTF">2026-09-19T15:00:00Z</dcterms:created>
  <dcterms:modified xsi:type="dcterms:W3CDTF">2026-09-20T02:41:00Z</dcterms:modified>
</cp:coreProperties>
</file>