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8669B7">
      <w:pPr>
        <w:ind w:firstLine="560" w:firstLineChars="200"/>
        <w:jc w:val="center"/>
        <w:rPr>
          <w:rFonts w:ascii="黑体" w:hAnsi="黑体" w:eastAsia="黑体" w:cs="Times New Roman"/>
          <w:kern w:val="0"/>
          <w:sz w:val="28"/>
          <w:szCs w:val="28"/>
        </w:rPr>
      </w:pPr>
      <w:r>
        <w:rPr>
          <w:rFonts w:ascii="黑体" w:hAnsi="黑体" w:eastAsia="黑体" w:cs="Times New Roman"/>
          <w:kern w:val="0"/>
          <w:sz w:val="28"/>
          <w:szCs w:val="28"/>
        </w:rPr>
        <w:t>《前向散射式能见度仪校准规范》编制说明</w:t>
      </w:r>
    </w:p>
    <w:p w14:paraId="059EF54B">
      <w:pPr>
        <w:widowControl/>
        <w:spacing w:line="360" w:lineRule="auto"/>
        <w:textAlignment w:val="bottom"/>
        <w:rPr>
          <w:rFonts w:ascii="黑体" w:hAnsi="黑体" w:eastAsia="黑体" w:cs="Times New Roman"/>
          <w:sz w:val="24"/>
          <w:szCs w:val="24"/>
        </w:rPr>
      </w:pPr>
      <w:r>
        <w:rPr>
          <w:rFonts w:ascii="黑体" w:hAnsi="黑体" w:eastAsia="黑体" w:cs="Times New Roman"/>
          <w:sz w:val="24"/>
          <w:szCs w:val="24"/>
        </w:rPr>
        <w:t>一、任务来源</w:t>
      </w:r>
    </w:p>
    <w:p w14:paraId="3E34E5E2">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为统一规范前向散射式能见度仪计量校准工作，完善气象观测仪器量值溯源体系，经全国气象专用计量器具计量技术委员会向国家市场监督管理总局申报，《前向散射式能见度仪校准规范》被列入2025年国家计量技术规范制定计划。</w:t>
      </w:r>
    </w:p>
    <w:p w14:paraId="0E63EC51">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本规范由国家气象计量站、中国气象局气象探测中心牵头起草，西安理工大学、交通运输部公路科学研究所、中国气象局上海气象装备保障中心、安徽省大气探测技术保障中心、中国民航大学等单位参加起草，由全国气象专用计量器具计量技术委员会归口管理。</w:t>
      </w:r>
    </w:p>
    <w:p w14:paraId="2A6D9168">
      <w:pPr>
        <w:widowControl/>
        <w:spacing w:line="360" w:lineRule="auto"/>
        <w:textAlignment w:val="bottom"/>
        <w:rPr>
          <w:rFonts w:ascii="Times New Roman" w:hAnsi="Times New Roman" w:eastAsia="宋体" w:cs="Times New Roman"/>
          <w:sz w:val="24"/>
          <w:szCs w:val="24"/>
        </w:rPr>
      </w:pPr>
      <w:r>
        <w:rPr>
          <w:rFonts w:ascii="黑体" w:hAnsi="黑体" w:eastAsia="黑体" w:cs="Times New Roman"/>
          <w:sz w:val="24"/>
          <w:szCs w:val="24"/>
        </w:rPr>
        <w:t>二、编制目的和意义</w:t>
      </w:r>
    </w:p>
    <w:p w14:paraId="486FFC2D">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能见度是气象、民航、公路交通、航海、生态环境等领域的基础观测要素，以气象光学视程（MOR）为定量表征，其观测准确性直接关系到天气预报、大雾预警、交通安全管控、航行安全及气候变化研究质量。</w:t>
      </w:r>
    </w:p>
    <w:p w14:paraId="0B2A296F">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前向散射式能见度仪是当前主流的能见度自动化观测设备，可实现全天候、连续、客观观测，有效消除人工观测的主观性误差，已在全国气象站、机场、高速公路、港口等场景广泛应用。</w:t>
      </w:r>
    </w:p>
    <w:p w14:paraId="6B844E0E">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目前国内前向散射式能见度仪型号多样、应用面广，但缺少统一的国家计量校准规范，仅能参照行业测试方法开展工作，存在校准条件不统一、校准项目不一致、量值溯源不规范、数据不可比等问题，难以保障观测数据准确可靠。</w:t>
      </w:r>
    </w:p>
    <w:p w14:paraId="4DB35AE8">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编制本规范的意义：</w:t>
      </w:r>
    </w:p>
    <w:p w14:paraId="74B35ECE">
      <w:pPr>
        <w:numPr>
          <w:ilvl w:val="0"/>
          <w:numId w:val="1"/>
        </w:numPr>
        <w:spacing w:line="360" w:lineRule="auto"/>
        <w:ind w:left="0"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统一校准项目、校准方法、数据处理与结果表达，建立完整量值溯源体系；</w:t>
      </w:r>
    </w:p>
    <w:p w14:paraId="2048ED97">
      <w:pPr>
        <w:numPr>
          <w:ilvl w:val="0"/>
          <w:numId w:val="1"/>
        </w:numPr>
        <w:spacing w:line="360" w:lineRule="auto"/>
        <w:ind w:left="0"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为气象、民航、交通、科研等部门提供权威、统一、可落地的技术依据；</w:t>
      </w:r>
    </w:p>
    <w:p w14:paraId="28CF6AEF">
      <w:pPr>
        <w:numPr>
          <w:ilvl w:val="0"/>
          <w:numId w:val="1"/>
        </w:numPr>
        <w:spacing w:line="360" w:lineRule="auto"/>
        <w:ind w:left="0"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提升能见度观测数据质量，支撑气象防灾减灾、交通安全保障与生态文明建设。</w:t>
      </w:r>
    </w:p>
    <w:p w14:paraId="38462BB1">
      <w:pPr>
        <w:widowControl/>
        <w:spacing w:line="360" w:lineRule="auto"/>
        <w:textAlignment w:val="bottom"/>
        <w:rPr>
          <w:rFonts w:ascii="黑体" w:hAnsi="黑体" w:eastAsia="黑体" w:cs="Times New Roman"/>
          <w:sz w:val="24"/>
          <w:szCs w:val="24"/>
        </w:rPr>
      </w:pPr>
      <w:r>
        <w:rPr>
          <w:rFonts w:ascii="黑体" w:hAnsi="黑体" w:eastAsia="黑体" w:cs="Times New Roman"/>
          <w:sz w:val="24"/>
          <w:szCs w:val="24"/>
        </w:rPr>
        <w:t>三、编制依据</w:t>
      </w:r>
    </w:p>
    <w:p w14:paraId="0A593DB0">
      <w:pPr>
        <w:widowControl/>
        <w:spacing w:line="360" w:lineRule="auto"/>
        <w:ind w:firstLine="435"/>
        <w:textAlignment w:val="bottom"/>
        <w:rPr>
          <w:rFonts w:ascii="Times New Roman" w:hAnsi="Times New Roman" w:eastAsia="宋体" w:cs="Times New Roman"/>
          <w:sz w:val="24"/>
          <w:szCs w:val="24"/>
        </w:rPr>
      </w:pPr>
      <w:r>
        <w:rPr>
          <w:rFonts w:ascii="Times New Roman" w:hAnsi="Times New Roman" w:eastAsia="宋体" w:cs="Times New Roman"/>
          <w:sz w:val="24"/>
          <w:szCs w:val="24"/>
        </w:rPr>
        <w:t>本规范依据JJF 1071―2010《国家计量校准规范编写规则》编写，通用计量术语符合JJF 1001―2011《通用计量术语及定义》要求，测量不确定度评定依据JJF 1059.1―2012《测量不确定度评定与表示》编制。</w:t>
      </w:r>
    </w:p>
    <w:p w14:paraId="536ED9CD">
      <w:pPr>
        <w:widowControl/>
        <w:spacing w:line="360" w:lineRule="auto"/>
        <w:ind w:firstLine="435"/>
        <w:textAlignment w:val="bottom"/>
        <w:rPr>
          <w:rFonts w:ascii="Times New Roman" w:hAnsi="Times New Roman" w:eastAsia="宋体" w:cs="Times New Roman"/>
          <w:sz w:val="24"/>
          <w:szCs w:val="24"/>
        </w:rPr>
      </w:pPr>
      <w:r>
        <w:rPr>
          <w:rFonts w:ascii="Times New Roman" w:hAnsi="Times New Roman" w:eastAsia="宋体" w:cs="Times New Roman"/>
          <w:sz w:val="24"/>
          <w:szCs w:val="24"/>
        </w:rPr>
        <w:t>本规范技术内容的确定，充分参考和引用了以下现行有效的技术标准与规程：</w:t>
      </w:r>
    </w:p>
    <w:p w14:paraId="117E5FA1">
      <w:pPr>
        <w:spacing w:line="360" w:lineRule="auto"/>
        <w:ind w:left="480"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 xml:space="preserve">JJF 2032—2017  </w:t>
      </w:r>
      <w:r>
        <w:rPr>
          <w:rFonts w:hint="eastAsia" w:ascii="Times New Roman" w:hAnsi="Times New Roman" w:eastAsia="宋体" w:cs="Times New Roman"/>
          <w:sz w:val="24"/>
          <w:szCs w:val="24"/>
        </w:rPr>
        <w:t>透射式能见度仪校准规范</w:t>
      </w:r>
    </w:p>
    <w:p w14:paraId="0D3AA86D">
      <w:pPr>
        <w:spacing w:line="360" w:lineRule="auto"/>
        <w:ind w:left="480"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GB/T35223—2017 </w:t>
      </w:r>
      <w:r>
        <w:rPr>
          <w:rFonts w:ascii="Times New Roman" w:hAnsi="Times New Roman" w:eastAsia="宋体" w:cs="Times New Roman"/>
          <w:sz w:val="24"/>
          <w:szCs w:val="24"/>
        </w:rPr>
        <w:t xml:space="preserve"> </w:t>
      </w:r>
      <w:r>
        <w:rPr>
          <w:rFonts w:hint="eastAsia" w:ascii="Times New Roman" w:hAnsi="Times New Roman" w:eastAsia="宋体" w:cs="Times New Roman"/>
          <w:sz w:val="24"/>
          <w:szCs w:val="24"/>
        </w:rPr>
        <w:t>地面气象观测规范 气象能见度</w:t>
      </w:r>
    </w:p>
    <w:p w14:paraId="231C0B25">
      <w:pPr>
        <w:spacing w:line="360" w:lineRule="auto"/>
        <w:ind w:left="480"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JJF 2032-2023</w:t>
      </w:r>
      <w:r>
        <w:rPr>
          <w:rFonts w:hint="eastAsia" w:ascii="Times New Roman" w:hAnsi="Times New Roman" w:eastAsia="宋体" w:cs="Times New Roman"/>
          <w:sz w:val="24"/>
          <w:szCs w:val="24"/>
        </w:rPr>
        <w:t>《</w:t>
      </w:r>
      <w:r>
        <w:rPr>
          <w:rFonts w:ascii="Times New Roman" w:hAnsi="Times New Roman" w:eastAsia="宋体" w:cs="Times New Roman"/>
          <w:sz w:val="24"/>
          <w:szCs w:val="24"/>
        </w:rPr>
        <w:t>透射式能见度仪校准规范</w:t>
      </w:r>
      <w:r>
        <w:rPr>
          <w:rFonts w:hint="eastAsia" w:ascii="Times New Roman" w:hAnsi="Times New Roman" w:eastAsia="宋体" w:cs="Times New Roman"/>
          <w:sz w:val="24"/>
          <w:szCs w:val="24"/>
        </w:rPr>
        <w:t>》</w:t>
      </w:r>
    </w:p>
    <w:p w14:paraId="4175E7FE">
      <w:pPr>
        <w:spacing w:line="360" w:lineRule="auto"/>
        <w:ind w:left="480"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JJF(皖)206-2025</w:t>
      </w:r>
      <w:r>
        <w:rPr>
          <w:rFonts w:hint="eastAsia" w:ascii="Times New Roman" w:hAnsi="Times New Roman" w:eastAsia="宋体" w:cs="Times New Roman"/>
          <w:sz w:val="24"/>
          <w:szCs w:val="24"/>
        </w:rPr>
        <w:t>《</w:t>
      </w:r>
      <w:r>
        <w:rPr>
          <w:rFonts w:ascii="Times New Roman" w:hAnsi="Times New Roman" w:eastAsia="宋体" w:cs="Times New Roman"/>
          <w:sz w:val="24"/>
          <w:szCs w:val="24"/>
        </w:rPr>
        <w:t>前向散射能见度仪校准规范</w:t>
      </w:r>
      <w:r>
        <w:rPr>
          <w:rFonts w:hint="eastAsia" w:ascii="Times New Roman" w:hAnsi="Times New Roman" w:eastAsia="宋体" w:cs="Times New Roman"/>
          <w:sz w:val="24"/>
          <w:szCs w:val="24"/>
        </w:rPr>
        <w:t>》</w:t>
      </w:r>
    </w:p>
    <w:p w14:paraId="431C6EF9">
      <w:pPr>
        <w:spacing w:line="360" w:lineRule="auto"/>
        <w:ind w:left="480"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QXT536-2020</w:t>
      </w:r>
      <w:r>
        <w:rPr>
          <w:rFonts w:hint="eastAsia" w:ascii="Times New Roman" w:hAnsi="Times New Roman" w:eastAsia="宋体" w:cs="Times New Roman"/>
          <w:sz w:val="24"/>
          <w:szCs w:val="24"/>
        </w:rPr>
        <w:t>《</w:t>
      </w:r>
      <w:r>
        <w:rPr>
          <w:rFonts w:ascii="Times New Roman" w:hAnsi="Times New Roman" w:eastAsia="宋体" w:cs="Times New Roman"/>
          <w:sz w:val="24"/>
          <w:szCs w:val="24"/>
        </w:rPr>
        <w:t>前向散射式能见度仪测试方法</w:t>
      </w:r>
      <w:r>
        <w:rPr>
          <w:rFonts w:hint="eastAsia" w:ascii="Times New Roman" w:hAnsi="Times New Roman" w:eastAsia="宋体" w:cs="Times New Roman"/>
          <w:sz w:val="24"/>
          <w:szCs w:val="24"/>
        </w:rPr>
        <w:t>》</w:t>
      </w:r>
    </w:p>
    <w:p w14:paraId="4BB3ED8F">
      <w:pPr>
        <w:spacing w:line="360" w:lineRule="auto"/>
        <w:ind w:left="480"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通过广泛的调研与长期的实验，本着完整性、统一性、科学性、开放性和实用性为原则进行编制。</w:t>
      </w:r>
    </w:p>
    <w:p w14:paraId="610E3C46">
      <w:pPr>
        <w:widowControl/>
        <w:spacing w:line="360" w:lineRule="auto"/>
        <w:textAlignment w:val="bottom"/>
        <w:rPr>
          <w:rFonts w:ascii="Times New Roman" w:hAnsi="Times New Roman" w:eastAsia="宋体" w:cs="Times New Roman"/>
          <w:sz w:val="24"/>
          <w:szCs w:val="24"/>
        </w:rPr>
      </w:pPr>
      <w:r>
        <w:rPr>
          <w:rFonts w:ascii="黑体" w:hAnsi="黑体" w:eastAsia="黑体" w:cs="Times New Roman"/>
          <w:sz w:val="24"/>
          <w:szCs w:val="24"/>
        </w:rPr>
        <w:t>四、任务分工</w:t>
      </w:r>
    </w:p>
    <w:p w14:paraId="7A2B4548">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本规范起草组由气象计量、光学计量、交通计量、应用气象等领域技术人员组成，具体分工如下：</w:t>
      </w:r>
    </w:p>
    <w:tbl>
      <w:tblPr>
        <w:tblStyle w:val="13"/>
        <w:tblW w:w="85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4"/>
        <w:gridCol w:w="3033"/>
        <w:gridCol w:w="1237"/>
        <w:gridCol w:w="2701"/>
      </w:tblGrid>
      <w:tr w14:paraId="5DCB4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554" w:type="dxa"/>
            <w:vAlign w:val="center"/>
          </w:tcPr>
          <w:p w14:paraId="724768FE">
            <w:pPr>
              <w:snapToGrid w:val="0"/>
              <w:jc w:val="center"/>
              <w:rPr>
                <w:b/>
                <w:sz w:val="24"/>
                <w:szCs w:val="24"/>
              </w:rPr>
            </w:pPr>
            <w:r>
              <w:rPr>
                <w:b/>
                <w:sz w:val="24"/>
                <w:szCs w:val="24"/>
              </w:rPr>
              <w:t>姓名</w:t>
            </w:r>
          </w:p>
        </w:tc>
        <w:tc>
          <w:tcPr>
            <w:tcW w:w="3033" w:type="dxa"/>
            <w:vAlign w:val="center"/>
          </w:tcPr>
          <w:p w14:paraId="3893C0B9">
            <w:pPr>
              <w:snapToGrid w:val="0"/>
              <w:jc w:val="center"/>
              <w:rPr>
                <w:b/>
                <w:sz w:val="24"/>
                <w:szCs w:val="24"/>
              </w:rPr>
            </w:pPr>
            <w:r>
              <w:rPr>
                <w:b/>
                <w:sz w:val="24"/>
                <w:szCs w:val="24"/>
              </w:rPr>
              <w:t>单位</w:t>
            </w:r>
          </w:p>
        </w:tc>
        <w:tc>
          <w:tcPr>
            <w:tcW w:w="1237" w:type="dxa"/>
            <w:vAlign w:val="center"/>
          </w:tcPr>
          <w:p w14:paraId="17555B24">
            <w:pPr>
              <w:snapToGrid w:val="0"/>
              <w:jc w:val="center"/>
              <w:rPr>
                <w:b/>
                <w:sz w:val="24"/>
                <w:szCs w:val="24"/>
              </w:rPr>
            </w:pPr>
            <w:r>
              <w:rPr>
                <w:b/>
                <w:sz w:val="24"/>
                <w:szCs w:val="24"/>
              </w:rPr>
              <w:t>职称</w:t>
            </w:r>
          </w:p>
        </w:tc>
        <w:tc>
          <w:tcPr>
            <w:tcW w:w="2701" w:type="dxa"/>
            <w:vAlign w:val="center"/>
          </w:tcPr>
          <w:p w14:paraId="40963710">
            <w:pPr>
              <w:snapToGrid w:val="0"/>
              <w:jc w:val="center"/>
              <w:rPr>
                <w:b/>
                <w:sz w:val="24"/>
                <w:szCs w:val="24"/>
              </w:rPr>
            </w:pPr>
            <w:r>
              <w:rPr>
                <w:b/>
                <w:sz w:val="24"/>
                <w:szCs w:val="24"/>
              </w:rPr>
              <w:t>分工</w:t>
            </w:r>
          </w:p>
        </w:tc>
      </w:tr>
      <w:tr w14:paraId="352DA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 w:hRule="atLeast"/>
          <w:jc w:val="center"/>
        </w:trPr>
        <w:tc>
          <w:tcPr>
            <w:tcW w:w="1554" w:type="dxa"/>
            <w:vAlign w:val="center"/>
          </w:tcPr>
          <w:p w14:paraId="5ACF10BB">
            <w:pPr>
              <w:spacing w:line="360" w:lineRule="auto"/>
              <w:jc w:val="center"/>
              <w:rPr>
                <w:sz w:val="24"/>
                <w:szCs w:val="24"/>
              </w:rPr>
            </w:pPr>
            <w:r>
              <w:rPr>
                <w:rFonts w:hint="default" w:ascii="Arial" w:hAnsi="Arial" w:cs="Arial"/>
                <w:sz w:val="24"/>
                <w:szCs w:val="24"/>
              </w:rPr>
              <w:t>×××</w:t>
            </w:r>
          </w:p>
        </w:tc>
        <w:tc>
          <w:tcPr>
            <w:tcW w:w="3033" w:type="dxa"/>
            <w:vAlign w:val="center"/>
          </w:tcPr>
          <w:p w14:paraId="54C1CB58">
            <w:pPr>
              <w:spacing w:line="360" w:lineRule="auto"/>
              <w:jc w:val="center"/>
              <w:rPr>
                <w:sz w:val="24"/>
                <w:szCs w:val="24"/>
              </w:rPr>
            </w:pPr>
            <w:r>
              <w:rPr>
                <w:rFonts w:hint="default" w:ascii="Arial" w:hAnsi="Arial" w:cs="Arial"/>
                <w:sz w:val="24"/>
                <w:szCs w:val="24"/>
              </w:rPr>
              <w:t>×××</w:t>
            </w:r>
          </w:p>
        </w:tc>
        <w:tc>
          <w:tcPr>
            <w:tcW w:w="1237" w:type="dxa"/>
            <w:vAlign w:val="center"/>
          </w:tcPr>
          <w:p w14:paraId="29A2E103">
            <w:pPr>
              <w:spacing w:line="360" w:lineRule="auto"/>
              <w:rPr>
                <w:sz w:val="24"/>
                <w:szCs w:val="24"/>
              </w:rPr>
            </w:pPr>
            <w:r>
              <w:rPr>
                <w:rFonts w:hint="eastAsia"/>
                <w:sz w:val="24"/>
                <w:szCs w:val="24"/>
              </w:rPr>
              <w:t>工程师</w:t>
            </w:r>
          </w:p>
        </w:tc>
        <w:tc>
          <w:tcPr>
            <w:tcW w:w="2701" w:type="dxa"/>
            <w:vAlign w:val="center"/>
          </w:tcPr>
          <w:p w14:paraId="689EF519">
            <w:pPr>
              <w:snapToGrid w:val="0"/>
              <w:jc w:val="center"/>
              <w:rPr>
                <w:rFonts w:eastAsia="宋体"/>
              </w:rPr>
            </w:pPr>
            <w:r>
              <w:rPr>
                <w:rFonts w:ascii="Times New Roman" w:hAnsi="Times New Roman" w:eastAsia="宋体" w:cs="Times New Roman"/>
                <w:sz w:val="24"/>
                <w:szCs w:val="24"/>
              </w:rPr>
              <w:t>总体负责、不确定度评定、编制说明编写</w:t>
            </w:r>
          </w:p>
        </w:tc>
      </w:tr>
      <w:tr w14:paraId="4389B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4" w:type="dxa"/>
            <w:vAlign w:val="center"/>
          </w:tcPr>
          <w:p w14:paraId="33231123">
            <w:pPr>
              <w:spacing w:line="360" w:lineRule="auto"/>
              <w:jc w:val="center"/>
              <w:rPr>
                <w:sz w:val="24"/>
                <w:szCs w:val="24"/>
              </w:rPr>
            </w:pPr>
            <w:r>
              <w:rPr>
                <w:rFonts w:hint="default" w:ascii="Arial" w:hAnsi="Arial" w:cs="Arial"/>
                <w:sz w:val="24"/>
                <w:szCs w:val="24"/>
              </w:rPr>
              <w:t>×××</w:t>
            </w:r>
          </w:p>
        </w:tc>
        <w:tc>
          <w:tcPr>
            <w:tcW w:w="3033" w:type="dxa"/>
            <w:vAlign w:val="center"/>
          </w:tcPr>
          <w:p w14:paraId="635544E1">
            <w:pPr>
              <w:spacing w:line="360" w:lineRule="auto"/>
              <w:jc w:val="center"/>
              <w:rPr>
                <w:sz w:val="24"/>
                <w:szCs w:val="24"/>
              </w:rPr>
            </w:pPr>
            <w:r>
              <w:rPr>
                <w:rFonts w:hint="default" w:ascii="Arial" w:hAnsi="Arial" w:cs="Arial"/>
                <w:sz w:val="24"/>
                <w:szCs w:val="24"/>
              </w:rPr>
              <w:t>×××</w:t>
            </w:r>
          </w:p>
        </w:tc>
        <w:tc>
          <w:tcPr>
            <w:tcW w:w="1237" w:type="dxa"/>
            <w:vAlign w:val="center"/>
          </w:tcPr>
          <w:p w14:paraId="59404B6C">
            <w:pPr>
              <w:spacing w:line="360" w:lineRule="auto"/>
              <w:rPr>
                <w:sz w:val="24"/>
                <w:szCs w:val="24"/>
              </w:rPr>
            </w:pPr>
            <w:r>
              <w:rPr>
                <w:rFonts w:hint="eastAsia"/>
                <w:sz w:val="24"/>
                <w:szCs w:val="24"/>
              </w:rPr>
              <w:t>正高工</w:t>
            </w:r>
          </w:p>
        </w:tc>
        <w:tc>
          <w:tcPr>
            <w:tcW w:w="2701" w:type="dxa"/>
            <w:vAlign w:val="center"/>
          </w:tcPr>
          <w:p w14:paraId="129A465A">
            <w:pPr>
              <w:snapToGrid w:val="0"/>
              <w:jc w:val="center"/>
            </w:pPr>
            <w:r>
              <w:rPr>
                <w:rFonts w:ascii="Times New Roman" w:hAnsi="Times New Roman" w:eastAsia="宋体" w:cs="Times New Roman"/>
                <w:sz w:val="24"/>
                <w:szCs w:val="24"/>
              </w:rPr>
              <w:t>光学计量原理支撑、校准装置技术验证；</w:t>
            </w:r>
          </w:p>
        </w:tc>
      </w:tr>
      <w:tr w14:paraId="5E753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4" w:type="dxa"/>
            <w:vAlign w:val="center"/>
          </w:tcPr>
          <w:p w14:paraId="1506A74F">
            <w:pPr>
              <w:spacing w:line="360" w:lineRule="auto"/>
              <w:jc w:val="center"/>
              <w:rPr>
                <w:sz w:val="24"/>
                <w:szCs w:val="24"/>
              </w:rPr>
            </w:pPr>
            <w:r>
              <w:rPr>
                <w:rFonts w:hint="default" w:ascii="Arial" w:hAnsi="Arial" w:cs="Arial"/>
                <w:sz w:val="24"/>
                <w:szCs w:val="24"/>
              </w:rPr>
              <w:t>×××</w:t>
            </w:r>
          </w:p>
        </w:tc>
        <w:tc>
          <w:tcPr>
            <w:tcW w:w="3033" w:type="dxa"/>
            <w:vAlign w:val="center"/>
          </w:tcPr>
          <w:p w14:paraId="3B4D474F">
            <w:pPr>
              <w:spacing w:line="360" w:lineRule="auto"/>
              <w:jc w:val="center"/>
              <w:rPr>
                <w:sz w:val="24"/>
                <w:szCs w:val="24"/>
              </w:rPr>
            </w:pPr>
            <w:r>
              <w:rPr>
                <w:rFonts w:hint="default" w:ascii="Arial" w:hAnsi="Arial" w:cs="Arial"/>
                <w:sz w:val="24"/>
                <w:szCs w:val="24"/>
              </w:rPr>
              <w:t>×××</w:t>
            </w:r>
          </w:p>
        </w:tc>
        <w:tc>
          <w:tcPr>
            <w:tcW w:w="1237" w:type="dxa"/>
            <w:vAlign w:val="center"/>
          </w:tcPr>
          <w:p w14:paraId="1EB571BA">
            <w:pPr>
              <w:spacing w:line="360" w:lineRule="auto"/>
              <w:rPr>
                <w:sz w:val="24"/>
                <w:szCs w:val="24"/>
              </w:rPr>
            </w:pPr>
            <w:r>
              <w:rPr>
                <w:rFonts w:hint="eastAsia"/>
                <w:sz w:val="24"/>
                <w:szCs w:val="24"/>
              </w:rPr>
              <w:t>副研究员</w:t>
            </w:r>
          </w:p>
        </w:tc>
        <w:tc>
          <w:tcPr>
            <w:tcW w:w="2701" w:type="dxa"/>
            <w:vAlign w:val="center"/>
          </w:tcPr>
          <w:p w14:paraId="31D89FBF">
            <w:pPr>
              <w:snapToGrid w:val="0"/>
              <w:jc w:val="center"/>
              <w:rPr>
                <w:rFonts w:eastAsia="宋体"/>
              </w:rPr>
            </w:pPr>
            <w:r>
              <w:rPr>
                <w:rFonts w:ascii="Times New Roman" w:hAnsi="Times New Roman" w:eastAsia="宋体" w:cs="Times New Roman"/>
                <w:sz w:val="24"/>
                <w:szCs w:val="24"/>
              </w:rPr>
              <w:t>公路交通场景应用验证、校准流程优化</w:t>
            </w:r>
          </w:p>
        </w:tc>
      </w:tr>
      <w:tr w14:paraId="7BC76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4" w:type="dxa"/>
            <w:vAlign w:val="center"/>
          </w:tcPr>
          <w:p w14:paraId="013A7773">
            <w:pPr>
              <w:spacing w:line="360" w:lineRule="auto"/>
              <w:jc w:val="center"/>
              <w:rPr>
                <w:sz w:val="24"/>
                <w:szCs w:val="24"/>
              </w:rPr>
            </w:pPr>
            <w:r>
              <w:rPr>
                <w:rFonts w:hint="default" w:ascii="Arial" w:hAnsi="Arial" w:cs="Arial"/>
                <w:sz w:val="24"/>
                <w:szCs w:val="24"/>
              </w:rPr>
              <w:t>×××</w:t>
            </w:r>
          </w:p>
        </w:tc>
        <w:tc>
          <w:tcPr>
            <w:tcW w:w="3033" w:type="dxa"/>
            <w:vAlign w:val="center"/>
          </w:tcPr>
          <w:p w14:paraId="7E0BB168">
            <w:pPr>
              <w:spacing w:line="360" w:lineRule="auto"/>
              <w:jc w:val="center"/>
              <w:rPr>
                <w:rFonts w:ascii="Times New Roman" w:hAnsi="Times New Roman" w:eastAsia="宋体" w:cs="Times New Roman"/>
                <w:sz w:val="24"/>
                <w:szCs w:val="24"/>
              </w:rPr>
            </w:pPr>
            <w:r>
              <w:rPr>
                <w:rFonts w:hint="default" w:ascii="Arial" w:hAnsi="Arial" w:cs="Arial"/>
                <w:sz w:val="24"/>
                <w:szCs w:val="24"/>
              </w:rPr>
              <w:t>×××</w:t>
            </w:r>
          </w:p>
        </w:tc>
        <w:tc>
          <w:tcPr>
            <w:tcW w:w="1237" w:type="dxa"/>
            <w:vAlign w:val="center"/>
          </w:tcPr>
          <w:p w14:paraId="282CAE68">
            <w:pPr>
              <w:spacing w:line="360" w:lineRule="auto"/>
              <w:rPr>
                <w:sz w:val="24"/>
                <w:szCs w:val="24"/>
              </w:rPr>
            </w:pPr>
            <w:r>
              <w:rPr>
                <w:rFonts w:hint="eastAsia"/>
                <w:sz w:val="24"/>
                <w:szCs w:val="24"/>
              </w:rPr>
              <w:t>高工</w:t>
            </w:r>
          </w:p>
        </w:tc>
        <w:tc>
          <w:tcPr>
            <w:tcW w:w="2701" w:type="dxa"/>
            <w:vAlign w:val="center"/>
          </w:tcPr>
          <w:p w14:paraId="33ADE174">
            <w:pPr>
              <w:snapToGrid w:val="0"/>
              <w:jc w:val="center"/>
              <w:rPr>
                <w:rFonts w:ascii="Times New Roman" w:hAnsi="Times New Roman" w:eastAsia="宋体" w:cs="Times New Roman"/>
                <w:sz w:val="24"/>
                <w:szCs w:val="24"/>
              </w:rPr>
            </w:pPr>
            <w:r>
              <w:rPr>
                <w:rFonts w:ascii="Times New Roman" w:hAnsi="Times New Roman" w:eastAsia="宋体" w:cs="Times New Roman"/>
                <w:sz w:val="24"/>
                <w:szCs w:val="24"/>
              </w:rPr>
              <w:t>规范框架设计、校准方法起草</w:t>
            </w:r>
          </w:p>
        </w:tc>
      </w:tr>
      <w:tr w14:paraId="55F04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4" w:type="dxa"/>
            <w:vAlign w:val="center"/>
          </w:tcPr>
          <w:p w14:paraId="52ED6ABB">
            <w:pPr>
              <w:spacing w:line="360" w:lineRule="auto"/>
              <w:jc w:val="center"/>
              <w:rPr>
                <w:sz w:val="24"/>
                <w:szCs w:val="24"/>
              </w:rPr>
            </w:pPr>
            <w:r>
              <w:rPr>
                <w:rFonts w:hint="default" w:ascii="Arial" w:hAnsi="Arial" w:cs="Arial"/>
                <w:sz w:val="24"/>
                <w:szCs w:val="24"/>
              </w:rPr>
              <w:t>×××</w:t>
            </w:r>
          </w:p>
        </w:tc>
        <w:tc>
          <w:tcPr>
            <w:tcW w:w="3033" w:type="dxa"/>
            <w:vAlign w:val="center"/>
          </w:tcPr>
          <w:p w14:paraId="79247B05">
            <w:pPr>
              <w:spacing w:line="360" w:lineRule="auto"/>
              <w:jc w:val="center"/>
              <w:rPr>
                <w:sz w:val="24"/>
                <w:szCs w:val="24"/>
              </w:rPr>
            </w:pPr>
            <w:r>
              <w:rPr>
                <w:rFonts w:hint="default" w:ascii="Arial" w:hAnsi="Arial" w:cs="Arial"/>
                <w:sz w:val="24"/>
                <w:szCs w:val="24"/>
              </w:rPr>
              <w:t>×××</w:t>
            </w:r>
          </w:p>
        </w:tc>
        <w:tc>
          <w:tcPr>
            <w:tcW w:w="1237" w:type="dxa"/>
            <w:vAlign w:val="center"/>
          </w:tcPr>
          <w:p w14:paraId="07906F06">
            <w:pPr>
              <w:spacing w:line="360" w:lineRule="auto"/>
              <w:rPr>
                <w:sz w:val="24"/>
                <w:szCs w:val="24"/>
              </w:rPr>
            </w:pPr>
            <w:r>
              <w:rPr>
                <w:rFonts w:hint="eastAsia"/>
                <w:sz w:val="24"/>
                <w:szCs w:val="24"/>
              </w:rPr>
              <w:t>高工</w:t>
            </w:r>
          </w:p>
        </w:tc>
        <w:tc>
          <w:tcPr>
            <w:tcW w:w="2701" w:type="dxa"/>
            <w:vAlign w:val="center"/>
          </w:tcPr>
          <w:p w14:paraId="4AFFE490">
            <w:pPr>
              <w:snapToGrid w:val="0"/>
              <w:jc w:val="center"/>
            </w:pPr>
            <w:r>
              <w:rPr>
                <w:rFonts w:ascii="Times New Roman" w:hAnsi="Times New Roman" w:eastAsia="宋体" w:cs="Times New Roman"/>
                <w:sz w:val="24"/>
                <w:szCs w:val="24"/>
              </w:rPr>
              <w:t>现场试验、数据采集与方法验证；</w:t>
            </w:r>
          </w:p>
        </w:tc>
      </w:tr>
      <w:tr w14:paraId="38DC1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4" w:type="dxa"/>
            <w:vAlign w:val="center"/>
          </w:tcPr>
          <w:p w14:paraId="55623524">
            <w:pPr>
              <w:spacing w:line="360" w:lineRule="auto"/>
              <w:jc w:val="center"/>
              <w:rPr>
                <w:sz w:val="24"/>
                <w:szCs w:val="24"/>
              </w:rPr>
            </w:pPr>
            <w:r>
              <w:rPr>
                <w:rFonts w:hint="default" w:ascii="Arial" w:hAnsi="Arial" w:cs="Arial"/>
                <w:sz w:val="24"/>
                <w:szCs w:val="24"/>
              </w:rPr>
              <w:t>×××</w:t>
            </w:r>
          </w:p>
        </w:tc>
        <w:tc>
          <w:tcPr>
            <w:tcW w:w="3033" w:type="dxa"/>
            <w:vAlign w:val="center"/>
          </w:tcPr>
          <w:p w14:paraId="339D9C51">
            <w:pPr>
              <w:spacing w:line="360" w:lineRule="auto"/>
              <w:jc w:val="center"/>
              <w:rPr>
                <w:sz w:val="24"/>
                <w:szCs w:val="24"/>
              </w:rPr>
            </w:pPr>
            <w:r>
              <w:rPr>
                <w:rFonts w:hint="default" w:ascii="Arial" w:hAnsi="Arial" w:cs="Arial"/>
                <w:sz w:val="24"/>
                <w:szCs w:val="24"/>
              </w:rPr>
              <w:t>×××</w:t>
            </w:r>
          </w:p>
        </w:tc>
        <w:tc>
          <w:tcPr>
            <w:tcW w:w="1237" w:type="dxa"/>
            <w:vAlign w:val="center"/>
          </w:tcPr>
          <w:p w14:paraId="40829B07">
            <w:pPr>
              <w:spacing w:line="360" w:lineRule="auto"/>
              <w:rPr>
                <w:sz w:val="24"/>
                <w:szCs w:val="24"/>
              </w:rPr>
            </w:pPr>
            <w:r>
              <w:rPr>
                <w:rFonts w:hint="eastAsia"/>
                <w:sz w:val="24"/>
                <w:szCs w:val="24"/>
              </w:rPr>
              <w:t>高工</w:t>
            </w:r>
          </w:p>
        </w:tc>
        <w:tc>
          <w:tcPr>
            <w:tcW w:w="2701" w:type="dxa"/>
            <w:vAlign w:val="center"/>
          </w:tcPr>
          <w:p w14:paraId="6D823FF2">
            <w:pPr>
              <w:snapToGrid w:val="0"/>
              <w:jc w:val="center"/>
            </w:pPr>
            <w:r>
              <w:rPr>
                <w:rFonts w:ascii="Times New Roman" w:hAnsi="Times New Roman" w:eastAsia="宋体" w:cs="Times New Roman"/>
                <w:sz w:val="24"/>
                <w:szCs w:val="24"/>
              </w:rPr>
              <w:t>现场试验、数据采集与方法验证；</w:t>
            </w:r>
          </w:p>
        </w:tc>
      </w:tr>
      <w:tr w14:paraId="55A09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4" w:type="dxa"/>
            <w:vAlign w:val="center"/>
          </w:tcPr>
          <w:p w14:paraId="7E20B896">
            <w:pPr>
              <w:spacing w:line="360" w:lineRule="auto"/>
              <w:jc w:val="center"/>
              <w:rPr>
                <w:sz w:val="24"/>
                <w:szCs w:val="24"/>
              </w:rPr>
            </w:pPr>
            <w:r>
              <w:rPr>
                <w:rFonts w:hint="default" w:ascii="Arial" w:hAnsi="Arial" w:cs="Arial"/>
                <w:sz w:val="24"/>
                <w:szCs w:val="24"/>
              </w:rPr>
              <w:t>×××</w:t>
            </w:r>
          </w:p>
        </w:tc>
        <w:tc>
          <w:tcPr>
            <w:tcW w:w="3033" w:type="dxa"/>
            <w:vAlign w:val="center"/>
          </w:tcPr>
          <w:p w14:paraId="485644FC">
            <w:pPr>
              <w:spacing w:line="360" w:lineRule="auto"/>
              <w:jc w:val="center"/>
              <w:rPr>
                <w:sz w:val="24"/>
                <w:szCs w:val="24"/>
              </w:rPr>
            </w:pPr>
            <w:r>
              <w:rPr>
                <w:rFonts w:hint="default" w:ascii="Arial" w:hAnsi="Arial" w:cs="Arial"/>
                <w:sz w:val="24"/>
                <w:szCs w:val="24"/>
              </w:rPr>
              <w:t>×××</w:t>
            </w:r>
          </w:p>
        </w:tc>
        <w:tc>
          <w:tcPr>
            <w:tcW w:w="1237" w:type="dxa"/>
            <w:vAlign w:val="center"/>
          </w:tcPr>
          <w:p w14:paraId="30A14001">
            <w:pPr>
              <w:spacing w:line="360" w:lineRule="auto"/>
              <w:rPr>
                <w:sz w:val="24"/>
                <w:szCs w:val="24"/>
              </w:rPr>
            </w:pPr>
            <w:r>
              <w:rPr>
                <w:rFonts w:hint="eastAsia"/>
                <w:sz w:val="24"/>
                <w:szCs w:val="24"/>
              </w:rPr>
              <w:t>副教授</w:t>
            </w:r>
          </w:p>
        </w:tc>
        <w:tc>
          <w:tcPr>
            <w:tcW w:w="2701" w:type="dxa"/>
            <w:vAlign w:val="center"/>
          </w:tcPr>
          <w:p w14:paraId="352132A4">
            <w:pPr>
              <w:snapToGrid w:val="0"/>
              <w:jc w:val="center"/>
            </w:pPr>
            <w:r>
              <w:rPr>
                <w:rFonts w:ascii="Times New Roman" w:hAnsi="Times New Roman" w:eastAsia="宋体" w:cs="Times New Roman"/>
                <w:sz w:val="24"/>
                <w:szCs w:val="24"/>
              </w:rPr>
              <w:t>民航应用场景适配、技术指标论证</w:t>
            </w:r>
          </w:p>
        </w:tc>
      </w:tr>
    </w:tbl>
    <w:p w14:paraId="350C1969">
      <w:pPr>
        <w:spacing w:line="360" w:lineRule="auto"/>
        <w:ind w:firstLine="480" w:firstLineChars="200"/>
        <w:rPr>
          <w:rFonts w:ascii="Times New Roman" w:hAnsi="Times New Roman" w:eastAsia="宋体" w:cs="Times New Roman"/>
          <w:sz w:val="24"/>
          <w:szCs w:val="24"/>
        </w:rPr>
      </w:pPr>
    </w:p>
    <w:p w14:paraId="3C57501C">
      <w:pPr>
        <w:widowControl/>
        <w:spacing w:line="360" w:lineRule="auto"/>
        <w:textAlignment w:val="bottom"/>
        <w:rPr>
          <w:rFonts w:ascii="黑体" w:hAnsi="黑体" w:eastAsia="黑体" w:cs="Times New Roman"/>
          <w:sz w:val="24"/>
          <w:szCs w:val="24"/>
        </w:rPr>
      </w:pPr>
      <w:r>
        <w:rPr>
          <w:rFonts w:ascii="黑体" w:hAnsi="黑体" w:eastAsia="黑体" w:cs="Times New Roman"/>
          <w:sz w:val="24"/>
          <w:szCs w:val="24"/>
        </w:rPr>
        <w:t>五、主要编制过程</w:t>
      </w:r>
    </w:p>
    <w:p w14:paraId="7CA90827">
      <w:pPr>
        <w:numPr>
          <w:ilvl w:val="0"/>
          <w:numId w:val="2"/>
        </w:numPr>
        <w:ind w:left="0"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启动筹备阶段（2024 年 12 月 —2025 年 1 月）</w:t>
      </w:r>
    </w:p>
    <w:p w14:paraId="7BAAB308">
      <w:pPr>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成立规范起草组，召开启动部署会，明确任务分工、编制原则与进度计划，完成国内外技术资料收集与现状调研。</w:t>
      </w:r>
    </w:p>
    <w:p w14:paraId="5EA32547">
      <w:pPr>
        <w:numPr>
          <w:ilvl w:val="0"/>
          <w:numId w:val="2"/>
        </w:numPr>
        <w:ind w:left="0"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调研论证阶段（2025 年 2 月 —</w:t>
      </w:r>
      <w:r>
        <w:rPr>
          <w:rFonts w:hint="eastAsia" w:ascii="Times New Roman" w:hAnsi="Times New Roman" w:eastAsia="宋体" w:cs="Times New Roman"/>
          <w:sz w:val="24"/>
          <w:szCs w:val="24"/>
        </w:rPr>
        <w:t>6</w:t>
      </w:r>
      <w:r>
        <w:rPr>
          <w:rFonts w:ascii="Times New Roman" w:hAnsi="Times New Roman" w:eastAsia="宋体" w:cs="Times New Roman"/>
          <w:sz w:val="24"/>
          <w:szCs w:val="24"/>
        </w:rPr>
        <w:t xml:space="preserve"> 月）</w:t>
      </w:r>
    </w:p>
    <w:p w14:paraId="33D9F9DF">
      <w:pPr>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系统调研气象、民航、公路等领域前向散射式能见度仪使用现状、校准需求与现存问题；梳理能见度模拟试验舱、标准透射仪等校准装置技术能力，确定核心技术路线与校准项目。</w:t>
      </w:r>
    </w:p>
    <w:p w14:paraId="4C53BB20">
      <w:pPr>
        <w:numPr>
          <w:ilvl w:val="0"/>
          <w:numId w:val="2"/>
        </w:numPr>
        <w:ind w:left="0"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 xml:space="preserve">试验验证与初稿编写阶段（2025 年 </w:t>
      </w:r>
      <w:r>
        <w:rPr>
          <w:rFonts w:hint="eastAsia" w:ascii="Times New Roman" w:hAnsi="Times New Roman" w:eastAsia="宋体" w:cs="Times New Roman"/>
          <w:sz w:val="24"/>
          <w:szCs w:val="24"/>
        </w:rPr>
        <w:t>7</w:t>
      </w:r>
      <w:r>
        <w:rPr>
          <w:rFonts w:ascii="Times New Roman" w:hAnsi="Times New Roman" w:eastAsia="宋体" w:cs="Times New Roman"/>
          <w:sz w:val="24"/>
          <w:szCs w:val="24"/>
        </w:rPr>
        <w:t xml:space="preserve"> 月 —</w:t>
      </w:r>
      <w:r>
        <w:rPr>
          <w:rFonts w:hint="eastAsia" w:ascii="Times New Roman" w:hAnsi="Times New Roman" w:eastAsia="宋体" w:cs="Times New Roman"/>
          <w:sz w:val="24"/>
          <w:szCs w:val="24"/>
        </w:rPr>
        <w:t>2026年</w:t>
      </w:r>
      <w:r>
        <w:rPr>
          <w:rFonts w:ascii="Times New Roman" w:hAnsi="Times New Roman" w:eastAsia="宋体" w:cs="Times New Roman"/>
          <w:sz w:val="24"/>
          <w:szCs w:val="24"/>
        </w:rPr>
        <w:t>5 月）</w:t>
      </w:r>
    </w:p>
    <w:p w14:paraId="433E8FAB">
      <w:pPr>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开展环境条件、校准点选取、测量标准适配性等试验，验证校准方法可行性；完成规范初稿与编制说明初稿。</w:t>
      </w:r>
    </w:p>
    <w:p w14:paraId="521A732E">
      <w:pPr>
        <w:numPr>
          <w:ilvl w:val="0"/>
          <w:numId w:val="2"/>
        </w:numPr>
        <w:ind w:left="0"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征求意见稿编制阶段（202</w:t>
      </w:r>
      <w:r>
        <w:rPr>
          <w:rFonts w:hint="eastAsia" w:ascii="Times New Roman" w:hAnsi="Times New Roman" w:eastAsia="宋体" w:cs="Times New Roman"/>
          <w:sz w:val="24"/>
          <w:szCs w:val="24"/>
        </w:rPr>
        <w:t>6</w:t>
      </w:r>
      <w:r>
        <w:rPr>
          <w:rFonts w:ascii="Times New Roman" w:hAnsi="Times New Roman" w:eastAsia="宋体" w:cs="Times New Roman"/>
          <w:sz w:val="24"/>
          <w:szCs w:val="24"/>
        </w:rPr>
        <w:t xml:space="preserve"> 年 6 月）</w:t>
      </w:r>
    </w:p>
    <w:p w14:paraId="5BC1804E">
      <w:pPr>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起草组内部多轮评审、修改完善，形成规范征求意见稿草案。</w:t>
      </w:r>
    </w:p>
    <w:p w14:paraId="29640CF3">
      <w:pPr>
        <w:numPr>
          <w:ilvl w:val="0"/>
          <w:numId w:val="2"/>
        </w:numPr>
        <w:ind w:left="0"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评审报批阶段（202</w:t>
      </w:r>
      <w:r>
        <w:rPr>
          <w:rFonts w:hint="eastAsia" w:ascii="Times New Roman" w:hAnsi="Times New Roman" w:eastAsia="宋体" w:cs="Times New Roman"/>
          <w:sz w:val="24"/>
          <w:szCs w:val="24"/>
        </w:rPr>
        <w:t>6</w:t>
      </w:r>
      <w:r>
        <w:rPr>
          <w:rFonts w:ascii="Times New Roman" w:hAnsi="Times New Roman" w:eastAsia="宋体" w:cs="Times New Roman"/>
          <w:sz w:val="24"/>
          <w:szCs w:val="24"/>
        </w:rPr>
        <w:t xml:space="preserve"> 年 7 月 —12 月）</w:t>
      </w:r>
    </w:p>
    <w:p w14:paraId="7E518D3B">
      <w:pPr>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公开征求意见、组织专家评审，根据意见修改完善后形成报批稿，完成规范报批。</w:t>
      </w:r>
    </w:p>
    <w:p w14:paraId="19A4112A">
      <w:pPr>
        <w:rPr>
          <w:rFonts w:ascii="黑体" w:hAnsi="黑体" w:eastAsia="黑体" w:cs="Times New Roman"/>
          <w:sz w:val="24"/>
          <w:szCs w:val="24"/>
        </w:rPr>
      </w:pPr>
      <w:r>
        <w:rPr>
          <w:rFonts w:ascii="黑体" w:hAnsi="黑体" w:eastAsia="黑体" w:cs="Times New Roman"/>
          <w:sz w:val="24"/>
          <w:szCs w:val="24"/>
        </w:rPr>
        <w:t>六、编制内容说明</w:t>
      </w:r>
    </w:p>
    <w:p w14:paraId="46332E22">
      <w:pPr>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（一）范围</w:t>
      </w:r>
    </w:p>
    <w:p w14:paraId="347D98D5">
      <w:pPr>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本规范适用于气象、民航、公路交通、航海等领域使用的前向散射式能见度仪的实验室校准。</w:t>
      </w:r>
    </w:p>
    <w:p w14:paraId="515CEBFC">
      <w:pPr>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（二）引用文件</w:t>
      </w:r>
    </w:p>
    <w:p w14:paraId="74D5FCC2">
      <w:pPr>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列出规范编制所依据的国家计量技术规范、行业标准与技术文件，确保校准工作的合规性、溯源性，与现有计量体系无缝衔接。</w:t>
      </w:r>
    </w:p>
    <w:p w14:paraId="504E92FD">
      <w:pPr>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（三）术语和计量单位</w:t>
      </w:r>
    </w:p>
    <w:p w14:paraId="7169DF21">
      <w:pPr>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定义气象光学视程（MOR）、</w:t>
      </w:r>
      <w:r>
        <w:rPr>
          <w:rFonts w:hint="eastAsia" w:ascii="Times New Roman" w:hAnsi="Times New Roman" w:eastAsia="宋体" w:cs="Times New Roman"/>
          <w:sz w:val="24"/>
          <w:szCs w:val="24"/>
        </w:rPr>
        <w:t>前向散射式能见度仪</w:t>
      </w:r>
      <w:r>
        <w:rPr>
          <w:rFonts w:ascii="Times New Roman" w:hAnsi="Times New Roman" w:eastAsia="宋体" w:cs="Times New Roman"/>
          <w:sz w:val="24"/>
          <w:szCs w:val="24"/>
        </w:rPr>
        <w:t>，</w:t>
      </w:r>
      <w:r>
        <w:rPr>
          <w:rFonts w:hint="eastAsia" w:ascii="Times New Roman" w:hAnsi="Times New Roman" w:eastAsia="宋体" w:cs="Times New Roman"/>
          <w:sz w:val="24"/>
          <w:szCs w:val="24"/>
        </w:rPr>
        <w:t>透射式能见度仪。</w:t>
      </w:r>
      <w:r>
        <w:rPr>
          <w:rFonts w:ascii="Times New Roman" w:hAnsi="Times New Roman" w:eastAsia="宋体" w:cs="Times New Roman"/>
          <w:sz w:val="24"/>
          <w:szCs w:val="24"/>
        </w:rPr>
        <w:t>统一采用米（m）为能见度法定计量单位，保证数据可比、可汇总、可溯源。</w:t>
      </w:r>
    </w:p>
    <w:p w14:paraId="05A1F26C">
      <w:pPr>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（四）概述</w:t>
      </w:r>
    </w:p>
    <w:p w14:paraId="5E56CD6A">
      <w:pPr>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说明前向散射式能见度仪工作原理：仪器由发射器、接收器、控制处理器组成，发射器发射红外辐射照射大气样本，接收器探测散射光信号，依据散射系数与 Koshmieder 定律计算气象光学视程，实现能见度自动测量。</w:t>
      </w:r>
    </w:p>
    <w:p w14:paraId="4817E207">
      <w:pPr>
        <w:numPr>
          <w:ilvl w:val="0"/>
          <w:numId w:val="3"/>
        </w:numPr>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校准条件</w:t>
      </w:r>
    </w:p>
    <w:p w14:paraId="5D827391">
      <w:pPr>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环境条件</w:t>
      </w:r>
      <w:r>
        <w:rPr>
          <w:rFonts w:hint="eastAsia" w:ascii="Times New Roman" w:hAnsi="Times New Roman" w:eastAsia="宋体" w:cs="Times New Roman"/>
          <w:sz w:val="24"/>
          <w:szCs w:val="24"/>
        </w:rPr>
        <w:t>温度：（20±5）℃；相对湿度：不大于85%。</w:t>
      </w:r>
    </w:p>
    <w:p w14:paraId="63AEF568">
      <w:pPr>
        <w:numPr>
          <w:ilvl w:val="0"/>
          <w:numId w:val="3"/>
        </w:numPr>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仪器设备</w:t>
      </w:r>
    </w:p>
    <w:p w14:paraId="1E8BC420">
      <w:pPr>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标准器：透射式能见度仪或准确度相当的其他设备，测量性能满足10m~3500米。最大允许误差：±5%（能见度不大于1500m），±7%(能见度大于1500m)。</w:t>
      </w:r>
    </w:p>
    <w:p w14:paraId="615458FB">
      <w:pPr>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实验舱：一般由相对密闭的舱体构成。能见度模拟介质可以是便于清洁，无毒无害的气体或悬浮颗粒物，并对被测前向散射式能见度仪不造成污染或损坏。技术要求见表1。</w:t>
      </w:r>
    </w:p>
    <w:p w14:paraId="130CEFEB">
      <w:pPr>
        <w:ind w:firstLine="480" w:firstLineChars="200"/>
        <w:jc w:val="center"/>
        <w:rPr>
          <w:rFonts w:cs="宋体"/>
          <w:b/>
          <w:bCs/>
          <w:sz w:val="24"/>
        </w:rPr>
      </w:pPr>
      <w:r>
        <w:rPr>
          <w:rFonts w:hint="eastAsia" w:cs="宋体"/>
          <w:b/>
          <w:bCs/>
          <w:sz w:val="24"/>
        </w:rPr>
        <w:t>表1 试验舱技术要求</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27"/>
        <w:gridCol w:w="4269"/>
      </w:tblGrid>
      <w:tr w14:paraId="3638A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5811C5FA">
            <w:pPr>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项目</w:t>
            </w:r>
          </w:p>
        </w:tc>
        <w:tc>
          <w:tcPr>
            <w:tcW w:w="4672" w:type="dxa"/>
          </w:tcPr>
          <w:p w14:paraId="3CE4F285">
            <w:pPr>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技术指标</w:t>
            </w:r>
          </w:p>
        </w:tc>
      </w:tr>
      <w:tr w14:paraId="22F8D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361D90F7">
            <w:pPr>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能见度模拟范围</w:t>
            </w:r>
          </w:p>
        </w:tc>
        <w:tc>
          <w:tcPr>
            <w:tcW w:w="4672" w:type="dxa"/>
          </w:tcPr>
          <w:p w14:paraId="274F2986">
            <w:pPr>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10m～3000m</w:t>
            </w:r>
          </w:p>
        </w:tc>
      </w:tr>
      <w:tr w14:paraId="58A0D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vAlign w:val="center"/>
          </w:tcPr>
          <w:p w14:paraId="3EB7C869">
            <w:pPr>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能见度均匀性</w:t>
            </w:r>
          </w:p>
        </w:tc>
        <w:tc>
          <w:tcPr>
            <w:tcW w:w="4672" w:type="dxa"/>
            <w:vAlign w:val="center"/>
          </w:tcPr>
          <w:p w14:paraId="1AF17A6B">
            <w:pPr>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30m（能见度≤500m）</w:t>
            </w:r>
          </w:p>
          <w:p w14:paraId="2B904481">
            <w:pPr>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5%（能见度＞500m）</w:t>
            </w:r>
          </w:p>
        </w:tc>
      </w:tr>
      <w:tr w14:paraId="58307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vAlign w:val="center"/>
          </w:tcPr>
          <w:p w14:paraId="2CCA4039">
            <w:pPr>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能见度波动度</w:t>
            </w:r>
          </w:p>
        </w:tc>
        <w:tc>
          <w:tcPr>
            <w:tcW w:w="4672" w:type="dxa"/>
            <w:vAlign w:val="center"/>
          </w:tcPr>
          <w:p w14:paraId="23F9EB94">
            <w:pPr>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±50m/10min(能见度≤500m)</w:t>
            </w:r>
          </w:p>
          <w:p w14:paraId="660E9329">
            <w:pPr>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±10%/10min（能见度＞500m）</w:t>
            </w:r>
          </w:p>
        </w:tc>
      </w:tr>
      <w:tr w14:paraId="4C39C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4" w:type="dxa"/>
            <w:gridSpan w:val="2"/>
          </w:tcPr>
          <w:p w14:paraId="22A942CD">
            <w:pPr>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注1：能见度均匀性指试验舱有效工作区内各点能见度值与测量标准器示值之间在任一瞬间的差值绝对值的最大值。</w:t>
            </w:r>
          </w:p>
          <w:p w14:paraId="773F234A">
            <w:pPr>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注2：能见度波动度指试验舱有效工作区内各点能见度值与测量标准器示值之间在10min内最大值与最小值之差的正负二分之一。</w:t>
            </w:r>
          </w:p>
        </w:tc>
      </w:tr>
    </w:tbl>
    <w:p w14:paraId="50F3F3F1">
      <w:pPr>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遮光板：可使前向散射式能见度仪接收单元无法接收到的由发射单元产生的光散射信号和环境背景光信号的辅助配件，其光学透射率为0。</w:t>
      </w:r>
    </w:p>
    <w:p w14:paraId="65774B30">
      <w:pPr>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温湿度传感器</w:t>
      </w:r>
      <w:r>
        <w:rPr>
          <w:rFonts w:hint="eastAsia" w:ascii="Times New Roman" w:hAnsi="Times New Roman" w:eastAsia="宋体" w:cs="Times New Roman"/>
          <w:sz w:val="24"/>
          <w:szCs w:val="24"/>
        </w:rPr>
        <w:t>：</w:t>
      </w:r>
      <w:r>
        <w:rPr>
          <w:rFonts w:ascii="Times New Roman" w:hAnsi="Times New Roman" w:eastAsia="宋体" w:cs="Times New Roman"/>
          <w:sz w:val="24"/>
          <w:szCs w:val="24"/>
        </w:rPr>
        <w:t>用于实验室的温度、湿度等气象要素值。</w:t>
      </w:r>
    </w:p>
    <w:p w14:paraId="3C16E4BE">
      <w:pPr>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w:t>
      </w:r>
      <w:r>
        <w:rPr>
          <w:rFonts w:hint="eastAsia" w:ascii="Times New Roman" w:hAnsi="Times New Roman" w:eastAsia="宋体" w:cs="Times New Roman"/>
          <w:sz w:val="24"/>
          <w:szCs w:val="24"/>
        </w:rPr>
        <w:t>七</w:t>
      </w:r>
      <w:r>
        <w:rPr>
          <w:rFonts w:ascii="Times New Roman" w:hAnsi="Times New Roman" w:eastAsia="宋体" w:cs="Times New Roman"/>
          <w:sz w:val="24"/>
          <w:szCs w:val="24"/>
        </w:rPr>
        <w:t>）校准项目及方法</w:t>
      </w:r>
    </w:p>
    <w:p w14:paraId="555224EA">
      <w:pPr>
        <w:numPr>
          <w:ilvl w:val="0"/>
          <w:numId w:val="4"/>
        </w:numPr>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校准项目</w:t>
      </w:r>
      <w:r>
        <w:rPr>
          <w:rFonts w:hint="eastAsia" w:ascii="Times New Roman" w:hAnsi="Times New Roman" w:eastAsia="宋体" w:cs="Times New Roman"/>
          <w:sz w:val="24"/>
          <w:szCs w:val="24"/>
        </w:rPr>
        <w:t>见表2。</w:t>
      </w:r>
    </w:p>
    <w:p w14:paraId="56FBD287">
      <w:pPr>
        <w:jc w:val="center"/>
        <w:rPr>
          <w:rFonts w:hint="eastAsia" w:ascii="宋体" w:hAnsi="宋体"/>
          <w:b/>
          <w:bCs/>
          <w:kern w:val="0"/>
          <w:sz w:val="24"/>
        </w:rPr>
      </w:pPr>
    </w:p>
    <w:p w14:paraId="316E07AA">
      <w:pPr>
        <w:jc w:val="center"/>
        <w:rPr>
          <w:rFonts w:ascii="宋体" w:hAnsi="宋体"/>
          <w:b/>
          <w:bCs/>
          <w:kern w:val="0"/>
          <w:sz w:val="24"/>
        </w:rPr>
      </w:pPr>
      <w:bookmarkStart w:id="9" w:name="_GoBack"/>
      <w:bookmarkEnd w:id="9"/>
      <w:r>
        <w:rPr>
          <w:rFonts w:hint="eastAsia" w:ascii="宋体" w:hAnsi="宋体"/>
          <w:b/>
          <w:bCs/>
          <w:kern w:val="0"/>
          <w:sz w:val="24"/>
        </w:rPr>
        <w:t>表2 前向散射式能见度仪校准项目</w:t>
      </w:r>
    </w:p>
    <w:tbl>
      <w:tblPr>
        <w:tblStyle w:val="14"/>
        <w:tblW w:w="0" w:type="auto"/>
        <w:tblInd w:w="8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4"/>
        <w:gridCol w:w="1902"/>
        <w:gridCol w:w="4534"/>
      </w:tblGrid>
      <w:tr w14:paraId="1CC25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4" w:type="dxa"/>
          </w:tcPr>
          <w:p w14:paraId="1FBE2BE3">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序号</w:t>
            </w:r>
          </w:p>
        </w:tc>
        <w:tc>
          <w:tcPr>
            <w:tcW w:w="2126" w:type="dxa"/>
          </w:tcPr>
          <w:p w14:paraId="5DA65EA8">
            <w:pPr>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校准项目</w:t>
            </w:r>
          </w:p>
        </w:tc>
        <w:tc>
          <w:tcPr>
            <w:tcW w:w="5238" w:type="dxa"/>
          </w:tcPr>
          <w:p w14:paraId="528A3FE7">
            <w:pPr>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技术要求</w:t>
            </w:r>
          </w:p>
        </w:tc>
      </w:tr>
      <w:tr w14:paraId="3443A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4" w:type="dxa"/>
          </w:tcPr>
          <w:p w14:paraId="66B07B31">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1</w:t>
            </w:r>
          </w:p>
        </w:tc>
        <w:tc>
          <w:tcPr>
            <w:tcW w:w="2126" w:type="dxa"/>
          </w:tcPr>
          <w:p w14:paraId="1B72E776">
            <w:pPr>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校准范围</w:t>
            </w:r>
          </w:p>
        </w:tc>
        <w:tc>
          <w:tcPr>
            <w:tcW w:w="5238" w:type="dxa"/>
          </w:tcPr>
          <w:p w14:paraId="2226597C">
            <w:pPr>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10m～3000m</w:t>
            </w:r>
          </w:p>
        </w:tc>
      </w:tr>
      <w:tr w14:paraId="369DB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4" w:type="dxa"/>
            <w:vAlign w:val="center"/>
          </w:tcPr>
          <w:p w14:paraId="5241AEDC">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2</w:t>
            </w:r>
          </w:p>
        </w:tc>
        <w:tc>
          <w:tcPr>
            <w:tcW w:w="2126" w:type="dxa"/>
            <w:vAlign w:val="center"/>
          </w:tcPr>
          <w:p w14:paraId="3CDE1B2B">
            <w:pPr>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示值误差</w:t>
            </w:r>
          </w:p>
        </w:tc>
        <w:tc>
          <w:tcPr>
            <w:tcW w:w="5238" w:type="dxa"/>
            <w:vAlign w:val="center"/>
          </w:tcPr>
          <w:p w14:paraId="0D6DDC00">
            <w:pPr>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±50m（10m＜能见度≤500m）</w:t>
            </w:r>
          </w:p>
          <w:p w14:paraId="448CEE00">
            <w:pPr>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±10%（500m＜能见度≤1500m）</w:t>
            </w:r>
          </w:p>
          <w:p w14:paraId="2FC51405">
            <w:pPr>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±20%（1500m＜能见度≤3000m）</w:t>
            </w:r>
          </w:p>
        </w:tc>
      </w:tr>
    </w:tbl>
    <w:p w14:paraId="1BFE6633">
      <w:pPr>
        <w:ind w:left="420" w:leftChars="200"/>
        <w:rPr>
          <w:rFonts w:ascii="Times New Roman" w:hAnsi="Times New Roman" w:eastAsia="宋体" w:cs="Times New Roman"/>
          <w:sz w:val="24"/>
          <w:szCs w:val="24"/>
        </w:rPr>
      </w:pPr>
    </w:p>
    <w:p w14:paraId="0D21DFD1">
      <w:pPr>
        <w:numPr>
          <w:ilvl w:val="0"/>
          <w:numId w:val="4"/>
        </w:numPr>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校准方法</w:t>
      </w:r>
    </w:p>
    <w:p w14:paraId="4AE21847">
      <w:pPr>
        <w:ind w:firstLine="480" w:firstLineChars="200"/>
        <w:rPr>
          <w:rFonts w:ascii="Times New Roman" w:hAnsi="Times New Roman" w:eastAsia="宋体" w:cs="Times New Roman"/>
          <w:sz w:val="24"/>
          <w:szCs w:val="24"/>
        </w:rPr>
      </w:pPr>
      <w:bookmarkStart w:id="0" w:name="_Toc185955645"/>
      <w:r>
        <w:rPr>
          <w:rFonts w:hint="eastAsia" w:ascii="Times New Roman" w:hAnsi="Times New Roman" w:eastAsia="宋体" w:cs="Times New Roman"/>
          <w:sz w:val="24"/>
          <w:szCs w:val="24"/>
        </w:rPr>
        <w:t>校准前的准备</w:t>
      </w:r>
      <w:bookmarkEnd w:id="0"/>
    </w:p>
    <w:p w14:paraId="5ECA3614">
      <w:pPr>
        <w:pStyle w:val="29"/>
        <w:numPr>
          <w:ilvl w:val="0"/>
          <w:numId w:val="5"/>
        </w:numPr>
        <w:ind w:left="0" w:firstLine="480"/>
        <w:rPr>
          <w:rFonts w:ascii="Times New Roman" w:hAnsi="Times New Roman" w:eastAsia="宋体" w:cs="Times New Roman"/>
          <w:sz w:val="24"/>
          <w:szCs w:val="24"/>
        </w:rPr>
      </w:pPr>
      <w:r>
        <w:rPr>
          <w:rFonts w:hint="eastAsia" w:ascii="宋体" w:hAnsi="宋体" w:eastAsia="宋体" w:cs="宋体"/>
          <w:bCs/>
          <w:sz w:val="24"/>
        </w:rPr>
        <w:t>检查</w:t>
      </w:r>
      <w:r>
        <w:rPr>
          <w:rFonts w:hint="eastAsia" w:ascii="Times New Roman" w:hAnsi="Times New Roman" w:eastAsia="宋体" w:cs="Times New Roman"/>
          <w:sz w:val="24"/>
          <w:szCs w:val="24"/>
        </w:rPr>
        <w:t>透射式能见度仪光路，确保工作正常，校准过程中不受其他光辐射和电磁干扰影响；</w:t>
      </w:r>
    </w:p>
    <w:p w14:paraId="0E8998C0">
      <w:pPr>
        <w:pStyle w:val="29"/>
        <w:numPr>
          <w:ilvl w:val="0"/>
          <w:numId w:val="5"/>
        </w:numPr>
        <w:ind w:left="0" w:firstLine="480"/>
        <w:rPr>
          <w:rFonts w:ascii="Times New Roman" w:hAnsi="Times New Roman" w:eastAsia="宋体" w:cs="Times New Roman"/>
          <w:sz w:val="24"/>
          <w:szCs w:val="24"/>
        </w:rPr>
      </w:pPr>
      <w:r>
        <w:rPr>
          <w:rFonts w:hint="eastAsia" w:ascii="宋体" w:hAnsi="宋体" w:eastAsia="宋体" w:cs="宋体"/>
          <w:bCs/>
          <w:sz w:val="24"/>
        </w:rPr>
        <w:t>被</w:t>
      </w:r>
      <w:r>
        <w:rPr>
          <w:rFonts w:hint="eastAsia" w:ascii="宋体" w:hAnsi="宋体" w:eastAsia="宋体" w:cs="宋体"/>
          <w:sz w:val="24"/>
          <w:szCs w:val="24"/>
        </w:rPr>
        <w:t>测</w:t>
      </w:r>
      <w:r>
        <w:rPr>
          <w:rFonts w:hint="eastAsia" w:ascii="Times New Roman" w:hAnsi="Times New Roman" w:eastAsia="宋体" w:cs="Times New Roman"/>
          <w:sz w:val="24"/>
          <w:szCs w:val="24"/>
        </w:rPr>
        <w:t>设备整体结构完整，外壳无扭曲或变形镜头是否由污染或者破损等；</w:t>
      </w:r>
    </w:p>
    <w:p w14:paraId="4FB5BE6A">
      <w:pPr>
        <w:pStyle w:val="29"/>
        <w:numPr>
          <w:ilvl w:val="0"/>
          <w:numId w:val="5"/>
        </w:numPr>
        <w:ind w:left="0" w:firstLine="480"/>
        <w:rPr>
          <w:rFonts w:ascii="Times New Roman" w:hAnsi="Times New Roman" w:eastAsia="宋体" w:cs="Times New Roman"/>
          <w:sz w:val="24"/>
          <w:szCs w:val="24"/>
        </w:rPr>
      </w:pPr>
      <w:r>
        <w:rPr>
          <w:rFonts w:hint="eastAsia" w:ascii="宋体" w:hAnsi="宋体" w:eastAsia="宋体" w:cs="宋体"/>
          <w:bCs/>
          <w:sz w:val="24"/>
        </w:rPr>
        <w:t>被</w:t>
      </w:r>
      <w:r>
        <w:rPr>
          <w:rFonts w:hint="eastAsia" w:ascii="宋体" w:hAnsi="宋体" w:eastAsia="宋体" w:cs="宋体"/>
          <w:sz w:val="24"/>
          <w:szCs w:val="24"/>
        </w:rPr>
        <w:t>测设</w:t>
      </w:r>
      <w:r>
        <w:rPr>
          <w:rFonts w:hint="eastAsia" w:ascii="Times New Roman" w:hAnsi="Times New Roman" w:eastAsia="宋体" w:cs="Times New Roman"/>
          <w:sz w:val="24"/>
          <w:szCs w:val="24"/>
        </w:rPr>
        <w:t>备应具有制造厂家名称（或商标）、型号、出厂编号；</w:t>
      </w:r>
    </w:p>
    <w:p w14:paraId="3C03522C">
      <w:pPr>
        <w:ind w:firstLine="480" w:firstLineChars="200"/>
        <w:rPr>
          <w:rFonts w:ascii="Times New Roman" w:hAnsi="Times New Roman" w:eastAsia="宋体" w:cs="Times New Roman"/>
          <w:sz w:val="24"/>
          <w:szCs w:val="24"/>
        </w:rPr>
      </w:pPr>
      <w:bookmarkStart w:id="1" w:name="_Toc185955646"/>
      <w:r>
        <w:rPr>
          <w:rFonts w:hint="eastAsia" w:ascii="Times New Roman" w:hAnsi="Times New Roman" w:eastAsia="宋体" w:cs="Times New Roman"/>
          <w:sz w:val="24"/>
          <w:szCs w:val="24"/>
        </w:rPr>
        <w:t>校准范围校准</w:t>
      </w:r>
      <w:bookmarkEnd w:id="1"/>
    </w:p>
    <w:p w14:paraId="6674256B">
      <w:pPr>
        <w:pStyle w:val="29"/>
        <w:numPr>
          <w:ilvl w:val="0"/>
          <w:numId w:val="6"/>
        </w:numPr>
        <w:rPr>
          <w:rFonts w:ascii="宋体" w:hAnsi="宋体" w:eastAsia="宋体" w:cs="宋体"/>
          <w:bCs/>
          <w:sz w:val="24"/>
        </w:rPr>
      </w:pPr>
      <w:r>
        <w:rPr>
          <w:rFonts w:hint="eastAsia" w:ascii="宋体" w:hAnsi="宋体" w:eastAsia="宋体" w:cs="宋体"/>
          <w:bCs/>
          <w:sz w:val="24"/>
        </w:rPr>
        <w:t>测</w:t>
      </w:r>
      <w:r>
        <w:rPr>
          <w:rFonts w:hint="eastAsia" w:ascii="宋体" w:hAnsi="宋体" w:eastAsia="宋体" w:cs="宋体"/>
          <w:sz w:val="24"/>
          <w:szCs w:val="24"/>
        </w:rPr>
        <w:t>量下限校准：使试验舱内能见度保持在10m以下（以标准器示值为准），当被校前向散射式能见度仪输出示值稳定后，读取并记录；</w:t>
      </w:r>
    </w:p>
    <w:p w14:paraId="10CC65FF">
      <w:pPr>
        <w:pStyle w:val="29"/>
        <w:numPr>
          <w:ilvl w:val="0"/>
          <w:numId w:val="6"/>
        </w:numPr>
        <w:rPr>
          <w:rFonts w:ascii="宋体" w:hAnsi="宋体" w:eastAsia="宋体" w:cs="宋体"/>
          <w:sz w:val="24"/>
          <w:szCs w:val="24"/>
        </w:rPr>
      </w:pPr>
      <w:r>
        <w:rPr>
          <w:rFonts w:hint="eastAsia" w:ascii="宋体" w:hAnsi="宋体" w:eastAsia="宋体" w:cs="宋体"/>
          <w:bCs/>
          <w:sz w:val="24"/>
        </w:rPr>
        <w:t>测</w:t>
      </w:r>
      <w:r>
        <w:rPr>
          <w:rFonts w:hint="eastAsia" w:ascii="宋体" w:hAnsi="宋体" w:eastAsia="宋体" w:cs="宋体"/>
          <w:sz w:val="24"/>
          <w:szCs w:val="24"/>
        </w:rPr>
        <w:t>量上限校准；使试验舱内能见度达到被校前向散射式能见度仪标称上限以上（以标准器示值为准），当输出示值稳定后，读取并记录。</w:t>
      </w:r>
    </w:p>
    <w:p w14:paraId="0C719F3D">
      <w:pPr>
        <w:pStyle w:val="29"/>
        <w:numPr>
          <w:ilvl w:val="0"/>
          <w:numId w:val="6"/>
        </w:numPr>
        <w:rPr>
          <w:rFonts w:ascii="宋体" w:hAnsi="宋体" w:eastAsia="宋体" w:cs="宋体"/>
          <w:sz w:val="24"/>
          <w:szCs w:val="24"/>
        </w:rPr>
      </w:pPr>
      <w:r>
        <w:rPr>
          <w:rFonts w:hint="eastAsia" w:ascii="宋体" w:hAnsi="宋体" w:eastAsia="宋体" w:cs="宋体"/>
          <w:bCs/>
          <w:sz w:val="24"/>
        </w:rPr>
        <w:t>校</w:t>
      </w:r>
      <w:r>
        <w:rPr>
          <w:rFonts w:hint="eastAsia" w:ascii="宋体" w:hAnsi="宋体" w:eastAsia="宋体" w:cs="宋体"/>
          <w:sz w:val="24"/>
          <w:szCs w:val="24"/>
        </w:rPr>
        <w:t>准前向散射式能见度仪的测量范围也可以结合示值误差的最低校准点和最高校准点进行校准。</w:t>
      </w:r>
    </w:p>
    <w:p w14:paraId="7DF69217">
      <w:pPr>
        <w:ind w:firstLine="480" w:firstLineChars="200"/>
        <w:rPr>
          <w:rFonts w:ascii="宋体" w:hAnsi="宋体" w:eastAsia="宋体" w:cs="宋体"/>
          <w:sz w:val="24"/>
          <w:szCs w:val="24"/>
        </w:rPr>
      </w:pPr>
      <w:bookmarkStart w:id="2" w:name="_Toc185955647"/>
      <w:r>
        <w:rPr>
          <w:rFonts w:hint="eastAsia" w:ascii="宋体" w:hAnsi="宋体" w:eastAsia="宋体" w:cs="宋体"/>
          <w:sz w:val="24"/>
          <w:szCs w:val="24"/>
        </w:rPr>
        <w:t>示值误差校准</w:t>
      </w:r>
      <w:bookmarkEnd w:id="2"/>
    </w:p>
    <w:p w14:paraId="42BF7077">
      <w:pPr>
        <w:pStyle w:val="29"/>
        <w:numPr>
          <w:ilvl w:val="0"/>
          <w:numId w:val="7"/>
        </w:numPr>
        <w:rPr>
          <w:rFonts w:ascii="宋体" w:hAnsi="宋体" w:eastAsia="宋体" w:cs="宋体"/>
          <w:sz w:val="24"/>
          <w:szCs w:val="24"/>
        </w:rPr>
      </w:pPr>
      <w:r>
        <w:rPr>
          <w:rFonts w:hint="eastAsia" w:ascii="宋体" w:hAnsi="宋体" w:eastAsia="宋体" w:cs="宋体"/>
          <w:bCs/>
          <w:sz w:val="24"/>
        </w:rPr>
        <w:t>校</w:t>
      </w:r>
      <w:r>
        <w:rPr>
          <w:rFonts w:hint="eastAsia" w:ascii="宋体" w:hAnsi="宋体" w:eastAsia="宋体" w:cs="宋体"/>
          <w:sz w:val="24"/>
          <w:szCs w:val="24"/>
        </w:rPr>
        <w:t>准点选择50m、100m、200m、500m、1000m、2000m点。也可根据实际需要选择校准点。如果结合示值误差进行测量范围校准，则被校前向散射式能见度仪的测量下限和测量上限为必选校准点。</w:t>
      </w:r>
    </w:p>
    <w:p w14:paraId="78197C63">
      <w:pPr>
        <w:pStyle w:val="29"/>
        <w:numPr>
          <w:ilvl w:val="0"/>
          <w:numId w:val="7"/>
        </w:numPr>
        <w:rPr>
          <w:rFonts w:ascii="宋体" w:hAnsi="宋体" w:eastAsia="宋体" w:cs="宋体"/>
          <w:sz w:val="24"/>
          <w:szCs w:val="24"/>
        </w:rPr>
      </w:pPr>
      <w:r>
        <w:rPr>
          <w:rFonts w:hint="eastAsia" w:ascii="宋体" w:hAnsi="宋体" w:eastAsia="宋体" w:cs="宋体"/>
          <w:bCs/>
          <w:sz w:val="24"/>
        </w:rPr>
        <w:t>开</w:t>
      </w:r>
      <w:r>
        <w:rPr>
          <w:rFonts w:hint="eastAsia" w:ascii="宋体" w:hAnsi="宋体" w:eastAsia="宋体" w:cs="宋体"/>
          <w:sz w:val="24"/>
          <w:szCs w:val="24"/>
        </w:rPr>
        <w:t>启校准标准器，并使试验舱内能见度保持在10m以下（以校准标准器示值为准）。当被校前向散射式能见度仪输出示值稳定后，保持试验舱内空气样本自然沉降，实时连续采集测试标准器和被校前向散射式能见度仪输出示值。当试验舱内能见度升至所选校准点最高值30min后（以校准标准器示值为准），停止数据采集，完成示值误差校准。</w:t>
      </w:r>
    </w:p>
    <w:p w14:paraId="5EF08AF4">
      <w:pPr>
        <w:pStyle w:val="29"/>
        <w:numPr>
          <w:ilvl w:val="0"/>
          <w:numId w:val="7"/>
        </w:numPr>
        <w:rPr>
          <w:rFonts w:ascii="宋体" w:hAnsi="宋体" w:eastAsia="宋体" w:cs="宋体"/>
          <w:sz w:val="24"/>
          <w:szCs w:val="24"/>
        </w:rPr>
      </w:pPr>
      <w:r>
        <w:rPr>
          <w:rFonts w:hint="eastAsia" w:ascii="宋体" w:hAnsi="宋体" w:eastAsia="宋体" w:cs="宋体"/>
          <w:bCs/>
          <w:sz w:val="24"/>
        </w:rPr>
        <w:t>当</w:t>
      </w:r>
      <w:r>
        <w:rPr>
          <w:rFonts w:hint="eastAsia" w:ascii="宋体" w:hAnsi="宋体" w:eastAsia="宋体" w:cs="宋体"/>
          <w:sz w:val="24"/>
          <w:szCs w:val="24"/>
        </w:rPr>
        <w:t>能见度不大于500m时，被校前向散射式能见度仪的示值误差以绝对误差表示；当能见度大于500m时，被校前向散射式能见度仪的示值误差以相对误差表示。</w:t>
      </w:r>
    </w:p>
    <w:p w14:paraId="6939F852">
      <w:pPr>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（八）数据处理</w:t>
      </w:r>
    </w:p>
    <w:p w14:paraId="04C456D7">
      <w:pPr>
        <w:ind w:firstLine="480" w:firstLineChars="200"/>
        <w:rPr>
          <w:rFonts w:ascii="Times New Roman" w:hAnsi="Times New Roman" w:eastAsia="宋体" w:cs="Times New Roman"/>
          <w:sz w:val="24"/>
          <w:szCs w:val="24"/>
        </w:rPr>
      </w:pPr>
      <w:bookmarkStart w:id="3" w:name="_Toc185955656"/>
      <w:r>
        <w:rPr>
          <w:rFonts w:hint="eastAsia" w:ascii="Times New Roman" w:hAnsi="Times New Roman" w:eastAsia="宋体" w:cs="Times New Roman"/>
          <w:sz w:val="24"/>
          <w:szCs w:val="24"/>
        </w:rPr>
        <w:t>计算被校前向散射式能见度仪示值误差时,在各校准点附近连续选取不少于6组标准器和对应时间点被校前向散射式能见度仪输出示值。</w:t>
      </w:r>
      <w:bookmarkEnd w:id="3"/>
    </w:p>
    <w:p w14:paraId="0EAB33BD">
      <w:pPr>
        <w:ind w:firstLine="480" w:firstLineChars="200"/>
        <w:rPr>
          <w:rFonts w:ascii="Times New Roman" w:hAnsi="Times New Roman" w:eastAsia="宋体" w:cs="Times New Roman"/>
          <w:sz w:val="24"/>
          <w:szCs w:val="24"/>
        </w:rPr>
      </w:pPr>
      <w:bookmarkStart w:id="4" w:name="_Toc185955657"/>
      <w:r>
        <w:rPr>
          <w:rFonts w:hint="eastAsia" w:ascii="Times New Roman" w:hAnsi="Times New Roman" w:eastAsia="宋体" w:cs="Times New Roman"/>
          <w:sz w:val="24"/>
          <w:szCs w:val="24"/>
        </w:rPr>
        <w:t>校准标准器示值选区范围：</w:t>
      </w:r>
      <w:bookmarkEnd w:id="4"/>
    </w:p>
    <w:p w14:paraId="6409907B">
      <w:pPr>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校准点小于等于500m时，校准点±50m；</w:t>
      </w:r>
    </w:p>
    <w:p w14:paraId="41B890DB">
      <w:pPr>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校准点大于500m时，校准点±10%×校准点。</w:t>
      </w:r>
    </w:p>
    <w:p w14:paraId="717C1894">
      <w:pPr>
        <w:ind w:firstLine="480" w:firstLineChars="200"/>
        <w:rPr>
          <w:rFonts w:ascii="Times New Roman" w:hAnsi="Times New Roman" w:eastAsia="宋体" w:cs="Times New Roman"/>
          <w:sz w:val="24"/>
          <w:szCs w:val="24"/>
        </w:rPr>
      </w:pPr>
      <w:bookmarkStart w:id="5" w:name="_Toc185955658"/>
      <w:r>
        <w:rPr>
          <w:rFonts w:hint="eastAsia" w:ascii="Times New Roman" w:hAnsi="Times New Roman" w:eastAsia="宋体" w:cs="Times New Roman"/>
          <w:sz w:val="24"/>
          <w:szCs w:val="24"/>
        </w:rPr>
        <w:t>分别计算标准器和被校前向散射式能见度仪在各校准点的示值平均值，计算公式如公式（1）所示。</w:t>
      </w:r>
      <w:bookmarkEnd w:id="5"/>
    </w:p>
    <w:p w14:paraId="14C9AB4B">
      <w:pPr>
        <w:spacing w:line="480" w:lineRule="auto"/>
        <w:ind w:firstLine="2940" w:firstLineChars="1400"/>
        <w:jc w:val="center"/>
        <w:rPr>
          <w:rFonts w:ascii="宋体" w:hAnsi="宋体" w:eastAsia="宋体" w:cs="宋体"/>
        </w:rPr>
      </w:pPr>
      <m:oMath>
        <m:bar>
          <m:barPr>
            <m:pos m:val="top"/>
            <m:ctrlPr>
              <w:rPr>
                <w:rFonts w:hint="eastAsia" w:ascii="Cambria Math" w:hAnsi="Cambria Math" w:eastAsia="宋体" w:cs="宋体"/>
                <w:i/>
              </w:rPr>
            </m:ctrlPr>
          </m:barPr>
          <m:e>
            <m:r>
              <m:rPr/>
              <w:rPr>
                <w:rFonts w:hint="eastAsia" w:ascii="Cambria Math" w:hAnsi="Cambria Math" w:eastAsia="宋体" w:cs="宋体"/>
              </w:rPr>
              <m:t>L</m:t>
            </m:r>
            <m:ctrlPr>
              <w:rPr>
                <w:rFonts w:hint="eastAsia" w:ascii="Cambria Math" w:hAnsi="Cambria Math" w:eastAsia="宋体" w:cs="宋体"/>
                <w:i/>
              </w:rPr>
            </m:ctrlPr>
          </m:e>
        </m:bar>
        <m:r>
          <m:rPr/>
          <w:rPr>
            <w:rFonts w:hint="eastAsia" w:ascii="Cambria Math" w:hAnsi="Cambria Math" w:eastAsia="宋体" w:cs="宋体"/>
          </w:rPr>
          <m:t>=</m:t>
        </m:r>
        <m:f>
          <m:fPr>
            <m:ctrlPr>
              <w:rPr>
                <w:rFonts w:hint="eastAsia" w:ascii="Cambria Math" w:hAnsi="Cambria Math" w:eastAsia="宋体" w:cs="宋体"/>
                <w:i/>
              </w:rPr>
            </m:ctrlPr>
          </m:fPr>
          <m:num>
            <m:r>
              <m:rPr/>
              <w:rPr>
                <w:rFonts w:hint="eastAsia" w:ascii="Cambria Math" w:hAnsi="Cambria Math" w:eastAsia="宋体" w:cs="宋体"/>
              </w:rPr>
              <m:t>1</m:t>
            </m:r>
            <m:ctrlPr>
              <w:rPr>
                <w:rFonts w:hint="eastAsia" w:ascii="Cambria Math" w:hAnsi="Cambria Math" w:eastAsia="宋体" w:cs="宋体"/>
                <w:i/>
              </w:rPr>
            </m:ctrlPr>
          </m:num>
          <m:den>
            <m:r>
              <m:rPr/>
              <w:rPr>
                <w:rFonts w:hint="eastAsia" w:ascii="Cambria Math" w:hAnsi="Cambria Math" w:eastAsia="宋体" w:cs="宋体"/>
              </w:rPr>
              <m:t>n</m:t>
            </m:r>
            <m:ctrlPr>
              <w:rPr>
                <w:rFonts w:hint="eastAsia" w:ascii="Cambria Math" w:hAnsi="Cambria Math" w:eastAsia="宋体" w:cs="宋体"/>
                <w:i/>
              </w:rPr>
            </m:ctrlPr>
          </m:den>
        </m:f>
        <m:nary>
          <m:naryPr>
            <m:chr m:val="∑"/>
            <m:limLoc m:val="undOvr"/>
            <m:ctrlPr>
              <w:rPr>
                <w:rFonts w:hint="eastAsia" w:ascii="Cambria Math" w:hAnsi="Cambria Math" w:eastAsia="宋体" w:cs="宋体"/>
                <w:i/>
              </w:rPr>
            </m:ctrlPr>
          </m:naryPr>
          <m:sub>
            <m:r>
              <m:rPr/>
              <w:rPr>
                <w:rFonts w:hint="eastAsia" w:ascii="Cambria Math" w:hAnsi="Cambria Math" w:eastAsia="宋体" w:cs="宋体"/>
              </w:rPr>
              <m:t>i=1</m:t>
            </m:r>
            <m:ctrlPr>
              <w:rPr>
                <w:rFonts w:hint="eastAsia" w:ascii="Cambria Math" w:hAnsi="Cambria Math" w:eastAsia="宋体" w:cs="宋体"/>
                <w:i/>
              </w:rPr>
            </m:ctrlPr>
          </m:sub>
          <m:sup>
            <m:r>
              <m:rPr/>
              <w:rPr>
                <w:rFonts w:hint="eastAsia" w:ascii="Cambria Math" w:hAnsi="Cambria Math" w:eastAsia="宋体" w:cs="宋体"/>
              </w:rPr>
              <m:t>n</m:t>
            </m:r>
            <m:ctrlPr>
              <w:rPr>
                <w:rFonts w:hint="eastAsia" w:ascii="Cambria Math" w:hAnsi="Cambria Math" w:eastAsia="宋体" w:cs="宋体"/>
                <w:i/>
              </w:rPr>
            </m:ctrlPr>
          </m:sup>
          <m:e>
            <m:sSub>
              <m:sSubPr>
                <m:ctrlPr>
                  <w:rPr>
                    <w:rFonts w:hint="eastAsia" w:ascii="Cambria Math" w:hAnsi="Cambria Math" w:eastAsia="宋体" w:cs="宋体"/>
                    <w:i/>
                  </w:rPr>
                </m:ctrlPr>
              </m:sSubPr>
              <m:e>
                <m:r>
                  <m:rPr/>
                  <w:rPr>
                    <w:rFonts w:hint="eastAsia" w:ascii="Cambria Math" w:hAnsi="Cambria Math" w:eastAsia="宋体" w:cs="宋体"/>
                  </w:rPr>
                  <m:t>L</m:t>
                </m:r>
                <m:ctrlPr>
                  <w:rPr>
                    <w:rFonts w:hint="eastAsia" w:ascii="Cambria Math" w:hAnsi="Cambria Math" w:eastAsia="宋体" w:cs="宋体"/>
                    <w:i/>
                  </w:rPr>
                </m:ctrlPr>
              </m:e>
              <m:sub>
                <m:r>
                  <m:rPr/>
                  <w:rPr>
                    <w:rFonts w:hint="eastAsia" w:ascii="Cambria Math" w:hAnsi="Cambria Math" w:eastAsia="宋体" w:cs="宋体"/>
                  </w:rPr>
                  <m:t>i</m:t>
                </m:r>
                <m:ctrlPr>
                  <w:rPr>
                    <w:rFonts w:hint="eastAsia" w:ascii="Cambria Math" w:hAnsi="Cambria Math" w:eastAsia="宋体" w:cs="宋体"/>
                    <w:i/>
                  </w:rPr>
                </m:ctrlPr>
              </m:sub>
            </m:sSub>
            <m:ctrlPr>
              <w:rPr>
                <w:rFonts w:hint="eastAsia" w:ascii="Cambria Math" w:hAnsi="Cambria Math" w:eastAsia="宋体" w:cs="宋体"/>
                <w:i/>
              </w:rPr>
            </m:ctrlPr>
          </m:e>
        </m:nary>
      </m:oMath>
      <w:r>
        <w:rPr>
          <w:rFonts w:hint="eastAsia" w:ascii="宋体" w:hAnsi="宋体" w:eastAsia="宋体" w:cs="宋体"/>
        </w:rPr>
        <w:t xml:space="preserve">                    （1）</w:t>
      </w:r>
    </w:p>
    <w:p w14:paraId="2CB877FA">
      <w:pPr>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式中：</w:t>
      </w:r>
    </w:p>
    <w:p w14:paraId="10D0723A">
      <w:pPr>
        <w:ind w:firstLine="480" w:firstLineChars="200"/>
        <w:rPr>
          <w:rFonts w:ascii="Times New Roman" w:hAnsi="Times New Roman" w:eastAsia="宋体" w:cs="Times New Roman"/>
          <w:sz w:val="24"/>
          <w:szCs w:val="24"/>
        </w:rPr>
      </w:pPr>
      <m:oMath>
        <m:bar>
          <m:barPr>
            <m:pos m:val="top"/>
            <m:ctrlPr>
              <w:rPr>
                <w:rFonts w:hint="eastAsia" w:ascii="Cambria Math" w:hAnsi="Cambria Math" w:eastAsia="宋体" w:cs="Times New Roman"/>
                <w:sz w:val="24"/>
                <w:szCs w:val="24"/>
              </w:rPr>
            </m:ctrlPr>
          </m:barPr>
          <m:e>
            <m:r>
              <m:rPr>
                <m:sty m:val="p"/>
              </m:rPr>
              <w:rPr>
                <w:rFonts w:hint="eastAsia" w:ascii="Times New Roman" w:hAnsi="Times New Roman" w:eastAsia="宋体" w:cs="Times New Roman"/>
                <w:sz w:val="24"/>
                <w:szCs w:val="24"/>
              </w:rPr>
              <m:t>L</m:t>
            </m:r>
            <m:ctrlPr>
              <w:rPr>
                <w:rFonts w:hint="eastAsia" w:ascii="Cambria Math" w:hAnsi="Cambria Math" w:eastAsia="宋体" w:cs="Times New Roman"/>
                <w:sz w:val="24"/>
                <w:szCs w:val="24"/>
              </w:rPr>
            </m:ctrlPr>
          </m:e>
        </m:bar>
      </m:oMath>
      <w:r>
        <w:rPr>
          <w:rFonts w:hint="eastAsia" w:ascii="Times New Roman" w:hAnsi="Times New Roman" w:eastAsia="宋体" w:cs="Times New Roman"/>
          <w:sz w:val="24"/>
          <w:szCs w:val="24"/>
        </w:rPr>
        <w:t>——能见度示值平均值，单位为米（m）。</w:t>
      </w:r>
    </w:p>
    <w:p w14:paraId="3E05646B">
      <w:pPr>
        <w:ind w:firstLine="480" w:firstLineChars="200"/>
        <w:rPr>
          <w:rFonts w:ascii="Times New Roman" w:hAnsi="Times New Roman" w:eastAsia="宋体" w:cs="Times New Roman"/>
          <w:sz w:val="24"/>
          <w:szCs w:val="24"/>
        </w:rPr>
      </w:pPr>
      <m:oMath>
        <m:sSub>
          <m:sSubPr>
            <m:ctrlPr>
              <w:rPr>
                <w:rFonts w:hint="eastAsia" w:ascii="Cambria Math" w:hAnsi="Cambria Math" w:eastAsia="宋体" w:cs="Times New Roman"/>
                <w:sz w:val="24"/>
                <w:szCs w:val="24"/>
              </w:rPr>
            </m:ctrlPr>
          </m:sSubPr>
          <m:e>
            <m:r>
              <m:rPr>
                <m:sty m:val="p"/>
              </m:rPr>
              <w:rPr>
                <w:rFonts w:hint="eastAsia" w:ascii="Times New Roman" w:hAnsi="Times New Roman" w:eastAsia="宋体" w:cs="Times New Roman"/>
                <w:sz w:val="24"/>
                <w:szCs w:val="24"/>
              </w:rPr>
              <m:t>L</m:t>
            </m:r>
            <m:ctrlPr>
              <w:rPr>
                <w:rFonts w:hint="eastAsia" w:ascii="Cambria Math" w:hAnsi="Cambria Math" w:eastAsia="宋体" w:cs="Times New Roman"/>
                <w:sz w:val="24"/>
                <w:szCs w:val="24"/>
              </w:rPr>
            </m:ctrlPr>
          </m:e>
          <m:sub>
            <m:r>
              <m:rPr>
                <m:sty m:val="p"/>
              </m:rPr>
              <w:rPr>
                <w:rFonts w:hint="eastAsia" w:ascii="Times New Roman" w:hAnsi="Times New Roman" w:eastAsia="宋体" w:cs="Times New Roman"/>
                <w:sz w:val="24"/>
                <w:szCs w:val="24"/>
              </w:rPr>
              <m:t>i</m:t>
            </m:r>
            <m:ctrlPr>
              <w:rPr>
                <w:rFonts w:hint="eastAsia" w:ascii="Cambria Math" w:hAnsi="Cambria Math" w:eastAsia="宋体" w:cs="Times New Roman"/>
                <w:sz w:val="24"/>
                <w:szCs w:val="24"/>
              </w:rPr>
            </m:ctrlPr>
          </m:sub>
        </m:sSub>
      </m:oMath>
      <w:r>
        <w:rPr>
          <w:rFonts w:hint="eastAsia" w:ascii="Times New Roman" w:hAnsi="Times New Roman" w:eastAsia="宋体" w:cs="Times New Roman"/>
          <w:sz w:val="24"/>
          <w:szCs w:val="24"/>
        </w:rPr>
        <w:t>——第i个校准点的能见度示值，单位为米（m）。</w:t>
      </w:r>
    </w:p>
    <w:p w14:paraId="14F2A1E6">
      <w:pPr>
        <w:ind w:firstLine="480" w:firstLineChars="200"/>
        <w:rPr>
          <w:rFonts w:ascii="Times New Roman" w:hAnsi="Times New Roman" w:eastAsia="宋体" w:cs="Times New Roman"/>
          <w:sz w:val="24"/>
          <w:szCs w:val="24"/>
        </w:rPr>
      </w:pPr>
      <m:oMath>
        <m:r>
          <m:rPr>
            <m:sty m:val="p"/>
          </m:rPr>
          <w:rPr>
            <w:rFonts w:hint="eastAsia" w:ascii="Times New Roman" w:hAnsi="Times New Roman" w:eastAsia="宋体" w:cs="Times New Roman"/>
            <w:sz w:val="24"/>
            <w:szCs w:val="24"/>
          </w:rPr>
          <m:t>n</m:t>
        </m:r>
      </m:oMath>
      <w:r>
        <w:rPr>
          <w:rFonts w:hint="eastAsia" w:ascii="Times New Roman" w:hAnsi="Times New Roman" w:eastAsia="宋体" w:cs="Times New Roman"/>
          <w:sz w:val="24"/>
          <w:szCs w:val="24"/>
        </w:rPr>
        <w:t>——选取的数据组数。</w:t>
      </w:r>
    </w:p>
    <w:p w14:paraId="44A39D2D">
      <w:pPr>
        <w:ind w:firstLine="480" w:firstLineChars="200"/>
        <w:rPr>
          <w:rFonts w:ascii="Times New Roman" w:hAnsi="Times New Roman" w:eastAsia="宋体" w:cs="Times New Roman"/>
          <w:sz w:val="24"/>
          <w:szCs w:val="24"/>
        </w:rPr>
      </w:pPr>
      <w:bookmarkStart w:id="6" w:name="_Toc185955659"/>
      <w:r>
        <w:rPr>
          <w:rFonts w:hint="eastAsia" w:ascii="Times New Roman" w:hAnsi="Times New Roman" w:eastAsia="宋体" w:cs="Times New Roman"/>
          <w:sz w:val="24"/>
          <w:szCs w:val="24"/>
        </w:rPr>
        <w:t>当能见度不大于500m时,由公式(2)计算被校前向散射式能见度仪的示值绝对误差</w:t>
      </w:r>
      <w:bookmarkEnd w:id="6"/>
    </w:p>
    <w:p w14:paraId="6CAA0682">
      <w:pPr>
        <w:spacing w:line="480" w:lineRule="auto"/>
        <w:ind w:firstLine="2940" w:firstLineChars="1400"/>
        <w:rPr>
          <w:rFonts w:ascii="宋体" w:hAnsi="宋体" w:eastAsia="宋体" w:cs="宋体"/>
        </w:rPr>
      </w:pPr>
      <m:oMath>
        <m:r>
          <m:rPr/>
          <w:rPr>
            <w:rFonts w:hint="eastAsia" w:ascii="Cambria Math" w:hAnsi="Cambria Math" w:eastAsia="宋体" w:cs="宋体"/>
          </w:rPr>
          <m:t>∆L=</m:t>
        </m:r>
        <m:sSup>
          <m:sSupPr>
            <m:ctrlPr>
              <w:rPr>
                <w:rFonts w:hint="eastAsia" w:ascii="Cambria Math" w:hAnsi="Cambria Math" w:eastAsia="宋体" w:cs="宋体"/>
                <w:i/>
              </w:rPr>
            </m:ctrlPr>
          </m:sSupPr>
          <m:e>
            <m:bar>
              <m:barPr>
                <m:pos m:val="top"/>
                <m:ctrlPr>
                  <w:rPr>
                    <w:rFonts w:hint="eastAsia" w:ascii="Cambria Math" w:hAnsi="Cambria Math" w:eastAsia="宋体" w:cs="宋体"/>
                    <w:i/>
                  </w:rPr>
                </m:ctrlPr>
              </m:barPr>
              <m:e>
                <m:r>
                  <m:rPr/>
                  <w:rPr>
                    <w:rFonts w:hint="eastAsia" w:ascii="Cambria Math" w:hAnsi="Cambria Math" w:eastAsia="宋体" w:cs="宋体"/>
                  </w:rPr>
                  <m:t>L</m:t>
                </m:r>
                <m:ctrlPr>
                  <w:rPr>
                    <w:rFonts w:hint="eastAsia" w:ascii="Cambria Math" w:hAnsi="Cambria Math" w:eastAsia="宋体" w:cs="宋体"/>
                    <w:i/>
                  </w:rPr>
                </m:ctrlPr>
              </m:e>
            </m:bar>
            <m:ctrlPr>
              <w:rPr>
                <w:rFonts w:hint="eastAsia" w:ascii="Cambria Math" w:hAnsi="Cambria Math" w:eastAsia="宋体" w:cs="宋体"/>
                <w:i/>
              </w:rPr>
            </m:ctrlPr>
          </m:e>
          <m:sup>
            <m:r>
              <m:rPr/>
              <w:rPr>
                <w:rFonts w:hint="eastAsia" w:ascii="Cambria Math" w:hAnsi="Cambria Math" w:eastAsia="宋体" w:cs="宋体"/>
              </w:rPr>
              <m:t>'</m:t>
            </m:r>
            <m:ctrlPr>
              <w:rPr>
                <w:rFonts w:hint="eastAsia" w:ascii="Cambria Math" w:hAnsi="Cambria Math" w:eastAsia="宋体" w:cs="宋体"/>
                <w:i/>
              </w:rPr>
            </m:ctrlPr>
          </m:sup>
        </m:sSup>
        <m:r>
          <m:rPr/>
          <w:rPr>
            <w:rFonts w:hint="eastAsia" w:ascii="Cambria Math" w:hAnsi="Cambria Math" w:eastAsia="宋体" w:cs="宋体"/>
          </w:rPr>
          <m:t>−</m:t>
        </m:r>
        <m:bar>
          <m:barPr>
            <m:pos m:val="top"/>
            <m:ctrlPr>
              <w:rPr>
                <w:rFonts w:hint="eastAsia" w:ascii="Cambria Math" w:hAnsi="Cambria Math" w:eastAsia="宋体" w:cs="宋体"/>
                <w:i/>
              </w:rPr>
            </m:ctrlPr>
          </m:barPr>
          <m:e>
            <m:sSub>
              <m:sSubPr>
                <m:ctrlPr>
                  <w:rPr>
                    <w:rFonts w:hint="eastAsia" w:ascii="Cambria Math" w:hAnsi="Cambria Math" w:eastAsia="宋体" w:cs="宋体"/>
                    <w:i/>
                  </w:rPr>
                </m:ctrlPr>
              </m:sSubPr>
              <m:e>
                <m:r>
                  <m:rPr/>
                  <w:rPr>
                    <w:rFonts w:hint="eastAsia" w:ascii="Cambria Math" w:hAnsi="Cambria Math" w:eastAsia="宋体" w:cs="宋体"/>
                  </w:rPr>
                  <m:t>L</m:t>
                </m:r>
                <m:ctrlPr>
                  <w:rPr>
                    <w:rFonts w:hint="eastAsia" w:ascii="Cambria Math" w:hAnsi="Cambria Math" w:eastAsia="宋体" w:cs="宋体"/>
                    <w:i/>
                  </w:rPr>
                </m:ctrlPr>
              </m:e>
              <m:sub>
                <m:r>
                  <m:rPr/>
                  <w:rPr>
                    <w:rFonts w:hint="eastAsia" w:ascii="Cambria Math" w:hAnsi="Cambria Math" w:eastAsia="宋体" w:cs="宋体"/>
                  </w:rPr>
                  <m:t>0</m:t>
                </m:r>
                <m:ctrlPr>
                  <w:rPr>
                    <w:rFonts w:hint="eastAsia" w:ascii="Cambria Math" w:hAnsi="Cambria Math" w:eastAsia="宋体" w:cs="宋体"/>
                    <w:i/>
                  </w:rPr>
                </m:ctrlPr>
              </m:sub>
            </m:sSub>
            <m:ctrlPr>
              <w:rPr>
                <w:rFonts w:hint="eastAsia" w:ascii="Cambria Math" w:hAnsi="Cambria Math" w:eastAsia="宋体" w:cs="宋体"/>
                <w:i/>
              </w:rPr>
            </m:ctrlPr>
          </m:e>
        </m:bar>
      </m:oMath>
      <w:r>
        <w:rPr>
          <w:rFonts w:hint="eastAsia" w:ascii="宋体" w:hAnsi="宋体" w:eastAsia="宋体" w:cs="宋体"/>
        </w:rPr>
        <w:t xml:space="preserve">                       （2）</w:t>
      </w:r>
    </w:p>
    <w:p w14:paraId="51C8AB4D">
      <w:pPr>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式中：</w:t>
      </w:r>
    </w:p>
    <w:p w14:paraId="1A608F67">
      <w:pPr>
        <w:ind w:firstLine="480" w:firstLineChars="200"/>
        <w:rPr>
          <w:rFonts w:ascii="Times New Roman" w:hAnsi="Times New Roman" w:eastAsia="宋体" w:cs="Times New Roman"/>
          <w:sz w:val="24"/>
          <w:szCs w:val="24"/>
        </w:rPr>
      </w:pPr>
      <m:oMath>
        <m:r>
          <m:rPr>
            <m:sty m:val="p"/>
          </m:rPr>
          <w:rPr>
            <w:rFonts w:hint="eastAsia" w:ascii="Times New Roman" w:hAnsi="Times New Roman" w:eastAsia="宋体" w:cs="Times New Roman"/>
            <w:sz w:val="24"/>
            <w:szCs w:val="24"/>
          </w:rPr>
          <m:t>∆L</m:t>
        </m:r>
      </m:oMath>
      <w:r>
        <w:rPr>
          <w:rFonts w:hint="eastAsia" w:ascii="Times New Roman" w:hAnsi="Times New Roman" w:eastAsia="宋体" w:cs="Times New Roman"/>
          <w:sz w:val="24"/>
          <w:szCs w:val="24"/>
        </w:rPr>
        <w:t>——示值绝对误差，单位为米（m）。</w:t>
      </w:r>
    </w:p>
    <w:p w14:paraId="056A2183">
      <w:pPr>
        <w:ind w:firstLine="480" w:firstLineChars="200"/>
        <w:rPr>
          <w:rFonts w:ascii="Times New Roman" w:hAnsi="Times New Roman" w:eastAsia="宋体" w:cs="Times New Roman"/>
          <w:sz w:val="24"/>
          <w:szCs w:val="24"/>
        </w:rPr>
      </w:pPr>
      <m:oMath>
        <m:sSup>
          <m:sSupPr>
            <m:ctrlPr>
              <w:rPr>
                <w:rFonts w:hint="eastAsia" w:ascii="Cambria Math" w:hAnsi="Cambria Math" w:eastAsia="宋体" w:cs="Times New Roman"/>
                <w:sz w:val="24"/>
                <w:szCs w:val="24"/>
              </w:rPr>
            </m:ctrlPr>
          </m:sSupPr>
          <m:e>
            <m:bar>
              <m:barPr>
                <m:pos m:val="top"/>
                <m:ctrlPr>
                  <w:rPr>
                    <w:rFonts w:hint="eastAsia" w:ascii="Cambria Math" w:hAnsi="Cambria Math" w:eastAsia="宋体" w:cs="Times New Roman"/>
                    <w:sz w:val="24"/>
                    <w:szCs w:val="24"/>
                  </w:rPr>
                </m:ctrlPr>
              </m:barPr>
              <m:e>
                <m:r>
                  <m:rPr>
                    <m:sty m:val="p"/>
                  </m:rPr>
                  <w:rPr>
                    <w:rFonts w:hint="eastAsia" w:ascii="Times New Roman" w:hAnsi="Times New Roman" w:eastAsia="宋体" w:cs="Times New Roman"/>
                    <w:sz w:val="24"/>
                    <w:szCs w:val="24"/>
                  </w:rPr>
                  <m:t>L</m:t>
                </m:r>
                <m:ctrlPr>
                  <w:rPr>
                    <w:rFonts w:hint="eastAsia" w:ascii="Cambria Math" w:hAnsi="Cambria Math" w:eastAsia="宋体" w:cs="Times New Roman"/>
                    <w:sz w:val="24"/>
                    <w:szCs w:val="24"/>
                  </w:rPr>
                </m:ctrlPr>
              </m:e>
            </m:bar>
            <m:ctrlPr>
              <w:rPr>
                <w:rFonts w:hint="eastAsia" w:ascii="Cambria Math" w:hAnsi="Cambria Math" w:eastAsia="宋体" w:cs="Times New Roman"/>
                <w:sz w:val="24"/>
                <w:szCs w:val="24"/>
              </w:rPr>
            </m:ctrlPr>
          </m:e>
          <m:sup>
            <m:r>
              <m:rPr>
                <m:sty m:val="p"/>
              </m:rPr>
              <w:rPr>
                <w:rFonts w:hint="eastAsia" w:ascii="Times New Roman" w:hAnsi="Times New Roman" w:eastAsia="宋体" w:cs="Times New Roman"/>
                <w:sz w:val="24"/>
                <w:szCs w:val="24"/>
              </w:rPr>
              <m:t>'</m:t>
            </m:r>
            <m:ctrlPr>
              <w:rPr>
                <w:rFonts w:hint="eastAsia" w:ascii="Cambria Math" w:hAnsi="Cambria Math" w:eastAsia="宋体" w:cs="Times New Roman"/>
                <w:sz w:val="24"/>
                <w:szCs w:val="24"/>
              </w:rPr>
            </m:ctrlPr>
          </m:sup>
        </m:sSup>
      </m:oMath>
      <w:r>
        <w:rPr>
          <w:rFonts w:hint="eastAsia" w:ascii="Times New Roman" w:hAnsi="Times New Roman" w:eastAsia="宋体" w:cs="Times New Roman"/>
          <w:sz w:val="24"/>
          <w:szCs w:val="24"/>
        </w:rPr>
        <w:t>——被校前向散射式能见度仪示值均值，单位为米（m）。</w:t>
      </w:r>
    </w:p>
    <w:p w14:paraId="53944FD1">
      <w:pPr>
        <w:ind w:firstLine="480" w:firstLineChars="200"/>
        <w:rPr>
          <w:rFonts w:ascii="Times New Roman" w:hAnsi="Times New Roman" w:eastAsia="宋体" w:cs="Times New Roman"/>
          <w:sz w:val="24"/>
          <w:szCs w:val="24"/>
        </w:rPr>
      </w:pPr>
      <m:oMath>
        <m:bar>
          <m:barPr>
            <m:pos m:val="top"/>
            <m:ctrlPr>
              <w:rPr>
                <w:rFonts w:hint="eastAsia" w:ascii="Cambria Math" w:hAnsi="Cambria Math" w:eastAsia="宋体" w:cs="Times New Roman"/>
                <w:sz w:val="24"/>
                <w:szCs w:val="24"/>
              </w:rPr>
            </m:ctrlPr>
          </m:barPr>
          <m:e>
            <m:sSub>
              <m:sSubPr>
                <m:ctrlPr>
                  <w:rPr>
                    <w:rFonts w:hint="eastAsia" w:ascii="Cambria Math" w:hAnsi="Cambria Math" w:eastAsia="宋体" w:cs="Times New Roman"/>
                    <w:sz w:val="24"/>
                    <w:szCs w:val="24"/>
                  </w:rPr>
                </m:ctrlPr>
              </m:sSubPr>
              <m:e>
                <m:r>
                  <m:rPr>
                    <m:sty m:val="p"/>
                  </m:rPr>
                  <w:rPr>
                    <w:rFonts w:hint="eastAsia" w:ascii="Times New Roman" w:hAnsi="Times New Roman" w:eastAsia="宋体" w:cs="Times New Roman"/>
                    <w:sz w:val="24"/>
                    <w:szCs w:val="24"/>
                  </w:rPr>
                  <m:t>L</m:t>
                </m:r>
                <m:ctrlPr>
                  <w:rPr>
                    <w:rFonts w:hint="eastAsia" w:ascii="Cambria Math" w:hAnsi="Cambria Math" w:eastAsia="宋体" w:cs="Times New Roman"/>
                    <w:sz w:val="24"/>
                    <w:szCs w:val="24"/>
                  </w:rPr>
                </m:ctrlPr>
              </m:e>
              <m:sub>
                <m:r>
                  <m:rPr>
                    <m:sty m:val="p"/>
                  </m:rPr>
                  <w:rPr>
                    <w:rFonts w:hint="eastAsia" w:ascii="Times New Roman" w:hAnsi="Times New Roman" w:eastAsia="宋体" w:cs="Times New Roman"/>
                    <w:sz w:val="24"/>
                    <w:szCs w:val="24"/>
                  </w:rPr>
                  <m:t>0</m:t>
                </m:r>
                <m:ctrlPr>
                  <w:rPr>
                    <w:rFonts w:hint="eastAsia" w:ascii="Cambria Math" w:hAnsi="Cambria Math" w:eastAsia="宋体" w:cs="Times New Roman"/>
                    <w:sz w:val="24"/>
                    <w:szCs w:val="24"/>
                  </w:rPr>
                </m:ctrlPr>
              </m:sub>
            </m:sSub>
            <m:ctrlPr>
              <w:rPr>
                <w:rFonts w:hint="eastAsia" w:ascii="Cambria Math" w:hAnsi="Cambria Math" w:eastAsia="宋体" w:cs="Times New Roman"/>
                <w:sz w:val="24"/>
                <w:szCs w:val="24"/>
              </w:rPr>
            </m:ctrlPr>
          </m:e>
        </m:bar>
      </m:oMath>
      <w:r>
        <w:rPr>
          <w:rFonts w:hint="eastAsia" w:ascii="Times New Roman" w:hAnsi="Times New Roman" w:eastAsia="宋体" w:cs="Times New Roman"/>
          <w:sz w:val="24"/>
          <w:szCs w:val="24"/>
        </w:rPr>
        <w:t xml:space="preserve"> ——标准器示值均值，单位为米（m）。</w:t>
      </w:r>
    </w:p>
    <w:p w14:paraId="7DE756FB">
      <w:pPr>
        <w:ind w:firstLine="480" w:firstLineChars="200"/>
        <w:rPr>
          <w:rFonts w:ascii="Times New Roman" w:hAnsi="Times New Roman" w:eastAsia="宋体" w:cs="Times New Roman"/>
          <w:sz w:val="24"/>
          <w:szCs w:val="24"/>
        </w:rPr>
      </w:pPr>
      <w:bookmarkStart w:id="7" w:name="_Toc185955660"/>
      <w:bookmarkEnd w:id="7"/>
      <w:bookmarkStart w:id="8" w:name="_Toc185955661"/>
      <w:r>
        <w:rPr>
          <w:rFonts w:hint="eastAsia" w:ascii="Times New Roman" w:hAnsi="Times New Roman" w:eastAsia="宋体" w:cs="Times New Roman"/>
          <w:sz w:val="24"/>
          <w:szCs w:val="24"/>
        </w:rPr>
        <w:t>当能见度大于500m时,由公式(2)计算被校前向散射式能见度仪的示值相对误差</w:t>
      </w:r>
      <w:bookmarkEnd w:id="8"/>
    </w:p>
    <w:p w14:paraId="3D1A0F31">
      <w:pPr>
        <w:ind w:firstLine="480" w:firstLineChars="200"/>
        <w:jc w:val="center"/>
        <w:rPr>
          <w:rFonts w:ascii="Times New Roman" w:hAnsi="Times New Roman" w:eastAsia="宋体" w:cs="Times New Roman"/>
          <w:sz w:val="24"/>
          <w:szCs w:val="24"/>
        </w:rPr>
      </w:pPr>
      <m:oMath>
        <m:r>
          <m:rPr>
            <m:sty m:val="p"/>
          </m:rPr>
          <w:rPr>
            <w:rFonts w:hint="eastAsia" w:ascii="Times New Roman" w:hAnsi="Times New Roman" w:eastAsia="宋体" w:cs="Times New Roman"/>
            <w:sz w:val="24"/>
            <w:szCs w:val="24"/>
          </w:rPr>
          <m:t>M=</m:t>
        </m:r>
        <m:f>
          <m:fPr>
            <m:ctrlPr>
              <w:rPr>
                <w:rFonts w:hint="eastAsia" w:ascii="Cambria Math" w:hAnsi="Cambria Math" w:eastAsia="宋体" w:cs="Times New Roman"/>
                <w:sz w:val="24"/>
                <w:szCs w:val="24"/>
              </w:rPr>
            </m:ctrlPr>
          </m:fPr>
          <m:num>
            <m:sSup>
              <m:sSupPr>
                <m:ctrlPr>
                  <w:rPr>
                    <w:rFonts w:hint="eastAsia" w:ascii="Cambria Math" w:hAnsi="Cambria Math" w:eastAsia="宋体" w:cs="Times New Roman"/>
                    <w:sz w:val="24"/>
                    <w:szCs w:val="24"/>
                  </w:rPr>
                </m:ctrlPr>
              </m:sSupPr>
              <m:e>
                <m:bar>
                  <m:barPr>
                    <m:pos m:val="top"/>
                    <m:ctrlPr>
                      <w:rPr>
                        <w:rFonts w:hint="eastAsia" w:ascii="Cambria Math" w:hAnsi="Cambria Math" w:eastAsia="宋体" w:cs="Times New Roman"/>
                        <w:sz w:val="24"/>
                        <w:szCs w:val="24"/>
                      </w:rPr>
                    </m:ctrlPr>
                  </m:barPr>
                  <m:e>
                    <m:r>
                      <m:rPr>
                        <m:sty m:val="p"/>
                      </m:rPr>
                      <w:rPr>
                        <w:rFonts w:hint="eastAsia" w:ascii="Times New Roman" w:hAnsi="Times New Roman" w:eastAsia="宋体" w:cs="Times New Roman"/>
                        <w:sz w:val="24"/>
                        <w:szCs w:val="24"/>
                      </w:rPr>
                      <m:t>L</m:t>
                    </m:r>
                    <m:ctrlPr>
                      <w:rPr>
                        <w:rFonts w:hint="eastAsia" w:ascii="Cambria Math" w:hAnsi="Cambria Math" w:eastAsia="宋体" w:cs="Times New Roman"/>
                        <w:sz w:val="24"/>
                        <w:szCs w:val="24"/>
                      </w:rPr>
                    </m:ctrlPr>
                  </m:e>
                </m:bar>
                <m:ctrlPr>
                  <w:rPr>
                    <w:rFonts w:hint="eastAsia" w:ascii="Cambria Math" w:hAnsi="Cambria Math" w:eastAsia="宋体" w:cs="Times New Roman"/>
                    <w:sz w:val="24"/>
                    <w:szCs w:val="24"/>
                  </w:rPr>
                </m:ctrlPr>
              </m:e>
              <m:sup>
                <m:r>
                  <m:rPr>
                    <m:sty m:val="p"/>
                  </m:rPr>
                  <w:rPr>
                    <w:rFonts w:hint="eastAsia" w:ascii="Times New Roman" w:hAnsi="Times New Roman" w:eastAsia="宋体" w:cs="Times New Roman"/>
                    <w:sz w:val="24"/>
                    <w:szCs w:val="24"/>
                  </w:rPr>
                  <m:t>'</m:t>
                </m:r>
                <m:ctrlPr>
                  <w:rPr>
                    <w:rFonts w:hint="eastAsia" w:ascii="Cambria Math" w:hAnsi="Cambria Math" w:eastAsia="宋体" w:cs="Times New Roman"/>
                    <w:sz w:val="24"/>
                    <w:szCs w:val="24"/>
                  </w:rPr>
                </m:ctrlPr>
              </m:sup>
            </m:sSup>
            <m:r>
              <m:rPr>
                <m:sty m:val="p"/>
              </m:rPr>
              <w:rPr>
                <w:rFonts w:hint="eastAsia" w:ascii="Times New Roman" w:hAnsi="Times New Roman" w:eastAsia="宋体" w:cs="Times New Roman"/>
                <w:sz w:val="24"/>
                <w:szCs w:val="24"/>
              </w:rPr>
              <m:t>−</m:t>
            </m:r>
            <m:bar>
              <m:barPr>
                <m:pos m:val="top"/>
                <m:ctrlPr>
                  <w:rPr>
                    <w:rFonts w:hint="eastAsia" w:ascii="Cambria Math" w:hAnsi="Cambria Math" w:eastAsia="宋体" w:cs="Times New Roman"/>
                    <w:sz w:val="24"/>
                    <w:szCs w:val="24"/>
                  </w:rPr>
                </m:ctrlPr>
              </m:barPr>
              <m:e>
                <m:sSub>
                  <m:sSubPr>
                    <m:ctrlPr>
                      <w:rPr>
                        <w:rFonts w:hint="eastAsia" w:ascii="Cambria Math" w:hAnsi="Cambria Math" w:eastAsia="宋体" w:cs="Times New Roman"/>
                        <w:sz w:val="24"/>
                        <w:szCs w:val="24"/>
                      </w:rPr>
                    </m:ctrlPr>
                  </m:sSubPr>
                  <m:e>
                    <m:r>
                      <m:rPr>
                        <m:sty m:val="p"/>
                      </m:rPr>
                      <w:rPr>
                        <w:rFonts w:hint="eastAsia" w:ascii="Times New Roman" w:hAnsi="Times New Roman" w:eastAsia="宋体" w:cs="Times New Roman"/>
                        <w:sz w:val="24"/>
                        <w:szCs w:val="24"/>
                      </w:rPr>
                      <m:t>L</m:t>
                    </m:r>
                    <m:ctrlPr>
                      <w:rPr>
                        <w:rFonts w:hint="eastAsia" w:ascii="Cambria Math" w:hAnsi="Cambria Math" w:eastAsia="宋体" w:cs="Times New Roman"/>
                        <w:sz w:val="24"/>
                        <w:szCs w:val="24"/>
                      </w:rPr>
                    </m:ctrlPr>
                  </m:e>
                  <m:sub>
                    <m:r>
                      <m:rPr>
                        <m:sty m:val="p"/>
                      </m:rPr>
                      <w:rPr>
                        <w:rFonts w:hint="eastAsia" w:ascii="Times New Roman" w:hAnsi="Times New Roman" w:eastAsia="宋体" w:cs="Times New Roman"/>
                        <w:sz w:val="24"/>
                        <w:szCs w:val="24"/>
                      </w:rPr>
                      <m:t>0</m:t>
                    </m:r>
                    <m:ctrlPr>
                      <w:rPr>
                        <w:rFonts w:hint="eastAsia" w:ascii="Cambria Math" w:hAnsi="Cambria Math" w:eastAsia="宋体" w:cs="Times New Roman"/>
                        <w:sz w:val="24"/>
                        <w:szCs w:val="24"/>
                      </w:rPr>
                    </m:ctrlPr>
                  </m:sub>
                </m:sSub>
                <m:ctrlPr>
                  <w:rPr>
                    <w:rFonts w:hint="eastAsia" w:ascii="Cambria Math" w:hAnsi="Cambria Math" w:eastAsia="宋体" w:cs="Times New Roman"/>
                    <w:sz w:val="24"/>
                    <w:szCs w:val="24"/>
                  </w:rPr>
                </m:ctrlPr>
              </m:e>
            </m:bar>
            <m:ctrlPr>
              <w:rPr>
                <w:rFonts w:hint="eastAsia" w:ascii="Cambria Math" w:hAnsi="Cambria Math" w:eastAsia="宋体" w:cs="Times New Roman"/>
                <w:sz w:val="24"/>
                <w:szCs w:val="24"/>
              </w:rPr>
            </m:ctrlPr>
          </m:num>
          <m:den>
            <m:bar>
              <m:barPr>
                <m:pos m:val="top"/>
                <m:ctrlPr>
                  <w:rPr>
                    <w:rFonts w:hint="eastAsia" w:ascii="Cambria Math" w:hAnsi="Cambria Math" w:eastAsia="宋体" w:cs="Times New Roman"/>
                    <w:sz w:val="24"/>
                    <w:szCs w:val="24"/>
                  </w:rPr>
                </m:ctrlPr>
              </m:barPr>
              <m:e>
                <m:sSub>
                  <m:sSubPr>
                    <m:ctrlPr>
                      <w:rPr>
                        <w:rFonts w:hint="eastAsia" w:ascii="Cambria Math" w:hAnsi="Cambria Math" w:eastAsia="宋体" w:cs="Times New Roman"/>
                        <w:sz w:val="24"/>
                        <w:szCs w:val="24"/>
                      </w:rPr>
                    </m:ctrlPr>
                  </m:sSubPr>
                  <m:e>
                    <m:r>
                      <m:rPr>
                        <m:sty m:val="p"/>
                      </m:rPr>
                      <w:rPr>
                        <w:rFonts w:hint="eastAsia" w:ascii="Times New Roman" w:hAnsi="Times New Roman" w:eastAsia="宋体" w:cs="Times New Roman"/>
                        <w:sz w:val="24"/>
                        <w:szCs w:val="24"/>
                      </w:rPr>
                      <m:t>L</m:t>
                    </m:r>
                    <m:ctrlPr>
                      <w:rPr>
                        <w:rFonts w:hint="eastAsia" w:ascii="Cambria Math" w:hAnsi="Cambria Math" w:eastAsia="宋体" w:cs="Times New Roman"/>
                        <w:sz w:val="24"/>
                        <w:szCs w:val="24"/>
                      </w:rPr>
                    </m:ctrlPr>
                  </m:e>
                  <m:sub>
                    <m:r>
                      <m:rPr>
                        <m:sty m:val="p"/>
                      </m:rPr>
                      <w:rPr>
                        <w:rFonts w:hint="eastAsia" w:ascii="Times New Roman" w:hAnsi="Times New Roman" w:eastAsia="宋体" w:cs="Times New Roman"/>
                        <w:sz w:val="24"/>
                        <w:szCs w:val="24"/>
                      </w:rPr>
                      <m:t>0</m:t>
                    </m:r>
                    <m:ctrlPr>
                      <w:rPr>
                        <w:rFonts w:hint="eastAsia" w:ascii="Cambria Math" w:hAnsi="Cambria Math" w:eastAsia="宋体" w:cs="Times New Roman"/>
                        <w:sz w:val="24"/>
                        <w:szCs w:val="24"/>
                      </w:rPr>
                    </m:ctrlPr>
                  </m:sub>
                </m:sSub>
                <m:ctrlPr>
                  <w:rPr>
                    <w:rFonts w:hint="eastAsia" w:ascii="Cambria Math" w:hAnsi="Cambria Math" w:eastAsia="宋体" w:cs="Times New Roman"/>
                    <w:sz w:val="24"/>
                    <w:szCs w:val="24"/>
                  </w:rPr>
                </m:ctrlPr>
              </m:e>
            </m:bar>
            <m:ctrlPr>
              <w:rPr>
                <w:rFonts w:hint="eastAsia" w:ascii="Cambria Math" w:hAnsi="Cambria Math" w:eastAsia="宋体" w:cs="Times New Roman"/>
                <w:sz w:val="24"/>
                <w:szCs w:val="24"/>
              </w:rPr>
            </m:ctrlPr>
          </m:den>
        </m:f>
        <m:r>
          <m:rPr>
            <m:sty m:val="p"/>
          </m:rPr>
          <w:rPr>
            <w:rFonts w:hint="eastAsia" w:ascii="Times New Roman" w:hAnsi="Times New Roman" w:eastAsia="宋体" w:cs="Times New Roman"/>
            <w:sz w:val="24"/>
            <w:szCs w:val="24"/>
          </w:rPr>
          <m:t>×100%</m:t>
        </m:r>
      </m:oMath>
      <w:r>
        <w:rPr>
          <w:rFonts w:hint="eastAsia" w:ascii="Times New Roman" w:hAnsi="Times New Roman" w:eastAsia="宋体" w:cs="Times New Roman"/>
          <w:sz w:val="24"/>
          <w:szCs w:val="24"/>
        </w:rPr>
        <w:t xml:space="preserve">                  （3）</w:t>
      </w:r>
    </w:p>
    <w:p w14:paraId="3A1A447D">
      <w:pPr>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式中：</w:t>
      </w:r>
    </w:p>
    <w:p w14:paraId="38E27E3F">
      <w:pPr>
        <w:ind w:firstLine="480" w:firstLineChars="200"/>
        <w:rPr>
          <w:rFonts w:ascii="Times New Roman" w:hAnsi="Times New Roman" w:eastAsia="宋体" w:cs="Times New Roman"/>
          <w:sz w:val="24"/>
          <w:szCs w:val="24"/>
        </w:rPr>
      </w:pPr>
      <m:oMath>
        <m:r>
          <m:rPr>
            <m:sty m:val="p"/>
          </m:rPr>
          <w:rPr>
            <w:rFonts w:hint="eastAsia" w:ascii="Times New Roman" w:hAnsi="Times New Roman" w:eastAsia="宋体" w:cs="Times New Roman"/>
            <w:sz w:val="24"/>
            <w:szCs w:val="24"/>
          </w:rPr>
          <m:t>M</m:t>
        </m:r>
      </m:oMath>
      <w:r>
        <w:rPr>
          <w:rFonts w:hint="eastAsia" w:ascii="Times New Roman" w:hAnsi="Times New Roman" w:eastAsia="宋体" w:cs="Times New Roman"/>
          <w:sz w:val="24"/>
          <w:szCs w:val="24"/>
        </w:rPr>
        <w:t>——示值相对误差，以百分数表示（%）。</w:t>
      </w:r>
    </w:p>
    <w:p w14:paraId="7EE3AE58">
      <w:pPr>
        <w:numPr>
          <w:ilvl w:val="0"/>
          <w:numId w:val="8"/>
        </w:numPr>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校准报告</w:t>
      </w:r>
    </w:p>
    <w:p w14:paraId="3290A9C5">
      <w:pPr>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校准结果应在校准证书上反映。校准证书至少应包括以下信息：</w:t>
      </w:r>
    </w:p>
    <w:p w14:paraId="72CDCC0C">
      <w:pPr>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a) 标题“校准证书”；</w:t>
      </w:r>
    </w:p>
    <w:p w14:paraId="5C19CE43">
      <w:pPr>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b) 实验室名称和地址；</w:t>
      </w:r>
    </w:p>
    <w:p w14:paraId="650ABB60">
      <w:pPr>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c) 进行校准的地点；</w:t>
      </w:r>
    </w:p>
    <w:p w14:paraId="67C34650">
      <w:pPr>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d) 证书的唯一性标识，每页及总页数的标识； </w:t>
      </w:r>
    </w:p>
    <w:p w14:paraId="496D4F3E">
      <w:pPr>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e) 客户的名称和地址；</w:t>
      </w:r>
    </w:p>
    <w:p w14:paraId="0185D1BF">
      <w:pPr>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f) 被校对象的描述和明确标识；</w:t>
      </w:r>
    </w:p>
    <w:p w14:paraId="05CC4629">
      <w:pPr>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g) 进行校准的日期，如果与校准结果的有效性和应用有关时，应说明被校对象的接收日期；</w:t>
      </w:r>
    </w:p>
    <w:p w14:paraId="08AC4819">
      <w:pPr>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h) 如果与校准结果的有效性应用有关时，应对被校样品的抽样程序进行说明；</w:t>
      </w:r>
    </w:p>
    <w:p w14:paraId="5456A4B4">
      <w:pPr>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i) 校准所依据的技术规范的标识，包括名称及代号；</w:t>
      </w:r>
    </w:p>
    <w:p w14:paraId="1AF9821D">
      <w:pPr>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j) 本次校准所用测量标准的溯源性及有效性说明；</w:t>
      </w:r>
    </w:p>
    <w:p w14:paraId="71014DBA">
      <w:pPr>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k) 校准环境的描述； </w:t>
      </w:r>
    </w:p>
    <w:p w14:paraId="5A0FC571">
      <w:pPr>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l) 校准结果及其测量不确定度的说明； </w:t>
      </w:r>
    </w:p>
    <w:p w14:paraId="2A16570B">
      <w:pPr>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m) 对校准规范的偏离的说明；</w:t>
      </w:r>
    </w:p>
    <w:p w14:paraId="3616166A">
      <w:pPr>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n)校准证书或校准报告签发人的签名、职务或等效标识； </w:t>
      </w:r>
    </w:p>
    <w:p w14:paraId="0866BD0C">
      <w:pPr>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o)校准结果仅对被校对象有效性的声明； </w:t>
      </w:r>
    </w:p>
    <w:p w14:paraId="5C6DDA59">
      <w:pPr>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p)未经实验室书面批准，不得部分复制证书的声明。</w:t>
      </w:r>
    </w:p>
    <w:p w14:paraId="259104CF">
      <w:pPr>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（十）复校时间间隔</w:t>
      </w:r>
    </w:p>
    <w:p w14:paraId="47724540">
      <w:pPr>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本规范不强制规定复校周期，建议使用单位根据使用环境、仪器稳定性、数据精度要求自主确定，常规场景建议每</w:t>
      </w:r>
      <w:r>
        <w:rPr>
          <w:rFonts w:hint="eastAsia" w:ascii="Times New Roman" w:hAnsi="Times New Roman" w:eastAsia="宋体" w:cs="Times New Roman"/>
          <w:sz w:val="24"/>
          <w:szCs w:val="24"/>
        </w:rPr>
        <w:t>2</w:t>
      </w:r>
      <w:r>
        <w:rPr>
          <w:rFonts w:ascii="Times New Roman" w:hAnsi="Times New Roman" w:eastAsia="宋体" w:cs="Times New Roman"/>
          <w:sz w:val="24"/>
          <w:szCs w:val="24"/>
        </w:rPr>
        <w:t>年至少校准 1 次；仪器维修、更换关键部件或受异常环境影响后，应及时校准。</w:t>
      </w:r>
    </w:p>
    <w:p w14:paraId="05D7901B">
      <w:pPr>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（十一）附录</w:t>
      </w:r>
    </w:p>
    <w:p w14:paraId="39C005D8">
      <w:pPr>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设置附录包含：校准记录参考格式、校准证书参考格式、测量不确定度评定示例。</w:t>
      </w:r>
    </w:p>
    <w:p w14:paraId="16AD057D">
      <w:pPr>
        <w:rPr>
          <w:rFonts w:ascii="Times New Roman" w:hAnsi="Times New Roman" w:eastAsia="宋体" w:cs="Times New Roman"/>
          <w:sz w:val="24"/>
          <w:szCs w:val="24"/>
        </w:rPr>
      </w:pPr>
      <w:r>
        <w:rPr>
          <w:rFonts w:ascii="黑体" w:hAnsi="黑体" w:eastAsia="黑体" w:cs="Times New Roman"/>
          <w:sz w:val="24"/>
          <w:szCs w:val="24"/>
        </w:rPr>
        <w:t>七、其他需要说明事项</w:t>
      </w:r>
    </w:p>
    <w:p w14:paraId="687A167A">
      <w:pPr>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本规范与前向散射式能见度仪产品标准、测试方法互补，实验室校准保障</w:t>
      </w:r>
      <w:r>
        <w:rPr>
          <w:rFonts w:hint="eastAsia" w:ascii="Times New Roman" w:hAnsi="Times New Roman" w:eastAsia="宋体" w:cs="Times New Roman"/>
          <w:sz w:val="24"/>
          <w:szCs w:val="24"/>
        </w:rPr>
        <w:t>规范性和校准</w:t>
      </w:r>
      <w:r>
        <w:rPr>
          <w:rFonts w:ascii="Times New Roman" w:hAnsi="Times New Roman" w:eastAsia="宋体" w:cs="Times New Roman"/>
          <w:sz w:val="24"/>
          <w:szCs w:val="24"/>
        </w:rPr>
        <w:t>精度，</w:t>
      </w:r>
      <w:r>
        <w:rPr>
          <w:rFonts w:hint="eastAsia" w:ascii="Times New Roman" w:hAnsi="Times New Roman" w:eastAsia="宋体" w:cs="Times New Roman"/>
          <w:sz w:val="24"/>
          <w:szCs w:val="24"/>
        </w:rPr>
        <w:t>确保</w:t>
      </w:r>
      <w:r>
        <w:rPr>
          <w:rFonts w:ascii="Times New Roman" w:hAnsi="Times New Roman" w:eastAsia="宋体" w:cs="Times New Roman"/>
          <w:sz w:val="24"/>
          <w:szCs w:val="24"/>
        </w:rPr>
        <w:t>观测数据准确。</w:t>
      </w:r>
    </w:p>
    <w:p w14:paraId="29ACC960">
      <w:pPr>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校准采用标准透射仪 + 模拟试验舱组合，量值溯源链完整；校准点覆盖低、中、高能见度典型区间，适配我国多数区域观测场景。</w:t>
      </w:r>
    </w:p>
    <w:p w14:paraId="3F31D915">
      <w:pPr>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本规范兼顾气象、民航、公路等多行业需求，技术指标科学、方法可行，可直接用于全国各级计量技术机构与使用单位开展校准工作。</w:t>
      </w:r>
    </w:p>
    <w:p w14:paraId="3ED42807">
      <w:pPr>
        <w:ind w:firstLine="480" w:firstLineChars="200"/>
        <w:rPr>
          <w:rFonts w:ascii="Times New Roman" w:hAnsi="Times New Roman" w:eastAsia="宋体" w:cs="Times New Roman"/>
          <w:sz w:val="24"/>
          <w:szCs w:val="24"/>
        </w:rPr>
      </w:pPr>
    </w:p>
    <w:p w14:paraId="7A79EB77">
      <w:pPr>
        <w:ind w:firstLine="480" w:firstLineChars="200"/>
        <w:rPr>
          <w:rFonts w:ascii="Times New Roman" w:hAnsi="Times New Roman" w:eastAsia="宋体" w:cs="Times New Roman"/>
          <w:sz w:val="24"/>
          <w:szCs w:val="24"/>
        </w:rPr>
      </w:pPr>
    </w:p>
    <w:p w14:paraId="7661DECE">
      <w:pPr>
        <w:ind w:firstLine="480" w:firstLineChars="200"/>
        <w:jc w:val="right"/>
        <w:rPr>
          <w:rFonts w:ascii="Times New Roman" w:hAnsi="Times New Roman" w:eastAsia="宋体" w:cs="Times New Roman"/>
          <w:sz w:val="24"/>
          <w:szCs w:val="24"/>
        </w:rPr>
      </w:pPr>
      <w:r>
        <w:rPr>
          <w:rFonts w:ascii="Times New Roman" w:hAnsi="Times New Roman" w:eastAsia="宋体" w:cs="Times New Roman"/>
          <w:sz w:val="24"/>
          <w:szCs w:val="24"/>
        </w:rPr>
        <w:t>《前向散射式能见度仪校准规范》起草小组</w:t>
      </w:r>
    </w:p>
    <w:p w14:paraId="23AD7F6C">
      <w:pPr>
        <w:ind w:firstLine="480" w:firstLineChars="200"/>
        <w:jc w:val="right"/>
        <w:rPr>
          <w:rFonts w:ascii="Times New Roman" w:hAnsi="Times New Roman" w:eastAsia="宋体" w:cs="Times New Roman"/>
          <w:sz w:val="24"/>
          <w:szCs w:val="24"/>
        </w:rPr>
      </w:pPr>
      <w:r>
        <w:rPr>
          <w:rFonts w:ascii="Times New Roman" w:hAnsi="Times New Roman" w:eastAsia="宋体" w:cs="Times New Roman"/>
          <w:sz w:val="24"/>
          <w:szCs w:val="24"/>
        </w:rPr>
        <w:t>202</w:t>
      </w:r>
      <w:r>
        <w:rPr>
          <w:rFonts w:hint="eastAsia" w:ascii="Times New Roman" w:hAnsi="Times New Roman" w:eastAsia="宋体" w:cs="Times New Roman"/>
          <w:sz w:val="24"/>
          <w:szCs w:val="24"/>
        </w:rPr>
        <w:t>6</w:t>
      </w:r>
      <w:r>
        <w:rPr>
          <w:rFonts w:ascii="Times New Roman" w:hAnsi="Times New Roman" w:eastAsia="宋体" w:cs="Times New Roman"/>
          <w:sz w:val="24"/>
          <w:szCs w:val="24"/>
        </w:rPr>
        <w:t xml:space="preserve"> 年 </w:t>
      </w:r>
      <w:r>
        <w:rPr>
          <w:rFonts w:hint="eastAsia" w:ascii="Times New Roman" w:hAnsi="Times New Roman" w:eastAsia="宋体" w:cs="Times New Roman"/>
          <w:sz w:val="24"/>
          <w:szCs w:val="24"/>
        </w:rPr>
        <w:t>6</w:t>
      </w:r>
      <w:r>
        <w:rPr>
          <w:rFonts w:ascii="Times New Roman" w:hAnsi="Times New Roman" w:eastAsia="宋体" w:cs="Times New Roman"/>
          <w:sz w:val="24"/>
          <w:szCs w:val="24"/>
        </w:rPr>
        <w:t xml:space="preserve"> 月</w:t>
      </w:r>
    </w:p>
    <w:p w14:paraId="02768024">
      <w:pPr>
        <w:ind w:firstLine="420" w:firstLineChars="200"/>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6FF" w:usb1="420024FF" w:usb2="02000000" w:usb3="00000000" w:csb0="2000019F" w:csb1="00000000"/>
  </w:font>
  <w:font w:name="Arial">
    <w:panose1 w:val="020B0604020202020204"/>
    <w:charset w:val="00"/>
    <w:family w:val="auto"/>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452D06"/>
    <w:multiLevelType w:val="multilevel"/>
    <w:tmpl w:val="0A452D06"/>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2A193C17"/>
    <w:multiLevelType w:val="multilevel"/>
    <w:tmpl w:val="2A193C17"/>
    <w:lvl w:ilvl="0" w:tentative="0">
      <w:start w:val="1"/>
      <w:numFmt w:val="decimal"/>
      <w:suff w:val="space"/>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
    <w:nsid w:val="421F5B4F"/>
    <w:multiLevelType w:val="multilevel"/>
    <w:tmpl w:val="421F5B4F"/>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43A19EF3"/>
    <w:multiLevelType w:val="singleLevel"/>
    <w:tmpl w:val="43A19EF3"/>
    <w:lvl w:ilvl="0" w:tentative="0">
      <w:start w:val="9"/>
      <w:numFmt w:val="chineseCounting"/>
      <w:suff w:val="nothing"/>
      <w:lvlText w:val="（%1）"/>
      <w:lvlJc w:val="left"/>
      <w:rPr>
        <w:rFonts w:hint="eastAsia"/>
      </w:rPr>
    </w:lvl>
  </w:abstractNum>
  <w:abstractNum w:abstractNumId="4">
    <w:nsid w:val="46A72C4D"/>
    <w:multiLevelType w:val="multilevel"/>
    <w:tmpl w:val="46A72C4D"/>
    <w:lvl w:ilvl="0" w:tentative="0">
      <w:start w:val="1"/>
      <w:numFmt w:val="decimal"/>
      <w:suff w:val="space"/>
      <w:lvlText w:val="(%1)"/>
      <w:lvlJc w:val="left"/>
      <w:pPr>
        <w:ind w:left="420" w:hanging="420"/>
      </w:pPr>
      <w:rPr>
        <w:rFonts w:hint="default" w:ascii="宋体" w:hAnsi="宋体" w:eastAsia="宋体" w:cs="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A8793B0"/>
    <w:multiLevelType w:val="singleLevel"/>
    <w:tmpl w:val="4A8793B0"/>
    <w:lvl w:ilvl="0" w:tentative="0">
      <w:start w:val="5"/>
      <w:numFmt w:val="chineseCounting"/>
      <w:suff w:val="nothing"/>
      <w:lvlText w:val="（%1）"/>
      <w:lvlJc w:val="left"/>
      <w:rPr>
        <w:rFonts w:hint="eastAsia"/>
      </w:rPr>
    </w:lvl>
  </w:abstractNum>
  <w:abstractNum w:abstractNumId="6">
    <w:nsid w:val="4E316998"/>
    <w:multiLevelType w:val="multilevel"/>
    <w:tmpl w:val="4E316998"/>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7C505413"/>
    <w:multiLevelType w:val="multilevel"/>
    <w:tmpl w:val="7C505413"/>
    <w:lvl w:ilvl="0" w:tentative="0">
      <w:start w:val="1"/>
      <w:numFmt w:val="decimal"/>
      <w:suff w:val="space"/>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6"/>
  </w:num>
  <w:num w:numId="2">
    <w:abstractNumId w:val="2"/>
  </w:num>
  <w:num w:numId="3">
    <w:abstractNumId w:val="5"/>
  </w:num>
  <w:num w:numId="4">
    <w:abstractNumId w:val="0"/>
  </w:num>
  <w:num w:numId="5">
    <w:abstractNumId w:val="4"/>
  </w:num>
  <w:num w:numId="6">
    <w:abstractNumId w:val="7"/>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81F"/>
    <w:rsid w:val="002046B5"/>
    <w:rsid w:val="004D05CB"/>
    <w:rsid w:val="005C7E71"/>
    <w:rsid w:val="007A681F"/>
    <w:rsid w:val="007B6624"/>
    <w:rsid w:val="008006DB"/>
    <w:rsid w:val="00957F50"/>
    <w:rsid w:val="00B76532"/>
    <w:rsid w:val="00C54EAB"/>
    <w:rsid w:val="00CA3ABA"/>
    <w:rsid w:val="00D3716D"/>
    <w:rsid w:val="00DF17C9"/>
    <w:rsid w:val="00F23694"/>
    <w:rsid w:val="00F453E6"/>
    <w:rsid w:val="38760C67"/>
    <w:rsid w:val="41D751ED"/>
    <w:rsid w:val="610A676B"/>
    <w:rsid w:val="70727BF9"/>
    <w:rsid w:val="77E918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6"/>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7"/>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18"/>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19"/>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0"/>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1"/>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2"/>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3"/>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4"/>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5">
    <w:name w:val="Default Paragraph Font"/>
    <w:semiHidden/>
    <w:unhideWhenUsed/>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11">
    <w:name w:val="Subtitle"/>
    <w:basedOn w:val="1"/>
    <w:next w:val="1"/>
    <w:link w:val="26"/>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2">
    <w:name w:val="Title"/>
    <w:basedOn w:val="1"/>
    <w:next w:val="1"/>
    <w:link w:val="25"/>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标题 1 字符"/>
    <w:basedOn w:val="15"/>
    <w:link w:val="2"/>
    <w:qFormat/>
    <w:uiPriority w:val="9"/>
    <w:rPr>
      <w:rFonts w:asciiTheme="majorHAnsi" w:hAnsiTheme="majorHAnsi" w:eastAsiaTheme="majorEastAsia" w:cstheme="majorBidi"/>
      <w:color w:val="104862" w:themeColor="accent1" w:themeShade="BF"/>
      <w:sz w:val="48"/>
      <w:szCs w:val="48"/>
    </w:rPr>
  </w:style>
  <w:style w:type="character" w:customStyle="1" w:styleId="17">
    <w:name w:val="标题 2 字符"/>
    <w:basedOn w:val="15"/>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18">
    <w:name w:val="标题 3 字符"/>
    <w:basedOn w:val="15"/>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19">
    <w:name w:val="标题 4 字符"/>
    <w:basedOn w:val="15"/>
    <w:link w:val="5"/>
    <w:semiHidden/>
    <w:qFormat/>
    <w:uiPriority w:val="9"/>
    <w:rPr>
      <w:rFonts w:cstheme="majorBidi"/>
      <w:color w:val="104862" w:themeColor="accent1" w:themeShade="BF"/>
      <w:sz w:val="28"/>
      <w:szCs w:val="28"/>
    </w:rPr>
  </w:style>
  <w:style w:type="character" w:customStyle="1" w:styleId="20">
    <w:name w:val="标题 5 字符"/>
    <w:basedOn w:val="15"/>
    <w:link w:val="6"/>
    <w:semiHidden/>
    <w:qFormat/>
    <w:uiPriority w:val="9"/>
    <w:rPr>
      <w:rFonts w:cstheme="majorBidi"/>
      <w:color w:val="104862" w:themeColor="accent1" w:themeShade="BF"/>
      <w:sz w:val="24"/>
      <w:szCs w:val="24"/>
    </w:rPr>
  </w:style>
  <w:style w:type="character" w:customStyle="1" w:styleId="21">
    <w:name w:val="标题 6 字符"/>
    <w:basedOn w:val="15"/>
    <w:link w:val="7"/>
    <w:semiHidden/>
    <w:qFormat/>
    <w:uiPriority w:val="9"/>
    <w:rPr>
      <w:rFonts w:cstheme="majorBidi"/>
      <w:b/>
      <w:bCs/>
      <w:color w:val="104862" w:themeColor="accent1" w:themeShade="BF"/>
    </w:rPr>
  </w:style>
  <w:style w:type="character" w:customStyle="1" w:styleId="22">
    <w:name w:val="标题 7 字符"/>
    <w:basedOn w:val="15"/>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3">
    <w:name w:val="标题 8 字符"/>
    <w:basedOn w:val="15"/>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4">
    <w:name w:val="标题 9 字符"/>
    <w:basedOn w:val="15"/>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5">
    <w:name w:val="标题 字符"/>
    <w:basedOn w:val="15"/>
    <w:link w:val="12"/>
    <w:qFormat/>
    <w:uiPriority w:val="10"/>
    <w:rPr>
      <w:rFonts w:asciiTheme="majorHAnsi" w:hAnsiTheme="majorHAnsi" w:eastAsiaTheme="majorEastAsia" w:cstheme="majorBidi"/>
      <w:spacing w:val="-10"/>
      <w:kern w:val="28"/>
      <w:sz w:val="56"/>
      <w:szCs w:val="56"/>
    </w:rPr>
  </w:style>
  <w:style w:type="character" w:customStyle="1" w:styleId="26">
    <w:name w:val="副标题 字符"/>
    <w:basedOn w:val="15"/>
    <w:link w:val="11"/>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7">
    <w:name w:val="Quote"/>
    <w:basedOn w:val="1"/>
    <w:next w:val="1"/>
    <w:link w:val="28"/>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28">
    <w:name w:val="引用 字符"/>
    <w:basedOn w:val="15"/>
    <w:link w:val="27"/>
    <w:qFormat/>
    <w:uiPriority w:val="29"/>
    <w:rPr>
      <w:i/>
      <w:iCs/>
      <w:color w:val="404040" w:themeColor="text1" w:themeTint="BF"/>
      <w14:textFill>
        <w14:solidFill>
          <w14:schemeClr w14:val="tx1">
            <w14:lumMod w14:val="75000"/>
            <w14:lumOff w14:val="25000"/>
          </w14:schemeClr>
        </w14:solidFill>
      </w14:textFill>
    </w:rPr>
  </w:style>
  <w:style w:type="paragraph" w:styleId="29">
    <w:name w:val="List Paragraph"/>
    <w:basedOn w:val="1"/>
    <w:qFormat/>
    <w:uiPriority w:val="34"/>
    <w:pPr>
      <w:ind w:left="720"/>
      <w:contextualSpacing/>
    </w:pPr>
  </w:style>
  <w:style w:type="character" w:customStyle="1" w:styleId="30">
    <w:name w:val="明显强调1"/>
    <w:basedOn w:val="15"/>
    <w:qFormat/>
    <w:uiPriority w:val="21"/>
    <w:rPr>
      <w:i/>
      <w:iCs/>
      <w:color w:val="104862" w:themeColor="accent1" w:themeShade="BF"/>
    </w:rPr>
  </w:style>
  <w:style w:type="paragraph" w:styleId="31">
    <w:name w:val="Intense Quote"/>
    <w:basedOn w:val="1"/>
    <w:next w:val="1"/>
    <w:link w:val="32"/>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2">
    <w:name w:val="明显引用 字符"/>
    <w:basedOn w:val="15"/>
    <w:link w:val="31"/>
    <w:qFormat/>
    <w:uiPriority w:val="30"/>
    <w:rPr>
      <w:i/>
      <w:iCs/>
      <w:color w:val="104862" w:themeColor="accent1" w:themeShade="BF"/>
    </w:rPr>
  </w:style>
  <w:style w:type="character" w:customStyle="1" w:styleId="33">
    <w:name w:val="明显参考1"/>
    <w:basedOn w:val="15"/>
    <w:qFormat/>
    <w:uiPriority w:val="32"/>
    <w:rPr>
      <w:b/>
      <w:bCs/>
      <w:smallCaps/>
      <w:color w:val="104862" w:themeColor="accent1" w:themeShade="BF"/>
      <w:spacing w:val="5"/>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3916</Words>
  <Characters>4232</Characters>
  <Lines>141</Lines>
  <Paragraphs>177</Paragraphs>
  <TotalTime>1</TotalTime>
  <ScaleCrop>false</ScaleCrop>
  <LinksUpToDate>false</LinksUpToDate>
  <CharactersWithSpaces>4358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2026-05-21T07:56:00Z</dcterms:created>
  <dc:creator>H XIAO</dc:creator>
  <cp:lastModifiedBy>李建英</cp:lastModifiedBy>
  <dcterms:modified xsi:type="dcterms:W3CDTF">2026-10-08T05:03:30Z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eyJoZGlkIjoiY2I1NjU1MjI3ZTE3MjVkZDFlNDY2ZTc2MWNkYWU3ZGIiLCJ1c2VySWQiOiI1OTA4NTQ2MzQifQ==</vt:lpwstr>
  </property>
  <property fmtid="{D5CDD505-2E9C-101B-9397-08002B2CF9AE}" pid="3" name="KSOProductBuildVer">
    <vt:lpwstr>2052-12.1.0.28505</vt:lpwstr>
  </property>
  <property fmtid="{D5CDD505-2E9C-101B-9397-08002B2CF9AE}" pid="4" name="ICV">
    <vt:lpwstr>5C37A7A0E43948B7A9814556F1490D07_12</vt:lpwstr>
  </property>
</Properties>
</file>