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1CA1C">
      <w:pPr>
        <w:widowControl/>
        <w:spacing w:line="360" w:lineRule="auto"/>
        <w:jc w:val="center"/>
        <w:rPr>
          <w:rFonts w:ascii="黑体" w:hAnsi="黑体" w:eastAsia="黑体" w:cs="黑体"/>
          <w:kern w:val="0"/>
          <w:sz w:val="28"/>
          <w:szCs w:val="28"/>
        </w:rPr>
      </w:pPr>
    </w:p>
    <w:p w14:paraId="00020DA4">
      <w:pPr>
        <w:widowControl/>
        <w:spacing w:line="360" w:lineRule="auto"/>
        <w:jc w:val="center"/>
        <w:rPr>
          <w:rFonts w:ascii="黑体" w:hAnsi="黑体" w:eastAsia="黑体" w:cs="黑体"/>
          <w:kern w:val="0"/>
          <w:sz w:val="28"/>
          <w:szCs w:val="28"/>
        </w:rPr>
      </w:pPr>
      <w:r>
        <w:rPr>
          <w:rFonts w:ascii="黑体" w:hAnsi="黑体" w:eastAsia="黑体" w:cs="黑体"/>
          <w:kern w:val="0"/>
          <w:sz w:val="28"/>
          <w:szCs w:val="28"/>
        </w:rPr>
        <w:t>前向散射式能见度仪不确定度</w:t>
      </w:r>
      <w:r>
        <w:rPr>
          <w:rFonts w:hint="eastAsia" w:ascii="黑体" w:hAnsi="黑体" w:eastAsia="黑体" w:cs="黑体"/>
          <w:kern w:val="0"/>
          <w:sz w:val="28"/>
          <w:szCs w:val="28"/>
        </w:rPr>
        <w:t>评定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分析报告</w:t>
      </w:r>
      <w:r>
        <w:rPr>
          <w:rFonts w:ascii="黑体" w:hAnsi="黑体" w:eastAsia="黑体" w:cs="黑体"/>
          <w:kern w:val="0"/>
          <w:sz w:val="28"/>
          <w:szCs w:val="28"/>
        </w:rPr>
        <w:t xml:space="preserve"> </w:t>
      </w:r>
    </w:p>
    <w:p w14:paraId="351D1002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1. 概述 </w:t>
      </w:r>
    </w:p>
    <w:p w14:paraId="36FBDB38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1.1 校准依据 </w:t>
      </w:r>
    </w:p>
    <w:p w14:paraId="7715B98C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Ansi="宋体"/>
          <w:sz w:val="24"/>
          <w:szCs w:val="24"/>
        </w:rPr>
        <w:t>依据 JJF 1059.1-2012《测量不确定度评定与表示》。</w:t>
      </w:r>
    </w:p>
    <w:p w14:paraId="177C37A2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1.2 校准用标准器和配套设备 </w:t>
      </w:r>
    </w:p>
    <w:p w14:paraId="136EFA6D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Ansi="宋体"/>
          <w:sz w:val="24"/>
          <w:szCs w:val="24"/>
        </w:rPr>
        <w:t>主要技术指标如下表：</w:t>
      </w:r>
    </w:p>
    <w:p w14:paraId="361223FD">
      <w:pPr>
        <w:pStyle w:val="38"/>
        <w:tabs>
          <w:tab w:val="left" w:pos="420"/>
        </w:tabs>
        <w:spacing w:line="360" w:lineRule="auto"/>
        <w:ind w:firstLine="0"/>
        <w:jc w:val="center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 xml:space="preserve">表 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1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测量标准器和配套设备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2537"/>
        <w:gridCol w:w="4213"/>
      </w:tblGrid>
      <w:tr w14:paraId="1599C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063" w:type="dxa"/>
          </w:tcPr>
          <w:p w14:paraId="2A0FA980">
            <w:pPr>
              <w:pStyle w:val="38"/>
              <w:tabs>
                <w:tab w:val="left" w:pos="420"/>
              </w:tabs>
              <w:spacing w:line="360" w:lineRule="auto"/>
              <w:ind w:firstLine="0"/>
              <w:rPr>
                <w:rFonts w:ascii="Times New Roman" w:eastAsiaTheme="minorEastAsia"/>
              </w:rPr>
            </w:pPr>
            <w:r>
              <w:rPr>
                <w:rFonts w:hint="eastAsia" w:ascii="Times New Roman" w:eastAsiaTheme="minorEastAsia"/>
              </w:rPr>
              <w:t>序号</w:t>
            </w:r>
          </w:p>
        </w:tc>
        <w:tc>
          <w:tcPr>
            <w:tcW w:w="2537" w:type="dxa"/>
          </w:tcPr>
          <w:p w14:paraId="35E65FC7">
            <w:pPr>
              <w:pStyle w:val="38"/>
              <w:tabs>
                <w:tab w:val="left" w:pos="420"/>
              </w:tabs>
              <w:spacing w:line="360" w:lineRule="auto"/>
              <w:ind w:firstLine="0"/>
              <w:rPr>
                <w:rFonts w:ascii="Times New Roman" w:eastAsiaTheme="minorEastAsia"/>
              </w:rPr>
            </w:pPr>
            <w:r>
              <w:rPr>
                <w:rFonts w:hint="eastAsia" w:ascii="Times New Roman" w:eastAsiaTheme="minorEastAsia"/>
              </w:rPr>
              <w:t>仪器名称</w:t>
            </w:r>
          </w:p>
        </w:tc>
        <w:tc>
          <w:tcPr>
            <w:tcW w:w="4213" w:type="dxa"/>
          </w:tcPr>
          <w:p w14:paraId="61F52BAF">
            <w:pPr>
              <w:pStyle w:val="38"/>
              <w:tabs>
                <w:tab w:val="left" w:pos="420"/>
              </w:tabs>
              <w:spacing w:line="360" w:lineRule="auto"/>
              <w:ind w:firstLine="0"/>
              <w:rPr>
                <w:rFonts w:ascii="Times New Roman" w:eastAsiaTheme="minorEastAsia"/>
              </w:rPr>
            </w:pPr>
            <w:r>
              <w:rPr>
                <w:rFonts w:hint="eastAsia" w:ascii="Times New Roman" w:eastAsiaTheme="minorEastAsia"/>
              </w:rPr>
              <w:t>主要技术指标</w:t>
            </w:r>
          </w:p>
        </w:tc>
      </w:tr>
      <w:tr w14:paraId="44B18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063" w:type="dxa"/>
          </w:tcPr>
          <w:p w14:paraId="46D9A199">
            <w:pPr>
              <w:pStyle w:val="38"/>
              <w:tabs>
                <w:tab w:val="left" w:pos="420"/>
              </w:tabs>
              <w:spacing w:line="360" w:lineRule="auto"/>
              <w:ind w:firstLine="0"/>
              <w:rPr>
                <w:rFonts w:ascii="Times New Roman" w:eastAsiaTheme="minorEastAsia"/>
              </w:rPr>
            </w:pPr>
            <w:r>
              <w:rPr>
                <w:rFonts w:hint="eastAsia" w:ascii="Times New Roman" w:eastAsiaTheme="minorEastAsia"/>
              </w:rPr>
              <w:t>1</w:t>
            </w:r>
          </w:p>
        </w:tc>
        <w:tc>
          <w:tcPr>
            <w:tcW w:w="2537" w:type="dxa"/>
          </w:tcPr>
          <w:p w14:paraId="26194DF0">
            <w:pPr>
              <w:pStyle w:val="38"/>
              <w:tabs>
                <w:tab w:val="left" w:pos="420"/>
              </w:tabs>
              <w:spacing w:line="360" w:lineRule="auto"/>
              <w:ind w:firstLine="0"/>
              <w:rPr>
                <w:rFonts w:ascii="Times New Roman" w:eastAsiaTheme="minorEastAsia"/>
              </w:rPr>
            </w:pPr>
            <w:r>
              <w:rPr>
                <w:rFonts w:hint="eastAsia" w:ascii="Times New Roman" w:eastAsiaTheme="minorEastAsia"/>
              </w:rPr>
              <w:t>透射仪</w:t>
            </w:r>
          </w:p>
        </w:tc>
        <w:tc>
          <w:tcPr>
            <w:tcW w:w="4213" w:type="dxa"/>
          </w:tcPr>
          <w:p w14:paraId="33CFC47C">
            <w:pPr>
              <w:pStyle w:val="38"/>
              <w:tabs>
                <w:tab w:val="left" w:pos="420"/>
              </w:tabs>
              <w:spacing w:line="360" w:lineRule="auto"/>
              <w:ind w:firstLine="0"/>
              <w:rPr>
                <w:rFonts w:ascii="Times New Roman" w:eastAsiaTheme="minorEastAsia"/>
              </w:rPr>
            </w:pPr>
            <w:bookmarkStart w:id="0" w:name="OLE_LINK3"/>
            <w:r>
              <w:rPr>
                <w:rFonts w:hint="eastAsia" w:ascii="Times New Roman" w:eastAsiaTheme="minorEastAsia"/>
              </w:rPr>
              <w:t>10</w:t>
            </w:r>
            <w:bookmarkEnd w:id="0"/>
            <w:r>
              <w:rPr>
                <w:rFonts w:hint="eastAsia" w:ascii="Times New Roman" w:eastAsiaTheme="minorEastAsia"/>
              </w:rPr>
              <w:t>m</w:t>
            </w:r>
            <w:r>
              <w:rPr>
                <w:rFonts w:ascii="Times New Roman" w:eastAsiaTheme="minorEastAsia"/>
              </w:rPr>
              <w:t>～</w:t>
            </w:r>
            <w:r>
              <w:rPr>
                <w:rFonts w:hint="eastAsia" w:ascii="Times New Roman" w:eastAsiaTheme="minorEastAsia"/>
              </w:rPr>
              <w:t>35000m</w:t>
            </w:r>
          </w:p>
        </w:tc>
      </w:tr>
      <w:tr w14:paraId="3F8C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063" w:type="dxa"/>
          </w:tcPr>
          <w:p w14:paraId="04E6E781">
            <w:pPr>
              <w:pStyle w:val="38"/>
              <w:tabs>
                <w:tab w:val="left" w:pos="420"/>
              </w:tabs>
              <w:spacing w:line="360" w:lineRule="auto"/>
              <w:ind w:firstLine="0"/>
              <w:rPr>
                <w:rFonts w:ascii="Times New Roman" w:eastAsiaTheme="minorEastAsia"/>
              </w:rPr>
            </w:pPr>
            <w:r>
              <w:rPr>
                <w:rFonts w:hint="eastAsia" w:ascii="Times New Roman" w:eastAsiaTheme="minorEastAsia"/>
              </w:rPr>
              <w:t>2</w:t>
            </w:r>
          </w:p>
        </w:tc>
        <w:tc>
          <w:tcPr>
            <w:tcW w:w="2537" w:type="dxa"/>
          </w:tcPr>
          <w:p w14:paraId="294BECAC">
            <w:pPr>
              <w:pStyle w:val="38"/>
              <w:tabs>
                <w:tab w:val="left" w:pos="420"/>
              </w:tabs>
              <w:spacing w:line="360" w:lineRule="auto"/>
              <w:ind w:firstLine="0"/>
              <w:rPr>
                <w:rFonts w:ascii="Times New Roman" w:eastAsiaTheme="minorEastAsia"/>
              </w:rPr>
            </w:pPr>
            <w:r>
              <w:rPr>
                <w:rFonts w:hint="eastAsia" w:ascii="Times New Roman" w:eastAsiaTheme="minorEastAsia"/>
              </w:rPr>
              <w:t>能见度实验舱</w:t>
            </w:r>
          </w:p>
        </w:tc>
        <w:tc>
          <w:tcPr>
            <w:tcW w:w="4213" w:type="dxa"/>
          </w:tcPr>
          <w:p w14:paraId="60C34DC9">
            <w:pPr>
              <w:pStyle w:val="38"/>
              <w:tabs>
                <w:tab w:val="left" w:pos="420"/>
              </w:tabs>
              <w:spacing w:line="360" w:lineRule="auto"/>
              <w:ind w:firstLine="0"/>
              <w:rPr>
                <w:rFonts w:ascii="Times New Roman" w:eastAsiaTheme="minorEastAsia"/>
              </w:rPr>
            </w:pPr>
            <w:r>
              <w:rPr>
                <w:rFonts w:ascii="Times New Roman"/>
              </w:rPr>
              <w:t>产生滴谱范围在10 um～30 um之间的暖云雾。</w:t>
            </w:r>
          </w:p>
        </w:tc>
      </w:tr>
    </w:tbl>
    <w:p w14:paraId="044177F4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1.3 校准方法</w:t>
      </w:r>
    </w:p>
    <w:p w14:paraId="5EA38436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Ansi="宋体"/>
          <w:sz w:val="24"/>
          <w:szCs w:val="24"/>
        </w:rPr>
        <w:t>将</w:t>
      </w:r>
      <w:r>
        <w:rPr>
          <w:rFonts w:hint="eastAsia" w:hAnsi="宋体"/>
          <w:sz w:val="24"/>
          <w:szCs w:val="24"/>
        </w:rPr>
        <w:t>前向散射式能见度</w:t>
      </w:r>
      <w:r>
        <w:rPr>
          <w:rFonts w:hAnsi="宋体"/>
          <w:sz w:val="24"/>
          <w:szCs w:val="24"/>
        </w:rPr>
        <w:t>仪与标准器安装在同一光路上（或同一采样区域），在模拟环境下，选取特定能见度点进行测量。对被校仪器重复测量</w:t>
      </w:r>
      <w:r>
        <w:rPr>
          <w:rFonts w:hint="eastAsia" w:hAnsi="宋体"/>
          <w:sz w:val="24"/>
          <w:szCs w:val="24"/>
        </w:rPr>
        <w:t>n</w:t>
      </w:r>
      <w:r>
        <w:rPr>
          <w:rFonts w:hAnsi="宋体"/>
          <w:sz w:val="24"/>
          <w:szCs w:val="24"/>
        </w:rPr>
        <w:t>次，取其平均值作为测量结果。</w:t>
      </w:r>
    </w:p>
    <w:p w14:paraId="4213EAC7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2. 测量模型 </w:t>
      </w:r>
    </w:p>
    <w:p w14:paraId="1122A1FF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Ansi="宋体"/>
          <w:sz w:val="24"/>
          <w:szCs w:val="24"/>
        </w:rPr>
        <w:t>能见度示值</w:t>
      </w:r>
      <w:r>
        <w:rPr>
          <w:rFonts w:hint="eastAsia" w:hAnsi="宋体"/>
          <w:sz w:val="24"/>
          <w:szCs w:val="24"/>
        </w:rPr>
        <w:t>绝对</w:t>
      </w:r>
      <w:r>
        <w:rPr>
          <w:rFonts w:hAnsi="宋体"/>
          <w:sz w:val="24"/>
          <w:szCs w:val="24"/>
        </w:rPr>
        <w:t>误差的数学模型如下：</w:t>
      </w:r>
    </w:p>
    <w:p w14:paraId="273B5190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i/>
          <w:iCs/>
          <w:sz w:val="24"/>
          <w:szCs w:val="24"/>
        </w:rPr>
      </w:pPr>
      <m:oMathPara>
        <m:oMath>
          <m:r>
            <m:rPr/>
            <w:rPr>
              <w:rFonts w:ascii="Cambria Math" w:hAnsi="Cambria Math" w:cs="Cambria Math"/>
              <w:sz w:val="24"/>
              <w:szCs w:val="24"/>
            </w:rPr>
            <m:t>∆</m:t>
          </m:r>
          <m:r>
            <m:rPr/>
            <w:rPr>
              <w:rFonts w:ascii="Cambria Math" w:hAnsi="Cambria Math"/>
              <w:sz w:val="24"/>
              <w:szCs w:val="24"/>
            </w:rPr>
            <m:t>L</m:t>
          </m:r>
          <m:r>
            <m:rPr/>
            <w:rPr>
              <w:rFonts w:hint="eastAsia" w:ascii="Cambria Math" w:hAnsi="Cambria Math"/>
              <w:sz w:val="24"/>
              <w:szCs w:val="24"/>
            </w:rPr>
            <m:t>=</m:t>
          </m:r>
          <m:acc>
            <m:accPr>
              <m:chr m:val="̅"/>
              <m:ctrlPr>
                <w:rPr>
                  <w:rFonts w:hint="eastAsia" w:ascii="Cambria Math" w:hAnsi="Cambria Math"/>
                  <w:i/>
                  <w:iCs/>
                  <w:sz w:val="24"/>
                  <w:szCs w:val="24"/>
                </w:rPr>
              </m:ctrlPr>
            </m:accPr>
            <m:e>
              <m:sSub>
                <m:sSubPr>
                  <m:ctrlPr>
                    <w:rPr>
                      <w:rFonts w:hint="eastAsia" w:ascii="Cambria Math" w:hAnsi="Cambria Math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  <m:ctrlPr>
                    <w:rPr>
                      <w:rFonts w:hint="eastAsia" w:ascii="Cambria Math" w:hAnsi="Cambria Math"/>
                      <w:i/>
                      <w:iCs/>
                      <w:sz w:val="24"/>
                      <w:szCs w:val="24"/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/>
                      <w:sz w:val="24"/>
                      <w:szCs w:val="24"/>
                    </w:rPr>
                    <m:t>c</m:t>
                  </m:r>
                  <m:ctrlPr>
                    <w:rPr>
                      <w:rFonts w:hint="eastAsia" w:ascii="Cambria Math" w:hAnsi="Cambria Math"/>
                      <w:i/>
                      <w:iCs/>
                      <w:sz w:val="24"/>
                      <w:szCs w:val="24"/>
                    </w:rPr>
                  </m:ctrlPr>
                </m:sub>
              </m:sSub>
              <m:ctrlPr>
                <w:rPr>
                  <w:rFonts w:hint="eastAsia" w:ascii="Cambria Math" w:hAnsi="Cambria Math"/>
                  <w:i/>
                  <w:iCs/>
                  <w:sz w:val="24"/>
                  <w:szCs w:val="24"/>
                </w:rPr>
              </m:ctrlPr>
            </m:e>
          </m:acc>
          <m:r>
            <m:rPr/>
            <w:rPr>
              <w:rFonts w:ascii="Cambria Math" w:hAnsi="Cambria Math" w:cs="Cambria Math"/>
              <w:sz w:val="24"/>
              <w:szCs w:val="24"/>
            </w:rPr>
            <m:t>−</m:t>
          </m:r>
          <m:acc>
            <m:accPr>
              <m:chr m:val="̅"/>
              <m:ctrlPr>
                <w:rPr>
                  <w:rFonts w:hint="eastAsia" w:ascii="Cambria Math" w:hAnsi="Cambria Math"/>
                  <w:i/>
                  <w:iCs/>
                  <w:sz w:val="24"/>
                  <w:szCs w:val="24"/>
                </w:rPr>
              </m:ctrlPr>
            </m:accPr>
            <m:e>
              <m:r>
                <m:rPr/>
                <w:rPr>
                  <w:rFonts w:ascii="Cambria Math" w:hAnsi="Cambria Math"/>
                  <w:sz w:val="24"/>
                  <w:szCs w:val="24"/>
                </w:rPr>
                <m:t>L</m:t>
              </m:r>
              <m:ctrlPr>
                <w:rPr>
                  <w:rFonts w:hint="eastAsia" w:ascii="Cambria Math" w:hAnsi="Cambria Math"/>
                  <w:i/>
                  <w:iCs/>
                  <w:sz w:val="24"/>
                  <w:szCs w:val="24"/>
                </w:rPr>
              </m:ctrlPr>
            </m:e>
          </m:acc>
        </m:oMath>
      </m:oMathPara>
    </w:p>
    <w:p w14:paraId="2B0DF192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Ansi="宋体"/>
          <w:sz w:val="24"/>
          <w:szCs w:val="24"/>
        </w:rPr>
        <w:t>能见度示值</w:t>
      </w:r>
      <w:r>
        <w:rPr>
          <w:rFonts w:hint="eastAsia" w:hAnsi="宋体"/>
          <w:sz w:val="24"/>
          <w:szCs w:val="24"/>
        </w:rPr>
        <w:t>相对</w:t>
      </w:r>
      <w:r>
        <w:rPr>
          <w:rFonts w:hAnsi="宋体"/>
          <w:sz w:val="24"/>
          <w:szCs w:val="24"/>
        </w:rPr>
        <w:t>误差的数学模型如下：</w:t>
      </w:r>
    </w:p>
    <w:p w14:paraId="50F94614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i/>
          <w:iCs/>
          <w:sz w:val="24"/>
          <w:szCs w:val="24"/>
        </w:rPr>
      </w:pPr>
      <m:oMathPara>
        <m:oMath>
          <m:r>
            <m:rPr/>
            <w:rPr>
              <w:rFonts w:ascii="Cambria Math" w:hAnsi="Cambria Math" w:cs="Cambria Math"/>
              <w:sz w:val="24"/>
              <w:szCs w:val="24"/>
            </w:rPr>
            <m:t>∆</m:t>
          </m:r>
          <m:r>
            <m:rPr/>
            <w:rPr>
              <w:rFonts w:ascii="Cambria Math" w:hAnsi="Cambria Math"/>
              <w:sz w:val="24"/>
              <w:szCs w:val="24"/>
            </w:rPr>
            <m:t>L</m:t>
          </m:r>
          <m:r>
            <m:rPr/>
            <w:rPr>
              <w:rFonts w:hint="eastAsia"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4"/>
                  <w:szCs w:val="24"/>
                </w:rPr>
              </m:ctrlPr>
            </m:fPr>
            <m:num>
              <m:acc>
                <m:accPr>
                  <m:chr m:val="̅"/>
                  <m:ctrlPr>
                    <w:rPr>
                      <w:rFonts w:hint="eastAsia" w:ascii="Cambria Math" w:hAnsi="Cambria Math"/>
                      <w:i/>
                      <w:iCs/>
                      <w:sz w:val="24"/>
                      <w:szCs w:val="24"/>
                    </w:rPr>
                  </m:ctrlPr>
                </m:accPr>
                <m:e>
                  <m:sSub>
                    <m:sSubPr>
                      <m:ctrlPr>
                        <w:rPr>
                          <w:rFonts w:hint="eastAsia"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L</m:t>
                      </m:r>
                      <m:ctrlPr>
                        <w:rPr>
                          <w:rFonts w:hint="eastAsia"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/>
                          <w:sz w:val="24"/>
                          <w:szCs w:val="24"/>
                        </w:rPr>
                        <m:t>c</m:t>
                      </m:r>
                      <m:ctrlPr>
                        <w:rPr>
                          <w:rFonts w:hint="eastAsia"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sub>
                  </m:sSub>
                  <m:ctrlPr>
                    <w:rPr>
                      <w:rFonts w:hint="eastAsia" w:ascii="Cambria Math" w:hAnsi="Cambria Math"/>
                      <w:i/>
                      <w:iCs/>
                      <w:sz w:val="24"/>
                      <w:szCs w:val="24"/>
                    </w:rPr>
                  </m:ctrlPr>
                </m:e>
              </m:acc>
              <m:r>
                <m:rPr/>
                <w:rPr>
                  <w:rFonts w:ascii="Cambria Math" w:hAnsi="Cambria Math" w:cs="Cambria Math"/>
                  <w:sz w:val="24"/>
                  <w:szCs w:val="24"/>
                </w:rPr>
                <m:t>−</m:t>
              </m:r>
              <m:acc>
                <m:accPr>
                  <m:chr m:val="̅"/>
                  <m:ctrlPr>
                    <w:rPr>
                      <w:rFonts w:hint="eastAsia" w:ascii="Cambria Math" w:hAnsi="Cambria Math"/>
                      <w:i/>
                      <w:iCs/>
                      <w:sz w:val="24"/>
                      <w:szCs w:val="24"/>
                    </w:rPr>
                  </m:ctrlPr>
                </m:acc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  <m:ctrlPr>
                    <w:rPr>
                      <w:rFonts w:hint="eastAsia" w:ascii="Cambria Math" w:hAnsi="Cambria Math"/>
                      <w:i/>
                      <w:iCs/>
                      <w:sz w:val="24"/>
                      <w:szCs w:val="24"/>
                    </w:rPr>
                  </m:ctrlPr>
                </m:e>
              </m:acc>
              <m:ctrlPr>
                <w:rPr>
                  <w:rFonts w:ascii="Cambria Math" w:hAnsi="Cambria Math"/>
                  <w:i/>
                  <w:iCs/>
                  <w:sz w:val="24"/>
                  <w:szCs w:val="24"/>
                </w:rPr>
              </m:ctrlPr>
            </m:num>
            <m:den>
              <m:r>
                <m:rPr/>
                <w:rPr>
                  <w:rFonts w:ascii="Cambria Math" w:hAnsi="Cambria Math"/>
                  <w:sz w:val="24"/>
                  <w:szCs w:val="24"/>
                </w:rPr>
                <m:t>L</m:t>
              </m:r>
              <m:ctrlPr>
                <w:rPr>
                  <w:rFonts w:ascii="Cambria Math" w:hAnsi="Cambria Math"/>
                  <w:i/>
                  <w:iCs/>
                  <w:sz w:val="24"/>
                  <w:szCs w:val="24"/>
                </w:rPr>
              </m:ctrlPr>
            </m:den>
          </m:f>
          <m:r>
            <m:rPr/>
            <w:rPr>
              <w:rFonts w:hint="eastAsia" w:ascii="Cambria Math" w:hAnsi="Cambria Math" w:cs="Segoe UI Symbol"/>
              <w:sz w:val="24"/>
              <w:szCs w:val="24"/>
            </w:rPr>
            <m:t>×</m:t>
          </m:r>
          <m:r>
            <m:rPr/>
            <w:rPr>
              <w:rFonts w:hint="eastAsia" w:ascii="Cambria Math" w:hAnsi="Segoe UI Symbol" w:cs="Segoe UI Symbol"/>
              <w:sz w:val="24"/>
              <w:szCs w:val="24"/>
            </w:rPr>
            <m:t>100%</m:t>
          </m:r>
        </m:oMath>
      </m:oMathPara>
    </w:p>
    <w:p w14:paraId="06025785">
      <w:pPr>
        <w:pStyle w:val="38"/>
        <w:tabs>
          <w:tab w:val="left" w:pos="420"/>
        </w:tabs>
        <w:spacing w:line="360" w:lineRule="auto"/>
        <w:ind w:left="420" w:leftChars="200"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式中：</w:t>
      </w:r>
    </w:p>
    <w:p w14:paraId="22E42C29">
      <w:pPr>
        <w:pStyle w:val="38"/>
        <w:tabs>
          <w:tab w:val="left" w:pos="420"/>
        </w:tabs>
        <w:spacing w:line="360" w:lineRule="auto"/>
        <w:ind w:left="420" w:leftChars="200" w:firstLine="0"/>
        <w:rPr>
          <w:rFonts w:hAnsi="宋体"/>
          <w:sz w:val="24"/>
          <w:szCs w:val="24"/>
        </w:rPr>
      </w:pPr>
      <m:oMath>
        <m:r>
          <m:rPr/>
          <w:rPr>
            <w:rFonts w:ascii="Cambria Math" w:hAnsi="Cambria Math" w:cs="Cambria Math"/>
            <w:sz w:val="24"/>
            <w:szCs w:val="24"/>
          </w:rPr>
          <m:t>∆</m:t>
        </m:r>
        <m:r>
          <m:rPr/>
          <w:rPr>
            <w:rFonts w:ascii="Cambria Math" w:hAnsi="Cambria Math"/>
            <w:sz w:val="24"/>
            <w:szCs w:val="24"/>
          </w:rPr>
          <m:t>L</m:t>
        </m:r>
      </m:oMath>
      <w:r>
        <w:rPr>
          <w:rFonts w:hAnsi="宋体"/>
          <w:sz w:val="24"/>
          <w:szCs w:val="24"/>
        </w:rPr>
        <w:t>：能见度示值</w:t>
      </w:r>
      <w:r>
        <w:rPr>
          <w:rFonts w:hint="eastAsia" w:hAnsi="宋体"/>
          <w:sz w:val="24"/>
          <w:szCs w:val="24"/>
        </w:rPr>
        <w:t>相对</w:t>
      </w:r>
      <w:r>
        <w:rPr>
          <w:rFonts w:hAnsi="宋体"/>
          <w:sz w:val="24"/>
          <w:szCs w:val="24"/>
        </w:rPr>
        <w:t>误差，m；</w:t>
      </w:r>
    </w:p>
    <w:p w14:paraId="267EE621">
      <w:pPr>
        <w:pStyle w:val="38"/>
        <w:tabs>
          <w:tab w:val="left" w:pos="420"/>
        </w:tabs>
        <w:spacing w:line="360" w:lineRule="auto"/>
        <w:ind w:left="420" w:leftChars="200" w:firstLine="0"/>
        <w:rPr>
          <w:rFonts w:hAnsi="宋体"/>
          <w:sz w:val="24"/>
          <w:szCs w:val="24"/>
        </w:rPr>
      </w:pPr>
      <m:oMath>
        <m:acc>
          <m:accPr>
            <m:chr m:val="̅"/>
            <m:ctrlPr>
              <w:rPr>
                <w:rFonts w:hint="eastAsia" w:ascii="Cambria Math" w:hAnsi="Cambria Math"/>
                <w:i/>
                <w:iCs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e>
              <m:sub>
                <m:r>
                  <m:rPr/>
                  <w:rPr>
                    <w:rFonts w:hint="eastAsia"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sub>
            </m:sSub>
            <m:ctrlPr>
              <w:rPr>
                <w:rFonts w:hint="eastAsia" w:ascii="Cambria Math" w:hAnsi="Cambria Math"/>
                <w:i/>
                <w:iCs/>
                <w:sz w:val="24"/>
                <w:szCs w:val="24"/>
              </w:rPr>
            </m:ctrlPr>
          </m:e>
        </m:acc>
      </m:oMath>
      <w:r>
        <w:rPr>
          <w:rFonts w:hAnsi="宋体"/>
          <w:sz w:val="24"/>
          <w:szCs w:val="24"/>
        </w:rPr>
        <w:t>：被校能见</w:t>
      </w:r>
      <w:bookmarkStart w:id="1" w:name="_GoBack"/>
      <w:bookmarkEnd w:id="1"/>
      <w:r>
        <w:rPr>
          <w:rFonts w:hAnsi="宋体"/>
          <w:sz w:val="24"/>
          <w:szCs w:val="24"/>
        </w:rPr>
        <w:t>度仪测量值的平均值，m；</w:t>
      </w:r>
    </w:p>
    <w:p w14:paraId="6D4F5388">
      <w:pPr>
        <w:pStyle w:val="38"/>
        <w:tabs>
          <w:tab w:val="left" w:pos="420"/>
        </w:tabs>
        <w:spacing w:line="360" w:lineRule="auto"/>
        <w:ind w:left="420" w:leftChars="200" w:firstLine="0"/>
        <w:rPr>
          <w:rFonts w:hAnsi="宋体"/>
          <w:sz w:val="24"/>
          <w:szCs w:val="24"/>
        </w:rPr>
      </w:pPr>
      <m:oMath>
        <m:acc>
          <m:accPr>
            <m:chr m:val="̅"/>
            <m:ctrlPr>
              <w:rPr>
                <w:rFonts w:hint="eastAsia" w:ascii="Cambria Math" w:hAnsi="Cambria Math"/>
                <w:i/>
                <w:iCs/>
                <w:sz w:val="24"/>
                <w:szCs w:val="24"/>
              </w:rPr>
            </m:ctrlPr>
          </m:accPr>
          <m:e>
            <m:r>
              <m:rPr/>
              <w:rPr>
                <w:rFonts w:ascii="Cambria Math" w:hAnsi="Cambria Math"/>
                <w:sz w:val="24"/>
                <w:szCs w:val="24"/>
              </w:rPr>
              <m:t>L</m:t>
            </m:r>
            <m:ctrlPr>
              <w:rPr>
                <w:rFonts w:hint="eastAsia" w:ascii="Cambria Math" w:hAnsi="Cambria Math"/>
                <w:i/>
                <w:iCs/>
                <w:sz w:val="24"/>
                <w:szCs w:val="24"/>
              </w:rPr>
            </m:ctrlPr>
          </m:e>
        </m:acc>
      </m:oMath>
      <w:r>
        <w:rPr>
          <w:rFonts w:hAnsi="宋体"/>
          <w:sz w:val="24"/>
          <w:szCs w:val="24"/>
        </w:rPr>
        <w:t>：标准能见度仪测得的参考值，m。</w:t>
      </w:r>
    </w:p>
    <w:p w14:paraId="2D941D2D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3</w:t>
      </w:r>
      <w:r>
        <w:rPr>
          <w:rFonts w:hAnsi="宋体"/>
          <w:sz w:val="24"/>
          <w:szCs w:val="24"/>
        </w:rPr>
        <w:t xml:space="preserve">. </w:t>
      </w:r>
      <w:r>
        <w:rPr>
          <w:rFonts w:hint="eastAsia" w:hAnsi="宋体"/>
          <w:sz w:val="24"/>
          <w:szCs w:val="24"/>
        </w:rPr>
        <w:t>修正值的不确定度评定</w:t>
      </w:r>
    </w:p>
    <w:p w14:paraId="5C1FFF80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int="eastAsia" w:hAnsi="宋体"/>
          <w:sz w:val="24"/>
          <w:szCs w:val="24"/>
        </w:rPr>
        <w:t>不确定度计算公式</w:t>
      </w:r>
    </w:p>
    <w:p w14:paraId="12F58F31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int="eastAsia" w:hAnsi="宋体"/>
          <w:sz w:val="24"/>
          <w:szCs w:val="24"/>
        </w:rPr>
        <w:t>对</w:t>
      </w:r>
      <m:oMath>
        <m:acc>
          <m:accPr>
            <m:chr m:val="̅"/>
            <m:ctrlPr>
              <w:rPr>
                <w:rFonts w:hint="eastAsia" w:ascii="Cambria Math" w:hAnsi="Cambria Math"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hint="eastAsia"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  <m:ctrlPr>
                  <w:rPr>
                    <w:rFonts w:hint="eastAsia" w:ascii="Cambria Math" w:hAnsi="Cambria Math"/>
                    <w:sz w:val="24"/>
                    <w:szCs w:val="24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eastAsia"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hint="eastAsia" w:ascii="Cambria Math" w:hAnsi="Cambria Math"/>
                    <w:sz w:val="24"/>
                    <w:szCs w:val="24"/>
                  </w:rPr>
                </m:ctrlPr>
              </m:sub>
            </m:sSub>
            <m:ctrlPr>
              <w:rPr>
                <w:rFonts w:hint="eastAsia" w:ascii="Cambria Math" w:hAnsi="Cambria Math"/>
                <w:sz w:val="24"/>
                <w:szCs w:val="24"/>
              </w:rPr>
            </m:ctrlPr>
          </m:e>
        </m:acc>
      </m:oMath>
      <w:r>
        <w:rPr>
          <w:rFonts w:hint="eastAsia" w:hAnsi="宋体"/>
          <w:sz w:val="24"/>
          <w:szCs w:val="24"/>
        </w:rPr>
        <w:t>和</w:t>
      </w:r>
      <m:oMath>
        <m:acc>
          <m:accPr>
            <m:chr m:val="̅"/>
            <m:ctrlPr>
              <w:rPr>
                <w:rFonts w:hint="eastAsia" w:ascii="Cambria Math" w:hAnsi="Cambria Math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L</m:t>
            </m:r>
            <m:ctrlPr>
              <w:rPr>
                <w:rFonts w:hint="eastAsia" w:ascii="Cambria Math" w:hAnsi="Cambria Math"/>
                <w:sz w:val="24"/>
                <w:szCs w:val="24"/>
              </w:rPr>
            </m:ctrlPr>
          </m:e>
        </m:acc>
      </m:oMath>
      <w:r>
        <w:rPr>
          <w:rFonts w:hint="eastAsia" w:hAnsi="宋体"/>
          <w:sz w:val="24"/>
          <w:szCs w:val="24"/>
        </w:rPr>
        <w:t>分别求偏导，灵敏系数如下：</w:t>
      </w:r>
    </w:p>
    <w:p w14:paraId="7112E189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i/>
          <w:sz w:val="24"/>
          <w:szCs w:val="24"/>
        </w:rPr>
      </w:pPr>
      <w:r>
        <w:rPr>
          <w:rFonts w:hAnsi="宋体"/>
          <w:sz w:val="24"/>
          <w:szCs w:val="24"/>
        </w:rPr>
        <w:tab/>
      </w:r>
      <m:oMath>
        <m:r>
          <m:rPr/>
          <w:rPr>
            <w:rFonts w:hint="eastAsia" w:ascii="Cambria Math" w:hAnsi="Cambria Math"/>
            <w:sz w:val="24"/>
            <w:szCs w:val="24"/>
          </w:rPr>
          <m:t>c</m:t>
        </m:r>
      </m:oMath>
      <w:r>
        <w:rPr>
          <w:rFonts w:hint="eastAsia" w:hAnsi="宋体"/>
          <w:iCs/>
          <w:sz w:val="24"/>
          <w:szCs w:val="24"/>
        </w:rPr>
        <w:t>（</w:t>
      </w:r>
      <m:oMath>
        <m:acc>
          <m:accPr>
            <m:chr m:val="̅"/>
            <m:ctrlPr>
              <w:rPr>
                <w:rFonts w:hint="eastAsia" w:ascii="Cambria Math" w:hAnsi="Cambria Math"/>
                <w:i/>
                <w:iCs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e>
              <m:sub>
                <m:r>
                  <m:rPr/>
                  <w:rPr>
                    <w:rFonts w:hint="eastAsia"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sub>
            </m:sSub>
            <m:ctrlPr>
              <w:rPr>
                <w:rFonts w:hint="eastAsia" w:ascii="Cambria Math" w:hAnsi="Cambria Math"/>
                <w:i/>
                <w:iCs/>
                <w:sz w:val="24"/>
                <w:szCs w:val="24"/>
              </w:rPr>
            </m:ctrlPr>
          </m:e>
        </m:acc>
        <m:r>
          <m:rPr>
            <m:sty m:val="p"/>
          </m:rPr>
          <w:rPr>
            <w:rFonts w:hint="eastAsia" w:ascii="Cambria Math" w:hAnsi="Cambria Math"/>
            <w:sz w:val="24"/>
            <w:szCs w:val="24"/>
          </w:rPr>
          <m:t>）</m:t>
        </m:r>
      </m:oMath>
      <w:r>
        <w:rPr>
          <w:rFonts w:hint="eastAsia" w:hAnsi="宋体"/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/>
              <w:rPr>
                <w:rFonts w:ascii="Cambria Math" w:hAnsi="Cambria Math"/>
                <w:sz w:val="24"/>
                <w:szCs w:val="24"/>
              </w:rPr>
              <m:t>∂∆</m:t>
            </m:r>
            <m:r>
              <m:rPr/>
              <w:rPr>
                <w:rFonts w:hint="eastAsia" w:ascii="Cambria Math" w:hAnsi="Cambria Math"/>
                <w:sz w:val="24"/>
                <w:szCs w:val="24"/>
              </w:rPr>
              <m:t>L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hint="eastAsia"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hint="eastAsia"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hint="eastAsia" w:ascii="Cambria Math" w:hAnsi="Cambria Math"/>
                        <w:sz w:val="24"/>
                        <w:szCs w:val="24"/>
                      </w:rPr>
                      <m:t>c</m:t>
                    </m:r>
                    <m:ctrlPr>
                      <w:rPr>
                        <w:rFonts w:hint="eastAsia"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i/>
                <w:sz w:val="24"/>
                <w:szCs w:val="24"/>
              </w:rPr>
            </m:ctrlPr>
          </m:den>
        </m:f>
      </m:oMath>
      <w:r>
        <w:rPr>
          <w:rFonts w:hint="eastAsia" w:hAnsi="宋体"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num>
          <m:den>
            <m:acc>
              <m:accPr>
                <m:chr m:val="̅"/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hint="eastAsia"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hint="eastAsia"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hint="eastAsia" w:ascii="Cambria Math" w:hAnsi="Cambria Math"/>
                        <w:sz w:val="24"/>
                        <w:szCs w:val="24"/>
                      </w:rPr>
                      <m:t>c</m:t>
                    </m:r>
                    <m:ctrlPr>
                      <w:rPr>
                        <w:rFonts w:hint="eastAsia"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i/>
                <w:sz w:val="24"/>
                <w:szCs w:val="24"/>
              </w:rPr>
            </m:ctrlPr>
          </m:den>
        </m:f>
      </m:oMath>
      <w:r>
        <w:rPr>
          <w:rFonts w:hint="eastAsia" w:hAnsi="宋体"/>
          <w:sz w:val="24"/>
          <w:szCs w:val="24"/>
        </w:rPr>
        <w:t>，</w:t>
      </w:r>
      <m:oMath>
        <m:r>
          <m:rPr/>
          <w:rPr>
            <w:rFonts w:hint="eastAsia" w:ascii="Cambria Math" w:hAnsi="Cambria Math"/>
            <w:sz w:val="24"/>
            <w:szCs w:val="24"/>
          </w:rPr>
          <m:t>c</m:t>
        </m:r>
      </m:oMath>
      <w:r>
        <w:rPr>
          <w:rFonts w:hint="eastAsia" w:hAnsi="宋体"/>
          <w:iCs/>
          <w:sz w:val="24"/>
          <w:szCs w:val="24"/>
        </w:rPr>
        <w:t>（</w:t>
      </w:r>
      <m:oMath>
        <m:acc>
          <m:accPr>
            <m:chr m:val="̅"/>
            <m:ctrlPr>
              <w:rPr>
                <w:rFonts w:hint="eastAsia" w:ascii="Cambria Math" w:hAnsi="Cambria Math"/>
                <w:i/>
                <w:iCs/>
                <w:sz w:val="24"/>
                <w:szCs w:val="24"/>
              </w:rPr>
            </m:ctrlPr>
          </m:accPr>
          <m:e>
            <m:r>
              <m:rPr/>
              <w:rPr>
                <w:rFonts w:hint="eastAsia" w:ascii="Cambria Math" w:hAnsi="Cambria Math"/>
                <w:sz w:val="24"/>
                <w:szCs w:val="24"/>
              </w:rPr>
              <m:t>L</m:t>
            </m:r>
            <m:ctrlPr>
              <w:rPr>
                <w:rFonts w:hint="eastAsia" w:ascii="Cambria Math" w:hAnsi="Cambria Math"/>
                <w:i/>
                <w:iCs/>
                <w:sz w:val="24"/>
                <w:szCs w:val="24"/>
              </w:rPr>
            </m:ctrlPr>
          </m:e>
        </m:acc>
        <m:r>
          <m:rPr>
            <m:sty m:val="p"/>
          </m:rPr>
          <w:rPr>
            <w:rFonts w:hint="eastAsia" w:ascii="Cambria Math" w:hAnsi="Cambria Math"/>
            <w:sz w:val="24"/>
            <w:szCs w:val="24"/>
          </w:rPr>
          <m:t>）</m:t>
        </m:r>
      </m:oMath>
      <w:r>
        <w:rPr>
          <w:rFonts w:hint="eastAsia" w:hAnsi="宋体"/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/>
              <w:rPr>
                <w:rFonts w:ascii="Cambria Math" w:hAnsi="Cambria Math"/>
                <w:sz w:val="24"/>
                <w:szCs w:val="24"/>
              </w:rPr>
              <m:t>∂∆</m:t>
            </m:r>
            <m:r>
              <m:rPr/>
              <w:rPr>
                <w:rFonts w:hint="eastAsia" w:ascii="Cambria Math" w:hAnsi="Cambria Math"/>
                <w:sz w:val="24"/>
                <w:szCs w:val="24"/>
              </w:rPr>
              <m:t>L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i/>
                <w:sz w:val="24"/>
                <w:szCs w:val="24"/>
              </w:rPr>
            </m:ctrlPr>
          </m:den>
        </m:f>
      </m:oMath>
      <w:r>
        <w:rPr>
          <w:rFonts w:hint="eastAsia" w:hAnsi="宋体"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acc>
              <m:accPr>
                <m:chr m:val="̅"/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hint="eastAsia"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hint="eastAsia"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hint="eastAsia" w:ascii="Cambria Math" w:hAnsi="Cambria Math"/>
                        <w:sz w:val="24"/>
                        <w:szCs w:val="24"/>
                      </w:rPr>
                      <m:t>c</m:t>
                    </m:r>
                    <m:ctrlPr>
                      <w:rPr>
                        <w:rFonts w:hint="eastAsia"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i/>
                <w:sz w:val="24"/>
                <w:szCs w:val="24"/>
              </w:rPr>
            </m:ctrlPr>
          </m:num>
          <m:den>
            <m:acc>
              <m:accPr>
                <m:chr m:val="̅"/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accPr>
              <m:e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up>
                </m:sSup>
                <m:ctrlPr>
                  <w:rPr>
                    <w:rFonts w:hint="eastAsia" w:ascii="Cambria Math" w:hAnsi="Cambria Math"/>
                    <w:i/>
                    <w:iCs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i/>
                <w:sz w:val="24"/>
                <w:szCs w:val="24"/>
              </w:rPr>
            </m:ctrlPr>
          </m:den>
        </m:f>
      </m:oMath>
    </w:p>
    <w:p w14:paraId="6BD02450">
      <w:pPr>
        <w:pStyle w:val="38"/>
        <w:tabs>
          <w:tab w:val="left" w:pos="420"/>
        </w:tabs>
        <w:spacing w:line="360" w:lineRule="auto"/>
        <w:ind w:left="420" w:leftChars="200"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合成标准不确定度</w:t>
      </w:r>
      <w:r>
        <w:rPr>
          <w:rFonts w:hAnsi="宋体"/>
          <w:sz w:val="24"/>
          <w:szCs w:val="24"/>
        </w:rPr>
        <w:t>公式</w:t>
      </w:r>
      <w:r>
        <w:rPr>
          <w:rFonts w:hint="eastAsia" w:hAnsi="宋体"/>
          <w:sz w:val="24"/>
          <w:szCs w:val="24"/>
        </w:rPr>
        <w:t>：</w:t>
      </w:r>
    </w:p>
    <w:p w14:paraId="251AB5BB">
      <w:pPr>
        <w:pStyle w:val="38"/>
        <w:tabs>
          <w:tab w:val="left" w:pos="420"/>
        </w:tabs>
        <w:spacing w:line="360" w:lineRule="auto"/>
        <w:ind w:left="420" w:leftChars="200" w:firstLine="0"/>
        <w:rPr>
          <w:rFonts w:hAnsi="宋体"/>
          <w:iCs/>
          <w:sz w:val="24"/>
          <w:szCs w:val="24"/>
        </w:rPr>
      </w:pPr>
      <m:oMathPara>
        <m:oMath>
          <m:r>
            <m:rPr/>
            <w:rPr>
              <w:rFonts w:hint="eastAsia" w:ascii="Cambria Math" w:hAnsi="Cambria Math"/>
              <w:sz w:val="24"/>
              <w:szCs w:val="24"/>
            </w:rPr>
            <m:t>u</m:t>
          </m:r>
          <m:d>
            <m:dPr>
              <m:ctrlPr>
                <w:rPr>
                  <w:rFonts w:ascii="Cambria Math" w:hAnsi="Cambria Math"/>
                  <w:iCs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</w:rPr>
                <m:t>∆</m:t>
              </m:r>
              <m:r>
                <m:rPr/>
                <w:rPr>
                  <w:rFonts w:ascii="Cambria Math" w:hAnsi="Cambria Math" w:cs="Cambria Math"/>
                  <w:sz w:val="24"/>
                  <w:szCs w:val="24"/>
                </w:rPr>
                <m:t>L</m:t>
              </m:r>
              <m:ctrlPr>
                <w:rPr>
                  <w:rFonts w:ascii="Cambria Math" w:hAnsi="Cambria Math" w:cs="Cambria Math"/>
                  <w:sz w:val="24"/>
                  <w:szCs w:val="24"/>
                </w:rPr>
              </m:ctrlPr>
            </m:e>
          </m:d>
          <m:r>
            <m:rPr>
              <m:sty m:val="p"/>
            </m:rPr>
            <w:rPr>
              <w:rFonts w:ascii="Cambria Math" w:hAnsi="Cambria Math" w:cs="Cambria Math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Cambria Math" w:cs="Cambria Math"/>
                  <w:sz w:val="24"/>
                  <w:szCs w:val="24"/>
                </w:rPr>
              </m:ctrlPr>
            </m:radPr>
            <m:deg>
              <m:ctrlPr>
                <w:rPr>
                  <w:rFonts w:ascii="Cambria Math" w:hAnsi="Cambria Math" w:cs="Cambria Math"/>
                  <w:sz w:val="24"/>
                  <w:szCs w:val="24"/>
                </w:rPr>
              </m:ctrlPr>
            </m:deg>
            <m:e>
              <m:sSup>
                <m:sSupPr>
                  <m:ctrlPr>
                    <w:rPr>
                      <w:rFonts w:ascii="Cambria Math" w:hAnsi="Cambria Math" w:cs="Cambria Math"/>
                      <w:sz w:val="24"/>
                      <w:szCs w:val="24"/>
                    </w:rPr>
                  </m:ctrlPr>
                </m:sSupPr>
                <m:e>
                  <m:r>
                    <m:rPr/>
                    <w:rPr>
                      <w:rFonts w:ascii="Cambria Math" w:hAnsi="Cambria Math" w:cs="Cambria Math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hAnsi="Cambria Math" w:cs="Cambria Math"/>
                      <w:sz w:val="24"/>
                      <w:szCs w:val="24"/>
                    </w:rPr>
                  </m:ctrlPr>
                </m:e>
                <m:sup>
                  <m:r>
                    <m:rPr/>
                    <w:rPr>
                      <w:rFonts w:ascii="Cambria Math" w:hAnsi="Cambria Math" w:cs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 w:cs="Cambria Math"/>
                      <w:sz w:val="24"/>
                      <w:szCs w:val="24"/>
                    </w:rPr>
                  </m:ctrlPr>
                </m:sup>
              </m:sSup>
              <m:d>
                <m:dPr>
                  <m:ctrlPr>
                    <w:rPr>
                      <w:rFonts w:ascii="Cambria Math" w:hAnsi="Cambria Math" w:cs="Cambria Math"/>
                      <w:i/>
                      <w:sz w:val="24"/>
                      <w:szCs w:val="24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hint="eastAsia"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hint="eastAsia"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L</m:t>
                          </m:r>
                          <m:ctrlPr>
                            <w:rPr>
                              <w:rFonts w:hint="eastAsia"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e>
                        <m:sub>
                          <m:r>
                            <m:rPr/>
                            <w:rPr>
                              <w:rFonts w:hint="eastAsia" w:ascii="Cambria Math" w:hAnsi="Cambria Math"/>
                              <w:sz w:val="24"/>
                              <w:szCs w:val="24"/>
                            </w:rPr>
                            <m:t>c</m:t>
                          </m:r>
                          <m:ctrlPr>
                            <w:rPr>
                              <w:rFonts w:hint="eastAsia"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ub>
                      </m:sSub>
                      <m:ctrlPr>
                        <w:rPr>
                          <w:rFonts w:hint="eastAsia"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e>
                  </m:acc>
                  <m:ctrlPr>
                    <w:rPr>
                      <w:rFonts w:ascii="Cambria Math" w:hAnsi="Cambria Math"/>
                      <w:iCs/>
                      <w:sz w:val="24"/>
                      <w:szCs w:val="24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Cs/>
                      <w:sz w:val="24"/>
                      <w:szCs w:val="24"/>
                    </w:rPr>
                  </m:ctrlPr>
                </m:sSubSup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  <m:ctrlPr>
                    <w:rPr>
                      <w:rFonts w:ascii="Cambria Math" w:hAnsi="Cambria Math"/>
                      <w:iCs/>
                      <w:sz w:val="24"/>
                      <w:szCs w:val="24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hAnsi="Cambria Math"/>
                      <w:iCs/>
                      <w:sz w:val="24"/>
                      <w:szCs w:val="24"/>
                    </w:rPr>
                  </m:ctrlPr>
                </m:sub>
                <m:sup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/>
                      <w:iCs/>
                      <w:sz w:val="24"/>
                      <w:szCs w:val="24"/>
                    </w:rPr>
                  </m:ctrlP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hint="eastAsia" w:ascii="Cambria Math" w:hAnsi="Cambria Math"/>
                          <w:sz w:val="24"/>
                          <w:szCs w:val="24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hint="eastAsia"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L</m:t>
                          </m:r>
                          <m:ctrlPr>
                            <w:rPr>
                              <w:rFonts w:hint="eastAsia"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e>
                        <m:sub>
                          <m:r>
                            <m:rPr/>
                            <w:rPr>
                              <w:rFonts w:hint="eastAsia" w:ascii="Cambria Math" w:hAnsi="Cambria Math"/>
                              <w:sz w:val="24"/>
                              <w:szCs w:val="24"/>
                            </w:rPr>
                            <m:t>c</m:t>
                          </m:r>
                          <m:ctrlPr>
                            <w:rPr>
                              <w:rFonts w:hint="eastAsia"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ub>
                      </m:sSub>
                      <m:ctrlPr>
                        <w:rPr>
                          <w:rFonts w:hint="eastAsia" w:ascii="Cambria Math" w:hAnsi="Cambria Math"/>
                          <w:sz w:val="24"/>
                          <w:szCs w:val="24"/>
                        </w:rPr>
                      </m:ctrlPr>
                    </m:e>
                  </m:acc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e>
              </m:d>
              <m:r>
                <m:rPr/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 w:cs="Cambria Math"/>
                      <w:sz w:val="24"/>
                      <w:szCs w:val="24"/>
                    </w:rPr>
                  </m:ctrlPr>
                </m:sSupPr>
                <m:e>
                  <m:r>
                    <m:rPr/>
                    <w:rPr>
                      <w:rFonts w:ascii="Cambria Math" w:hAnsi="Cambria Math" w:cs="Cambria Math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hAnsi="Cambria Math" w:cs="Cambria Math"/>
                      <w:sz w:val="24"/>
                      <w:szCs w:val="24"/>
                    </w:rPr>
                  </m:ctrlPr>
                </m:e>
                <m:sup>
                  <m:r>
                    <m:rPr/>
                    <w:rPr>
                      <w:rFonts w:ascii="Cambria Math" w:hAnsi="Cambria Math" w:cs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 w:cs="Cambria Math"/>
                      <w:sz w:val="24"/>
                      <w:szCs w:val="24"/>
                    </w:rPr>
                  </m:ctrlPr>
                </m:sup>
              </m:sSup>
              <m:d>
                <m:dPr>
                  <m:ctrlPr>
                    <w:rPr>
                      <w:rFonts w:ascii="Cambria Math" w:hAnsi="Cambria Math" w:cs="Cambria Math"/>
                      <w:i/>
                      <w:sz w:val="24"/>
                      <w:szCs w:val="24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hint="eastAsia"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accPr>
                    <m:e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L</m:t>
                      </m:r>
                      <m:ctrlPr>
                        <w:rPr>
                          <w:rFonts w:hint="eastAsia"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e>
                  </m:acc>
                  <m:ctrlPr>
                    <w:rPr>
                      <w:rFonts w:ascii="Cambria Math" w:hAnsi="Cambria Math"/>
                      <w:iCs/>
                      <w:sz w:val="24"/>
                      <w:szCs w:val="24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Cs/>
                      <w:sz w:val="24"/>
                      <w:szCs w:val="24"/>
                    </w:rPr>
                  </m:ctrlPr>
                </m:sSubSup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  <m:ctrlPr>
                    <w:rPr>
                      <w:rFonts w:ascii="Cambria Math" w:hAnsi="Cambria Math"/>
                      <w:iCs/>
                      <w:sz w:val="24"/>
                      <w:szCs w:val="24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hAnsi="Cambria Math"/>
                      <w:iCs/>
                      <w:sz w:val="24"/>
                      <w:szCs w:val="24"/>
                    </w:rPr>
                  </m:ctrlPr>
                </m:sub>
                <m:sup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/>
                      <w:iCs/>
                      <w:sz w:val="24"/>
                      <w:szCs w:val="24"/>
                    </w:rPr>
                  </m:ctrlP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hint="eastAsia"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accPr>
                    <m:e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L</m:t>
                      </m:r>
                      <m:ctrlPr>
                        <w:rPr>
                          <w:rFonts w:hint="eastAsia"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e>
                  </m:acc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e>
              </m:d>
              <m:ctrlPr>
                <w:rPr>
                  <w:rFonts w:ascii="Cambria Math" w:hAnsi="Cambria Math" w:cs="Cambria Math"/>
                  <w:sz w:val="24"/>
                  <w:szCs w:val="24"/>
                </w:rPr>
              </m:ctrlPr>
            </m:e>
          </m:rad>
        </m:oMath>
      </m:oMathPara>
    </w:p>
    <w:p w14:paraId="22892D64">
      <w:pPr>
        <w:pStyle w:val="38"/>
        <w:tabs>
          <w:tab w:val="left" w:pos="420"/>
        </w:tabs>
        <w:spacing w:line="360" w:lineRule="auto"/>
        <w:ind w:left="420" w:leftChars="200"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式中：</w:t>
      </w:r>
    </w:p>
    <w:p w14:paraId="039F1EC3">
      <w:pPr>
        <w:pStyle w:val="38"/>
        <w:tabs>
          <w:tab w:val="left" w:pos="420"/>
        </w:tabs>
        <w:spacing w:line="360" w:lineRule="auto"/>
        <w:ind w:left="420" w:leftChars="200" w:firstLine="0"/>
        <w:rPr>
          <w:rFonts w:hAnsi="宋体"/>
          <w:sz w:val="24"/>
          <w:szCs w:val="24"/>
        </w:rPr>
      </w:pPr>
      <m:oMath>
        <m:r>
          <m:rPr/>
          <w:rPr>
            <w:rFonts w:hint="eastAsia" w:ascii="Cambria Math" w:hAnsi="Cambria Math"/>
            <w:sz w:val="24"/>
            <w:szCs w:val="24"/>
          </w:rPr>
          <m:t>u</m:t>
        </m:r>
        <m:d>
          <m:d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dPr>
          <m:e>
            <m:r>
              <m:rPr/>
              <w:rPr>
                <w:rFonts w:ascii="Cambria Math" w:hAnsi="Cambria Math" w:cs="Cambria Math"/>
                <w:sz w:val="24"/>
                <w:szCs w:val="24"/>
              </w:rPr>
              <m:t>∆</m:t>
            </m:r>
            <m:r>
              <m:rPr/>
              <w:rPr>
                <w:rFonts w:ascii="Cambria Math" w:hAnsi="Cambria Math"/>
                <w:sz w:val="24"/>
                <w:szCs w:val="24"/>
              </w:rPr>
              <m:t>L</m:t>
            </m:r>
            <m:ctrlPr>
              <w:rPr>
                <w:rFonts w:ascii="Cambria Math" w:hAnsi="Cambria Math" w:cs="Cambria Math"/>
                <w:sz w:val="24"/>
                <w:szCs w:val="24"/>
              </w:rPr>
            </m:ctrlPr>
          </m:e>
        </m:d>
      </m:oMath>
      <w:r>
        <w:rPr>
          <w:rFonts w:hAnsi="宋体"/>
          <w:sz w:val="24"/>
          <w:szCs w:val="24"/>
        </w:rPr>
        <w:t>：</w:t>
      </w:r>
      <w:r>
        <w:rPr>
          <w:rFonts w:hint="eastAsia" w:hAnsi="宋体"/>
          <w:sz w:val="24"/>
          <w:szCs w:val="24"/>
        </w:rPr>
        <w:t>合成标准不确定度</w:t>
      </w:r>
      <w:r>
        <w:rPr>
          <w:rFonts w:hAnsi="宋体"/>
          <w:sz w:val="24"/>
          <w:szCs w:val="24"/>
        </w:rPr>
        <w:t>；</w:t>
      </w:r>
    </w:p>
    <w:p w14:paraId="0A6BD29E">
      <w:pPr>
        <w:pStyle w:val="38"/>
        <w:tabs>
          <w:tab w:val="left" w:pos="420"/>
        </w:tabs>
        <w:spacing w:line="360" w:lineRule="auto"/>
        <w:ind w:left="420" w:leftChars="200" w:firstLine="0"/>
        <w:rPr>
          <w:rFonts w:hAnsi="宋体"/>
          <w:sz w:val="24"/>
          <w:szCs w:val="24"/>
        </w:rPr>
      </w:pPr>
      <m:oMath>
        <m:r>
          <m:rPr/>
          <w:rPr>
            <w:rFonts w:ascii="Cambria Math" w:hAnsi="Cambria Math"/>
            <w:sz w:val="24"/>
            <w:szCs w:val="24"/>
          </w:rPr>
          <m:t>u(</m:t>
        </m:r>
        <m:acc>
          <m:accPr>
            <m:chr m:val="̅"/>
            <m:ctrlPr>
              <w:rPr>
                <w:rFonts w:hint="eastAsia" w:ascii="Cambria Math" w:hAnsi="Cambria Math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hint="eastAsia"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  <m:ctrlPr>
                  <w:rPr>
                    <w:rFonts w:hint="eastAsia" w:ascii="Cambria Math" w:hAnsi="Cambria Math"/>
                    <w:i/>
                    <w:sz w:val="24"/>
                    <w:szCs w:val="24"/>
                  </w:rPr>
                </m:ctrlPr>
              </m:e>
              <m:sub>
                <m:r>
                  <m:rPr/>
                  <w:rPr>
                    <w:rFonts w:hint="eastAsia"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hint="eastAsia" w:ascii="Cambria Math" w:hAnsi="Cambria Math"/>
                    <w:i/>
                    <w:sz w:val="24"/>
                    <w:szCs w:val="24"/>
                  </w:rPr>
                </m:ctrlPr>
              </m:sub>
            </m:sSub>
            <m:ctrlPr>
              <w:rPr>
                <w:rFonts w:hint="eastAsia" w:ascii="Cambria Math" w:hAnsi="Cambria Math"/>
                <w:i/>
                <w:sz w:val="24"/>
                <w:szCs w:val="24"/>
              </w:rPr>
            </m:ctrlPr>
          </m:e>
        </m:acc>
        <m:r>
          <m:rPr/>
          <w:rPr>
            <w:rFonts w:ascii="Cambria Math" w:hAnsi="Cambria Math"/>
            <w:sz w:val="24"/>
            <w:szCs w:val="24"/>
          </w:rPr>
          <m:t>)</m:t>
        </m:r>
      </m:oMath>
      <w:r>
        <w:rPr>
          <w:rFonts w:hAnsi="宋体"/>
          <w:sz w:val="24"/>
          <w:szCs w:val="24"/>
        </w:rPr>
        <w:t>：被校仪器引入的标准不确定度；</w:t>
      </w:r>
    </w:p>
    <w:p w14:paraId="010EEEB9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m:oMath>
        <m:r>
          <m:rPr/>
          <w:rPr>
            <w:rFonts w:ascii="Cambria Math" w:hAnsi="Cambria Math"/>
            <w:sz w:val="24"/>
            <w:szCs w:val="24"/>
          </w:rPr>
          <m:t>u(</m:t>
        </m:r>
        <m:acc>
          <m:accPr>
            <m:chr m:val="̅"/>
            <m:ctrlPr>
              <w:rPr>
                <w:rFonts w:hint="eastAsia" w:ascii="Cambria Math" w:hAnsi="Cambria Math"/>
                <w:i/>
                <w:sz w:val="24"/>
                <w:szCs w:val="24"/>
              </w:rPr>
            </m:ctrlPr>
          </m:accPr>
          <m:e>
            <m:r>
              <m:rPr/>
              <w:rPr>
                <w:rFonts w:ascii="Cambria Math" w:hAnsi="Cambria Math"/>
                <w:sz w:val="24"/>
                <w:szCs w:val="24"/>
              </w:rPr>
              <m:t>L</m:t>
            </m:r>
            <m:ctrlPr>
              <w:rPr>
                <w:rFonts w:hint="eastAsia" w:ascii="Cambria Math" w:hAnsi="Cambria Math"/>
                <w:i/>
                <w:sz w:val="24"/>
                <w:szCs w:val="24"/>
              </w:rPr>
            </m:ctrlPr>
          </m:e>
        </m:acc>
        <m:r>
          <m:rPr/>
          <w:rPr>
            <w:rFonts w:ascii="Cambria Math" w:hAnsi="Cambria Math"/>
            <w:sz w:val="24"/>
            <w:szCs w:val="24"/>
          </w:rPr>
          <m:t>)</m:t>
        </m:r>
      </m:oMath>
      <w:r>
        <w:rPr>
          <w:rFonts w:hAnsi="宋体"/>
          <w:sz w:val="24"/>
          <w:szCs w:val="24"/>
        </w:rPr>
        <w:t>：标准装置引入的标准不确定度。</w:t>
      </w:r>
    </w:p>
    <w:p w14:paraId="4D043587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Ansi="宋体"/>
          <w:sz w:val="24"/>
          <w:szCs w:val="24"/>
        </w:rPr>
        <w:t>由于公式中的标准器与被校器环境一致</w:t>
      </w:r>
      <w:r>
        <w:rPr>
          <w:rFonts w:hint="eastAsia" w:hAnsi="宋体"/>
          <w:sz w:val="24"/>
          <w:szCs w:val="24"/>
        </w:rPr>
        <w:t>，</w:t>
      </w:r>
      <w:r>
        <w:rPr>
          <w:rFonts w:hAnsi="宋体"/>
          <w:sz w:val="24"/>
          <w:szCs w:val="24"/>
        </w:rPr>
        <w:t>变量都是通过独立的方法观测</w:t>
      </w:r>
      <w:r>
        <w:rPr>
          <w:rFonts w:hint="eastAsia" w:hAnsi="宋体"/>
          <w:sz w:val="24"/>
          <w:szCs w:val="24"/>
        </w:rPr>
        <w:t>和</w:t>
      </w:r>
      <w:r>
        <w:rPr>
          <w:rFonts w:hAnsi="宋体"/>
          <w:sz w:val="24"/>
          <w:szCs w:val="24"/>
        </w:rPr>
        <w:t>计算得到的，因此所有变量之间是相互独立的</w:t>
      </w:r>
      <w:r>
        <w:rPr>
          <w:rFonts w:hint="eastAsia" w:hAnsi="宋体"/>
          <w:sz w:val="24"/>
          <w:szCs w:val="24"/>
        </w:rPr>
        <w:t>，没有相关性</w:t>
      </w:r>
      <w:r>
        <w:rPr>
          <w:rFonts w:hAnsi="宋体"/>
          <w:sz w:val="24"/>
          <w:szCs w:val="24"/>
        </w:rPr>
        <w:t>。</w:t>
      </w:r>
    </w:p>
    <w:p w14:paraId="358660BF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3. 测量不确定度来源分析 </w:t>
      </w:r>
    </w:p>
    <w:p w14:paraId="1D234C16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标准器引入</w:t>
      </w:r>
      <m:oMath>
        <m:r>
          <m:rPr/>
          <w:rPr>
            <w:rFonts w:hint="eastAsia" w:ascii="Cambria Math" w:hAnsi="Cambria Math"/>
            <w:sz w:val="24"/>
            <w:szCs w:val="24"/>
          </w:rPr>
          <m:t>u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/>
              <w:rPr>
                <w:rFonts w:ascii="Cambria Math" w:hAnsi="Cambria Math"/>
                <w:sz w:val="24"/>
                <w:szCs w:val="24"/>
              </w:rPr>
              <m:t>L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</m:d>
      </m:oMath>
      <w:r>
        <w:rPr>
          <w:rFonts w:hAnsi="宋体"/>
          <w:sz w:val="24"/>
          <w:szCs w:val="24"/>
        </w:rPr>
        <w:t>：标准能见度仪的准确度等级。</w:t>
      </w:r>
    </w:p>
    <w:p w14:paraId="7B3512FE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被校仪器引入</w:t>
      </w:r>
      <m:oMath>
        <m:r>
          <m:rPr/>
          <w:rPr>
            <w:rFonts w:ascii="Cambria Math" w:hAnsi="Cambria Math"/>
            <w:sz w:val="24"/>
            <w:szCs w:val="24"/>
          </w:rPr>
          <m:t>u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sz w:val="24"/>
                <w:szCs w:val="24"/>
              </w:rPr>
            </m:ctrlPr>
          </m:e>
        </m:d>
      </m:oMath>
      <w:r>
        <w:rPr>
          <w:rFonts w:hint="eastAsia" w:hAnsi="宋体"/>
          <w:sz w:val="24"/>
          <w:szCs w:val="24"/>
        </w:rPr>
        <w:t>:</w:t>
      </w:r>
      <w:r>
        <w:rPr>
          <w:rFonts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</w:rPr>
        <w:t>前向散射式能见度仪</w:t>
      </w:r>
      <w:r>
        <w:rPr>
          <w:rFonts w:hAnsi="宋体"/>
          <w:sz w:val="24"/>
          <w:szCs w:val="24"/>
        </w:rPr>
        <w:t>的准确度等级</w:t>
      </w:r>
    </w:p>
    <w:p w14:paraId="3633BF86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测量重复性 </w:t>
      </w:r>
      <m:oMath>
        <m:r>
          <m:rPr/>
          <w:rPr>
            <w:rFonts w:ascii="Cambria Math" w:hAnsi="Cambria Math"/>
            <w:sz w:val="24"/>
            <w:szCs w:val="24"/>
          </w:rPr>
          <m:t>u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sz w:val="24"/>
                <w:szCs w:val="24"/>
              </w:rPr>
            </m:ctrlPr>
          </m:e>
        </m:d>
      </m:oMath>
      <w:r>
        <w:rPr>
          <w:rFonts w:hAnsi="宋体"/>
          <w:sz w:val="24"/>
          <w:szCs w:val="24"/>
        </w:rPr>
        <w:t>：仪器自身的噪声、漂移的随机波动。</w:t>
      </w:r>
    </w:p>
    <w:p w14:paraId="7DEE1686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分辨力引入</w:t>
      </w:r>
      <m:oMath>
        <m:r>
          <m:rPr/>
          <w:rPr>
            <w:rFonts w:hint="eastAsia" w:ascii="Cambria Math" w:hAnsi="Cambria Math"/>
            <w:sz w:val="24"/>
            <w:szCs w:val="24"/>
          </w:rPr>
          <m:t>u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/>
              <w:rPr>
                <w:rFonts w:hint="eastAsia" w:ascii="Cambria Math" w:hAnsi="Cambria Math"/>
                <w:sz w:val="24"/>
                <w:szCs w:val="24"/>
              </w:rPr>
              <m:t>τ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</m:d>
      </m:oMath>
      <w:r>
        <w:rPr>
          <w:rFonts w:hAnsi="宋体"/>
          <w:sz w:val="24"/>
          <w:szCs w:val="24"/>
        </w:rPr>
        <w:t>：仪器的最小分辨力。</w:t>
      </w:r>
    </w:p>
    <w:p w14:paraId="31E30851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环境条件引入</w:t>
      </w:r>
      <m:oMath>
        <m:r>
          <m:rPr/>
          <w:rPr>
            <w:rFonts w:hint="eastAsia" w:ascii="Cambria Math" w:hAnsi="Cambria Math"/>
            <w:sz w:val="24"/>
            <w:szCs w:val="24"/>
          </w:rPr>
          <m:t>u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/>
              <w:rPr>
                <w:rFonts w:ascii="Cambria Math" w:hAnsi="Cambria Math"/>
                <w:sz w:val="24"/>
                <w:szCs w:val="24"/>
              </w:rPr>
              <m:t>r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</m:d>
      </m:oMath>
      <w:r>
        <w:rPr>
          <w:rFonts w:hAnsi="宋体"/>
          <w:sz w:val="24"/>
          <w:szCs w:val="24"/>
        </w:rPr>
        <w:t>：</w:t>
      </w:r>
      <w:r>
        <w:rPr>
          <w:rFonts w:hint="eastAsia" w:hAnsi="宋体"/>
          <w:sz w:val="24"/>
          <w:szCs w:val="24"/>
        </w:rPr>
        <w:t>模拟环境均匀性</w:t>
      </w:r>
      <w:r>
        <w:rPr>
          <w:rFonts w:hAnsi="宋体"/>
          <w:sz w:val="24"/>
          <w:szCs w:val="24"/>
        </w:rPr>
        <w:t>的影响。</w:t>
      </w:r>
    </w:p>
    <w:p w14:paraId="532D68D5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4. </w:t>
      </w:r>
      <w:r>
        <w:rPr>
          <w:rFonts w:hint="eastAsia" w:hAnsi="宋体"/>
          <w:sz w:val="24"/>
          <w:szCs w:val="24"/>
        </w:rPr>
        <w:t>标准不确定度评定</w:t>
      </w:r>
    </w:p>
    <w:p w14:paraId="18454D87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4.1标准器引入的不确定度</w:t>
      </w:r>
      <m:oMath>
        <m:r>
          <m:rPr/>
          <w:rPr>
            <w:rFonts w:hint="eastAsia" w:ascii="Cambria Math" w:hAnsi="Cambria Math"/>
            <w:sz w:val="24"/>
            <w:szCs w:val="24"/>
          </w:rPr>
          <m:t>u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/>
              <w:rPr>
                <w:rFonts w:ascii="Cambria Math" w:hAnsi="Cambria Math"/>
                <w:sz w:val="24"/>
                <w:szCs w:val="24"/>
              </w:rPr>
              <m:t>L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</m:d>
      </m:oMath>
    </w:p>
    <w:p w14:paraId="0BFD043B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Ansi="宋体"/>
          <w:sz w:val="24"/>
          <w:szCs w:val="24"/>
        </w:rPr>
        <w:t>标准装置的溯源证书上给出的扩展不确定度为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/>
                <w:sz w:val="24"/>
                <w:szCs w:val="24"/>
              </w:rPr>
              <m:t>U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  <m:sub>
            <m:r>
              <m:rPr/>
              <w:rPr>
                <w:rFonts w:hint="eastAsia" w:ascii="Cambria Math" w:hAnsi="Cambria Math"/>
                <w:sz w:val="24"/>
                <w:szCs w:val="24"/>
              </w:rPr>
              <m:t>rel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sub>
        </m:sSub>
        <m:r>
          <m:rPr/>
          <w:rPr>
            <w:rFonts w:hint="eastAsia" w:ascii="Cambria Math" w:hAnsi="Cambria Math"/>
            <w:sz w:val="24"/>
            <w:szCs w:val="24"/>
          </w:rPr>
          <m:t>=2.0%</m:t>
        </m:r>
      </m:oMath>
      <w:r>
        <w:rPr>
          <w:rFonts w:hAnsi="宋体"/>
          <w:sz w:val="24"/>
          <w:szCs w:val="24"/>
        </w:rPr>
        <w:t>，</w:t>
      </w:r>
      <w:r>
        <w:rPr>
          <w:rFonts w:hint="eastAsia" w:hAnsi="宋体"/>
          <w:i/>
          <w:iCs/>
          <w:sz w:val="24"/>
          <w:szCs w:val="24"/>
        </w:rPr>
        <w:t>k</w:t>
      </w:r>
      <w:r>
        <w:rPr>
          <w:rFonts w:hAnsi="宋体"/>
          <w:sz w:val="24"/>
          <w:szCs w:val="24"/>
        </w:rPr>
        <w:t>=2。所以在测量点能见度</w:t>
      </w:r>
      <w:r>
        <w:rPr>
          <w:rFonts w:hint="eastAsia" w:hAnsi="宋体"/>
          <w:sz w:val="24"/>
          <w:szCs w:val="24"/>
        </w:rPr>
        <w:t>为</w:t>
      </w:r>
      <w:r>
        <w:rPr>
          <w:rFonts w:hAnsi="宋体"/>
          <w:sz w:val="24"/>
          <w:szCs w:val="24"/>
        </w:rPr>
        <w:t>1000m时，由标准装置引入的标准不确定度为：</w:t>
      </w:r>
    </w:p>
    <w:p w14:paraId="49EDBD55">
      <w:pPr>
        <w:pStyle w:val="38"/>
        <w:tabs>
          <w:tab w:val="left" w:pos="420"/>
        </w:tabs>
        <w:spacing w:line="360" w:lineRule="auto"/>
        <w:ind w:firstLine="0"/>
        <w:jc w:val="center"/>
        <w:rPr>
          <w:rFonts w:hAnsi="宋体"/>
          <w:iCs/>
          <w:sz w:val="24"/>
          <w:szCs w:val="24"/>
        </w:rPr>
      </w:pPr>
      <m:oMath>
        <m:r>
          <m:rPr/>
          <w:rPr>
            <w:rFonts w:hint="eastAsia" w:ascii="Cambria Math" w:hAnsi="Cambria Math"/>
            <w:sz w:val="24"/>
            <w:szCs w:val="24"/>
          </w:rPr>
          <m:t>u</m:t>
        </m:r>
        <m:d>
          <m:dPr>
            <m:begChr m:val="（"/>
            <m:endChr m:val="）"/>
            <m:ctrlPr>
              <w:rPr>
                <w:rFonts w:ascii="Cambria Math" w:hAnsi="Cambria Math"/>
                <w:iCs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Cs/>
                    <w:sz w:val="24"/>
                    <w:szCs w:val="24"/>
                  </w:rPr>
                </m:ctrlPr>
              </m:accPr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  <m:ctrlPr>
                  <w:rPr>
                    <w:rFonts w:ascii="Cambria Math" w:hAnsi="Cambria Math"/>
                    <w:iCs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iCs/>
                <w:sz w:val="24"/>
                <w:szCs w:val="24"/>
              </w:rPr>
            </m:ctrlPr>
          </m:e>
        </m:d>
        <m:r>
          <m:rPr>
            <m:sty m:val="p"/>
          </m:rPr>
          <w:rPr>
            <w:rFonts w:hint="eastAsia"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fPr>
          <m:num>
            <m:r>
              <m:rPr/>
              <w:rPr>
                <w:rFonts w:hint="eastAsia" w:ascii="Cambria Math" w:hAnsi="Cambria Math"/>
                <w:sz w:val="24"/>
                <w:szCs w:val="24"/>
              </w:rPr>
              <m:t>1000</m:t>
            </m:r>
            <m:r>
              <m:rPr>
                <m:sty m:val="p"/>
              </m:rPr>
              <w:rPr>
                <w:rFonts w:hint="eastAsia" w:ascii="Cambria Math" w:hAnsi="Cambria Math"/>
                <w:sz w:val="24"/>
                <w:szCs w:val="24"/>
              </w:rPr>
              <m:t>m</m:t>
            </m:r>
            <m:r>
              <m:rPr/>
              <w:rPr>
                <w:rFonts w:ascii="Cambria Math" w:hAnsi="Cambria Math"/>
                <w:sz w:val="24"/>
                <w:szCs w:val="24"/>
              </w:rPr>
              <m:t>×</m:t>
            </m:r>
            <m:r>
              <m:rPr/>
              <w:rPr>
                <w:rFonts w:hint="eastAsia" w:ascii="Cambria Math" w:hAnsi="Cambria Math"/>
                <w:sz w:val="24"/>
                <w:szCs w:val="24"/>
              </w:rPr>
              <m:t>2%</m:t>
            </m: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num>
          <m:den>
            <m:r>
              <m:rPr/>
              <w:rPr>
                <w:rFonts w:hint="eastAsia"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den>
        </m:f>
        <m:r>
          <m:rPr/>
          <w:rPr>
            <w:rFonts w:hint="eastAsia" w:ascii="Cambria Math" w:hAnsi="Cambria Math"/>
            <w:sz w:val="24"/>
            <w:szCs w:val="24"/>
          </w:rPr>
          <m:t>=10</m:t>
        </m:r>
      </m:oMath>
      <w:r>
        <w:rPr>
          <w:rFonts w:hint="eastAsia" w:hAnsi="宋体"/>
          <w:iCs/>
          <w:sz w:val="24"/>
          <w:szCs w:val="24"/>
        </w:rPr>
        <w:t>m</w:t>
      </w:r>
    </w:p>
    <w:p w14:paraId="2AC23D8E">
      <w:pPr>
        <w:pStyle w:val="38"/>
        <w:tabs>
          <w:tab w:val="left" w:pos="420"/>
        </w:tabs>
        <w:spacing w:line="360" w:lineRule="auto"/>
        <w:ind w:firstLine="0"/>
        <w:jc w:val="left"/>
        <w:rPr>
          <w:rFonts w:hAnsi="宋体"/>
          <w:iCs/>
          <w:sz w:val="24"/>
          <w:szCs w:val="24"/>
        </w:rPr>
      </w:pPr>
      <w:r>
        <w:rPr>
          <w:rFonts w:hint="eastAsia" w:hAnsi="宋体"/>
          <w:iCs/>
          <w:sz w:val="24"/>
          <w:szCs w:val="24"/>
        </w:rPr>
        <w:t>估计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/>
              <w:rPr>
                <w:rFonts w:ascii="Cambria Math" w:hAnsi="Cambria Math"/>
                <w:sz w:val="24"/>
                <w:szCs w:val="24"/>
              </w:rPr>
              <m:t>∆</m:t>
            </m:r>
            <m:r>
              <m:rPr/>
              <w:rPr>
                <w:rFonts w:hint="eastAsia" w:ascii="Cambria Math" w:hAnsi="Cambria Math"/>
                <w:sz w:val="24"/>
                <w:szCs w:val="24"/>
              </w:rPr>
              <m:t>u</m:t>
            </m:r>
            <m:d>
              <m:dPr>
                <m:begChr m:val="（"/>
                <m:endChr m:val="）"/>
                <m:ctrlPr>
                  <w:rPr>
                    <w:rFonts w:ascii="Cambria Math" w:hAnsi="Cambria Math"/>
                    <w:iCs/>
                    <w:sz w:val="24"/>
                    <w:szCs w:val="24"/>
                  </w:rPr>
                </m:ctrlPr>
              </m:d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e>
                </m:acc>
                <m:ctrlPr>
                  <w:rPr>
                    <w:rFonts w:ascii="Cambria Math" w:hAnsi="Cambria Math"/>
                    <w:iCs/>
                    <w:sz w:val="24"/>
                    <w:szCs w:val="24"/>
                  </w:rPr>
                </m:ctrlPr>
              </m:e>
            </m:d>
            <m:ctrlPr>
              <w:rPr>
                <w:rFonts w:ascii="Cambria Math" w:hAnsi="Cambria Math"/>
                <w:i/>
                <w:sz w:val="24"/>
                <w:szCs w:val="24"/>
              </w:rPr>
            </m:ctrlPr>
          </m:num>
          <m:den>
            <m:r>
              <m:rPr/>
              <w:rPr>
                <w:rFonts w:hint="eastAsia" w:ascii="Cambria Math" w:hAnsi="Cambria Math"/>
                <w:sz w:val="24"/>
                <w:szCs w:val="24"/>
              </w:rPr>
              <m:t>u</m:t>
            </m:r>
            <m:d>
              <m:dPr>
                <m:begChr m:val="（"/>
                <m:endChr m:val="）"/>
                <m:ctrlPr>
                  <w:rPr>
                    <w:rFonts w:ascii="Cambria Math" w:hAnsi="Cambria Math"/>
                    <w:iCs/>
                    <w:sz w:val="24"/>
                    <w:szCs w:val="24"/>
                  </w:rPr>
                </m:ctrlPr>
              </m:d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e>
                </m:acc>
                <m:ctrlPr>
                  <w:rPr>
                    <w:rFonts w:ascii="Cambria Math" w:hAnsi="Cambria Math"/>
                    <w:iCs/>
                    <w:sz w:val="24"/>
                    <w:szCs w:val="24"/>
                  </w:rPr>
                </m:ctrlPr>
              </m:e>
            </m:d>
            <m:ctrlPr>
              <w:rPr>
                <w:rFonts w:ascii="Cambria Math" w:hAnsi="Cambria Math"/>
                <w:i/>
                <w:sz w:val="24"/>
                <w:szCs w:val="24"/>
              </w:rPr>
            </m:ctrlPr>
          </m:den>
        </m:f>
        <m:r>
          <m:rPr/>
          <w:rPr>
            <w:rFonts w:hint="eastAsia" w:ascii="Cambria Math" w:hAnsi="Cambria Math"/>
            <w:sz w:val="24"/>
            <w:szCs w:val="24"/>
          </w:rPr>
          <m:t>=0.2</m:t>
        </m:r>
      </m:oMath>
      <w:r>
        <w:rPr>
          <w:rFonts w:hint="eastAsia" w:hAnsi="宋体"/>
          <w:sz w:val="24"/>
          <w:szCs w:val="24"/>
        </w:rPr>
        <w:t>，自由度为：</w:t>
      </w:r>
      <m:oMath>
        <m:r>
          <m:rPr/>
          <w:rPr>
            <w:rFonts w:hint="eastAsia" w:ascii="Cambria Math" w:hAnsi="Cambria Math"/>
            <w:sz w:val="24"/>
            <w:szCs w:val="24"/>
          </w:rPr>
          <m:t>v</m:t>
        </m:r>
        <m:d>
          <m:dPr>
            <m:begChr m:val="（"/>
            <m:endChr m:val="）"/>
            <m:ctrlPr>
              <w:rPr>
                <w:rFonts w:ascii="Cambria Math" w:hAnsi="Cambria Math"/>
                <w:iCs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Cs/>
                    <w:sz w:val="24"/>
                    <w:szCs w:val="24"/>
                  </w:rPr>
                </m:ctrlPr>
              </m:accPr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  <m:ctrlPr>
                  <w:rPr>
                    <w:rFonts w:ascii="Cambria Math" w:hAnsi="Cambria Math"/>
                    <w:iCs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iCs/>
                <w:sz w:val="24"/>
                <w:szCs w:val="24"/>
              </w:rPr>
            </m:ctrlPr>
          </m:e>
        </m:d>
        <m:r>
          <m:rPr/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fPr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den>
        </m:f>
        <m:sSup>
          <m:sSupPr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iCs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∆</m:t>
                    </m:r>
                    <m:r>
                      <m:rPr/>
                      <w:rPr>
                        <w:rFonts w:hint="eastAsia" w:ascii="Cambria Math" w:hAnsi="Cambria Math"/>
                        <w:sz w:val="24"/>
                        <w:szCs w:val="24"/>
                      </w:rPr>
                      <m:t>u</m:t>
                    </m:r>
                    <m:d>
                      <m:dPr>
                        <m:begChr m:val="（"/>
                        <m:endChr m:val="）"/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d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m:rPr/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L</m:t>
                            </m:r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e>
                        </m:acc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e>
                    </m:d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hint="eastAsia" w:ascii="Cambria Math" w:hAnsi="Cambria Math"/>
                        <w:sz w:val="24"/>
                        <w:szCs w:val="24"/>
                      </w:rPr>
                      <m:t>u</m:t>
                    </m:r>
                    <m:d>
                      <m:dPr>
                        <m:begChr m:val="（"/>
                        <m:endChr m:val="）"/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d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m:rPr/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L</m:t>
                            </m:r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e>
                        </m:acc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e>
                    </m:d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en>
                </m:f>
                <m:ctrlPr>
                  <w:rPr>
                    <w:rFonts w:ascii="Cambria Math" w:hAnsi="Cambria Math"/>
                    <w:i/>
                    <w:iCs/>
                    <w:sz w:val="24"/>
                    <w:szCs w:val="24"/>
                  </w:rPr>
                </m:ctrlPr>
              </m:e>
            </m:d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e>
          <m:sup>
            <m:r>
              <m:rPr/>
              <w:rPr>
                <w:rFonts w:ascii="Cambria Math" w:hAnsi="Cambria Math"/>
                <w:sz w:val="24"/>
                <w:szCs w:val="24"/>
              </w:rPr>
              <m:t>−2</m:t>
            </m:r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sup>
        </m:sSup>
        <m:r>
          <m:rPr/>
          <w:rPr>
            <w:rFonts w:ascii="Cambria Math" w:hAnsi="Cambria Math"/>
            <w:sz w:val="24"/>
            <w:szCs w:val="24"/>
          </w:rPr>
          <m:t>=13</m:t>
        </m:r>
      </m:oMath>
    </w:p>
    <w:p w14:paraId="510A3D1D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4.2</w:t>
      </w:r>
      <w:r>
        <w:rPr>
          <w:rFonts w:hAnsi="宋体"/>
          <w:sz w:val="24"/>
          <w:szCs w:val="24"/>
        </w:rPr>
        <w:t>由被校仪器分辨力引入的标准不确定度</w:t>
      </w:r>
    </w:p>
    <w:p w14:paraId="7635D7BE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Ansi="宋体"/>
          <w:sz w:val="24"/>
          <w:szCs w:val="24"/>
        </w:rPr>
        <w:t>被校仪器分辨力为满量程的0.1%或0.01%,其引入的不确定度分量约为0.029%</w:t>
      </w:r>
    </w:p>
    <w:p w14:paraId="76BAB363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或0.0029%,小于重复性所引入的不确定度分量,故不考虑仪器分辨力所引入的不确定度分量。</w:t>
      </w:r>
    </w:p>
    <w:p w14:paraId="64C0A7E3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4.3</w:t>
      </w:r>
      <w:r>
        <w:rPr>
          <w:rFonts w:hAnsi="宋体"/>
          <w:sz w:val="24"/>
          <w:szCs w:val="24"/>
        </w:rPr>
        <w:t>由测量重复性引入的标准不确定度</w:t>
      </w:r>
      <m:oMath>
        <m:r>
          <m:rPr/>
          <w:rPr>
            <w:rFonts w:ascii="Cambria Math" w:hAnsi="Cambria Math"/>
            <w:sz w:val="24"/>
            <w:szCs w:val="24"/>
          </w:rPr>
          <m:t>u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sz w:val="24"/>
                <w:szCs w:val="24"/>
              </w:rPr>
            </m:ctrlPr>
          </m:e>
        </m:d>
      </m:oMath>
    </w:p>
    <w:p w14:paraId="2ADAAAAA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Ansi="宋体"/>
          <w:sz w:val="24"/>
          <w:szCs w:val="24"/>
        </w:rPr>
        <w:t>测量重复性可以通过连续测量得到的测量列，采用 A 类方法进行评定</w:t>
      </w:r>
      <w:r>
        <w:rPr>
          <w:rFonts w:hint="eastAsia" w:hAnsi="宋体"/>
          <w:sz w:val="24"/>
          <w:szCs w:val="24"/>
        </w:rPr>
        <w:t>。</w:t>
      </w:r>
      <w:r>
        <w:rPr>
          <w:rFonts w:hAnsi="宋体"/>
          <w:sz w:val="24"/>
          <w:szCs w:val="24"/>
        </w:rPr>
        <w:t>以测量点能见度1000m为例，测量</w:t>
      </w:r>
      <w:r>
        <w:rPr>
          <w:rFonts w:hint="eastAsia" w:hAnsi="宋体"/>
          <w:sz w:val="24"/>
          <w:szCs w:val="24"/>
        </w:rPr>
        <w:t>三</w:t>
      </w:r>
      <w:r>
        <w:rPr>
          <w:rFonts w:hAnsi="宋体"/>
          <w:sz w:val="24"/>
          <w:szCs w:val="24"/>
        </w:rPr>
        <w:t>次，</w:t>
      </w:r>
      <w:r>
        <w:rPr>
          <w:rFonts w:hint="eastAsia" w:hAnsi="宋体"/>
          <w:sz w:val="24"/>
          <w:szCs w:val="24"/>
        </w:rPr>
        <w:t>分别为977m，979m，987m。</w:t>
      </w:r>
    </w:p>
    <w:p w14:paraId="23E6D4D5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iCs/>
          <w:sz w:val="24"/>
          <w:szCs w:val="24"/>
        </w:rPr>
      </w:pPr>
      <w:r>
        <w:rPr>
          <w:rFonts w:hAnsi="宋体"/>
          <w:sz w:val="24"/>
          <w:szCs w:val="24"/>
        </w:rPr>
        <w:t>使用极差法,可得到</w:t>
      </w:r>
      <m:oMath>
        <m:r>
          <m:rPr/>
          <w:rPr>
            <w:rFonts w:hint="eastAsia" w:ascii="Cambria Math" w:hAnsi="Cambria Math"/>
            <w:sz w:val="24"/>
            <w:szCs w:val="24"/>
          </w:rPr>
          <m:t>u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sz w:val="24"/>
                <w:szCs w:val="24"/>
              </w:rPr>
            </m:ctrlP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hint="eastAsia" w:ascii="Cambria Math" w:hAnsi="Cambria Math"/>
            <w:sz w:val="24"/>
            <w:szCs w:val="24"/>
          </w:rPr>
          <m:t>R/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(</m:t>
        </m:r>
        <m:r>
          <m:rPr>
            <m:sty m:val="p"/>
          </m:rPr>
          <w:rPr>
            <w:rFonts w:hint="eastAsia" w:ascii="Cambria Math" w:hAnsi="Cambria Math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×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</w:rPr>
            </m:ctrlPr>
          </m:radPr>
          <m:deg>
            <m:ctrlPr>
              <w:rPr>
                <w:rFonts w:ascii="Cambria Math" w:hAnsi="Cambria Math"/>
                <w:sz w:val="24"/>
                <w:szCs w:val="24"/>
              </w:rPr>
            </m:ctrlPr>
          </m:deg>
          <m:e>
            <m:r>
              <m:rPr/>
              <w:rPr>
                <w:rFonts w:hint="eastAsia" w:ascii="Cambria Math" w:hAnsi="Cambria Math"/>
                <w:sz w:val="24"/>
                <w:szCs w:val="24"/>
              </w:rPr>
              <m:t>n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</m:rad>
        <m:r>
          <m:rPr>
            <m:sty m:val="p"/>
          </m:rPr>
          <w:rPr>
            <w:rFonts w:ascii="Cambria Math" w:hAnsi="Cambria Math"/>
            <w:sz w:val="24"/>
            <w:szCs w:val="24"/>
          </w:rPr>
          <m:t>)</m:t>
        </m:r>
        <m:r>
          <m:rPr/>
          <w:rPr>
            <w:rFonts w:ascii="Cambria Math" w:hAnsi="Cambria Math"/>
            <w:sz w:val="24"/>
            <w:szCs w:val="24"/>
          </w:rPr>
          <m:t>=</m:t>
        </m:r>
        <m:r>
          <m:rPr/>
          <w:rPr>
            <w:rFonts w:hint="eastAsia" w:ascii="Cambria Math" w:hAnsi="Cambria Math"/>
            <w:sz w:val="24"/>
            <w:szCs w:val="24"/>
          </w:rPr>
          <m:t>10</m:t>
        </m:r>
        <m:r>
          <m:rPr>
            <m:sty m:val="p"/>
          </m:rPr>
          <w:rPr>
            <w:rFonts w:hint="eastAsia" w:ascii="Cambria Math" w:hAnsi="Cambria Math"/>
            <w:sz w:val="24"/>
            <w:szCs w:val="24"/>
          </w:rPr>
          <m:t>m</m:t>
        </m:r>
        <m:r>
          <m:rPr/>
          <w:rPr>
            <w:rFonts w:hint="eastAsia" w:ascii="Cambria Math" w:hAnsi="Cambria Math"/>
            <w:sz w:val="24"/>
            <w:szCs w:val="24"/>
          </w:rPr>
          <m:t>/</m:t>
        </m:r>
        <m:r>
          <m:rPr/>
          <w:rPr>
            <w:rFonts w:ascii="Cambria Math" w:hAnsi="Cambria Math"/>
            <w:sz w:val="24"/>
            <w:szCs w:val="24"/>
          </w:rPr>
          <m:t>(</m:t>
        </m:r>
        <m:r>
          <m:rPr/>
          <w:rPr>
            <w:rFonts w:hint="eastAsia" w:ascii="Cambria Math" w:hAnsi="Cambria Math"/>
            <w:sz w:val="24"/>
            <w:szCs w:val="24"/>
          </w:rPr>
          <m:t>1.69</m:t>
        </m:r>
        <m:r>
          <m:rPr/>
          <w:rPr>
            <w:rFonts w:ascii="Cambria Math" w:hAnsi="Cambria Math"/>
            <w:sz w:val="24"/>
            <w:szCs w:val="24"/>
          </w:rPr>
          <m:t>×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</w:rPr>
            </m:ctrlPr>
          </m:radPr>
          <m:deg>
            <m:ctrlPr>
              <w:rPr>
                <w:rFonts w:ascii="Cambria Math" w:hAnsi="Cambria Math"/>
                <w:sz w:val="24"/>
                <w:szCs w:val="24"/>
              </w:rPr>
            </m:ctrlPr>
          </m:deg>
          <m:e>
            <m:r>
              <m:rPr/>
              <w:rPr>
                <w:rFonts w:hint="eastAsia"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</m:rad>
        <m:r>
          <m:rPr/>
          <w:rPr>
            <w:rFonts w:ascii="Cambria Math" w:hAnsi="Cambria Math"/>
            <w:sz w:val="24"/>
            <w:szCs w:val="24"/>
          </w:rPr>
          <m:t>)≈</m:t>
        </m:r>
        <m:r>
          <m:rPr/>
          <w:rPr>
            <w:rFonts w:hint="eastAsia" w:ascii="Cambria Math" w:hAnsi="Cambria Math"/>
            <w:sz w:val="24"/>
            <w:szCs w:val="24"/>
          </w:rPr>
          <m:t>3.42</m:t>
        </m:r>
        <m:r>
          <m:rPr>
            <m:sty m:val="p"/>
          </m:rPr>
          <w:rPr>
            <w:rFonts w:hint="eastAsia" w:ascii="Cambria Math" w:hAnsi="Cambria Math"/>
            <w:sz w:val="24"/>
            <w:szCs w:val="24"/>
          </w:rPr>
          <m:t>m</m:t>
        </m:r>
      </m:oMath>
    </w:p>
    <w:p w14:paraId="47595CD2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进行3次独立重复测量,其自由度为:</w:t>
      </w:r>
      <w:r>
        <w:rPr>
          <w:rFonts w:ascii="Cambria Math" w:hAnsi="Cambria Math"/>
          <w:i/>
          <w:sz w:val="24"/>
          <w:szCs w:val="24"/>
        </w:rPr>
        <w:t xml:space="preserve"> </w:t>
      </w:r>
      <m:oMath>
        <m:r>
          <m:rPr/>
          <w:rPr>
            <w:rFonts w:ascii="Cambria Math" w:hAnsi="Cambria Math"/>
            <w:sz w:val="24"/>
            <w:szCs w:val="24"/>
          </w:rPr>
          <m:t>v=1.8</m:t>
        </m:r>
      </m:oMath>
    </w:p>
    <w:p w14:paraId="3D249DA7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4.4 环境条件引入的标准不确定度 </w:t>
      </w:r>
    </w:p>
    <w:p w14:paraId="65C6EC7D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4.4.1</w:t>
      </w:r>
      <w:r>
        <w:rPr>
          <w:rFonts w:hAnsi="宋体"/>
          <w:sz w:val="24"/>
          <w:szCs w:val="24"/>
        </w:rPr>
        <w:t>偏离理想大气能见度条件引入的不确定度</w:t>
      </w:r>
    </w:p>
    <w:p w14:paraId="3568E7EE">
      <w:pPr>
        <w:pStyle w:val="38"/>
        <w:tabs>
          <w:tab w:val="left" w:pos="420"/>
        </w:tabs>
        <w:spacing w:line="360" w:lineRule="auto"/>
        <w:ind w:firstLine="0"/>
        <w:jc w:val="left"/>
        <w:rPr>
          <w:rFonts w:hAnsi="宋体"/>
          <w:iCs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Ansi="宋体"/>
          <w:sz w:val="24"/>
          <w:szCs w:val="24"/>
        </w:rPr>
        <w:t>由仪器定标偏离理想大气能见度条引入的不确定度分量,理想大气能见度约为277km,校准时现场能见度不得低于10km,对应2m基线长度时透射比相差0.0006,对应在</w:t>
      </w:r>
      <w:r>
        <w:rPr>
          <w:rFonts w:hint="eastAsia" w:hAnsi="宋体"/>
          <w:sz w:val="24"/>
          <w:szCs w:val="24"/>
        </w:rPr>
        <w:t>1000</w:t>
      </w:r>
      <w:r>
        <w:rPr>
          <w:rFonts w:hAnsi="宋体"/>
          <w:sz w:val="24"/>
          <w:szCs w:val="24"/>
        </w:rPr>
        <w:t>m 能见度下,其对应能见度系统偏差</w:t>
      </w:r>
      <w:r>
        <w:rPr>
          <w:rFonts w:hint="eastAsia" w:hAnsi="宋体"/>
          <w:sz w:val="24"/>
          <w:szCs w:val="24"/>
        </w:rPr>
        <w:t>绝对值约为19</w:t>
      </w:r>
      <w:r>
        <w:rPr>
          <w:rFonts w:hAnsi="宋体"/>
          <w:sz w:val="24"/>
          <w:szCs w:val="24"/>
        </w:rPr>
        <w:t>m,此项服从均匀分布,则此标准不确定度为:</w:t>
      </w:r>
      <w:r>
        <w:rPr>
          <w:rFonts w:ascii="Cambria Math" w:hAnsi="Cambria Math"/>
          <w:i/>
          <w:sz w:val="24"/>
          <w:szCs w:val="24"/>
        </w:rPr>
        <w:br w:type="textWrapping"/>
      </w:r>
      <m:oMathPara>
        <m:oMath>
          <m:r>
            <m:rPr/>
            <w:rPr>
              <w:rFonts w:ascii="Cambria Math" w:hAnsi="Cambria Math"/>
              <w:sz w:val="24"/>
              <w:szCs w:val="24"/>
            </w:rPr>
            <m:t>u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ub>
              </m:sSub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/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m:rPr/>
                <w:rPr>
                  <w:rFonts w:hint="eastAsia" w:ascii="Cambria Math" w:hAnsi="Cambria Math"/>
                  <w:sz w:val="24"/>
                  <w:szCs w:val="24"/>
                </w:rPr>
                <m:t>19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eg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</m:rad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en>
          </m:f>
          <m:r>
            <m:rPr/>
            <w:rPr>
              <w:rFonts w:ascii="Cambria Math" w:hAnsi="Cambria Math"/>
              <w:sz w:val="24"/>
              <w:szCs w:val="24"/>
            </w:rPr>
            <m:t>≈</m:t>
          </m:r>
          <m:r>
            <m:rPr/>
            <w:rPr>
              <w:rFonts w:hint="eastAsia" w:ascii="Cambria Math" w:hAnsi="Cambria Math"/>
              <w:sz w:val="24"/>
              <w:szCs w:val="24"/>
            </w:rPr>
            <m:t>11.0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m</m:t>
          </m:r>
        </m:oMath>
      </m:oMathPara>
    </w:p>
    <w:p w14:paraId="6B353FF9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由于此项目不确定度是按偏离理想大气能见度的最大值计算的,则认为:</w:t>
      </w:r>
      <m:oMath>
        <m:r>
          <m:rPr/>
          <w:rPr>
            <w:rFonts w:ascii="Cambria Math" w:hAnsi="Cambria Math"/>
            <w:sz w:val="24"/>
            <w:szCs w:val="24"/>
          </w:rPr>
          <m:t>v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sz w:val="24"/>
                <w:szCs w:val="24"/>
              </w:rPr>
            </m:ctrlPr>
          </m:e>
        </m:d>
      </m:oMath>
      <w:r>
        <w:rPr>
          <w:rFonts w:hAnsi="宋体"/>
          <w:sz w:val="24"/>
          <w:szCs w:val="24"/>
        </w:rPr>
        <w:t>→∞</w:t>
      </w:r>
    </w:p>
    <w:p w14:paraId="44184994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4.4.2</w:t>
      </w:r>
      <w:r>
        <w:rPr>
          <w:rFonts w:hAnsi="宋体"/>
          <w:sz w:val="24"/>
          <w:szCs w:val="24"/>
        </w:rPr>
        <w:t>切割光线角度误差引入的不确定度</w:t>
      </w:r>
    </w:p>
    <w:p w14:paraId="05F20714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ab/>
      </w:r>
      <w:r>
        <w:rPr>
          <w:rFonts w:hAnsi="宋体"/>
          <w:sz w:val="24"/>
          <w:szCs w:val="24"/>
        </w:rPr>
        <w:t>由斩光器旋转平面与光路角度误差引入的不确定度分量,估计其最大变化量之绝对值为20m,此项服从三角分布,则此标准不确定度为:</w:t>
      </w:r>
    </w:p>
    <w:p w14:paraId="4DA2A697">
      <w:pPr>
        <w:pStyle w:val="38"/>
        <w:tabs>
          <w:tab w:val="left" w:pos="420"/>
        </w:tabs>
        <w:spacing w:line="360" w:lineRule="auto"/>
        <w:ind w:firstLine="0"/>
        <w:jc w:val="center"/>
        <w:rPr>
          <w:rFonts w:hAnsi="宋体"/>
          <w:sz w:val="24"/>
          <w:szCs w:val="24"/>
        </w:rPr>
      </w:pPr>
      <m:oMathPara>
        <m:oMath>
          <m:r>
            <m:rPr/>
            <w:rPr>
              <w:rFonts w:ascii="Cambria Math" w:hAnsi="Cambria Math"/>
              <w:sz w:val="24"/>
              <w:szCs w:val="24"/>
            </w:rPr>
            <m:t>u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ub>
              </m:sSub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/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m:rPr/>
                <w:rPr>
                  <w:rFonts w:hint="eastAsia" w:ascii="Cambria Math" w:hAnsi="Cambria Math"/>
                  <w:sz w:val="24"/>
                  <w:szCs w:val="24"/>
                </w:rPr>
                <m:t>20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eg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</m:rad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en>
          </m:f>
          <m:r>
            <m:rPr/>
            <w:rPr>
              <w:rFonts w:ascii="Cambria Math" w:hAnsi="Cambria Math"/>
              <w:sz w:val="24"/>
              <w:szCs w:val="24"/>
            </w:rPr>
            <m:t>≈</m:t>
          </m:r>
          <m:r>
            <m:rPr/>
            <w:rPr>
              <w:rFonts w:hint="eastAsia" w:ascii="Cambria Math" w:hAnsi="Cambria Math"/>
              <w:sz w:val="24"/>
              <w:szCs w:val="24"/>
            </w:rPr>
            <m:t>8.2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m</m:t>
          </m:r>
        </m:oMath>
      </m:oMathPara>
    </w:p>
    <w:p w14:paraId="7EB966EB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此项目不确定度是按角度响应值误差的最大变化量计算的,则认为:</w:t>
      </w:r>
      <m:oMath>
        <m:r>
          <m:rPr/>
          <w:rPr>
            <w:rFonts w:hint="eastAsia" w:ascii="Cambria Math" w:hAnsi="Cambria Math"/>
            <w:sz w:val="24"/>
            <w:szCs w:val="24"/>
          </w:rPr>
          <m:t>v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sz w:val="24"/>
                <w:szCs w:val="24"/>
              </w:rPr>
            </m:ctrlPr>
          </m:e>
        </m:d>
      </m:oMath>
      <w:r>
        <w:rPr>
          <w:rFonts w:hAnsi="宋体"/>
          <w:sz w:val="24"/>
          <w:szCs w:val="24"/>
        </w:rPr>
        <w:t>→ ∞</w:t>
      </w:r>
    </w:p>
    <w:p w14:paraId="195EFFB2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4.</w:t>
      </w:r>
      <w:r>
        <w:rPr>
          <w:rFonts w:hint="eastAsia" w:hAnsi="宋体"/>
          <w:sz w:val="24"/>
          <w:szCs w:val="24"/>
        </w:rPr>
        <w:t>4</w:t>
      </w:r>
      <w:r>
        <w:rPr>
          <w:rFonts w:hAnsi="宋体"/>
          <w:sz w:val="24"/>
          <w:szCs w:val="24"/>
        </w:rPr>
        <w:t>.</w:t>
      </w:r>
      <w:r>
        <w:rPr>
          <w:rFonts w:hint="eastAsia" w:hAnsi="宋体"/>
          <w:sz w:val="24"/>
          <w:szCs w:val="24"/>
        </w:rPr>
        <w:t>3</w:t>
      </w:r>
      <w:r>
        <w:rPr>
          <w:rFonts w:hAnsi="宋体"/>
          <w:sz w:val="24"/>
          <w:szCs w:val="24"/>
        </w:rPr>
        <w:t xml:space="preserve"> 测量环境温度变化引入的不确定度</w:t>
      </w:r>
    </w:p>
    <w:p w14:paraId="6C84120C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由测量环境温度变化引入的不确定度分量,估计其最大变化量之绝对值为5m,此</w:t>
      </w:r>
    </w:p>
    <w:p w14:paraId="13508024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项服从均匀分布,则此标准不确定度为:</w:t>
      </w:r>
    </w:p>
    <w:p w14:paraId="3A4A760B">
      <w:pPr>
        <w:pStyle w:val="38"/>
        <w:tabs>
          <w:tab w:val="left" w:pos="420"/>
        </w:tabs>
        <w:spacing w:line="360" w:lineRule="auto"/>
        <w:ind w:firstLine="0"/>
        <w:jc w:val="center"/>
        <w:rPr>
          <w:rFonts w:hAnsi="宋体"/>
          <w:sz w:val="24"/>
          <w:szCs w:val="24"/>
        </w:rPr>
      </w:pPr>
      <m:oMathPara>
        <m:oMath>
          <m:r>
            <m:rPr/>
            <w:rPr>
              <w:rFonts w:ascii="Cambria Math" w:hAnsi="Cambria Math"/>
              <w:sz w:val="24"/>
              <w:szCs w:val="24"/>
            </w:rPr>
            <m:t>u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ub>
              </m:sSub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/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m:rPr/>
                <w:rPr>
                  <w:rFonts w:hint="eastAsia" w:ascii="Cambria Math" w:hAnsi="Cambria Math"/>
                  <w:sz w:val="24"/>
                  <w:szCs w:val="24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eg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</m:rad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en>
          </m:f>
          <m:r>
            <m:rPr/>
            <w:rPr>
              <w:rFonts w:ascii="Cambria Math" w:hAnsi="Cambria Math"/>
              <w:sz w:val="24"/>
              <w:szCs w:val="24"/>
            </w:rPr>
            <m:t>≈</m:t>
          </m:r>
          <m:r>
            <m:rPr/>
            <w:rPr>
              <w:rFonts w:hint="eastAsia" w:ascii="Cambria Math" w:hAnsi="Cambria Math"/>
              <w:sz w:val="24"/>
              <w:szCs w:val="24"/>
            </w:rPr>
            <m:t>2.9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m</m:t>
          </m:r>
        </m:oMath>
      </m:oMathPara>
    </w:p>
    <w:p w14:paraId="31E86190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此项目不确定度是按测量环境温度最大变化量计算的,则认为:</w:t>
      </w:r>
      <w:r>
        <w:rPr>
          <w:rFonts w:ascii="Cambria Math" w:hAnsi="Cambria Math"/>
          <w:i/>
          <w:sz w:val="24"/>
          <w:szCs w:val="24"/>
        </w:rPr>
        <w:t xml:space="preserve"> </w:t>
      </w:r>
      <m:oMath>
        <m:r>
          <m:rPr/>
          <w:rPr>
            <w:rFonts w:hint="eastAsia" w:ascii="Cambria Math" w:hAnsi="Cambria Math"/>
            <w:sz w:val="24"/>
            <w:szCs w:val="24"/>
          </w:rPr>
          <m:t>v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hint="eastAsia" w:ascii="Cambria Math" w:hAnsi="Cambria Math"/>
                        <w:sz w:val="24"/>
                        <w:szCs w:val="24"/>
                      </w:rPr>
                      <m:t>3</m:t>
                    </m: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</m:acc>
            <m:ctrlPr>
              <w:rPr>
                <w:rFonts w:ascii="Cambria Math" w:hAnsi="Cambria Math"/>
                <w:sz w:val="24"/>
                <w:szCs w:val="24"/>
              </w:rPr>
            </m:ctrlPr>
          </m:e>
        </m:d>
      </m:oMath>
      <w:r>
        <w:rPr>
          <w:rFonts w:hAnsi="宋体"/>
          <w:sz w:val="24"/>
          <w:szCs w:val="24"/>
        </w:rPr>
        <w:t>→ ∞</w:t>
      </w:r>
    </w:p>
    <w:p w14:paraId="2D694360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</w:p>
    <w:p w14:paraId="6388A869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5. 输出量不确定度分量的评定</w:t>
      </w:r>
    </w:p>
    <w:p w14:paraId="01B36857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前向散射式能见度仪</w:t>
      </w:r>
      <w:r>
        <w:rPr>
          <w:rFonts w:hAnsi="宋体"/>
          <w:sz w:val="24"/>
          <w:szCs w:val="24"/>
        </w:rPr>
        <w:t>标准不确定度分量,及相关信息列于表 C.1。</w:t>
      </w:r>
    </w:p>
    <w:p w14:paraId="5A160E62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b/>
          <w:bCs/>
          <w:sz w:val="24"/>
          <w:szCs w:val="24"/>
        </w:rPr>
      </w:pPr>
    </w:p>
    <w:p w14:paraId="0015C3FC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b/>
          <w:bCs/>
          <w:sz w:val="24"/>
          <w:szCs w:val="24"/>
        </w:rPr>
      </w:pPr>
    </w:p>
    <w:p w14:paraId="5E72E8E5">
      <w:pPr>
        <w:pStyle w:val="38"/>
        <w:tabs>
          <w:tab w:val="left" w:pos="420"/>
        </w:tabs>
        <w:spacing w:line="360" w:lineRule="auto"/>
        <w:ind w:firstLine="0"/>
        <w:jc w:val="center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 xml:space="preserve">表 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 xml:space="preserve"> 透射式能见度校准装置标准不确定度分量及相关信息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1843"/>
        <w:gridCol w:w="992"/>
        <w:gridCol w:w="1639"/>
        <w:gridCol w:w="850"/>
        <w:gridCol w:w="709"/>
      </w:tblGrid>
      <w:tr w14:paraId="0EE00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  <w:vAlign w:val="center"/>
          </w:tcPr>
          <w:p w14:paraId="58946F71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不确定度来源</w:t>
            </w:r>
          </w:p>
        </w:tc>
        <w:tc>
          <w:tcPr>
            <w:tcW w:w="1843" w:type="dxa"/>
            <w:vAlign w:val="center"/>
          </w:tcPr>
          <w:p w14:paraId="51842149">
            <w:pPr>
              <w:pStyle w:val="38"/>
              <w:tabs>
                <w:tab w:val="left" w:pos="420"/>
              </w:tabs>
              <w:ind w:firstLine="0"/>
              <w:jc w:val="center"/>
            </w:pPr>
            <w:r>
              <w:t>输入量的标准不确定度</w:t>
            </w:r>
            <m:oMath>
              <m:r>
                <m:rPr/>
                <w:rPr>
                  <w:rFonts w:ascii="Cambria Math" w:hAnsi="Cambria Math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L</m:t>
                      </m: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e>
                    <m:sub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ub>
                  </m:sSub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e>
              </m:d>
              <m:r>
                <m:rPr/>
                <w:rPr>
                  <w:rFonts w:hint="eastAsia" w:ascii="Cambria Math" w:hAnsi="Cambria Math"/>
                  <w:sz w:val="24"/>
                  <w:szCs w:val="24"/>
                </w:rPr>
                <m:t>/</m:t>
              </m:r>
              <m:r>
                <m:rPr>
                  <m:sty m:val="p"/>
                </m:rPr>
                <w:rPr>
                  <w:rFonts w:hint="eastAsia" w:ascii="Cambria Math" w:hAnsi="Cambria Math"/>
                  <w:sz w:val="24"/>
                  <w:szCs w:val="24"/>
                </w:rPr>
                <m:t>m</m:t>
              </m:r>
            </m:oMath>
          </w:p>
        </w:tc>
        <w:tc>
          <w:tcPr>
            <w:tcW w:w="992" w:type="dxa"/>
            <w:vAlign w:val="center"/>
          </w:tcPr>
          <w:p w14:paraId="336BAB24">
            <w:pPr>
              <w:pStyle w:val="38"/>
              <w:tabs>
                <w:tab w:val="left" w:pos="420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灵敏系数</w:t>
            </w:r>
          </w:p>
          <w:p w14:paraId="54FDC230">
            <w:pPr>
              <w:pStyle w:val="38"/>
              <w:tabs>
                <w:tab w:val="left" w:pos="420"/>
              </w:tabs>
              <w:ind w:firstLine="0"/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ub>
                </m:sSub>
              </m:oMath>
            </m:oMathPara>
          </w:p>
        </w:tc>
        <w:tc>
          <w:tcPr>
            <w:tcW w:w="1639" w:type="dxa"/>
            <w:vAlign w:val="center"/>
          </w:tcPr>
          <w:p w14:paraId="260F8F05">
            <w:pPr>
              <w:pStyle w:val="38"/>
              <w:tabs>
                <w:tab w:val="left" w:pos="420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标准不确定度分量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/>
                      <w:sz w:val="18"/>
                      <w:szCs w:val="18"/>
                    </w:rPr>
                    <m:t>u</m:t>
                  </m: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/>
                      <w:sz w:val="18"/>
                      <w:szCs w:val="18"/>
                    </w:rPr>
                    <m:t>i</m:t>
                  </m: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ub>
              </m:sSub>
              <m:r>
                <m:rPr/>
                <w:rPr>
                  <w:rFonts w:ascii="Cambria Math" w:hAnsi="Cambria Math"/>
                  <w:sz w:val="18"/>
                  <w:szCs w:val="18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/>
                          <w:sz w:val="18"/>
                          <w:szCs w:val="18"/>
                        </w:rPr>
                        <m:t>c</m:t>
                      </m: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/>
                          <w:sz w:val="18"/>
                          <w:szCs w:val="18"/>
                        </w:rPr>
                        <m:t>i</m:t>
                      </m: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ub>
                  </m:sSub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e>
              </m:d>
              <m:r>
                <m:rPr/>
                <w:rPr>
                  <w:rFonts w:hint="eastAsia" w:ascii="Cambria Math" w:hAnsi="Cambria Math"/>
                  <w:sz w:val="18"/>
                  <w:szCs w:val="18"/>
                </w:rPr>
                <m:t>u</m:t>
              </m:r>
              <m:r>
                <m:rPr/>
                <w:rPr>
                  <w:rFonts w:ascii="Cambria Math" w:hAnsi="Cambria Math"/>
                  <w:sz w:val="18"/>
                  <w:szCs w:val="18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/>
                      <w:sz w:val="18"/>
                      <w:szCs w:val="18"/>
                    </w:rPr>
                    <m:t>L</m:t>
                  </m: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/>
                      <w:sz w:val="18"/>
                      <w:szCs w:val="18"/>
                    </w:rPr>
                    <m:t>i</m:t>
                  </m: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ub>
              </m:sSub>
              <m:r>
                <m:rPr/>
                <w:rPr>
                  <w:rFonts w:ascii="Cambria Math" w:hAnsi="Cambria Math"/>
                  <w:sz w:val="18"/>
                  <w:szCs w:val="18"/>
                </w:rPr>
                <m:t>)</m:t>
              </m:r>
            </m:oMath>
          </w:p>
        </w:tc>
        <w:tc>
          <w:tcPr>
            <w:tcW w:w="850" w:type="dxa"/>
            <w:vAlign w:val="center"/>
          </w:tcPr>
          <w:p w14:paraId="558FECA0">
            <w:pPr>
              <w:pStyle w:val="38"/>
              <w:tabs>
                <w:tab w:val="left" w:pos="420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自由度</w:t>
            </w:r>
          </w:p>
          <w:p w14:paraId="3DEE75A7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νi</w:t>
            </w:r>
          </w:p>
        </w:tc>
        <w:tc>
          <w:tcPr>
            <w:tcW w:w="709" w:type="dxa"/>
            <w:vAlign w:val="center"/>
          </w:tcPr>
          <w:p w14:paraId="00246269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类别</w:t>
            </w:r>
          </w:p>
        </w:tc>
      </w:tr>
      <w:tr w14:paraId="3C051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  <w:vAlign w:val="center"/>
          </w:tcPr>
          <w:p w14:paraId="43AD0CA2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测量重复性</w:t>
            </w:r>
          </w:p>
        </w:tc>
        <w:tc>
          <w:tcPr>
            <w:tcW w:w="1843" w:type="dxa"/>
            <w:vAlign w:val="center"/>
          </w:tcPr>
          <w:p w14:paraId="60CA83F0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3.42</w:t>
            </w:r>
          </w:p>
        </w:tc>
        <w:tc>
          <w:tcPr>
            <w:tcW w:w="992" w:type="dxa"/>
            <w:vAlign w:val="center"/>
          </w:tcPr>
          <w:p w14:paraId="54347F7A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hint="eastAsia" w:ascii="Cambria Math" w:hAnsi="Cambria Math"/>
                        <w:sz w:val="18"/>
                        <w:szCs w:val="18"/>
                      </w:rPr>
                      <m:t>c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e>
                  <m:sub>
                    <m:r>
                      <m:rPr/>
                      <w:rPr>
                        <w:rFonts w:hint="eastAsia" w:ascii="Cambria Math" w:hAnsi="Cambria Math"/>
                        <w:sz w:val="18"/>
                        <w:szCs w:val="18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ub>
                </m:sSub>
              </m:oMath>
            </m:oMathPara>
          </w:p>
        </w:tc>
        <w:tc>
          <w:tcPr>
            <w:tcW w:w="1639" w:type="dxa"/>
            <w:vAlign w:val="center"/>
          </w:tcPr>
          <w:p w14:paraId="7D0B5DBB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0.34%</w:t>
            </w:r>
          </w:p>
        </w:tc>
        <w:tc>
          <w:tcPr>
            <w:tcW w:w="850" w:type="dxa"/>
            <w:vAlign w:val="center"/>
          </w:tcPr>
          <w:p w14:paraId="3817DD26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1.8</w:t>
            </w:r>
          </w:p>
        </w:tc>
        <w:tc>
          <w:tcPr>
            <w:tcW w:w="709" w:type="dxa"/>
            <w:vAlign w:val="center"/>
          </w:tcPr>
          <w:p w14:paraId="068BCB5B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A</w:t>
            </w:r>
          </w:p>
        </w:tc>
      </w:tr>
      <w:tr w14:paraId="22C74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  <w:vAlign w:val="center"/>
          </w:tcPr>
          <w:p w14:paraId="2B9C08FC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标准器引入</w:t>
            </w:r>
          </w:p>
        </w:tc>
        <w:tc>
          <w:tcPr>
            <w:tcW w:w="1843" w:type="dxa"/>
            <w:vAlign w:val="center"/>
          </w:tcPr>
          <w:p w14:paraId="1C1171AF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6442FAA6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hint="eastAsia" w:ascii="Cambria Math" w:hAnsi="Cambria Math"/>
                        <w:sz w:val="18"/>
                        <w:szCs w:val="18"/>
                      </w:rPr>
                      <m:t>c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e>
                  <m:sub>
                    <m:r>
                      <m:rPr/>
                      <w:rPr>
                        <w:rFonts w:hint="eastAsia" w:ascii="Cambria Math" w:hAnsi="Cambria Math"/>
                        <w:sz w:val="18"/>
                        <w:szCs w:val="18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ub>
                </m:sSub>
              </m:oMath>
            </m:oMathPara>
          </w:p>
        </w:tc>
        <w:tc>
          <w:tcPr>
            <w:tcW w:w="1639" w:type="dxa"/>
            <w:vAlign w:val="center"/>
          </w:tcPr>
          <w:p w14:paraId="7896955B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1.00%</w:t>
            </w:r>
          </w:p>
        </w:tc>
        <w:tc>
          <w:tcPr>
            <w:tcW w:w="850" w:type="dxa"/>
            <w:vAlign w:val="center"/>
          </w:tcPr>
          <w:p w14:paraId="43ECC935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13</w:t>
            </w:r>
          </w:p>
        </w:tc>
        <w:tc>
          <w:tcPr>
            <w:tcW w:w="709" w:type="dxa"/>
            <w:vAlign w:val="center"/>
          </w:tcPr>
          <w:p w14:paraId="6DEFC78C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B</w:t>
            </w:r>
          </w:p>
        </w:tc>
      </w:tr>
      <w:tr w14:paraId="0EDB8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  <w:vAlign w:val="center"/>
          </w:tcPr>
          <w:p w14:paraId="524D802E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偏离理想大气能见度条件</w:t>
            </w:r>
          </w:p>
        </w:tc>
        <w:tc>
          <w:tcPr>
            <w:tcW w:w="1843" w:type="dxa"/>
            <w:vAlign w:val="center"/>
          </w:tcPr>
          <w:p w14:paraId="023B54F5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11.0</w:t>
            </w:r>
          </w:p>
        </w:tc>
        <w:tc>
          <w:tcPr>
            <w:tcW w:w="992" w:type="dxa"/>
            <w:vAlign w:val="center"/>
          </w:tcPr>
          <w:p w14:paraId="3936F23A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hint="eastAsia" w:ascii="Cambria Math" w:hAnsi="Cambria Math"/>
                        <w:sz w:val="18"/>
                        <w:szCs w:val="18"/>
                      </w:rPr>
                      <m:t>c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e>
                  <m:sub>
                    <m:r>
                      <m:rPr/>
                      <w:rPr>
                        <w:rFonts w:hint="eastAsia" w:ascii="Cambria Math" w:hAnsi="Cambria Math"/>
                        <w:sz w:val="18"/>
                        <w:szCs w:val="18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ub>
                </m:sSub>
              </m:oMath>
            </m:oMathPara>
          </w:p>
        </w:tc>
        <w:tc>
          <w:tcPr>
            <w:tcW w:w="1639" w:type="dxa"/>
            <w:vAlign w:val="center"/>
          </w:tcPr>
          <w:p w14:paraId="0BF76FE5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1.10%</w:t>
            </w:r>
          </w:p>
        </w:tc>
        <w:tc>
          <w:tcPr>
            <w:tcW w:w="850" w:type="dxa"/>
            <w:vAlign w:val="center"/>
          </w:tcPr>
          <w:p w14:paraId="2E8C5FFC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24"/>
                <w:szCs w:val="24"/>
              </w:rPr>
              <w:t>∞</w:t>
            </w:r>
          </w:p>
        </w:tc>
        <w:tc>
          <w:tcPr>
            <w:tcW w:w="709" w:type="dxa"/>
            <w:vAlign w:val="center"/>
          </w:tcPr>
          <w:p w14:paraId="5A4B1E70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B</w:t>
            </w:r>
          </w:p>
        </w:tc>
      </w:tr>
      <w:tr w14:paraId="609C3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  <w:vAlign w:val="center"/>
          </w:tcPr>
          <w:p w14:paraId="17705073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角度误差</w:t>
            </w:r>
          </w:p>
        </w:tc>
        <w:tc>
          <w:tcPr>
            <w:tcW w:w="1843" w:type="dxa"/>
            <w:vAlign w:val="center"/>
          </w:tcPr>
          <w:p w14:paraId="4ACB1043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8.2</w:t>
            </w:r>
          </w:p>
        </w:tc>
        <w:tc>
          <w:tcPr>
            <w:tcW w:w="992" w:type="dxa"/>
            <w:vAlign w:val="center"/>
          </w:tcPr>
          <w:p w14:paraId="6B3BB4ED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hint="eastAsia" w:ascii="Cambria Math" w:hAnsi="Cambria Math"/>
                        <w:sz w:val="18"/>
                        <w:szCs w:val="18"/>
                      </w:rPr>
                      <m:t>c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e>
                  <m:sub>
                    <m:r>
                      <m:rPr/>
                      <w:rPr>
                        <w:rFonts w:hint="eastAsia" w:ascii="Cambria Math" w:hAnsi="Cambria Math"/>
                        <w:sz w:val="18"/>
                        <w:szCs w:val="18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ub>
                </m:sSub>
              </m:oMath>
            </m:oMathPara>
          </w:p>
        </w:tc>
        <w:tc>
          <w:tcPr>
            <w:tcW w:w="1639" w:type="dxa"/>
            <w:vAlign w:val="center"/>
          </w:tcPr>
          <w:p w14:paraId="6C98D916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0.82%</w:t>
            </w:r>
          </w:p>
        </w:tc>
        <w:tc>
          <w:tcPr>
            <w:tcW w:w="850" w:type="dxa"/>
            <w:vAlign w:val="center"/>
          </w:tcPr>
          <w:p w14:paraId="3ECD1DE6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24"/>
                <w:szCs w:val="24"/>
              </w:rPr>
              <w:t>∞</w:t>
            </w:r>
          </w:p>
        </w:tc>
        <w:tc>
          <w:tcPr>
            <w:tcW w:w="709" w:type="dxa"/>
            <w:vAlign w:val="center"/>
          </w:tcPr>
          <w:p w14:paraId="5E00D29A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B</w:t>
            </w:r>
          </w:p>
        </w:tc>
      </w:tr>
      <w:tr w14:paraId="63C5C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  <w:vAlign w:val="center"/>
          </w:tcPr>
          <w:p w14:paraId="637C928B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温度误差</w:t>
            </w:r>
          </w:p>
        </w:tc>
        <w:tc>
          <w:tcPr>
            <w:tcW w:w="1843" w:type="dxa"/>
            <w:vAlign w:val="center"/>
          </w:tcPr>
          <w:p w14:paraId="3D0ED27C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2.9</w:t>
            </w:r>
          </w:p>
        </w:tc>
        <w:tc>
          <w:tcPr>
            <w:tcW w:w="992" w:type="dxa"/>
            <w:vAlign w:val="center"/>
          </w:tcPr>
          <w:p w14:paraId="7CADBFC7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hint="eastAsia" w:ascii="Cambria Math" w:hAnsi="Cambria Math"/>
                        <w:sz w:val="18"/>
                        <w:szCs w:val="18"/>
                      </w:rPr>
                      <m:t>c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e>
                  <m:sub>
                    <m:r>
                      <m:rPr/>
                      <w:rPr>
                        <w:rFonts w:hint="eastAsia" w:ascii="Cambria Math" w:hAnsi="Cambria Math"/>
                        <w:sz w:val="18"/>
                        <w:szCs w:val="18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ub>
                </m:sSub>
              </m:oMath>
            </m:oMathPara>
          </w:p>
        </w:tc>
        <w:tc>
          <w:tcPr>
            <w:tcW w:w="1639" w:type="dxa"/>
            <w:vAlign w:val="center"/>
          </w:tcPr>
          <w:p w14:paraId="30A3223D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0.29%</w:t>
            </w:r>
          </w:p>
        </w:tc>
        <w:tc>
          <w:tcPr>
            <w:tcW w:w="850" w:type="dxa"/>
            <w:vAlign w:val="center"/>
          </w:tcPr>
          <w:p w14:paraId="7D655C31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/>
                <w:sz w:val="24"/>
                <w:szCs w:val="24"/>
              </w:rPr>
              <w:t>∞</w:t>
            </w:r>
          </w:p>
        </w:tc>
        <w:tc>
          <w:tcPr>
            <w:tcW w:w="709" w:type="dxa"/>
            <w:vAlign w:val="center"/>
          </w:tcPr>
          <w:p w14:paraId="348EC26E">
            <w:pPr>
              <w:pStyle w:val="38"/>
              <w:tabs>
                <w:tab w:val="left" w:pos="420"/>
              </w:tabs>
              <w:ind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sz w:val="18"/>
                <w:szCs w:val="18"/>
              </w:rPr>
              <w:t>B</w:t>
            </w:r>
          </w:p>
        </w:tc>
      </w:tr>
    </w:tbl>
    <w:p w14:paraId="14BEC14B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</w:p>
    <w:p w14:paraId="5AFD9C13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6</w:t>
      </w:r>
      <w:r>
        <w:rPr>
          <w:rFonts w:hAnsi="宋体"/>
          <w:sz w:val="24"/>
          <w:szCs w:val="24"/>
        </w:rPr>
        <w:t xml:space="preserve">. </w:t>
      </w:r>
      <w:r>
        <w:rPr>
          <w:rFonts w:hint="eastAsia" w:hAnsi="宋体"/>
          <w:sz w:val="24"/>
          <w:szCs w:val="24"/>
        </w:rPr>
        <w:t>合成</w:t>
      </w:r>
      <w:r>
        <w:rPr>
          <w:rFonts w:hAnsi="宋体"/>
          <w:sz w:val="24"/>
          <w:szCs w:val="24"/>
        </w:rPr>
        <w:t>标准不确定度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/>
              <w:rPr>
                <w:rFonts w:hint="eastAsia" w:ascii="Cambria Math" w:hAnsi="Cambria Math"/>
                <w:sz w:val="24"/>
                <w:szCs w:val="24"/>
              </w:rPr>
              <m:t>u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  <m:sub>
            <m:r>
              <m:rPr/>
              <w:rPr>
                <w:rFonts w:hint="eastAsia" w:ascii="Cambria Math" w:hAnsi="Cambria Math"/>
                <w:sz w:val="24"/>
                <w:szCs w:val="24"/>
              </w:rPr>
              <m:t>c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(</m:t>
        </m:r>
        <m:r>
          <m:rPr/>
          <w:rPr>
            <w:rFonts w:ascii="Cambria Math" w:hAnsi="Cambria Math"/>
            <w:sz w:val="24"/>
            <w:szCs w:val="24"/>
          </w:rPr>
          <m:t>∆L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)</m:t>
        </m:r>
      </m:oMath>
      <w:r>
        <w:rPr>
          <w:rFonts w:hAnsi="宋体"/>
          <w:sz w:val="24"/>
          <w:szCs w:val="24"/>
        </w:rPr>
        <w:t xml:space="preserve"> </w:t>
      </w:r>
    </w:p>
    <w:p w14:paraId="0CB1BDFB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各标准不确定度分量彼此不相关,则被校能见度仪合成标准不确定度为:</w:t>
      </w:r>
    </w:p>
    <w:p w14:paraId="1521CDF1">
      <w:pPr>
        <w:pStyle w:val="38"/>
        <w:tabs>
          <w:tab w:val="left" w:pos="420"/>
        </w:tabs>
        <w:spacing w:line="360" w:lineRule="auto"/>
        <w:ind w:left="420" w:leftChars="200" w:firstLine="0"/>
        <w:rPr>
          <w:rFonts w:hAnsi="宋体"/>
          <w:iCs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/>
              <w:rPr>
                <w:rFonts w:hint="eastAsia" w:ascii="Cambria Math" w:hAnsi="Cambria Math"/>
                <w:sz w:val="24"/>
                <w:szCs w:val="24"/>
              </w:rPr>
              <m:t>u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c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sub>
        </m:sSub>
        <m:d>
          <m:d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∆</m:t>
            </m:r>
            <m:r>
              <m:rPr/>
              <w:rPr>
                <w:rFonts w:ascii="Cambria Math" w:hAnsi="Cambria Math" w:cs="Cambria Math"/>
                <w:sz w:val="24"/>
                <w:szCs w:val="24"/>
              </w:rPr>
              <m:t>L</m:t>
            </m:r>
            <m:ctrlPr>
              <w:rPr>
                <w:rFonts w:ascii="Cambria Math" w:hAnsi="Cambria Math" w:cs="Cambria Math"/>
                <w:sz w:val="24"/>
                <w:szCs w:val="24"/>
              </w:rPr>
            </m:ctrlPr>
          </m:e>
        </m:d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radPr>
          <m:deg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  <w:i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/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L</m:t>
                            </m:r>
                            <m:ctrl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m:ctrlPr>
                          </m:e>
                          <m:sub>
                            <m:r>
                              <m:rPr/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  <m:ctrl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e>
                    </m:acc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e>
                </m:d>
                <m:ctrlPr>
                  <w:rPr>
                    <w:rFonts w:ascii="Cambria Math" w:hAnsi="Cambria Math"/>
                    <w:iCs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  <w:iCs/>
                    <w:sz w:val="24"/>
                    <w:szCs w:val="24"/>
                  </w:rPr>
                </m:ctrlPr>
              </m:sup>
            </m:sSup>
            <m:r>
              <m:rPr/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hint="eastAsia"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/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L</m:t>
                        </m:r>
                        <m:ctrlPr>
                          <w:rPr>
                            <w:rFonts w:hint="eastAsia"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e>
                    </m:acc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e>
                </m:d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up>
            </m:sSup>
            <m:r>
              <m:rPr/>
              <w:rPr>
                <w:rFonts w:ascii="Cambria Math" w:hAnsi="Cambria Math"/>
                <w:sz w:val="24"/>
                <w:szCs w:val="24"/>
              </w:rPr>
              <m:t>+u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L</m:t>
                        </m: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e>
                </m:d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  <m:r>
              <m:rPr/>
              <w:rPr>
                <w:rFonts w:ascii="Cambria Math" w:hAnsi="Cambria Math"/>
                <w:sz w:val="24"/>
                <w:szCs w:val="24"/>
              </w:rPr>
              <m:t>+u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L</m:t>
                        </m: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e>
                </m:d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  <m:r>
              <m:rPr/>
              <w:rPr>
                <w:rFonts w:ascii="Cambria Math" w:hAnsi="Cambria Math"/>
                <w:sz w:val="24"/>
                <w:szCs w:val="24"/>
              </w:rPr>
              <m:t>+u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L</m:t>
                        </m: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e>
                </m:d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e>
        </m:rad>
      </m:oMath>
      <w:r>
        <w:rPr>
          <w:rFonts w:hint="eastAsia" w:hAnsi="宋体"/>
          <w:iCs/>
          <w:sz w:val="24"/>
          <w:szCs w:val="24"/>
        </w:rPr>
        <w:t>=1.76%</w:t>
      </w:r>
    </w:p>
    <w:p w14:paraId="2F095C2C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自由度为：</w:t>
      </w:r>
    </w:p>
    <w:p w14:paraId="2960DED7">
      <w:pPr>
        <w:pStyle w:val="38"/>
        <w:tabs>
          <w:tab w:val="left" w:pos="420"/>
        </w:tabs>
        <w:spacing w:line="360" w:lineRule="auto"/>
        <w:ind w:firstLine="0"/>
        <w:jc w:val="center"/>
        <w:rPr>
          <w:rFonts w:hAnsi="宋体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m:rPr/>
                <w:rPr>
                  <w:rFonts w:hint="eastAsia" w:ascii="Cambria Math" w:hAnsi="Cambria Math"/>
                  <w:sz w:val="24"/>
                  <w:szCs w:val="24"/>
                </w:rPr>
                <m:t>v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e>
            <m:sub>
              <m:r>
                <m:rPr>
                  <m:sty m:val="p"/>
                </m:rPr>
                <w:rPr>
                  <w:rFonts w:hint="eastAsia" w:ascii="Cambria Math" w:hAnsi="Cambria Math"/>
                  <w:sz w:val="24"/>
                  <w:szCs w:val="24"/>
                </w:rPr>
                <m:t>eff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ub>
          </m:sSub>
          <m:r>
            <m:rPr/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m:rPr/>
                    <w:rPr>
                      <w:rFonts w:hint="eastAsia" w:ascii="Cambria Math" w:hAnsi="Cambria Math"/>
                      <w:sz w:val="24"/>
                      <w:szCs w:val="24"/>
                    </w:rPr>
                    <m:t>u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hint="eastAsia" w:ascii="Cambria Math" w:hAnsi="Cambria Math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ub>
                <m:sup>
                  <m:r>
                    <m:rPr/>
                    <w:rPr>
                      <w:rFonts w:hint="eastAsia" w:ascii="Cambria Math" w:hAnsi="Cambria Math"/>
                      <w:sz w:val="24"/>
                      <w:szCs w:val="24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up>
              </m:sSubSup>
              <m:r>
                <m:rPr/>
                <w:rPr>
                  <w:rFonts w:ascii="Cambria Math" w:hAnsi="Cambria Math"/>
                  <w:sz w:val="24"/>
                  <w:szCs w:val="24"/>
                </w:rPr>
                <m:t>(∆V)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aryPr>
                <m:sub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ub>
                <m:sup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up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m:rPr/>
                            <w:rPr>
                              <w:rFonts w:hint="eastAsia" w:ascii="Cambria Math" w:hAnsi="Cambria Math"/>
                              <w:sz w:val="24"/>
                              <w:szCs w:val="24"/>
                            </w:rPr>
                            <m:t>u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e>
                        <m:sub>
                          <m:r>
                            <m:rPr/>
                            <w:rPr>
                              <w:rFonts w:hint="eastAsia" w:ascii="Cambria Math" w:hAnsi="Cambria Math"/>
                              <w:sz w:val="24"/>
                              <w:szCs w:val="24"/>
                            </w:rPr>
                            <m:t>i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ub>
                        <m:sup>
                          <m:r>
                            <m:rPr/>
                            <w:rPr>
                              <w:rFonts w:hint="eastAsia"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up>
                      </m:sSubSup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hint="eastAsia" w:ascii="Cambria Math" w:hAnsi="Cambria Math"/>
                              <w:sz w:val="24"/>
                              <w:szCs w:val="24"/>
                            </w:rPr>
                            <m:t>v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e>
                        <m:sub>
                          <m:r>
                            <m:rPr/>
                            <w:rPr>
                              <w:rFonts w:hint="eastAsia" w:ascii="Cambria Math" w:hAnsi="Cambria Math"/>
                              <w:sz w:val="24"/>
                              <w:szCs w:val="24"/>
                            </w:rPr>
                            <m:t>i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ub>
                      </m:sSub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en>
                  </m:f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</m:nary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en>
          </m:f>
          <m:r>
            <m:rPr/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m:rPr/>
                <w:rPr>
                  <w:rFonts w:ascii="Cambria Math" w:hAnsi="Cambria Math"/>
                  <w:sz w:val="24"/>
                  <w:szCs w:val="24"/>
                </w:rPr>
                <m:t>9.5077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um>
            <m:den>
              <m:r>
                <m:rPr/>
                <w:rPr>
                  <w:rFonts w:ascii="Cambria Math" w:hAnsi="Cambria Math"/>
                  <w:sz w:val="24"/>
                  <w:szCs w:val="24"/>
                </w:rPr>
                <m:t>0.0845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en>
          </m:f>
          <m:r>
            <m:rPr/>
            <w:rPr>
              <w:rFonts w:ascii="Cambria Math" w:hAnsi="Cambria Math"/>
              <w:sz w:val="24"/>
              <w:szCs w:val="24"/>
            </w:rPr>
            <m:t>≈113</m:t>
          </m:r>
        </m:oMath>
      </m:oMathPara>
    </w:p>
    <w:p w14:paraId="3F1F04B7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7. 扩展不确定度 </w:t>
      </w:r>
    </w:p>
    <w:p w14:paraId="2404B3E1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取包含因子 (约95%置信水平)：</w:t>
      </w:r>
    </w:p>
    <w:p w14:paraId="0E1623F1">
      <w:pPr>
        <w:pStyle w:val="38"/>
        <w:tabs>
          <w:tab w:val="left" w:pos="420"/>
        </w:tabs>
        <w:spacing w:line="360" w:lineRule="auto"/>
        <w:ind w:firstLine="0"/>
        <w:jc w:val="center"/>
        <w:rPr>
          <w:rFonts w:hAnsi="宋体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m:rPr/>
                <w:rPr>
                  <w:rFonts w:ascii="Cambria Math" w:hAnsi="Cambria Math"/>
                  <w:sz w:val="24"/>
                  <w:szCs w:val="24"/>
                </w:rPr>
                <m:t>t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e>
            <m:sub>
              <m:r>
                <m:rPr/>
                <w:rPr>
                  <w:rFonts w:ascii="Cambria Math" w:hAnsi="Cambria Math"/>
                  <w:sz w:val="24"/>
                  <w:szCs w:val="24"/>
                </w:rPr>
                <m:t>95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ub>
          </m:sSub>
          <m:r>
            <m:rPr/>
            <w:rPr>
              <w:rFonts w:ascii="Cambria Math" w:hAnsi="Cambria Math"/>
              <w:sz w:val="24"/>
              <w:szCs w:val="24"/>
            </w:rPr>
            <m:t>(113)=1.982</m:t>
          </m:r>
        </m:oMath>
      </m:oMathPara>
    </w:p>
    <w:p w14:paraId="68A3B2C9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前向散射式能见度仪测量结果的扩展不确定度为：</w:t>
      </w:r>
    </w:p>
    <w:p w14:paraId="68CB9DF6">
      <w:pPr>
        <w:pStyle w:val="38"/>
        <w:tabs>
          <w:tab w:val="left" w:pos="420"/>
        </w:tabs>
        <w:spacing w:line="360" w:lineRule="auto"/>
        <w:ind w:firstLine="0"/>
        <w:jc w:val="center"/>
        <w:rPr>
          <w:rFonts w:hAnsi="宋体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m:rPr/>
                <w:rPr>
                  <w:rFonts w:hint="eastAsia" w:ascii="Cambria Math" w:hAnsi="Cambria Math"/>
                  <w:sz w:val="24"/>
                  <w:szCs w:val="24"/>
                </w:rPr>
                <m:t>U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e>
            <m:sub>
              <m:r>
                <m:rPr/>
                <w:rPr>
                  <w:rFonts w:hint="eastAsia" w:ascii="Cambria Math" w:hAnsi="Cambria Math"/>
                  <w:sz w:val="24"/>
                  <w:szCs w:val="24"/>
                </w:rPr>
                <m:t>95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ub>
          </m:sSub>
          <m:r>
            <m:rPr/>
            <w:rPr>
              <w:rFonts w:ascii="Cambria Math" w:hAnsi="Cambria Math"/>
              <w:sz w:val="24"/>
              <w:szCs w:val="24"/>
            </w:rPr>
            <m:t>=</m:t>
          </m:r>
          <m:r>
            <m:rPr/>
            <w:rPr>
              <w:rFonts w:hint="eastAsia" w:ascii="Cambria Math" w:hAnsi="Cambria Math"/>
              <w:sz w:val="24"/>
              <w:szCs w:val="24"/>
            </w:rPr>
            <m:t>1</m:t>
          </m:r>
          <m:r>
            <m:rPr/>
            <w:rPr>
              <w:rFonts w:ascii="Cambria Math" w:hAnsi="Cambria Math"/>
              <w:sz w:val="24"/>
              <w:szCs w:val="24"/>
            </w:rPr>
            <m:t>.</m:t>
          </m:r>
          <m:r>
            <m:rPr/>
            <w:rPr>
              <w:rFonts w:hint="eastAsia" w:ascii="Cambria Math" w:hAnsi="Cambria Math"/>
              <w:sz w:val="24"/>
              <w:szCs w:val="24"/>
            </w:rPr>
            <m:t>982</m:t>
          </m:r>
          <m:r>
            <m:rPr/>
            <w:rPr>
              <w:rFonts w:ascii="Cambria Math" w:hAnsi="Cambria Math"/>
              <w:sz w:val="24"/>
              <w:szCs w:val="24"/>
            </w:rPr>
            <m:t>×</m:t>
          </m:r>
          <m:r>
            <m:rPr/>
            <w:rPr>
              <w:rFonts w:hint="eastAsia" w:ascii="Cambria Math" w:hAnsi="Cambria Math"/>
              <w:sz w:val="24"/>
              <w:szCs w:val="24"/>
            </w:rPr>
            <m:t>1.76%</m:t>
          </m:r>
          <m:r>
            <m:rPr/>
            <w:rPr>
              <w:rFonts w:ascii="Cambria Math" w:hAnsi="Cambria Math"/>
              <w:sz w:val="24"/>
              <w:szCs w:val="24"/>
            </w:rPr>
            <m:t>=</m:t>
          </m:r>
          <m:r>
            <m:rPr/>
            <w:rPr>
              <w:rFonts w:hint="eastAsia" w:ascii="Cambria Math" w:hAnsi="Cambria Math"/>
              <w:sz w:val="24"/>
              <w:szCs w:val="24"/>
            </w:rPr>
            <m:t>3.49%，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m:rPr/>
                <w:rPr>
                  <w:rFonts w:hint="eastAsia" w:ascii="Cambria Math" w:hAnsi="Cambria Math"/>
                  <w:sz w:val="24"/>
                  <w:szCs w:val="24"/>
                </w:rPr>
                <m:t>v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e>
            <m:sub>
              <m:r>
                <m:rPr>
                  <m:sty m:val="p"/>
                </m:rPr>
                <w:rPr>
                  <w:rFonts w:hint="eastAsia" w:ascii="Cambria Math" w:hAnsi="Cambria Math"/>
                  <w:sz w:val="24"/>
                  <w:szCs w:val="24"/>
                </w:rPr>
                <m:t>eff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ub>
          </m:sSub>
          <m:r>
            <m:rPr/>
            <w:rPr>
              <w:rFonts w:ascii="Cambria Math" w:hAnsi="Cambria Math"/>
              <w:sz w:val="24"/>
              <w:szCs w:val="24"/>
            </w:rPr>
            <m:t>=</m:t>
          </m:r>
          <m:r>
            <m:rPr/>
            <w:rPr>
              <w:rFonts w:hint="eastAsia" w:ascii="Cambria Math" w:hAnsi="Cambria Math"/>
              <w:sz w:val="24"/>
              <w:szCs w:val="24"/>
            </w:rPr>
            <m:t>113</m:t>
          </m:r>
        </m:oMath>
      </m:oMathPara>
    </w:p>
    <w:p w14:paraId="09C7FDC4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测量结果是满足正态分布，</w:t>
      </w:r>
      <w:r>
        <w:rPr>
          <w:rFonts w:hAnsi="宋体"/>
          <w:sz w:val="24"/>
          <w:szCs w:val="24"/>
        </w:rPr>
        <w:t xml:space="preserve">在 </w:t>
      </w:r>
      <w:r>
        <w:rPr>
          <w:rFonts w:hint="eastAsia" w:hAnsi="宋体"/>
          <w:sz w:val="24"/>
          <w:szCs w:val="24"/>
        </w:rPr>
        <w:t>1</w:t>
      </w:r>
      <w:r>
        <w:rPr>
          <w:rFonts w:hAnsi="宋体"/>
          <w:sz w:val="24"/>
          <w:szCs w:val="24"/>
        </w:rPr>
        <w:t>000 m 校准点，前向散射式能见度仪的示值误差扩展不确定度为：</w:t>
      </w:r>
    </w:p>
    <w:p w14:paraId="59778913">
      <w:pPr>
        <w:pStyle w:val="38"/>
        <w:tabs>
          <w:tab w:val="left" w:pos="420"/>
        </w:tabs>
        <w:spacing w:line="360" w:lineRule="auto"/>
        <w:ind w:firstLine="0"/>
        <w:rPr>
          <w:rFonts w:hAnsi="宋体"/>
          <w:i/>
          <w:sz w:val="24"/>
          <w:szCs w:val="24"/>
        </w:rPr>
      </w:pPr>
      <m:oMathPara>
        <m:oMath>
          <m:r>
            <m:rPr/>
            <w:rPr>
              <w:rFonts w:hint="eastAsia" w:ascii="Cambria Math" w:hAnsi="Cambria Math"/>
              <w:sz w:val="24"/>
              <w:szCs w:val="24"/>
            </w:rPr>
            <m:t>U</m:t>
          </m:r>
          <m:r>
            <m:rPr/>
            <w:rPr>
              <w:rFonts w:ascii="Cambria Math" w:hAnsi="Cambria Math"/>
              <w:sz w:val="24"/>
              <w:szCs w:val="24"/>
            </w:rPr>
            <m:t>=</m:t>
          </m:r>
          <m:r>
            <m:rPr/>
            <w:rPr>
              <w:rFonts w:hint="eastAsia" w:ascii="Cambria Math" w:hAnsi="Cambria Math"/>
              <w:sz w:val="24"/>
              <w:szCs w:val="24"/>
            </w:rPr>
            <m:t>3.49%</m:t>
          </m:r>
          <m:r>
            <m:rPr/>
            <w:rPr>
              <w:rFonts w:ascii="Cambria Math" w:hAnsi="Cambria Math"/>
              <w:sz w:val="24"/>
              <w:szCs w:val="24"/>
            </w:rPr>
            <m:t>(</m:t>
          </m:r>
          <m:r>
            <m:rPr/>
            <w:rPr>
              <w:rFonts w:hint="eastAsia" w:ascii="Cambria Math" w:hAnsi="Cambria Math"/>
              <w:sz w:val="24"/>
              <w:szCs w:val="24"/>
            </w:rPr>
            <m:t>k</m:t>
          </m:r>
          <m:r>
            <m:rPr/>
            <w:rPr>
              <w:rFonts w:ascii="Cambria Math" w:hAnsi="Cambria Math"/>
              <w:sz w:val="24"/>
              <w:szCs w:val="24"/>
            </w:rPr>
            <m:t>=</m:t>
          </m:r>
          <m:r>
            <m:rPr/>
            <w:rPr>
              <w:rFonts w:hint="eastAsia" w:ascii="Cambria Math" w:hAnsi="Cambria Math"/>
              <w:sz w:val="24"/>
              <w:szCs w:val="24"/>
            </w:rPr>
            <m:t>2</m:t>
          </m:r>
          <m:r>
            <m:rPr/>
            <w:rPr>
              <w:rFonts w:ascii="Cambria Math" w:hAnsi="Cambria Math"/>
              <w:sz w:val="24"/>
              <w:szCs w:val="24"/>
            </w:rPr>
            <m:t>)</m:t>
          </m:r>
        </m:oMath>
      </m:oMathPara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E9F"/>
    <w:rsid w:val="000734C5"/>
    <w:rsid w:val="00073CF3"/>
    <w:rsid w:val="000E7C8E"/>
    <w:rsid w:val="001B68FA"/>
    <w:rsid w:val="001E2710"/>
    <w:rsid w:val="002A7500"/>
    <w:rsid w:val="002C005A"/>
    <w:rsid w:val="002C46E3"/>
    <w:rsid w:val="0034288D"/>
    <w:rsid w:val="00403A43"/>
    <w:rsid w:val="004920C4"/>
    <w:rsid w:val="004B0923"/>
    <w:rsid w:val="005059A1"/>
    <w:rsid w:val="0051556B"/>
    <w:rsid w:val="00542849"/>
    <w:rsid w:val="0054746D"/>
    <w:rsid w:val="005C797B"/>
    <w:rsid w:val="006225F1"/>
    <w:rsid w:val="006E0A0C"/>
    <w:rsid w:val="00702281"/>
    <w:rsid w:val="007778C8"/>
    <w:rsid w:val="00780373"/>
    <w:rsid w:val="00784A11"/>
    <w:rsid w:val="00791CAF"/>
    <w:rsid w:val="007F4933"/>
    <w:rsid w:val="008662F4"/>
    <w:rsid w:val="00871153"/>
    <w:rsid w:val="008A0DD9"/>
    <w:rsid w:val="008A2E87"/>
    <w:rsid w:val="008D038F"/>
    <w:rsid w:val="00910D81"/>
    <w:rsid w:val="00940AF5"/>
    <w:rsid w:val="00964565"/>
    <w:rsid w:val="00982C4E"/>
    <w:rsid w:val="009C3747"/>
    <w:rsid w:val="00A65F33"/>
    <w:rsid w:val="00A672ED"/>
    <w:rsid w:val="00AD3744"/>
    <w:rsid w:val="00AE1ACD"/>
    <w:rsid w:val="00B1349D"/>
    <w:rsid w:val="00B8758E"/>
    <w:rsid w:val="00B941E1"/>
    <w:rsid w:val="00BB07F6"/>
    <w:rsid w:val="00C00731"/>
    <w:rsid w:val="00C126E1"/>
    <w:rsid w:val="00C16CE5"/>
    <w:rsid w:val="00C6336F"/>
    <w:rsid w:val="00C66311"/>
    <w:rsid w:val="00C94A77"/>
    <w:rsid w:val="00C96D54"/>
    <w:rsid w:val="00CA3ABA"/>
    <w:rsid w:val="00D17E9F"/>
    <w:rsid w:val="00D32863"/>
    <w:rsid w:val="00D63ABA"/>
    <w:rsid w:val="00D80100"/>
    <w:rsid w:val="00D91FF7"/>
    <w:rsid w:val="00DB46B4"/>
    <w:rsid w:val="00DC0D80"/>
    <w:rsid w:val="00E60C60"/>
    <w:rsid w:val="00EC65EA"/>
    <w:rsid w:val="00EE2652"/>
    <w:rsid w:val="00F14118"/>
    <w:rsid w:val="00FA48A9"/>
    <w:rsid w:val="00FB6B69"/>
    <w:rsid w:val="1E2241C3"/>
    <w:rsid w:val="37040338"/>
    <w:rsid w:val="441A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  <w:style w:type="paragraph" w:customStyle="1" w:styleId="38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/>
      <w:jc w:val="both"/>
    </w:pPr>
    <w:rPr>
      <w:rFonts w:ascii="宋体" w:hAnsi="Times New Roman" w:eastAsia="宋体" w:cs="Times New Roman"/>
      <w:kern w:val="0"/>
      <w:sz w:val="21"/>
      <w:szCs w:val="21"/>
      <w:lang w:val="en-US" w:eastAsia="zh-CN" w:bidi="ar-SA"/>
    </w:rPr>
  </w:style>
  <w:style w:type="character" w:styleId="39">
    <w:name w:val="Placeholder Text"/>
    <w:basedOn w:val="17"/>
    <w:semiHidden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1690</Words>
  <Characters>2031</Characters>
  <Lines>106</Lines>
  <Paragraphs>120</Paragraphs>
  <TotalTime>7514</TotalTime>
  <ScaleCrop>false</ScaleCrop>
  <LinksUpToDate>false</LinksUpToDate>
  <CharactersWithSpaces>2090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2026-04-28T06:19:00Z</dcterms:created>
  <dc:creator>H XIAO</dc:creator>
  <cp:lastModifiedBy>WPS_1672637184</cp:lastModifiedBy>
  <dcterms:modified xsi:type="dcterms:W3CDTF">2026-10-08T01:56:45Z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eyJoZGlkIjoiZDIyMDEzN2RiYjUwNWEzZWM1ZDVkNDg4OGU2MmNiMGUiLCJ1c2VySWQiOiIxNDY1NDgxNjA3In0=</vt:lpwstr>
  </property>
  <property fmtid="{D5CDD505-2E9C-101B-9397-08002B2CF9AE}" pid="3" name="KSOProductBuildVer">
    <vt:lpwstr>2052-12.1.0.28505</vt:lpwstr>
  </property>
  <property fmtid="{D5CDD505-2E9C-101B-9397-08002B2CF9AE}" pid="4" name="ICV">
    <vt:lpwstr>65EA04D442344DFBB5B2F59D693977B9_12</vt:lpwstr>
  </property>
</Properties>
</file>