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E5ADC1">
      <w:pPr>
        <w:spacing w:line="360" w:lineRule="auto"/>
        <w:jc w:val="center"/>
        <w:rPr>
          <w:sz w:val="48"/>
          <w:szCs w:val="48"/>
        </w:rPr>
      </w:pPr>
    </w:p>
    <w:p w14:paraId="212CF749">
      <w:pPr>
        <w:spacing w:line="360" w:lineRule="auto"/>
        <w:jc w:val="center"/>
        <w:rPr>
          <w:sz w:val="48"/>
          <w:szCs w:val="48"/>
        </w:rPr>
      </w:pPr>
    </w:p>
    <w:p w14:paraId="31254AAD">
      <w:pPr>
        <w:spacing w:line="360" w:lineRule="auto"/>
        <w:jc w:val="center"/>
        <w:rPr>
          <w:sz w:val="48"/>
          <w:szCs w:val="48"/>
        </w:rPr>
      </w:pPr>
    </w:p>
    <w:p w14:paraId="350506AB">
      <w:pPr>
        <w:spacing w:line="360" w:lineRule="auto"/>
        <w:jc w:val="center"/>
        <w:rPr>
          <w:sz w:val="48"/>
          <w:szCs w:val="48"/>
        </w:rPr>
      </w:pPr>
      <w:r>
        <w:rPr>
          <w:sz w:val="48"/>
          <w:szCs w:val="48"/>
        </w:rPr>
        <w:t>国家计量技术规范</w:t>
      </w:r>
    </w:p>
    <w:p w14:paraId="5F940C8E">
      <w:pPr>
        <w:spacing w:line="360" w:lineRule="auto"/>
        <w:jc w:val="center"/>
        <w:rPr>
          <w:rFonts w:hint="eastAsia"/>
          <w:sz w:val="48"/>
          <w:szCs w:val="48"/>
        </w:rPr>
      </w:pPr>
      <w:r>
        <w:rPr>
          <w:rFonts w:hint="eastAsia"/>
          <w:sz w:val="48"/>
          <w:szCs w:val="48"/>
        </w:rPr>
        <w:t>《计量电子证书</w:t>
      </w:r>
      <w:r>
        <w:rPr>
          <w:rFonts w:hint="eastAsia"/>
          <w:sz w:val="48"/>
          <w:szCs w:val="48"/>
          <w:lang w:eastAsia="zh-CN"/>
        </w:rPr>
        <w:t>（</w:t>
      </w:r>
      <w:r>
        <w:rPr>
          <w:rFonts w:hint="eastAsia"/>
          <w:sz w:val="48"/>
          <w:szCs w:val="48"/>
          <w:lang w:val="en-US" w:eastAsia="zh-CN"/>
        </w:rPr>
        <w:t>报告</w:t>
      </w:r>
      <w:r>
        <w:rPr>
          <w:rFonts w:hint="eastAsia"/>
          <w:sz w:val="48"/>
          <w:szCs w:val="48"/>
          <w:lang w:eastAsia="zh-CN"/>
        </w:rPr>
        <w:t>）</w:t>
      </w:r>
      <w:r>
        <w:rPr>
          <w:rFonts w:hint="eastAsia"/>
          <w:sz w:val="48"/>
          <w:szCs w:val="48"/>
        </w:rPr>
        <w:t>通用要求》</w:t>
      </w:r>
    </w:p>
    <w:p w14:paraId="27CC7A66">
      <w:pPr>
        <w:spacing w:before="312" w:beforeLines="100" w:after="312" w:afterLines="100" w:line="360" w:lineRule="auto"/>
        <w:jc w:val="center"/>
        <w:rPr>
          <w:rFonts w:hint="eastAsia"/>
          <w:sz w:val="48"/>
          <w:szCs w:val="48"/>
        </w:rPr>
      </w:pPr>
      <w:r>
        <w:rPr>
          <w:rFonts w:hint="eastAsia"/>
          <w:sz w:val="48"/>
          <w:szCs w:val="48"/>
        </w:rPr>
        <w:t>编制说明</w:t>
      </w:r>
    </w:p>
    <w:p w14:paraId="6312485E">
      <w:pPr>
        <w:spacing w:before="312" w:beforeLines="100" w:after="312" w:afterLines="100" w:line="360" w:lineRule="auto"/>
        <w:jc w:val="center"/>
        <w:rPr>
          <w:rFonts w:hint="eastAsia"/>
          <w:sz w:val="48"/>
          <w:szCs w:val="48"/>
        </w:rPr>
      </w:pPr>
    </w:p>
    <w:p w14:paraId="5BE649AA">
      <w:pPr>
        <w:spacing w:before="312" w:beforeLines="100" w:after="312" w:afterLines="100" w:line="360" w:lineRule="auto"/>
        <w:jc w:val="center"/>
        <w:rPr>
          <w:rFonts w:hint="eastAsia"/>
          <w:sz w:val="48"/>
          <w:szCs w:val="48"/>
        </w:rPr>
      </w:pPr>
    </w:p>
    <w:p w14:paraId="093B7416">
      <w:pPr>
        <w:spacing w:before="312" w:beforeLines="100" w:after="312" w:afterLines="100" w:line="360" w:lineRule="auto"/>
        <w:jc w:val="center"/>
        <w:rPr>
          <w:rFonts w:hint="eastAsia"/>
          <w:sz w:val="48"/>
          <w:szCs w:val="48"/>
        </w:rPr>
      </w:pPr>
    </w:p>
    <w:p w14:paraId="3C0B5096">
      <w:pPr>
        <w:spacing w:before="312" w:beforeLines="100" w:after="312" w:afterLines="100" w:line="360" w:lineRule="auto"/>
        <w:jc w:val="center"/>
        <w:rPr>
          <w:rFonts w:hint="eastAsia"/>
          <w:sz w:val="48"/>
          <w:szCs w:val="48"/>
        </w:rPr>
      </w:pPr>
    </w:p>
    <w:p w14:paraId="09A59D55">
      <w:pPr>
        <w:spacing w:before="312" w:beforeLines="100" w:after="312" w:afterLines="100" w:line="360" w:lineRule="auto"/>
        <w:jc w:val="center"/>
        <w:rPr>
          <w:rFonts w:hint="eastAsia"/>
          <w:sz w:val="48"/>
          <w:szCs w:val="48"/>
        </w:rPr>
      </w:pPr>
    </w:p>
    <w:p w14:paraId="66CCF651">
      <w:pPr>
        <w:spacing w:before="312" w:beforeLines="100" w:after="312" w:afterLines="100" w:line="360" w:lineRule="auto"/>
        <w:jc w:val="center"/>
        <w:rPr>
          <w:rFonts w:hint="eastAsia"/>
          <w:sz w:val="48"/>
          <w:szCs w:val="48"/>
        </w:rPr>
      </w:pPr>
    </w:p>
    <w:p w14:paraId="41127793">
      <w:pPr>
        <w:spacing w:before="312" w:beforeLines="100" w:after="312" w:afterLines="100" w:line="360" w:lineRule="auto"/>
        <w:jc w:val="center"/>
        <w:rPr>
          <w:rFonts w:hint="eastAsia"/>
          <w:sz w:val="48"/>
          <w:szCs w:val="48"/>
        </w:rPr>
      </w:pPr>
    </w:p>
    <w:p w14:paraId="5FB9413D">
      <w:pPr>
        <w:pStyle w:val="8"/>
        <w:spacing w:line="360" w:lineRule="auto"/>
        <w:jc w:val="center"/>
        <w:rPr>
          <w:rFonts w:hint="eastAsia"/>
          <w:sz w:val="28"/>
          <w:szCs w:val="28"/>
        </w:rPr>
      </w:pPr>
      <w:r>
        <w:rPr>
          <w:rFonts w:hint="eastAsia"/>
          <w:sz w:val="28"/>
          <w:szCs w:val="28"/>
        </w:rPr>
        <w:t>《计量电子证书</w:t>
      </w:r>
      <w:r>
        <w:rPr>
          <w:rFonts w:hint="eastAsia"/>
          <w:sz w:val="28"/>
          <w:szCs w:val="28"/>
          <w:lang w:eastAsia="zh-CN"/>
        </w:rPr>
        <w:t>（</w:t>
      </w:r>
      <w:r>
        <w:rPr>
          <w:rFonts w:hint="eastAsia"/>
          <w:sz w:val="28"/>
          <w:szCs w:val="28"/>
          <w:lang w:val="en-US" w:eastAsia="zh-CN"/>
        </w:rPr>
        <w:t>报告</w:t>
      </w:r>
      <w:r>
        <w:rPr>
          <w:rFonts w:hint="eastAsia"/>
          <w:sz w:val="28"/>
          <w:szCs w:val="28"/>
          <w:lang w:eastAsia="zh-CN"/>
        </w:rPr>
        <w:t>）</w:t>
      </w:r>
      <w:r>
        <w:rPr>
          <w:rFonts w:hint="eastAsia"/>
          <w:sz w:val="28"/>
          <w:szCs w:val="28"/>
        </w:rPr>
        <w:t>通用要求》编制组</w:t>
      </w:r>
    </w:p>
    <w:p w14:paraId="10317BF6">
      <w:pPr>
        <w:spacing w:before="312" w:beforeLines="100" w:after="312" w:afterLines="100" w:line="360" w:lineRule="auto"/>
        <w:jc w:val="center"/>
        <w:rPr>
          <w:sz w:val="48"/>
          <w:szCs w:val="48"/>
        </w:rPr>
      </w:pPr>
      <w:r>
        <w:rPr>
          <w:rFonts w:hint="eastAsia"/>
          <w:sz w:val="28"/>
          <w:szCs w:val="28"/>
        </w:rPr>
        <w:t>20</w:t>
      </w:r>
      <w:r>
        <w:rPr>
          <w:rFonts w:hint="eastAsia"/>
          <w:sz w:val="28"/>
          <w:szCs w:val="28"/>
          <w:lang w:val="en-US" w:eastAsia="zh-CN"/>
        </w:rPr>
        <w:t>26</w:t>
      </w:r>
      <w:r>
        <w:rPr>
          <w:rFonts w:hint="eastAsia"/>
          <w:sz w:val="28"/>
          <w:szCs w:val="28"/>
        </w:rPr>
        <w:t>年</w:t>
      </w:r>
      <w:r>
        <w:rPr>
          <w:rFonts w:hint="eastAsia"/>
          <w:sz w:val="28"/>
          <w:szCs w:val="28"/>
          <w:lang w:val="en-US" w:eastAsia="zh-CN"/>
        </w:rPr>
        <w:t>6</w:t>
      </w:r>
      <w:r>
        <w:rPr>
          <w:rFonts w:hint="eastAsia"/>
          <w:sz w:val="28"/>
          <w:szCs w:val="28"/>
        </w:rPr>
        <w:t>月</w:t>
      </w:r>
    </w:p>
    <w:p w14:paraId="5780B82D">
      <w:pPr>
        <w:widowControl/>
        <w:spacing w:line="360" w:lineRule="auto"/>
        <w:jc w:val="center"/>
        <w:rPr>
          <w:b/>
          <w:sz w:val="32"/>
          <w:szCs w:val="32"/>
        </w:rPr>
      </w:pPr>
      <w:r>
        <w:rPr>
          <w:sz w:val="48"/>
          <w:szCs w:val="48"/>
        </w:rPr>
        <w:br w:type="page"/>
      </w:r>
      <w:r>
        <w:rPr>
          <w:rFonts w:hint="eastAsia"/>
          <w:b/>
          <w:sz w:val="32"/>
          <w:szCs w:val="32"/>
        </w:rPr>
        <w:t>《</w:t>
      </w:r>
      <w:r>
        <w:rPr>
          <w:rFonts w:hint="eastAsia"/>
          <w:b/>
          <w:sz w:val="32"/>
          <w:szCs w:val="32"/>
          <w:lang w:eastAsia="zh-CN"/>
        </w:rPr>
        <w:t>计量电子证书（报告）通用要求</w:t>
      </w:r>
      <w:r>
        <w:rPr>
          <w:rFonts w:hint="eastAsia"/>
          <w:b/>
          <w:sz w:val="32"/>
          <w:szCs w:val="32"/>
        </w:rPr>
        <w:t>》编制说明</w:t>
      </w:r>
    </w:p>
    <w:p w14:paraId="386132AC">
      <w:pPr>
        <w:keepNext w:val="0"/>
        <w:keepLines w:val="0"/>
        <w:pageBreakBefore w:val="0"/>
        <w:widowControl w:val="0"/>
        <w:kinsoku/>
        <w:wordWrap/>
        <w:overflowPunct/>
        <w:topLinePunct w:val="0"/>
        <w:autoSpaceDE/>
        <w:autoSpaceDN/>
        <w:bidi w:val="0"/>
        <w:adjustRightInd/>
        <w:snapToGrid/>
        <w:spacing w:after="157" w:afterLines="50" w:line="360" w:lineRule="auto"/>
        <w:textAlignment w:val="auto"/>
        <w:outlineLvl w:val="0"/>
        <w:rPr>
          <w:rFonts w:hint="eastAsia"/>
          <w:b/>
          <w:sz w:val="28"/>
          <w:szCs w:val="28"/>
        </w:rPr>
      </w:pPr>
      <w:r>
        <w:rPr>
          <w:rFonts w:hint="eastAsia"/>
          <w:b/>
          <w:sz w:val="28"/>
          <w:szCs w:val="28"/>
        </w:rPr>
        <w:t>一、任务来源及计划要求</w:t>
      </w:r>
    </w:p>
    <w:p w14:paraId="4AD1B6D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napToGrid w:val="0"/>
          <w:color w:val="000000"/>
          <w:kern w:val="0"/>
          <w:sz w:val="24"/>
          <w:lang w:val="en-US" w:eastAsia="zh-CN"/>
        </w:rPr>
      </w:pPr>
      <w:r>
        <w:rPr>
          <w:rFonts w:hint="eastAsia" w:ascii="Times New Roman" w:hAnsi="Times New Roman" w:eastAsia="宋体" w:cs="Times New Roman"/>
          <w:snapToGrid w:val="0"/>
          <w:color w:val="000000"/>
          <w:kern w:val="0"/>
          <w:sz w:val="24"/>
        </w:rPr>
        <w:t>《</w:t>
      </w:r>
      <w:r>
        <w:rPr>
          <w:rFonts w:hint="eastAsia" w:ascii="Times New Roman" w:hAnsi="Times New Roman" w:eastAsia="宋体" w:cs="Times New Roman"/>
          <w:snapToGrid w:val="0"/>
          <w:color w:val="000000"/>
          <w:kern w:val="0"/>
          <w:sz w:val="24"/>
          <w:lang w:eastAsia="zh-CN"/>
        </w:rPr>
        <w:t>计量电子证书（报告）通用要求</w:t>
      </w:r>
      <w:r>
        <w:rPr>
          <w:rFonts w:hint="eastAsia" w:ascii="Times New Roman" w:hAnsi="Times New Roman" w:eastAsia="宋体" w:cs="Times New Roman"/>
          <w:snapToGrid w:val="0"/>
          <w:color w:val="000000"/>
          <w:kern w:val="0"/>
          <w:sz w:val="24"/>
        </w:rPr>
        <w:t>》国家计量技术规范的编写任务</w:t>
      </w:r>
      <w:r>
        <w:rPr>
          <w:rFonts w:hint="eastAsia" w:ascii="Times New Roman" w:hAnsi="Times New Roman" w:eastAsia="宋体" w:cs="Times New Roman"/>
          <w:snapToGrid w:val="0"/>
          <w:color w:val="000000"/>
          <w:kern w:val="0"/>
          <w:sz w:val="24"/>
          <w:lang w:eastAsia="zh-CN"/>
        </w:rPr>
        <w:t>，</w:t>
      </w:r>
      <w:r>
        <w:rPr>
          <w:rFonts w:hint="eastAsia" w:ascii="Times New Roman" w:hAnsi="Times New Roman" w:eastAsia="宋体" w:cs="Times New Roman"/>
          <w:snapToGrid w:val="0"/>
          <w:color w:val="000000"/>
          <w:kern w:val="0"/>
          <w:sz w:val="24"/>
        </w:rPr>
        <w:t>是由国家市场监督管理总局</w:t>
      </w:r>
      <w:r>
        <w:rPr>
          <w:rFonts w:hint="eastAsia" w:ascii="Times New Roman" w:hAnsi="Times New Roman" w:eastAsia="宋体" w:cs="Times New Roman"/>
          <w:snapToGrid w:val="0"/>
          <w:color w:val="000000"/>
          <w:kern w:val="0"/>
          <w:sz w:val="24"/>
          <w:lang w:val="en-US" w:eastAsia="zh-CN"/>
        </w:rPr>
        <w:t>关于印发市监计量发〔</w:t>
      </w:r>
      <w:r>
        <w:rPr>
          <w:rFonts w:hint="default" w:ascii="Times New Roman" w:hAnsi="Times New Roman" w:eastAsia="宋体" w:cs="Times New Roman"/>
          <w:snapToGrid w:val="0"/>
          <w:color w:val="000000"/>
          <w:kern w:val="0"/>
          <w:sz w:val="24"/>
          <w:lang w:val="en-US" w:eastAsia="zh-CN"/>
        </w:rPr>
        <w:t>2024</w:t>
      </w:r>
      <w:r>
        <w:rPr>
          <w:rFonts w:hint="eastAsia" w:ascii="Times New Roman" w:hAnsi="Times New Roman" w:eastAsia="宋体" w:cs="Times New Roman"/>
          <w:snapToGrid w:val="0"/>
          <w:color w:val="000000"/>
          <w:kern w:val="0"/>
          <w:sz w:val="24"/>
          <w:lang w:val="en-US" w:eastAsia="zh-CN"/>
        </w:rPr>
        <w:t>〕</w:t>
      </w:r>
      <w:r>
        <w:rPr>
          <w:rFonts w:hint="default" w:ascii="Times New Roman" w:hAnsi="Times New Roman" w:eastAsia="宋体" w:cs="Times New Roman"/>
          <w:snapToGrid w:val="0"/>
          <w:color w:val="000000"/>
          <w:kern w:val="0"/>
          <w:sz w:val="24"/>
          <w:lang w:val="en-US" w:eastAsia="zh-CN"/>
        </w:rPr>
        <w:t xml:space="preserve">40 </w:t>
      </w:r>
      <w:r>
        <w:rPr>
          <w:rFonts w:hint="eastAsia" w:ascii="Times New Roman" w:hAnsi="Times New Roman" w:eastAsia="宋体" w:cs="Times New Roman"/>
          <w:snapToGrid w:val="0"/>
          <w:color w:val="000000"/>
          <w:kern w:val="0"/>
          <w:sz w:val="24"/>
          <w:lang w:val="en-US" w:eastAsia="zh-CN"/>
        </w:rPr>
        <w:t>号</w:t>
      </w:r>
      <w:r>
        <w:rPr>
          <w:rFonts w:hint="eastAsia" w:ascii="Times New Roman" w:hAnsi="Times New Roman" w:eastAsia="宋体" w:cs="Times New Roman"/>
          <w:snapToGrid w:val="0"/>
          <w:color w:val="000000"/>
          <w:kern w:val="0"/>
          <w:sz w:val="24"/>
          <w:lang w:eastAsia="zh-CN"/>
        </w:rPr>
        <w:t>《</w:t>
      </w:r>
      <w:r>
        <w:rPr>
          <w:rFonts w:hint="eastAsia" w:ascii="Times New Roman" w:hAnsi="Times New Roman" w:eastAsia="宋体" w:cs="Times New Roman"/>
          <w:snapToGrid w:val="0"/>
          <w:color w:val="000000"/>
          <w:kern w:val="0"/>
          <w:sz w:val="24"/>
          <w:lang w:val="en-US" w:eastAsia="zh-CN"/>
        </w:rPr>
        <w:t>市场监管总局办公厅关于印发&lt;</w:t>
      </w:r>
      <w:r>
        <w:rPr>
          <w:rFonts w:hint="default" w:ascii="Times New Roman" w:hAnsi="Times New Roman" w:eastAsia="宋体" w:cs="Times New Roman"/>
          <w:snapToGrid w:val="0"/>
          <w:color w:val="000000"/>
          <w:kern w:val="0"/>
          <w:sz w:val="24"/>
          <w:lang w:val="en-US" w:eastAsia="zh-CN"/>
        </w:rPr>
        <w:t xml:space="preserve">2024 </w:t>
      </w:r>
      <w:r>
        <w:rPr>
          <w:rFonts w:hint="eastAsia" w:ascii="Times New Roman" w:hAnsi="Times New Roman" w:eastAsia="宋体" w:cs="Times New Roman"/>
          <w:snapToGrid w:val="0"/>
          <w:color w:val="000000"/>
          <w:kern w:val="0"/>
          <w:sz w:val="24"/>
          <w:lang w:val="en-US" w:eastAsia="zh-CN"/>
        </w:rPr>
        <w:t>年国家计量技术规范制定、修订及宣贯计划&gt;的通知</w:t>
      </w:r>
      <w:r>
        <w:rPr>
          <w:rFonts w:hint="eastAsia" w:ascii="Times New Roman" w:hAnsi="Times New Roman" w:eastAsia="宋体" w:cs="Times New Roman"/>
          <w:snapToGrid w:val="0"/>
          <w:color w:val="000000"/>
          <w:kern w:val="0"/>
          <w:sz w:val="24"/>
          <w:lang w:eastAsia="zh-CN"/>
        </w:rPr>
        <w:t>》</w:t>
      </w:r>
      <w:r>
        <w:rPr>
          <w:rFonts w:hint="eastAsia" w:ascii="Times New Roman" w:hAnsi="Times New Roman" w:eastAsia="宋体" w:cs="Times New Roman"/>
          <w:snapToGrid w:val="0"/>
          <w:color w:val="000000"/>
          <w:kern w:val="0"/>
          <w:sz w:val="24"/>
          <w:lang w:val="en-US" w:eastAsia="zh-CN"/>
        </w:rPr>
        <w:t>批准立项。</w:t>
      </w:r>
    </w:p>
    <w:p w14:paraId="7FEBCB84">
      <w:pPr>
        <w:keepNext w:val="0"/>
        <w:keepLines w:val="0"/>
        <w:pageBreakBefore w:val="0"/>
        <w:widowControl w:val="0"/>
        <w:kinsoku/>
        <w:wordWrap/>
        <w:overflowPunct/>
        <w:topLinePunct w:val="0"/>
        <w:autoSpaceDE/>
        <w:autoSpaceDN/>
        <w:bidi w:val="0"/>
        <w:adjustRightInd/>
        <w:snapToGrid/>
        <w:spacing w:after="157" w:afterLines="50" w:line="360" w:lineRule="auto"/>
        <w:textAlignment w:val="auto"/>
        <w:outlineLvl w:val="0"/>
        <w:rPr>
          <w:b/>
          <w:sz w:val="28"/>
          <w:szCs w:val="28"/>
        </w:rPr>
      </w:pPr>
      <w:r>
        <w:rPr>
          <w:rFonts w:hint="eastAsia"/>
          <w:b/>
          <w:sz w:val="28"/>
          <w:szCs w:val="28"/>
        </w:rPr>
        <w:t>二、项目意义</w:t>
      </w:r>
    </w:p>
    <w:p w14:paraId="6474ADCE">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eastAsia="宋体" w:cs="Times New Roman"/>
          <w:snapToGrid w:val="0"/>
          <w:color w:val="000000"/>
          <w:kern w:val="0"/>
          <w:sz w:val="24"/>
          <w:lang w:val="en-US" w:eastAsia="zh-CN"/>
        </w:rPr>
      </w:pPr>
      <w:bookmarkStart w:id="0" w:name="OLE_LINK17"/>
      <w:bookmarkStart w:id="1" w:name="OLE_LINK18"/>
      <w:r>
        <w:rPr>
          <w:rFonts w:hint="eastAsia" w:ascii="Times New Roman" w:hAnsi="Times New Roman" w:eastAsia="宋体" w:cs="Times New Roman"/>
          <w:snapToGrid w:val="0"/>
          <w:color w:val="000000"/>
          <w:kern w:val="0"/>
          <w:sz w:val="24"/>
          <w:lang w:val="en-US" w:eastAsia="zh-CN"/>
        </w:rPr>
        <w:t>2004年8月28日十届全国人大通过《电子签名法》，于2005年4月1日正式施行，标志着中国首部“真正意义上的信息化法律”正式诞生，为建立良好的网络信用机制和高效的网上交易途径提供了法律保障。</w:t>
      </w:r>
    </w:p>
    <w:p w14:paraId="4E7271A3">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napToGrid w:val="0"/>
          <w:color w:val="000000"/>
          <w:kern w:val="0"/>
          <w:sz w:val="24"/>
          <w:lang w:val="en-US" w:eastAsia="zh-CN"/>
        </w:rPr>
      </w:pPr>
      <w:r>
        <w:rPr>
          <w:rFonts w:hint="eastAsia" w:ascii="Times New Roman" w:hAnsi="Times New Roman" w:eastAsia="宋体" w:cs="Times New Roman"/>
          <w:snapToGrid w:val="0"/>
          <w:color w:val="000000"/>
          <w:kern w:val="0"/>
          <w:sz w:val="24"/>
          <w:lang w:val="en-US" w:eastAsia="zh-CN"/>
        </w:rPr>
        <w:t>随着信息化的深度普及及发展，全国各行各业都在推行电子档案、证照、证书、报告、合同，尤其进入2020年代以来得到了广泛的应用。市场监督管理系统大力推行电子证照、公安系统推行电子证件、国家档案系统推行电子档案、人社系统也推行了专业技术资格电子证书等等。证件证书的电子化普及，使得电子介质证书与纸质证书具有同等法律效力获得了法律实践和社会实践。在去全球化的今天，国际贸易领域对技术性贸易壁垒越来越多样化、越来越隐蔽，计量证书作为国际互认重要技术文件，电子化要求也越来越受到各国的重视。如传统纸质证书的真伪验证越来越不被接受，而引入区块链或者加密算法等技术手段的信息化验证，被广泛的应用和接受。</w:t>
      </w:r>
    </w:p>
    <w:p w14:paraId="7DCA7320">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eastAsia="宋体" w:cs="Times New Roman"/>
          <w:snapToGrid w:val="0"/>
          <w:color w:val="000000"/>
          <w:kern w:val="0"/>
          <w:sz w:val="24"/>
          <w:lang w:val="en-US" w:eastAsia="zh-CN"/>
        </w:rPr>
      </w:pPr>
      <w:r>
        <w:rPr>
          <w:rFonts w:hint="eastAsia" w:ascii="Times New Roman" w:hAnsi="Times New Roman" w:eastAsia="宋体" w:cs="Times New Roman"/>
          <w:snapToGrid w:val="0"/>
          <w:color w:val="000000"/>
          <w:kern w:val="0"/>
          <w:sz w:val="24"/>
          <w:lang w:val="en-US" w:eastAsia="zh-CN"/>
        </w:rPr>
        <w:t>计量电子证书（报告）作为我国证书的重要组成部分，2020年520世界计量日，中国计量科学研究院推出了计量电子证书（报告），2020年9月，河南省推出了电子化的计量证书（报告），2021年11月广东省计量院推出了计量电子证书（报告）。现在计量电子证书（报告）被越来越多的计量技术机构使用并被各企事业单位接受认可。</w:t>
      </w:r>
    </w:p>
    <w:p w14:paraId="233EED9E">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eastAsia="宋体" w:cs="Times New Roman"/>
          <w:snapToGrid w:val="0"/>
          <w:color w:val="000000"/>
          <w:kern w:val="0"/>
          <w:sz w:val="24"/>
          <w:lang w:val="en-US" w:eastAsia="zh-CN"/>
        </w:rPr>
      </w:pPr>
      <w:r>
        <w:rPr>
          <w:rFonts w:hint="eastAsia" w:ascii="Times New Roman" w:hAnsi="Times New Roman" w:eastAsia="宋体" w:cs="Times New Roman"/>
          <w:snapToGrid w:val="0"/>
          <w:color w:val="000000"/>
          <w:kern w:val="0"/>
          <w:sz w:val="24"/>
          <w:lang w:val="en-US" w:eastAsia="zh-CN"/>
        </w:rPr>
        <w:t>计量电子证书（报告）与纸质证书相比有其经济、规范、易于获取、方便存档等优势，但是也有易伪造、易复制、易修改、易泄密等缺点和不足。电子化和信息化的属性特点，就要求计量电子证书（报告）在文件格式、标识、印章、加密、传输、下载、真伪验证、修改、存储及处置等环节要素采用信息化的同时，符合《计量法》等法律法规要求。</w:t>
      </w:r>
    </w:p>
    <w:p w14:paraId="530EFE4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eastAsia="宋体" w:cs="Times New Roman"/>
          <w:snapToGrid w:val="0"/>
          <w:color w:val="000000"/>
          <w:kern w:val="0"/>
          <w:sz w:val="24"/>
          <w:lang w:val="en-US" w:eastAsia="zh-CN"/>
        </w:rPr>
      </w:pPr>
      <w:r>
        <w:rPr>
          <w:rFonts w:hint="eastAsia" w:ascii="Times New Roman" w:hAnsi="Times New Roman" w:eastAsia="宋体" w:cs="Times New Roman"/>
          <w:snapToGrid w:val="0"/>
          <w:color w:val="000000"/>
          <w:kern w:val="0"/>
          <w:sz w:val="24"/>
          <w:lang w:val="en-US" w:eastAsia="zh-CN"/>
        </w:rPr>
        <w:t>为规范计量电子证书（报告）的生成、加密、发放、使用等过程，保证计量电子证书（报告）的安全和正确使用，需要明确规范计量电子证书（报告）的相关环节，如每一份下载的计量电子证书都应有独立的标识，电子证书中的每一页都应有明确标识本证书为电子证书；计量电子证书（报告）的存储要求至少保存6年，</w:t>
      </w:r>
      <w:r>
        <w:rPr>
          <w:rFonts w:hint="eastAsia" w:ascii="Times New Roman" w:hAnsi="Times New Roman" w:eastAsia="宋体" w:cs="Times New Roman"/>
          <w:snapToGrid w:val="0"/>
          <w:color w:val="000000"/>
          <w:kern w:val="0"/>
          <w:sz w:val="24"/>
        </w:rPr>
        <w:t>当电子证书的存储期限期满时，应进行电子证书的删除、销毁等处置</w:t>
      </w:r>
      <w:r>
        <w:rPr>
          <w:rFonts w:hint="eastAsia" w:ascii="Times New Roman" w:hAnsi="Times New Roman" w:eastAsia="宋体" w:cs="Times New Roman"/>
          <w:snapToGrid w:val="0"/>
          <w:color w:val="000000"/>
          <w:kern w:val="0"/>
          <w:sz w:val="24"/>
          <w:lang w:val="en-US" w:eastAsia="zh-CN"/>
        </w:rPr>
        <w:t>；再比如，电子证书在互联网传输时宜使用加密方式，在被获取时应经过身份识别等非常多的要求。</w:t>
      </w:r>
    </w:p>
    <w:p w14:paraId="0395628B">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eastAsia="宋体" w:cs="Times New Roman"/>
          <w:snapToGrid w:val="0"/>
          <w:color w:val="000000"/>
          <w:kern w:val="0"/>
          <w:sz w:val="24"/>
          <w:lang w:val="en-US" w:eastAsia="zh-CN"/>
        </w:rPr>
      </w:pPr>
      <w:r>
        <w:rPr>
          <w:rFonts w:hint="eastAsia" w:ascii="Times New Roman" w:hAnsi="Times New Roman" w:eastAsia="宋体" w:cs="Times New Roman"/>
          <w:snapToGrid w:val="0"/>
          <w:color w:val="000000"/>
          <w:kern w:val="0"/>
          <w:sz w:val="24"/>
          <w:lang w:val="en-US" w:eastAsia="zh-CN"/>
        </w:rPr>
        <w:t>为了促进计量电子证书（报告）的推广应用，确保计量电子证书（报告）的规范和安全，服务我国的经济社会发展，编制《计量电子证书（报告）通用技术要求》意义重大。</w:t>
      </w:r>
      <w:bookmarkEnd w:id="0"/>
      <w:bookmarkEnd w:id="1"/>
    </w:p>
    <w:p w14:paraId="5011817D">
      <w:pPr>
        <w:keepNext w:val="0"/>
        <w:keepLines w:val="0"/>
        <w:pageBreakBefore w:val="0"/>
        <w:widowControl w:val="0"/>
        <w:kinsoku/>
        <w:wordWrap/>
        <w:overflowPunct/>
        <w:topLinePunct w:val="0"/>
        <w:autoSpaceDE/>
        <w:autoSpaceDN/>
        <w:bidi w:val="0"/>
        <w:adjustRightInd/>
        <w:snapToGrid/>
        <w:spacing w:after="157" w:afterLines="50" w:line="360" w:lineRule="auto"/>
        <w:textAlignment w:val="auto"/>
        <w:outlineLvl w:val="0"/>
        <w:rPr>
          <w:rFonts w:hint="eastAsia"/>
          <w:b/>
          <w:sz w:val="28"/>
          <w:szCs w:val="28"/>
        </w:rPr>
      </w:pPr>
      <w:r>
        <w:rPr>
          <w:rFonts w:hint="eastAsia"/>
          <w:b/>
          <w:sz w:val="28"/>
          <w:szCs w:val="28"/>
        </w:rPr>
        <w:t>三、编制依据</w:t>
      </w:r>
    </w:p>
    <w:p w14:paraId="262FDE8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eastAsia="宋体" w:cs="Times New Roman"/>
          <w:snapToGrid w:val="0"/>
          <w:color w:val="000000"/>
          <w:kern w:val="0"/>
          <w:sz w:val="24"/>
          <w:lang w:val="en-US" w:eastAsia="zh-CN"/>
        </w:rPr>
      </w:pPr>
      <w:r>
        <w:rPr>
          <w:rFonts w:hint="eastAsia" w:ascii="Times New Roman" w:hAnsi="Times New Roman" w:eastAsia="宋体" w:cs="Times New Roman"/>
          <w:snapToGrid w:val="0"/>
          <w:color w:val="000000"/>
          <w:kern w:val="0"/>
          <w:sz w:val="24"/>
          <w:lang w:val="en-US" w:eastAsia="zh-CN"/>
        </w:rPr>
        <w:t>JJF 1071—2010《国家计量校准规范编写规则》、JJF 1002—2010《国家计量检定规程编写规则》、JJF 1001—2011《通用计量术语及定义》、JJF 1033—2023《计量标准考核规范》、GB/T 27025—2019《检测和校准实验室能力的通用要求》共同构成支撑本规范制定工作的基础性系列规范。</w:t>
      </w:r>
    </w:p>
    <w:p w14:paraId="6EF2BC6F">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eastAsia="宋体" w:cs="Times New Roman"/>
          <w:snapToGrid w:val="0"/>
          <w:color w:val="000000"/>
          <w:kern w:val="0"/>
          <w:sz w:val="24"/>
          <w:lang w:val="en-US" w:eastAsia="zh-CN"/>
        </w:rPr>
      </w:pPr>
      <w:r>
        <w:rPr>
          <w:rFonts w:hint="eastAsia" w:ascii="Times New Roman" w:hAnsi="Times New Roman" w:eastAsia="宋体" w:cs="Times New Roman"/>
          <w:snapToGrid w:val="0"/>
          <w:color w:val="000000"/>
          <w:kern w:val="0"/>
          <w:sz w:val="24"/>
          <w:lang w:val="en-US" w:eastAsia="zh-CN"/>
        </w:rPr>
        <w:t>本规范为首次发布。</w:t>
      </w:r>
    </w:p>
    <w:p w14:paraId="52A3309F">
      <w:pPr>
        <w:keepNext w:val="0"/>
        <w:keepLines w:val="0"/>
        <w:pageBreakBefore w:val="0"/>
        <w:widowControl w:val="0"/>
        <w:kinsoku/>
        <w:wordWrap/>
        <w:overflowPunct/>
        <w:topLinePunct w:val="0"/>
        <w:autoSpaceDE/>
        <w:autoSpaceDN/>
        <w:bidi w:val="0"/>
        <w:adjustRightInd/>
        <w:snapToGrid/>
        <w:spacing w:after="157" w:afterLines="50" w:line="360" w:lineRule="auto"/>
        <w:textAlignment w:val="auto"/>
        <w:outlineLvl w:val="0"/>
        <w:rPr>
          <w:rFonts w:hint="eastAsia"/>
          <w:b/>
          <w:sz w:val="28"/>
          <w:szCs w:val="28"/>
        </w:rPr>
      </w:pPr>
      <w:r>
        <w:rPr>
          <w:rFonts w:hint="eastAsia"/>
          <w:b/>
          <w:sz w:val="28"/>
          <w:szCs w:val="28"/>
        </w:rPr>
        <w:t>四、编制过程</w:t>
      </w:r>
    </w:p>
    <w:p w14:paraId="6197761B">
      <w:pPr>
        <w:pStyle w:val="2"/>
        <w:keepNext/>
        <w:keepLines/>
        <w:pageBreakBefore w:val="0"/>
        <w:widowControl w:val="0"/>
        <w:kinsoku/>
        <w:wordWrap/>
        <w:overflowPunct/>
        <w:topLinePunct w:val="0"/>
        <w:autoSpaceDE/>
        <w:autoSpaceDN/>
        <w:bidi w:val="0"/>
        <w:adjustRightInd/>
        <w:snapToGrid/>
        <w:spacing w:after="63" w:afterLines="20"/>
        <w:textAlignment w:val="auto"/>
        <w:rPr>
          <w:rFonts w:hint="eastAsia" w:eastAsia="宋体" w:cs="Times New Roman"/>
          <w:lang w:val="en-US" w:eastAsia="zh-CN"/>
        </w:rPr>
      </w:pPr>
      <w:r>
        <w:rPr>
          <w:rFonts w:hint="eastAsia" w:eastAsia="宋体" w:cs="Times New Roman"/>
          <w:lang w:val="en-US" w:eastAsia="zh-CN"/>
        </w:rPr>
        <w:t>4.1 预研阶段</w:t>
      </w:r>
    </w:p>
    <w:p w14:paraId="4FE9B60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eastAsia="宋体" w:cs="Times New Roman"/>
          <w:snapToGrid w:val="0"/>
          <w:color w:val="000000"/>
          <w:kern w:val="0"/>
          <w:sz w:val="24"/>
          <w:lang w:val="en-US" w:eastAsia="zh-CN"/>
        </w:rPr>
      </w:pPr>
      <w:r>
        <w:rPr>
          <w:rFonts w:hint="eastAsia" w:ascii="Times New Roman" w:hAnsi="Times New Roman" w:eastAsia="宋体" w:cs="Times New Roman"/>
          <w:snapToGrid w:val="0"/>
          <w:color w:val="000000"/>
          <w:kern w:val="0"/>
          <w:sz w:val="24"/>
          <w:lang w:val="en-US" w:eastAsia="zh-CN"/>
        </w:rPr>
        <w:t>2024年1月</w:t>
      </w:r>
      <w:r>
        <w:rPr>
          <w:rFonts w:hint="eastAsia" w:ascii="Times New Roman" w:hAnsi="Times New Roman" w:cs="Times New Roman"/>
          <w:snapToGrid w:val="0"/>
          <w:color w:val="000000"/>
          <w:kern w:val="0"/>
          <w:sz w:val="24"/>
          <w:lang w:val="en-US" w:eastAsia="zh-CN"/>
        </w:rPr>
        <w:t>，</w:t>
      </w:r>
      <w:r>
        <w:rPr>
          <w:rFonts w:hint="eastAsia" w:ascii="Times New Roman" w:hAnsi="Times New Roman" w:eastAsia="宋体" w:cs="Times New Roman"/>
          <w:snapToGrid w:val="0"/>
          <w:color w:val="000000"/>
          <w:kern w:val="0"/>
          <w:sz w:val="24"/>
          <w:lang w:val="en-US" w:eastAsia="zh-CN"/>
        </w:rPr>
        <w:t>由河南省计量测试科学研究院、河南省标准化和质量研究院、江苏省计量科学研究院、中国计量科学研究院、广东省计量科学研究院主要单位组成预研组，对计量电子证书（报告）通用要求展开调研。同时起草了国家计量规范项目申报书。</w:t>
      </w:r>
    </w:p>
    <w:p w14:paraId="574B1A23">
      <w:pPr>
        <w:pStyle w:val="2"/>
        <w:keepNext/>
        <w:keepLines/>
        <w:pageBreakBefore w:val="0"/>
        <w:widowControl w:val="0"/>
        <w:kinsoku/>
        <w:wordWrap/>
        <w:overflowPunct/>
        <w:topLinePunct w:val="0"/>
        <w:autoSpaceDE/>
        <w:autoSpaceDN/>
        <w:bidi w:val="0"/>
        <w:adjustRightInd/>
        <w:snapToGrid/>
        <w:spacing w:after="63" w:afterLines="20"/>
        <w:textAlignment w:val="auto"/>
        <w:rPr>
          <w:rFonts w:hint="eastAsia" w:eastAsia="宋体" w:cs="Times New Roman"/>
          <w:lang w:val="en-US" w:eastAsia="zh-CN"/>
        </w:rPr>
      </w:pPr>
      <w:r>
        <w:rPr>
          <w:rFonts w:hint="eastAsia" w:eastAsia="宋体" w:cs="Times New Roman"/>
          <w:lang w:val="en-US" w:eastAsia="zh-CN"/>
        </w:rPr>
        <w:t>4.2 立项阶段</w:t>
      </w:r>
    </w:p>
    <w:p w14:paraId="09E3A01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eastAsia="宋体" w:cs="Times New Roman"/>
          <w:snapToGrid w:val="0"/>
          <w:color w:val="000000"/>
          <w:kern w:val="0"/>
          <w:sz w:val="24"/>
          <w:lang w:val="en-US" w:eastAsia="zh-CN"/>
        </w:rPr>
      </w:pPr>
      <w:r>
        <w:rPr>
          <w:rFonts w:hint="eastAsia" w:ascii="Times New Roman" w:hAnsi="Times New Roman" w:eastAsia="宋体" w:cs="Times New Roman"/>
          <w:snapToGrid w:val="0"/>
          <w:color w:val="000000"/>
          <w:kern w:val="0"/>
          <w:sz w:val="24"/>
          <w:lang w:val="en-US" w:eastAsia="zh-CN"/>
        </w:rPr>
        <w:t>2024年5月31日，市监计量发[2024]40号通知下达了《计量电子证书（报告）通用技术要求》的国家计量技术规范制修订项目计划，项目编号MTC43-2024-08，归口全国数字计量技术委员会，项目周期为2年。</w:t>
      </w:r>
    </w:p>
    <w:p w14:paraId="00D2D33C">
      <w:pPr>
        <w:pStyle w:val="2"/>
        <w:keepNext/>
        <w:keepLines/>
        <w:pageBreakBefore w:val="0"/>
        <w:widowControl w:val="0"/>
        <w:kinsoku/>
        <w:wordWrap/>
        <w:overflowPunct/>
        <w:topLinePunct w:val="0"/>
        <w:autoSpaceDE/>
        <w:autoSpaceDN/>
        <w:bidi w:val="0"/>
        <w:adjustRightInd/>
        <w:snapToGrid/>
        <w:spacing w:after="63" w:afterLines="20"/>
        <w:textAlignment w:val="auto"/>
        <w:rPr>
          <w:rFonts w:hint="eastAsia" w:eastAsia="宋体" w:cs="Times New Roman"/>
          <w:lang w:val="en-US" w:eastAsia="zh-CN"/>
        </w:rPr>
      </w:pPr>
      <w:r>
        <w:rPr>
          <w:rFonts w:hint="eastAsia" w:eastAsia="宋体" w:cs="Times New Roman"/>
          <w:lang w:val="en-US" w:eastAsia="zh-CN"/>
        </w:rPr>
        <w:t>4.3 起草阶段</w:t>
      </w:r>
    </w:p>
    <w:p w14:paraId="16021A08">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eastAsia="宋体" w:cs="Times New Roman"/>
          <w:snapToGrid w:val="0"/>
          <w:color w:val="000000"/>
          <w:kern w:val="0"/>
          <w:sz w:val="24"/>
          <w:lang w:val="en-US" w:eastAsia="zh-CN"/>
        </w:rPr>
      </w:pPr>
      <w:r>
        <w:rPr>
          <w:rFonts w:hint="eastAsia" w:ascii="Times New Roman" w:hAnsi="Times New Roman" w:eastAsia="宋体" w:cs="Times New Roman"/>
          <w:snapToGrid w:val="0"/>
          <w:color w:val="000000"/>
          <w:kern w:val="0"/>
          <w:sz w:val="24"/>
          <w:lang w:val="en-US" w:eastAsia="zh-CN"/>
        </w:rPr>
        <w:t>2024年7月，召开了启动会，针对技术规范的技术路线进行了讨论，确定了规范的框架。</w:t>
      </w:r>
    </w:p>
    <w:p w14:paraId="69AD6A10">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eastAsia="宋体" w:cs="Times New Roman"/>
          <w:snapToGrid w:val="0"/>
          <w:color w:val="000000"/>
          <w:kern w:val="0"/>
          <w:sz w:val="24"/>
          <w:lang w:val="en-US" w:eastAsia="zh-CN"/>
        </w:rPr>
      </w:pPr>
      <w:r>
        <w:rPr>
          <w:rFonts w:hint="eastAsia" w:ascii="Times New Roman" w:hAnsi="Times New Roman" w:eastAsia="宋体" w:cs="Times New Roman"/>
          <w:snapToGrid w:val="0"/>
          <w:color w:val="000000"/>
          <w:kern w:val="0"/>
          <w:sz w:val="24"/>
          <w:lang w:val="en-US" w:eastAsia="zh-CN"/>
        </w:rPr>
        <w:t>2024年9月，完成了规范草案的第1稿。</w:t>
      </w:r>
    </w:p>
    <w:p w14:paraId="3CCADAC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eastAsia="宋体" w:cs="Times New Roman"/>
          <w:snapToGrid w:val="0"/>
          <w:color w:val="000000"/>
          <w:kern w:val="0"/>
          <w:sz w:val="24"/>
          <w:lang w:val="en-US" w:eastAsia="zh-CN"/>
        </w:rPr>
      </w:pPr>
      <w:r>
        <w:rPr>
          <w:rFonts w:hint="eastAsia" w:ascii="Times New Roman" w:hAnsi="Times New Roman" w:eastAsia="宋体" w:cs="Times New Roman"/>
          <w:snapToGrid w:val="0"/>
          <w:color w:val="000000"/>
          <w:kern w:val="0"/>
          <w:sz w:val="24"/>
          <w:lang w:val="en-US" w:eastAsia="zh-CN"/>
        </w:rPr>
        <w:t>2024年11月，完成了规范草案的第2稿。</w:t>
      </w:r>
    </w:p>
    <w:p w14:paraId="4D36EA04">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eastAsia="宋体" w:cs="Times New Roman"/>
          <w:snapToGrid w:val="0"/>
          <w:color w:val="000000"/>
          <w:kern w:val="0"/>
          <w:sz w:val="24"/>
          <w:lang w:val="en-US" w:eastAsia="zh-CN"/>
        </w:rPr>
      </w:pPr>
      <w:r>
        <w:rPr>
          <w:rFonts w:hint="eastAsia" w:ascii="Times New Roman" w:hAnsi="Times New Roman" w:eastAsia="宋体" w:cs="Times New Roman"/>
          <w:snapToGrid w:val="0"/>
          <w:color w:val="000000"/>
          <w:kern w:val="0"/>
          <w:sz w:val="24"/>
          <w:lang w:val="en-US" w:eastAsia="zh-CN"/>
        </w:rPr>
        <w:t>2025年</w:t>
      </w:r>
      <w:r>
        <w:rPr>
          <w:rFonts w:hint="eastAsia" w:ascii="Times New Roman" w:hAnsi="Times New Roman" w:cs="Times New Roman"/>
          <w:snapToGrid w:val="0"/>
          <w:color w:val="000000"/>
          <w:kern w:val="0"/>
          <w:sz w:val="24"/>
          <w:lang w:val="en-US" w:eastAsia="zh-CN"/>
        </w:rPr>
        <w:t>1</w:t>
      </w:r>
      <w:r>
        <w:rPr>
          <w:rFonts w:hint="eastAsia" w:ascii="Times New Roman" w:hAnsi="Times New Roman" w:eastAsia="宋体" w:cs="Times New Roman"/>
          <w:snapToGrid w:val="0"/>
          <w:color w:val="000000"/>
          <w:kern w:val="0"/>
          <w:sz w:val="24"/>
          <w:lang w:val="en-US" w:eastAsia="zh-CN"/>
        </w:rPr>
        <w:t>月，完成了规范草案的第3稿。</w:t>
      </w:r>
    </w:p>
    <w:p w14:paraId="401C66A6">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eastAsia="宋体" w:cs="Times New Roman"/>
          <w:snapToGrid w:val="0"/>
          <w:color w:val="000000"/>
          <w:kern w:val="0"/>
          <w:sz w:val="24"/>
          <w:lang w:val="en-US" w:eastAsia="zh-CN"/>
        </w:rPr>
      </w:pPr>
      <w:r>
        <w:rPr>
          <w:rFonts w:hint="eastAsia" w:ascii="Times New Roman" w:hAnsi="Times New Roman" w:eastAsia="宋体" w:cs="Times New Roman"/>
          <w:snapToGrid w:val="0"/>
          <w:color w:val="000000"/>
          <w:kern w:val="0"/>
          <w:sz w:val="24"/>
          <w:lang w:val="en-US" w:eastAsia="zh-CN"/>
        </w:rPr>
        <w:t>2025年3月，完成了规范草案的第4稿。</w:t>
      </w:r>
    </w:p>
    <w:p w14:paraId="2C2EF010">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eastAsia="宋体" w:cs="Times New Roman"/>
          <w:snapToGrid w:val="0"/>
          <w:color w:val="000000"/>
          <w:kern w:val="0"/>
          <w:sz w:val="24"/>
          <w:lang w:val="en-US" w:eastAsia="zh-CN"/>
        </w:rPr>
      </w:pPr>
      <w:r>
        <w:rPr>
          <w:rFonts w:hint="eastAsia" w:ascii="Times New Roman" w:hAnsi="Times New Roman" w:eastAsia="宋体" w:cs="Times New Roman"/>
          <w:snapToGrid w:val="0"/>
          <w:color w:val="000000"/>
          <w:kern w:val="0"/>
          <w:sz w:val="24"/>
          <w:lang w:val="en-US" w:eastAsia="zh-CN"/>
        </w:rPr>
        <w:t>2025年4月，召开规范推进工作会，汇报规范进度。</w:t>
      </w:r>
    </w:p>
    <w:p w14:paraId="73FA7A72">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eastAsia="宋体" w:cs="Times New Roman"/>
          <w:snapToGrid w:val="0"/>
          <w:color w:val="000000"/>
          <w:kern w:val="0"/>
          <w:sz w:val="24"/>
          <w:lang w:val="en-US" w:eastAsia="zh-CN"/>
        </w:rPr>
      </w:pPr>
      <w:r>
        <w:rPr>
          <w:rFonts w:hint="eastAsia" w:ascii="Times New Roman" w:hAnsi="Times New Roman" w:eastAsia="宋体" w:cs="Times New Roman"/>
          <w:snapToGrid w:val="0"/>
          <w:color w:val="000000"/>
          <w:kern w:val="0"/>
          <w:sz w:val="24"/>
          <w:lang w:val="en-US" w:eastAsia="zh-CN"/>
        </w:rPr>
        <w:t>2025年5月，完成了规范草案的第5稿。</w:t>
      </w:r>
    </w:p>
    <w:p w14:paraId="66455B7F">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napToGrid w:val="0"/>
          <w:color w:val="000000"/>
          <w:kern w:val="0"/>
          <w:sz w:val="24"/>
          <w:lang w:val="en-US" w:eastAsia="zh-CN"/>
        </w:rPr>
      </w:pPr>
      <w:r>
        <w:rPr>
          <w:rFonts w:hint="eastAsia" w:ascii="Times New Roman" w:hAnsi="Times New Roman" w:eastAsia="宋体" w:cs="Times New Roman"/>
          <w:snapToGrid w:val="0"/>
          <w:color w:val="000000"/>
          <w:kern w:val="0"/>
          <w:sz w:val="24"/>
          <w:lang w:val="en-US" w:eastAsia="zh-CN"/>
        </w:rPr>
        <w:t>2025年7月，形成征求意见稿。</w:t>
      </w:r>
    </w:p>
    <w:p w14:paraId="19CFD14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napToGrid w:val="0"/>
          <w:color w:val="000000"/>
          <w:kern w:val="0"/>
          <w:sz w:val="24"/>
          <w:lang w:val="en-US" w:eastAsia="zh-CN"/>
        </w:rPr>
      </w:pPr>
      <w:r>
        <w:rPr>
          <w:rFonts w:hint="eastAsia" w:ascii="Times New Roman" w:hAnsi="Times New Roman" w:eastAsia="宋体" w:cs="Times New Roman"/>
          <w:snapToGrid w:val="0"/>
          <w:color w:val="000000"/>
          <w:kern w:val="0"/>
          <w:sz w:val="24"/>
          <w:lang w:val="en-US" w:eastAsia="zh-CN"/>
        </w:rPr>
        <w:t>2025年9月，召开规范审议会，讨论规范内容。</w:t>
      </w:r>
    </w:p>
    <w:p w14:paraId="4EBC755E">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eastAsia="宋体" w:cs="Times New Roman"/>
          <w:snapToGrid w:val="0"/>
          <w:color w:val="000000"/>
          <w:kern w:val="0"/>
          <w:sz w:val="24"/>
          <w:lang w:val="en-US" w:eastAsia="zh-CN"/>
        </w:rPr>
      </w:pPr>
      <w:r>
        <w:rPr>
          <w:rFonts w:hint="eastAsia" w:ascii="Times New Roman" w:hAnsi="Times New Roman" w:eastAsia="宋体" w:cs="Times New Roman"/>
          <w:snapToGrid w:val="0"/>
          <w:color w:val="000000"/>
          <w:kern w:val="0"/>
          <w:sz w:val="24"/>
          <w:lang w:val="en-US" w:eastAsia="zh-CN"/>
        </w:rPr>
        <w:t>2025年12月，完成规范征求意见稿第2稿。</w:t>
      </w:r>
    </w:p>
    <w:p w14:paraId="65D9B7BE">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napToGrid w:val="0"/>
          <w:color w:val="000000"/>
          <w:kern w:val="0"/>
          <w:sz w:val="24"/>
          <w:lang w:val="en-US" w:eastAsia="zh-CN"/>
        </w:rPr>
      </w:pPr>
      <w:r>
        <w:rPr>
          <w:rFonts w:hint="eastAsia" w:ascii="Times New Roman" w:hAnsi="Times New Roman" w:eastAsia="宋体" w:cs="Times New Roman"/>
          <w:snapToGrid w:val="0"/>
          <w:color w:val="000000"/>
          <w:kern w:val="0"/>
          <w:sz w:val="24"/>
          <w:lang w:val="en-US" w:eastAsia="zh-CN"/>
        </w:rPr>
        <w:t>2026年5月，召开规范审议会</w:t>
      </w:r>
      <w:r>
        <w:rPr>
          <w:rFonts w:hint="eastAsia" w:ascii="Times New Roman" w:hAnsi="Times New Roman" w:cs="Times New Roman"/>
          <w:snapToGrid w:val="0"/>
          <w:color w:val="000000"/>
          <w:kern w:val="0"/>
          <w:sz w:val="24"/>
          <w:lang w:val="en-US" w:eastAsia="zh-CN"/>
        </w:rPr>
        <w:t>，讨论规范内容。</w:t>
      </w:r>
    </w:p>
    <w:p w14:paraId="6C6AE457">
      <w:pPr>
        <w:snapToGrid w:val="0"/>
        <w:spacing w:line="300" w:lineRule="auto"/>
        <w:ind w:firstLine="480" w:firstLineChars="200"/>
        <w:rPr>
          <w:rFonts w:hint="eastAsia" w:ascii="Times New Roman" w:hAnsi="Times New Roman" w:eastAsia="宋体" w:cs="Times New Roman"/>
          <w:snapToGrid w:val="0"/>
          <w:color w:val="000000"/>
          <w:kern w:val="0"/>
          <w:sz w:val="24"/>
        </w:rPr>
      </w:pPr>
      <w:r>
        <w:rPr>
          <w:rFonts w:hint="eastAsia" w:ascii="Times New Roman" w:hAnsi="Times New Roman" w:eastAsia="宋体" w:cs="Times New Roman"/>
          <w:snapToGrid w:val="0"/>
          <w:color w:val="000000"/>
          <w:kern w:val="0"/>
          <w:sz w:val="24"/>
        </w:rPr>
        <w:t>202</w:t>
      </w:r>
      <w:r>
        <w:rPr>
          <w:rFonts w:hint="eastAsia" w:ascii="Times New Roman" w:hAnsi="Times New Roman" w:eastAsia="宋体" w:cs="Times New Roman"/>
          <w:snapToGrid w:val="0"/>
          <w:color w:val="000000"/>
          <w:kern w:val="0"/>
          <w:sz w:val="24"/>
          <w:lang w:val="en-US" w:eastAsia="zh-CN"/>
        </w:rPr>
        <w:t>6</w:t>
      </w:r>
      <w:r>
        <w:rPr>
          <w:rFonts w:hint="eastAsia" w:ascii="Times New Roman" w:hAnsi="Times New Roman" w:eastAsia="宋体" w:cs="Times New Roman"/>
          <w:snapToGrid w:val="0"/>
          <w:color w:val="000000"/>
          <w:kern w:val="0"/>
          <w:sz w:val="24"/>
        </w:rPr>
        <w:t>年</w:t>
      </w:r>
      <w:r>
        <w:rPr>
          <w:rFonts w:hint="eastAsia" w:ascii="Times New Roman" w:hAnsi="Times New Roman" w:eastAsia="宋体" w:cs="Times New Roman"/>
          <w:snapToGrid w:val="0"/>
          <w:color w:val="000000"/>
          <w:kern w:val="0"/>
          <w:sz w:val="24"/>
          <w:lang w:val="en-US" w:eastAsia="zh-CN"/>
        </w:rPr>
        <w:t>6</w:t>
      </w:r>
      <w:r>
        <w:rPr>
          <w:rFonts w:hint="eastAsia" w:ascii="Times New Roman" w:hAnsi="Times New Roman" w:eastAsia="宋体" w:cs="Times New Roman"/>
          <w:snapToGrid w:val="0"/>
          <w:color w:val="000000"/>
          <w:kern w:val="0"/>
          <w:sz w:val="24"/>
        </w:rPr>
        <w:t>月，完成规范</w:t>
      </w:r>
      <w:r>
        <w:rPr>
          <w:rFonts w:hint="eastAsia" w:ascii="Times New Roman" w:hAnsi="Times New Roman" w:eastAsia="宋体" w:cs="Times New Roman"/>
          <w:snapToGrid w:val="0"/>
          <w:color w:val="000000"/>
          <w:kern w:val="0"/>
          <w:sz w:val="24"/>
          <w:lang w:val="en-US" w:eastAsia="zh-CN"/>
        </w:rPr>
        <w:t>规范征求意见稿第</w:t>
      </w:r>
      <w:r>
        <w:rPr>
          <w:rFonts w:hint="eastAsia" w:ascii="Times New Roman" w:hAnsi="Times New Roman" w:cs="Times New Roman"/>
          <w:snapToGrid w:val="0"/>
          <w:color w:val="000000"/>
          <w:kern w:val="0"/>
          <w:sz w:val="24"/>
          <w:lang w:val="en-US" w:eastAsia="zh-CN"/>
        </w:rPr>
        <w:t>3</w:t>
      </w:r>
      <w:r>
        <w:rPr>
          <w:rFonts w:hint="eastAsia" w:ascii="Times New Roman" w:hAnsi="Times New Roman" w:eastAsia="宋体" w:cs="Times New Roman"/>
          <w:snapToGrid w:val="0"/>
          <w:color w:val="000000"/>
          <w:kern w:val="0"/>
          <w:sz w:val="24"/>
          <w:lang w:val="en-US" w:eastAsia="zh-CN"/>
        </w:rPr>
        <w:t>稿</w:t>
      </w:r>
      <w:r>
        <w:rPr>
          <w:rFonts w:hint="eastAsia" w:ascii="Times New Roman" w:hAnsi="Times New Roman" w:eastAsia="宋体" w:cs="Times New Roman"/>
          <w:snapToGrid w:val="0"/>
          <w:color w:val="000000"/>
          <w:kern w:val="0"/>
          <w:sz w:val="24"/>
        </w:rPr>
        <w:t>。</w:t>
      </w:r>
    </w:p>
    <w:p w14:paraId="596EC1D2">
      <w:pPr>
        <w:keepNext w:val="0"/>
        <w:keepLines w:val="0"/>
        <w:pageBreakBefore w:val="0"/>
        <w:widowControl w:val="0"/>
        <w:kinsoku/>
        <w:wordWrap/>
        <w:overflowPunct/>
        <w:topLinePunct w:val="0"/>
        <w:autoSpaceDE/>
        <w:autoSpaceDN/>
        <w:bidi w:val="0"/>
        <w:adjustRightInd/>
        <w:snapToGrid/>
        <w:spacing w:after="157" w:afterLines="50" w:line="360" w:lineRule="auto"/>
        <w:textAlignment w:val="auto"/>
        <w:outlineLvl w:val="0"/>
        <w:rPr>
          <w:rFonts w:hint="eastAsia"/>
          <w:b/>
          <w:sz w:val="28"/>
          <w:szCs w:val="28"/>
        </w:rPr>
      </w:pPr>
      <w:r>
        <w:rPr>
          <w:rFonts w:hint="eastAsia"/>
          <w:b/>
          <w:sz w:val="28"/>
          <w:szCs w:val="28"/>
        </w:rPr>
        <w:t>五、主要技术内容的说明</w:t>
      </w:r>
      <w:bookmarkStart w:id="5" w:name="_GoBack"/>
      <w:bookmarkEnd w:id="5"/>
    </w:p>
    <w:p w14:paraId="66961054">
      <w:pPr>
        <w:pStyle w:val="2"/>
        <w:keepNext/>
        <w:keepLines/>
        <w:pageBreakBefore w:val="0"/>
        <w:widowControl w:val="0"/>
        <w:kinsoku/>
        <w:wordWrap/>
        <w:overflowPunct/>
        <w:topLinePunct w:val="0"/>
        <w:autoSpaceDE/>
        <w:autoSpaceDN/>
        <w:bidi w:val="0"/>
        <w:adjustRightInd/>
        <w:snapToGrid/>
        <w:spacing w:after="63" w:afterLines="20"/>
        <w:textAlignment w:val="auto"/>
        <w:rPr>
          <w:rFonts w:hint="eastAsia" w:eastAsia="宋体" w:cs="Times New Roman"/>
          <w:lang w:val="en-US" w:eastAsia="zh-CN"/>
        </w:rPr>
      </w:pPr>
      <w:r>
        <w:rPr>
          <w:rFonts w:hint="eastAsia" w:eastAsia="宋体" w:cs="Times New Roman"/>
          <w:lang w:val="en-US" w:eastAsia="zh-CN"/>
        </w:rPr>
        <w:t>5.1 术语和定义</w:t>
      </w:r>
    </w:p>
    <w:p w14:paraId="63846B4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eastAsia="宋体" w:cs="Times New Roman"/>
          <w:snapToGrid w:val="0"/>
          <w:color w:val="000000"/>
          <w:kern w:val="0"/>
          <w:sz w:val="24"/>
          <w:lang w:val="en-US" w:eastAsia="zh-CN"/>
        </w:rPr>
      </w:pPr>
      <w:r>
        <w:rPr>
          <w:rFonts w:hint="eastAsia" w:ascii="Times New Roman" w:hAnsi="Times New Roman" w:eastAsia="宋体" w:cs="Times New Roman"/>
          <w:snapToGrid w:val="0"/>
          <w:color w:val="000000"/>
          <w:kern w:val="0"/>
          <w:sz w:val="24"/>
          <w:lang w:val="en-US" w:eastAsia="zh-CN"/>
        </w:rPr>
        <w:t>本规范共15个术语，一部分引用参考了GB/T 10113—2003 《分类与编码通用术语》、GB/T 18894—2016 《电子文件归档与电子档案管理规范》、GB/T 20988—2025 《网络安全技术 信息系统灾难恢复规范》、GB/T 25029—2022 《信息安全技术 术语》、GB/T 27766—2011 《二维条码  网格矩阵码》、GB/T 33190—2016 《电子文件存储与交换格式 版式文档》、GB/T 35285—2017 《信息安全技术 公钥基础设施 基于数字证书的可靠电子签名生成及验证技术要求》、GB/T 36901—2018 《电子证照 总体技术架构》、 GB/T 36904—2018 《电子证照 标识规范》、</w:t>
      </w:r>
      <w:r>
        <w:rPr>
          <w:rFonts w:hint="default" w:ascii="Times New Roman" w:hAnsi="Times New Roman" w:eastAsia="宋体" w:cs="Times New Roman"/>
          <w:snapToGrid w:val="0"/>
          <w:color w:val="000000"/>
          <w:kern w:val="0"/>
          <w:sz w:val="24"/>
          <w:lang w:val="en-US" w:eastAsia="zh-CN"/>
        </w:rPr>
        <w:t>GB/T 38540</w:t>
      </w:r>
      <w:r>
        <w:rPr>
          <w:rFonts w:hint="eastAsia" w:ascii="Times New Roman" w:hAnsi="Times New Roman" w:eastAsia="宋体" w:cs="Times New Roman"/>
          <w:snapToGrid w:val="0"/>
          <w:color w:val="000000"/>
          <w:kern w:val="0"/>
          <w:sz w:val="24"/>
          <w:lang w:val="en-US" w:eastAsia="zh-CN"/>
        </w:rPr>
        <w:t>—</w:t>
      </w:r>
      <w:r>
        <w:rPr>
          <w:rFonts w:hint="default" w:ascii="Times New Roman" w:hAnsi="Times New Roman" w:eastAsia="宋体" w:cs="Times New Roman"/>
          <w:snapToGrid w:val="0"/>
          <w:color w:val="000000"/>
          <w:kern w:val="0"/>
          <w:sz w:val="24"/>
          <w:lang w:val="en-US" w:eastAsia="zh-CN"/>
        </w:rPr>
        <w:t>2020</w:t>
      </w:r>
      <w:r>
        <w:rPr>
          <w:rFonts w:hint="eastAsia" w:ascii="Times New Roman" w:hAnsi="Times New Roman" w:eastAsia="宋体" w:cs="Times New Roman"/>
          <w:snapToGrid w:val="0"/>
          <w:color w:val="000000"/>
          <w:kern w:val="0"/>
          <w:sz w:val="24"/>
          <w:lang w:val="en-US" w:eastAsia="zh-CN"/>
        </w:rPr>
        <w:t xml:space="preserve"> 《</w:t>
      </w:r>
      <w:r>
        <w:rPr>
          <w:rFonts w:hint="default" w:ascii="Times New Roman" w:hAnsi="Times New Roman" w:eastAsia="宋体" w:cs="Times New Roman"/>
          <w:snapToGrid w:val="0"/>
          <w:color w:val="000000"/>
          <w:kern w:val="0"/>
          <w:sz w:val="24"/>
          <w:lang w:val="en-US" w:eastAsia="zh-CN"/>
        </w:rPr>
        <w:t>信息安全技术 安全电子签章密码技术规范</w:t>
      </w:r>
      <w:r>
        <w:rPr>
          <w:rFonts w:hint="eastAsia" w:ascii="Times New Roman" w:hAnsi="Times New Roman" w:eastAsia="宋体" w:cs="Times New Roman"/>
          <w:snapToGrid w:val="0"/>
          <w:color w:val="000000"/>
          <w:kern w:val="0"/>
          <w:sz w:val="24"/>
          <w:lang w:val="en-US" w:eastAsia="zh-CN"/>
        </w:rPr>
        <w:t>》。</w:t>
      </w:r>
    </w:p>
    <w:p w14:paraId="5CBB1D65">
      <w:pPr>
        <w:pStyle w:val="2"/>
        <w:keepNext/>
        <w:keepLines/>
        <w:pageBreakBefore w:val="0"/>
        <w:widowControl w:val="0"/>
        <w:kinsoku/>
        <w:wordWrap/>
        <w:overflowPunct/>
        <w:topLinePunct w:val="0"/>
        <w:autoSpaceDE/>
        <w:autoSpaceDN/>
        <w:bidi w:val="0"/>
        <w:adjustRightInd/>
        <w:snapToGrid/>
        <w:spacing w:after="63" w:afterLines="20"/>
        <w:textAlignment w:val="auto"/>
        <w:rPr>
          <w:rFonts w:hint="default" w:eastAsia="宋体" w:cs="Times New Roman"/>
          <w:lang w:val="en-US" w:eastAsia="zh-CN"/>
        </w:rPr>
      </w:pPr>
      <w:r>
        <w:rPr>
          <w:rFonts w:hint="eastAsia" w:eastAsia="宋体" w:cs="Times New Roman"/>
          <w:lang w:val="en-US" w:eastAsia="zh-CN"/>
        </w:rPr>
        <w:t>5.2 主要内容</w:t>
      </w:r>
    </w:p>
    <w:p w14:paraId="3298B469">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eastAsia="宋体" w:cs="Times New Roman"/>
          <w:snapToGrid w:val="0"/>
          <w:color w:val="000000"/>
          <w:kern w:val="0"/>
          <w:sz w:val="24"/>
          <w:lang w:val="en-US" w:eastAsia="zh-CN"/>
        </w:rPr>
      </w:pPr>
      <w:r>
        <w:rPr>
          <w:rFonts w:hint="eastAsia" w:ascii="Times New Roman" w:hAnsi="Times New Roman" w:eastAsia="宋体" w:cs="Times New Roman"/>
          <w:snapToGrid w:val="0"/>
          <w:color w:val="000000"/>
          <w:kern w:val="0"/>
          <w:sz w:val="24"/>
          <w:lang w:val="en-US" w:eastAsia="zh-CN"/>
        </w:rPr>
        <w:t>计量电子证书（报告）通用要求包含电子证书编制要求、电子证书使用要求和电子证书安全要求。</w:t>
      </w:r>
    </w:p>
    <w:p w14:paraId="6355EC68">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eastAsia="宋体" w:cs="Times New Roman"/>
          <w:snapToGrid w:val="0"/>
          <w:color w:val="000000"/>
          <w:kern w:val="0"/>
          <w:sz w:val="24"/>
          <w:lang w:val="en-US" w:eastAsia="zh-CN"/>
        </w:rPr>
      </w:pPr>
      <w:bookmarkStart w:id="2" w:name="_Toc207375732"/>
      <w:r>
        <w:rPr>
          <w:rFonts w:hint="eastAsia" w:ascii="Times New Roman" w:hAnsi="Times New Roman" w:eastAsia="宋体" w:cs="Times New Roman"/>
          <w:snapToGrid w:val="0"/>
          <w:color w:val="000000"/>
          <w:kern w:val="0"/>
          <w:sz w:val="24"/>
          <w:lang w:val="en-US" w:eastAsia="zh-CN"/>
        </w:rPr>
        <w:t>电子证书编制要求包含对电子证书文件、电子证书印章、电子证书版式及电子证书标识的要求。 电子证书文件宜使用符合GB/T 33190—2016要求的开放式版式文档格式，应包含提供真实性、完整性、抗抵赖性的标志数据，如电子签名</w:t>
      </w:r>
      <w:bookmarkStart w:id="3" w:name="_Toc17445"/>
      <w:bookmarkStart w:id="4" w:name="_Toc16354"/>
      <w:r>
        <w:rPr>
          <w:rFonts w:hint="eastAsia" w:ascii="Times New Roman" w:hAnsi="Times New Roman" w:eastAsia="宋体" w:cs="Times New Roman"/>
          <w:snapToGrid w:val="0"/>
          <w:color w:val="000000"/>
          <w:kern w:val="0"/>
          <w:sz w:val="24"/>
          <w:lang w:val="en-US" w:eastAsia="zh-CN"/>
        </w:rPr>
        <w:t>，电子证书文件显现和共享所需的数据应整合所有用于显现和共享所需的必要数据，无需依赖外部资源。电子证书印章包括“检定证书专用章”“校准证书专用章”“型式评价报告专用章”等，可以用作相应的骑缝章。电子证书版式一般采用210 mm×297 mm（宽×高）页面（即A4纸张大小），电子证书应有表明电子证书属性的标识，宜使用符合GB/T 27766—2011要求的二维码。电子证书标识应遵循GB/T 33190—2016中第16章“自定义标引”的相关要求，由电子证书发放实验室按其制定的规则生成。</w:t>
      </w:r>
    </w:p>
    <w:p w14:paraId="7012533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eastAsia="宋体" w:cs="Times New Roman"/>
          <w:snapToGrid w:val="0"/>
          <w:color w:val="000000"/>
          <w:kern w:val="0"/>
          <w:sz w:val="24"/>
          <w:lang w:val="en-US" w:eastAsia="zh-CN"/>
        </w:rPr>
      </w:pPr>
      <w:r>
        <w:rPr>
          <w:rFonts w:hint="eastAsia" w:ascii="Times New Roman" w:hAnsi="Times New Roman" w:eastAsia="宋体" w:cs="Times New Roman"/>
          <w:snapToGrid w:val="0"/>
          <w:color w:val="000000"/>
          <w:kern w:val="0"/>
          <w:sz w:val="24"/>
          <w:lang w:val="en-US" w:eastAsia="zh-CN"/>
        </w:rPr>
        <w:t>电子证书的使用要求。电子证书在互联网传输时宜使用加密方式，在被获取时，应经过身份识别，同时电子证书应具备由发证实验室认可的真实性、完整性验证方式。电子证书的存储与备份宜遵循GB/T 18894—2016中第9章“电子档案的管理”相关要求，且保存期限不少于六年。</w:t>
      </w:r>
    </w:p>
    <w:p w14:paraId="3060558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napToGrid w:val="0"/>
          <w:color w:val="000000"/>
          <w:kern w:val="0"/>
          <w:sz w:val="24"/>
          <w:lang w:val="en-US" w:eastAsia="zh-CN"/>
        </w:rPr>
      </w:pPr>
      <w:r>
        <w:rPr>
          <w:rFonts w:hint="eastAsia" w:ascii="Times New Roman" w:hAnsi="Times New Roman" w:eastAsia="宋体" w:cs="Times New Roman"/>
          <w:snapToGrid w:val="0"/>
          <w:color w:val="000000"/>
          <w:kern w:val="0"/>
          <w:sz w:val="24"/>
          <w:lang w:val="en-US" w:eastAsia="zh-CN"/>
        </w:rPr>
        <w:t>电子证书的安全要求。电子证书应使用加密技术保障电子证书的真实性和完整性</w:t>
      </w:r>
      <w:r>
        <w:rPr>
          <w:rFonts w:hint="eastAsia" w:ascii="Times New Roman" w:hAnsi="Times New Roman" w:cs="Times New Roman"/>
          <w:snapToGrid w:val="0"/>
          <w:color w:val="000000"/>
          <w:kern w:val="0"/>
          <w:sz w:val="24"/>
          <w:lang w:val="en-US" w:eastAsia="zh-CN"/>
        </w:rPr>
        <w:t>，且</w:t>
      </w:r>
      <w:r>
        <w:rPr>
          <w:rFonts w:hint="eastAsia" w:ascii="Times New Roman" w:hAnsi="Times New Roman" w:eastAsia="宋体" w:cs="Times New Roman"/>
          <w:snapToGrid w:val="0"/>
          <w:color w:val="000000"/>
          <w:kern w:val="0"/>
          <w:sz w:val="24"/>
          <w:lang w:val="en-US" w:eastAsia="zh-CN"/>
        </w:rPr>
        <w:t>可验证；电子证书应具有抗抵赖性，应用的密码技术符合国家密码管理的法规、政策和相关要求。电子证书发放实验室应确保电子证书系统和数据库的安全。</w:t>
      </w:r>
      <w:bookmarkEnd w:id="2"/>
      <w:bookmarkEnd w:id="3"/>
      <w:bookmarkEnd w:id="4"/>
    </w:p>
    <w:p w14:paraId="47BF09A4">
      <w:pPr>
        <w:keepNext w:val="0"/>
        <w:keepLines w:val="0"/>
        <w:pageBreakBefore w:val="0"/>
        <w:widowControl w:val="0"/>
        <w:kinsoku/>
        <w:wordWrap/>
        <w:overflowPunct/>
        <w:topLinePunct w:val="0"/>
        <w:autoSpaceDE/>
        <w:autoSpaceDN/>
        <w:bidi w:val="0"/>
        <w:adjustRightInd/>
        <w:snapToGrid/>
        <w:spacing w:after="157" w:afterLines="50" w:line="360" w:lineRule="auto"/>
        <w:textAlignment w:val="auto"/>
        <w:outlineLvl w:val="0"/>
        <w:rPr>
          <w:rFonts w:hint="eastAsia"/>
          <w:b/>
          <w:sz w:val="28"/>
          <w:szCs w:val="28"/>
        </w:rPr>
      </w:pPr>
      <w:r>
        <w:rPr>
          <w:rFonts w:hint="eastAsia"/>
          <w:b/>
          <w:sz w:val="28"/>
          <w:szCs w:val="28"/>
        </w:rPr>
        <w:t>六、工作小结</w:t>
      </w:r>
    </w:p>
    <w:p w14:paraId="78586C4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eastAsia="宋体" w:cs="Times New Roman"/>
          <w:snapToGrid w:val="0"/>
          <w:color w:val="000000"/>
          <w:kern w:val="0"/>
          <w:sz w:val="24"/>
          <w:lang w:val="en-US" w:eastAsia="zh-CN"/>
        </w:rPr>
      </w:pPr>
      <w:r>
        <w:rPr>
          <w:rFonts w:hint="eastAsia" w:ascii="Times New Roman" w:hAnsi="Times New Roman" w:eastAsia="宋体" w:cs="Times New Roman"/>
          <w:snapToGrid w:val="0"/>
          <w:color w:val="000000"/>
          <w:kern w:val="0"/>
          <w:sz w:val="24"/>
          <w:lang w:val="en-US" w:eastAsia="zh-CN"/>
        </w:rPr>
        <w:t>此次《计量电子证书（报告）通用要求》国家计量技术规范的编写，起草组对已使用电子证书的计量技术机构进行了大量的调研工作，深入了解了计量技术机构使用的电子证书版式以及在电子证书使用和安全方面所做的工作，为规范的编写奠定了基础。但由于起草组能力有限，所提出的计量电子证书（报告）的通用要求难免存在一定的局限性，还请各位专家和委员多提宝贵意见。之后将根据专家的建议、规范的适用情况，不断完善规范内容。</w:t>
      </w:r>
    </w:p>
    <w:p w14:paraId="512FE15C">
      <w:pPr>
        <w:keepNext w:val="0"/>
        <w:keepLines w:val="0"/>
        <w:pageBreakBefore w:val="0"/>
        <w:widowControl w:val="0"/>
        <w:kinsoku/>
        <w:wordWrap/>
        <w:overflowPunct/>
        <w:topLinePunct w:val="0"/>
        <w:autoSpaceDE/>
        <w:autoSpaceDN/>
        <w:bidi w:val="0"/>
        <w:adjustRightInd/>
        <w:snapToGrid w:val="0"/>
        <w:spacing w:line="360" w:lineRule="auto"/>
        <w:ind w:firstLine="3600" w:firstLineChars="1500"/>
        <w:textAlignment w:val="auto"/>
        <w:rPr>
          <w:rFonts w:hint="eastAsia" w:ascii="Times New Roman" w:hAnsi="Times New Roman" w:eastAsia="宋体" w:cs="Times New Roman"/>
          <w:snapToGrid w:val="0"/>
          <w:color w:val="000000"/>
          <w:kern w:val="0"/>
          <w:sz w:val="24"/>
          <w:lang w:val="en-US" w:eastAsia="zh-CN"/>
        </w:rPr>
      </w:pPr>
      <w:r>
        <w:rPr>
          <w:rFonts w:hint="eastAsia" w:ascii="Times New Roman" w:hAnsi="Times New Roman" w:eastAsia="宋体" w:cs="Times New Roman"/>
          <w:snapToGrid w:val="0"/>
          <w:color w:val="000000"/>
          <w:kern w:val="0"/>
          <w:sz w:val="24"/>
          <w:lang w:val="en-US" w:eastAsia="zh-CN"/>
        </w:rPr>
        <w:t>《计量电子证书（报告）通用要求》编制组</w:t>
      </w:r>
    </w:p>
    <w:p w14:paraId="1CD4FB1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eastAsia="宋体" w:cs="Times New Roman"/>
          <w:snapToGrid w:val="0"/>
          <w:color w:val="000000"/>
          <w:kern w:val="0"/>
          <w:sz w:val="24"/>
          <w:lang w:val="en-US" w:eastAsia="zh-CN"/>
        </w:rPr>
      </w:pPr>
      <w:r>
        <w:rPr>
          <w:rFonts w:hint="eastAsia" w:ascii="Times New Roman" w:hAnsi="Times New Roman" w:eastAsia="宋体" w:cs="Times New Roman"/>
          <w:snapToGrid w:val="0"/>
          <w:color w:val="000000"/>
          <w:kern w:val="0"/>
          <w:sz w:val="24"/>
          <w:lang w:val="en-US" w:eastAsia="zh-CN"/>
        </w:rPr>
        <w:t xml:space="preserve">                                     </w:t>
      </w:r>
      <w:r>
        <w:rPr>
          <w:rFonts w:hint="eastAsia" w:ascii="Times New Roman" w:hAnsi="Times New Roman" w:cs="Times New Roman"/>
          <w:snapToGrid w:val="0"/>
          <w:color w:val="000000"/>
          <w:kern w:val="0"/>
          <w:sz w:val="24"/>
          <w:lang w:val="en-US" w:eastAsia="zh-CN"/>
        </w:rPr>
        <w:t xml:space="preserve">    </w:t>
      </w:r>
      <w:r>
        <w:rPr>
          <w:rFonts w:hint="eastAsia" w:ascii="Times New Roman" w:hAnsi="Times New Roman" w:eastAsia="宋体" w:cs="Times New Roman"/>
          <w:snapToGrid w:val="0"/>
          <w:color w:val="000000"/>
          <w:kern w:val="0"/>
          <w:sz w:val="24"/>
          <w:lang w:val="en-US" w:eastAsia="zh-CN"/>
        </w:rPr>
        <w:t xml:space="preserve">2026年6月 </w:t>
      </w:r>
    </w:p>
    <w:p w14:paraId="03D34625"/>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F56EA">
    <w:pPr>
      <w:pStyle w:val="6"/>
      <w:jc w:val="center"/>
    </w:pPr>
    <w:r>
      <w:fldChar w:fldCharType="begin"/>
    </w:r>
    <w:r>
      <w:instrText xml:space="preserve"> PAGE   \* MERGEFORMAT </w:instrText>
    </w:r>
    <w:r>
      <w:fldChar w:fldCharType="separate"/>
    </w:r>
    <w:r>
      <w:rPr>
        <w:lang w:val="zh-CN"/>
      </w:rPr>
      <w:t>2</w:t>
    </w:r>
    <w:r>
      <w:fldChar w:fldCharType="end"/>
    </w:r>
  </w:p>
  <w:p w14:paraId="195E70BA">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97D09">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27E178A1"/>
    <w:rsid w:val="03C2134C"/>
    <w:rsid w:val="118D61F5"/>
    <w:rsid w:val="14CF0E50"/>
    <w:rsid w:val="1D7A555D"/>
    <w:rsid w:val="25EB7E37"/>
    <w:rsid w:val="27523297"/>
    <w:rsid w:val="27E178A1"/>
    <w:rsid w:val="2AD134D0"/>
    <w:rsid w:val="2BA43B71"/>
    <w:rsid w:val="2BD870AF"/>
    <w:rsid w:val="363870C8"/>
    <w:rsid w:val="370866AF"/>
    <w:rsid w:val="381E409C"/>
    <w:rsid w:val="3E2D5039"/>
    <w:rsid w:val="40E35E83"/>
    <w:rsid w:val="44BB7D60"/>
    <w:rsid w:val="49D25B76"/>
    <w:rsid w:val="4B3537EA"/>
    <w:rsid w:val="58FA67B5"/>
    <w:rsid w:val="5FF13CC0"/>
    <w:rsid w:val="73030383"/>
    <w:rsid w:val="74F839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unhideWhenUsed/>
    <w:qFormat/>
    <w:uiPriority w:val="9"/>
    <w:pPr>
      <w:keepNext/>
      <w:keepLines/>
      <w:spacing w:before="120" w:line="360" w:lineRule="auto"/>
      <w:outlineLvl w:val="1"/>
    </w:pPr>
    <w:rPr>
      <w:rFonts w:ascii="Times New Roman" w:hAnsi="Times New Roman"/>
      <w:b/>
      <w:bCs/>
      <w:sz w:val="24"/>
      <w:szCs w:val="32"/>
    </w:rPr>
  </w:style>
  <w:style w:type="paragraph" w:styleId="3">
    <w:name w:val="heading 3"/>
    <w:basedOn w:val="1"/>
    <w:next w:val="1"/>
    <w:unhideWhenUsed/>
    <w:qFormat/>
    <w:uiPriority w:val="0"/>
    <w:pPr>
      <w:keepNext/>
      <w:keepLines/>
      <w:spacing w:line="420" w:lineRule="exact"/>
      <w:ind w:firstLine="0" w:firstLineChars="0"/>
      <w:outlineLvl w:val="2"/>
    </w:p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semiHidden/>
    <w:unhideWhenUsed/>
    <w:qFormat/>
    <w:uiPriority w:val="99"/>
    <w:pPr>
      <w:spacing w:after="120"/>
    </w:pPr>
  </w:style>
  <w:style w:type="paragraph" w:styleId="5">
    <w:name w:val="Body Text Indent 2"/>
    <w:basedOn w:val="1"/>
    <w:qFormat/>
    <w:uiPriority w:val="0"/>
    <w:pPr>
      <w:ind w:firstLine="600" w:firstLineChars="200"/>
      <w:jc w:val="left"/>
    </w:pPr>
    <w:rPr>
      <w:rFonts w:ascii="Times New Roman" w:hAnsi="Times New Roman"/>
      <w:sz w:val="30"/>
      <w:szCs w:val="24"/>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semiHidden/>
    <w:qFormat/>
    <w:uiPriority w:val="0"/>
    <w:pPr>
      <w:tabs>
        <w:tab w:val="right" w:leader="dot" w:pos="9628"/>
      </w:tabs>
      <w:snapToGrid w:val="0"/>
    </w:pPr>
    <w:rPr>
      <w:rFonts w:ascii="宋体" w:hAnsi="宋体"/>
      <w:sz w:val="24"/>
      <w:szCs w:val="21"/>
    </w:rPr>
  </w:style>
  <w:style w:type="paragraph" w:styleId="9">
    <w:name w:val="Body Text First Indent"/>
    <w:basedOn w:val="4"/>
    <w:qFormat/>
    <w:uiPriority w:val="0"/>
    <w:pPr>
      <w:ind w:firstLine="420"/>
    </w:pPr>
    <w:rPr>
      <w:rFonts w:ascii="Times New Roman" w:hAnsi="Times New Roman" w:eastAsia="楷体_GB2312"/>
      <w:sz w:val="32"/>
      <w:szCs w:val="20"/>
    </w:rPr>
  </w:style>
  <w:style w:type="paragraph" w:customStyle="1" w:styleId="12">
    <w:name w:val="段"/>
    <w:qFormat/>
    <w:uiPriority w:val="0"/>
    <w:pPr>
      <w:tabs>
        <w:tab w:val="center" w:pos="4201"/>
        <w:tab w:val="right" w:leader="dot" w:pos="9298"/>
      </w:tabs>
      <w:autoSpaceDE w:val="0"/>
      <w:autoSpaceDN w:val="0"/>
      <w:ind w:firstLine="420" w:firstLineChars="200"/>
      <w:jc w:val="both"/>
    </w:pPr>
    <w:rPr>
      <w:rFonts w:ascii="宋体" w:hAnsi="Calibri" w:eastAsia="宋体" w:cs="Times New Roman"/>
      <w:sz w:val="22"/>
      <w:lang w:val="en-US" w:eastAsia="zh-CN" w:bidi="ar-SA"/>
    </w:rPr>
  </w:style>
  <w:style w:type="paragraph"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2776</Words>
  <Characters>3077</Characters>
  <Lines>0</Lines>
  <Paragraphs>0</Paragraphs>
  <TotalTime>0</TotalTime>
  <ScaleCrop>false</ScaleCrop>
  <LinksUpToDate>false</LinksUpToDate>
  <CharactersWithSpaces>3169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2023-08-09T03:17:00Z</dcterms:created>
  <dc:creator>ye野也</dc:creator>
  <cp:lastModifiedBy>jh</cp:lastModifiedBy>
  <dcterms:modified xsi:type="dcterms:W3CDTF">2026-07-01T07:06:46Z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490A0359B0914C5094F54C1293B91DE5_11</vt:lpwstr>
  </property>
  <property fmtid="{D5CDD505-2E9C-101B-9397-08002B2CF9AE}" pid="4" name="KSOTemplateDocerSaveRecord">
    <vt:lpwstr>eyJoZGlkIjoiZmI5NGViMjAzNzFlZjQyOTJlZmVlMTBiZTlkODk4YjciLCJ1c2VySWQiOiIxNjQ2NTQ5Njc1In0=</vt:lpwstr>
  </property>
</Properties>
</file>